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8506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91DB9B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5FC70A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征集项目的详细说明和要求</w:t>
      </w:r>
    </w:p>
    <w:bookmarkEnd w:id="0"/>
    <w:p w14:paraId="27AF03C9">
      <w:pPr>
        <w:tabs>
          <w:tab w:val="left" w:pos="315"/>
          <w:tab w:val="left" w:pos="8820"/>
        </w:tabs>
        <w:spacing w:before="312" w:beforeLines="100" w:after="156" w:afterLines="50" w:line="500" w:lineRule="exact"/>
        <w:ind w:right="267" w:rightChars="127"/>
        <w:jc w:val="center"/>
        <w:rPr>
          <w:rFonts w:ascii="宋体" w:hAnsi="宋体" w:eastAsia="宋体"/>
          <w:bCs/>
          <w:color w:val="auto"/>
          <w:sz w:val="44"/>
          <w:szCs w:val="44"/>
          <w:highlight w:val="none"/>
        </w:rPr>
      </w:pPr>
    </w:p>
    <w:p w14:paraId="3D82E83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4E33D7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126EDD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83B046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4AADF8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8A39BA9">
      <w:pPr>
        <w:tabs>
          <w:tab w:val="left" w:pos="2410"/>
        </w:tabs>
        <w:autoSpaceDE w:val="0"/>
        <w:autoSpaceDN w:val="0"/>
        <w:adjustRightInd w:val="0"/>
        <w:snapToGrid w:val="0"/>
        <w:spacing w:line="360" w:lineRule="auto"/>
        <w:ind w:left="2444" w:leftChars="304" w:hanging="1806" w:hangingChars="500"/>
        <w:rPr>
          <w:rFonts w:hint="eastAsia" w:ascii="宋体" w:hAnsi="宋体" w:eastAsia="宋体"/>
          <w:b/>
          <w:color w:val="auto"/>
          <w:spacing w:val="20"/>
          <w:kern w:val="0"/>
          <w:sz w:val="32"/>
          <w:szCs w:val="32"/>
          <w:highlight w:val="none"/>
          <w:u w:val="none"/>
          <w:lang w:eastAsia="zh-CN"/>
        </w:rPr>
      </w:pPr>
      <w:r>
        <w:rPr>
          <w:rFonts w:hint="eastAsia" w:ascii="宋体" w:hAnsi="宋体" w:eastAsia="宋体"/>
          <w:b/>
          <w:color w:val="auto"/>
          <w:spacing w:val="20"/>
          <w:kern w:val="0"/>
          <w:sz w:val="32"/>
          <w:szCs w:val="32"/>
          <w:highlight w:val="none"/>
          <w:u w:val="none"/>
        </w:rPr>
        <w:t>项目名称：</w:t>
      </w:r>
      <w:r>
        <w:rPr>
          <w:rFonts w:hint="eastAsia" w:ascii="宋体" w:hAnsi="宋体" w:eastAsia="宋体"/>
          <w:b/>
          <w:color w:val="auto"/>
          <w:spacing w:val="20"/>
          <w:kern w:val="0"/>
          <w:sz w:val="32"/>
          <w:szCs w:val="32"/>
          <w:highlight w:val="none"/>
          <w:u w:val="none"/>
          <w:lang w:val="en-US" w:eastAsia="zh-CN"/>
        </w:rPr>
        <w:t>天长市基层公务出行新能源汽车定点分时租赁项目</w:t>
      </w:r>
      <w:r>
        <w:rPr>
          <w:rFonts w:hint="eastAsia" w:ascii="宋体" w:hAnsi="宋体" w:eastAsia="宋体"/>
          <w:b/>
          <w:color w:val="auto"/>
          <w:spacing w:val="20"/>
          <w:kern w:val="0"/>
          <w:sz w:val="32"/>
          <w:szCs w:val="32"/>
          <w:highlight w:val="none"/>
          <w:u w:val="none"/>
        </w:rPr>
        <w:t>开放式框架协议</w:t>
      </w:r>
    </w:p>
    <w:p w14:paraId="271C9429">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none"/>
          <w:lang w:eastAsia="zh-CN"/>
        </w:rPr>
      </w:pPr>
      <w:r>
        <w:rPr>
          <w:rFonts w:hint="eastAsia" w:ascii="宋体" w:hAnsi="宋体" w:eastAsia="宋体"/>
          <w:b/>
          <w:color w:val="auto"/>
          <w:spacing w:val="20"/>
          <w:kern w:val="0"/>
          <w:sz w:val="32"/>
          <w:szCs w:val="32"/>
          <w:highlight w:val="none"/>
          <w:u w:val="none"/>
        </w:rPr>
        <w:t>项目编号：</w:t>
      </w:r>
      <w:r>
        <w:rPr>
          <w:rFonts w:hint="eastAsia" w:ascii="宋体" w:hAnsi="宋体" w:eastAsia="宋体"/>
          <w:b/>
          <w:color w:val="auto"/>
          <w:spacing w:val="20"/>
          <w:kern w:val="0"/>
          <w:sz w:val="32"/>
          <w:szCs w:val="32"/>
          <w:highlight w:val="none"/>
          <w:u w:val="none"/>
          <w:lang w:val="en-US" w:eastAsia="zh-CN"/>
        </w:rPr>
        <w:fldChar w:fldCharType="begin"/>
      </w:r>
      <w:r>
        <w:rPr>
          <w:rFonts w:hint="eastAsia" w:ascii="宋体" w:hAnsi="宋体" w:eastAsia="宋体"/>
          <w:b/>
          <w:color w:val="auto"/>
          <w:spacing w:val="20"/>
          <w:kern w:val="0"/>
          <w:sz w:val="32"/>
          <w:szCs w:val="32"/>
          <w:highlight w:val="none"/>
          <w:u w:val="none"/>
          <w:lang w:val="en-US" w:eastAsia="zh-CN"/>
        </w:rPr>
        <w:instrText xml:space="preserve"> HYPERLINK "https://www.anhui.zcygov.cn/gaea/api/project/flow/redirect?projectId=7205057778445451352&amp;newUrl=https://www.anhui.zcygov.cn/micro-app-back-index/blank?_flow_type_=purchaser&amp;_flow_projectId_=7205057778445451352&amp;_jump_page_type_=project_procurement_management_flow&amp;_app_=zcy.framework.procurement.cgr.self&amp;oldUrl=https://www.anhui.zcygov.cn/project-center/_kjxy_/_kjxy-self_/project-result-detail/7205057778445451352" \t "https://www.anhui.zcygov.cn/project-center/_kjxy_/_kjxy-self_/self-project/_blank" </w:instrText>
      </w:r>
      <w:r>
        <w:rPr>
          <w:rFonts w:hint="eastAsia" w:ascii="宋体" w:hAnsi="宋体" w:eastAsia="宋体"/>
          <w:b/>
          <w:color w:val="auto"/>
          <w:spacing w:val="20"/>
          <w:kern w:val="0"/>
          <w:sz w:val="32"/>
          <w:szCs w:val="32"/>
          <w:highlight w:val="none"/>
          <w:u w:val="none"/>
          <w:lang w:val="en-US" w:eastAsia="zh-CN"/>
        </w:rPr>
        <w:fldChar w:fldCharType="separate"/>
      </w:r>
      <w:r>
        <w:rPr>
          <w:rFonts w:hint="eastAsia" w:ascii="宋体" w:hAnsi="宋体" w:eastAsia="宋体"/>
          <w:b/>
          <w:color w:val="auto"/>
          <w:spacing w:val="20"/>
          <w:kern w:val="0"/>
          <w:sz w:val="32"/>
          <w:szCs w:val="32"/>
          <w:highlight w:val="none"/>
          <w:u w:val="none"/>
          <w:lang w:val="en-US" w:eastAsia="zh-CN"/>
        </w:rPr>
        <w:t>KJXY2025012</w:t>
      </w:r>
      <w:r>
        <w:rPr>
          <w:rFonts w:hint="eastAsia" w:ascii="宋体" w:hAnsi="宋体" w:eastAsia="宋体"/>
          <w:b/>
          <w:color w:val="auto"/>
          <w:spacing w:val="20"/>
          <w:kern w:val="0"/>
          <w:sz w:val="32"/>
          <w:szCs w:val="32"/>
          <w:highlight w:val="none"/>
          <w:u w:val="none"/>
          <w:lang w:val="en-US" w:eastAsia="zh-CN"/>
        </w:rPr>
        <w:fldChar w:fldCharType="end"/>
      </w:r>
      <w:r>
        <w:rPr>
          <w:rFonts w:hint="eastAsia" w:ascii="宋体" w:hAnsi="宋体" w:eastAsia="宋体"/>
          <w:b/>
          <w:color w:val="auto"/>
          <w:spacing w:val="20"/>
          <w:kern w:val="0"/>
          <w:sz w:val="32"/>
          <w:szCs w:val="32"/>
          <w:highlight w:val="none"/>
          <w:u w:val="none"/>
          <w:lang w:val="en-US" w:eastAsia="zh-CN"/>
        </w:rPr>
        <w:t>00345</w:t>
      </w:r>
      <w:r>
        <w:rPr>
          <w:rFonts w:hint="eastAsia" w:ascii="宋体" w:hAnsi="宋体" w:eastAsia="宋体"/>
          <w:b/>
          <w:color w:val="auto"/>
          <w:spacing w:val="20"/>
          <w:kern w:val="0"/>
          <w:sz w:val="32"/>
          <w:szCs w:val="32"/>
          <w:highlight w:val="none"/>
          <w:u w:val="none"/>
          <w:lang w:val="en-US" w:eastAsia="zh-CN"/>
        </w:rPr>
        <w:t xml:space="preserve"> </w:t>
      </w:r>
      <w:bookmarkStart w:id="87" w:name="_GoBack"/>
      <w:bookmarkEnd w:id="87"/>
    </w:p>
    <w:p w14:paraId="0E4EE763">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u w:val="none"/>
          <w:lang w:val="en-US" w:eastAsia="zh-CN"/>
        </w:rPr>
      </w:pPr>
      <w:r>
        <w:rPr>
          <w:rFonts w:hint="eastAsia" w:ascii="宋体" w:hAnsi="宋体" w:eastAsia="宋体"/>
          <w:b/>
          <w:color w:val="auto"/>
          <w:spacing w:val="20"/>
          <w:kern w:val="0"/>
          <w:sz w:val="32"/>
          <w:szCs w:val="32"/>
          <w:highlight w:val="none"/>
          <w:u w:val="none"/>
          <w:lang w:eastAsia="zh-CN"/>
        </w:rPr>
        <w:t>征</w:t>
      </w:r>
      <w:r>
        <w:rPr>
          <w:rFonts w:hint="eastAsia" w:ascii="宋体" w:hAnsi="宋体" w:eastAsia="宋体"/>
          <w:b/>
          <w:color w:val="auto"/>
          <w:spacing w:val="20"/>
          <w:kern w:val="0"/>
          <w:sz w:val="32"/>
          <w:szCs w:val="32"/>
          <w:highlight w:val="none"/>
          <w:u w:val="none"/>
          <w:lang w:val="en-US" w:eastAsia="zh-CN"/>
        </w:rPr>
        <w:t xml:space="preserve"> </w:t>
      </w:r>
      <w:r>
        <w:rPr>
          <w:rFonts w:hint="eastAsia" w:ascii="宋体" w:hAnsi="宋体" w:eastAsia="宋体"/>
          <w:b/>
          <w:color w:val="auto"/>
          <w:spacing w:val="20"/>
          <w:kern w:val="0"/>
          <w:sz w:val="32"/>
          <w:szCs w:val="32"/>
          <w:highlight w:val="none"/>
          <w:u w:val="none"/>
          <w:lang w:eastAsia="zh-CN"/>
        </w:rPr>
        <w:t>集</w:t>
      </w:r>
      <w:r>
        <w:rPr>
          <w:rFonts w:hint="eastAsia" w:ascii="宋体" w:hAnsi="宋体" w:eastAsia="宋体"/>
          <w:b/>
          <w:color w:val="auto"/>
          <w:spacing w:val="20"/>
          <w:kern w:val="0"/>
          <w:sz w:val="32"/>
          <w:szCs w:val="32"/>
          <w:highlight w:val="none"/>
          <w:u w:val="none"/>
        </w:rPr>
        <w:t xml:space="preserve"> 人：</w:t>
      </w:r>
      <w:r>
        <w:rPr>
          <w:rFonts w:hint="eastAsia" w:ascii="宋体" w:hAnsi="宋体" w:eastAsia="宋体"/>
          <w:b/>
          <w:color w:val="auto"/>
          <w:spacing w:val="20"/>
          <w:kern w:val="0"/>
          <w:sz w:val="32"/>
          <w:szCs w:val="32"/>
          <w:highlight w:val="none"/>
          <w:u w:val="none"/>
          <w:lang w:val="en-US" w:eastAsia="zh-CN"/>
        </w:rPr>
        <w:t>天长市</w:t>
      </w:r>
      <w:r>
        <w:rPr>
          <w:rFonts w:hint="eastAsia" w:ascii="宋体" w:hAnsi="宋体" w:eastAsia="宋体"/>
          <w:b/>
          <w:color w:val="auto"/>
          <w:spacing w:val="20"/>
          <w:kern w:val="0"/>
          <w:sz w:val="32"/>
          <w:szCs w:val="32"/>
          <w:highlight w:val="none"/>
          <w:u w:val="none"/>
        </w:rPr>
        <w:t>机关事务管理</w:t>
      </w:r>
      <w:r>
        <w:rPr>
          <w:rFonts w:hint="eastAsia" w:ascii="宋体" w:hAnsi="宋体" w:eastAsia="宋体"/>
          <w:b/>
          <w:color w:val="auto"/>
          <w:spacing w:val="20"/>
          <w:kern w:val="0"/>
          <w:sz w:val="32"/>
          <w:szCs w:val="32"/>
          <w:highlight w:val="none"/>
          <w:u w:val="none"/>
          <w:lang w:val="en-US" w:eastAsia="zh-CN"/>
        </w:rPr>
        <w:t>服务中心</w:t>
      </w:r>
    </w:p>
    <w:p w14:paraId="45F172E6">
      <w:pPr>
        <w:pStyle w:val="24"/>
        <w:rPr>
          <w:rFonts w:hint="default" w:ascii="宋体" w:hAnsi="宋体" w:eastAsia="宋体" w:cs="@仿宋_GB2312"/>
          <w:b/>
          <w:color w:val="auto"/>
          <w:spacing w:val="20"/>
          <w:kern w:val="0"/>
          <w:sz w:val="32"/>
          <w:szCs w:val="32"/>
          <w:highlight w:val="none"/>
          <w:u w:val="none"/>
          <w:lang w:val="en-US" w:eastAsia="zh-CN" w:bidi="ar-SA"/>
        </w:rPr>
      </w:pPr>
      <w:r>
        <w:rPr>
          <w:rFonts w:hint="eastAsia" w:ascii="宋体" w:hAnsi="宋体" w:eastAsia="宋体" w:cs="@仿宋_GB2312"/>
          <w:b/>
          <w:color w:val="auto"/>
          <w:spacing w:val="20"/>
          <w:kern w:val="0"/>
          <w:sz w:val="32"/>
          <w:szCs w:val="32"/>
          <w:highlight w:val="none"/>
          <w:u w:val="none"/>
          <w:lang w:val="en-US" w:eastAsia="zh-CN" w:bidi="ar-SA"/>
        </w:rPr>
        <w:t>采购代理机构：天长市超杰建筑工程有限公司</w:t>
      </w:r>
    </w:p>
    <w:p w14:paraId="7E2BF92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u w:val="none"/>
        </w:rPr>
      </w:pPr>
    </w:p>
    <w:p w14:paraId="2C4DF957">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二〇二五</w:t>
      </w:r>
      <w:r>
        <w:rPr>
          <w:rFonts w:hint="eastAsia" w:ascii="宋体" w:hAnsi="宋体" w:eastAsia="宋体"/>
          <w:b/>
          <w:color w:val="auto"/>
          <w:sz w:val="36"/>
          <w:highlight w:val="none"/>
          <w:u w:val="none"/>
        </w:rPr>
        <w:t>年</w:t>
      </w:r>
      <w:r>
        <w:rPr>
          <w:rFonts w:hint="eastAsia" w:ascii="宋体" w:hAnsi="宋体" w:eastAsia="宋体"/>
          <w:b/>
          <w:color w:val="auto"/>
          <w:sz w:val="36"/>
          <w:highlight w:val="none"/>
          <w:u w:val="single"/>
          <w:lang w:val="en-US" w:eastAsia="zh-CN"/>
        </w:rPr>
        <w:t xml:space="preserve"> 一</w:t>
      </w:r>
      <w:r>
        <w:rPr>
          <w:rFonts w:hint="eastAsia" w:ascii="宋体" w:hAnsi="宋体" w:eastAsia="宋体"/>
          <w:b/>
          <w:color w:val="auto"/>
          <w:sz w:val="36"/>
          <w:highlight w:val="none"/>
          <w:u w:val="none"/>
        </w:rPr>
        <w:t>月</w:t>
      </w:r>
      <w:r>
        <w:rPr>
          <w:rFonts w:ascii="宋体" w:hAnsi="宋体" w:eastAsia="宋体"/>
          <w:b/>
          <w:color w:val="auto"/>
          <w:sz w:val="36"/>
          <w:highlight w:val="none"/>
        </w:rPr>
        <w:br w:type="page"/>
      </w:r>
    </w:p>
    <w:p w14:paraId="16E4619C">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04F33C6">
      <w:pPr>
        <w:pStyle w:val="18"/>
        <w:tabs>
          <w:tab w:val="right" w:leader="dot" w:pos="8306"/>
        </w:tabs>
        <w:rPr>
          <w:color w:val="auto"/>
          <w:highlight w:val="none"/>
        </w:rPr>
      </w:pPr>
      <w:r>
        <w:rPr>
          <w:rFonts w:asciiTheme="minorEastAsia" w:hAnsiTheme="minorEastAsia"/>
          <w:b/>
          <w:bCs/>
          <w:color w:val="auto"/>
          <w:sz w:val="22"/>
          <w:szCs w:val="22"/>
          <w:highlight w:val="none"/>
        </w:rPr>
        <w:fldChar w:fldCharType="begin"/>
      </w:r>
      <w:r>
        <w:rPr>
          <w:rFonts w:asciiTheme="minorEastAsia" w:hAnsiTheme="minorEastAsia"/>
          <w:b/>
          <w:bCs/>
          <w:color w:val="auto"/>
          <w:sz w:val="22"/>
          <w:szCs w:val="22"/>
          <w:highlight w:val="none"/>
        </w:rPr>
        <w:instrText xml:space="preserve"> </w:instrText>
      </w:r>
      <w:r>
        <w:rPr>
          <w:rFonts w:hint="eastAsia" w:asciiTheme="minorEastAsia" w:hAnsiTheme="minorEastAsia"/>
          <w:b/>
          <w:bCs/>
          <w:color w:val="auto"/>
          <w:sz w:val="22"/>
          <w:szCs w:val="22"/>
          <w:highlight w:val="none"/>
        </w:rPr>
        <w:instrText xml:space="preserve">TOC \o "1-2" \h \z \u</w:instrText>
      </w:r>
      <w:r>
        <w:rPr>
          <w:rFonts w:asciiTheme="minorEastAsia" w:hAnsiTheme="minorEastAsia"/>
          <w:b/>
          <w:bCs/>
          <w:color w:val="auto"/>
          <w:sz w:val="22"/>
          <w:szCs w:val="22"/>
          <w:highlight w:val="none"/>
        </w:rPr>
        <w:instrText xml:space="preserve"> </w:instrText>
      </w:r>
      <w:r>
        <w:rPr>
          <w:rFonts w:asciiTheme="minorEastAsia" w:hAnsiTheme="minorEastAsia"/>
          <w:b/>
          <w:bCs/>
          <w:color w:val="auto"/>
          <w:sz w:val="22"/>
          <w:szCs w:val="22"/>
          <w:highlight w:val="none"/>
        </w:rPr>
        <w:fldChar w:fldCharType="separate"/>
      </w:r>
      <w:r>
        <w:rPr>
          <w:rFonts w:asciiTheme="minorEastAsia" w:hAnsiTheme="minorEastAsia"/>
          <w:bCs/>
          <w:color w:val="auto"/>
          <w:szCs w:val="22"/>
          <w:highlight w:val="none"/>
        </w:rPr>
        <w:fldChar w:fldCharType="begin"/>
      </w:r>
      <w:r>
        <w:rPr>
          <w:rFonts w:asciiTheme="minorEastAsia" w:hAnsiTheme="minorEastAsia"/>
          <w:bCs/>
          <w:color w:val="auto"/>
          <w:szCs w:val="22"/>
          <w:highlight w:val="none"/>
        </w:rPr>
        <w:instrText xml:space="preserve"> HYPERLINK \l _Toc13625 </w:instrText>
      </w:r>
      <w:r>
        <w:rPr>
          <w:rFonts w:asciiTheme="minorEastAsia" w:hAnsiTheme="minorEastAsia"/>
          <w:bCs/>
          <w:color w:val="auto"/>
          <w:szCs w:val="22"/>
          <w:highlight w:val="none"/>
        </w:rPr>
        <w:fldChar w:fldCharType="separate"/>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val="en-US" w:eastAsia="zh-CN"/>
        </w:rPr>
        <w:t>一</w:t>
      </w:r>
      <w:r>
        <w:rPr>
          <w:rFonts w:hint="eastAsia" w:asciiTheme="minorEastAsia" w:hAnsiTheme="minorEastAsia" w:eastAsiaTheme="minorEastAsia"/>
          <w:color w:val="auto"/>
          <w:highlight w:val="none"/>
        </w:rPr>
        <w:t>章  采购需求</w:t>
      </w:r>
      <w:r>
        <w:rPr>
          <w:color w:val="auto"/>
          <w:highlight w:val="none"/>
        </w:rPr>
        <w:tab/>
      </w:r>
      <w:r>
        <w:rPr>
          <w:color w:val="auto"/>
          <w:highlight w:val="none"/>
        </w:rPr>
        <w:fldChar w:fldCharType="begin"/>
      </w:r>
      <w:r>
        <w:rPr>
          <w:color w:val="auto"/>
          <w:highlight w:val="none"/>
        </w:rPr>
        <w:instrText xml:space="preserve"> PAGEREF _Toc13625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bCs/>
          <w:color w:val="auto"/>
          <w:szCs w:val="22"/>
          <w:highlight w:val="none"/>
        </w:rPr>
        <w:fldChar w:fldCharType="end"/>
      </w:r>
    </w:p>
    <w:p w14:paraId="468A0D0D">
      <w:pPr>
        <w:pStyle w:val="18"/>
        <w:tabs>
          <w:tab w:val="right" w:leader="dot" w:pos="8306"/>
        </w:tabs>
        <w:rPr>
          <w:rFonts w:hint="eastAsia" w:eastAsiaTheme="minorEastAsia"/>
          <w:color w:val="auto"/>
          <w:highlight w:val="none"/>
          <w:lang w:val="en-US" w:eastAsia="zh-CN"/>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_Toc7335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 xml:space="preserve">第二章  </w:t>
      </w:r>
      <w:r>
        <w:rPr>
          <w:rFonts w:asciiTheme="minorEastAsia" w:hAnsiTheme="minorEastAsia" w:eastAsiaTheme="minorEastAsia"/>
          <w:bCs/>
          <w:color w:val="auto"/>
          <w:szCs w:val="22"/>
          <w:highlight w:val="none"/>
        </w:rPr>
        <w:fldChar w:fldCharType="end"/>
      </w:r>
      <w:r>
        <w:rPr>
          <w:rFonts w:hint="eastAsia" w:asciiTheme="minorEastAsia" w:hAnsiTheme="minorEastAsia" w:eastAsiaTheme="minorEastAsia"/>
          <w:color w:val="auto"/>
          <w:highlight w:val="none"/>
          <w:lang w:val="en-US" w:eastAsia="zh-CN"/>
        </w:rPr>
        <w:t>用户反馈和评价机制</w:t>
      </w:r>
      <w:r>
        <w:rPr>
          <w:color w:val="auto"/>
          <w:highlight w:val="none"/>
        </w:rPr>
        <w:tab/>
      </w:r>
      <w:r>
        <w:rPr>
          <w:rFonts w:hint="eastAsia"/>
          <w:color w:val="auto"/>
          <w:highlight w:val="none"/>
          <w:lang w:val="en-US" w:eastAsia="zh-CN"/>
        </w:rPr>
        <w:t>7</w:t>
      </w:r>
    </w:p>
    <w:p w14:paraId="5D69ABA3">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_Toc28814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第三章  入围供应商的清退机制和补充规则</w:t>
      </w:r>
      <w:r>
        <w:rPr>
          <w:color w:val="auto"/>
          <w:highlight w:val="none"/>
        </w:rPr>
        <w:tab/>
      </w:r>
      <w:r>
        <w:rPr>
          <w:rFonts w:hint="eastAsia"/>
          <w:color w:val="auto"/>
          <w:highlight w:val="none"/>
          <w:lang w:val="en-US" w:eastAsia="zh-CN"/>
        </w:rPr>
        <w:t>8</w:t>
      </w:r>
      <w:r>
        <w:rPr>
          <w:rFonts w:asciiTheme="minorEastAsia" w:hAnsiTheme="minorEastAsia" w:eastAsiaTheme="minorEastAsia"/>
          <w:bCs/>
          <w:color w:val="auto"/>
          <w:szCs w:val="22"/>
          <w:highlight w:val="none"/>
        </w:rPr>
        <w:fldChar w:fldCharType="end"/>
      </w:r>
    </w:p>
    <w:p w14:paraId="285C9B68">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_Toc3760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第四章 供应商信用信息</w:t>
      </w:r>
      <w:r>
        <w:rPr>
          <w:color w:val="auto"/>
          <w:highlight w:val="none"/>
        </w:rPr>
        <w:tab/>
      </w:r>
      <w:r>
        <w:rPr>
          <w:rFonts w:hint="eastAsia"/>
          <w:color w:val="auto"/>
          <w:highlight w:val="none"/>
          <w:lang w:val="en-US" w:eastAsia="zh-CN"/>
        </w:rPr>
        <w:t xml:space="preserve">9 </w:t>
      </w:r>
      <w:r>
        <w:rPr>
          <w:rFonts w:asciiTheme="minorEastAsia" w:hAnsiTheme="minorEastAsia" w:eastAsiaTheme="minorEastAsia"/>
          <w:bCs/>
          <w:color w:val="auto"/>
          <w:szCs w:val="22"/>
          <w:highlight w:val="none"/>
        </w:rPr>
        <w:fldChar w:fldCharType="end"/>
      </w:r>
    </w:p>
    <w:p w14:paraId="06DBFE04">
      <w:pPr>
        <w:pStyle w:val="18"/>
        <w:tabs>
          <w:tab w:val="right" w:leader="dot" w:pos="8306"/>
        </w:tabs>
        <w:rPr>
          <w:rFonts w:hint="eastAsia" w:eastAsiaTheme="minorEastAsia"/>
          <w:color w:val="auto"/>
          <w:highlight w:val="none"/>
          <w:lang w:val="en-US" w:eastAsia="zh-CN"/>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_Toc16487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第五章  资格审查方法和标准</w:t>
      </w:r>
      <w:r>
        <w:rPr>
          <w:color w:val="auto"/>
          <w:highlight w:val="none"/>
        </w:rPr>
        <w:tab/>
      </w:r>
      <w:r>
        <w:rPr>
          <w:rFonts w:hint="eastAsia"/>
          <w:color w:val="auto"/>
          <w:highlight w:val="none"/>
          <w:lang w:val="en-US" w:eastAsia="zh-CN"/>
        </w:rPr>
        <w:t>1</w:t>
      </w:r>
      <w:r>
        <w:rPr>
          <w:rFonts w:asciiTheme="minorEastAsia" w:hAnsiTheme="minorEastAsia" w:eastAsiaTheme="minorEastAsia"/>
          <w:bCs/>
          <w:color w:val="auto"/>
          <w:szCs w:val="22"/>
          <w:highlight w:val="none"/>
        </w:rPr>
        <w:fldChar w:fldCharType="end"/>
      </w:r>
      <w:r>
        <w:rPr>
          <w:rFonts w:hint="eastAsia" w:asciiTheme="minorEastAsia" w:hAnsiTheme="minorEastAsia"/>
          <w:bCs/>
          <w:color w:val="auto"/>
          <w:szCs w:val="22"/>
          <w:highlight w:val="none"/>
          <w:lang w:val="en-US" w:eastAsia="zh-CN"/>
        </w:rPr>
        <w:t>0</w:t>
      </w:r>
    </w:p>
    <w:p w14:paraId="7284DD8C">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_Toc3625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 xml:space="preserve">第六章  </w:t>
      </w:r>
      <w:r>
        <w:rPr>
          <w:rFonts w:hint="eastAsia" w:asciiTheme="minorEastAsia" w:hAnsiTheme="minorEastAsia" w:eastAsiaTheme="minorEastAsia"/>
          <w:color w:val="auto"/>
          <w:highlight w:val="none"/>
          <w:lang w:eastAsia="zh-CN"/>
        </w:rPr>
        <w:t>采购合同文本</w:t>
      </w:r>
      <w:r>
        <w:rPr>
          <w:color w:val="auto"/>
          <w:highlight w:val="none"/>
        </w:rPr>
        <w:tab/>
      </w:r>
      <w:r>
        <w:rPr>
          <w:rFonts w:hint="eastAsia"/>
          <w:color w:val="auto"/>
          <w:highlight w:val="none"/>
          <w:lang w:val="en-US" w:eastAsia="zh-CN"/>
        </w:rPr>
        <w:t xml:space="preserve">12 </w:t>
      </w:r>
      <w:r>
        <w:rPr>
          <w:rFonts w:asciiTheme="minorEastAsia" w:hAnsiTheme="minorEastAsia" w:eastAsiaTheme="minorEastAsia"/>
          <w:bCs/>
          <w:color w:val="auto"/>
          <w:szCs w:val="22"/>
          <w:highlight w:val="none"/>
        </w:rPr>
        <w:fldChar w:fldCharType="end"/>
      </w:r>
    </w:p>
    <w:p w14:paraId="1CCBA93D">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_Toc12832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val="en-US" w:eastAsia="zh-CN"/>
        </w:rPr>
        <w:t>七</w:t>
      </w:r>
      <w:r>
        <w:rPr>
          <w:rFonts w:hint="eastAsia" w:asciiTheme="minorEastAsia" w:hAnsiTheme="minorEastAsia" w:eastAsiaTheme="minorEastAsia"/>
          <w:color w:val="auto"/>
          <w:highlight w:val="none"/>
        </w:rPr>
        <w:t xml:space="preserve">章  </w:t>
      </w:r>
      <w:r>
        <w:rPr>
          <w:rFonts w:hint="eastAsia" w:asciiTheme="minorEastAsia" w:hAnsiTheme="minorEastAsia" w:eastAsiaTheme="minorEastAsia"/>
          <w:color w:val="auto"/>
          <w:highlight w:val="none"/>
          <w:lang w:val="en-US" w:eastAsia="zh-CN"/>
        </w:rPr>
        <w:t>对申请文件的要求</w:t>
      </w:r>
      <w:r>
        <w:rPr>
          <w:color w:val="auto"/>
          <w:highlight w:val="none"/>
        </w:rPr>
        <w:tab/>
      </w:r>
      <w:r>
        <w:rPr>
          <w:rFonts w:hint="eastAsia"/>
          <w:color w:val="auto"/>
          <w:highlight w:val="none"/>
          <w:lang w:val="en-US" w:eastAsia="zh-CN"/>
        </w:rPr>
        <w:t xml:space="preserve">16 </w:t>
      </w:r>
      <w:r>
        <w:rPr>
          <w:rFonts w:asciiTheme="minorEastAsia" w:hAnsiTheme="minorEastAsia" w:eastAsiaTheme="minorEastAsia"/>
          <w:bCs/>
          <w:color w:val="auto"/>
          <w:szCs w:val="22"/>
          <w:highlight w:val="none"/>
        </w:rPr>
        <w:fldChar w:fldCharType="end"/>
      </w:r>
    </w:p>
    <w:p w14:paraId="0F88B35A">
      <w:pPr>
        <w:pStyle w:val="18"/>
        <w:tabs>
          <w:tab w:val="right" w:leader="dot" w:pos="8306"/>
        </w:tabs>
        <w:rPr>
          <w:color w:val="auto"/>
          <w:highlight w:val="none"/>
        </w:rPr>
      </w:pPr>
    </w:p>
    <w:p w14:paraId="4ED40B12">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2"/>
          <w:highlight w:val="none"/>
        </w:rPr>
        <w:fldChar w:fldCharType="end"/>
      </w:r>
    </w:p>
    <w:p w14:paraId="188AEA18">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B2C6F76">
      <w:pPr>
        <w:spacing w:line="360" w:lineRule="auto"/>
        <w:jc w:val="center"/>
        <w:outlineLvl w:val="0"/>
        <w:rPr>
          <w:rFonts w:asciiTheme="minorEastAsia" w:hAnsiTheme="minorEastAsia" w:eastAsiaTheme="minorEastAsia"/>
          <w:b/>
          <w:color w:val="auto"/>
          <w:sz w:val="28"/>
          <w:highlight w:val="none"/>
        </w:rPr>
      </w:pPr>
      <w:bookmarkStart w:id="1" w:name="_Toc13625"/>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一</w:t>
      </w:r>
      <w:r>
        <w:rPr>
          <w:rFonts w:hint="eastAsia" w:asciiTheme="minorEastAsia" w:hAnsiTheme="minorEastAsia" w:eastAsiaTheme="minorEastAsia"/>
          <w:b/>
          <w:color w:val="auto"/>
          <w:sz w:val="28"/>
          <w:highlight w:val="none"/>
        </w:rPr>
        <w:t>章  采购需求</w:t>
      </w:r>
      <w:bookmarkEnd w:id="1"/>
    </w:p>
    <w:p w14:paraId="3636564C">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hAnsi="宋体" w:eastAsia="宋体" w:cs="宋体"/>
          <w:b/>
          <w:color w:val="auto"/>
          <w:sz w:val="24"/>
          <w:szCs w:val="24"/>
          <w:highlight w:val="none"/>
          <w:lang w:val="en-US" w:eastAsia="zh-CN"/>
        </w:rPr>
      </w:pPr>
      <w:bookmarkStart w:id="2" w:name="_Hlk16461016"/>
      <w:bookmarkStart w:id="3" w:name="_Hlk23621890"/>
      <w:r>
        <w:rPr>
          <w:rFonts w:hint="eastAsia" w:ascii="宋体" w:hAnsi="宋体" w:eastAsia="宋体" w:cs="宋体"/>
          <w:b/>
          <w:color w:val="auto"/>
          <w:sz w:val="24"/>
          <w:szCs w:val="24"/>
          <w:highlight w:val="none"/>
          <w:lang w:val="en-US" w:eastAsia="zh-CN"/>
        </w:rPr>
        <w:t>一、采购需求前附表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591"/>
        <w:gridCol w:w="4925"/>
      </w:tblGrid>
      <w:tr w14:paraId="1F2A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90" w:type="pct"/>
            <w:vAlign w:val="center"/>
          </w:tcPr>
          <w:p w14:paraId="1B50822E">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序号</w:t>
            </w:r>
          </w:p>
        </w:tc>
        <w:tc>
          <w:tcPr>
            <w:tcW w:w="1520" w:type="pct"/>
            <w:vAlign w:val="center"/>
          </w:tcPr>
          <w:p w14:paraId="41A84FEC">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条款名称</w:t>
            </w:r>
          </w:p>
        </w:tc>
        <w:tc>
          <w:tcPr>
            <w:tcW w:w="2889" w:type="pct"/>
            <w:vAlign w:val="center"/>
          </w:tcPr>
          <w:p w14:paraId="08FA8A0D">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内容、说明与要求</w:t>
            </w:r>
          </w:p>
        </w:tc>
      </w:tr>
      <w:tr w14:paraId="03BC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D78629A">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p>
        </w:tc>
        <w:tc>
          <w:tcPr>
            <w:tcW w:w="1520" w:type="pct"/>
            <w:vAlign w:val="center"/>
          </w:tcPr>
          <w:p w14:paraId="645DA01A">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框架协议期限</w:t>
            </w:r>
          </w:p>
        </w:tc>
        <w:tc>
          <w:tcPr>
            <w:tcW w:w="2889" w:type="pct"/>
            <w:vAlign w:val="center"/>
          </w:tcPr>
          <w:p w14:paraId="26EBA65A">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2025年2月6日至2026年12月31日</w:t>
            </w:r>
          </w:p>
        </w:tc>
      </w:tr>
      <w:tr w14:paraId="5CBF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C35C952">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p>
        </w:tc>
        <w:tc>
          <w:tcPr>
            <w:tcW w:w="1520" w:type="pct"/>
            <w:vAlign w:val="center"/>
          </w:tcPr>
          <w:p w14:paraId="0DFA755D">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资金支付方式、时间和条件</w:t>
            </w:r>
          </w:p>
        </w:tc>
        <w:tc>
          <w:tcPr>
            <w:tcW w:w="2889" w:type="pct"/>
            <w:vAlign w:val="center"/>
          </w:tcPr>
          <w:p w14:paraId="03335E9B">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在签订合同时根据采购人实际需求确定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按合同约定执行</w:t>
            </w:r>
          </w:p>
        </w:tc>
      </w:tr>
      <w:tr w14:paraId="67AC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1787B2F">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p>
        </w:tc>
        <w:tc>
          <w:tcPr>
            <w:tcW w:w="1520" w:type="pct"/>
            <w:vAlign w:val="center"/>
          </w:tcPr>
          <w:p w14:paraId="1B7AD7DC">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合同服务地点</w:t>
            </w:r>
          </w:p>
        </w:tc>
        <w:tc>
          <w:tcPr>
            <w:tcW w:w="2889" w:type="pct"/>
            <w:vAlign w:val="center"/>
          </w:tcPr>
          <w:p w14:paraId="2BF2EACC">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天长市范围内</w:t>
            </w:r>
          </w:p>
        </w:tc>
      </w:tr>
      <w:tr w14:paraId="0C0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25F20FC">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w:t>
            </w:r>
          </w:p>
        </w:tc>
        <w:tc>
          <w:tcPr>
            <w:tcW w:w="1520" w:type="pct"/>
            <w:vAlign w:val="center"/>
          </w:tcPr>
          <w:p w14:paraId="01A12FD9">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合同服务期限</w:t>
            </w:r>
          </w:p>
        </w:tc>
        <w:tc>
          <w:tcPr>
            <w:tcW w:w="2889" w:type="pct"/>
            <w:vAlign w:val="center"/>
          </w:tcPr>
          <w:p w14:paraId="7F445B2B">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自合同签订后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入围公告</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至履约完成之日止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自动退出视为履约完成</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tc>
      </w:tr>
      <w:tr w14:paraId="5C87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6539702">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w:t>
            </w:r>
          </w:p>
          <w:p w14:paraId="7C7351E3">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p>
        </w:tc>
        <w:tc>
          <w:tcPr>
            <w:tcW w:w="1520" w:type="pct"/>
            <w:vAlign w:val="center"/>
          </w:tcPr>
          <w:p w14:paraId="6B766B45">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适用框架协议的采购人范围</w:t>
            </w:r>
          </w:p>
        </w:tc>
        <w:tc>
          <w:tcPr>
            <w:tcW w:w="2889" w:type="pct"/>
            <w:vAlign w:val="center"/>
          </w:tcPr>
          <w:p w14:paraId="67FD6376">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本项目采购人是指</w:t>
            </w:r>
            <w:r>
              <w:rPr>
                <w:rFonts w:hint="eastAsia" w:ascii="宋体" w:hAnsi="宋体" w:eastAsia="宋体" w:cs="宋体"/>
                <w:b w:val="0"/>
                <w:bCs w:val="0"/>
                <w:color w:val="auto"/>
                <w:sz w:val="24"/>
                <w:szCs w:val="24"/>
                <w:highlight w:val="none"/>
                <w:lang w:val="en-US" w:eastAsia="zh-CN"/>
              </w:rPr>
              <w:t>天长市市直各单位、各镇街、金牛湖新区、滁州高新区以及下属事业单位</w:t>
            </w:r>
            <w:r>
              <w:rPr>
                <w:rFonts w:hint="eastAsia" w:ascii="宋体" w:hAnsi="宋体" w:eastAsia="宋体" w:cs="宋体"/>
                <w:b w:val="0"/>
                <w:bCs w:val="0"/>
                <w:color w:val="auto"/>
                <w:sz w:val="24"/>
                <w:szCs w:val="24"/>
                <w:highlight w:val="none"/>
              </w:rPr>
              <w:t>。</w:t>
            </w:r>
          </w:p>
        </w:tc>
      </w:tr>
      <w:tr w14:paraId="32F4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B8370C3">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6</w:t>
            </w:r>
          </w:p>
        </w:tc>
        <w:tc>
          <w:tcPr>
            <w:tcW w:w="1520" w:type="pct"/>
            <w:vAlign w:val="center"/>
          </w:tcPr>
          <w:p w14:paraId="0CB9E8B9">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服务特别要求</w:t>
            </w:r>
          </w:p>
        </w:tc>
        <w:tc>
          <w:tcPr>
            <w:tcW w:w="2889" w:type="pct"/>
            <w:vAlign w:val="center"/>
          </w:tcPr>
          <w:p w14:paraId="5BC1A3B1">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严格按照新能源汽车定点分时租赁有关规定租赁车辆，各单位负责指导监督下级单位和部门使用租赁车辆工作。各单位应与定点租赁服务公司签订车辆租赁服务协议，租赁车辆须通过天长市政府相关部门签发审批表的形式从定点租赁服务公司提供的租赁车辆中选取。未从定点租赁服务公司租赁车辆的，或未取得审批表从定点租赁服务公司租赁车辆的，不予支付车辆租赁费用。</w:t>
            </w:r>
          </w:p>
        </w:tc>
      </w:tr>
      <w:tr w14:paraId="13C9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EEA7917">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7</w:t>
            </w:r>
          </w:p>
        </w:tc>
        <w:tc>
          <w:tcPr>
            <w:tcW w:w="1520" w:type="pct"/>
            <w:vAlign w:val="center"/>
          </w:tcPr>
          <w:p w14:paraId="4D027168">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代理费用</w:t>
            </w:r>
          </w:p>
        </w:tc>
        <w:tc>
          <w:tcPr>
            <w:tcW w:w="2889" w:type="pct"/>
            <w:vAlign w:val="center"/>
          </w:tcPr>
          <w:p w14:paraId="50615FB4">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的采购代理服务费经和征集人达成协议，采购代理服务费按前四名入围供应商5000.00元收取，之后入围供应商按1000元收取，由成交供应商在领取入围通知书前一次性支付给代理机构，并包含在响应报价的单价、合价与总价中，不单独报价，响应供应商报价时应考虑此项费用.</w:t>
            </w:r>
          </w:p>
        </w:tc>
      </w:tr>
      <w:tr w14:paraId="0596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439368E">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8</w:t>
            </w:r>
          </w:p>
        </w:tc>
        <w:tc>
          <w:tcPr>
            <w:tcW w:w="1520" w:type="pct"/>
            <w:vAlign w:val="center"/>
          </w:tcPr>
          <w:p w14:paraId="57D1BA07">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入围价格</w:t>
            </w:r>
          </w:p>
        </w:tc>
        <w:tc>
          <w:tcPr>
            <w:tcW w:w="2889" w:type="pct"/>
            <w:vAlign w:val="center"/>
          </w:tcPr>
          <w:p w14:paraId="3B703E5A">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本次采购租赁优惠折扣原则上不高于99%；</w:t>
            </w:r>
          </w:p>
        </w:tc>
      </w:tr>
    </w:tbl>
    <w:p w14:paraId="1DC9B9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二、征集人提出的服务需求</w:t>
      </w:r>
    </w:p>
    <w:p w14:paraId="2FB50E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（一）项目概况</w:t>
      </w:r>
    </w:p>
    <w:p w14:paraId="746322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根据《安徽省党政机关公务用车管理实施办法》、《政府采购框架协议采购方式管理暂行办法》有关规定，现采用开放式框架协议对天长市基层公务出行新能源汽车定点分时租赁服务进行采购。</w:t>
      </w:r>
    </w:p>
    <w:p w14:paraId="5DF7387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1、本项目为天长市基层公务出行新能源汽车定点分时租赁服务框架协议采购，推广租赁新能源汽车，保障公务出行。</w:t>
      </w:r>
    </w:p>
    <w:p w14:paraId="5C78A5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2、合同服务期限：服务期2年，合同一年一签，成交供应商按合同约定的时间和期限提供服务。期满经考核合格的方能签订后续合同，考核未达到合格标准的，采购人有权终止合同。 </w:t>
      </w:r>
    </w:p>
    <w:p w14:paraId="40155C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3、采购服务范围：</w:t>
      </w:r>
      <w:r>
        <w:rPr>
          <w:rFonts w:hint="eastAsia" w:ascii="宋体" w:hAnsi="宋体" w:eastAsia="宋体" w:cs="宋体"/>
          <w:b w:val="0"/>
          <w:bCs w:val="0"/>
          <w:color w:val="auto"/>
          <w:sz w:val="24"/>
          <w:szCs w:val="24"/>
          <w:highlight w:val="none"/>
          <w:lang w:val="en-US" w:eastAsia="zh-CN"/>
        </w:rPr>
        <w:t>天长市市直各单位、各镇街、金牛湖新区滁州高新区以及下属事业单位</w:t>
      </w:r>
      <w:r>
        <w:rPr>
          <w:rFonts w:hint="eastAsia" w:ascii="宋体" w:hAnsi="宋体" w:eastAsia="宋体" w:cs="宋体"/>
          <w:b w:val="0"/>
          <w:bCs w:val="0"/>
          <w:color w:val="auto"/>
          <w:sz w:val="24"/>
          <w:szCs w:val="24"/>
          <w:highlight w:val="none"/>
        </w:rPr>
        <w:t>。</w:t>
      </w:r>
    </w:p>
    <w:p w14:paraId="214EB9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（二）服务内容及要求</w:t>
      </w:r>
    </w:p>
    <w:p w14:paraId="12C2A1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1、供应商应严格遵守国家法律、法规和相关行业规定，诚实守信、合法经营，杜绝不当竞争行为，自觉维护采购人的利益，确保服务质量。 </w:t>
      </w:r>
    </w:p>
    <w:p w14:paraId="37716C9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2、供应商提供充电桩并安装，充电桩应符合相关国家标准，购买及建设费用由供应商负责，一车一桩，含10米内充电桩供电线缆，超出10米的由采购人负责，充电桩安装地点由采购人确定。 </w:t>
      </w:r>
    </w:p>
    <w:p w14:paraId="1C200C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3、供应商负责充电桩的运行、维护及安全管理，服务内容包含平台操作培训、充电桩常规使用操作、安全知识、驾驶员安全教育。 </w:t>
      </w:r>
    </w:p>
    <w:p w14:paraId="157778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4、供应商负责车辆的维护和保养，设置24小时救援值班电话，建立救援登记制度。车辆在租赁期间发生故障时，应及时协助采购人排除故障，如24小时不能排除故障的应及时提供备用车辆，确保正常的公务出行。</w:t>
      </w:r>
    </w:p>
    <w:p w14:paraId="7605F2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5、项目服务期间，入围供应商应确定1名项目负责人全程承担项目的协调及服务联系工作，项目负责人若需调整须采购人书面同意。</w:t>
      </w:r>
    </w:p>
    <w:p w14:paraId="0DF68F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（三）基本要求</w:t>
      </w:r>
    </w:p>
    <w:p w14:paraId="6931B9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供应商提供的新能源汽车为自有车辆，并在滁州上牌，服务期内车辆不得转借或外包给单位或个人，车辆各项技术性能参数应符合工信部相关标准及要求。车辆注册登记不满3年的，租赁期间车辆表显纯电实际续航里程大于300公里；车辆注册登记满3年至6年的，车辆表显纯电实际续航里程大于200公里，供应商应优先提供注册登记一年以内的车辆。</w:t>
      </w:r>
    </w:p>
    <w:p w14:paraId="43230DC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2、供应商投入本项目服务的车辆类型为7座（含）以下车型，提供车辆品牌不少于2种的车辆供采购人选择，服务期内不得随意更换车辆。</w:t>
      </w:r>
    </w:p>
    <w:p w14:paraId="56BF35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3、供应商应为提供的车辆投保以下险种：交通事故责任强制保险、机动车损失险（含全车盗抢险、玻璃单独破损险、发动机涉水险、自然损失险和相应不计免赔等）、第三者责任险（含无法找到第三方险和不计免赔），保额不低于300万元、驾驶人员及乘坐人员意外险，保额不低于20万元/人/座。服务期内车辆发生事故时供应商应协助办理索赔事宜，拟投入车辆注册登记单位、及车辆被保险人名称应与供应商名称一致。供应商入围后需提供自有车辆明细表（包含机动车所有人、车辆品牌、注册登记日期等信息） </w:t>
      </w:r>
    </w:p>
    <w:p w14:paraId="434F08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4、★根据《安徽省基层公务出行保障工作指导意见》，安徽省机关事务管理局已组织平台服务方开发全省基层公务出行保障服务平台，供应商须在采购人的协助下，与平台服务方对接，提供的所有车辆须安装符合规定的、具备数据加密的北斗卫星定位装置，车辆位置、轨迹、累计里程、车辆报警等数据能够及时、准确地接入“滁州市公务用车信息管理服务平台”，纳入“全省一张网”统一监管，接受公车主管部门监管，由此产生的费用由供应商承担。供应商需具备车辆使用信息化管理技术能力，具有车辆档案、状态查询、预约出行、用车审核、订单管理、轨迹查询等功能，确保用户单位车辆申请、调度、监管、反馈等均通过线上运行。（</w:t>
      </w:r>
      <w:r>
        <w:rPr>
          <w:rFonts w:hint="eastAsia" w:ascii="宋体" w:hAnsi="宋体" w:eastAsia="宋体" w:cs="@仿宋_GB2312"/>
          <w:b/>
          <w:bCs/>
          <w:color w:val="auto"/>
          <w:kern w:val="2"/>
          <w:sz w:val="24"/>
          <w:szCs w:val="20"/>
          <w:highlight w:val="none"/>
          <w:lang w:val="en-US" w:eastAsia="zh-CN" w:bidi="ar-SA"/>
        </w:rPr>
        <w:t>供应商提供承诺函放入响应文件中，未提供的视为未响应</w:t>
      </w:r>
      <w:r>
        <w:rPr>
          <w:rFonts w:hint="eastAsia" w:ascii="宋体" w:hAnsi="宋体" w:eastAsia="宋体" w:cs="@仿宋_GB2312"/>
          <w:b w:val="0"/>
          <w:bCs w:val="0"/>
          <w:color w:val="auto"/>
          <w:kern w:val="2"/>
          <w:sz w:val="24"/>
          <w:szCs w:val="20"/>
          <w:highlight w:val="none"/>
          <w:lang w:val="en-US" w:eastAsia="zh-CN" w:bidi="ar-SA"/>
        </w:rPr>
        <w:t>）</w:t>
      </w:r>
    </w:p>
    <w:p w14:paraId="108DC88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5、★根据《安徽省发展改革委安徽省能源局关于进一步做好全省充换电基础设施建设工作的通知》“现有和拟建运营的充换电站、充电桩和已建市级平台全部接入省级监管服务平台”的要求，供应商需将充电桩相关数据接入滁州市公务用车充电服务运营监管平台。提供充电站(桩)数量、型号、位置分布等相关数据信息，并接受相关部门的监管和按照有关规定提供服务,由此产生的费用由供应商承担。（</w:t>
      </w:r>
      <w:r>
        <w:rPr>
          <w:rFonts w:hint="eastAsia" w:ascii="宋体" w:hAnsi="宋体" w:eastAsia="宋体" w:cs="@仿宋_GB2312"/>
          <w:b/>
          <w:bCs/>
          <w:color w:val="auto"/>
          <w:kern w:val="2"/>
          <w:sz w:val="24"/>
          <w:szCs w:val="20"/>
          <w:highlight w:val="none"/>
          <w:lang w:val="en-US" w:eastAsia="zh-CN" w:bidi="ar-SA"/>
        </w:rPr>
        <w:t>供应商应提供承诺函放入响应文件中，未提供的视为未响应</w:t>
      </w:r>
      <w:r>
        <w:rPr>
          <w:rFonts w:hint="eastAsia" w:ascii="宋体" w:hAnsi="宋体" w:eastAsia="宋体" w:cs="@仿宋_GB2312"/>
          <w:b w:val="0"/>
          <w:bCs w:val="0"/>
          <w:color w:val="auto"/>
          <w:kern w:val="2"/>
          <w:sz w:val="24"/>
          <w:szCs w:val="20"/>
          <w:highlight w:val="none"/>
          <w:lang w:val="en-US" w:eastAsia="zh-CN" w:bidi="ar-SA"/>
        </w:rPr>
        <w:t>）</w:t>
      </w:r>
    </w:p>
    <w:p w14:paraId="1A1B56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（四）车辆规格和价格要求 </w:t>
      </w:r>
    </w:p>
    <w:p w14:paraId="02F353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新能源汽车租赁收费采取分时租赁方式，车辆规格及对应的日租费用见《新能源汽车日租最高限价表》：</w:t>
      </w:r>
    </w:p>
    <w:p w14:paraId="72C223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《新能源汽车日租最高限价表》</w:t>
      </w:r>
    </w:p>
    <w:tbl>
      <w:tblPr>
        <w:tblStyle w:val="26"/>
        <w:tblW w:w="9848"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167"/>
        <w:gridCol w:w="3454"/>
      </w:tblGrid>
      <w:tr w14:paraId="0509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27" w:type="dxa"/>
            <w:vAlign w:val="center"/>
          </w:tcPr>
          <w:p w14:paraId="0824AE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序号</w:t>
            </w:r>
          </w:p>
        </w:tc>
        <w:tc>
          <w:tcPr>
            <w:tcW w:w="5167" w:type="dxa"/>
            <w:vAlign w:val="center"/>
          </w:tcPr>
          <w:p w14:paraId="2AA14E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车辆规格（车辆购置价格参照厂商指导价）</w:t>
            </w:r>
          </w:p>
        </w:tc>
        <w:tc>
          <w:tcPr>
            <w:tcW w:w="3454" w:type="dxa"/>
            <w:vAlign w:val="center"/>
          </w:tcPr>
          <w:p w14:paraId="1F74E8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日租最高限价（元/日）</w:t>
            </w:r>
          </w:p>
        </w:tc>
      </w:tr>
      <w:tr w14:paraId="69EB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7" w:type="dxa"/>
            <w:vAlign w:val="center"/>
          </w:tcPr>
          <w:p w14:paraId="083EC3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w:t>
            </w:r>
          </w:p>
        </w:tc>
        <w:tc>
          <w:tcPr>
            <w:tcW w:w="5167" w:type="dxa"/>
            <w:vAlign w:val="center"/>
          </w:tcPr>
          <w:p w14:paraId="1F8046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12万元（含）-14万元（不含）</w:t>
            </w:r>
          </w:p>
        </w:tc>
        <w:tc>
          <w:tcPr>
            <w:tcW w:w="3454" w:type="dxa"/>
            <w:vAlign w:val="center"/>
          </w:tcPr>
          <w:p w14:paraId="092F14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153</w:t>
            </w:r>
          </w:p>
        </w:tc>
      </w:tr>
      <w:tr w14:paraId="1B85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27" w:type="dxa"/>
            <w:vAlign w:val="center"/>
          </w:tcPr>
          <w:p w14:paraId="56D48E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2</w:t>
            </w:r>
          </w:p>
        </w:tc>
        <w:tc>
          <w:tcPr>
            <w:tcW w:w="5167" w:type="dxa"/>
            <w:vAlign w:val="center"/>
          </w:tcPr>
          <w:p w14:paraId="14E3B8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10万元（含）-12万元（不含）</w:t>
            </w:r>
          </w:p>
        </w:tc>
        <w:tc>
          <w:tcPr>
            <w:tcW w:w="3454" w:type="dxa"/>
            <w:vAlign w:val="center"/>
          </w:tcPr>
          <w:p w14:paraId="7D82D5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134</w:t>
            </w:r>
          </w:p>
        </w:tc>
      </w:tr>
      <w:tr w14:paraId="18E6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27" w:type="dxa"/>
            <w:vAlign w:val="center"/>
          </w:tcPr>
          <w:p w14:paraId="79100A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3</w:t>
            </w:r>
          </w:p>
        </w:tc>
        <w:tc>
          <w:tcPr>
            <w:tcW w:w="5167" w:type="dxa"/>
            <w:vAlign w:val="center"/>
          </w:tcPr>
          <w:p w14:paraId="1A1513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8万元（含）-10万元（不含）</w:t>
            </w:r>
          </w:p>
        </w:tc>
        <w:tc>
          <w:tcPr>
            <w:tcW w:w="3454" w:type="dxa"/>
            <w:vAlign w:val="center"/>
          </w:tcPr>
          <w:p w14:paraId="01626C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115</w:t>
            </w:r>
          </w:p>
        </w:tc>
      </w:tr>
      <w:tr w14:paraId="49B8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7" w:type="dxa"/>
            <w:vAlign w:val="center"/>
          </w:tcPr>
          <w:p w14:paraId="7D7A84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4</w:t>
            </w:r>
          </w:p>
        </w:tc>
        <w:tc>
          <w:tcPr>
            <w:tcW w:w="5167" w:type="dxa"/>
            <w:vAlign w:val="center"/>
          </w:tcPr>
          <w:p w14:paraId="17A435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6万元（含）-8万元（不含）</w:t>
            </w:r>
          </w:p>
        </w:tc>
        <w:tc>
          <w:tcPr>
            <w:tcW w:w="3454" w:type="dxa"/>
            <w:vAlign w:val="center"/>
          </w:tcPr>
          <w:p w14:paraId="2F6075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94</w:t>
            </w:r>
          </w:p>
        </w:tc>
      </w:tr>
      <w:tr w14:paraId="6C56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848" w:type="dxa"/>
            <w:gridSpan w:val="3"/>
          </w:tcPr>
          <w:p w14:paraId="4AC065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注： </w:t>
            </w:r>
          </w:p>
          <w:p w14:paraId="4A24DD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1）1.车辆至少五座，按现缴后租估算日租金。 </w:t>
            </w:r>
          </w:p>
          <w:p w14:paraId="5DFC33BB">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上述日租金，是含增值税（按照一般纳税人简易计税方法的3%征收率计算）及附加、安全经费及水利基金、资产性投资财务费用和加成利润（包括管理费用）等在内的最高日租金。</w:t>
            </w:r>
          </w:p>
          <w:p w14:paraId="75CCDDF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上述日租金，系最高日租金，计收租金时应乘以相应年份系数，即：车辆租金费用=日租金*年份系数*优惠率*实际租用天数。</w:t>
            </w:r>
          </w:p>
          <w:p w14:paraId="7EC88683">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年份系数按行驶证日期计算，第1年内(内含本年，下同)为1、1年上至2年内为0.94、2年上至3年内为0.88、3年上至第4年内为0.82、4年上至第5年内为0.76、5年上至第6年内为0.7、6年上至第7年内为0.64。</w:t>
            </w:r>
          </w:p>
          <w:p w14:paraId="2B78134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上述日租金，不包括充电费用、过路过桥费、洗车费、停车费、标识喷涂费等，由采购人承担；但包括应急救援（包括值班人员、值班电话和救援及备用车辆）、智能充电桩及公车平台费用（包括传输终端设备、平台运行服务费用）、车辆日常维修及年审、保险（包括交强险及车船税[目前免购置税、车船税]、车损险[含盗抢险、玻璃破损险、发动机涉水险、自燃损失险和相应不计免赔]、保额不低于300万第三者责任险、保额不低于20误按元/人驾乘险）、保养、相关易损零部件更换（含轮胎、雨刮器、刹车片）等费用，由供应商承担。</w:t>
            </w:r>
          </w:p>
        </w:tc>
      </w:tr>
    </w:tbl>
    <w:p w14:paraId="254CA8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（五）监管要求 </w:t>
      </w:r>
    </w:p>
    <w:p w14:paraId="0EDA30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征集人对入围供应商响应报价、服务承诺、履约服务等服务进行日常考核和监督管理。对成交供应商服务期内提供的履约服务，采购人如提出针对租赁服务的投诉，征集人可针对问题进行核查并要求成交供应商提供合格的履约服务或赔偿损失。 </w:t>
      </w:r>
    </w:p>
    <w:p w14:paraId="484D96E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二、考核要求及标准 </w:t>
      </w:r>
    </w:p>
    <w:p w14:paraId="70270F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1、征集人组织考核工作，考核对象为成交供应商，考核时间为合同续签日期前1个月内。 </w:t>
      </w:r>
    </w:p>
    <w:p w14:paraId="3071A5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2、考核内容主要从管理制度、运维服务、服务承诺、信息化服务四个方面进行，考核细则详见附件，相关考核指标及分值可根据实际租赁情况适当调整。 </w:t>
      </w:r>
    </w:p>
    <w:p w14:paraId="31D7CA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3、考核评定采用评分法，满分100分。根据表中各项评分标准依次减分，以各租赁公司提供的相关台账和各采购人的年度投诉情况为评分依据，形成考核得分。 </w:t>
      </w:r>
    </w:p>
    <w:p w14:paraId="1DB7C51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4、成交供应商违反合同约定，经调查属实，视情给予书面警告、限期整改等处罚。成交供应商存在擅自提供非公司车辆用于租赁、超过合同规定价格收费、提供虚假发票、保险单、得分低于70分等情况，取消车辆租赁服务资格。 </w:t>
      </w:r>
    </w:p>
    <w:p w14:paraId="69E323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5、成交供应商对考核结果有异议，可在3日内提出书面申诉，征集人据实给出复核结果。 </w:t>
      </w:r>
    </w:p>
    <w:p w14:paraId="0C4837F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6、征集人有权在媒体上公布对成交供应商考核、监督检查及履行合同的情况。</w:t>
      </w:r>
    </w:p>
    <w:p w14:paraId="372B2ACF">
      <w:pPr>
        <w:pStyle w:val="24"/>
        <w:rPr>
          <w:rFonts w:hint="eastAsia" w:ascii="宋体" w:hAnsi="宋体" w:eastAsia="宋体" w:cs="@仿宋_GB2312"/>
          <w:b w:val="0"/>
          <w:bCs w:val="0"/>
          <w:color w:val="auto"/>
          <w:kern w:val="2"/>
          <w:sz w:val="24"/>
          <w:szCs w:val="20"/>
          <w:highlight w:val="none"/>
          <w:lang w:val="en-US" w:eastAsia="zh-CN" w:bidi="ar-SA"/>
        </w:rPr>
      </w:pPr>
    </w:p>
    <w:p w14:paraId="4880C679">
      <w:pPr>
        <w:pStyle w:val="19"/>
        <w:rPr>
          <w:rFonts w:hint="eastAsia" w:ascii="宋体" w:hAnsi="宋体" w:eastAsia="宋体" w:cs="@仿宋_GB2312"/>
          <w:b w:val="0"/>
          <w:bCs w:val="0"/>
          <w:color w:val="auto"/>
          <w:kern w:val="2"/>
          <w:sz w:val="24"/>
          <w:szCs w:val="20"/>
          <w:highlight w:val="none"/>
          <w:lang w:val="en-US" w:eastAsia="zh-CN" w:bidi="ar-SA"/>
        </w:rPr>
      </w:pPr>
    </w:p>
    <w:p w14:paraId="5E620875">
      <w:pPr>
        <w:rPr>
          <w:rFonts w:hint="eastAsia" w:ascii="宋体" w:hAnsi="宋体" w:eastAsia="宋体" w:cs="@仿宋_GB2312"/>
          <w:b w:val="0"/>
          <w:bCs w:val="0"/>
          <w:color w:val="auto"/>
          <w:kern w:val="2"/>
          <w:sz w:val="24"/>
          <w:szCs w:val="20"/>
          <w:highlight w:val="none"/>
          <w:lang w:val="en-US" w:eastAsia="zh-CN" w:bidi="ar-SA"/>
        </w:rPr>
      </w:pPr>
    </w:p>
    <w:p w14:paraId="6C21D006">
      <w:pPr>
        <w:pStyle w:val="24"/>
        <w:rPr>
          <w:rFonts w:hint="eastAsia" w:ascii="宋体" w:hAnsi="宋体" w:eastAsia="宋体" w:cs="@仿宋_GB2312"/>
          <w:b w:val="0"/>
          <w:bCs w:val="0"/>
          <w:color w:val="auto"/>
          <w:kern w:val="2"/>
          <w:sz w:val="24"/>
          <w:szCs w:val="20"/>
          <w:highlight w:val="none"/>
          <w:lang w:val="en-US" w:eastAsia="zh-CN" w:bidi="ar-SA"/>
        </w:rPr>
      </w:pPr>
    </w:p>
    <w:p w14:paraId="614D6943">
      <w:pPr>
        <w:pStyle w:val="19"/>
        <w:rPr>
          <w:rFonts w:hint="eastAsia" w:ascii="宋体" w:hAnsi="宋体" w:eastAsia="宋体" w:cs="@仿宋_GB2312"/>
          <w:b w:val="0"/>
          <w:bCs w:val="0"/>
          <w:color w:val="auto"/>
          <w:kern w:val="2"/>
          <w:sz w:val="24"/>
          <w:szCs w:val="20"/>
          <w:highlight w:val="none"/>
          <w:lang w:val="en-US" w:eastAsia="zh-CN" w:bidi="ar-SA"/>
        </w:rPr>
      </w:pPr>
    </w:p>
    <w:p w14:paraId="48228D46">
      <w:pPr>
        <w:rPr>
          <w:rFonts w:hint="eastAsia" w:ascii="宋体" w:hAnsi="宋体" w:eastAsia="宋体" w:cs="@仿宋_GB2312"/>
          <w:b w:val="0"/>
          <w:bCs w:val="0"/>
          <w:color w:val="auto"/>
          <w:kern w:val="2"/>
          <w:sz w:val="24"/>
          <w:szCs w:val="20"/>
          <w:highlight w:val="none"/>
          <w:lang w:val="en-US" w:eastAsia="zh-CN" w:bidi="ar-SA"/>
        </w:rPr>
      </w:pPr>
    </w:p>
    <w:p w14:paraId="73A5AC81">
      <w:pPr>
        <w:pStyle w:val="24"/>
        <w:rPr>
          <w:rFonts w:hint="eastAsia" w:ascii="宋体" w:hAnsi="宋体" w:eastAsia="宋体" w:cs="@仿宋_GB2312"/>
          <w:b w:val="0"/>
          <w:bCs w:val="0"/>
          <w:color w:val="auto"/>
          <w:kern w:val="2"/>
          <w:sz w:val="24"/>
          <w:szCs w:val="20"/>
          <w:highlight w:val="none"/>
          <w:lang w:val="en-US" w:eastAsia="zh-CN" w:bidi="ar-SA"/>
        </w:rPr>
      </w:pPr>
    </w:p>
    <w:p w14:paraId="33460E74">
      <w:pPr>
        <w:pStyle w:val="19"/>
        <w:rPr>
          <w:rFonts w:hint="eastAsia" w:ascii="宋体" w:hAnsi="宋体" w:eastAsia="宋体" w:cs="@仿宋_GB2312"/>
          <w:b w:val="0"/>
          <w:bCs w:val="0"/>
          <w:color w:val="auto"/>
          <w:kern w:val="2"/>
          <w:sz w:val="24"/>
          <w:szCs w:val="20"/>
          <w:highlight w:val="none"/>
          <w:lang w:val="en-US" w:eastAsia="zh-CN" w:bidi="ar-SA"/>
        </w:rPr>
      </w:pPr>
    </w:p>
    <w:p w14:paraId="5E91631D">
      <w:pPr>
        <w:rPr>
          <w:rFonts w:hint="eastAsia" w:ascii="宋体" w:hAnsi="宋体" w:eastAsia="宋体" w:cs="@仿宋_GB2312"/>
          <w:b w:val="0"/>
          <w:bCs w:val="0"/>
          <w:color w:val="auto"/>
          <w:kern w:val="2"/>
          <w:sz w:val="24"/>
          <w:szCs w:val="20"/>
          <w:highlight w:val="none"/>
          <w:lang w:val="en-US" w:eastAsia="zh-CN" w:bidi="ar-SA"/>
        </w:rPr>
      </w:pPr>
    </w:p>
    <w:p w14:paraId="0EE6C5FD">
      <w:pPr>
        <w:rPr>
          <w:rFonts w:hint="eastAsia" w:ascii="宋体" w:hAnsi="宋体" w:eastAsia="宋体" w:cs="@仿宋_GB2312"/>
          <w:b w:val="0"/>
          <w:bCs w:val="0"/>
          <w:color w:val="auto"/>
          <w:kern w:val="2"/>
          <w:sz w:val="24"/>
          <w:szCs w:val="20"/>
          <w:highlight w:val="none"/>
          <w:lang w:val="en-US" w:eastAsia="zh-CN" w:bidi="ar-SA"/>
        </w:rPr>
      </w:pPr>
    </w:p>
    <w:p w14:paraId="28CF6E34">
      <w:pPr>
        <w:pStyle w:val="24"/>
        <w:rPr>
          <w:rFonts w:hint="eastAsia" w:ascii="宋体" w:hAnsi="宋体" w:eastAsia="宋体" w:cs="@仿宋_GB2312"/>
          <w:b w:val="0"/>
          <w:bCs w:val="0"/>
          <w:color w:val="auto"/>
          <w:kern w:val="2"/>
          <w:sz w:val="24"/>
          <w:szCs w:val="20"/>
          <w:highlight w:val="none"/>
          <w:lang w:val="en-US" w:eastAsia="zh-CN" w:bidi="ar-SA"/>
        </w:rPr>
      </w:pPr>
    </w:p>
    <w:p w14:paraId="1595BDD3">
      <w:pPr>
        <w:spacing w:before="68" w:line="221" w:lineRule="auto"/>
        <w:ind w:left="2012"/>
        <w:rPr>
          <w:rFonts w:ascii="宋体" w:hAnsi="宋体" w:eastAsia="宋体" w:cs="宋体"/>
          <w:sz w:val="21"/>
          <w:szCs w:val="21"/>
        </w:rPr>
      </w:pPr>
      <w:r>
        <w:rPr>
          <w:rFonts w:hint="eastAsia" w:ascii="宋体" w:hAnsi="宋体" w:eastAsia="宋体" w:cs="宋体"/>
          <w:spacing w:val="-1"/>
          <w:sz w:val="21"/>
          <w:szCs w:val="21"/>
          <w:lang w:val="en-US" w:eastAsia="zh-CN"/>
        </w:rPr>
        <w:t>天长</w:t>
      </w:r>
      <w:r>
        <w:rPr>
          <w:rFonts w:ascii="宋体" w:hAnsi="宋体" w:eastAsia="宋体" w:cs="宋体"/>
          <w:spacing w:val="-1"/>
          <w:sz w:val="21"/>
          <w:szCs w:val="21"/>
        </w:rPr>
        <w:t>市基层公务出行新能源汽车租赁考核评分标准</w:t>
      </w:r>
    </w:p>
    <w:p w14:paraId="7CABF1C6">
      <w:pPr>
        <w:spacing w:line="127" w:lineRule="exact"/>
      </w:pPr>
    </w:p>
    <w:tbl>
      <w:tblPr>
        <w:tblStyle w:val="66"/>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749"/>
        <w:gridCol w:w="6554"/>
        <w:gridCol w:w="767"/>
      </w:tblGrid>
      <w:tr w14:paraId="727E4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74" w:type="dxa"/>
            <w:vAlign w:val="top"/>
          </w:tcPr>
          <w:p w14:paraId="16349454">
            <w:pPr>
              <w:spacing w:line="264" w:lineRule="auto"/>
              <w:rPr>
                <w:rFonts w:ascii="Arial"/>
                <w:sz w:val="21"/>
              </w:rPr>
            </w:pPr>
          </w:p>
          <w:p w14:paraId="1C3E28D4">
            <w:pPr>
              <w:pStyle w:val="67"/>
              <w:spacing w:before="59" w:line="220" w:lineRule="auto"/>
              <w:ind w:left="220"/>
            </w:pPr>
            <w:r>
              <w:rPr>
                <w:spacing w:val="-2"/>
              </w:rPr>
              <w:t>考核项</w:t>
            </w:r>
          </w:p>
        </w:tc>
        <w:tc>
          <w:tcPr>
            <w:tcW w:w="749" w:type="dxa"/>
            <w:vAlign w:val="top"/>
          </w:tcPr>
          <w:p w14:paraId="17BEF6C3">
            <w:pPr>
              <w:pStyle w:val="67"/>
              <w:spacing w:before="208" w:line="230" w:lineRule="auto"/>
              <w:ind w:left="198" w:right="194" w:hanging="2"/>
            </w:pPr>
            <w:r>
              <w:rPr>
                <w:spacing w:val="-4"/>
              </w:rPr>
              <w:t>考核</w:t>
            </w:r>
            <w:r>
              <w:t xml:space="preserve"> </w:t>
            </w:r>
            <w:r>
              <w:rPr>
                <w:spacing w:val="-5"/>
              </w:rPr>
              <w:t>分值</w:t>
            </w:r>
          </w:p>
        </w:tc>
        <w:tc>
          <w:tcPr>
            <w:tcW w:w="6554" w:type="dxa"/>
            <w:vAlign w:val="top"/>
          </w:tcPr>
          <w:p w14:paraId="7B51F1CA">
            <w:pPr>
              <w:spacing w:line="265" w:lineRule="auto"/>
              <w:rPr>
                <w:rFonts w:ascii="Arial"/>
                <w:sz w:val="21"/>
              </w:rPr>
            </w:pPr>
          </w:p>
          <w:p w14:paraId="1ACD878C">
            <w:pPr>
              <w:pStyle w:val="67"/>
              <w:spacing w:before="58" w:line="220" w:lineRule="auto"/>
              <w:ind w:left="2918"/>
            </w:pPr>
            <w:r>
              <w:rPr>
                <w:spacing w:val="-2"/>
              </w:rPr>
              <w:t>评分标准</w:t>
            </w:r>
          </w:p>
        </w:tc>
        <w:tc>
          <w:tcPr>
            <w:tcW w:w="767" w:type="dxa"/>
            <w:vAlign w:val="top"/>
          </w:tcPr>
          <w:p w14:paraId="3287D867">
            <w:pPr>
              <w:spacing w:line="264" w:lineRule="auto"/>
              <w:rPr>
                <w:rFonts w:ascii="Arial"/>
                <w:sz w:val="21"/>
              </w:rPr>
            </w:pPr>
          </w:p>
          <w:p w14:paraId="69B28CE4">
            <w:pPr>
              <w:pStyle w:val="67"/>
              <w:spacing w:before="59" w:line="220" w:lineRule="auto"/>
              <w:ind w:left="206"/>
            </w:pPr>
            <w:r>
              <w:rPr>
                <w:spacing w:val="-2"/>
              </w:rPr>
              <w:t>得分</w:t>
            </w:r>
          </w:p>
        </w:tc>
      </w:tr>
      <w:tr w14:paraId="51230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74" w:type="dxa"/>
            <w:vMerge w:val="restart"/>
            <w:tcBorders>
              <w:bottom w:val="nil"/>
            </w:tcBorders>
            <w:vAlign w:val="top"/>
          </w:tcPr>
          <w:p w14:paraId="3C3D3084">
            <w:pPr>
              <w:spacing w:line="278" w:lineRule="auto"/>
              <w:rPr>
                <w:rFonts w:ascii="Arial"/>
                <w:sz w:val="21"/>
              </w:rPr>
            </w:pPr>
          </w:p>
          <w:p w14:paraId="65B2A2D7">
            <w:pPr>
              <w:spacing w:line="278" w:lineRule="auto"/>
              <w:rPr>
                <w:rFonts w:ascii="Arial"/>
                <w:sz w:val="21"/>
              </w:rPr>
            </w:pPr>
          </w:p>
          <w:p w14:paraId="683C27AC">
            <w:pPr>
              <w:pStyle w:val="67"/>
              <w:spacing w:before="58" w:line="231" w:lineRule="auto"/>
              <w:ind w:left="312" w:right="304" w:firstLine="3"/>
            </w:pPr>
            <w:r>
              <w:rPr>
                <w:spacing w:val="-6"/>
              </w:rPr>
              <w:t>管理</w:t>
            </w:r>
            <w:r>
              <w:t xml:space="preserve"> </w:t>
            </w:r>
            <w:r>
              <w:rPr>
                <w:spacing w:val="-4"/>
              </w:rPr>
              <w:t>制度</w:t>
            </w:r>
          </w:p>
        </w:tc>
        <w:tc>
          <w:tcPr>
            <w:tcW w:w="749" w:type="dxa"/>
            <w:vAlign w:val="top"/>
          </w:tcPr>
          <w:p w14:paraId="31E11FC9">
            <w:pPr>
              <w:spacing w:line="291" w:lineRule="auto"/>
              <w:rPr>
                <w:rFonts w:ascii="Arial"/>
                <w:sz w:val="21"/>
              </w:rPr>
            </w:pPr>
          </w:p>
          <w:p w14:paraId="3DCE9689">
            <w:pPr>
              <w:pStyle w:val="67"/>
              <w:spacing w:before="58" w:line="181" w:lineRule="auto"/>
              <w:ind w:left="332"/>
            </w:pPr>
            <w:r>
              <w:t>6</w:t>
            </w:r>
          </w:p>
        </w:tc>
        <w:tc>
          <w:tcPr>
            <w:tcW w:w="6554" w:type="dxa"/>
            <w:vAlign w:val="top"/>
          </w:tcPr>
          <w:p w14:paraId="55BC72F6">
            <w:pPr>
              <w:spacing w:line="260" w:lineRule="auto"/>
              <w:rPr>
                <w:rFonts w:ascii="Arial"/>
                <w:sz w:val="21"/>
              </w:rPr>
            </w:pPr>
          </w:p>
          <w:p w14:paraId="62DEAD7B">
            <w:pPr>
              <w:pStyle w:val="67"/>
              <w:spacing w:before="58" w:line="220" w:lineRule="auto"/>
              <w:ind w:left="112"/>
            </w:pPr>
            <w:r>
              <w:rPr>
                <w:spacing w:val="-3"/>
              </w:rPr>
              <w:t>建立运营管理制度、服务规程、安全管理制度。少</w:t>
            </w:r>
            <w:r>
              <w:rPr>
                <w:spacing w:val="-7"/>
              </w:rPr>
              <w:t xml:space="preserve"> </w:t>
            </w:r>
            <w:r>
              <w:rPr>
                <w:spacing w:val="-3"/>
              </w:rPr>
              <w:t>1</w:t>
            </w:r>
            <w:r>
              <w:rPr>
                <w:spacing w:val="-34"/>
              </w:rPr>
              <w:t xml:space="preserve"> </w:t>
            </w:r>
            <w:r>
              <w:rPr>
                <w:spacing w:val="-3"/>
              </w:rPr>
              <w:t>项扣</w:t>
            </w:r>
            <w:r>
              <w:rPr>
                <w:spacing w:val="-37"/>
              </w:rPr>
              <w:t xml:space="preserve"> </w:t>
            </w:r>
            <w:r>
              <w:rPr>
                <w:spacing w:val="-3"/>
              </w:rPr>
              <w:t>2</w:t>
            </w:r>
            <w:r>
              <w:rPr>
                <w:spacing w:val="-36"/>
              </w:rPr>
              <w:t xml:space="preserve"> </w:t>
            </w:r>
            <w:r>
              <w:rPr>
                <w:spacing w:val="-3"/>
              </w:rPr>
              <w:t>分。</w:t>
            </w:r>
          </w:p>
        </w:tc>
        <w:tc>
          <w:tcPr>
            <w:tcW w:w="767" w:type="dxa"/>
            <w:vAlign w:val="top"/>
          </w:tcPr>
          <w:p w14:paraId="38ADFE56">
            <w:pPr>
              <w:rPr>
                <w:rFonts w:ascii="Arial"/>
                <w:sz w:val="21"/>
              </w:rPr>
            </w:pPr>
          </w:p>
        </w:tc>
      </w:tr>
      <w:tr w14:paraId="6DEC6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74" w:type="dxa"/>
            <w:vMerge w:val="continue"/>
            <w:tcBorders>
              <w:top w:val="nil"/>
            </w:tcBorders>
            <w:vAlign w:val="top"/>
          </w:tcPr>
          <w:p w14:paraId="782BE46D">
            <w:pPr>
              <w:rPr>
                <w:rFonts w:ascii="Arial"/>
                <w:sz w:val="21"/>
              </w:rPr>
            </w:pPr>
          </w:p>
        </w:tc>
        <w:tc>
          <w:tcPr>
            <w:tcW w:w="749" w:type="dxa"/>
            <w:vAlign w:val="top"/>
          </w:tcPr>
          <w:p w14:paraId="1860EB3D">
            <w:pPr>
              <w:spacing w:line="288" w:lineRule="auto"/>
              <w:rPr>
                <w:rFonts w:ascii="Arial"/>
                <w:sz w:val="21"/>
              </w:rPr>
            </w:pPr>
          </w:p>
          <w:p w14:paraId="70E4AC6D">
            <w:pPr>
              <w:pStyle w:val="67"/>
              <w:spacing w:before="59" w:line="182" w:lineRule="auto"/>
              <w:ind w:left="298"/>
            </w:pPr>
            <w:r>
              <w:rPr>
                <w:spacing w:val="-5"/>
              </w:rPr>
              <w:t>10</w:t>
            </w:r>
          </w:p>
        </w:tc>
        <w:tc>
          <w:tcPr>
            <w:tcW w:w="6554" w:type="dxa"/>
            <w:vAlign w:val="top"/>
          </w:tcPr>
          <w:p w14:paraId="7D86CEF1">
            <w:pPr>
              <w:pStyle w:val="67"/>
              <w:spacing w:before="204" w:line="229" w:lineRule="auto"/>
              <w:ind w:left="111" w:right="112"/>
            </w:pPr>
            <w:r>
              <w:rPr>
                <w:spacing w:val="1"/>
              </w:rPr>
              <w:t>制定运维服务方案，包括维修维保、事故处理、违章</w:t>
            </w:r>
            <w:r>
              <w:t xml:space="preserve">处置、客户回访、应急保障 </w:t>
            </w:r>
            <w:r>
              <w:rPr>
                <w:spacing w:val="-8"/>
              </w:rPr>
              <w:t>等。少</w:t>
            </w:r>
            <w:r>
              <w:rPr>
                <w:spacing w:val="-19"/>
              </w:rPr>
              <w:t xml:space="preserve"> </w:t>
            </w:r>
            <w:r>
              <w:rPr>
                <w:spacing w:val="-8"/>
              </w:rPr>
              <w:t>1</w:t>
            </w:r>
            <w:r>
              <w:rPr>
                <w:spacing w:val="-33"/>
              </w:rPr>
              <w:t xml:space="preserve"> </w:t>
            </w:r>
            <w:r>
              <w:rPr>
                <w:spacing w:val="-8"/>
              </w:rPr>
              <w:t>项扣</w:t>
            </w:r>
            <w:r>
              <w:rPr>
                <w:spacing w:val="-38"/>
              </w:rPr>
              <w:t xml:space="preserve"> </w:t>
            </w:r>
            <w:r>
              <w:rPr>
                <w:spacing w:val="-8"/>
              </w:rPr>
              <w:t>2</w:t>
            </w:r>
            <w:r>
              <w:rPr>
                <w:spacing w:val="-34"/>
              </w:rPr>
              <w:t xml:space="preserve"> </w:t>
            </w:r>
            <w:r>
              <w:rPr>
                <w:spacing w:val="-8"/>
              </w:rPr>
              <w:t>分。</w:t>
            </w:r>
          </w:p>
        </w:tc>
        <w:tc>
          <w:tcPr>
            <w:tcW w:w="767" w:type="dxa"/>
            <w:vAlign w:val="top"/>
          </w:tcPr>
          <w:p w14:paraId="53F4C05E">
            <w:pPr>
              <w:rPr>
                <w:rFonts w:ascii="Arial"/>
                <w:sz w:val="21"/>
              </w:rPr>
            </w:pPr>
          </w:p>
        </w:tc>
      </w:tr>
      <w:tr w14:paraId="1264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74" w:type="dxa"/>
            <w:vMerge w:val="restart"/>
            <w:tcBorders>
              <w:bottom w:val="nil"/>
            </w:tcBorders>
            <w:vAlign w:val="top"/>
          </w:tcPr>
          <w:p w14:paraId="529A78EC">
            <w:pPr>
              <w:spacing w:line="257" w:lineRule="auto"/>
              <w:rPr>
                <w:rFonts w:ascii="Arial"/>
                <w:sz w:val="21"/>
              </w:rPr>
            </w:pPr>
          </w:p>
          <w:p w14:paraId="12C1739D">
            <w:pPr>
              <w:spacing w:line="257" w:lineRule="auto"/>
              <w:rPr>
                <w:rFonts w:ascii="Arial"/>
                <w:sz w:val="21"/>
              </w:rPr>
            </w:pPr>
          </w:p>
          <w:p w14:paraId="34B5F4C0">
            <w:pPr>
              <w:spacing w:line="257" w:lineRule="auto"/>
              <w:rPr>
                <w:rFonts w:ascii="Arial"/>
                <w:sz w:val="21"/>
              </w:rPr>
            </w:pPr>
          </w:p>
          <w:p w14:paraId="32204616">
            <w:pPr>
              <w:spacing w:line="257" w:lineRule="auto"/>
              <w:rPr>
                <w:rFonts w:ascii="Arial"/>
                <w:sz w:val="21"/>
              </w:rPr>
            </w:pPr>
          </w:p>
          <w:p w14:paraId="61E41913">
            <w:pPr>
              <w:spacing w:line="257" w:lineRule="auto"/>
              <w:rPr>
                <w:rFonts w:ascii="Arial"/>
                <w:sz w:val="21"/>
              </w:rPr>
            </w:pPr>
          </w:p>
          <w:p w14:paraId="640C689F">
            <w:pPr>
              <w:spacing w:line="258" w:lineRule="auto"/>
              <w:rPr>
                <w:rFonts w:ascii="Arial"/>
                <w:sz w:val="21"/>
              </w:rPr>
            </w:pPr>
          </w:p>
          <w:p w14:paraId="570D3A61">
            <w:pPr>
              <w:spacing w:line="258" w:lineRule="auto"/>
              <w:rPr>
                <w:rFonts w:ascii="Arial"/>
                <w:sz w:val="21"/>
              </w:rPr>
            </w:pPr>
          </w:p>
          <w:p w14:paraId="517B7AD9">
            <w:pPr>
              <w:pStyle w:val="67"/>
              <w:spacing w:before="58" w:line="229" w:lineRule="auto"/>
              <w:ind w:left="311" w:right="304"/>
            </w:pPr>
            <w:r>
              <w:rPr>
                <w:spacing w:val="-4"/>
              </w:rPr>
              <w:t>运维</w:t>
            </w:r>
            <w:r>
              <w:t xml:space="preserve"> </w:t>
            </w:r>
            <w:r>
              <w:rPr>
                <w:spacing w:val="-4"/>
              </w:rPr>
              <w:t>服务</w:t>
            </w:r>
          </w:p>
        </w:tc>
        <w:tc>
          <w:tcPr>
            <w:tcW w:w="749" w:type="dxa"/>
            <w:vAlign w:val="top"/>
          </w:tcPr>
          <w:p w14:paraId="43925EDB">
            <w:pPr>
              <w:spacing w:line="292" w:lineRule="auto"/>
              <w:rPr>
                <w:rFonts w:ascii="Arial"/>
                <w:sz w:val="21"/>
              </w:rPr>
            </w:pPr>
          </w:p>
          <w:p w14:paraId="4A67377C">
            <w:pPr>
              <w:pStyle w:val="67"/>
              <w:spacing w:before="59" w:line="181" w:lineRule="auto"/>
              <w:ind w:left="331"/>
              <w:rPr>
                <w:rFonts w:hint="eastAsia" w:eastAsia="宋体"/>
                <w:lang w:eastAsia="zh-CN"/>
              </w:rPr>
            </w:pPr>
            <w:r>
              <w:rPr>
                <w:rFonts w:hint="eastAsia"/>
                <w:lang w:val="en-US" w:eastAsia="zh-CN"/>
              </w:rPr>
              <w:t>4</w:t>
            </w:r>
          </w:p>
        </w:tc>
        <w:tc>
          <w:tcPr>
            <w:tcW w:w="6554" w:type="dxa"/>
            <w:vAlign w:val="top"/>
          </w:tcPr>
          <w:p w14:paraId="48E93BF2">
            <w:pPr>
              <w:pStyle w:val="67"/>
              <w:spacing w:before="205" w:line="230" w:lineRule="auto"/>
              <w:ind w:left="118" w:right="112" w:hanging="7"/>
            </w:pPr>
            <w:r>
              <w:rPr>
                <w:spacing w:val="1"/>
              </w:rPr>
              <w:t>提供智能充电桩设备入安装，每季度对充电桩、停车</w:t>
            </w:r>
            <w:r>
              <w:t xml:space="preserve">位进行维保，出现问题能入 </w:t>
            </w:r>
            <w:r>
              <w:rPr>
                <w:spacing w:val="-3"/>
              </w:rPr>
              <w:t>时维修。需提供维保记录等纸质材料，少</w:t>
            </w:r>
            <w:r>
              <w:rPr>
                <w:spacing w:val="-16"/>
              </w:rPr>
              <w:t xml:space="preserve"> </w:t>
            </w:r>
            <w:r>
              <w:rPr>
                <w:spacing w:val="-3"/>
              </w:rPr>
              <w:t>1</w:t>
            </w:r>
            <w:r>
              <w:rPr>
                <w:spacing w:val="-31"/>
              </w:rPr>
              <w:t xml:space="preserve"> </w:t>
            </w:r>
            <w:r>
              <w:rPr>
                <w:spacing w:val="-3"/>
              </w:rPr>
              <w:t>次定期维保扣</w:t>
            </w:r>
            <w:r>
              <w:rPr>
                <w:spacing w:val="-37"/>
              </w:rPr>
              <w:t xml:space="preserve"> </w:t>
            </w:r>
            <w:r>
              <w:rPr>
                <w:spacing w:val="-3"/>
              </w:rPr>
              <w:t>2</w:t>
            </w:r>
            <w:r>
              <w:rPr>
                <w:spacing w:val="-36"/>
              </w:rPr>
              <w:t xml:space="preserve"> </w:t>
            </w:r>
            <w:r>
              <w:rPr>
                <w:spacing w:val="-3"/>
              </w:rPr>
              <w:t>分。</w:t>
            </w:r>
          </w:p>
        </w:tc>
        <w:tc>
          <w:tcPr>
            <w:tcW w:w="767" w:type="dxa"/>
            <w:vAlign w:val="top"/>
          </w:tcPr>
          <w:p w14:paraId="543B6561">
            <w:pPr>
              <w:rPr>
                <w:rFonts w:ascii="Arial"/>
                <w:sz w:val="21"/>
              </w:rPr>
            </w:pPr>
          </w:p>
        </w:tc>
      </w:tr>
      <w:tr w14:paraId="0ED77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74" w:type="dxa"/>
            <w:vMerge w:val="continue"/>
            <w:tcBorders>
              <w:top w:val="nil"/>
              <w:bottom w:val="nil"/>
            </w:tcBorders>
            <w:vAlign w:val="top"/>
          </w:tcPr>
          <w:p w14:paraId="3978F8FA">
            <w:pPr>
              <w:rPr>
                <w:rFonts w:ascii="Arial"/>
                <w:sz w:val="21"/>
              </w:rPr>
            </w:pPr>
          </w:p>
        </w:tc>
        <w:tc>
          <w:tcPr>
            <w:tcW w:w="749" w:type="dxa"/>
            <w:vAlign w:val="top"/>
          </w:tcPr>
          <w:p w14:paraId="589DA35A">
            <w:pPr>
              <w:spacing w:line="291" w:lineRule="auto"/>
              <w:rPr>
                <w:rFonts w:ascii="Arial"/>
                <w:sz w:val="21"/>
              </w:rPr>
            </w:pPr>
          </w:p>
          <w:p w14:paraId="0A8654C6">
            <w:pPr>
              <w:pStyle w:val="67"/>
              <w:spacing w:before="59" w:line="182" w:lineRule="auto"/>
              <w:ind w:left="298"/>
              <w:rPr>
                <w:rFonts w:hint="eastAsia" w:eastAsia="宋体"/>
                <w:lang w:eastAsia="zh-CN"/>
              </w:rPr>
            </w:pPr>
            <w:r>
              <w:rPr>
                <w:spacing w:val="-5"/>
              </w:rPr>
              <w:t>1</w:t>
            </w:r>
            <w:r>
              <w:rPr>
                <w:rFonts w:hint="eastAsia"/>
                <w:spacing w:val="-5"/>
                <w:lang w:val="en-US" w:eastAsia="zh-CN"/>
              </w:rPr>
              <w:t>2</w:t>
            </w:r>
          </w:p>
        </w:tc>
        <w:tc>
          <w:tcPr>
            <w:tcW w:w="6554" w:type="dxa"/>
            <w:vAlign w:val="top"/>
          </w:tcPr>
          <w:p w14:paraId="76803298">
            <w:pPr>
              <w:pStyle w:val="67"/>
              <w:spacing w:before="204" w:line="229" w:lineRule="auto"/>
              <w:ind w:left="113" w:right="117" w:hanging="1"/>
            </w:pPr>
            <w:r>
              <w:t>按照车辆保养手册的要求正常保养、及时更换正常老化的相关配件。需提供相关</w:t>
            </w:r>
            <w:r>
              <w:rPr>
                <w:spacing w:val="18"/>
              </w:rPr>
              <w:t xml:space="preserve"> </w:t>
            </w:r>
            <w:r>
              <w:rPr>
                <w:spacing w:val="-2"/>
              </w:rPr>
              <w:t>维保和更换配件等纸质材料。维保不及时的一次扣</w:t>
            </w:r>
            <w:r>
              <w:rPr>
                <w:spacing w:val="-23"/>
              </w:rPr>
              <w:t xml:space="preserve"> </w:t>
            </w:r>
            <w:r>
              <w:rPr>
                <w:spacing w:val="-2"/>
              </w:rPr>
              <w:t>5</w:t>
            </w:r>
            <w:r>
              <w:rPr>
                <w:spacing w:val="-34"/>
              </w:rPr>
              <w:t xml:space="preserve"> </w:t>
            </w:r>
            <w:r>
              <w:rPr>
                <w:spacing w:val="-2"/>
              </w:rPr>
              <w:t>分。</w:t>
            </w:r>
          </w:p>
        </w:tc>
        <w:tc>
          <w:tcPr>
            <w:tcW w:w="767" w:type="dxa"/>
            <w:vAlign w:val="top"/>
          </w:tcPr>
          <w:p w14:paraId="5468C329">
            <w:pPr>
              <w:rPr>
                <w:rFonts w:ascii="Arial"/>
                <w:sz w:val="21"/>
              </w:rPr>
            </w:pPr>
          </w:p>
        </w:tc>
      </w:tr>
      <w:tr w14:paraId="2AEDA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74" w:type="dxa"/>
            <w:vMerge w:val="continue"/>
            <w:tcBorders>
              <w:top w:val="nil"/>
              <w:bottom w:val="nil"/>
            </w:tcBorders>
            <w:vAlign w:val="top"/>
          </w:tcPr>
          <w:p w14:paraId="221B26A0">
            <w:pPr>
              <w:rPr>
                <w:rFonts w:ascii="Arial"/>
                <w:sz w:val="21"/>
              </w:rPr>
            </w:pPr>
          </w:p>
        </w:tc>
        <w:tc>
          <w:tcPr>
            <w:tcW w:w="749" w:type="dxa"/>
            <w:vAlign w:val="top"/>
          </w:tcPr>
          <w:p w14:paraId="1C87D53E">
            <w:pPr>
              <w:spacing w:line="290" w:lineRule="auto"/>
              <w:rPr>
                <w:rFonts w:ascii="Arial"/>
                <w:sz w:val="21"/>
              </w:rPr>
            </w:pPr>
          </w:p>
          <w:p w14:paraId="588798C8">
            <w:pPr>
              <w:pStyle w:val="67"/>
              <w:spacing w:before="58" w:line="182" w:lineRule="auto"/>
              <w:ind w:left="298"/>
              <w:rPr>
                <w:rFonts w:hint="eastAsia" w:eastAsia="宋体"/>
                <w:lang w:eastAsia="zh-CN"/>
              </w:rPr>
            </w:pPr>
            <w:r>
              <w:rPr>
                <w:rFonts w:hint="eastAsia"/>
                <w:spacing w:val="-5"/>
                <w:lang w:val="en-US" w:eastAsia="zh-CN"/>
              </w:rPr>
              <w:t>12</w:t>
            </w:r>
          </w:p>
        </w:tc>
        <w:tc>
          <w:tcPr>
            <w:tcW w:w="6554" w:type="dxa"/>
            <w:vAlign w:val="top"/>
          </w:tcPr>
          <w:p w14:paraId="146AF294">
            <w:pPr>
              <w:pStyle w:val="67"/>
              <w:spacing w:before="88" w:line="233" w:lineRule="auto"/>
              <w:ind w:left="112" w:right="106"/>
              <w:jc w:val="both"/>
            </w:pPr>
            <w:r>
              <w:rPr>
                <w:spacing w:val="1"/>
              </w:rPr>
              <w:t>车辆在租赁期间发生故障，能及时协调解决或调换其他车辆，</w:t>
            </w:r>
            <w:r>
              <w:t xml:space="preserve">不影响正常出行任 </w:t>
            </w:r>
            <w:r>
              <w:rPr>
                <w:spacing w:val="-2"/>
              </w:rPr>
              <w:t>务，本服务区内响应时间不超过 1 小时。需提供相关处置记录等纸质材料，超过</w:t>
            </w:r>
            <w:r>
              <w:rPr>
                <w:spacing w:val="13"/>
              </w:rPr>
              <w:t xml:space="preserve"> </w:t>
            </w:r>
            <w:r>
              <w:rPr>
                <w:spacing w:val="-4"/>
              </w:rPr>
              <w:t>时限的一次扣</w:t>
            </w:r>
            <w:r>
              <w:rPr>
                <w:spacing w:val="-36"/>
              </w:rPr>
              <w:t xml:space="preserve"> </w:t>
            </w:r>
            <w:r>
              <w:rPr>
                <w:spacing w:val="-4"/>
              </w:rPr>
              <w:t>2</w:t>
            </w:r>
            <w:r>
              <w:rPr>
                <w:spacing w:val="-34"/>
              </w:rPr>
              <w:t xml:space="preserve"> </w:t>
            </w:r>
            <w:r>
              <w:rPr>
                <w:spacing w:val="-4"/>
              </w:rPr>
              <w:t>分。</w:t>
            </w:r>
          </w:p>
        </w:tc>
        <w:tc>
          <w:tcPr>
            <w:tcW w:w="767" w:type="dxa"/>
            <w:vAlign w:val="top"/>
          </w:tcPr>
          <w:p w14:paraId="7CFC3057">
            <w:pPr>
              <w:rPr>
                <w:rFonts w:ascii="Arial"/>
                <w:sz w:val="21"/>
              </w:rPr>
            </w:pPr>
          </w:p>
        </w:tc>
      </w:tr>
      <w:tr w14:paraId="67A3B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74" w:type="dxa"/>
            <w:vMerge w:val="continue"/>
            <w:tcBorders>
              <w:top w:val="nil"/>
              <w:bottom w:val="nil"/>
            </w:tcBorders>
            <w:vAlign w:val="top"/>
          </w:tcPr>
          <w:p w14:paraId="620C62A0">
            <w:pPr>
              <w:rPr>
                <w:rFonts w:ascii="Arial"/>
                <w:sz w:val="21"/>
              </w:rPr>
            </w:pPr>
          </w:p>
        </w:tc>
        <w:tc>
          <w:tcPr>
            <w:tcW w:w="749" w:type="dxa"/>
            <w:vAlign w:val="top"/>
          </w:tcPr>
          <w:p w14:paraId="63DCCE84">
            <w:pPr>
              <w:spacing w:line="292" w:lineRule="auto"/>
              <w:rPr>
                <w:rFonts w:ascii="Arial"/>
                <w:sz w:val="21"/>
              </w:rPr>
            </w:pPr>
          </w:p>
          <w:p w14:paraId="18A2506B">
            <w:pPr>
              <w:pStyle w:val="67"/>
              <w:spacing w:before="59" w:line="182" w:lineRule="auto"/>
              <w:ind w:left="298"/>
            </w:pPr>
            <w:r>
              <w:rPr>
                <w:spacing w:val="-5"/>
              </w:rPr>
              <w:t>15</w:t>
            </w:r>
          </w:p>
        </w:tc>
        <w:tc>
          <w:tcPr>
            <w:tcW w:w="6554" w:type="dxa"/>
            <w:vAlign w:val="top"/>
          </w:tcPr>
          <w:p w14:paraId="315C0EF7">
            <w:pPr>
              <w:spacing w:line="263" w:lineRule="auto"/>
              <w:rPr>
                <w:rFonts w:ascii="Arial"/>
                <w:sz w:val="21"/>
              </w:rPr>
            </w:pPr>
          </w:p>
          <w:p w14:paraId="2C431562">
            <w:pPr>
              <w:pStyle w:val="67"/>
              <w:spacing w:before="58" w:line="220" w:lineRule="auto"/>
              <w:ind w:left="124"/>
            </w:pPr>
            <w:r>
              <w:rPr>
                <w:spacing w:val="-2"/>
              </w:rPr>
              <w:t>因服务类问题被用车单位投诉，经查证属实的，被投诉一次扣</w:t>
            </w:r>
            <w:r>
              <w:rPr>
                <w:spacing w:val="-24"/>
              </w:rPr>
              <w:t xml:space="preserve"> </w:t>
            </w:r>
            <w:r>
              <w:rPr>
                <w:spacing w:val="-2"/>
              </w:rPr>
              <w:t>5</w:t>
            </w:r>
            <w:r>
              <w:rPr>
                <w:spacing w:val="-34"/>
              </w:rPr>
              <w:t xml:space="preserve"> </w:t>
            </w:r>
            <w:r>
              <w:rPr>
                <w:spacing w:val="-2"/>
              </w:rPr>
              <w:t>分。</w:t>
            </w:r>
          </w:p>
        </w:tc>
        <w:tc>
          <w:tcPr>
            <w:tcW w:w="767" w:type="dxa"/>
            <w:vAlign w:val="top"/>
          </w:tcPr>
          <w:p w14:paraId="4137799E">
            <w:pPr>
              <w:rPr>
                <w:rFonts w:ascii="Arial"/>
                <w:sz w:val="21"/>
              </w:rPr>
            </w:pPr>
          </w:p>
        </w:tc>
      </w:tr>
      <w:tr w14:paraId="0E2F4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74" w:type="dxa"/>
            <w:vMerge w:val="continue"/>
            <w:tcBorders>
              <w:top w:val="nil"/>
            </w:tcBorders>
            <w:vAlign w:val="top"/>
          </w:tcPr>
          <w:p w14:paraId="5C9BE5A6">
            <w:pPr>
              <w:rPr>
                <w:rFonts w:ascii="Arial"/>
                <w:sz w:val="21"/>
              </w:rPr>
            </w:pPr>
          </w:p>
        </w:tc>
        <w:tc>
          <w:tcPr>
            <w:tcW w:w="749" w:type="dxa"/>
            <w:vAlign w:val="top"/>
          </w:tcPr>
          <w:p w14:paraId="79B1D1F2">
            <w:pPr>
              <w:spacing w:line="296" w:lineRule="auto"/>
              <w:rPr>
                <w:rFonts w:ascii="Arial"/>
                <w:sz w:val="21"/>
              </w:rPr>
            </w:pPr>
          </w:p>
          <w:p w14:paraId="28CCA0ED">
            <w:pPr>
              <w:pStyle w:val="67"/>
              <w:spacing w:before="58" w:line="180" w:lineRule="auto"/>
              <w:ind w:left="334"/>
            </w:pPr>
            <w:r>
              <w:t>5</w:t>
            </w:r>
          </w:p>
        </w:tc>
        <w:tc>
          <w:tcPr>
            <w:tcW w:w="6554" w:type="dxa"/>
            <w:vAlign w:val="top"/>
          </w:tcPr>
          <w:p w14:paraId="63220E41">
            <w:pPr>
              <w:spacing w:line="264" w:lineRule="auto"/>
              <w:rPr>
                <w:rFonts w:ascii="Arial"/>
                <w:sz w:val="21"/>
              </w:rPr>
            </w:pPr>
          </w:p>
          <w:p w14:paraId="321F4334">
            <w:pPr>
              <w:pStyle w:val="67"/>
              <w:spacing w:before="58" w:line="220" w:lineRule="auto"/>
              <w:ind w:left="112"/>
            </w:pPr>
            <w:r>
              <w:rPr>
                <w:spacing w:val="-5"/>
              </w:rPr>
              <w:t>车辆故障率低于等于</w:t>
            </w:r>
            <w:r>
              <w:rPr>
                <w:spacing w:val="-13"/>
              </w:rPr>
              <w:t xml:space="preserve"> </w:t>
            </w:r>
            <w:r>
              <w:rPr>
                <w:spacing w:val="-5"/>
              </w:rPr>
              <w:t>1%不扣分，超 1</w:t>
            </w:r>
            <w:r>
              <w:rPr>
                <w:spacing w:val="-37"/>
              </w:rPr>
              <w:t xml:space="preserve"> </w:t>
            </w:r>
            <w:r>
              <w:rPr>
                <w:spacing w:val="-5"/>
              </w:rPr>
              <w:t>个百分点扣</w:t>
            </w:r>
            <w:r>
              <w:rPr>
                <w:spacing w:val="-26"/>
              </w:rPr>
              <w:t xml:space="preserve"> </w:t>
            </w:r>
            <w:r>
              <w:rPr>
                <w:spacing w:val="-5"/>
              </w:rPr>
              <w:t>1</w:t>
            </w:r>
            <w:r>
              <w:rPr>
                <w:spacing w:val="-34"/>
              </w:rPr>
              <w:t xml:space="preserve"> </w:t>
            </w:r>
            <w:r>
              <w:rPr>
                <w:spacing w:val="-5"/>
              </w:rPr>
              <w:t>分。</w:t>
            </w:r>
          </w:p>
        </w:tc>
        <w:tc>
          <w:tcPr>
            <w:tcW w:w="767" w:type="dxa"/>
            <w:vAlign w:val="top"/>
          </w:tcPr>
          <w:p w14:paraId="4C251B5F">
            <w:pPr>
              <w:rPr>
                <w:rFonts w:ascii="Arial"/>
                <w:sz w:val="21"/>
              </w:rPr>
            </w:pPr>
          </w:p>
        </w:tc>
      </w:tr>
      <w:tr w14:paraId="42F6C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74" w:type="dxa"/>
            <w:vAlign w:val="top"/>
          </w:tcPr>
          <w:p w14:paraId="4B34AA72">
            <w:pPr>
              <w:pStyle w:val="67"/>
              <w:spacing w:before="207" w:line="229" w:lineRule="auto"/>
              <w:ind w:left="311" w:right="304"/>
            </w:pPr>
            <w:r>
              <w:rPr>
                <w:spacing w:val="-4"/>
              </w:rPr>
              <w:t>服务</w:t>
            </w:r>
            <w:r>
              <w:t xml:space="preserve"> </w:t>
            </w:r>
            <w:r>
              <w:rPr>
                <w:spacing w:val="-4"/>
              </w:rPr>
              <w:t>承诺</w:t>
            </w:r>
          </w:p>
        </w:tc>
        <w:tc>
          <w:tcPr>
            <w:tcW w:w="749" w:type="dxa"/>
            <w:vAlign w:val="top"/>
          </w:tcPr>
          <w:p w14:paraId="747167AB">
            <w:pPr>
              <w:spacing w:line="292" w:lineRule="auto"/>
              <w:rPr>
                <w:rFonts w:ascii="Arial"/>
                <w:sz w:val="21"/>
              </w:rPr>
            </w:pPr>
          </w:p>
          <w:p w14:paraId="5FBAC601">
            <w:pPr>
              <w:pStyle w:val="67"/>
              <w:spacing w:before="59" w:line="181" w:lineRule="auto"/>
              <w:ind w:left="287"/>
            </w:pPr>
            <w:r>
              <w:rPr>
                <w:spacing w:val="-2"/>
              </w:rPr>
              <w:t>20</w:t>
            </w:r>
          </w:p>
        </w:tc>
        <w:tc>
          <w:tcPr>
            <w:tcW w:w="6554" w:type="dxa"/>
            <w:vAlign w:val="top"/>
          </w:tcPr>
          <w:p w14:paraId="3EE0A111">
            <w:pPr>
              <w:pStyle w:val="67"/>
              <w:spacing w:before="90" w:line="233" w:lineRule="auto"/>
              <w:ind w:left="111" w:right="112" w:firstLine="2"/>
              <w:jc w:val="both"/>
            </w:pPr>
            <w:r>
              <w:rPr>
                <w:spacing w:val="1"/>
              </w:rPr>
              <w:t>未全面履行交易文件中的服务，车辆未及时保养</w:t>
            </w:r>
            <w:r>
              <w:t xml:space="preserve">及年审的，未足额购买征集文件 </w:t>
            </w:r>
            <w:r>
              <w:rPr>
                <w:spacing w:val="1"/>
              </w:rPr>
              <w:t>要求的车险的，车辆续航公里数低于征集文件中的要</w:t>
            </w:r>
            <w:r>
              <w:t xml:space="preserve">求的、未能及时更换易损零 </w:t>
            </w:r>
            <w:r>
              <w:rPr>
                <w:spacing w:val="-2"/>
              </w:rPr>
              <w:t>部件的（含轮胎、雨刮器、刹车片</w:t>
            </w:r>
            <w:r>
              <w:rPr>
                <w:spacing w:val="7"/>
              </w:rPr>
              <w:t>），</w:t>
            </w:r>
            <w:r>
              <w:rPr>
                <w:spacing w:val="-2"/>
              </w:rPr>
              <w:t>每证实一项扣</w:t>
            </w:r>
            <w:r>
              <w:rPr>
                <w:spacing w:val="-37"/>
              </w:rPr>
              <w:t xml:space="preserve"> </w:t>
            </w:r>
            <w:r>
              <w:rPr>
                <w:spacing w:val="-2"/>
              </w:rPr>
              <w:t>4</w:t>
            </w:r>
            <w:r>
              <w:rPr>
                <w:spacing w:val="-33"/>
              </w:rPr>
              <w:t xml:space="preserve"> </w:t>
            </w:r>
            <w:r>
              <w:rPr>
                <w:spacing w:val="-2"/>
              </w:rPr>
              <w:t>分。</w:t>
            </w:r>
          </w:p>
        </w:tc>
        <w:tc>
          <w:tcPr>
            <w:tcW w:w="767" w:type="dxa"/>
            <w:vAlign w:val="top"/>
          </w:tcPr>
          <w:p w14:paraId="4319F608">
            <w:pPr>
              <w:rPr>
                <w:rFonts w:ascii="Arial"/>
                <w:sz w:val="21"/>
              </w:rPr>
            </w:pPr>
          </w:p>
        </w:tc>
      </w:tr>
      <w:tr w14:paraId="75ACE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74" w:type="dxa"/>
            <w:vMerge w:val="restart"/>
            <w:tcBorders>
              <w:bottom w:val="nil"/>
            </w:tcBorders>
            <w:vAlign w:val="top"/>
          </w:tcPr>
          <w:p w14:paraId="01E4D051">
            <w:pPr>
              <w:spacing w:line="281" w:lineRule="auto"/>
              <w:rPr>
                <w:rFonts w:ascii="Arial"/>
                <w:sz w:val="21"/>
              </w:rPr>
            </w:pPr>
          </w:p>
          <w:p w14:paraId="49E0C1C7">
            <w:pPr>
              <w:spacing w:line="282" w:lineRule="auto"/>
              <w:rPr>
                <w:rFonts w:ascii="Arial"/>
                <w:sz w:val="21"/>
              </w:rPr>
            </w:pPr>
          </w:p>
          <w:p w14:paraId="1B9A71FB">
            <w:pPr>
              <w:pStyle w:val="67"/>
              <w:spacing w:before="58" w:line="229" w:lineRule="auto"/>
              <w:ind w:left="311" w:right="215" w:hanging="91"/>
            </w:pPr>
            <w:r>
              <w:rPr>
                <w:spacing w:val="-3"/>
              </w:rPr>
              <w:t>信息化</w:t>
            </w:r>
            <w:r>
              <w:t xml:space="preserve"> </w:t>
            </w:r>
            <w:r>
              <w:rPr>
                <w:spacing w:val="-2"/>
              </w:rPr>
              <w:t>服务</w:t>
            </w:r>
          </w:p>
        </w:tc>
        <w:tc>
          <w:tcPr>
            <w:tcW w:w="749" w:type="dxa"/>
            <w:vAlign w:val="top"/>
          </w:tcPr>
          <w:p w14:paraId="274D314F">
            <w:pPr>
              <w:spacing w:line="295" w:lineRule="auto"/>
              <w:rPr>
                <w:rFonts w:ascii="Arial"/>
                <w:sz w:val="21"/>
              </w:rPr>
            </w:pPr>
          </w:p>
          <w:p w14:paraId="023FC459">
            <w:pPr>
              <w:pStyle w:val="67"/>
              <w:spacing w:before="58" w:line="181" w:lineRule="auto"/>
              <w:ind w:left="331"/>
            </w:pPr>
            <w:r>
              <w:t>8</w:t>
            </w:r>
          </w:p>
        </w:tc>
        <w:tc>
          <w:tcPr>
            <w:tcW w:w="6554" w:type="dxa"/>
            <w:vAlign w:val="top"/>
          </w:tcPr>
          <w:p w14:paraId="1E584BB8">
            <w:pPr>
              <w:pStyle w:val="67"/>
              <w:spacing w:before="208" w:line="230" w:lineRule="auto"/>
              <w:ind w:left="110" w:right="119"/>
            </w:pPr>
            <w:r>
              <w:rPr>
                <w:spacing w:val="1"/>
              </w:rPr>
              <w:t>每季度维护车载终端（需提供纸质证明材料</w:t>
            </w:r>
            <w:r>
              <w:rPr>
                <w:spacing w:val="-1"/>
              </w:rPr>
              <w:t>），</w:t>
            </w:r>
            <w:r>
              <w:rPr>
                <w:spacing w:val="1"/>
              </w:rPr>
              <w:t>及</w:t>
            </w:r>
            <w:r>
              <w:t xml:space="preserve">时更换损坏终端，终端完好率 </w:t>
            </w:r>
            <w:r>
              <w:rPr>
                <w:spacing w:val="-3"/>
              </w:rPr>
              <w:t>达</w:t>
            </w:r>
            <w:r>
              <w:rPr>
                <w:spacing w:val="-34"/>
              </w:rPr>
              <w:t xml:space="preserve"> </w:t>
            </w:r>
            <w:r>
              <w:rPr>
                <w:spacing w:val="-3"/>
              </w:rPr>
              <w:t>95%以上。少一次维护扣</w:t>
            </w:r>
            <w:r>
              <w:rPr>
                <w:spacing w:val="-37"/>
              </w:rPr>
              <w:t xml:space="preserve"> </w:t>
            </w:r>
            <w:r>
              <w:rPr>
                <w:spacing w:val="-3"/>
              </w:rPr>
              <w:t>2</w:t>
            </w:r>
            <w:r>
              <w:rPr>
                <w:spacing w:val="-36"/>
              </w:rPr>
              <w:t xml:space="preserve"> </w:t>
            </w:r>
            <w:r>
              <w:rPr>
                <w:spacing w:val="-3"/>
              </w:rPr>
              <w:t>分，完好率每少</w:t>
            </w:r>
            <w:r>
              <w:rPr>
                <w:spacing w:val="-24"/>
              </w:rPr>
              <w:t xml:space="preserve"> </w:t>
            </w:r>
            <w:r>
              <w:rPr>
                <w:spacing w:val="-3"/>
              </w:rPr>
              <w:t>1</w:t>
            </w:r>
            <w:r>
              <w:rPr>
                <w:spacing w:val="-36"/>
              </w:rPr>
              <w:t xml:space="preserve"> </w:t>
            </w:r>
            <w:r>
              <w:rPr>
                <w:spacing w:val="-3"/>
              </w:rPr>
              <w:t>个百分点扣</w:t>
            </w:r>
            <w:r>
              <w:rPr>
                <w:spacing w:val="-37"/>
              </w:rPr>
              <w:t xml:space="preserve"> </w:t>
            </w:r>
            <w:r>
              <w:rPr>
                <w:spacing w:val="-3"/>
              </w:rPr>
              <w:t>2</w:t>
            </w:r>
            <w:r>
              <w:rPr>
                <w:spacing w:val="-34"/>
              </w:rPr>
              <w:t xml:space="preserve"> </w:t>
            </w:r>
            <w:r>
              <w:rPr>
                <w:spacing w:val="-3"/>
              </w:rPr>
              <w:t>分。</w:t>
            </w:r>
          </w:p>
        </w:tc>
        <w:tc>
          <w:tcPr>
            <w:tcW w:w="767" w:type="dxa"/>
            <w:vAlign w:val="top"/>
          </w:tcPr>
          <w:p w14:paraId="3807082E">
            <w:pPr>
              <w:rPr>
                <w:rFonts w:ascii="Arial"/>
                <w:sz w:val="21"/>
              </w:rPr>
            </w:pPr>
          </w:p>
        </w:tc>
      </w:tr>
      <w:tr w14:paraId="4D5C7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74" w:type="dxa"/>
            <w:vMerge w:val="continue"/>
            <w:tcBorders>
              <w:top w:val="nil"/>
            </w:tcBorders>
            <w:vAlign w:val="top"/>
          </w:tcPr>
          <w:p w14:paraId="1408F660">
            <w:pPr>
              <w:rPr>
                <w:rFonts w:ascii="Arial"/>
                <w:sz w:val="21"/>
              </w:rPr>
            </w:pPr>
          </w:p>
        </w:tc>
        <w:tc>
          <w:tcPr>
            <w:tcW w:w="749" w:type="dxa"/>
            <w:vAlign w:val="top"/>
          </w:tcPr>
          <w:p w14:paraId="15E98B80">
            <w:pPr>
              <w:spacing w:line="296" w:lineRule="auto"/>
              <w:rPr>
                <w:rFonts w:ascii="Arial"/>
                <w:sz w:val="21"/>
              </w:rPr>
            </w:pPr>
          </w:p>
          <w:p w14:paraId="6D79E420">
            <w:pPr>
              <w:pStyle w:val="67"/>
              <w:spacing w:before="58" w:line="181" w:lineRule="auto"/>
              <w:ind w:left="331"/>
            </w:pPr>
            <w:r>
              <w:t>8</w:t>
            </w:r>
          </w:p>
        </w:tc>
        <w:tc>
          <w:tcPr>
            <w:tcW w:w="6554" w:type="dxa"/>
            <w:vAlign w:val="top"/>
          </w:tcPr>
          <w:p w14:paraId="016397DB">
            <w:pPr>
              <w:pStyle w:val="67"/>
              <w:spacing w:before="208" w:line="229" w:lineRule="auto"/>
              <w:ind w:left="112" w:right="128" w:hanging="2"/>
            </w:pPr>
            <w:r>
              <w:t>每季度提供一次单车核算数据，包括平台车辆的订单数、里程数、充电数等，少</w:t>
            </w:r>
            <w:r>
              <w:rPr>
                <w:spacing w:val="8"/>
              </w:rPr>
              <w:t xml:space="preserve"> </w:t>
            </w:r>
            <w:r>
              <w:rPr>
                <w:spacing w:val="-7"/>
              </w:rPr>
              <w:t>一次扣</w:t>
            </w:r>
            <w:r>
              <w:rPr>
                <w:spacing w:val="-31"/>
              </w:rPr>
              <w:t xml:space="preserve"> </w:t>
            </w:r>
            <w:r>
              <w:rPr>
                <w:spacing w:val="-7"/>
              </w:rPr>
              <w:t>2</w:t>
            </w:r>
            <w:r>
              <w:rPr>
                <w:spacing w:val="-34"/>
              </w:rPr>
              <w:t xml:space="preserve"> </w:t>
            </w:r>
            <w:r>
              <w:rPr>
                <w:spacing w:val="-7"/>
              </w:rPr>
              <w:t>分。</w:t>
            </w:r>
          </w:p>
        </w:tc>
        <w:tc>
          <w:tcPr>
            <w:tcW w:w="767" w:type="dxa"/>
            <w:vAlign w:val="top"/>
          </w:tcPr>
          <w:p w14:paraId="76BD497F">
            <w:pPr>
              <w:rPr>
                <w:rFonts w:ascii="Arial"/>
                <w:sz w:val="21"/>
              </w:rPr>
            </w:pPr>
          </w:p>
        </w:tc>
      </w:tr>
      <w:tr w14:paraId="51D8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723" w:type="dxa"/>
            <w:gridSpan w:val="2"/>
            <w:vAlign w:val="top"/>
          </w:tcPr>
          <w:p w14:paraId="03888B83">
            <w:pPr>
              <w:pStyle w:val="67"/>
              <w:spacing w:before="121" w:line="220" w:lineRule="auto"/>
              <w:ind w:left="508"/>
            </w:pPr>
            <w:r>
              <w:rPr>
                <w:spacing w:val="-2"/>
              </w:rPr>
              <w:t>最终得分</w:t>
            </w:r>
          </w:p>
        </w:tc>
        <w:tc>
          <w:tcPr>
            <w:tcW w:w="7321" w:type="dxa"/>
            <w:gridSpan w:val="2"/>
            <w:vAlign w:val="top"/>
          </w:tcPr>
          <w:p w14:paraId="49498233">
            <w:pPr>
              <w:rPr>
                <w:rFonts w:ascii="Arial"/>
                <w:sz w:val="21"/>
              </w:rPr>
            </w:pPr>
          </w:p>
        </w:tc>
      </w:tr>
    </w:tbl>
    <w:p w14:paraId="5312187B">
      <w:pPr>
        <w:pStyle w:val="19"/>
        <w:rPr>
          <w:rFonts w:hint="eastAsia" w:ascii="宋体" w:hAnsi="宋体" w:eastAsia="宋体" w:cs="@仿宋_GB2312"/>
          <w:b w:val="0"/>
          <w:bCs w:val="0"/>
          <w:color w:val="auto"/>
          <w:kern w:val="2"/>
          <w:sz w:val="24"/>
          <w:szCs w:val="20"/>
          <w:highlight w:val="none"/>
          <w:lang w:val="en-US" w:eastAsia="zh-CN" w:bidi="ar-SA"/>
        </w:rPr>
      </w:pPr>
    </w:p>
    <w:p w14:paraId="7F600F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p>
    <w:p w14:paraId="3B466F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p>
    <w:bookmarkEnd w:id="2"/>
    <w:bookmarkEnd w:id="3"/>
    <w:p w14:paraId="73305E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p w14:paraId="14C738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p w14:paraId="4D28CD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p w14:paraId="17F33B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p w14:paraId="151CD55C">
      <w:pPr>
        <w:spacing w:line="360" w:lineRule="auto"/>
        <w:jc w:val="center"/>
        <w:outlineLvl w:val="0"/>
        <w:rPr>
          <w:rFonts w:hint="eastAsia" w:asciiTheme="minorEastAsia" w:hAnsiTheme="minorEastAsia" w:eastAsiaTheme="minorEastAsia"/>
          <w:b/>
          <w:color w:val="auto"/>
          <w:sz w:val="28"/>
          <w:highlight w:val="none"/>
          <w:lang w:val="en-US" w:eastAsia="zh-CN"/>
        </w:rPr>
      </w:pPr>
      <w:bookmarkStart w:id="4" w:name="_Toc28814"/>
      <w:r>
        <w:rPr>
          <w:rFonts w:hint="eastAsia" w:asciiTheme="minorEastAsia" w:hAnsiTheme="minorEastAsia" w:eastAsiaTheme="minorEastAsia"/>
          <w:b/>
          <w:color w:val="auto"/>
          <w:sz w:val="28"/>
          <w:highlight w:val="none"/>
          <w:lang w:val="en-US" w:eastAsia="zh-CN"/>
        </w:rPr>
        <w:t>第二章  用户反馈和评价机制</w:t>
      </w:r>
      <w:bookmarkEnd w:id="4"/>
    </w:p>
    <w:p w14:paraId="1EF82B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征集人</w:t>
      </w:r>
      <w:r>
        <w:rPr>
          <w:rFonts w:hint="default" w:ascii="宋体" w:hAnsi="宋体" w:eastAsia="宋体"/>
          <w:color w:val="auto"/>
          <w:sz w:val="24"/>
          <w:highlight w:val="none"/>
          <w:lang w:val="en-US" w:eastAsia="zh-CN"/>
        </w:rPr>
        <w:t>接受</w:t>
      </w:r>
      <w:r>
        <w:rPr>
          <w:rFonts w:hint="eastAsia" w:ascii="宋体" w:hAnsi="宋体" w:eastAsia="宋体"/>
          <w:color w:val="auto"/>
          <w:sz w:val="24"/>
          <w:highlight w:val="none"/>
          <w:lang w:val="en-US" w:eastAsia="zh-CN"/>
        </w:rPr>
        <w:t>采购</w:t>
      </w:r>
      <w:r>
        <w:rPr>
          <w:rFonts w:hint="default" w:ascii="宋体" w:hAnsi="宋体" w:eastAsia="宋体"/>
          <w:color w:val="auto"/>
          <w:sz w:val="24"/>
          <w:highlight w:val="none"/>
          <w:lang w:val="en-US" w:eastAsia="zh-CN"/>
        </w:rPr>
        <w:t>人和服务对象对入围供应商履行框架协议和采购合同情况的反馈与评价，并将用户反馈和评价情况向采购人和服务对象公开，</w:t>
      </w:r>
      <w:r>
        <w:rPr>
          <w:rFonts w:hint="eastAsia" w:ascii="宋体" w:hAnsi="宋体" w:eastAsia="宋体"/>
          <w:color w:val="auto"/>
          <w:sz w:val="24"/>
          <w:highlight w:val="none"/>
          <w:lang w:val="en-US" w:eastAsia="zh-CN"/>
        </w:rPr>
        <w:t>可</w:t>
      </w:r>
      <w:r>
        <w:rPr>
          <w:rFonts w:hint="default" w:ascii="宋体" w:hAnsi="宋体" w:eastAsia="宋体"/>
          <w:color w:val="auto"/>
          <w:sz w:val="24"/>
          <w:highlight w:val="none"/>
          <w:lang w:val="en-US" w:eastAsia="zh-CN"/>
        </w:rPr>
        <w:t>作为第二阶段直接选定成交供应商的参考</w:t>
      </w:r>
      <w:r>
        <w:rPr>
          <w:rFonts w:hint="eastAsia" w:ascii="宋体" w:hAnsi="宋体" w:eastAsia="宋体"/>
          <w:color w:val="auto"/>
          <w:sz w:val="24"/>
          <w:highlight w:val="none"/>
          <w:lang w:val="en-US" w:eastAsia="zh-CN"/>
        </w:rPr>
        <w:t>。</w:t>
      </w:r>
    </w:p>
    <w:p w14:paraId="427354EB">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建立用户反馈和评价机制，接受征集人和服务对象对入围供应商履行框架协议和采购合同情况的反馈与评价，并将用户反馈和评价情况向征集人和服务对象公开，作为第二阶段直接选定成交供应商的参考。注：评价机制中标后由征集人出具；基本内容如下：</w:t>
      </w:r>
    </w:p>
    <w:p w14:paraId="1B56F192">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为进一步加强</w:t>
      </w:r>
      <w:r>
        <w:rPr>
          <w:rFonts w:hint="eastAsia" w:ascii="宋体" w:hAnsi="宋体" w:eastAsia="宋体" w:cs="@仿宋_GB2312"/>
          <w:color w:val="auto"/>
          <w:kern w:val="2"/>
          <w:sz w:val="24"/>
          <w:szCs w:val="20"/>
          <w:highlight w:val="none"/>
          <w:lang w:val="en-US" w:eastAsia="zh-CN" w:bidi="ar-SA"/>
        </w:rPr>
        <w:t>天长市基层公务出行新能源汽车定点分时租赁</w:t>
      </w:r>
      <w:r>
        <w:rPr>
          <w:rFonts w:hint="default" w:ascii="宋体" w:hAnsi="宋体" w:eastAsia="宋体" w:cs="@仿宋_GB2312"/>
          <w:color w:val="auto"/>
          <w:kern w:val="2"/>
          <w:sz w:val="24"/>
          <w:szCs w:val="20"/>
          <w:highlight w:val="none"/>
          <w:lang w:val="en-US" w:eastAsia="zh-CN" w:bidi="ar-SA"/>
        </w:rPr>
        <w:t>公司履约管理，提高服务质量，根据招标采购文件有关规定，制订“</w:t>
      </w:r>
      <w:r>
        <w:rPr>
          <w:rFonts w:hint="eastAsia" w:ascii="宋体" w:hAnsi="宋体" w:eastAsia="宋体" w:cs="@仿宋_GB2312"/>
          <w:color w:val="auto"/>
          <w:kern w:val="2"/>
          <w:sz w:val="24"/>
          <w:szCs w:val="20"/>
          <w:highlight w:val="none"/>
          <w:lang w:val="en-US" w:eastAsia="zh-CN" w:bidi="ar-SA"/>
        </w:rPr>
        <w:t>打分制度</w:t>
      </w:r>
      <w:r>
        <w:rPr>
          <w:rFonts w:hint="default" w:ascii="宋体" w:hAnsi="宋体" w:eastAsia="宋体" w:cs="@仿宋_GB2312"/>
          <w:color w:val="auto"/>
          <w:kern w:val="2"/>
          <w:sz w:val="24"/>
          <w:szCs w:val="20"/>
          <w:highlight w:val="none"/>
          <w:lang w:val="en-US" w:eastAsia="zh-CN" w:bidi="ar-SA"/>
        </w:rPr>
        <w:t>”实施办法如下：</w:t>
      </w:r>
    </w:p>
    <w:p w14:paraId="78632B17">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一、考核对象</w:t>
      </w:r>
    </w:p>
    <w:p w14:paraId="19A83620">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所有招标确定的</w:t>
      </w:r>
      <w:r>
        <w:rPr>
          <w:rFonts w:hint="eastAsia" w:ascii="宋体" w:hAnsi="宋体" w:eastAsia="宋体" w:cs="@仿宋_GB2312"/>
          <w:color w:val="auto"/>
          <w:kern w:val="2"/>
          <w:sz w:val="24"/>
          <w:szCs w:val="20"/>
          <w:highlight w:val="none"/>
          <w:lang w:val="en-US" w:eastAsia="zh-CN" w:bidi="ar-SA"/>
        </w:rPr>
        <w:t>天长市基层公务出行新能源汽车定点分时租赁</w:t>
      </w:r>
      <w:r>
        <w:rPr>
          <w:rFonts w:hint="default" w:ascii="宋体" w:hAnsi="宋体" w:eastAsia="宋体" w:cs="@仿宋_GB2312"/>
          <w:color w:val="auto"/>
          <w:kern w:val="2"/>
          <w:sz w:val="24"/>
          <w:szCs w:val="20"/>
          <w:highlight w:val="none"/>
          <w:lang w:val="en-US" w:eastAsia="zh-CN" w:bidi="ar-SA"/>
        </w:rPr>
        <w:t>服务公司</w:t>
      </w:r>
    </w:p>
    <w:p w14:paraId="5A06245F">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二、考核内容</w:t>
      </w:r>
    </w:p>
    <w:p w14:paraId="3613AFE5">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详见考核评分标准</w:t>
      </w:r>
    </w:p>
    <w:p w14:paraId="36238515">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三、数据来源</w:t>
      </w:r>
    </w:p>
    <w:p w14:paraId="41004815">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1、通过</w:t>
      </w:r>
      <w:r>
        <w:rPr>
          <w:rFonts w:hint="eastAsia" w:ascii="宋体" w:hAnsi="宋体" w:eastAsia="宋体" w:cs="@仿宋_GB2312"/>
          <w:color w:val="auto"/>
          <w:kern w:val="2"/>
          <w:sz w:val="24"/>
          <w:szCs w:val="20"/>
          <w:highlight w:val="none"/>
          <w:lang w:val="en-US" w:eastAsia="zh-CN" w:bidi="ar-SA"/>
        </w:rPr>
        <w:t>滁州市公务用车信息管理服务平台</w:t>
      </w:r>
      <w:r>
        <w:rPr>
          <w:rFonts w:hint="default" w:ascii="宋体" w:hAnsi="宋体" w:eastAsia="宋体" w:cs="@仿宋_GB2312"/>
          <w:color w:val="auto"/>
          <w:kern w:val="2"/>
          <w:sz w:val="24"/>
          <w:szCs w:val="20"/>
          <w:highlight w:val="none"/>
          <w:lang w:val="en-US" w:eastAsia="zh-CN" w:bidi="ar-SA"/>
        </w:rPr>
        <w:t>统计</w:t>
      </w:r>
      <w:r>
        <w:rPr>
          <w:rFonts w:hint="eastAsia" w:ascii="宋体" w:hAnsi="宋体" w:eastAsia="宋体" w:cs="@仿宋_GB2312"/>
          <w:color w:val="auto"/>
          <w:kern w:val="2"/>
          <w:sz w:val="24"/>
          <w:szCs w:val="20"/>
          <w:highlight w:val="none"/>
          <w:lang w:val="en-US" w:eastAsia="zh-CN" w:bidi="ar-SA"/>
        </w:rPr>
        <w:t>及租赁单位反馈</w:t>
      </w:r>
      <w:r>
        <w:rPr>
          <w:rFonts w:hint="default" w:ascii="宋体" w:hAnsi="宋体" w:eastAsia="宋体" w:cs="@仿宋_GB2312"/>
          <w:color w:val="auto"/>
          <w:kern w:val="2"/>
          <w:sz w:val="24"/>
          <w:szCs w:val="20"/>
          <w:highlight w:val="none"/>
          <w:lang w:val="en-US" w:eastAsia="zh-CN" w:bidi="ar-SA"/>
        </w:rPr>
        <w:t>。</w:t>
      </w:r>
    </w:p>
    <w:p w14:paraId="7F6717F7">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四、考核周期</w:t>
      </w:r>
    </w:p>
    <w:p w14:paraId="6386C435">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原则上每年考核一次，可根据实际情况进行调整。</w:t>
      </w:r>
    </w:p>
    <w:p w14:paraId="07F02C7E">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五、淘汰对象</w:t>
      </w:r>
    </w:p>
    <w:p w14:paraId="378CCDA1">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1、依据采购合同，达到合同终止条件的租赁定点服务公司。</w:t>
      </w:r>
    </w:p>
    <w:p w14:paraId="279742C2">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六、淘汰后处理</w:t>
      </w:r>
    </w:p>
    <w:p w14:paraId="0729C31F">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w:t>
      </w:r>
      <w:r>
        <w:rPr>
          <w:rFonts w:hint="eastAsia" w:ascii="宋体" w:hAnsi="宋体" w:eastAsia="宋体" w:cs="@仿宋_GB2312"/>
          <w:color w:val="auto"/>
          <w:kern w:val="2"/>
          <w:sz w:val="24"/>
          <w:szCs w:val="20"/>
          <w:highlight w:val="none"/>
          <w:lang w:val="en-US" w:eastAsia="zh-CN" w:bidi="ar-SA"/>
        </w:rPr>
        <w:t>打分不达标的，</w:t>
      </w:r>
      <w:r>
        <w:rPr>
          <w:rFonts w:hint="default" w:ascii="宋体" w:hAnsi="宋体" w:eastAsia="宋体" w:cs="@仿宋_GB2312"/>
          <w:color w:val="auto"/>
          <w:kern w:val="2"/>
          <w:sz w:val="24"/>
          <w:szCs w:val="20"/>
          <w:highlight w:val="none"/>
          <w:lang w:val="en-US" w:eastAsia="zh-CN" w:bidi="ar-SA"/>
        </w:rPr>
        <w:t>取消租赁服务公司入围资格。</w:t>
      </w:r>
    </w:p>
    <w:p w14:paraId="58410302">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w:t>
      </w:r>
      <w:r>
        <w:rPr>
          <w:rFonts w:hint="default" w:ascii="宋体" w:hAnsi="宋体" w:eastAsia="宋体" w:cs="@仿宋_GB2312"/>
          <w:color w:val="auto"/>
          <w:kern w:val="2"/>
          <w:sz w:val="24"/>
          <w:szCs w:val="20"/>
          <w:highlight w:val="none"/>
          <w:lang w:val="en-US" w:eastAsia="zh-CN" w:bidi="ar-SA"/>
        </w:rPr>
        <w:t>、被淘汰租赁定点服务公司无权参与</w:t>
      </w:r>
      <w:r>
        <w:rPr>
          <w:rFonts w:hint="eastAsia" w:ascii="宋体" w:hAnsi="宋体" w:eastAsia="宋体" w:cs="@仿宋_GB2312"/>
          <w:color w:val="auto"/>
          <w:kern w:val="2"/>
          <w:sz w:val="24"/>
          <w:szCs w:val="20"/>
          <w:highlight w:val="none"/>
          <w:lang w:val="en-US" w:eastAsia="zh-CN" w:bidi="ar-SA"/>
        </w:rPr>
        <w:t>本项目</w:t>
      </w:r>
      <w:r>
        <w:rPr>
          <w:rFonts w:hint="default" w:ascii="宋体" w:hAnsi="宋体" w:eastAsia="宋体" w:cs="@仿宋_GB2312"/>
          <w:color w:val="auto"/>
          <w:kern w:val="2"/>
          <w:sz w:val="24"/>
          <w:szCs w:val="20"/>
          <w:highlight w:val="none"/>
          <w:lang w:val="en-US" w:eastAsia="zh-CN" w:bidi="ar-SA"/>
        </w:rPr>
        <w:t>征集。</w:t>
      </w:r>
    </w:p>
    <w:p w14:paraId="487E0C5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olor w:val="auto"/>
          <w:sz w:val="24"/>
          <w:highlight w:val="none"/>
          <w:lang w:val="en-US" w:eastAsia="zh-CN"/>
        </w:rPr>
      </w:pPr>
    </w:p>
    <w:p w14:paraId="40CE89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br w:type="page"/>
      </w:r>
    </w:p>
    <w:p w14:paraId="517CA79B">
      <w:pPr>
        <w:spacing w:line="360" w:lineRule="auto"/>
        <w:jc w:val="center"/>
        <w:outlineLvl w:val="0"/>
        <w:rPr>
          <w:rFonts w:hint="default" w:ascii="宋体" w:hAnsi="宋体" w:eastAsia="宋体"/>
          <w:color w:val="auto"/>
          <w:sz w:val="24"/>
          <w:highlight w:val="none"/>
          <w:lang w:val="en-US" w:eastAsia="zh-CN"/>
        </w:rPr>
      </w:pPr>
      <w:bookmarkStart w:id="5" w:name="_Toc3760"/>
      <w:r>
        <w:rPr>
          <w:rFonts w:hint="eastAsia" w:asciiTheme="minorEastAsia" w:hAnsiTheme="minorEastAsia" w:eastAsiaTheme="minorEastAsia"/>
          <w:b/>
          <w:color w:val="auto"/>
          <w:sz w:val="28"/>
          <w:highlight w:val="none"/>
          <w:lang w:val="en-US" w:eastAsia="zh-CN"/>
        </w:rPr>
        <w:t>第三章  入围供应商的清退机制和补充规则</w:t>
      </w:r>
      <w:bookmarkEnd w:id="5"/>
    </w:p>
    <w:p w14:paraId="475853E5">
      <w:pPr>
        <w:spacing w:line="360" w:lineRule="auto"/>
        <w:ind w:firstLine="437"/>
        <w:outlineLvl w:val="1"/>
        <w:rPr>
          <w:rFonts w:hint="default" w:ascii="宋体" w:hAnsi="宋体" w:eastAsia="宋体"/>
          <w:b/>
          <w:color w:val="auto"/>
          <w:sz w:val="24"/>
          <w:szCs w:val="18"/>
          <w:highlight w:val="none"/>
          <w:lang w:val="en-US" w:eastAsia="zh-CN"/>
        </w:rPr>
      </w:pPr>
      <w:bookmarkStart w:id="6" w:name="_Toc27440"/>
      <w:bookmarkStart w:id="7" w:name="_Toc32121"/>
      <w:bookmarkStart w:id="8" w:name="_Toc31988"/>
      <w:r>
        <w:rPr>
          <w:rFonts w:hint="eastAsia" w:ascii="宋体" w:hAnsi="宋体" w:eastAsia="宋体"/>
          <w:b/>
          <w:color w:val="auto"/>
          <w:sz w:val="24"/>
          <w:szCs w:val="18"/>
          <w:highlight w:val="none"/>
          <w:lang w:val="en-US" w:eastAsia="zh-CN"/>
        </w:rPr>
        <w:t>一、入围供应商的清退机制</w:t>
      </w:r>
      <w:bookmarkEnd w:id="6"/>
      <w:bookmarkEnd w:id="7"/>
      <w:bookmarkEnd w:id="8"/>
    </w:p>
    <w:p w14:paraId="53DD3D7B">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供应商不得出现以下情况，如有发生，予以清退。</w:t>
      </w:r>
    </w:p>
    <w:p w14:paraId="32175251">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(1)违反工作纪律要求；无故不服从招标人安排的任务</w:t>
      </w:r>
    </w:p>
    <w:p w14:paraId="690E7042">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(2)将征集人委托的工作转包或分包给其他单位或个人；</w:t>
      </w:r>
    </w:p>
    <w:p w14:paraId="6CAF5DBA">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(3)供应商及其人员工作出现重大过失，或有恶意串通修改车辆信息等弄虚作假行为，牟取非法利益，给国家造成损失或给工作造成恶劣影响的；</w:t>
      </w:r>
    </w:p>
    <w:p w14:paraId="4A9CCB15">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(4)考核期内多次出现未及时出车、车辆安排不满足要求、车辆故障影响使用、等；</w:t>
      </w:r>
    </w:p>
    <w:p w14:paraId="6D664313">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（5）多次出现响应时间不及时、到场时间不及时导致无法开展工作的；</w:t>
      </w:r>
    </w:p>
    <w:p w14:paraId="21EB7BCA">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（6）未在规定期限内提供服务；</w:t>
      </w:r>
    </w:p>
    <w:p w14:paraId="2C1CF7A6">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(7)供应商响应文件中所报材料与实际情况不符，征集人有权单方面解除与供应商的所有委托业务。触犯法律的，承担全部法律责任；</w:t>
      </w:r>
    </w:p>
    <w:p w14:paraId="3203FEA1">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(8)征集人依据征集文件约定的考核办法等对供应商进行考核，考核不合格者予以清退。</w:t>
      </w:r>
    </w:p>
    <w:p w14:paraId="6AA19E87">
      <w:pPr>
        <w:spacing w:line="360" w:lineRule="auto"/>
        <w:ind w:firstLine="435"/>
        <w:rPr>
          <w:rFonts w:hint="default"/>
          <w:color w:val="auto"/>
          <w:lang w:val="en-US" w:eastAsia="zh-CN"/>
        </w:rPr>
      </w:pPr>
      <w:r>
        <w:rPr>
          <w:rFonts w:hint="eastAsia" w:ascii="宋体" w:hAnsi="宋体" w:eastAsia="宋体"/>
          <w:color w:val="auto"/>
          <w:sz w:val="24"/>
          <w:highlight w:val="none"/>
          <w:lang w:val="en-US" w:eastAsia="zh-CN"/>
        </w:rPr>
        <w:t>（9）征集人在工作期间，出现行贿、受贿行为，对公司法人、公司追究法律责任</w:t>
      </w:r>
      <w:r>
        <w:rPr>
          <w:rFonts w:hint="eastAsia"/>
          <w:color w:val="auto"/>
          <w:lang w:val="en-US" w:eastAsia="zh-CN"/>
        </w:rPr>
        <w:t>。</w:t>
      </w:r>
    </w:p>
    <w:p w14:paraId="7BDBE604">
      <w:pPr>
        <w:spacing w:line="360" w:lineRule="auto"/>
        <w:ind w:firstLine="437"/>
        <w:outlineLvl w:val="1"/>
        <w:rPr>
          <w:rFonts w:hint="default" w:ascii="宋体" w:hAnsi="宋体" w:eastAsia="宋体"/>
          <w:b/>
          <w:color w:val="auto"/>
          <w:sz w:val="24"/>
          <w:szCs w:val="18"/>
          <w:highlight w:val="none"/>
          <w:lang w:val="en-US" w:eastAsia="zh-CN"/>
        </w:rPr>
      </w:pPr>
      <w:bookmarkStart w:id="9" w:name="_Toc30385"/>
      <w:bookmarkStart w:id="10" w:name="_Toc20866"/>
      <w:bookmarkStart w:id="11" w:name="_Toc4364"/>
      <w:r>
        <w:rPr>
          <w:rFonts w:hint="eastAsia" w:ascii="宋体" w:hAnsi="宋体" w:eastAsia="宋体"/>
          <w:b/>
          <w:color w:val="auto"/>
          <w:sz w:val="24"/>
          <w:szCs w:val="18"/>
          <w:highlight w:val="none"/>
          <w:lang w:val="en-US" w:eastAsia="zh-CN"/>
        </w:rPr>
        <w:t>二、入围供应商的补充规则</w:t>
      </w:r>
      <w:bookmarkEnd w:id="9"/>
      <w:bookmarkEnd w:id="10"/>
      <w:bookmarkEnd w:id="11"/>
      <w:r>
        <w:rPr>
          <w:rFonts w:hint="eastAsia" w:ascii="宋体" w:hAnsi="宋体" w:eastAsia="宋体"/>
          <w:b/>
          <w:color w:val="auto"/>
          <w:sz w:val="24"/>
          <w:szCs w:val="18"/>
          <w:highlight w:val="none"/>
          <w:lang w:val="en-US" w:eastAsia="zh-CN"/>
        </w:rPr>
        <w:t xml:space="preserve"> </w:t>
      </w:r>
    </w:p>
    <w:p w14:paraId="582E1F35">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1.征集公告发布后至框架协议期满前，供应商可以按照征集公告要求，随时提交加入框架协议的申请。</w:t>
      </w:r>
    </w:p>
    <w:p w14:paraId="1FD6AC08">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2.征集人在收到供应商申请后7个工作日内完成审核，并将审核通过结果发布入围结果公告。供应商在递交申请文件后，须拨打0550-7770232（</w:t>
      </w:r>
      <w:r>
        <w:rPr>
          <w:rStyle w:val="35"/>
          <w:rFonts w:hint="eastAsia" w:eastAsia="宋体" w:cs="Times New Roman"/>
          <w:lang w:val="en-US" w:eastAsia="zh-CN"/>
        </w:rPr>
        <w:t>13855097520</w:t>
      </w:r>
      <w:r>
        <w:rPr>
          <w:rFonts w:hint="eastAsia" w:ascii="宋体" w:hAnsi="宋体" w:eastAsia="宋体"/>
          <w:color w:val="auto"/>
          <w:sz w:val="24"/>
          <w:highlight w:val="none"/>
          <w:lang w:val="en-US" w:eastAsia="zh-CN"/>
        </w:rPr>
        <w:t>）或13905503107进行确认。</w:t>
      </w:r>
    </w:p>
    <w:p w14:paraId="1605E554">
      <w:pPr>
        <w:ind w:firstLine="480" w:firstLineChars="200"/>
        <w:rPr>
          <w:rFonts w:hint="eastAsia" w:asciiTheme="minorEastAsia" w:hAnsiTheme="minorEastAsia" w:eastAsiaTheme="minorEastAsia"/>
          <w:b/>
          <w:color w:val="auto"/>
          <w:sz w:val="28"/>
          <w:highlight w:val="none"/>
          <w:lang w:val="en-US" w:eastAsia="zh-CN"/>
        </w:rPr>
      </w:pPr>
      <w:r>
        <w:rPr>
          <w:rFonts w:hint="eastAsia" w:ascii="宋体" w:hAnsi="宋体" w:eastAsia="宋体"/>
          <w:color w:val="auto"/>
          <w:sz w:val="24"/>
          <w:highlight w:val="none"/>
          <w:lang w:val="en-US" w:eastAsia="zh-CN"/>
        </w:rPr>
        <w:t>3.本轮征集活动及后续供应商申请加入本框架协议的，均由天长市机关事务管理服务中心或天长市超杰建筑工程有限公司作为征集人（代理机构）接收申请并组织审查</w:t>
      </w:r>
      <w:r>
        <w:rPr>
          <w:rFonts w:hint="eastAsia" w:ascii="仿宋" w:hAnsi="仿宋" w:eastAsia="仿宋" w:cs="宋体"/>
          <w:color w:val="auto"/>
          <w:kern w:val="0"/>
          <w:sz w:val="28"/>
          <w:szCs w:val="28"/>
          <w:highlight w:val="none"/>
        </w:rPr>
        <w:t>。</w:t>
      </w:r>
      <w:r>
        <w:rPr>
          <w:rFonts w:hint="eastAsia" w:asciiTheme="minorEastAsia" w:hAnsiTheme="minorEastAsia" w:eastAsiaTheme="minorEastAsia"/>
          <w:b/>
          <w:color w:val="auto"/>
          <w:sz w:val="28"/>
          <w:highlight w:val="none"/>
          <w:lang w:val="en-US" w:eastAsia="zh-CN"/>
        </w:rPr>
        <w:br w:type="page"/>
      </w:r>
    </w:p>
    <w:p w14:paraId="7E9BF8DF">
      <w:pPr>
        <w:spacing w:line="360" w:lineRule="auto"/>
        <w:jc w:val="center"/>
        <w:outlineLvl w:val="0"/>
        <w:rPr>
          <w:rFonts w:hint="eastAsia" w:asciiTheme="minorEastAsia" w:hAnsiTheme="minorEastAsia" w:eastAsiaTheme="minorEastAsia"/>
          <w:b/>
          <w:color w:val="auto"/>
          <w:sz w:val="28"/>
          <w:highlight w:val="none"/>
          <w:lang w:val="en-US" w:eastAsia="zh-CN"/>
        </w:rPr>
      </w:pPr>
      <w:bookmarkStart w:id="12" w:name="_Toc16487"/>
      <w:r>
        <w:rPr>
          <w:rFonts w:hint="eastAsia" w:asciiTheme="minorEastAsia" w:hAnsiTheme="minorEastAsia" w:eastAsiaTheme="minorEastAsia"/>
          <w:b/>
          <w:color w:val="auto"/>
          <w:sz w:val="28"/>
          <w:highlight w:val="none"/>
          <w:lang w:val="en-US" w:eastAsia="zh-CN"/>
        </w:rPr>
        <w:t>第四章  供应商信用信息</w:t>
      </w:r>
      <w:bookmarkEnd w:id="12"/>
    </w:p>
    <w:p w14:paraId="5B797AE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1.供应商</w:t>
      </w:r>
      <w:r>
        <w:rPr>
          <w:rFonts w:hint="eastAsia" w:asciiTheme="minorEastAsia" w:hAnsiTheme="minorEastAsia" w:eastAsiaTheme="minorEastAsia"/>
          <w:color w:val="auto"/>
          <w:sz w:val="24"/>
          <w:highlight w:val="none"/>
        </w:rPr>
        <w:t>存在不良信用记录的不</w:t>
      </w:r>
      <w:r>
        <w:rPr>
          <w:rFonts w:hint="eastAsia" w:asciiTheme="minorEastAsia" w:hAnsiTheme="minorEastAsia" w:eastAsiaTheme="minorEastAsia"/>
          <w:color w:val="auto"/>
          <w:sz w:val="24"/>
          <w:highlight w:val="none"/>
          <w:lang w:val="en-US" w:eastAsia="zh-CN"/>
        </w:rPr>
        <w:t>得入围</w:t>
      </w:r>
      <w:r>
        <w:rPr>
          <w:rFonts w:hint="eastAsia" w:asciiTheme="minorEastAsia" w:hAnsiTheme="minorEastAsia" w:eastAsiaTheme="minorEastAsia"/>
          <w:color w:val="auto"/>
          <w:sz w:val="24"/>
          <w:highlight w:val="none"/>
        </w:rPr>
        <w:t>。</w:t>
      </w:r>
    </w:p>
    <w:p w14:paraId="7B72E9A0">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供应商存在以下不良信用记录情形之一的，不得确定为入围供应商：</w:t>
      </w:r>
    </w:p>
    <w:p w14:paraId="19E8BC48">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①投标人被人民法院列入失信被执行人的；</w:t>
      </w:r>
    </w:p>
    <w:p w14:paraId="0C687454">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②投标人或其法定代表人或拟派项目经理（项目负责人）有行贿犯罪行为的；</w:t>
      </w:r>
    </w:p>
    <w:p w14:paraId="57A1C5F5">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③投标人被市场监督管理部门列入经营异常名录或者严重违法企业名单，且未被移除的；</w:t>
      </w:r>
    </w:p>
    <w:p w14:paraId="54CA5A02">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④投标人被税务部门列入重大税收违法案件当事人的；</w:t>
      </w:r>
    </w:p>
    <w:p w14:paraId="6BB47FE2">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⑤投标人被政府采购监管部门列入政府采购严重违法失信行为记录名单的；</w:t>
      </w:r>
    </w:p>
    <w:p w14:paraId="7E0F35F1">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⑥在“信用中国”网站上披露仍在公示期的严重失信行为的。</w:t>
      </w:r>
    </w:p>
    <w:p w14:paraId="169E96EA">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5.投标人所属分公司、办事处等分支机构存在第4款信誉要求①-⑥项情形之一的，接受供应商参加本项目。</w:t>
      </w:r>
    </w:p>
    <w:p w14:paraId="66F69B06">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w:t>
      </w:r>
    </w:p>
    <w:p w14:paraId="6F22E6D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rPr>
        <w:t>企业</w:t>
      </w:r>
      <w:r>
        <w:rPr>
          <w:rFonts w:hint="eastAsia" w:asciiTheme="minorEastAsia" w:hAnsiTheme="minorEastAsia" w:eastAsiaTheme="minorEastAsia"/>
          <w:color w:val="auto"/>
          <w:sz w:val="24"/>
          <w:highlight w:val="none"/>
        </w:rPr>
        <w:t xml:space="preserve">经营异常名录以国家企业信用信息公示系统查询结果为准。信用信息查询渠道：中国政府采购网（www.ccgp.gov.cn）、“信用中国” 网站（www.creditchina.gov.cn）、国家企业信用信息公示系统（www.gsxt.gov.cn）。 </w:t>
      </w:r>
    </w:p>
    <w:p w14:paraId="1740999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（2）供应商应自行查询</w:t>
      </w:r>
      <w:r>
        <w:rPr>
          <w:rFonts w:hint="eastAsia" w:asciiTheme="minorEastAsia" w:hAnsiTheme="minorEastAsia" w:eastAsiaTheme="minorEastAsia"/>
          <w:color w:val="auto"/>
          <w:sz w:val="24"/>
          <w:highlight w:val="none"/>
        </w:rPr>
        <w:t>信用信息</w:t>
      </w:r>
      <w:r>
        <w:rPr>
          <w:rFonts w:hint="eastAsia" w:asciiTheme="minorEastAsia" w:hAnsiTheme="minorEastAsia" w:eastAsiaTheme="minorEastAsia"/>
          <w:color w:val="auto"/>
          <w:sz w:val="24"/>
          <w:highlight w:val="none"/>
          <w:lang w:val="en-US" w:eastAsia="zh-CN"/>
        </w:rPr>
        <w:t>。第4、5条按照“关于联合惩戒失信行为加强信用查询管理的通知”</w:t>
      </w:r>
    </w:p>
    <w:p w14:paraId="4B24A173">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（3）征集人将在审核时查询供应商的信用记录。供应商存在不良信用记录的，其申请将被认定为无效。</w:t>
      </w:r>
    </w:p>
    <w:p w14:paraId="5C7421FD">
      <w:pPr>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br w:type="page"/>
      </w:r>
    </w:p>
    <w:p w14:paraId="5C111C51">
      <w:pPr>
        <w:spacing w:line="360" w:lineRule="auto"/>
        <w:jc w:val="center"/>
        <w:outlineLvl w:val="0"/>
        <w:rPr>
          <w:rFonts w:hint="eastAsia" w:asciiTheme="minorEastAsia" w:hAnsiTheme="minorEastAsia" w:eastAsiaTheme="minorEastAsia"/>
          <w:b/>
          <w:color w:val="auto"/>
          <w:sz w:val="28"/>
          <w:highlight w:val="none"/>
        </w:rPr>
      </w:pPr>
      <w:bookmarkStart w:id="13" w:name="_Toc60602106"/>
      <w:bookmarkStart w:id="14" w:name="_Toc3625"/>
      <w:r>
        <w:rPr>
          <w:rFonts w:hint="eastAsia" w:asciiTheme="minorEastAsia" w:hAnsiTheme="minorEastAsia" w:eastAsiaTheme="minorEastAsia"/>
          <w:b/>
          <w:color w:val="auto"/>
          <w:sz w:val="28"/>
          <w:highlight w:val="none"/>
          <w:lang w:val="en-US" w:eastAsia="zh-CN"/>
        </w:rPr>
        <w:t>第五章  资格审查方法和标准</w:t>
      </w:r>
      <w:bookmarkEnd w:id="13"/>
      <w:bookmarkEnd w:id="14"/>
    </w:p>
    <w:p w14:paraId="5C322017">
      <w:pPr>
        <w:spacing w:line="360" w:lineRule="auto"/>
        <w:ind w:firstLine="437"/>
        <w:outlineLvl w:val="1"/>
        <w:rPr>
          <w:rFonts w:asciiTheme="minorEastAsia" w:hAnsiTheme="minorEastAsia" w:eastAsiaTheme="minorEastAsia"/>
          <w:b/>
          <w:color w:val="auto"/>
          <w:sz w:val="24"/>
          <w:highlight w:val="none"/>
        </w:rPr>
      </w:pPr>
      <w:bookmarkStart w:id="15" w:name="_Toc24953"/>
      <w:bookmarkStart w:id="16" w:name="_Toc6708"/>
      <w:bookmarkStart w:id="17" w:name="_Toc30845"/>
      <w:bookmarkStart w:id="18" w:name="_Toc836"/>
      <w:bookmarkStart w:id="19" w:name="_Toc12065"/>
      <w:r>
        <w:rPr>
          <w:rFonts w:hint="eastAsia" w:asciiTheme="minorEastAsia" w:hAnsiTheme="minorEastAsia" w:eastAsiaTheme="minorEastAsia"/>
          <w:b/>
          <w:color w:val="auto"/>
          <w:sz w:val="24"/>
          <w:highlight w:val="none"/>
        </w:rPr>
        <w:t>一、总则</w:t>
      </w:r>
      <w:bookmarkEnd w:id="15"/>
      <w:bookmarkEnd w:id="16"/>
      <w:bookmarkEnd w:id="17"/>
      <w:bookmarkEnd w:id="18"/>
      <w:bookmarkEnd w:id="19"/>
    </w:p>
    <w:p w14:paraId="088463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征集</w:t>
      </w:r>
      <w:r>
        <w:rPr>
          <w:rFonts w:hint="eastAsia" w:asciiTheme="minorEastAsia" w:hAnsiTheme="minorEastAsia" w:eastAsiaTheme="minorEastAsia"/>
          <w:color w:val="auto"/>
          <w:sz w:val="24"/>
          <w:highlight w:val="none"/>
          <w:lang w:val="en-US" w:eastAsia="zh-CN"/>
        </w:rPr>
        <w:t>项目的详细说明和要求</w:t>
      </w:r>
      <w:r>
        <w:rPr>
          <w:rFonts w:hint="eastAsia" w:asciiTheme="minorEastAsia" w:hAnsiTheme="minorEastAsia" w:eastAsiaTheme="minorEastAsia"/>
          <w:color w:val="auto"/>
          <w:sz w:val="24"/>
          <w:highlight w:val="none"/>
        </w:rPr>
        <w:t>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lang w:eastAsia="zh-CN"/>
        </w:rPr>
        <w:t>评审</w:t>
      </w:r>
      <w:r>
        <w:rPr>
          <w:rFonts w:asciiTheme="minorEastAsia" w:hAnsiTheme="minorEastAsia" w:eastAsiaTheme="minorEastAsia"/>
          <w:color w:val="auto"/>
          <w:sz w:val="24"/>
          <w:highlight w:val="none"/>
        </w:rPr>
        <w:t>。</w:t>
      </w:r>
    </w:p>
    <w:p w14:paraId="14F7B284">
      <w:pPr>
        <w:spacing w:line="360" w:lineRule="auto"/>
        <w:ind w:firstLine="437"/>
        <w:outlineLvl w:val="1"/>
        <w:rPr>
          <w:rFonts w:asciiTheme="minorEastAsia" w:hAnsiTheme="minorEastAsia" w:eastAsiaTheme="minorEastAsia"/>
          <w:b/>
          <w:color w:val="auto"/>
          <w:sz w:val="24"/>
          <w:highlight w:val="none"/>
        </w:rPr>
      </w:pPr>
      <w:bookmarkStart w:id="20" w:name="_Toc18393"/>
      <w:bookmarkStart w:id="21" w:name="_Toc30286"/>
      <w:bookmarkStart w:id="22" w:name="_Toc16319"/>
      <w:bookmarkStart w:id="23" w:name="_Toc10140"/>
      <w:bookmarkStart w:id="24" w:name="_Toc31938"/>
      <w:r>
        <w:rPr>
          <w:rFonts w:hint="eastAsia" w:asciiTheme="minorEastAsia" w:hAnsiTheme="minorEastAsia" w:eastAsiaTheme="minorEastAsia"/>
          <w:b/>
          <w:color w:val="auto"/>
          <w:sz w:val="24"/>
          <w:highlight w:val="none"/>
        </w:rPr>
        <w:t>二、</w:t>
      </w:r>
      <w:r>
        <w:rPr>
          <w:rFonts w:hint="eastAsia" w:asciiTheme="minorEastAsia" w:hAnsiTheme="minorEastAsia" w:eastAsiaTheme="minorEastAsia"/>
          <w:b/>
          <w:color w:val="auto"/>
          <w:sz w:val="24"/>
          <w:highlight w:val="none"/>
          <w:lang w:eastAsia="zh-CN"/>
        </w:rPr>
        <w:t>评审</w:t>
      </w:r>
      <w:r>
        <w:rPr>
          <w:rFonts w:hint="eastAsia" w:asciiTheme="minorEastAsia" w:hAnsiTheme="minorEastAsia" w:eastAsiaTheme="minorEastAsia"/>
          <w:b/>
          <w:color w:val="auto"/>
          <w:sz w:val="24"/>
          <w:highlight w:val="none"/>
        </w:rPr>
        <w:t>方法</w:t>
      </w:r>
      <w:bookmarkEnd w:id="20"/>
      <w:bookmarkEnd w:id="21"/>
      <w:bookmarkEnd w:id="22"/>
      <w:bookmarkEnd w:id="23"/>
      <w:bookmarkEnd w:id="24"/>
    </w:p>
    <w:p w14:paraId="1BE8E5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依据政府采购相关法律法规规定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eastAsia="zh-CN"/>
        </w:rPr>
        <w:t>征集人</w:t>
      </w:r>
      <w:r>
        <w:rPr>
          <w:rFonts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进行资格审查</w:t>
      </w:r>
      <w:r>
        <w:rPr>
          <w:rFonts w:asciiTheme="minorEastAsia" w:hAnsiTheme="minorEastAsia" w:eastAsiaTheme="minorEastAsia"/>
          <w:color w:val="auto"/>
          <w:sz w:val="24"/>
          <w:highlight w:val="none"/>
        </w:rPr>
        <w:t>。资格审查表如下：</w:t>
      </w:r>
    </w:p>
    <w:tbl>
      <w:tblPr>
        <w:tblStyle w:val="25"/>
        <w:tblW w:w="950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55"/>
        <w:gridCol w:w="3559"/>
        <w:gridCol w:w="3577"/>
      </w:tblGrid>
      <w:tr w14:paraId="13BF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8" w:type="dxa"/>
            <w:noWrap w:val="0"/>
            <w:vAlign w:val="center"/>
          </w:tcPr>
          <w:p w14:paraId="27BC56A5">
            <w:pPr>
              <w:kinsoku/>
              <w:overflowPunct/>
              <w:bidi w:val="0"/>
              <w:spacing w:line="590" w:lineRule="exact"/>
              <w:jc w:val="center"/>
              <w:rPr>
                <w:rFonts w:hint="eastAsia"/>
                <w:color w:val="auto"/>
                <w:highlight w:val="none"/>
              </w:rPr>
            </w:pPr>
            <w:r>
              <w:rPr>
                <w:rFonts w:hint="eastAsia" w:ascii="黑体" w:eastAsia="黑体" w:cs="黑体"/>
                <w:b/>
                <w:bCs/>
                <w:color w:val="auto"/>
                <w:szCs w:val="21"/>
                <w:highlight w:val="none"/>
              </w:rPr>
              <w:t>序号</w:t>
            </w:r>
          </w:p>
        </w:tc>
        <w:tc>
          <w:tcPr>
            <w:tcW w:w="5114" w:type="dxa"/>
            <w:gridSpan w:val="2"/>
            <w:noWrap w:val="0"/>
            <w:vAlign w:val="center"/>
          </w:tcPr>
          <w:p w14:paraId="796625FF">
            <w:pPr>
              <w:kinsoku/>
              <w:overflowPunct/>
              <w:bidi w:val="0"/>
              <w:spacing w:line="590" w:lineRule="exact"/>
              <w:jc w:val="center"/>
              <w:rPr>
                <w:rFonts w:hint="eastAsia"/>
                <w:color w:val="auto"/>
                <w:highlight w:val="none"/>
              </w:rPr>
            </w:pPr>
            <w:r>
              <w:rPr>
                <w:rFonts w:hint="eastAsia" w:ascii="宋体" w:hAnsi="宋体"/>
                <w:color w:val="auto"/>
                <w:szCs w:val="21"/>
                <w:highlight w:val="none"/>
              </w:rPr>
              <w:t>评审因素</w:t>
            </w:r>
          </w:p>
        </w:tc>
        <w:tc>
          <w:tcPr>
            <w:tcW w:w="3577" w:type="dxa"/>
            <w:noWrap w:val="0"/>
            <w:vAlign w:val="center"/>
          </w:tcPr>
          <w:p w14:paraId="7FF1041E">
            <w:pPr>
              <w:kinsoku/>
              <w:overflowPunct/>
              <w:bidi w:val="0"/>
              <w:spacing w:line="590" w:lineRule="exact"/>
              <w:jc w:val="center"/>
              <w:rPr>
                <w:rFonts w:hint="eastAsia"/>
                <w:color w:val="auto"/>
                <w:highlight w:val="none"/>
              </w:rPr>
            </w:pPr>
            <w:r>
              <w:rPr>
                <w:rFonts w:hint="eastAsia" w:ascii="宋体" w:hAnsi="宋体"/>
                <w:color w:val="auto"/>
                <w:szCs w:val="21"/>
                <w:highlight w:val="none"/>
              </w:rPr>
              <w:t>评审标准</w:t>
            </w:r>
          </w:p>
        </w:tc>
      </w:tr>
      <w:tr w14:paraId="645A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8" w:type="dxa"/>
            <w:noWrap w:val="0"/>
            <w:vAlign w:val="center"/>
          </w:tcPr>
          <w:p w14:paraId="06DA081B">
            <w:pPr>
              <w:kinsoku/>
              <w:overflowPunct/>
              <w:bidi w:val="0"/>
              <w:spacing w:line="59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555" w:type="dxa"/>
            <w:noWrap w:val="0"/>
            <w:vAlign w:val="center"/>
          </w:tcPr>
          <w:p w14:paraId="4DBBC9E0">
            <w:pPr>
              <w:kinsoku/>
              <w:overflowPunct/>
              <w:bidi w:val="0"/>
              <w:spacing w:line="59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3559" w:type="dxa"/>
            <w:noWrap w:val="0"/>
            <w:vAlign w:val="center"/>
          </w:tcPr>
          <w:p w14:paraId="76EA2BAE">
            <w:pPr>
              <w:kinsoku/>
              <w:overflowPunct/>
              <w:bidi w:val="0"/>
              <w:spacing w:line="590" w:lineRule="exact"/>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3577" w:type="dxa"/>
            <w:noWrap w:val="0"/>
            <w:vAlign w:val="center"/>
          </w:tcPr>
          <w:p w14:paraId="449ED7BB">
            <w:pPr>
              <w:kinsoku/>
              <w:overflowPunct/>
              <w:bidi w:val="0"/>
              <w:spacing w:line="590" w:lineRule="exact"/>
              <w:jc w:val="left"/>
              <w:rPr>
                <w:rFonts w:hint="eastAsia" w:ascii="宋体" w:hAnsi="宋体"/>
                <w:color w:val="auto"/>
                <w:szCs w:val="21"/>
                <w:highlight w:val="none"/>
              </w:rPr>
            </w:pPr>
            <w:r>
              <w:rPr>
                <w:rFonts w:hint="eastAsia" w:ascii="宋体" w:hAnsi="宋体" w:cs="宋体"/>
                <w:color w:val="auto"/>
                <w:szCs w:val="21"/>
                <w:highlight w:val="none"/>
              </w:rPr>
              <w:t>检验电子标书，响应供应商是自然人的，应提供有效的自然人身份证明。</w:t>
            </w:r>
          </w:p>
        </w:tc>
      </w:tr>
      <w:tr w14:paraId="38F5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8" w:type="dxa"/>
            <w:noWrap w:val="0"/>
            <w:vAlign w:val="center"/>
          </w:tcPr>
          <w:p w14:paraId="24E7D1B5">
            <w:pPr>
              <w:kinsoku/>
              <w:overflowPunct/>
              <w:bidi w:val="0"/>
              <w:spacing w:line="590" w:lineRule="exact"/>
              <w:jc w:val="center"/>
              <w:rPr>
                <w:rFonts w:hint="eastAsia" w:ascii="宋体" w:hAnsi="宋体" w:eastAsia="@仿宋_GB2312"/>
                <w:color w:val="auto"/>
                <w:szCs w:val="21"/>
                <w:highlight w:val="none"/>
                <w:lang w:val="en-US" w:eastAsia="zh-CN"/>
              </w:rPr>
            </w:pPr>
            <w:r>
              <w:rPr>
                <w:rFonts w:hint="eastAsia" w:ascii="宋体" w:hAnsi="宋体"/>
                <w:color w:val="auto"/>
                <w:szCs w:val="21"/>
                <w:highlight w:val="none"/>
                <w:lang w:val="en-US" w:eastAsia="zh-CN"/>
              </w:rPr>
              <w:t>2</w:t>
            </w:r>
          </w:p>
        </w:tc>
        <w:tc>
          <w:tcPr>
            <w:tcW w:w="1555" w:type="dxa"/>
            <w:noWrap w:val="0"/>
            <w:vAlign w:val="center"/>
          </w:tcPr>
          <w:p w14:paraId="798124B8">
            <w:pPr>
              <w:kinsoku/>
              <w:overflowPunct/>
              <w:bidi w:val="0"/>
              <w:spacing w:line="59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报价</w:t>
            </w:r>
          </w:p>
        </w:tc>
        <w:tc>
          <w:tcPr>
            <w:tcW w:w="3559" w:type="dxa"/>
            <w:noWrap w:val="0"/>
            <w:vAlign w:val="center"/>
          </w:tcPr>
          <w:p w14:paraId="3A814272">
            <w:pPr>
              <w:kinsoku/>
              <w:overflowPunct/>
              <w:bidi w:val="0"/>
              <w:spacing w:line="59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符合本次征集要求</w:t>
            </w:r>
          </w:p>
        </w:tc>
        <w:tc>
          <w:tcPr>
            <w:tcW w:w="3577" w:type="dxa"/>
            <w:noWrap w:val="0"/>
            <w:vAlign w:val="center"/>
          </w:tcPr>
          <w:p w14:paraId="03334EE3">
            <w:pPr>
              <w:kinsoku/>
              <w:overflowPunct/>
              <w:bidi w:val="0"/>
              <w:spacing w:line="59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不得超过最高限制费率</w:t>
            </w:r>
          </w:p>
        </w:tc>
      </w:tr>
      <w:tr w14:paraId="5127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8" w:type="dxa"/>
            <w:noWrap w:val="0"/>
            <w:vAlign w:val="center"/>
          </w:tcPr>
          <w:p w14:paraId="7184C3BB">
            <w:pPr>
              <w:kinsoku/>
              <w:overflowPunct/>
              <w:bidi w:val="0"/>
              <w:spacing w:line="59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555" w:type="dxa"/>
            <w:noWrap w:val="0"/>
            <w:vAlign w:val="center"/>
          </w:tcPr>
          <w:p w14:paraId="14F77257">
            <w:pPr>
              <w:kinsoku/>
              <w:overflowPunct/>
              <w:bidi w:val="0"/>
              <w:spacing w:line="59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采购需求要求</w:t>
            </w:r>
          </w:p>
        </w:tc>
        <w:tc>
          <w:tcPr>
            <w:tcW w:w="3559" w:type="dxa"/>
            <w:noWrap w:val="0"/>
            <w:vAlign w:val="center"/>
          </w:tcPr>
          <w:p w14:paraId="190812C8">
            <w:pPr>
              <w:kinsoku/>
              <w:overflowPunct/>
              <w:bidi w:val="0"/>
              <w:spacing w:line="59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符合项目采购需求中项目要求及服务要求</w:t>
            </w:r>
          </w:p>
        </w:tc>
        <w:tc>
          <w:tcPr>
            <w:tcW w:w="3577" w:type="dxa"/>
            <w:noWrap w:val="0"/>
            <w:vAlign w:val="center"/>
          </w:tcPr>
          <w:p w14:paraId="74FC9CB2">
            <w:pPr>
              <w:kinsoku/>
              <w:overflowPunct/>
              <w:bidi w:val="0"/>
              <w:spacing w:line="59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按要求提供相关证明材料扫描件。</w:t>
            </w:r>
          </w:p>
        </w:tc>
      </w:tr>
      <w:tr w14:paraId="088B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18" w:type="dxa"/>
            <w:vMerge w:val="restart"/>
            <w:noWrap w:val="0"/>
            <w:vAlign w:val="center"/>
          </w:tcPr>
          <w:p w14:paraId="71F3CF39">
            <w:pPr>
              <w:kinsoku/>
              <w:overflowPunct/>
              <w:bidi w:val="0"/>
              <w:spacing w:line="590" w:lineRule="exact"/>
              <w:jc w:val="center"/>
              <w:rPr>
                <w:rFonts w:hint="eastAsia" w:ascii="宋体" w:hAnsi="宋体" w:eastAsia="@仿宋_GB2312"/>
                <w:color w:val="auto"/>
                <w:szCs w:val="21"/>
                <w:highlight w:val="none"/>
                <w:lang w:eastAsia="zh-CN"/>
              </w:rPr>
            </w:pPr>
            <w:r>
              <w:rPr>
                <w:rFonts w:hint="eastAsia" w:ascii="宋体" w:hAnsi="宋体"/>
                <w:color w:val="auto"/>
                <w:szCs w:val="21"/>
                <w:highlight w:val="none"/>
                <w:lang w:val="en-US" w:eastAsia="zh-CN"/>
              </w:rPr>
              <w:t>4</w:t>
            </w:r>
          </w:p>
        </w:tc>
        <w:tc>
          <w:tcPr>
            <w:tcW w:w="1555" w:type="dxa"/>
            <w:vMerge w:val="restart"/>
            <w:noWrap w:val="0"/>
            <w:vAlign w:val="center"/>
          </w:tcPr>
          <w:p w14:paraId="25689878">
            <w:pPr>
              <w:kinsoku/>
              <w:overflowPunct/>
              <w:bidi w:val="0"/>
              <w:spacing w:line="590" w:lineRule="exact"/>
              <w:rPr>
                <w:rFonts w:hint="eastAsia" w:ascii="宋体" w:hAnsi="宋体"/>
                <w:color w:val="auto"/>
                <w:szCs w:val="21"/>
                <w:highlight w:val="none"/>
              </w:rPr>
            </w:pPr>
            <w:r>
              <w:rPr>
                <w:rFonts w:hint="eastAsia" w:ascii="宋体" w:hAnsi="宋体"/>
                <w:color w:val="auto"/>
                <w:szCs w:val="21"/>
                <w:highlight w:val="none"/>
              </w:rPr>
              <w:t>响应供应商应符合的基本资格条件</w:t>
            </w:r>
          </w:p>
        </w:tc>
        <w:tc>
          <w:tcPr>
            <w:tcW w:w="3559" w:type="dxa"/>
            <w:noWrap w:val="0"/>
            <w:vAlign w:val="center"/>
          </w:tcPr>
          <w:p w14:paraId="7ED3886C">
            <w:pPr>
              <w:kinsoku/>
              <w:overflowPunct/>
              <w:bidi w:val="0"/>
              <w:spacing w:line="590" w:lineRule="exact"/>
              <w:rPr>
                <w:rFonts w:hint="eastAsia" w:ascii="宋体" w:hAnsi="宋体"/>
                <w:color w:val="auto"/>
                <w:szCs w:val="21"/>
                <w:highlight w:val="none"/>
              </w:rPr>
            </w:pPr>
            <w:r>
              <w:rPr>
                <w:rFonts w:hint="eastAsia" w:ascii="宋体" w:hAnsi="宋体"/>
                <w:color w:val="auto"/>
                <w:szCs w:val="21"/>
                <w:highlight w:val="none"/>
              </w:rPr>
              <w:t>（2）具有独立承担民事责任的能力</w:t>
            </w:r>
          </w:p>
        </w:tc>
        <w:tc>
          <w:tcPr>
            <w:tcW w:w="3577" w:type="dxa"/>
            <w:noWrap w:val="0"/>
            <w:vAlign w:val="center"/>
          </w:tcPr>
          <w:p w14:paraId="532B1EBC">
            <w:pPr>
              <w:kinsoku/>
              <w:overflowPunct/>
              <w:bidi w:val="0"/>
              <w:spacing w:line="590" w:lineRule="exact"/>
              <w:rPr>
                <w:rFonts w:hint="eastAsia" w:ascii="宋体" w:hAnsi="宋体" w:cs="宋体"/>
                <w:color w:val="auto"/>
                <w:szCs w:val="21"/>
                <w:highlight w:val="none"/>
              </w:rPr>
            </w:pPr>
            <w:r>
              <w:rPr>
                <w:rFonts w:hint="eastAsia" w:ascii="宋体" w:hAnsi="宋体" w:cs="宋体"/>
                <w:b/>
                <w:color w:val="auto"/>
                <w:szCs w:val="21"/>
                <w:highlight w:val="none"/>
              </w:rPr>
              <w:t>评审核验电子标书中的下列证书、证明材料原件</w:t>
            </w:r>
            <w:r>
              <w:rPr>
                <w:rFonts w:hint="eastAsia" w:ascii="宋体" w:hAnsi="宋体" w:cs="宋体"/>
                <w:b/>
                <w:color w:val="auto"/>
                <w:szCs w:val="21"/>
                <w:highlight w:val="none"/>
                <w:lang w:eastAsia="zh-CN"/>
              </w:rPr>
              <w:t>扫描件</w:t>
            </w:r>
            <w:r>
              <w:rPr>
                <w:rFonts w:hint="eastAsia" w:ascii="宋体" w:hAnsi="宋体" w:cs="宋体"/>
                <w:b/>
                <w:color w:val="auto"/>
                <w:szCs w:val="21"/>
                <w:highlight w:val="none"/>
              </w:rPr>
              <w:t>：</w:t>
            </w:r>
          </w:p>
          <w:p w14:paraId="3617EEF2">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响应供应商为企业（包括合伙企业）的，应提供有效的“营业执照”；</w:t>
            </w:r>
          </w:p>
          <w:p w14:paraId="0AED0221">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响应供应商为事业单位的，应提供有效的“事业单位法人证书”；</w:t>
            </w:r>
          </w:p>
          <w:p w14:paraId="2014F82A">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响应供应商是非企业机构的，应提供有效的“执业许可证”、“登记证书”等证明文件；</w:t>
            </w:r>
          </w:p>
          <w:p w14:paraId="6CE36CBE">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响应供应商是个体工商户的，应提供有效的“个体工商户营业执照”；</w:t>
            </w:r>
          </w:p>
          <w:p w14:paraId="5948EA3F">
            <w:pPr>
              <w:kinsoku/>
              <w:overflowPunct/>
              <w:bidi w:val="0"/>
              <w:spacing w:line="590" w:lineRule="exact"/>
              <w:rPr>
                <w:rFonts w:hint="eastAsia" w:ascii="宋体"/>
                <w:color w:val="auto"/>
                <w:szCs w:val="21"/>
                <w:highlight w:val="none"/>
              </w:rPr>
            </w:pPr>
            <w:r>
              <w:rPr>
                <w:rFonts w:hint="eastAsia" w:ascii="宋体" w:hAnsi="宋体" w:cs="宋体"/>
                <w:color w:val="auto"/>
                <w:szCs w:val="21"/>
                <w:highlight w:val="none"/>
              </w:rPr>
              <w:t>响应供应商是自然人的，应提供有效的自然人身份证明。</w:t>
            </w:r>
          </w:p>
        </w:tc>
      </w:tr>
      <w:tr w14:paraId="2367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8" w:type="dxa"/>
            <w:vMerge w:val="continue"/>
            <w:noWrap w:val="0"/>
            <w:vAlign w:val="center"/>
          </w:tcPr>
          <w:p w14:paraId="1B691586">
            <w:pPr>
              <w:kinsoku/>
              <w:overflowPunct/>
              <w:bidi w:val="0"/>
              <w:spacing w:line="590" w:lineRule="exact"/>
              <w:jc w:val="center"/>
              <w:rPr>
                <w:rFonts w:hint="eastAsia" w:ascii="宋体" w:hAnsi="宋体"/>
                <w:color w:val="auto"/>
                <w:szCs w:val="21"/>
                <w:highlight w:val="none"/>
              </w:rPr>
            </w:pPr>
          </w:p>
        </w:tc>
        <w:tc>
          <w:tcPr>
            <w:tcW w:w="1555" w:type="dxa"/>
            <w:vMerge w:val="continue"/>
            <w:noWrap w:val="0"/>
            <w:vAlign w:val="center"/>
          </w:tcPr>
          <w:p w14:paraId="45F50901">
            <w:pPr>
              <w:kinsoku/>
              <w:overflowPunct/>
              <w:bidi w:val="0"/>
              <w:spacing w:line="590" w:lineRule="exact"/>
              <w:rPr>
                <w:rFonts w:hint="eastAsia" w:ascii="宋体" w:hAnsi="宋体"/>
                <w:color w:val="auto"/>
                <w:szCs w:val="21"/>
                <w:highlight w:val="none"/>
              </w:rPr>
            </w:pPr>
          </w:p>
        </w:tc>
        <w:tc>
          <w:tcPr>
            <w:tcW w:w="3559" w:type="dxa"/>
            <w:noWrap w:val="0"/>
            <w:vAlign w:val="top"/>
          </w:tcPr>
          <w:p w14:paraId="64B244BC">
            <w:pPr>
              <w:kinsoku/>
              <w:overflowPunct/>
              <w:bidi w:val="0"/>
              <w:spacing w:line="590" w:lineRule="exact"/>
              <w:rPr>
                <w:rFonts w:hint="eastAsia" w:ascii="宋体" w:hAnsi="宋体" w:cs="宋体"/>
                <w:b/>
                <w:color w:val="auto"/>
                <w:szCs w:val="21"/>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）诚信投标承诺书</w:t>
            </w:r>
          </w:p>
        </w:tc>
        <w:tc>
          <w:tcPr>
            <w:tcW w:w="3577" w:type="dxa"/>
            <w:noWrap w:val="0"/>
            <w:vAlign w:val="top"/>
          </w:tcPr>
          <w:p w14:paraId="032B6F62">
            <w:pPr>
              <w:kinsoku/>
              <w:overflowPunct/>
              <w:bidi w:val="0"/>
              <w:spacing w:line="590" w:lineRule="exact"/>
              <w:ind w:firstLine="420" w:firstLineChars="200"/>
              <w:rPr>
                <w:rFonts w:hint="eastAsia" w:ascii="宋体"/>
                <w:b/>
                <w:color w:val="auto"/>
                <w:szCs w:val="21"/>
                <w:highlight w:val="none"/>
              </w:rPr>
            </w:pPr>
            <w:r>
              <w:rPr>
                <w:rFonts w:hint="eastAsia"/>
                <w:color w:val="auto"/>
                <w:highlight w:val="none"/>
              </w:rPr>
              <w:t>格式见附件，检验电子标书</w:t>
            </w:r>
          </w:p>
        </w:tc>
      </w:tr>
      <w:tr w14:paraId="6259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8" w:type="dxa"/>
            <w:vMerge w:val="continue"/>
            <w:noWrap w:val="0"/>
            <w:vAlign w:val="center"/>
          </w:tcPr>
          <w:p w14:paraId="3F648BA4">
            <w:pPr>
              <w:kinsoku/>
              <w:overflowPunct/>
              <w:bidi w:val="0"/>
              <w:spacing w:line="590" w:lineRule="exact"/>
              <w:jc w:val="center"/>
              <w:rPr>
                <w:rFonts w:hint="eastAsia" w:ascii="宋体" w:hAnsi="宋体"/>
                <w:color w:val="auto"/>
                <w:szCs w:val="21"/>
                <w:highlight w:val="none"/>
              </w:rPr>
            </w:pPr>
          </w:p>
        </w:tc>
        <w:tc>
          <w:tcPr>
            <w:tcW w:w="1555" w:type="dxa"/>
            <w:vMerge w:val="continue"/>
            <w:noWrap w:val="0"/>
            <w:vAlign w:val="center"/>
          </w:tcPr>
          <w:p w14:paraId="46405DE4">
            <w:pPr>
              <w:kinsoku/>
              <w:overflowPunct/>
              <w:bidi w:val="0"/>
              <w:spacing w:line="590" w:lineRule="exact"/>
              <w:rPr>
                <w:rFonts w:hint="eastAsia" w:ascii="宋体" w:hAnsi="宋体"/>
                <w:color w:val="auto"/>
                <w:szCs w:val="21"/>
                <w:highlight w:val="none"/>
              </w:rPr>
            </w:pPr>
          </w:p>
        </w:tc>
        <w:tc>
          <w:tcPr>
            <w:tcW w:w="3559" w:type="dxa"/>
            <w:noWrap w:val="0"/>
            <w:vAlign w:val="top"/>
          </w:tcPr>
          <w:p w14:paraId="26C0E09E">
            <w:pPr>
              <w:kinsoku/>
              <w:overflowPunct/>
              <w:bidi w:val="0"/>
              <w:spacing w:line="590" w:lineRule="exact"/>
              <w:rPr>
                <w:rFonts w:hint="eastAsia" w:eastAsia="宋体"/>
                <w:color w:val="auto"/>
                <w:highlight w:val="none"/>
                <w:lang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服务承诺书</w:t>
            </w:r>
          </w:p>
        </w:tc>
        <w:tc>
          <w:tcPr>
            <w:tcW w:w="3577" w:type="dxa"/>
            <w:noWrap w:val="0"/>
            <w:vAlign w:val="top"/>
          </w:tcPr>
          <w:p w14:paraId="100B2622">
            <w:pPr>
              <w:kinsoku/>
              <w:overflowPunct/>
              <w:bidi w:val="0"/>
              <w:spacing w:line="590" w:lineRule="exact"/>
              <w:jc w:val="center"/>
              <w:rPr>
                <w:color w:val="auto"/>
                <w:highlight w:val="none"/>
              </w:rPr>
            </w:pPr>
            <w:r>
              <w:rPr>
                <w:rFonts w:hint="eastAsia"/>
                <w:color w:val="auto"/>
                <w:highlight w:val="none"/>
              </w:rPr>
              <w:t>格式见附件，检验电子标书</w:t>
            </w:r>
          </w:p>
        </w:tc>
      </w:tr>
    </w:tbl>
    <w:p w14:paraId="460C21C0">
      <w:pPr>
        <w:spacing w:line="360" w:lineRule="auto"/>
        <w:rPr>
          <w:rFonts w:asciiTheme="minorEastAsia" w:hAnsiTheme="minorEastAsia" w:eastAsiaTheme="minorEastAsia"/>
          <w:color w:val="auto"/>
          <w:sz w:val="24"/>
          <w:highlight w:val="none"/>
        </w:rPr>
      </w:pPr>
      <w:bookmarkStart w:id="25" w:name="_Hlk16461707"/>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lang w:eastAsia="zh-CN"/>
        </w:rPr>
        <w:t>供应商</w:t>
      </w:r>
      <w:r>
        <w:rPr>
          <w:rFonts w:hint="eastAsia" w:ascii="宋体" w:hAnsi="宋体" w:eastAsia="宋体"/>
          <w:color w:val="auto"/>
          <w:sz w:val="24"/>
          <w:highlight w:val="none"/>
        </w:rPr>
        <w:t>须通过资格审查表中的全部评审指标。</w:t>
      </w:r>
    </w:p>
    <w:bookmarkEnd w:id="25"/>
    <w:p w14:paraId="0053260B">
      <w:pPr>
        <w:spacing w:line="360" w:lineRule="auto"/>
        <w:ind w:firstLine="437"/>
        <w:outlineLvl w:val="1"/>
        <w:rPr>
          <w:rFonts w:asciiTheme="minorEastAsia" w:hAnsiTheme="minorEastAsia" w:eastAsiaTheme="minorEastAsia"/>
          <w:b/>
          <w:color w:val="auto"/>
          <w:sz w:val="24"/>
          <w:highlight w:val="none"/>
        </w:rPr>
      </w:pPr>
      <w:bookmarkStart w:id="26" w:name="_Toc3986"/>
      <w:bookmarkStart w:id="27" w:name="_Toc167"/>
      <w:bookmarkStart w:id="28" w:name="_Toc61"/>
      <w:bookmarkStart w:id="29" w:name="_Toc6013"/>
      <w:bookmarkStart w:id="30" w:name="_Toc21017"/>
      <w:r>
        <w:rPr>
          <w:rFonts w:hint="eastAsia" w:asciiTheme="minorEastAsia" w:hAnsiTheme="minorEastAsia" w:eastAsiaTheme="minorEastAsia"/>
          <w:b/>
          <w:color w:val="auto"/>
          <w:sz w:val="24"/>
          <w:highlight w:val="none"/>
          <w:lang w:eastAsia="zh-CN"/>
        </w:rPr>
        <w:t>三</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入围供应商约定</w:t>
      </w:r>
      <w:bookmarkEnd w:id="26"/>
      <w:bookmarkEnd w:id="27"/>
      <w:bookmarkEnd w:id="28"/>
      <w:bookmarkEnd w:id="29"/>
      <w:bookmarkEnd w:id="30"/>
    </w:p>
    <w:p w14:paraId="6D2CDFC1">
      <w:pPr>
        <w:spacing w:line="360" w:lineRule="auto"/>
        <w:ind w:firstLine="435"/>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提交</w:t>
      </w:r>
      <w:r>
        <w:rPr>
          <w:rFonts w:hint="eastAsia" w:asciiTheme="minorEastAsia" w:hAnsiTheme="minorEastAsia" w:eastAsiaTheme="minorEastAsia"/>
          <w:color w:val="auto"/>
          <w:sz w:val="24"/>
          <w:highlight w:val="none"/>
          <w:lang w:val="en-US" w:eastAsia="zh-CN"/>
        </w:rPr>
        <w:t>申请</w:t>
      </w:r>
      <w:r>
        <w:rPr>
          <w:rFonts w:hint="eastAsia" w:asciiTheme="minorEastAsia" w:hAnsiTheme="minorEastAsia" w:eastAsiaTheme="minorEastAsia"/>
          <w:color w:val="auto"/>
          <w:sz w:val="24"/>
          <w:highlight w:val="none"/>
        </w:rPr>
        <w:t>文件和</w:t>
      </w:r>
      <w:r>
        <w:rPr>
          <w:rFonts w:hint="eastAsia" w:asciiTheme="minorEastAsia" w:hAnsiTheme="minorEastAsia" w:eastAsiaTheme="minorEastAsia"/>
          <w:color w:val="auto"/>
          <w:sz w:val="24"/>
          <w:highlight w:val="none"/>
          <w:lang w:eastAsia="zh-CN"/>
        </w:rPr>
        <w:t>通过</w:t>
      </w:r>
      <w:r>
        <w:rPr>
          <w:rFonts w:hint="eastAsia" w:asciiTheme="minorEastAsia" w:hAnsiTheme="minorEastAsia" w:eastAsiaTheme="minorEastAsia"/>
          <w:color w:val="auto"/>
          <w:sz w:val="24"/>
          <w:highlight w:val="none"/>
        </w:rPr>
        <w:t>资格</w:t>
      </w:r>
      <w:r>
        <w:rPr>
          <w:rFonts w:hint="eastAsia" w:asciiTheme="minorEastAsia" w:hAnsiTheme="minorEastAsia" w:eastAsiaTheme="minorEastAsia"/>
          <w:color w:val="auto"/>
          <w:sz w:val="24"/>
          <w:highlight w:val="none"/>
          <w:lang w:eastAsia="zh-CN"/>
        </w:rPr>
        <w:t>审查</w:t>
      </w:r>
      <w:r>
        <w:rPr>
          <w:rFonts w:hint="eastAsia" w:asciiTheme="minorEastAsia" w:hAnsiTheme="minorEastAsia" w:eastAsiaTheme="minorEastAsia"/>
          <w:color w:val="auto"/>
          <w:sz w:val="24"/>
          <w:highlight w:val="none"/>
        </w:rPr>
        <w:t>的供应商确定</w:t>
      </w:r>
      <w:r>
        <w:rPr>
          <w:rFonts w:hint="eastAsia" w:asciiTheme="minorEastAsia" w:hAnsiTheme="minorEastAsia" w:eastAsiaTheme="minorEastAsia"/>
          <w:color w:val="auto"/>
          <w:sz w:val="24"/>
          <w:highlight w:val="none"/>
          <w:lang w:eastAsia="zh-CN"/>
        </w:rPr>
        <w:t>入围</w:t>
      </w:r>
      <w:r>
        <w:rPr>
          <w:rFonts w:hint="eastAsia" w:asciiTheme="minorEastAsia" w:hAnsiTheme="minorEastAsia" w:eastAsiaTheme="minorEastAsia"/>
          <w:color w:val="auto"/>
          <w:sz w:val="24"/>
          <w:highlight w:val="none"/>
          <w:u w:val="none"/>
          <w:lang w:val="en-US" w:eastAsia="zh-CN"/>
        </w:rPr>
        <w:t>。</w:t>
      </w:r>
      <w:r>
        <w:rPr>
          <w:rFonts w:asciiTheme="minorEastAsia" w:hAnsiTheme="minorEastAsia" w:eastAsiaTheme="minorEastAsia"/>
          <w:bCs/>
          <w:color w:val="auto"/>
          <w:sz w:val="24"/>
          <w:highlight w:val="none"/>
        </w:rPr>
        <w:br w:type="page"/>
      </w:r>
    </w:p>
    <w:p w14:paraId="577FBB91">
      <w:pPr>
        <w:spacing w:line="360" w:lineRule="auto"/>
        <w:jc w:val="center"/>
        <w:outlineLvl w:val="0"/>
        <w:rPr>
          <w:color w:val="auto"/>
          <w:highlight w:val="none"/>
        </w:rPr>
      </w:pPr>
      <w:bookmarkStart w:id="31" w:name="_Toc60602108"/>
      <w:bookmarkStart w:id="32" w:name="_Toc26644663"/>
      <w:bookmarkStart w:id="33" w:name="_Toc12832"/>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六</w:t>
      </w:r>
      <w:r>
        <w:rPr>
          <w:rFonts w:hint="eastAsia" w:asciiTheme="minorEastAsia" w:hAnsiTheme="minorEastAsia" w:eastAsiaTheme="minorEastAsia"/>
          <w:b/>
          <w:color w:val="auto"/>
          <w:sz w:val="28"/>
          <w:highlight w:val="none"/>
        </w:rPr>
        <w:t xml:space="preserve">章  </w:t>
      </w:r>
      <w:bookmarkEnd w:id="31"/>
      <w:bookmarkEnd w:id="32"/>
      <w:r>
        <w:rPr>
          <w:rFonts w:hint="eastAsia" w:asciiTheme="minorEastAsia" w:hAnsiTheme="minorEastAsia" w:eastAsiaTheme="minorEastAsia"/>
          <w:b/>
          <w:color w:val="auto"/>
          <w:sz w:val="28"/>
          <w:highlight w:val="none"/>
          <w:lang w:eastAsia="zh-CN"/>
        </w:rPr>
        <w:t>采购合同文本</w:t>
      </w:r>
      <w:bookmarkEnd w:id="33"/>
    </w:p>
    <w:p w14:paraId="31C99111">
      <w:pPr>
        <w:widowControl/>
        <w:kinsoku/>
        <w:overflowPunct/>
        <w:bidi w:val="0"/>
        <w:spacing w:line="590" w:lineRule="exact"/>
        <w:ind w:left="360"/>
        <w:jc w:val="center"/>
        <w:textAlignment w:val="baseline"/>
        <w:outlineLvl w:val="1"/>
        <w:rPr>
          <w:rFonts w:hint="eastAsia" w:ascii="宋体"/>
          <w:b/>
          <w:color w:val="auto"/>
          <w:sz w:val="30"/>
          <w:szCs w:val="30"/>
          <w:highlight w:val="none"/>
        </w:rPr>
      </w:pPr>
      <w:r>
        <w:rPr>
          <w:rFonts w:hint="eastAsia" w:ascii="宋体"/>
          <w:b/>
          <w:color w:val="auto"/>
          <w:sz w:val="30"/>
          <w:szCs w:val="30"/>
          <w:highlight w:val="none"/>
        </w:rPr>
        <w:t>合同</w:t>
      </w:r>
    </w:p>
    <w:p w14:paraId="3DE53693">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合同名称：</w:t>
      </w:r>
    </w:p>
    <w:p w14:paraId="3AFDF5DD">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合同编号：</w:t>
      </w:r>
    </w:p>
    <w:p w14:paraId="1012F55C">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签订地点：</w:t>
      </w:r>
    </w:p>
    <w:p w14:paraId="3A3D36A9">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征集人（甲方）：</w:t>
      </w:r>
    </w:p>
    <w:p w14:paraId="1037410D">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供应商（乙方）：</w:t>
      </w:r>
    </w:p>
    <w:p w14:paraId="6B14D00F">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依据《中华人民共和国合同法》、《中华人民共和国政府采购法》与项目行业有关的法律法规，以及的招标文件，乙方的《投标文件》及《入围通知书》，甲乙双方同意签订的合同详细技术说明及其他有关合同项目的特定信息由合同附件予以说明，合同附件及本项目地《招标文件》、《投标文件》、《入围通知书》等均为本合同的组成部分。</w:t>
      </w:r>
    </w:p>
    <w:p w14:paraId="11BB92D7">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第一条项目基本情况</w:t>
      </w:r>
    </w:p>
    <w:p w14:paraId="6856E358">
      <w:pPr>
        <w:kinsoku/>
        <w:overflowPunct/>
        <w:bidi w:val="0"/>
        <w:spacing w:line="590" w:lineRule="exact"/>
        <w:ind w:firstLine="480" w:firstLineChars="200"/>
        <w:rPr>
          <w:rFonts w:hint="default" w:ascii="宋体" w:eastAsia="@仿宋_GB2312"/>
          <w:color w:val="auto"/>
          <w:sz w:val="24"/>
          <w:highlight w:val="none"/>
          <w:u w:val="single"/>
          <w:lang w:val="en-US" w:eastAsia="zh-CN"/>
        </w:rPr>
      </w:pPr>
      <w:r>
        <w:rPr>
          <w:rFonts w:hint="eastAsia" w:ascii="宋体"/>
          <w:color w:val="auto"/>
          <w:sz w:val="24"/>
          <w:highlight w:val="none"/>
          <w:u w:val="single"/>
          <w:lang w:val="en-US" w:eastAsia="zh-CN"/>
        </w:rPr>
        <w:t xml:space="preserve">              </w:t>
      </w:r>
    </w:p>
    <w:p w14:paraId="71C95102">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第二条合同期限</w:t>
      </w:r>
    </w:p>
    <w:p w14:paraId="2D059D45">
      <w:pPr>
        <w:kinsoku/>
        <w:overflowPunct/>
        <w:bidi w:val="0"/>
        <w:spacing w:line="590" w:lineRule="exact"/>
        <w:ind w:firstLine="480" w:firstLineChars="200"/>
        <w:rPr>
          <w:rFonts w:hint="eastAsia" w:ascii="宋体" w:eastAsia="@仿宋_GB2312"/>
          <w:color w:val="auto"/>
          <w:sz w:val="24"/>
          <w:highlight w:val="none"/>
          <w:lang w:eastAsia="zh-CN"/>
        </w:rPr>
      </w:pPr>
      <w:r>
        <w:rPr>
          <w:rFonts w:hint="eastAsia" w:ascii="宋体"/>
          <w:color w:val="auto"/>
          <w:sz w:val="24"/>
          <w:highlight w:val="none"/>
          <w:lang w:val="en-US" w:eastAsia="zh-CN"/>
        </w:rPr>
        <w:t>由采购人自行决定</w:t>
      </w:r>
      <w:r>
        <w:rPr>
          <w:rFonts w:hint="eastAsia" w:ascii="宋体"/>
          <w:color w:val="auto"/>
          <w:sz w:val="24"/>
          <w:highlight w:val="none"/>
          <w:lang w:eastAsia="zh-CN"/>
        </w:rPr>
        <w:t>。</w:t>
      </w:r>
    </w:p>
    <w:p w14:paraId="704C4E7F">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第三条服务内容与质量标准</w:t>
      </w:r>
    </w:p>
    <w:p w14:paraId="21A8A101">
      <w:pPr>
        <w:kinsoku/>
        <w:overflowPunct/>
        <w:bidi w:val="0"/>
        <w:spacing w:line="590" w:lineRule="exact"/>
        <w:ind w:firstLine="480" w:firstLineChars="200"/>
        <w:rPr>
          <w:rFonts w:hint="eastAsia" w:ascii="宋体" w:eastAsia="@仿宋_GB2312"/>
          <w:color w:val="auto"/>
          <w:sz w:val="24"/>
          <w:highlight w:val="none"/>
          <w:lang w:eastAsia="zh-CN"/>
        </w:rPr>
      </w:pPr>
      <w:r>
        <w:rPr>
          <w:rFonts w:hint="eastAsia" w:ascii="宋体"/>
          <w:color w:val="auto"/>
          <w:sz w:val="24"/>
          <w:highlight w:val="none"/>
        </w:rPr>
        <w:t>按照招标文件相关条款执行</w:t>
      </w:r>
      <w:r>
        <w:rPr>
          <w:rFonts w:hint="eastAsia" w:ascii="宋体"/>
          <w:color w:val="auto"/>
          <w:sz w:val="24"/>
          <w:highlight w:val="none"/>
          <w:lang w:eastAsia="zh-CN"/>
        </w:rPr>
        <w:t>。</w:t>
      </w:r>
    </w:p>
    <w:p w14:paraId="714C14DC">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第四条服务费用及支付方式</w:t>
      </w:r>
    </w:p>
    <w:p w14:paraId="7EFCA132">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本项目服务费为</w:t>
      </w:r>
      <w:r>
        <w:rPr>
          <w:rFonts w:hint="eastAsia" w:ascii="宋体"/>
          <w:color w:val="auto"/>
          <w:sz w:val="24"/>
          <w:highlight w:val="none"/>
          <w:lang w:val="en-US" w:eastAsia="zh-CN"/>
        </w:rPr>
        <w:t xml:space="preserve">     </w:t>
      </w:r>
      <w:r>
        <w:rPr>
          <w:rFonts w:hint="eastAsia" w:ascii="宋体"/>
          <w:color w:val="auto"/>
          <w:sz w:val="24"/>
          <w:highlight w:val="none"/>
        </w:rPr>
        <w:t>元。</w:t>
      </w:r>
    </w:p>
    <w:p w14:paraId="02E1693C">
      <w:pPr>
        <w:kinsoku/>
        <w:overflowPunct/>
        <w:bidi w:val="0"/>
        <w:spacing w:line="590" w:lineRule="exact"/>
        <w:ind w:firstLine="360" w:firstLineChars="150"/>
        <w:rPr>
          <w:rFonts w:hint="eastAsia" w:ascii="宋体"/>
          <w:b/>
          <w:bCs/>
          <w:color w:val="auto"/>
          <w:sz w:val="24"/>
          <w:highlight w:val="none"/>
        </w:rPr>
      </w:pPr>
      <w:r>
        <w:rPr>
          <w:rFonts w:hint="eastAsia" w:ascii="宋体"/>
          <w:color w:val="auto"/>
          <w:sz w:val="24"/>
          <w:highlight w:val="none"/>
        </w:rPr>
        <w:t>服务费支付方式：</w:t>
      </w:r>
      <w:r>
        <w:rPr>
          <w:rFonts w:hint="eastAsia" w:ascii="宋体"/>
          <w:b/>
          <w:bCs/>
          <w:color w:val="auto"/>
          <w:sz w:val="24"/>
          <w:highlight w:val="none"/>
        </w:rPr>
        <w:t>按</w:t>
      </w:r>
      <w:r>
        <w:rPr>
          <w:rFonts w:hint="eastAsia" w:ascii="宋体"/>
          <w:b/>
          <w:bCs/>
          <w:color w:val="auto"/>
          <w:sz w:val="24"/>
          <w:highlight w:val="none"/>
          <w:lang w:val="en-US" w:eastAsia="zh-CN"/>
        </w:rPr>
        <w:t>季度</w:t>
      </w:r>
      <w:r>
        <w:rPr>
          <w:rFonts w:hint="eastAsia" w:ascii="宋体"/>
          <w:b/>
          <w:bCs/>
          <w:color w:val="auto"/>
          <w:sz w:val="24"/>
          <w:highlight w:val="none"/>
        </w:rPr>
        <w:t>付款，每</w:t>
      </w:r>
      <w:r>
        <w:rPr>
          <w:rFonts w:hint="eastAsia" w:ascii="宋体"/>
          <w:b/>
          <w:bCs/>
          <w:color w:val="auto"/>
          <w:sz w:val="24"/>
          <w:highlight w:val="none"/>
          <w:lang w:val="en-US" w:eastAsia="zh-CN"/>
        </w:rPr>
        <w:t>季度</w:t>
      </w:r>
      <w:r>
        <w:rPr>
          <w:rFonts w:hint="eastAsia" w:ascii="宋体"/>
          <w:b/>
          <w:bCs/>
          <w:color w:val="auto"/>
          <w:sz w:val="24"/>
          <w:highlight w:val="none"/>
        </w:rPr>
        <w:t>招标人将当月已经完成服务费全额拨付给中标人。</w:t>
      </w:r>
    </w:p>
    <w:p w14:paraId="4D0FBF2D">
      <w:pPr>
        <w:numPr>
          <w:ilvl w:val="0"/>
          <w:numId w:val="0"/>
        </w:numPr>
        <w:kinsoku/>
        <w:overflowPunct/>
        <w:bidi w:val="0"/>
        <w:spacing w:line="590" w:lineRule="exact"/>
        <w:ind w:left="360" w:leftChars="0" w:firstLine="240" w:firstLineChars="100"/>
        <w:rPr>
          <w:rFonts w:hint="eastAsia" w:ascii="宋体"/>
          <w:color w:val="auto"/>
          <w:sz w:val="24"/>
          <w:highlight w:val="none"/>
        </w:rPr>
      </w:pPr>
      <w:r>
        <w:rPr>
          <w:rFonts w:hint="eastAsia" w:ascii="宋体"/>
          <w:color w:val="auto"/>
          <w:sz w:val="24"/>
          <w:highlight w:val="none"/>
        </w:rPr>
        <w:t>第</w:t>
      </w:r>
      <w:r>
        <w:rPr>
          <w:rFonts w:hint="eastAsia" w:ascii="宋体"/>
          <w:color w:val="auto"/>
          <w:sz w:val="24"/>
          <w:highlight w:val="none"/>
          <w:lang w:val="en-US" w:eastAsia="zh-CN"/>
        </w:rPr>
        <w:t>五</w:t>
      </w:r>
      <w:r>
        <w:rPr>
          <w:rFonts w:hint="eastAsia" w:ascii="宋体"/>
          <w:color w:val="auto"/>
          <w:sz w:val="24"/>
          <w:highlight w:val="none"/>
        </w:rPr>
        <w:t>条知识产权，</w:t>
      </w:r>
    </w:p>
    <w:p w14:paraId="4B6330D5">
      <w:pPr>
        <w:kinsoku/>
        <w:overflowPunct/>
        <w:bidi w:val="0"/>
        <w:spacing w:line="590" w:lineRule="exact"/>
        <w:ind w:firstLine="120" w:firstLineChars="50"/>
        <w:rPr>
          <w:rFonts w:hint="eastAsia" w:ascii="宋体"/>
          <w:color w:val="auto"/>
          <w:sz w:val="24"/>
          <w:highlight w:val="none"/>
        </w:rPr>
      </w:pPr>
      <w:r>
        <w:rPr>
          <w:rFonts w:hint="eastAsia" w:ascii="宋体"/>
          <w:color w:val="auto"/>
          <w:sz w:val="24"/>
          <w:highlight w:val="none"/>
        </w:rPr>
        <w:t>乙方应保证所提供的服务或其任何一部分均不会侵犯任何第三方的专利权，商标权或著作权。</w:t>
      </w:r>
    </w:p>
    <w:p w14:paraId="2781BBC9">
      <w:pPr>
        <w:numPr>
          <w:ilvl w:val="0"/>
          <w:numId w:val="2"/>
        </w:numPr>
        <w:kinsoku/>
        <w:overflowPunct/>
        <w:bidi w:val="0"/>
        <w:spacing w:line="590" w:lineRule="exact"/>
        <w:rPr>
          <w:rFonts w:hint="eastAsia" w:ascii="宋体"/>
          <w:color w:val="auto"/>
          <w:sz w:val="24"/>
          <w:highlight w:val="none"/>
        </w:rPr>
      </w:pPr>
      <w:r>
        <w:rPr>
          <w:rFonts w:hint="eastAsia" w:ascii="宋体"/>
          <w:color w:val="auto"/>
          <w:sz w:val="24"/>
          <w:highlight w:val="none"/>
        </w:rPr>
        <w:t>无产权瑕疵条款，</w:t>
      </w:r>
    </w:p>
    <w:p w14:paraId="57312CAB">
      <w:pPr>
        <w:kinsoku/>
        <w:overflowPunct/>
        <w:bidi w:val="0"/>
        <w:spacing w:line="590" w:lineRule="exact"/>
        <w:ind w:firstLine="240" w:firstLineChars="100"/>
        <w:rPr>
          <w:rFonts w:hint="eastAsia" w:ascii="宋体"/>
          <w:color w:val="auto"/>
          <w:sz w:val="24"/>
          <w:highlight w:val="none"/>
        </w:rPr>
      </w:pPr>
      <w:r>
        <w:rPr>
          <w:rFonts w:hint="eastAsia" w:ascii="宋体"/>
          <w:color w:val="auto"/>
          <w:sz w:val="24"/>
          <w:highlight w:val="none"/>
        </w:rPr>
        <w:t>乙方保证所提供的服务的所有权完全属于乙方且无任何抵押、查封等产权瑕疵。如有产权瑕疵的，视为乙方违约，乙方应负担由此而产生的一切损失。</w:t>
      </w:r>
    </w:p>
    <w:p w14:paraId="1A582621">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第七条履约保证金</w:t>
      </w:r>
    </w:p>
    <w:p w14:paraId="12A0C2CB">
      <w:pPr>
        <w:kinsoku/>
        <w:overflowPunct/>
        <w:bidi w:val="0"/>
        <w:spacing w:line="590" w:lineRule="exact"/>
        <w:ind w:firstLine="360" w:firstLineChars="150"/>
        <w:rPr>
          <w:rFonts w:hint="eastAsia" w:ascii="宋体" w:eastAsia="@仿宋_GB2312"/>
          <w:color w:val="auto"/>
          <w:sz w:val="24"/>
          <w:highlight w:val="none"/>
          <w:lang w:eastAsia="zh-CN"/>
        </w:rPr>
      </w:pPr>
      <w:r>
        <w:rPr>
          <w:rFonts w:hint="eastAsia" w:ascii="宋体"/>
          <w:color w:val="auto"/>
          <w:sz w:val="24"/>
          <w:highlight w:val="none"/>
        </w:rPr>
        <w:t>1、履约保证金作为违约金的一部分及有用于补偿甲方因乙方不能履行合同义务，而蒙受的损失</w:t>
      </w:r>
      <w:r>
        <w:rPr>
          <w:rFonts w:hint="eastAsia" w:ascii="宋体"/>
          <w:color w:val="auto"/>
          <w:sz w:val="24"/>
          <w:highlight w:val="none"/>
          <w:lang w:eastAsia="zh-CN"/>
        </w:rPr>
        <w:t>。</w:t>
      </w:r>
    </w:p>
    <w:p w14:paraId="12A031D7">
      <w:pPr>
        <w:kinsoku/>
        <w:overflowPunct/>
        <w:bidi w:val="0"/>
        <w:spacing w:line="590" w:lineRule="exact"/>
        <w:ind w:firstLine="240" w:firstLineChars="100"/>
        <w:rPr>
          <w:rFonts w:hint="eastAsia" w:ascii="宋体"/>
          <w:color w:val="auto"/>
          <w:sz w:val="24"/>
          <w:highlight w:val="none"/>
        </w:rPr>
      </w:pPr>
      <w:r>
        <w:rPr>
          <w:rFonts w:hint="eastAsia" w:ascii="宋体"/>
          <w:color w:val="auto"/>
          <w:sz w:val="24"/>
          <w:highlight w:val="none"/>
        </w:rPr>
        <w:t>第八条甲方的权利和义务，</w:t>
      </w:r>
    </w:p>
    <w:p w14:paraId="318BA12C">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1、甲方有权对合同规定范围内乙方的服务行为进行监督和检查，拥有监督权，有权定期核对乙方提供服务所配备的人员数量，对甲方认为不合理的部分，有权下达整改通知书，并要求乙方限期整改。</w:t>
      </w:r>
    </w:p>
    <w:p w14:paraId="06C8792F">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2、甲方有权依据双方签订的考评办法，对乙方提供的服务进行定期考评档，考评结果未达到标准时，有权依据考评办法约定的数量扣除履约保证金。</w:t>
      </w:r>
    </w:p>
    <w:p w14:paraId="04EEBBC6">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3、负责检查监督，乙方管理工作的设施及制度的执行情况。</w:t>
      </w:r>
    </w:p>
    <w:p w14:paraId="098ADA8A">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4、国家法律法规所规定由甲方承担的其他责任。</w:t>
      </w:r>
    </w:p>
    <w:p w14:paraId="5CCFC4E3">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5、甲方对</w:t>
      </w:r>
      <w:r>
        <w:rPr>
          <w:rFonts w:hint="eastAsia" w:ascii="宋体"/>
          <w:color w:val="auto"/>
          <w:sz w:val="24"/>
          <w:highlight w:val="none"/>
          <w:lang w:val="en-US" w:eastAsia="zh-CN"/>
        </w:rPr>
        <w:t>服务内容</w:t>
      </w:r>
      <w:r>
        <w:rPr>
          <w:rFonts w:hint="eastAsia" w:ascii="宋体"/>
          <w:color w:val="auto"/>
          <w:sz w:val="24"/>
          <w:highlight w:val="none"/>
        </w:rPr>
        <w:t>进行审核，如有下列情形之一</w:t>
      </w:r>
      <w:r>
        <w:rPr>
          <w:rFonts w:hint="eastAsia" w:ascii="宋体"/>
          <w:color w:val="auto"/>
          <w:sz w:val="24"/>
          <w:highlight w:val="none"/>
          <w:lang w:eastAsia="zh-CN"/>
        </w:rPr>
        <w:t>：</w:t>
      </w:r>
      <w:r>
        <w:rPr>
          <w:rFonts w:hint="eastAsia" w:ascii="宋体"/>
          <w:color w:val="auto"/>
          <w:sz w:val="24"/>
          <w:highlight w:val="none"/>
          <w:lang w:val="en-US" w:eastAsia="zh-CN"/>
        </w:rPr>
        <w:t>详见清退条款及用户反馈机制要求</w:t>
      </w:r>
      <w:r>
        <w:rPr>
          <w:rFonts w:hint="eastAsia" w:ascii="宋体"/>
          <w:color w:val="auto"/>
          <w:sz w:val="24"/>
          <w:highlight w:val="none"/>
        </w:rPr>
        <w:t>，终止合同。</w:t>
      </w:r>
    </w:p>
    <w:p w14:paraId="7246ACA4">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第九条乙方的权利和义务</w:t>
      </w:r>
    </w:p>
    <w:p w14:paraId="3725A483">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对本合同规定的委托范围内的项目享有管理权及服务义务；</w:t>
      </w:r>
    </w:p>
    <w:p w14:paraId="72B3A134">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根据本合同的规定向甲方收取相关服务费用，并有权在本项目管理范围内管理及合理使用；</w:t>
      </w:r>
    </w:p>
    <w:p w14:paraId="214BA1A9">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及时向甲方通告本项目服务范围内有关服务的重大事项，及时配合处理投诉；</w:t>
      </w:r>
    </w:p>
    <w:p w14:paraId="47412D7A">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接受项目行业管理部门及政府有关部门的指导，接受甲方的监督；</w:t>
      </w:r>
    </w:p>
    <w:p w14:paraId="2F398E9D">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国家法律法规所规定，由乙方承担的其他责任；</w:t>
      </w:r>
    </w:p>
    <w:p w14:paraId="0F9B5F41">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第十条违约责任</w:t>
      </w:r>
    </w:p>
    <w:p w14:paraId="72C32757">
      <w:pPr>
        <w:kinsoku/>
        <w:overflowPunct/>
        <w:bidi w:val="0"/>
        <w:spacing w:line="590" w:lineRule="exact"/>
        <w:ind w:left="360"/>
        <w:rPr>
          <w:rFonts w:hint="eastAsia" w:ascii="宋体" w:eastAsia="@仿宋_GB2312"/>
          <w:color w:val="auto"/>
          <w:sz w:val="24"/>
          <w:szCs w:val="28"/>
          <w:highlight w:val="none"/>
          <w:lang w:eastAsia="zh-CN"/>
        </w:rPr>
      </w:pPr>
      <w:r>
        <w:rPr>
          <w:rFonts w:hint="eastAsia" w:ascii="宋体"/>
          <w:color w:val="auto"/>
          <w:sz w:val="24"/>
          <w:highlight w:val="none"/>
        </w:rPr>
        <w:t>1、甲乙双方必须遵守本合同，并执行合同中的各项规定，保证本合同的正常履行</w:t>
      </w:r>
      <w:r>
        <w:rPr>
          <w:rFonts w:hint="eastAsia" w:ascii="宋体"/>
          <w:color w:val="auto"/>
          <w:sz w:val="24"/>
          <w:highlight w:val="none"/>
          <w:lang w:eastAsia="zh-CN"/>
        </w:rPr>
        <w:t>。</w:t>
      </w:r>
    </w:p>
    <w:p w14:paraId="07293BC7">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2、如因乙方工作人员在履行职务过程中的疏忽、失职、过错等故意或者过失原因给甲方造成损失或侵害，包括但不限于甲方本身的财产损失，由此而导致的甲方对任何第三方的法律责任等，</w:t>
      </w:r>
      <w:r>
        <w:rPr>
          <w:rFonts w:hint="eastAsia" w:ascii="宋体"/>
          <w:color w:val="auto"/>
          <w:sz w:val="24"/>
          <w:highlight w:val="none"/>
          <w:lang w:val="en-US" w:eastAsia="zh-CN"/>
        </w:rPr>
        <w:t>乙方</w:t>
      </w:r>
      <w:r>
        <w:rPr>
          <w:rFonts w:hint="eastAsia" w:ascii="宋体"/>
          <w:color w:val="auto"/>
          <w:sz w:val="24"/>
          <w:highlight w:val="none"/>
        </w:rPr>
        <w:t>对此均应承担全部的赔偿责任。</w:t>
      </w:r>
    </w:p>
    <w:p w14:paraId="599F0C44">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第十一条不可抗力事件处理</w:t>
      </w:r>
    </w:p>
    <w:p w14:paraId="34B6207B">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1、在合同有效期内，任何一方因不可抗力事件导致不能履行合同，则合同履行期可延长，其延长期与不可抗力影响期相同；</w:t>
      </w:r>
    </w:p>
    <w:p w14:paraId="779F8122">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2、不可抗力事件发生后，应立即通知对方，并寄送有关权威机构出具的证明；</w:t>
      </w:r>
    </w:p>
    <w:p w14:paraId="6AA93606">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3、不可抗力事件延续60天以上，双方应通过友好协商确定是否继续履行合同；</w:t>
      </w:r>
    </w:p>
    <w:p w14:paraId="101A23E4">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第十二条解决合同纠纷的方式</w:t>
      </w:r>
    </w:p>
    <w:p w14:paraId="67A3F890">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1、在执行本合同中发生的或与本合同有关的争端，双方应通过友好协商解决。经协商在15天内不能达成协议时，应提交当地仲裁委员会仲裁；</w:t>
      </w:r>
    </w:p>
    <w:p w14:paraId="5FEDA86E">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2、仲裁裁决因为最终决定并对双方具有约束力；</w:t>
      </w:r>
    </w:p>
    <w:p w14:paraId="2DED7A3A">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3、除另有裁决外，仲裁费用由败诉方承担</w:t>
      </w:r>
    </w:p>
    <w:p w14:paraId="1721F4BD">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4、在仲裁期间，除正在进行仲裁部分外，合同其他部分继续执行</w:t>
      </w:r>
    </w:p>
    <w:p w14:paraId="44CE1062">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第十三条合同生效及其他</w:t>
      </w:r>
    </w:p>
    <w:p w14:paraId="6655B2E3">
      <w:pPr>
        <w:kinsoku/>
        <w:overflowPunct/>
        <w:bidi w:val="0"/>
        <w:spacing w:line="590" w:lineRule="exact"/>
        <w:ind w:firstLine="664" w:firstLineChars="277"/>
        <w:rPr>
          <w:rFonts w:hint="eastAsia" w:ascii="宋体" w:cs="宋体"/>
          <w:color w:val="auto"/>
          <w:sz w:val="24"/>
          <w:highlight w:val="none"/>
        </w:rPr>
      </w:pPr>
      <w:r>
        <w:rPr>
          <w:rFonts w:hint="eastAsia" w:ascii="宋体" w:cs="宋体"/>
          <w:color w:val="auto"/>
          <w:sz w:val="24"/>
          <w:highlight w:val="none"/>
        </w:rPr>
        <w:t>1、本合同在双方签字盖章并在招标人收到中标人提交的履约保证金后，经招标采购管理部门备案后生效。</w:t>
      </w:r>
    </w:p>
    <w:p w14:paraId="0804271E">
      <w:pPr>
        <w:kinsoku/>
        <w:overflowPunct/>
        <w:bidi w:val="0"/>
        <w:spacing w:line="590" w:lineRule="exact"/>
        <w:ind w:firstLine="240" w:firstLineChars="100"/>
        <w:rPr>
          <w:rFonts w:hint="eastAsia" w:ascii="宋体" w:cs="宋体"/>
          <w:b/>
          <w:color w:val="auto"/>
          <w:sz w:val="24"/>
          <w:highlight w:val="none"/>
        </w:rPr>
      </w:pPr>
      <w:r>
        <w:rPr>
          <w:rFonts w:hint="eastAsia" w:ascii="宋体" w:cs="宋体"/>
          <w:color w:val="auto"/>
          <w:sz w:val="24"/>
          <w:highlight w:val="none"/>
        </w:rPr>
        <w:t>第十四条</w:t>
      </w:r>
      <w:r>
        <w:rPr>
          <w:rFonts w:hint="eastAsia" w:ascii="宋体" w:cs="宋体"/>
          <w:b/>
          <w:color w:val="auto"/>
          <w:sz w:val="24"/>
          <w:highlight w:val="none"/>
        </w:rPr>
        <w:t>.附则</w:t>
      </w:r>
    </w:p>
    <w:p w14:paraId="014D50A2">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1、合同份数。</w:t>
      </w:r>
    </w:p>
    <w:p w14:paraId="18B3F410">
      <w:pPr>
        <w:kinsoku/>
        <w:overflowPunct/>
        <w:bidi w:val="0"/>
        <w:spacing w:line="590" w:lineRule="exact"/>
        <w:rPr>
          <w:rFonts w:hint="eastAsia" w:ascii="宋体" w:cs="宋体"/>
          <w:color w:val="auto"/>
          <w:sz w:val="24"/>
          <w:highlight w:val="none"/>
        </w:rPr>
      </w:pPr>
      <w:r>
        <w:rPr>
          <w:rFonts w:hint="eastAsia" w:ascii="宋体" w:cs="宋体"/>
          <w:color w:val="auto"/>
          <w:sz w:val="24"/>
          <w:highlight w:val="none"/>
        </w:rPr>
        <w:tab/>
      </w:r>
      <w:r>
        <w:rPr>
          <w:rFonts w:hint="eastAsia" w:ascii="宋体" w:cs="宋体"/>
          <w:color w:val="auto"/>
          <w:sz w:val="24"/>
          <w:highlight w:val="none"/>
        </w:rPr>
        <w:t>本合同一式伍份，买卖双方各执二份，招标采购管理部门一份。</w:t>
      </w:r>
    </w:p>
    <w:p w14:paraId="01B1CD9F">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2、未尽事宜</w:t>
      </w:r>
    </w:p>
    <w:p w14:paraId="718D88B9">
      <w:pPr>
        <w:pStyle w:val="24"/>
        <w:rPr>
          <w:color w:val="auto"/>
          <w:highlight w:val="none"/>
        </w:rPr>
      </w:pPr>
      <w:r>
        <w:rPr>
          <w:rFonts w:hint="eastAsia" w:ascii="宋体" w:cs="宋体"/>
          <w:color w:val="auto"/>
          <w:sz w:val="24"/>
          <w:highlight w:val="none"/>
        </w:rPr>
        <w:t>本合同未尽事宜应按《中华人民共和国政府采购法》、《中华人民共和国合同法》、《中华人民共和国产品质量法》之规定解释。</w:t>
      </w:r>
    </w:p>
    <w:p w14:paraId="6324F722">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19569E72">
      <w:pPr>
        <w:spacing w:line="360" w:lineRule="auto"/>
        <w:jc w:val="center"/>
        <w:outlineLvl w:val="0"/>
        <w:rPr>
          <w:rFonts w:hint="default" w:asciiTheme="minorEastAsia" w:hAnsiTheme="minorEastAsia" w:eastAsiaTheme="minorEastAsia"/>
          <w:b/>
          <w:color w:val="auto"/>
          <w:sz w:val="28"/>
          <w:highlight w:val="none"/>
          <w:lang w:val="en-US"/>
        </w:rPr>
      </w:pPr>
      <w:bookmarkStart w:id="34" w:name="_Toc16762"/>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 xml:space="preserve">章  </w:t>
      </w:r>
      <w:r>
        <w:rPr>
          <w:rFonts w:hint="eastAsia" w:asciiTheme="minorEastAsia" w:hAnsiTheme="minorEastAsia" w:eastAsiaTheme="minorEastAsia"/>
          <w:b/>
          <w:color w:val="auto"/>
          <w:sz w:val="28"/>
          <w:highlight w:val="none"/>
          <w:lang w:val="en-US" w:eastAsia="zh-CN"/>
        </w:rPr>
        <w:t>对申请文件的要求</w:t>
      </w:r>
      <w:bookmarkEnd w:id="34"/>
    </w:p>
    <w:p w14:paraId="4419381E">
      <w:pPr>
        <w:spacing w:line="360" w:lineRule="auto"/>
        <w:jc w:val="center"/>
        <w:outlineLvl w:val="0"/>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t>天长市基层公务出行新能源汽车定点分时租赁项目</w:t>
      </w:r>
    </w:p>
    <w:p w14:paraId="6C4E1C5F">
      <w:pPr>
        <w:spacing w:line="900" w:lineRule="exact"/>
        <w:jc w:val="center"/>
        <w:rPr>
          <w:rFonts w:asciiTheme="minorEastAsia" w:hAnsiTheme="minorEastAsia" w:eastAsiaTheme="minorEastAsia"/>
          <w:b/>
          <w:color w:val="auto"/>
          <w:sz w:val="72"/>
          <w:highlight w:val="none"/>
        </w:rPr>
      </w:pPr>
    </w:p>
    <w:p w14:paraId="39F81D23">
      <w:pPr>
        <w:spacing w:line="900" w:lineRule="exact"/>
        <w:jc w:val="center"/>
        <w:outlineLvl w:val="2"/>
        <w:rPr>
          <w:rFonts w:hint="eastAsia" w:asciiTheme="minorEastAsia" w:hAnsiTheme="minorEastAsia" w:eastAsiaTheme="minorEastAsia"/>
          <w:b/>
          <w:color w:val="auto"/>
          <w:sz w:val="72"/>
          <w:highlight w:val="none"/>
          <w:lang w:eastAsia="zh-CN"/>
        </w:rPr>
      </w:pPr>
      <w:r>
        <w:rPr>
          <w:rFonts w:hint="eastAsia" w:asciiTheme="minorEastAsia" w:hAnsiTheme="minorEastAsia" w:eastAsiaTheme="minorEastAsia"/>
          <w:b/>
          <w:color w:val="auto"/>
          <w:sz w:val="72"/>
          <w:highlight w:val="none"/>
          <w:lang w:val="en-US" w:eastAsia="zh-CN"/>
        </w:rPr>
        <w:t>申</w:t>
      </w:r>
    </w:p>
    <w:p w14:paraId="2BF65713">
      <w:pPr>
        <w:spacing w:line="900" w:lineRule="exact"/>
        <w:jc w:val="center"/>
        <w:rPr>
          <w:rFonts w:asciiTheme="minorEastAsia" w:hAnsiTheme="minorEastAsia" w:eastAsiaTheme="minorEastAsia"/>
          <w:b/>
          <w:color w:val="auto"/>
          <w:sz w:val="72"/>
          <w:highlight w:val="none"/>
        </w:rPr>
      </w:pPr>
    </w:p>
    <w:p w14:paraId="234C573F">
      <w:pPr>
        <w:spacing w:line="900" w:lineRule="exact"/>
        <w:jc w:val="center"/>
        <w:outlineLvl w:val="2"/>
        <w:rPr>
          <w:rFonts w:hint="default" w:asciiTheme="minorEastAsia" w:hAnsiTheme="minorEastAsia" w:eastAsiaTheme="minorEastAsia"/>
          <w:b/>
          <w:color w:val="auto"/>
          <w:sz w:val="72"/>
          <w:highlight w:val="none"/>
          <w:lang w:val="en-US" w:eastAsia="zh-CN"/>
        </w:rPr>
      </w:pPr>
      <w:r>
        <w:rPr>
          <w:rFonts w:hint="eastAsia" w:asciiTheme="minorEastAsia" w:hAnsiTheme="minorEastAsia" w:eastAsiaTheme="minorEastAsia"/>
          <w:b/>
          <w:color w:val="auto"/>
          <w:sz w:val="72"/>
          <w:highlight w:val="none"/>
          <w:lang w:val="en-US" w:eastAsia="zh-CN"/>
        </w:rPr>
        <w:t>请</w:t>
      </w:r>
    </w:p>
    <w:p w14:paraId="6602F86F">
      <w:pPr>
        <w:spacing w:line="900" w:lineRule="exact"/>
        <w:jc w:val="center"/>
        <w:rPr>
          <w:rFonts w:asciiTheme="minorEastAsia" w:hAnsiTheme="minorEastAsia" w:eastAsiaTheme="minorEastAsia"/>
          <w:b/>
          <w:color w:val="auto"/>
          <w:sz w:val="72"/>
          <w:highlight w:val="none"/>
        </w:rPr>
      </w:pPr>
    </w:p>
    <w:p w14:paraId="2D6AC29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16BD1656">
      <w:pPr>
        <w:spacing w:line="900" w:lineRule="exact"/>
        <w:jc w:val="center"/>
        <w:rPr>
          <w:rFonts w:asciiTheme="minorEastAsia" w:hAnsiTheme="minorEastAsia" w:eastAsiaTheme="minorEastAsia"/>
          <w:b/>
          <w:color w:val="auto"/>
          <w:sz w:val="72"/>
          <w:highlight w:val="none"/>
        </w:rPr>
      </w:pPr>
    </w:p>
    <w:p w14:paraId="5E758B03">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1630B080">
      <w:pPr>
        <w:spacing w:after="156" w:afterLines="50"/>
        <w:jc w:val="center"/>
        <w:rPr>
          <w:rFonts w:asciiTheme="minorEastAsia" w:hAnsiTheme="minorEastAsia" w:eastAsiaTheme="minorEastAsia"/>
          <w:b/>
          <w:color w:val="auto"/>
          <w:sz w:val="72"/>
          <w:highlight w:val="none"/>
        </w:rPr>
      </w:pPr>
    </w:p>
    <w:p w14:paraId="356E3316">
      <w:pPr>
        <w:spacing w:line="500" w:lineRule="exact"/>
        <w:outlineLvl w:val="0"/>
        <w:rPr>
          <w:rFonts w:hint="default" w:asciiTheme="minorEastAsia" w:hAnsiTheme="minorEastAsia" w:eastAsiaTheme="minorEastAsia" w:cstheme="minorEastAsia"/>
          <w:b/>
          <w:color w:val="auto"/>
          <w:sz w:val="32"/>
          <w:szCs w:val="32"/>
          <w:highlight w:val="none"/>
          <w:u w:val="single"/>
          <w:lang w:val="en-US" w:eastAsia="zh-CN"/>
        </w:rPr>
      </w:pPr>
      <w:bookmarkStart w:id="35" w:name="_Toc14073"/>
      <w:bookmarkStart w:id="36" w:name="_Toc5538"/>
      <w:r>
        <w:rPr>
          <w:rFonts w:hint="eastAsia" w:asciiTheme="minorEastAsia" w:hAnsiTheme="minorEastAsia" w:eastAsiaTheme="minorEastAsia" w:cstheme="minorEastAsia"/>
          <w:b/>
          <w:color w:val="auto"/>
          <w:sz w:val="32"/>
          <w:szCs w:val="32"/>
          <w:highlight w:val="none"/>
        </w:rPr>
        <w:t>供</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应</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商</w:t>
      </w:r>
      <w:r>
        <w:rPr>
          <w:rFonts w:hint="eastAsia" w:asciiTheme="minorEastAsia" w:hAnsiTheme="minorEastAsia" w:eastAsiaTheme="minorEastAsia" w:cstheme="minorEastAsia"/>
          <w:b/>
          <w:color w:val="auto"/>
          <w:sz w:val="32"/>
          <w:szCs w:val="32"/>
          <w:highlight w:val="none"/>
          <w:lang w:eastAsia="zh-CN"/>
        </w:rPr>
        <w:t>（加盖</w:t>
      </w:r>
      <w:r>
        <w:rPr>
          <w:rFonts w:hint="eastAsia" w:asciiTheme="minorEastAsia" w:hAnsiTheme="minorEastAsia" w:eastAsiaTheme="minorEastAsia" w:cstheme="minorEastAsia"/>
          <w:b/>
          <w:color w:val="auto"/>
          <w:sz w:val="32"/>
          <w:szCs w:val="32"/>
          <w:highlight w:val="none"/>
          <w:lang w:val="en-US" w:eastAsia="zh-CN"/>
        </w:rPr>
        <w:t>公章或电子签章</w:t>
      </w:r>
      <w:r>
        <w:rPr>
          <w:rFonts w:hint="eastAsia" w:asciiTheme="minorEastAsia" w:hAnsiTheme="minorEastAsia" w:eastAsiaTheme="minorEastAsia" w:cstheme="minorEastAsia"/>
          <w:b/>
          <w:color w:val="auto"/>
          <w:sz w:val="32"/>
          <w:szCs w:val="32"/>
          <w:highlight w:val="none"/>
          <w:lang w:eastAsia="zh-CN"/>
        </w:rPr>
        <w:t>）</w:t>
      </w:r>
      <w:r>
        <w:rPr>
          <w:rFonts w:hint="eastAsia" w:asciiTheme="minorEastAsia" w:hAnsiTheme="minorEastAsia" w:eastAsiaTheme="minorEastAsia" w:cstheme="minorEastAsia"/>
          <w:b/>
          <w:color w:val="auto"/>
          <w:sz w:val="32"/>
          <w:szCs w:val="32"/>
          <w:highlight w:val="none"/>
        </w:rPr>
        <w:t>：</w:t>
      </w:r>
      <w:bookmarkEnd w:id="35"/>
      <w:bookmarkEnd w:id="36"/>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5AB15CD1">
      <w:pPr>
        <w:spacing w:line="500" w:lineRule="exact"/>
        <w:outlineLvl w:val="0"/>
        <w:rPr>
          <w:rFonts w:hint="default" w:asciiTheme="minorEastAsia" w:hAnsiTheme="minorEastAsia" w:eastAsiaTheme="minorEastAsia" w:cstheme="minorEastAsia"/>
          <w:b/>
          <w:color w:val="auto"/>
          <w:sz w:val="32"/>
          <w:szCs w:val="32"/>
          <w:highlight w:val="none"/>
          <w:u w:val="single"/>
          <w:lang w:val="en-US" w:eastAsia="zh-CN"/>
        </w:rPr>
      </w:pPr>
      <w:bookmarkStart w:id="37" w:name="_Toc14923"/>
      <w:bookmarkStart w:id="38" w:name="_Toc7530"/>
      <w:r>
        <w:rPr>
          <w:rFonts w:hint="eastAsia" w:asciiTheme="minorEastAsia" w:hAnsiTheme="minorEastAsia" w:eastAsiaTheme="minorEastAsia" w:cstheme="minorEastAsia"/>
          <w:b/>
          <w:color w:val="auto"/>
          <w:sz w:val="32"/>
          <w:szCs w:val="32"/>
          <w:highlight w:val="none"/>
        </w:rPr>
        <w:t>法定代表人姓名：</w:t>
      </w:r>
      <w:bookmarkEnd w:id="37"/>
      <w:bookmarkEnd w:id="38"/>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78C1A3AF">
      <w:pPr>
        <w:spacing w:line="500" w:lineRule="exact"/>
        <w:outlineLvl w:val="0"/>
        <w:rPr>
          <w:rFonts w:hint="eastAsia" w:asciiTheme="minorEastAsia" w:hAnsiTheme="minorEastAsia" w:eastAsiaTheme="minorEastAsia" w:cstheme="minorEastAsia"/>
          <w:b/>
          <w:color w:val="auto"/>
          <w:sz w:val="32"/>
          <w:szCs w:val="32"/>
          <w:highlight w:val="none"/>
          <w:u w:val="single"/>
          <w:lang w:val="en-US" w:eastAsia="zh-CN"/>
        </w:rPr>
      </w:pPr>
      <w:bookmarkStart w:id="39" w:name="_Toc25853"/>
      <w:bookmarkStart w:id="40" w:name="_Toc14124"/>
      <w:r>
        <w:rPr>
          <w:rFonts w:hint="eastAsia" w:asciiTheme="minorEastAsia" w:hAnsiTheme="minorEastAsia" w:eastAsiaTheme="minorEastAsia" w:cstheme="minorEastAsia"/>
          <w:b/>
          <w:color w:val="auto"/>
          <w:sz w:val="32"/>
          <w:szCs w:val="32"/>
          <w:highlight w:val="none"/>
        </w:rPr>
        <w:t>地</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址：</w:t>
      </w:r>
      <w:bookmarkEnd w:id="39"/>
      <w:bookmarkEnd w:id="40"/>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611BE2F0">
      <w:pPr>
        <w:spacing w:line="500" w:lineRule="exact"/>
        <w:outlineLvl w:val="0"/>
        <w:rPr>
          <w:rFonts w:hint="default" w:asciiTheme="minorEastAsia" w:hAnsiTheme="minorEastAsia" w:eastAsiaTheme="minorEastAsia" w:cstheme="minorEastAsia"/>
          <w:b/>
          <w:color w:val="auto"/>
          <w:sz w:val="32"/>
          <w:szCs w:val="32"/>
          <w:highlight w:val="none"/>
          <w:u w:val="single"/>
          <w:lang w:val="en-US" w:eastAsia="zh-CN"/>
        </w:rPr>
      </w:pPr>
      <w:bookmarkStart w:id="41" w:name="_Toc7419"/>
      <w:bookmarkStart w:id="42" w:name="_Toc21383"/>
      <w:r>
        <w:rPr>
          <w:rFonts w:hint="eastAsia" w:asciiTheme="minorEastAsia" w:hAnsiTheme="minorEastAsia" w:eastAsiaTheme="minorEastAsia" w:cstheme="minorEastAsia"/>
          <w:b/>
          <w:color w:val="auto"/>
          <w:sz w:val="32"/>
          <w:szCs w:val="32"/>
          <w:highlight w:val="none"/>
        </w:rPr>
        <w:t>电</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话：</w:t>
      </w:r>
      <w:bookmarkEnd w:id="41"/>
      <w:bookmarkEnd w:id="42"/>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78905EC2">
      <w:pPr>
        <w:spacing w:line="500" w:lineRule="exact"/>
        <w:outlineLvl w:val="0"/>
        <w:rPr>
          <w:rFonts w:hint="eastAsia" w:asciiTheme="minorEastAsia" w:hAnsiTheme="minorEastAsia" w:eastAsiaTheme="minorEastAsia" w:cstheme="minorEastAsia"/>
          <w:b w:val="0"/>
          <w:bCs/>
          <w:color w:val="auto"/>
          <w:sz w:val="32"/>
          <w:szCs w:val="32"/>
          <w:highlight w:val="none"/>
          <w:u w:val="none"/>
          <w:lang w:val="en-US" w:eastAsia="zh-CN"/>
        </w:rPr>
      </w:pPr>
      <w:bookmarkStart w:id="43" w:name="_Toc7101"/>
      <w:bookmarkStart w:id="44" w:name="_Toc2757"/>
      <w:r>
        <w:rPr>
          <w:rFonts w:hint="eastAsia" w:asciiTheme="minorEastAsia" w:hAnsiTheme="minorEastAsia" w:eastAsiaTheme="minorEastAsia" w:cstheme="minorEastAsia"/>
          <w:b/>
          <w:color w:val="auto"/>
          <w:sz w:val="32"/>
          <w:szCs w:val="32"/>
          <w:highlight w:val="none"/>
          <w:lang w:val="en-US" w:eastAsia="zh-CN"/>
        </w:rPr>
        <w:t>授权</w:t>
      </w:r>
      <w:r>
        <w:rPr>
          <w:rFonts w:hint="eastAsia" w:asciiTheme="minorEastAsia" w:hAnsiTheme="minorEastAsia" w:eastAsiaTheme="minorEastAsia" w:cstheme="minorEastAsia"/>
          <w:b/>
          <w:color w:val="auto"/>
          <w:sz w:val="32"/>
          <w:szCs w:val="32"/>
          <w:highlight w:val="none"/>
        </w:rPr>
        <w:t>代表：</w:t>
      </w:r>
      <w:bookmarkEnd w:id="43"/>
      <w:bookmarkEnd w:id="44"/>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15B5FDB8">
      <w:pPr>
        <w:spacing w:line="500" w:lineRule="exact"/>
        <w:outlineLvl w:val="0"/>
        <w:rPr>
          <w:rFonts w:hint="default" w:asciiTheme="minorEastAsia" w:hAnsiTheme="minorEastAsia" w:eastAsiaTheme="minorEastAsia" w:cstheme="minorEastAsia"/>
          <w:b/>
          <w:color w:val="auto"/>
          <w:sz w:val="32"/>
          <w:szCs w:val="32"/>
          <w:highlight w:val="none"/>
          <w:u w:val="single"/>
          <w:lang w:val="en-US"/>
        </w:rPr>
      </w:pPr>
      <w:bookmarkStart w:id="45" w:name="_Toc9359"/>
      <w:bookmarkStart w:id="46" w:name="_Toc32530"/>
      <w:r>
        <w:rPr>
          <w:rFonts w:hint="eastAsia" w:asciiTheme="minorEastAsia" w:hAnsiTheme="minorEastAsia" w:eastAsiaTheme="minorEastAsia" w:cstheme="minorEastAsia"/>
          <w:b/>
          <w:color w:val="auto"/>
          <w:sz w:val="32"/>
          <w:szCs w:val="32"/>
          <w:highlight w:val="none"/>
        </w:rPr>
        <w:t>电子邮箱：</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u w:val="none"/>
          <w:lang w:val="en-US" w:eastAsia="zh-CN"/>
        </w:rPr>
        <w:t xml:space="preserve">    身份证号码：</w:t>
      </w:r>
      <w:bookmarkEnd w:id="45"/>
      <w:bookmarkEnd w:id="46"/>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16637DCA">
      <w:pPr>
        <w:spacing w:line="500" w:lineRule="exact"/>
        <w:outlineLvl w:val="0"/>
        <w:rPr>
          <w:rFonts w:hint="eastAsia" w:asciiTheme="minorEastAsia" w:hAnsiTheme="minorEastAsia" w:eastAsiaTheme="minorEastAsia" w:cstheme="minorEastAsia"/>
          <w:b/>
          <w:color w:val="auto"/>
          <w:sz w:val="32"/>
          <w:szCs w:val="32"/>
          <w:highlight w:val="none"/>
        </w:rPr>
      </w:pPr>
      <w:bookmarkStart w:id="47" w:name="_Toc13108"/>
      <w:bookmarkStart w:id="48" w:name="_Toc11091"/>
      <w:r>
        <w:rPr>
          <w:rFonts w:hint="eastAsia" w:asciiTheme="minorEastAsia" w:hAnsiTheme="minorEastAsia" w:eastAsiaTheme="minorEastAsia" w:cstheme="minorEastAsia"/>
          <w:b/>
          <w:color w:val="auto"/>
          <w:sz w:val="32"/>
          <w:szCs w:val="32"/>
          <w:highlight w:val="none"/>
        </w:rPr>
        <w:t>手</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机：</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rPr>
        <w:t xml:space="preserve">  </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日期：</w:t>
      </w:r>
      <w:r>
        <w:rPr>
          <w:rFonts w:hint="eastAsia" w:asciiTheme="minorEastAsia" w:hAnsiTheme="minorEastAsia" w:eastAsiaTheme="minorEastAsia" w:cstheme="minorEastAsia"/>
          <w:b/>
          <w:color w:val="auto"/>
          <w:sz w:val="32"/>
          <w:szCs w:val="32"/>
          <w:highlight w:val="none"/>
          <w:u w:val="single"/>
          <w:lang w:val="en-US" w:eastAsia="zh-CN"/>
        </w:rPr>
        <w:t xml:space="preserve">     年   月   日</w:t>
      </w:r>
      <w:bookmarkEnd w:id="47"/>
      <w:bookmarkEnd w:id="48"/>
    </w:p>
    <w:p w14:paraId="2A9798CB">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261165FA">
      <w:pPr>
        <w:spacing w:line="360" w:lineRule="auto"/>
        <w:jc w:val="center"/>
        <w:outlineLvl w:val="0"/>
        <w:rPr>
          <w:rFonts w:hint="eastAsia" w:asciiTheme="minorEastAsia" w:hAnsiTheme="minorEastAsia" w:eastAsiaTheme="minorEastAsia"/>
          <w:b/>
          <w:color w:val="auto"/>
          <w:sz w:val="24"/>
          <w:highlight w:val="none"/>
          <w:lang w:val="en-US" w:eastAsia="zh-CN"/>
        </w:rPr>
      </w:pPr>
      <w:bookmarkStart w:id="49" w:name="_Toc8851"/>
      <w:bookmarkStart w:id="50" w:name="_Toc27705"/>
      <w:bookmarkStart w:id="51" w:name="_Toc13288"/>
      <w:bookmarkStart w:id="52" w:name="_Toc32728"/>
      <w:bookmarkStart w:id="53" w:name="_Toc17822"/>
      <w:r>
        <w:rPr>
          <w:rFonts w:hint="eastAsia" w:asciiTheme="minorEastAsia" w:hAnsiTheme="minorEastAsia" w:eastAsiaTheme="minorEastAsia"/>
          <w:b/>
          <w:color w:val="auto"/>
          <w:sz w:val="24"/>
          <w:highlight w:val="none"/>
        </w:rPr>
        <w:t>一、</w:t>
      </w:r>
      <w:bookmarkEnd w:id="49"/>
      <w:bookmarkEnd w:id="50"/>
      <w:bookmarkEnd w:id="51"/>
      <w:bookmarkEnd w:id="52"/>
      <w:bookmarkEnd w:id="53"/>
      <w:r>
        <w:rPr>
          <w:rFonts w:hint="eastAsia" w:asciiTheme="minorEastAsia" w:hAnsiTheme="minorEastAsia" w:eastAsiaTheme="minorEastAsia"/>
          <w:b/>
          <w:color w:val="auto"/>
          <w:sz w:val="24"/>
          <w:highlight w:val="none"/>
          <w:lang w:val="en-US" w:eastAsia="zh-CN"/>
        </w:rPr>
        <w:t>资质要求</w:t>
      </w:r>
    </w:p>
    <w:p w14:paraId="71CCD2C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1.具有独立承担民事责任的能力</w:t>
      </w:r>
    </w:p>
    <w:p w14:paraId="673B83C9">
      <w:pPr>
        <w:spacing w:line="360" w:lineRule="auto"/>
        <w:rPr>
          <w:rFonts w:hint="eastAsia" w:asciiTheme="minorEastAsia" w:hAnsiTheme="minorEastAsia" w:eastAsiaTheme="minorEastAsia"/>
          <w:color w:val="auto"/>
          <w:sz w:val="24"/>
          <w:highlight w:val="none"/>
          <w:lang w:eastAsia="zh-CN"/>
        </w:rPr>
      </w:pPr>
    </w:p>
    <w:p w14:paraId="327875A4">
      <w:pPr>
        <w:spacing w:line="360" w:lineRule="auto"/>
        <w:rPr>
          <w:rFonts w:hint="eastAsia" w:asciiTheme="minorEastAsia" w:hAnsiTheme="minorEastAsia" w:eastAsiaTheme="minorEastAsia"/>
          <w:color w:val="auto"/>
          <w:sz w:val="24"/>
          <w:highlight w:val="none"/>
          <w:lang w:eastAsia="zh-CN"/>
        </w:rPr>
      </w:pPr>
    </w:p>
    <w:p w14:paraId="28EFD951">
      <w:pPr>
        <w:spacing w:line="360" w:lineRule="auto"/>
        <w:rPr>
          <w:rFonts w:hint="eastAsia"/>
          <w:color w:val="auto"/>
          <w:highlight w:val="none"/>
          <w:lang w:eastAsia="zh-CN"/>
        </w:rPr>
      </w:pPr>
    </w:p>
    <w:p w14:paraId="7FFCC0BA">
      <w:pPr>
        <w:spacing w:line="360" w:lineRule="auto"/>
        <w:rPr>
          <w:rFonts w:hint="eastAsia" w:asciiTheme="minorEastAsia" w:hAnsiTheme="minorEastAsia" w:eastAsiaTheme="minorEastAsia"/>
          <w:color w:val="auto"/>
          <w:sz w:val="24"/>
          <w:highlight w:val="none"/>
          <w:lang w:eastAsia="zh-CN"/>
        </w:rPr>
      </w:pPr>
    </w:p>
    <w:p w14:paraId="5EFD279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供应商公章或电子签章：</w:t>
      </w:r>
      <w:r>
        <w:rPr>
          <w:rFonts w:hint="eastAsia" w:asciiTheme="minorEastAsia" w:hAnsiTheme="minorEastAsia" w:eastAsiaTheme="minorEastAsia"/>
          <w:color w:val="auto"/>
          <w:sz w:val="24"/>
          <w:highlight w:val="none"/>
          <w:u w:val="single"/>
          <w:lang w:val="en-US" w:eastAsia="zh-CN"/>
        </w:rPr>
        <w:t xml:space="preserve">       </w:t>
      </w:r>
    </w:p>
    <w:p w14:paraId="648E66CA">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p w14:paraId="0F254E41">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rPr>
        <w:t>评审核验电子标书中的下列证书、证明材料原件</w:t>
      </w:r>
      <w:r>
        <w:rPr>
          <w:rFonts w:hint="eastAsia" w:asciiTheme="minorEastAsia" w:hAnsiTheme="minorEastAsia" w:eastAsiaTheme="minorEastAsia"/>
          <w:b/>
          <w:color w:val="auto"/>
          <w:sz w:val="24"/>
          <w:highlight w:val="none"/>
          <w:lang w:eastAsia="zh-CN"/>
        </w:rPr>
        <w:t>扫描件</w:t>
      </w:r>
      <w:r>
        <w:rPr>
          <w:rFonts w:hint="eastAsia" w:asciiTheme="minorEastAsia" w:hAnsiTheme="minorEastAsia" w:eastAsiaTheme="minorEastAsia"/>
          <w:b/>
          <w:color w:val="auto"/>
          <w:sz w:val="24"/>
          <w:highlight w:val="none"/>
        </w:rPr>
        <w:t>：</w:t>
      </w:r>
    </w:p>
    <w:p w14:paraId="40FF301B">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响应供应商为企业（包括合伙企业）的，应提供有效的“营业执照”；</w:t>
      </w:r>
    </w:p>
    <w:p w14:paraId="65A19A86">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响应供应商为事业单位的，应提供有效的“事业单位法人证书”；</w:t>
      </w:r>
    </w:p>
    <w:p w14:paraId="3F393600">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响应供应商是非企业机构的，应提供有效的“执业许可证”、“登记证书”等证明文件；</w:t>
      </w:r>
    </w:p>
    <w:p w14:paraId="78436E58">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响应供应商是个体工商户的，应提供有效的“个体工商户营业执照”；</w:t>
      </w:r>
    </w:p>
    <w:p w14:paraId="63025996">
      <w:pPr>
        <w:spacing w:line="24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响应供应商是自然人的，应提供有效的自然人身份证明。</w:t>
      </w:r>
    </w:p>
    <w:p w14:paraId="120DFEE4">
      <w:pPr>
        <w:spacing w:line="24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9BC7BF8">
      <w:pPr>
        <w:numPr>
          <w:ilvl w:val="0"/>
          <w:numId w:val="0"/>
        </w:numPr>
        <w:rPr>
          <w:rFonts w:hint="default"/>
          <w:color w:val="auto"/>
          <w:highlight w:val="none"/>
          <w:lang w:val="en-US" w:eastAsia="zh-CN"/>
        </w:rPr>
      </w:pPr>
    </w:p>
    <w:p w14:paraId="04AC86D4">
      <w:pPr>
        <w:spacing w:line="360" w:lineRule="auto"/>
        <w:jc w:val="center"/>
        <w:outlineLvl w:val="0"/>
        <w:rPr>
          <w:rFonts w:hint="eastAsia" w:asciiTheme="minorEastAsia" w:hAnsiTheme="minorEastAsia" w:eastAsiaTheme="minorEastAsia"/>
          <w:b/>
          <w:color w:val="auto"/>
          <w:sz w:val="24"/>
          <w:highlight w:val="none"/>
          <w:lang w:val="en-US" w:eastAsia="zh-CN"/>
        </w:rPr>
      </w:pPr>
      <w:bookmarkStart w:id="54" w:name="_Toc26211"/>
      <w:bookmarkStart w:id="55" w:name="_Toc16989"/>
      <w:bookmarkStart w:id="56" w:name="_Toc15097"/>
      <w:bookmarkStart w:id="57" w:name="_Toc31361"/>
      <w:bookmarkStart w:id="58" w:name="_Toc28438"/>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报价</w:t>
      </w:r>
      <w:bookmarkEnd w:id="54"/>
      <w:bookmarkEnd w:id="55"/>
    </w:p>
    <w:p w14:paraId="75D1D9FC">
      <w:pPr>
        <w:pStyle w:val="63"/>
        <w:ind w:firstLine="0" w:firstLineChars="0"/>
        <w:rPr>
          <w:rFonts w:ascii="仿宋" w:hAnsi="仿宋" w:eastAsia="仿宋"/>
          <w:color w:val="auto"/>
          <w:highlight w:val="none"/>
        </w:rPr>
      </w:pPr>
      <w:bookmarkStart w:id="59" w:name="_Toc395875073"/>
      <w:r>
        <w:rPr>
          <w:rFonts w:hint="eastAsia" w:ascii="仿宋" w:hAnsi="仿宋" w:eastAsia="仿宋"/>
          <w:b w:val="0"/>
          <w:color w:val="auto"/>
          <w:highlight w:val="none"/>
        </w:rPr>
        <w:t>1、响应报价表</w:t>
      </w:r>
      <w:bookmarkEnd w:id="59"/>
      <w:r>
        <w:rPr>
          <w:rFonts w:hint="eastAsia" w:ascii="仿宋" w:hAnsi="仿宋" w:eastAsia="仿宋"/>
          <w:b w:val="0"/>
          <w:color w:val="auto"/>
          <w:sz w:val="24"/>
          <w:szCs w:val="24"/>
          <w:highlight w:val="none"/>
        </w:rPr>
        <w:t xml:space="preserve">       </w:t>
      </w:r>
      <w:r>
        <w:rPr>
          <w:rFonts w:hint="eastAsia" w:ascii="仿宋" w:hAnsi="仿宋" w:eastAsia="仿宋"/>
          <w:color w:val="auto"/>
          <w:sz w:val="24"/>
          <w:szCs w:val="24"/>
          <w:highlight w:val="none"/>
        </w:rPr>
        <w:t xml:space="preserve">                        </w:t>
      </w:r>
    </w:p>
    <w:p w14:paraId="55EB9917">
      <w:pPr>
        <w:rPr>
          <w:rFonts w:ascii="仿宋" w:hAnsi="仿宋" w:eastAsia="仿宋"/>
          <w:color w:val="auto"/>
          <w:sz w:val="28"/>
          <w:szCs w:val="28"/>
          <w:highlight w:val="none"/>
        </w:rPr>
      </w:pPr>
      <w:r>
        <w:rPr>
          <w:rFonts w:hint="eastAsia" w:ascii="仿宋" w:hAnsi="仿宋" w:eastAsia="仿宋"/>
          <w:color w:val="auto"/>
          <w:sz w:val="28"/>
          <w:szCs w:val="28"/>
          <w:highlight w:val="none"/>
        </w:rPr>
        <w:t>供应商可根据项目要求自行调整，包括但不限于以下内容。</w:t>
      </w:r>
    </w:p>
    <w:tbl>
      <w:tblPr>
        <w:tblStyle w:val="25"/>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4394"/>
      </w:tblGrid>
      <w:tr w14:paraId="0E0E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912" w:type="dxa"/>
            <w:gridSpan w:val="2"/>
            <w:vAlign w:val="center"/>
          </w:tcPr>
          <w:p w14:paraId="29D2580C">
            <w:pPr>
              <w:snapToGrid w:val="0"/>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天长市基层公务出行新能源汽车定点分时租赁项目</w:t>
            </w:r>
          </w:p>
        </w:tc>
      </w:tr>
      <w:tr w14:paraId="6888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518" w:type="dxa"/>
            <w:vAlign w:val="center"/>
          </w:tcPr>
          <w:p w14:paraId="697B5E33">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报价</w:t>
            </w:r>
            <w:r>
              <w:rPr>
                <w:rFonts w:hint="eastAsia" w:ascii="仿宋" w:hAnsi="仿宋" w:eastAsia="仿宋"/>
                <w:color w:val="auto"/>
                <w:sz w:val="28"/>
                <w:szCs w:val="28"/>
                <w:highlight w:val="none"/>
              </w:rPr>
              <w:t>折扣率</w:t>
            </w:r>
          </w:p>
        </w:tc>
        <w:tc>
          <w:tcPr>
            <w:tcW w:w="4394" w:type="dxa"/>
            <w:vAlign w:val="center"/>
          </w:tcPr>
          <w:p w14:paraId="2389D991">
            <w:pPr>
              <w:snapToGrid w:val="0"/>
              <w:jc w:val="center"/>
              <w:rPr>
                <w:rFonts w:ascii="仿宋" w:hAnsi="仿宋" w:eastAsia="仿宋"/>
                <w:color w:val="auto"/>
                <w:sz w:val="28"/>
                <w:szCs w:val="28"/>
                <w:highlight w:val="none"/>
              </w:rPr>
            </w:pPr>
          </w:p>
        </w:tc>
      </w:tr>
      <w:tr w14:paraId="13C9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912" w:type="dxa"/>
            <w:gridSpan w:val="2"/>
            <w:vAlign w:val="center"/>
          </w:tcPr>
          <w:p w14:paraId="455AAEEB">
            <w:pPr>
              <w:snapToGrid w:val="0"/>
              <w:rPr>
                <w:rFonts w:ascii="仿宋" w:hAnsi="仿宋" w:eastAsia="仿宋"/>
                <w:color w:val="auto"/>
                <w:sz w:val="28"/>
                <w:szCs w:val="28"/>
                <w:highlight w:val="none"/>
              </w:rPr>
            </w:pPr>
            <w:r>
              <w:rPr>
                <w:rFonts w:ascii="仿宋" w:hAnsi="仿宋" w:eastAsia="仿宋"/>
                <w:color w:val="auto"/>
                <w:sz w:val="28"/>
                <w:szCs w:val="28"/>
                <w:highlight w:val="none"/>
              </w:rPr>
              <w:t>备注</w:t>
            </w:r>
            <w:r>
              <w:rPr>
                <w:rFonts w:hint="eastAsia" w:ascii="仿宋" w:hAnsi="仿宋" w:eastAsia="仿宋"/>
                <w:color w:val="auto"/>
                <w:sz w:val="28"/>
                <w:szCs w:val="28"/>
                <w:highlight w:val="none"/>
              </w:rPr>
              <w:t>1</w:t>
            </w:r>
            <w:r>
              <w:rPr>
                <w:rFonts w:ascii="仿宋" w:hAnsi="仿宋" w:eastAsia="仿宋"/>
                <w:color w:val="auto"/>
                <w:sz w:val="28"/>
                <w:szCs w:val="28"/>
                <w:highlight w:val="none"/>
              </w:rPr>
              <w:t>：供应商只需填报总折扣率，实际费用按折扣后据实结算。</w:t>
            </w:r>
          </w:p>
          <w:p w14:paraId="4D2E552B">
            <w:pPr>
              <w:pStyle w:val="24"/>
              <w:ind w:firstLine="0" w:firstLineChars="0"/>
              <w:rPr>
                <w:rFonts w:ascii="仿宋" w:hAnsi="仿宋" w:eastAsia="仿宋"/>
                <w:color w:val="auto"/>
                <w:kern w:val="2"/>
                <w:sz w:val="28"/>
                <w:szCs w:val="28"/>
                <w:highlight w:val="none"/>
              </w:rPr>
            </w:pPr>
            <w:r>
              <w:rPr>
                <w:rFonts w:hint="eastAsia" w:ascii="仿宋" w:hAnsi="仿宋" w:eastAsia="仿宋"/>
                <w:color w:val="auto"/>
                <w:kern w:val="2"/>
                <w:sz w:val="28"/>
                <w:szCs w:val="28"/>
                <w:highlight w:val="none"/>
              </w:rPr>
              <w:t>备注2：本项目需以“折扣率”进行报价，请暂不考虑金额单位，只根据实际数字进行填写，现统一规范为：“8 折”即80%，请直接填写“80”，“8.5 折”即85%，请直接填写“85”以此类推。</w:t>
            </w:r>
          </w:p>
          <w:p w14:paraId="4645EA14">
            <w:pPr>
              <w:pStyle w:val="64"/>
              <w:wordWrap w:val="0"/>
              <w:adjustRightInd/>
              <w:jc w:val="both"/>
              <w:rPr>
                <w:rFonts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备注3：本项目报价以供应商的响应报价表中价格为准。</w:t>
            </w:r>
          </w:p>
        </w:tc>
      </w:tr>
    </w:tbl>
    <w:p w14:paraId="5F7D66FA">
      <w:pPr>
        <w:spacing w:line="360" w:lineRule="auto"/>
        <w:rPr>
          <w:rFonts w:hint="eastAsia" w:asciiTheme="minorEastAsia" w:hAnsiTheme="minorEastAsia" w:eastAsiaTheme="minorEastAsia"/>
          <w:color w:val="auto"/>
          <w:sz w:val="24"/>
          <w:highlight w:val="none"/>
          <w:lang w:val="en-US" w:eastAsia="zh-CN"/>
        </w:rPr>
      </w:pPr>
    </w:p>
    <w:p w14:paraId="08947C1D">
      <w:pPr>
        <w:spacing w:line="360" w:lineRule="auto"/>
        <w:rPr>
          <w:rFonts w:hint="eastAsia" w:asciiTheme="minorEastAsia" w:hAnsiTheme="minorEastAsia" w:eastAsiaTheme="minorEastAsia"/>
          <w:color w:val="auto"/>
          <w:sz w:val="24"/>
          <w:highlight w:val="none"/>
          <w:lang w:val="en-US" w:eastAsia="zh-CN"/>
        </w:rPr>
      </w:pPr>
    </w:p>
    <w:p w14:paraId="6B2ABFD3">
      <w:pPr>
        <w:spacing w:line="360" w:lineRule="auto"/>
        <w:rPr>
          <w:rFonts w:hint="eastAsia" w:asciiTheme="minorEastAsia" w:hAnsiTheme="minorEastAsia" w:eastAsiaTheme="minorEastAsia"/>
          <w:color w:val="auto"/>
          <w:sz w:val="24"/>
          <w:highlight w:val="none"/>
          <w:lang w:val="en-US" w:eastAsia="zh-CN"/>
        </w:rPr>
      </w:pPr>
    </w:p>
    <w:p w14:paraId="7F4E148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供应商公章或电子签章：</w:t>
      </w:r>
      <w:r>
        <w:rPr>
          <w:rFonts w:hint="eastAsia" w:asciiTheme="minorEastAsia" w:hAnsiTheme="minorEastAsia" w:eastAsiaTheme="minorEastAsia"/>
          <w:color w:val="auto"/>
          <w:sz w:val="24"/>
          <w:highlight w:val="none"/>
          <w:u w:val="single"/>
          <w:lang w:val="en-US" w:eastAsia="zh-CN"/>
        </w:rPr>
        <w:t xml:space="preserve">       </w:t>
      </w:r>
    </w:p>
    <w:p w14:paraId="1EEBBC5B">
      <w:pPr>
        <w:bidi w:val="0"/>
        <w:rPr>
          <w:rFonts w:hint="eastAsia"/>
          <w:color w:val="auto"/>
          <w:highlight w:val="none"/>
        </w:rPr>
      </w:pPr>
    </w:p>
    <w:p w14:paraId="719162C5">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rPr>
        <w:br w:type="page"/>
      </w:r>
      <w:bookmarkStart w:id="60" w:name="_Toc49849004"/>
    </w:p>
    <w:p w14:paraId="515381E2">
      <w:pPr>
        <w:spacing w:line="360" w:lineRule="auto"/>
        <w:jc w:val="center"/>
        <w:outlineLvl w:val="0"/>
        <w:rPr>
          <w:rFonts w:hint="eastAsia" w:asciiTheme="minorEastAsia" w:hAnsiTheme="minorEastAsia" w:eastAsiaTheme="minorEastAsia"/>
          <w:b/>
          <w:color w:val="auto"/>
          <w:sz w:val="24"/>
          <w:highlight w:val="none"/>
          <w:lang w:val="en-US" w:eastAsia="zh-CN"/>
        </w:rPr>
      </w:pPr>
      <w:bookmarkStart w:id="61" w:name="_Toc32205"/>
      <w:bookmarkStart w:id="62" w:name="_Toc6605"/>
      <w:r>
        <w:rPr>
          <w:rFonts w:hint="eastAsia" w:asciiTheme="minorEastAsia" w:hAnsiTheme="minorEastAsia" w:eastAsiaTheme="minorEastAsia"/>
          <w:b/>
          <w:color w:val="auto"/>
          <w:sz w:val="24"/>
          <w:highlight w:val="none"/>
          <w:lang w:val="en-US" w:eastAsia="zh-CN"/>
        </w:rPr>
        <w:t>三、供应商综合情况简介</w:t>
      </w:r>
      <w:bookmarkEnd w:id="60"/>
      <w:bookmarkEnd w:id="61"/>
      <w:bookmarkEnd w:id="62"/>
    </w:p>
    <w:p w14:paraId="4F799CB8">
      <w:pPr>
        <w:kinsoku/>
        <w:overflowPunct/>
        <w:bidi w:val="0"/>
        <w:spacing w:line="590" w:lineRule="exact"/>
        <w:rPr>
          <w:rFonts w:hint="eastAsia"/>
          <w:b/>
          <w:color w:val="auto"/>
          <w:sz w:val="28"/>
          <w:szCs w:val="28"/>
          <w:highlight w:val="none"/>
        </w:rPr>
      </w:pPr>
      <w:r>
        <w:rPr>
          <w:rFonts w:hint="eastAsia"/>
          <w:b/>
          <w:color w:val="auto"/>
          <w:sz w:val="28"/>
          <w:szCs w:val="28"/>
          <w:highlight w:val="none"/>
        </w:rPr>
        <w:t>附件1</w:t>
      </w:r>
    </w:p>
    <w:p w14:paraId="08E1737C">
      <w:pPr>
        <w:kinsoku/>
        <w:overflowPunct/>
        <w:bidi w:val="0"/>
        <w:spacing w:line="590" w:lineRule="exact"/>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3217F95A">
      <w:pPr>
        <w:pStyle w:val="65"/>
        <w:kinsoku/>
        <w:overflowPunct/>
        <w:bidi w:val="0"/>
        <w:spacing w:before="312" w:beforeLines="100" w:after="312" w:afterLines="100" w:line="59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24D152D8">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响应供应商名称：</w:t>
      </w:r>
    </w:p>
    <w:p w14:paraId="5DCD6198">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单位性质：</w:t>
      </w:r>
    </w:p>
    <w:p w14:paraId="032D437F">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地址：</w:t>
      </w:r>
    </w:p>
    <w:p w14:paraId="3FADC693">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lang w:val="en-US" w:eastAsia="zh-CN"/>
        </w:rPr>
        <w:t xml:space="preserve">  </w:t>
      </w:r>
      <w:r>
        <w:rPr>
          <w:rFonts w:hint="eastAsia" w:ascii="宋体"/>
          <w:color w:val="auto"/>
          <w:sz w:val="24"/>
          <w:highlight w:val="none"/>
        </w:rPr>
        <w:t>年</w:t>
      </w:r>
      <w:r>
        <w:rPr>
          <w:rFonts w:hint="eastAsia" w:ascii="宋体"/>
          <w:color w:val="auto"/>
          <w:sz w:val="24"/>
          <w:highlight w:val="none"/>
          <w:lang w:val="en-US" w:eastAsia="zh-CN"/>
        </w:rPr>
        <w:t xml:space="preserve">  </w:t>
      </w:r>
      <w:r>
        <w:rPr>
          <w:rFonts w:hint="eastAsia" w:ascii="宋体"/>
          <w:color w:val="auto"/>
          <w:sz w:val="24"/>
          <w:highlight w:val="none"/>
        </w:rPr>
        <w:t>月＿日</w:t>
      </w:r>
    </w:p>
    <w:p w14:paraId="6277F3AA">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经营期限：</w:t>
      </w:r>
    </w:p>
    <w:p w14:paraId="0421BBFC">
      <w:pPr>
        <w:kinsoku/>
        <w:overflowPunct/>
        <w:bidi w:val="0"/>
        <w:spacing w:line="59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名：性别：年龄：＿职务：_</w:t>
      </w:r>
    </w:p>
    <w:p w14:paraId="5EF90A4E">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系（响应供应商名称）的法定代表人。</w:t>
      </w:r>
    </w:p>
    <w:p w14:paraId="7A2F391E">
      <w:pPr>
        <w:kinsoku/>
        <w:overflowPunct/>
        <w:bidi w:val="0"/>
        <w:spacing w:line="59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4DC2215E">
      <w:pPr>
        <w:kinsoku/>
        <w:overflowPunct/>
        <w:bidi w:val="0"/>
        <w:spacing w:line="590" w:lineRule="exact"/>
        <w:ind w:firstLine="3480" w:firstLineChars="1450"/>
        <w:rPr>
          <w:rFonts w:hint="eastAsia" w:ascii="宋体"/>
          <w:color w:val="auto"/>
          <w:sz w:val="24"/>
          <w:highlight w:val="none"/>
        </w:rPr>
      </w:pPr>
      <w:r>
        <w:rPr>
          <w:rFonts w:hint="eastAsia" w:ascii="宋体"/>
          <w:color w:val="auto"/>
          <w:sz w:val="24"/>
          <w:highlight w:val="none"/>
        </w:rPr>
        <w:t>响应供应商：（盖单位章）</w:t>
      </w:r>
    </w:p>
    <w:p w14:paraId="547BBDA1">
      <w:pPr>
        <w:kinsoku/>
        <w:wordWrap w:val="0"/>
        <w:overflowPunct/>
        <w:bidi w:val="0"/>
        <w:spacing w:line="590" w:lineRule="exact"/>
        <w:jc w:val="right"/>
        <w:rPr>
          <w:rFonts w:hint="eastAsia"/>
          <w:color w:val="auto"/>
          <w:highlight w:val="none"/>
        </w:rPr>
      </w:pPr>
      <w:r>
        <w:rPr>
          <w:rFonts w:hint="eastAsia" w:ascii="宋体"/>
          <w:color w:val="auto"/>
          <w:sz w:val="24"/>
          <w:highlight w:val="none"/>
        </w:rPr>
        <w:t>年月日</w:t>
      </w:r>
    </w:p>
    <w:p w14:paraId="32233BFA">
      <w:pPr>
        <w:kinsoku/>
        <w:overflowPunct/>
        <w:bidi w:val="0"/>
        <w:spacing w:before="312" w:beforeLines="100" w:after="312" w:afterLines="100" w:line="59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68D4CCFF">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本人（姓名）系（响应供应商）的法定代表人，现委托（姓名）为我方代理人。代理人根据授权，以我方名义签署、澄清、说明、补正、递交、撤回、修改“”(项目名称、编号）征集文件，全权处理与该项目投标、评审答疑、签订合同以及与合同执行有关的一切事务，其法律后果由我方承担。</w:t>
      </w:r>
    </w:p>
    <w:p w14:paraId="638CDD2D">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委托期限：</w:t>
      </w:r>
    </w:p>
    <w:p w14:paraId="4CF2C044">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7F688775">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14AA3BA4">
      <w:pPr>
        <w:kinsoku/>
        <w:overflowPunct/>
        <w:bidi w:val="0"/>
        <w:spacing w:line="590" w:lineRule="exact"/>
        <w:rPr>
          <w:rFonts w:hint="eastAsia" w:ascii="宋体"/>
          <w:color w:val="auto"/>
          <w:sz w:val="24"/>
          <w:highlight w:val="none"/>
        </w:rPr>
      </w:pPr>
      <w:r>
        <w:rPr>
          <w:rFonts w:hint="eastAsia" w:ascii="宋体"/>
          <w:color w:val="auto"/>
          <w:sz w:val="24"/>
          <w:highlight w:val="none"/>
        </w:rPr>
        <w:t>响应供应商：</w:t>
      </w:r>
      <w:r>
        <w:rPr>
          <w:rFonts w:hint="eastAsia" w:ascii="宋体"/>
          <w:color w:val="auto"/>
          <w:sz w:val="28"/>
          <w:szCs w:val="28"/>
          <w:highlight w:val="none"/>
        </w:rPr>
        <w:t>（盖单位章）</w:t>
      </w:r>
    </w:p>
    <w:p w14:paraId="42EAD7E9">
      <w:pPr>
        <w:kinsoku/>
        <w:overflowPunct/>
        <w:bidi w:val="0"/>
        <w:spacing w:line="590" w:lineRule="exact"/>
        <w:ind w:firstLine="2280" w:firstLineChars="950"/>
        <w:rPr>
          <w:rFonts w:hint="eastAsia" w:ascii="宋体"/>
          <w:color w:val="auto"/>
          <w:sz w:val="24"/>
          <w:highlight w:val="none"/>
        </w:rPr>
      </w:pPr>
      <w:r>
        <w:rPr>
          <w:rFonts w:hint="eastAsia" w:ascii="宋体"/>
          <w:color w:val="auto"/>
          <w:sz w:val="24"/>
          <w:highlight w:val="none"/>
        </w:rPr>
        <w:t>法定代表人（身份证号码）：</w:t>
      </w:r>
      <w:r>
        <w:rPr>
          <w:rFonts w:hint="eastAsia" w:ascii="宋体"/>
          <w:color w:val="auto"/>
          <w:sz w:val="28"/>
          <w:szCs w:val="28"/>
          <w:highlight w:val="none"/>
        </w:rPr>
        <w:t>（签章）</w:t>
      </w:r>
    </w:p>
    <w:p w14:paraId="12A835EF">
      <w:pPr>
        <w:kinsoku/>
        <w:overflowPunct/>
        <w:bidi w:val="0"/>
        <w:spacing w:line="590" w:lineRule="exact"/>
        <w:ind w:firstLine="2820" w:firstLineChars="1175"/>
        <w:rPr>
          <w:rFonts w:hint="eastAsia" w:ascii="宋体"/>
          <w:color w:val="auto"/>
          <w:sz w:val="24"/>
          <w:highlight w:val="none"/>
        </w:rPr>
      </w:pPr>
      <w:r>
        <w:rPr>
          <w:rFonts w:hint="eastAsia" w:ascii="宋体"/>
          <w:color w:val="auto"/>
          <w:sz w:val="24"/>
          <w:highlight w:val="none"/>
        </w:rPr>
        <w:t>年月日</w:t>
      </w:r>
    </w:p>
    <w:p w14:paraId="7E7B8E3F">
      <w:pPr>
        <w:kinsoku/>
        <w:overflowPunct/>
        <w:bidi w:val="0"/>
        <w:spacing w:line="590" w:lineRule="exact"/>
        <w:ind w:firstLine="413" w:firstLineChars="147"/>
        <w:rPr>
          <w:rFonts w:hint="eastAsia"/>
          <w:b/>
          <w:color w:val="auto"/>
          <w:sz w:val="28"/>
          <w:szCs w:val="28"/>
          <w:highlight w:val="none"/>
          <w:u w:val="single"/>
        </w:rPr>
      </w:pPr>
    </w:p>
    <w:p w14:paraId="402D61F7">
      <w:pPr>
        <w:kinsoku/>
        <w:overflowPunct/>
        <w:bidi w:val="0"/>
        <w:spacing w:line="590" w:lineRule="exact"/>
        <w:ind w:firstLine="413" w:firstLineChars="147"/>
        <w:rPr>
          <w:rFonts w:hint="eastAsia"/>
          <w:b/>
          <w:color w:val="auto"/>
          <w:sz w:val="28"/>
          <w:szCs w:val="28"/>
          <w:highlight w:val="none"/>
          <w:u w:val="single"/>
        </w:rPr>
      </w:pPr>
    </w:p>
    <w:p w14:paraId="5F873323">
      <w:pPr>
        <w:kinsoku/>
        <w:overflowPunct/>
        <w:bidi w:val="0"/>
        <w:spacing w:line="59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7E4FA383">
      <w:pPr>
        <w:kinsoku/>
        <w:overflowPunct/>
        <w:bidi w:val="0"/>
        <w:spacing w:line="590" w:lineRule="exact"/>
        <w:jc w:val="center"/>
        <w:rPr>
          <w:rFonts w:hint="eastAsia"/>
          <w:b/>
          <w:color w:val="auto"/>
          <w:sz w:val="28"/>
          <w:szCs w:val="28"/>
          <w:highlight w:val="none"/>
        </w:rPr>
      </w:pPr>
      <w:r>
        <w:rPr>
          <w:rFonts w:hint="eastAsia"/>
          <w:b/>
          <w:color w:val="auto"/>
          <w:sz w:val="28"/>
          <w:szCs w:val="28"/>
          <w:highlight w:val="none"/>
        </w:rPr>
        <w:t>诚信投标承诺书 </w:t>
      </w:r>
    </w:p>
    <w:p w14:paraId="1D2C0D89">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3979FE95">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一、将遵循公开、公正和诚实信用的原则自愿参加项目的投标，所提供的一切材料都是真实、有效、合法的；</w:t>
      </w:r>
    </w:p>
    <w:p w14:paraId="2F5E59DC">
      <w:pPr>
        <w:kinsoku/>
        <w:overflowPunct/>
        <w:bidi w:val="0"/>
        <w:spacing w:line="59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1A10DAE">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0DB0584C">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四、不与其他响应供应商相互串通响应报价，不排挤其他响应供应商的公平竞争、损害招标人的合法权益；</w:t>
      </w:r>
    </w:p>
    <w:p w14:paraId="02D1615F">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五、不与招标人、招标代理机构或其他响应供应商串通投标，损害国家利益、社会公共利益或者他人的合法权益；</w:t>
      </w:r>
    </w:p>
    <w:p w14:paraId="676C025F">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六、我公司没有下列情形：1、被人民法院列入失信被执行人的；2、我公司及其法定代表人、拟派项目经理（项目负责人）前三年</w:t>
      </w:r>
      <w:r>
        <w:rPr>
          <w:rFonts w:hint="eastAsia" w:ascii="宋体" w:hAnsi="宋体"/>
          <w:color w:val="auto"/>
          <w:szCs w:val="21"/>
          <w:highlight w:val="none"/>
          <w:lang w:val="en-US" w:eastAsia="zh-CN"/>
        </w:rPr>
        <w:t>有行贿犯罪行为的</w:t>
      </w:r>
      <w:r>
        <w:rPr>
          <w:rFonts w:hint="eastAsia" w:ascii="宋体" w:hAnsi="宋体"/>
          <w:color w:val="auto"/>
          <w:szCs w:val="21"/>
          <w:highlight w:val="none"/>
        </w:rPr>
        <w:t>；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征集文件对响应供应商所属分公司、办事处等分支机构有上述1-6项信誉要求，在此一并承诺我公司所属分公司、办事处等分支机构没有上述1-6项情形）</w:t>
      </w:r>
    </w:p>
    <w:p w14:paraId="4F1E2FC9">
      <w:pPr>
        <w:kinsoku/>
        <w:overflowPunct/>
        <w:bidi w:val="0"/>
        <w:spacing w:line="590" w:lineRule="exact"/>
        <w:ind w:firstLine="420" w:firstLineChars="200"/>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14:paraId="05565062">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14:paraId="18BFA001">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九、保证中标后不转包，若有分包征得招标人同意；</w:t>
      </w:r>
    </w:p>
    <w:p w14:paraId="5D8B0BE9">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十、保证中标之后，按照征集响应文件要求提供相关后续服务；</w:t>
      </w:r>
    </w:p>
    <w:p w14:paraId="71AACB94">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14:paraId="05541ED0">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26DC8EB">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58D0E4DB">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0860ACFF">
      <w:pPr>
        <w:kinsoku/>
        <w:overflowPunct/>
        <w:bidi w:val="0"/>
        <w:spacing w:line="59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开户银行：</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基本账户：</w:t>
      </w:r>
    </w:p>
    <w:p w14:paraId="063DDDA2">
      <w:pPr>
        <w:kinsoku/>
        <w:overflowPunct/>
        <w:bidi w:val="0"/>
        <w:spacing w:line="59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投标单位（盖单位章）：</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法定代表人（签</w:t>
      </w:r>
      <w:r>
        <w:rPr>
          <w:rFonts w:hint="eastAsia" w:ascii="宋体" w:hAnsi="宋体"/>
          <w:color w:val="auto"/>
          <w:szCs w:val="21"/>
          <w:highlight w:val="none"/>
          <w:lang w:val="en-US" w:eastAsia="zh-CN"/>
        </w:rPr>
        <w:t>章</w:t>
      </w:r>
      <w:r>
        <w:rPr>
          <w:rFonts w:hint="eastAsia" w:ascii="宋体" w:hAnsi="宋体"/>
          <w:color w:val="auto"/>
          <w:szCs w:val="21"/>
          <w:highlight w:val="none"/>
        </w:rPr>
        <w:t>）：</w:t>
      </w:r>
    </w:p>
    <w:p w14:paraId="13500FD6">
      <w:pPr>
        <w:kinsoku/>
        <w:overflowPunct/>
        <w:bidi w:val="0"/>
        <w:spacing w:line="590" w:lineRule="exact"/>
        <w:ind w:firstLine="420" w:firstLineChars="200"/>
        <w:rPr>
          <w:rFonts w:hint="eastAsia" w:ascii="宋体" w:hAnsi="宋体"/>
          <w:color w:val="auto"/>
          <w:szCs w:val="21"/>
          <w:highlight w:val="none"/>
        </w:rPr>
      </w:pPr>
    </w:p>
    <w:p w14:paraId="6164913B">
      <w:pPr>
        <w:spacing w:line="360" w:lineRule="auto"/>
        <w:jc w:val="right"/>
        <w:rPr>
          <w:rFonts w:hint="eastAsia" w:asciiTheme="minorEastAsia" w:hAnsiTheme="minorEastAsia" w:eastAsiaTheme="minorEastAsia"/>
          <w:color w:val="auto"/>
          <w:sz w:val="24"/>
          <w:highlight w:val="none"/>
        </w:rPr>
      </w:pPr>
      <w:r>
        <w:rPr>
          <w:rFonts w:hint="eastAsia" w:ascii="宋体" w:hAnsi="宋体"/>
          <w:color w:val="auto"/>
          <w:szCs w:val="21"/>
          <w:highlight w:val="none"/>
        </w:rPr>
        <w:t>日期：年月日</w:t>
      </w:r>
    </w:p>
    <w:p w14:paraId="5FA82855">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52F24B02">
      <w:pPr>
        <w:spacing w:line="360" w:lineRule="auto"/>
        <w:jc w:val="center"/>
        <w:outlineLvl w:val="0"/>
        <w:rPr>
          <w:rFonts w:asciiTheme="minorEastAsia" w:hAnsiTheme="minorEastAsia" w:eastAsiaTheme="minorEastAsia"/>
          <w:b/>
          <w:color w:val="auto"/>
          <w:sz w:val="24"/>
          <w:highlight w:val="none"/>
        </w:rPr>
      </w:pPr>
      <w:bookmarkStart w:id="63" w:name="_Toc22721"/>
      <w:bookmarkStart w:id="64" w:name="_Toc8334"/>
      <w:r>
        <w:rPr>
          <w:rFonts w:hint="eastAsia" w:asciiTheme="minorEastAsia" w:hAnsiTheme="minorEastAsia" w:eastAsiaTheme="minorEastAsia"/>
          <w:b/>
          <w:color w:val="auto"/>
          <w:sz w:val="24"/>
          <w:highlight w:val="none"/>
          <w:lang w:val="en-US" w:eastAsia="zh-CN"/>
        </w:rPr>
        <w:t>四、</w:t>
      </w:r>
      <w:bookmarkEnd w:id="56"/>
      <w:bookmarkEnd w:id="57"/>
      <w:bookmarkEnd w:id="58"/>
      <w:bookmarkEnd w:id="63"/>
      <w:bookmarkEnd w:id="64"/>
      <w:r>
        <w:rPr>
          <w:rFonts w:hint="eastAsia" w:ascii="宋体"/>
          <w:b/>
          <w:color w:val="auto"/>
          <w:sz w:val="30"/>
          <w:szCs w:val="30"/>
          <w:highlight w:val="none"/>
        </w:rPr>
        <w:t>服务承诺书</w:t>
      </w:r>
    </w:p>
    <w:p w14:paraId="6FE36B49">
      <w:pPr>
        <w:kinsoku/>
        <w:overflowPunct/>
        <w:bidi w:val="0"/>
        <w:spacing w:line="590" w:lineRule="exact"/>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（征集人）</w:t>
      </w:r>
      <w:r>
        <w:rPr>
          <w:rFonts w:hint="eastAsia" w:ascii="宋体"/>
          <w:color w:val="auto"/>
          <w:sz w:val="24"/>
          <w:highlight w:val="none"/>
        </w:rPr>
        <w:t>：</w:t>
      </w:r>
    </w:p>
    <w:p w14:paraId="554B4A0A">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本承诺声明：（响应供应商名称）对本征集文件的相关要求完全响应。若有幸中标将严格按照以上承诺进行服务。</w:t>
      </w:r>
    </w:p>
    <w:p w14:paraId="0E4C6DB6">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53598E6C">
      <w:pPr>
        <w:kinsoku/>
        <w:overflowPunct/>
        <w:bidi w:val="0"/>
        <w:spacing w:line="590" w:lineRule="exact"/>
        <w:rPr>
          <w:rFonts w:hint="eastAsia" w:ascii="宋体"/>
          <w:color w:val="auto"/>
          <w:sz w:val="24"/>
          <w:highlight w:val="none"/>
        </w:rPr>
      </w:pPr>
      <w:r>
        <w:rPr>
          <w:rFonts w:hint="eastAsia" w:ascii="宋体"/>
          <w:color w:val="auto"/>
          <w:sz w:val="24"/>
          <w:highlight w:val="none"/>
        </w:rPr>
        <w:t> </w:t>
      </w:r>
    </w:p>
    <w:p w14:paraId="7CED6778">
      <w:pPr>
        <w:kinsoku/>
        <w:overflowPunct/>
        <w:bidi w:val="0"/>
        <w:spacing w:line="59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响应供应商名称：（盖单位章）</w:t>
      </w:r>
    </w:p>
    <w:p w14:paraId="2D707BE2">
      <w:pPr>
        <w:kinsoku/>
        <w:overflowPunct/>
        <w:bidi w:val="0"/>
        <w:spacing w:line="590" w:lineRule="exact"/>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法定代表人：(签章)</w:t>
      </w:r>
    </w:p>
    <w:p w14:paraId="5812E216">
      <w:pPr>
        <w:kinsoku/>
        <w:overflowPunct/>
        <w:bidi w:val="0"/>
        <w:spacing w:line="590" w:lineRule="exact"/>
        <w:jc w:val="right"/>
        <w:rPr>
          <w:rFonts w:hint="eastAsia" w:ascii="宋体" w:hAnsi="宋体"/>
          <w:color w:val="auto"/>
          <w:sz w:val="24"/>
          <w:szCs w:val="21"/>
          <w:highlight w:val="none"/>
        </w:rPr>
      </w:pPr>
      <w:r>
        <w:rPr>
          <w:rFonts w:hint="eastAsia" w:ascii="宋体" w:hAnsi="宋体"/>
          <w:color w:val="auto"/>
          <w:sz w:val="24"/>
          <w:szCs w:val="21"/>
          <w:highlight w:val="none"/>
        </w:rPr>
        <w:t>日期：年月日</w:t>
      </w:r>
    </w:p>
    <w:p w14:paraId="0BDE2A60">
      <w:pPr>
        <w:tabs>
          <w:tab w:val="left" w:pos="630"/>
        </w:tabs>
        <w:spacing w:line="360" w:lineRule="auto"/>
        <w:rPr>
          <w:rFonts w:ascii="宋体" w:hAnsi="宋体" w:eastAsia="宋体"/>
          <w:color w:val="auto"/>
          <w:sz w:val="24"/>
          <w:highlight w:val="none"/>
        </w:rPr>
      </w:pPr>
    </w:p>
    <w:p w14:paraId="4C070300">
      <w:pPr>
        <w:tabs>
          <w:tab w:val="left" w:pos="630"/>
        </w:tabs>
        <w:spacing w:line="360" w:lineRule="auto"/>
        <w:rPr>
          <w:rFonts w:ascii="宋体" w:hAnsi="宋体" w:eastAsia="宋体"/>
          <w:color w:val="auto"/>
          <w:sz w:val="24"/>
          <w:highlight w:val="none"/>
        </w:rPr>
      </w:pPr>
      <w:r>
        <w:rPr>
          <w:rFonts w:ascii="宋体" w:hAnsi="宋体" w:eastAsia="宋体"/>
          <w:color w:val="auto"/>
          <w:sz w:val="24"/>
          <w:highlight w:val="none"/>
        </w:rPr>
        <w:br w:type="page"/>
      </w:r>
    </w:p>
    <w:p w14:paraId="497E5B17">
      <w:pPr>
        <w:spacing w:line="360" w:lineRule="auto"/>
        <w:jc w:val="center"/>
        <w:outlineLvl w:val="0"/>
        <w:rPr>
          <w:rFonts w:hint="eastAsia" w:asciiTheme="minorEastAsia" w:hAnsiTheme="minorEastAsia" w:eastAsiaTheme="minorEastAsia"/>
          <w:b/>
          <w:color w:val="auto"/>
          <w:sz w:val="24"/>
          <w:highlight w:val="none"/>
          <w:lang w:eastAsia="zh-CN"/>
        </w:rPr>
      </w:pPr>
      <w:bookmarkStart w:id="65" w:name="_Toc20234"/>
      <w:bookmarkStart w:id="66" w:name="_Toc27984"/>
      <w:bookmarkStart w:id="67" w:name="_Toc3611"/>
      <w:bookmarkStart w:id="68" w:name="_Toc10183"/>
      <w:bookmarkStart w:id="69" w:name="_Toc12188"/>
      <w:r>
        <w:rPr>
          <w:rFonts w:hint="eastAsia" w:asciiTheme="minorEastAsia" w:hAnsiTheme="minorEastAsia" w:eastAsiaTheme="minorEastAsia"/>
          <w:b/>
          <w:color w:val="auto"/>
          <w:sz w:val="24"/>
          <w:highlight w:val="none"/>
          <w:lang w:val="en-US" w:eastAsia="zh-CN"/>
        </w:rPr>
        <w:t>五</w:t>
      </w:r>
      <w:r>
        <w:rPr>
          <w:rFonts w:hint="eastAsia" w:asciiTheme="minorEastAsia" w:hAnsiTheme="minorEastAsia" w:eastAsiaTheme="minorEastAsia"/>
          <w:b/>
          <w:color w:val="auto"/>
          <w:sz w:val="24"/>
          <w:highlight w:val="none"/>
        </w:rPr>
        <w:t>、</w:t>
      </w:r>
      <w:bookmarkEnd w:id="65"/>
      <w:bookmarkEnd w:id="66"/>
      <w:bookmarkEnd w:id="67"/>
      <w:bookmarkEnd w:id="68"/>
      <w:bookmarkEnd w:id="69"/>
      <w:bookmarkStart w:id="70" w:name="_Toc1590"/>
      <w:bookmarkStart w:id="71" w:name="_Toc2546"/>
      <w:bookmarkStart w:id="72" w:name="_Toc6331"/>
      <w:bookmarkStart w:id="73" w:name="_Toc17776"/>
      <w:bookmarkStart w:id="74" w:name="_Toc20406"/>
      <w:r>
        <w:rPr>
          <w:rFonts w:hint="eastAsia" w:asciiTheme="minorEastAsia" w:hAnsiTheme="minorEastAsia" w:eastAsiaTheme="minorEastAsia"/>
          <w:b/>
          <w:color w:val="auto"/>
          <w:sz w:val="24"/>
          <w:highlight w:val="none"/>
          <w:lang w:eastAsia="zh-CN"/>
        </w:rPr>
        <w:t>响应函</w:t>
      </w:r>
      <w:bookmarkEnd w:id="70"/>
      <w:bookmarkEnd w:id="71"/>
      <w:bookmarkEnd w:id="72"/>
      <w:bookmarkEnd w:id="73"/>
      <w:bookmarkEnd w:id="74"/>
    </w:p>
    <w:p w14:paraId="166C84F5">
      <w:pPr>
        <w:kinsoku/>
        <w:overflowPunct/>
        <w:bidi w:val="0"/>
        <w:spacing w:line="590" w:lineRule="exact"/>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(征集人)</w:t>
      </w:r>
    </w:p>
    <w:p w14:paraId="638C6EF5">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（项目名称）</w:t>
      </w:r>
      <w:r>
        <w:rPr>
          <w:rFonts w:hint="eastAsia" w:ascii="宋体"/>
          <w:color w:val="auto"/>
          <w:sz w:val="24"/>
          <w:highlight w:val="none"/>
        </w:rPr>
        <w:t>（编号：）”的采购。我方授权(姓名和职务)代表我方（响应供应商的名称）全权处理本项目投标的有关事宜。</w:t>
      </w:r>
    </w:p>
    <w:p w14:paraId="71BD7DC9">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2.我方愿意按照征集文件规定的各项要求，向征集人提供“（项目编号）”项目的服务，报价</w:t>
      </w:r>
      <w:r>
        <w:rPr>
          <w:rFonts w:hint="eastAsia" w:ascii="宋体"/>
          <w:color w:val="auto"/>
          <w:sz w:val="24"/>
          <w:highlight w:val="none"/>
          <w:lang w:val="en-US" w:eastAsia="zh-CN"/>
        </w:rPr>
        <w:t>费率</w:t>
      </w:r>
      <w:r>
        <w:rPr>
          <w:rFonts w:hint="eastAsia" w:ascii="宋体"/>
          <w:color w:val="auto"/>
          <w:sz w:val="24"/>
          <w:highlight w:val="none"/>
        </w:rPr>
        <w:t>为</w:t>
      </w:r>
      <w:r>
        <w:rPr>
          <w:rFonts w:hint="eastAsia" w:ascii="宋体"/>
          <w:color w:val="auto"/>
          <w:sz w:val="24"/>
          <w:highlight w:val="none"/>
          <w:u w:val="single"/>
          <w:lang w:val="en-US" w:eastAsia="zh-CN"/>
        </w:rPr>
        <w:t xml:space="preserve">     </w:t>
      </w:r>
      <w:r>
        <w:rPr>
          <w:rFonts w:hint="eastAsia" w:ascii="宋体"/>
          <w:color w:val="auto"/>
          <w:sz w:val="24"/>
          <w:highlight w:val="none"/>
          <w:lang w:val="en-US" w:eastAsia="zh-CN"/>
        </w:rPr>
        <w:t>%</w:t>
      </w:r>
      <w:r>
        <w:rPr>
          <w:rFonts w:hint="eastAsia" w:ascii="宋体"/>
          <w:color w:val="auto"/>
          <w:sz w:val="24"/>
          <w:highlight w:val="none"/>
        </w:rPr>
        <w:t>：服务期：</w:t>
      </w:r>
      <w:r>
        <w:rPr>
          <w:rFonts w:hint="eastAsia" w:ascii="宋体"/>
          <w:color w:val="auto"/>
          <w:sz w:val="24"/>
          <w:highlight w:val="none"/>
          <w:lang w:val="en-US" w:eastAsia="zh-CN"/>
        </w:rPr>
        <w:t>两年</w:t>
      </w:r>
      <w:r>
        <w:rPr>
          <w:rFonts w:hint="eastAsia" w:ascii="宋体"/>
          <w:color w:val="auto"/>
          <w:sz w:val="24"/>
          <w:highlight w:val="none"/>
        </w:rPr>
        <w:t>。</w:t>
      </w:r>
    </w:p>
    <w:p w14:paraId="6D3096D8">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06A3565C">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08EEC240">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5、我单位提供如下通讯地址：电子邮箱（地址），确认本项目相关法律文书均通过提供的以上地址送达，相关文书只要发送至以上电子邮箱（地址）即视为送达，响应供应商愿意承担一切法律后果。</w:t>
      </w:r>
    </w:p>
    <w:p w14:paraId="5FC79660">
      <w:pPr>
        <w:kinsoku/>
        <w:overflowPunct/>
        <w:bidi w:val="0"/>
        <w:spacing w:line="590" w:lineRule="exact"/>
        <w:rPr>
          <w:rFonts w:hint="eastAsia" w:ascii="宋体"/>
          <w:color w:val="auto"/>
          <w:sz w:val="24"/>
          <w:highlight w:val="none"/>
        </w:rPr>
      </w:pPr>
      <w:r>
        <w:rPr>
          <w:rFonts w:hint="eastAsia" w:ascii="宋体"/>
          <w:color w:val="auto"/>
          <w:sz w:val="24"/>
          <w:highlight w:val="none"/>
        </w:rPr>
        <w:t> </w:t>
      </w:r>
    </w:p>
    <w:p w14:paraId="06634F94">
      <w:pPr>
        <w:kinsoku/>
        <w:overflowPunct/>
        <w:bidi w:val="0"/>
        <w:spacing w:line="590" w:lineRule="exact"/>
        <w:jc w:val="right"/>
        <w:rPr>
          <w:rFonts w:hint="eastAsia" w:ascii="宋体"/>
          <w:color w:val="auto"/>
          <w:sz w:val="24"/>
          <w:highlight w:val="none"/>
        </w:rPr>
      </w:pPr>
      <w:r>
        <w:rPr>
          <w:rFonts w:hint="eastAsia" w:ascii="宋体"/>
          <w:color w:val="auto"/>
          <w:sz w:val="24"/>
          <w:highlight w:val="none"/>
        </w:rPr>
        <w:t>响应供应商名称：（盖单位章）</w:t>
      </w:r>
    </w:p>
    <w:p w14:paraId="39A837A9">
      <w:pPr>
        <w:kinsoku/>
        <w:overflowPunct/>
        <w:bidi w:val="0"/>
        <w:spacing w:line="590" w:lineRule="exact"/>
        <w:jc w:val="right"/>
        <w:rPr>
          <w:rFonts w:hint="eastAsia" w:ascii="宋体"/>
          <w:color w:val="auto"/>
          <w:sz w:val="24"/>
          <w:highlight w:val="none"/>
        </w:rPr>
      </w:pPr>
    </w:p>
    <w:p w14:paraId="3EB57A7B">
      <w:pPr>
        <w:kinsoku/>
        <w:overflowPunct/>
        <w:bidi w:val="0"/>
        <w:spacing w:line="590" w:lineRule="exact"/>
        <w:jc w:val="right"/>
        <w:rPr>
          <w:rFonts w:hint="eastAsia" w:ascii="宋体"/>
          <w:color w:val="auto"/>
          <w:sz w:val="24"/>
          <w:highlight w:val="none"/>
        </w:rPr>
      </w:pPr>
      <w:r>
        <w:rPr>
          <w:rFonts w:hint="eastAsia" w:ascii="宋体"/>
          <w:color w:val="auto"/>
          <w:sz w:val="24"/>
          <w:highlight w:val="none"/>
        </w:rPr>
        <w:t>响应供应商法定代表人：（签章）</w:t>
      </w:r>
    </w:p>
    <w:p w14:paraId="6707A711">
      <w:pPr>
        <w:kinsoku/>
        <w:overflowPunct/>
        <w:bidi w:val="0"/>
        <w:spacing w:line="590" w:lineRule="exact"/>
        <w:ind w:firstLine="2520" w:firstLineChars="1050"/>
        <w:rPr>
          <w:rFonts w:hint="eastAsia" w:ascii="宋体"/>
          <w:color w:val="auto"/>
          <w:sz w:val="24"/>
          <w:highlight w:val="none"/>
        </w:rPr>
      </w:pPr>
      <w:r>
        <w:rPr>
          <w:rFonts w:hint="eastAsia" w:ascii="宋体"/>
          <w:color w:val="auto"/>
          <w:sz w:val="24"/>
          <w:highlight w:val="none"/>
        </w:rPr>
        <w:t>日期：</w:t>
      </w:r>
    </w:p>
    <w:p w14:paraId="58DD9F29">
      <w:pPr>
        <w:kinsoku/>
        <w:overflowPunct/>
        <w:bidi w:val="0"/>
        <w:spacing w:line="590" w:lineRule="exact"/>
        <w:ind w:firstLine="2520" w:firstLineChars="1050"/>
        <w:rPr>
          <w:rFonts w:hint="eastAsia" w:ascii="宋体"/>
          <w:color w:val="auto"/>
          <w:sz w:val="24"/>
          <w:highlight w:val="none"/>
        </w:rPr>
      </w:pPr>
      <w:r>
        <w:rPr>
          <w:rFonts w:hint="eastAsia" w:ascii="宋体"/>
          <w:color w:val="auto"/>
          <w:sz w:val="24"/>
          <w:highlight w:val="none"/>
        </w:rPr>
        <w:t>通讯地址：</w:t>
      </w:r>
    </w:p>
    <w:p w14:paraId="18CF670B">
      <w:pPr>
        <w:kinsoku/>
        <w:overflowPunct/>
        <w:bidi w:val="0"/>
        <w:spacing w:line="590" w:lineRule="exact"/>
        <w:ind w:firstLine="2520" w:firstLineChars="1050"/>
        <w:rPr>
          <w:rFonts w:hint="eastAsia" w:ascii="宋体"/>
          <w:color w:val="auto"/>
          <w:sz w:val="24"/>
          <w:highlight w:val="none"/>
        </w:rPr>
      </w:pPr>
      <w:r>
        <w:rPr>
          <w:rFonts w:hint="eastAsia" w:ascii="宋体"/>
          <w:color w:val="auto"/>
          <w:sz w:val="24"/>
          <w:highlight w:val="none"/>
        </w:rPr>
        <w:t>电话：</w:t>
      </w:r>
    </w:p>
    <w:p w14:paraId="4EFE1BD1">
      <w:pPr>
        <w:kinsoku/>
        <w:overflowPunct/>
        <w:bidi w:val="0"/>
        <w:spacing w:line="590" w:lineRule="exact"/>
        <w:ind w:right="-178" w:rightChars="-85" w:firstLine="2520" w:firstLineChars="1050"/>
        <w:rPr>
          <w:rFonts w:hint="eastAsia" w:ascii="宋体"/>
          <w:color w:val="auto"/>
          <w:sz w:val="24"/>
          <w:highlight w:val="none"/>
          <w:u w:val="single"/>
        </w:rPr>
      </w:pPr>
      <w:r>
        <w:rPr>
          <w:rFonts w:hint="eastAsia" w:ascii="宋体"/>
          <w:color w:val="auto"/>
          <w:sz w:val="24"/>
          <w:highlight w:val="none"/>
        </w:rPr>
        <w:t>传真：</w:t>
      </w:r>
    </w:p>
    <w:p w14:paraId="1194BF6B">
      <w:pPr>
        <w:spacing w:line="360" w:lineRule="auto"/>
        <w:ind w:firstLine="480" w:firstLineChars="200"/>
        <w:rPr>
          <w:rFonts w:hint="default" w:ascii="宋体" w:hAnsi="宋体" w:eastAsia="宋体"/>
          <w:color w:val="auto"/>
          <w:sz w:val="24"/>
          <w:highlight w:val="none"/>
          <w:u w:val="none"/>
          <w:lang w:val="en-US" w:eastAsia="zh-CN"/>
        </w:rPr>
      </w:pPr>
    </w:p>
    <w:p w14:paraId="70E5320C">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44AB45F0">
      <w:pPr>
        <w:spacing w:line="360" w:lineRule="auto"/>
        <w:jc w:val="center"/>
        <w:outlineLvl w:val="0"/>
        <w:rPr>
          <w:rFonts w:asciiTheme="minorEastAsia" w:hAnsiTheme="minorEastAsia" w:eastAsiaTheme="minorEastAsia"/>
          <w:b/>
          <w:color w:val="auto"/>
          <w:sz w:val="24"/>
          <w:highlight w:val="none"/>
        </w:rPr>
      </w:pPr>
      <w:bookmarkStart w:id="75" w:name="_Toc457768004"/>
      <w:bookmarkStart w:id="76" w:name="_Toc13022"/>
      <w:bookmarkStart w:id="77" w:name="_Toc3773"/>
      <w:bookmarkStart w:id="78" w:name="_Toc300210382"/>
      <w:bookmarkStart w:id="79" w:name="_Hlk11701496"/>
      <w:bookmarkStart w:id="80" w:name="_Toc18279"/>
      <w:bookmarkStart w:id="81" w:name="_Toc520299348"/>
      <w:bookmarkStart w:id="82" w:name="_Toc6752"/>
      <w:bookmarkStart w:id="83" w:name="_Toc31242"/>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rPr>
        <w:t>、</w:t>
      </w:r>
      <w:bookmarkEnd w:id="75"/>
      <w:bookmarkEnd w:id="76"/>
      <w:bookmarkEnd w:id="77"/>
      <w:bookmarkEnd w:id="78"/>
      <w:bookmarkEnd w:id="79"/>
      <w:bookmarkEnd w:id="80"/>
      <w:bookmarkEnd w:id="81"/>
      <w:bookmarkStart w:id="84" w:name="_Toc29029"/>
      <w:bookmarkStart w:id="85" w:name="_Toc26837"/>
      <w:bookmarkStart w:id="86" w:name="_Toc6713"/>
      <w:r>
        <w:rPr>
          <w:rFonts w:hint="eastAsia" w:asciiTheme="minorEastAsia" w:hAnsiTheme="minorEastAsia" w:eastAsiaTheme="minorEastAsia"/>
          <w:b/>
          <w:color w:val="auto"/>
          <w:sz w:val="24"/>
          <w:highlight w:val="none"/>
        </w:rPr>
        <w:t>其他相关证明材料</w:t>
      </w:r>
      <w:bookmarkEnd w:id="82"/>
      <w:bookmarkEnd w:id="83"/>
      <w:bookmarkEnd w:id="84"/>
      <w:bookmarkEnd w:id="85"/>
      <w:bookmarkEnd w:id="86"/>
    </w:p>
    <w:p w14:paraId="514F79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eastAsia="zh-CN"/>
        </w:rPr>
        <w:t>征集</w:t>
      </w:r>
      <w:r>
        <w:rPr>
          <w:rFonts w:hint="eastAsia" w:asciiTheme="minorEastAsia" w:hAnsiTheme="minorEastAsia" w:eastAsiaTheme="minorEastAsia"/>
          <w:color w:val="auto"/>
          <w:sz w:val="24"/>
          <w:highlight w:val="none"/>
          <w:lang w:val="en-US" w:eastAsia="zh-CN"/>
        </w:rPr>
        <w:t>公告</w:t>
      </w:r>
      <w:r>
        <w:rPr>
          <w:rFonts w:hint="eastAsia" w:asciiTheme="minorEastAsia" w:hAnsiTheme="minorEastAsia" w:eastAsiaTheme="minorEastAsia"/>
          <w:color w:val="auto"/>
          <w:sz w:val="24"/>
          <w:highlight w:val="none"/>
        </w:rPr>
        <w:t>、采购需求及</w:t>
      </w:r>
      <w:r>
        <w:rPr>
          <w:rFonts w:hint="eastAsia" w:asciiTheme="minorEastAsia" w:hAnsiTheme="minorEastAsia" w:eastAsiaTheme="minorEastAsia"/>
          <w:color w:val="auto"/>
          <w:sz w:val="24"/>
          <w:highlight w:val="none"/>
          <w:lang w:val="en-US" w:eastAsia="zh-CN"/>
        </w:rPr>
        <w:t>资格审查</w:t>
      </w:r>
      <w:r>
        <w:rPr>
          <w:rFonts w:hint="eastAsia" w:asciiTheme="minorEastAsia" w:hAnsiTheme="minorEastAsia" w:eastAsiaTheme="minorEastAsia"/>
          <w:color w:val="auto"/>
          <w:sz w:val="24"/>
          <w:highlight w:val="none"/>
        </w:rPr>
        <w:t>方法和标准规定的相关证明文件。</w:t>
      </w:r>
    </w:p>
    <w:p w14:paraId="69087B65">
      <w:pPr>
        <w:spacing w:line="360" w:lineRule="auto"/>
        <w:ind w:firstLine="480" w:firstLineChars="200"/>
        <w:rPr>
          <w:rFonts w:asciiTheme="minorEastAsia" w:hAnsiTheme="minorEastAsia" w:eastAsiaTheme="minorEastAsia"/>
          <w:color w:val="auto"/>
          <w:sz w:val="24"/>
          <w:highlight w:val="none"/>
        </w:rPr>
      </w:pPr>
    </w:p>
    <w:p w14:paraId="05E2A77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32C170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val="en-US" w:eastAsia="zh-CN"/>
        </w:rPr>
        <w:t>申请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制作时可在此</w:t>
      </w:r>
      <w:r>
        <w:rPr>
          <w:rFonts w:hint="eastAsia" w:asciiTheme="minorEastAsia" w:hAnsiTheme="minorEastAsia" w:eastAsiaTheme="minorEastAsia"/>
          <w:color w:val="auto"/>
          <w:sz w:val="24"/>
          <w:highlight w:val="none"/>
          <w:lang w:val="en-US" w:eastAsia="zh-CN"/>
        </w:rPr>
        <w:t>章节</w:t>
      </w:r>
      <w:r>
        <w:rPr>
          <w:rFonts w:hint="eastAsia" w:asciiTheme="minorEastAsia" w:hAnsiTheme="minorEastAsia" w:eastAsiaTheme="minorEastAsia"/>
          <w:color w:val="auto"/>
          <w:sz w:val="24"/>
          <w:highlight w:val="none"/>
        </w:rPr>
        <w:t>内上传</w:t>
      </w:r>
      <w:r>
        <w:rPr>
          <w:rFonts w:asciiTheme="minorEastAsia" w:hAnsiTheme="minorEastAsia" w:eastAsiaTheme="minorEastAsia"/>
          <w:color w:val="auto"/>
          <w:sz w:val="24"/>
          <w:highlight w:val="none"/>
        </w:rPr>
        <w:t>要求上传的证明资料。</w:t>
      </w:r>
    </w:p>
    <w:p w14:paraId="4122D733">
      <w:pPr>
        <w:spacing w:line="360" w:lineRule="auto"/>
        <w:rPr>
          <w:rFonts w:asciiTheme="minorEastAsia" w:hAnsiTheme="minorEastAsia" w:eastAsiaTheme="minorEastAsia"/>
          <w:color w:val="auto"/>
          <w:sz w:val="24"/>
          <w:highlight w:val="none"/>
        </w:rPr>
      </w:pPr>
    </w:p>
    <w:p w14:paraId="4EEE9A94">
      <w:pPr>
        <w:rPr>
          <w:rFonts w:ascii="宋体" w:hAnsi="宋体" w:eastAsia="宋体"/>
          <w:bCs/>
          <w:color w:val="auto"/>
          <w:sz w:val="24"/>
          <w:highlight w:val="none"/>
        </w:rPr>
      </w:pPr>
    </w:p>
    <w:p w14:paraId="317D87F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p w14:paraId="5AE2B0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FC3B">
    <w:pPr>
      <w:pStyle w:val="16"/>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E16D">
    <w:pPr>
      <w:pStyle w:val="16"/>
      <w:jc w:val="center"/>
      <w:rPr>
        <w:rFonts w:asciiTheme="minorEastAsia" w:hAnsiTheme="minorEastAsia" w:eastAsiaTheme="minorEastAsia"/>
        <w:sz w:val="21"/>
        <w:szCs w:val="21"/>
      </w:rP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864518636"/>
        <w:docPartObj>
          <w:docPartGallery w:val="autotext"/>
        </w:docPartObj>
      </w:sdtPr>
      <w:sdtEndPr>
        <w:rPr>
          <w:rFonts w:asciiTheme="minorEastAsia" w:hAnsiTheme="minorEastAsia" w:eastAsiaTheme="minorEastAsia"/>
          <w:sz w:val="21"/>
          <w:szCs w:val="21"/>
        </w:rPr>
      </w:sdtEndPr>
      <w:sdtContent>
        <w:sdt>
          <w:sdtPr>
            <w:rPr>
              <w:rFonts w:asciiTheme="minorEastAsia" w:hAnsiTheme="minorEastAsia" w:eastAsiaTheme="minorEastAsia"/>
              <w:sz w:val="21"/>
              <w:szCs w:val="21"/>
            </w:rPr>
            <w:id w:val="-1669238322"/>
            <w:docPartObj>
              <w:docPartGallery w:val="autotext"/>
            </w:docPartObj>
          </w:sdtPr>
          <w:sdtEndPr>
            <w:rPr>
              <w:rFonts w:asciiTheme="minorEastAsia" w:hAnsiTheme="minorEastAsia" w:eastAsiaTheme="minorEastAsia"/>
              <w:sz w:val="21"/>
              <w:szCs w:val="21"/>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19</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61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59</w:t>
            </w:r>
            <w:r>
              <w:rPr>
                <w:rFonts w:asciiTheme="minorEastAsia" w:hAnsiTheme="minorEastAsia" w:eastAsiaTheme="minorEastAsia"/>
                <w:b/>
                <w:bCs/>
                <w:sz w:val="21"/>
                <w:szCs w:val="21"/>
              </w:rPr>
              <w:fldChar w:fldCharType="end"/>
            </w:r>
          </w:sdtContent>
        </w:sdt>
        <w:r>
          <w:rPr>
            <w:rFonts w:hint="eastAsia" w:asciiTheme="minorEastAsia" w:hAnsiTheme="minorEastAsia" w:eastAsiaTheme="minorEastAsia"/>
            <w:sz w:val="21"/>
            <w:szCs w:val="21"/>
          </w:rPr>
          <w:t xml:space="preserve"> 页</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59B8">
    <w:pPr>
      <w:pStyle w:val="17"/>
      <w:jc w:val="both"/>
      <w:rPr>
        <w:rFonts w:hint="eastAsia"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征集项目的详细说明和要求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1FD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FE0ED"/>
    <w:multiLevelType w:val="singleLevel"/>
    <w:tmpl w:val="0E5FE0ED"/>
    <w:lvl w:ilvl="0" w:tentative="0">
      <w:start w:val="2"/>
      <w:numFmt w:val="decimal"/>
      <w:suff w:val="nothing"/>
      <w:lvlText w:val="%1）"/>
      <w:lvlJc w:val="left"/>
    </w:lvl>
  </w:abstractNum>
  <w:abstractNum w:abstractNumId="1">
    <w:nsid w:val="58D22AD2"/>
    <w:multiLevelType w:val="multilevel"/>
    <w:tmpl w:val="58D22AD2"/>
    <w:lvl w:ilvl="0" w:tentative="0">
      <w:start w:val="5"/>
      <w:numFmt w:val="japaneseCounting"/>
      <w:lvlText w:val="第%1条"/>
      <w:lvlJc w:val="left"/>
      <w:pPr>
        <w:tabs>
          <w:tab w:val="left" w:pos="1680"/>
        </w:tabs>
        <w:ind w:left="1680" w:hanging="132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6BEF0A3B"/>
    <w:multiLevelType w:val="multilevel"/>
    <w:tmpl w:val="6BEF0A3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WY0NTNkYjZhYjE4MjUyMjVhYzBmMGU1NDk2OWEifQ=="/>
  </w:docVars>
  <w:rsids>
    <w:rsidRoot w:val="00276BA1"/>
    <w:rsid w:val="0000043F"/>
    <w:rsid w:val="000037F9"/>
    <w:rsid w:val="000049DA"/>
    <w:rsid w:val="000056B7"/>
    <w:rsid w:val="000131F7"/>
    <w:rsid w:val="00014039"/>
    <w:rsid w:val="00016B6C"/>
    <w:rsid w:val="00020B57"/>
    <w:rsid w:val="00041860"/>
    <w:rsid w:val="00042139"/>
    <w:rsid w:val="00042B14"/>
    <w:rsid w:val="00044F49"/>
    <w:rsid w:val="000450C3"/>
    <w:rsid w:val="00050A3F"/>
    <w:rsid w:val="000648D2"/>
    <w:rsid w:val="00070E0E"/>
    <w:rsid w:val="0007307D"/>
    <w:rsid w:val="00076DB7"/>
    <w:rsid w:val="00080FEB"/>
    <w:rsid w:val="000819BB"/>
    <w:rsid w:val="00084E1F"/>
    <w:rsid w:val="00094D41"/>
    <w:rsid w:val="00097CB9"/>
    <w:rsid w:val="000A6693"/>
    <w:rsid w:val="000A7970"/>
    <w:rsid w:val="000A7D94"/>
    <w:rsid w:val="000B1511"/>
    <w:rsid w:val="000B6823"/>
    <w:rsid w:val="000C1DB1"/>
    <w:rsid w:val="000D3F37"/>
    <w:rsid w:val="000E0947"/>
    <w:rsid w:val="000E3C74"/>
    <w:rsid w:val="000E3F9B"/>
    <w:rsid w:val="000E6689"/>
    <w:rsid w:val="000E6727"/>
    <w:rsid w:val="000E6A4A"/>
    <w:rsid w:val="000F172B"/>
    <w:rsid w:val="000F2198"/>
    <w:rsid w:val="000F39B6"/>
    <w:rsid w:val="000F6B7B"/>
    <w:rsid w:val="000F7317"/>
    <w:rsid w:val="00100B0F"/>
    <w:rsid w:val="0010187C"/>
    <w:rsid w:val="001037E3"/>
    <w:rsid w:val="00105595"/>
    <w:rsid w:val="00107661"/>
    <w:rsid w:val="0012143A"/>
    <w:rsid w:val="00137887"/>
    <w:rsid w:val="00140687"/>
    <w:rsid w:val="00146421"/>
    <w:rsid w:val="00155F64"/>
    <w:rsid w:val="00157856"/>
    <w:rsid w:val="00160729"/>
    <w:rsid w:val="00166ED8"/>
    <w:rsid w:val="001714C9"/>
    <w:rsid w:val="0018119B"/>
    <w:rsid w:val="001844AB"/>
    <w:rsid w:val="001853C7"/>
    <w:rsid w:val="001944B8"/>
    <w:rsid w:val="00196DA3"/>
    <w:rsid w:val="001A68E5"/>
    <w:rsid w:val="001B2A54"/>
    <w:rsid w:val="001B5014"/>
    <w:rsid w:val="001B7327"/>
    <w:rsid w:val="001C3EBE"/>
    <w:rsid w:val="001D22EA"/>
    <w:rsid w:val="001D53B4"/>
    <w:rsid w:val="001E6273"/>
    <w:rsid w:val="001E63AD"/>
    <w:rsid w:val="001F28D2"/>
    <w:rsid w:val="001F2F45"/>
    <w:rsid w:val="001F3023"/>
    <w:rsid w:val="001F35F6"/>
    <w:rsid w:val="001F74CA"/>
    <w:rsid w:val="002003B6"/>
    <w:rsid w:val="0020244A"/>
    <w:rsid w:val="002049B4"/>
    <w:rsid w:val="0020520B"/>
    <w:rsid w:val="002076AD"/>
    <w:rsid w:val="00213C55"/>
    <w:rsid w:val="00220207"/>
    <w:rsid w:val="00223CF4"/>
    <w:rsid w:val="00224C4A"/>
    <w:rsid w:val="0023407E"/>
    <w:rsid w:val="00240B40"/>
    <w:rsid w:val="00244182"/>
    <w:rsid w:val="00245629"/>
    <w:rsid w:val="0025582D"/>
    <w:rsid w:val="00260B94"/>
    <w:rsid w:val="00264F2E"/>
    <w:rsid w:val="002707AF"/>
    <w:rsid w:val="00271245"/>
    <w:rsid w:val="00274A9E"/>
    <w:rsid w:val="0027532D"/>
    <w:rsid w:val="00276BA1"/>
    <w:rsid w:val="00284B7A"/>
    <w:rsid w:val="00294C71"/>
    <w:rsid w:val="002A1A1D"/>
    <w:rsid w:val="002A28AD"/>
    <w:rsid w:val="002A2A61"/>
    <w:rsid w:val="002A56A0"/>
    <w:rsid w:val="002B5318"/>
    <w:rsid w:val="002B6D27"/>
    <w:rsid w:val="002D2965"/>
    <w:rsid w:val="002D3D02"/>
    <w:rsid w:val="002D4CB5"/>
    <w:rsid w:val="002D684B"/>
    <w:rsid w:val="002E1E8D"/>
    <w:rsid w:val="002E3B26"/>
    <w:rsid w:val="002E4AB8"/>
    <w:rsid w:val="002E7FC4"/>
    <w:rsid w:val="002F605E"/>
    <w:rsid w:val="00310070"/>
    <w:rsid w:val="003110EC"/>
    <w:rsid w:val="00312A45"/>
    <w:rsid w:val="003137EC"/>
    <w:rsid w:val="003206A6"/>
    <w:rsid w:val="0032560D"/>
    <w:rsid w:val="00326593"/>
    <w:rsid w:val="00327C92"/>
    <w:rsid w:val="00331D3D"/>
    <w:rsid w:val="00333292"/>
    <w:rsid w:val="003344E7"/>
    <w:rsid w:val="0033580B"/>
    <w:rsid w:val="003365E7"/>
    <w:rsid w:val="003378D5"/>
    <w:rsid w:val="0034328B"/>
    <w:rsid w:val="003473D7"/>
    <w:rsid w:val="0035048C"/>
    <w:rsid w:val="00351AC8"/>
    <w:rsid w:val="00353075"/>
    <w:rsid w:val="00356D4B"/>
    <w:rsid w:val="00363E02"/>
    <w:rsid w:val="00373A96"/>
    <w:rsid w:val="003826C2"/>
    <w:rsid w:val="00382776"/>
    <w:rsid w:val="00383728"/>
    <w:rsid w:val="003903BB"/>
    <w:rsid w:val="00390C34"/>
    <w:rsid w:val="00394128"/>
    <w:rsid w:val="003942CA"/>
    <w:rsid w:val="00394ADC"/>
    <w:rsid w:val="00395235"/>
    <w:rsid w:val="0039561A"/>
    <w:rsid w:val="00397C7D"/>
    <w:rsid w:val="003A004F"/>
    <w:rsid w:val="003B4130"/>
    <w:rsid w:val="003B4D1C"/>
    <w:rsid w:val="003B715B"/>
    <w:rsid w:val="003C4A18"/>
    <w:rsid w:val="003D0934"/>
    <w:rsid w:val="003D1D14"/>
    <w:rsid w:val="003D6C7C"/>
    <w:rsid w:val="003D6EFB"/>
    <w:rsid w:val="003D7E52"/>
    <w:rsid w:val="003E17A4"/>
    <w:rsid w:val="003E1D4D"/>
    <w:rsid w:val="003E25C6"/>
    <w:rsid w:val="003F46D6"/>
    <w:rsid w:val="004011AA"/>
    <w:rsid w:val="0040202C"/>
    <w:rsid w:val="00403DF6"/>
    <w:rsid w:val="00404423"/>
    <w:rsid w:val="00406508"/>
    <w:rsid w:val="0041456E"/>
    <w:rsid w:val="00414F7E"/>
    <w:rsid w:val="00416380"/>
    <w:rsid w:val="004164F8"/>
    <w:rsid w:val="0042625C"/>
    <w:rsid w:val="00426F05"/>
    <w:rsid w:val="00431BAE"/>
    <w:rsid w:val="004410D9"/>
    <w:rsid w:val="004427B7"/>
    <w:rsid w:val="0044349F"/>
    <w:rsid w:val="00445F1F"/>
    <w:rsid w:val="00447EFA"/>
    <w:rsid w:val="00451F60"/>
    <w:rsid w:val="00452BB2"/>
    <w:rsid w:val="00453560"/>
    <w:rsid w:val="00455968"/>
    <w:rsid w:val="0045656D"/>
    <w:rsid w:val="00462D98"/>
    <w:rsid w:val="00472A44"/>
    <w:rsid w:val="00473A89"/>
    <w:rsid w:val="00475899"/>
    <w:rsid w:val="00482C78"/>
    <w:rsid w:val="004874AE"/>
    <w:rsid w:val="00494D24"/>
    <w:rsid w:val="004951D1"/>
    <w:rsid w:val="004960BB"/>
    <w:rsid w:val="004A0FDA"/>
    <w:rsid w:val="004A1D01"/>
    <w:rsid w:val="004A27D0"/>
    <w:rsid w:val="004A4D67"/>
    <w:rsid w:val="004B1E17"/>
    <w:rsid w:val="004B24D8"/>
    <w:rsid w:val="004B76B8"/>
    <w:rsid w:val="004D3D4B"/>
    <w:rsid w:val="004D5498"/>
    <w:rsid w:val="004D66A5"/>
    <w:rsid w:val="004D6B00"/>
    <w:rsid w:val="004E1D50"/>
    <w:rsid w:val="00501382"/>
    <w:rsid w:val="00510798"/>
    <w:rsid w:val="0051413A"/>
    <w:rsid w:val="005229BF"/>
    <w:rsid w:val="00523AF8"/>
    <w:rsid w:val="00524616"/>
    <w:rsid w:val="00524A11"/>
    <w:rsid w:val="00524E61"/>
    <w:rsid w:val="00527768"/>
    <w:rsid w:val="005327FB"/>
    <w:rsid w:val="00533FCA"/>
    <w:rsid w:val="00535F40"/>
    <w:rsid w:val="00541AD3"/>
    <w:rsid w:val="00544EC8"/>
    <w:rsid w:val="005616B5"/>
    <w:rsid w:val="0056553C"/>
    <w:rsid w:val="0059223D"/>
    <w:rsid w:val="00593DB8"/>
    <w:rsid w:val="00597B15"/>
    <w:rsid w:val="005A044C"/>
    <w:rsid w:val="005A59E6"/>
    <w:rsid w:val="005A6058"/>
    <w:rsid w:val="005B2FD2"/>
    <w:rsid w:val="005B34C9"/>
    <w:rsid w:val="005D0200"/>
    <w:rsid w:val="005D44EF"/>
    <w:rsid w:val="005D5112"/>
    <w:rsid w:val="005D72A8"/>
    <w:rsid w:val="005E7A3F"/>
    <w:rsid w:val="005F3914"/>
    <w:rsid w:val="005F3B5A"/>
    <w:rsid w:val="005F6AB4"/>
    <w:rsid w:val="00606DAB"/>
    <w:rsid w:val="00607471"/>
    <w:rsid w:val="00610A66"/>
    <w:rsid w:val="00611B06"/>
    <w:rsid w:val="00613177"/>
    <w:rsid w:val="00613F7C"/>
    <w:rsid w:val="00614BF2"/>
    <w:rsid w:val="00623DE2"/>
    <w:rsid w:val="00624576"/>
    <w:rsid w:val="00627601"/>
    <w:rsid w:val="006300D0"/>
    <w:rsid w:val="00632012"/>
    <w:rsid w:val="00634694"/>
    <w:rsid w:val="00636517"/>
    <w:rsid w:val="00637690"/>
    <w:rsid w:val="00637EE7"/>
    <w:rsid w:val="006401B8"/>
    <w:rsid w:val="00640E1E"/>
    <w:rsid w:val="0064389A"/>
    <w:rsid w:val="00645442"/>
    <w:rsid w:val="006525CD"/>
    <w:rsid w:val="00653F7F"/>
    <w:rsid w:val="00654284"/>
    <w:rsid w:val="006558EC"/>
    <w:rsid w:val="00656C65"/>
    <w:rsid w:val="006606E4"/>
    <w:rsid w:val="00662EE8"/>
    <w:rsid w:val="00663813"/>
    <w:rsid w:val="00664AFD"/>
    <w:rsid w:val="00667567"/>
    <w:rsid w:val="00672CC7"/>
    <w:rsid w:val="0067391A"/>
    <w:rsid w:val="00674173"/>
    <w:rsid w:val="006752DE"/>
    <w:rsid w:val="00690DB1"/>
    <w:rsid w:val="00693404"/>
    <w:rsid w:val="006953D9"/>
    <w:rsid w:val="006A3251"/>
    <w:rsid w:val="006B09B5"/>
    <w:rsid w:val="006B1242"/>
    <w:rsid w:val="006B149D"/>
    <w:rsid w:val="006B1DBC"/>
    <w:rsid w:val="006B39B2"/>
    <w:rsid w:val="006B7D9A"/>
    <w:rsid w:val="006C06D9"/>
    <w:rsid w:val="006C5702"/>
    <w:rsid w:val="006C5716"/>
    <w:rsid w:val="006C64B2"/>
    <w:rsid w:val="006C74A9"/>
    <w:rsid w:val="006D07DE"/>
    <w:rsid w:val="006D453B"/>
    <w:rsid w:val="006E06D9"/>
    <w:rsid w:val="006E1D40"/>
    <w:rsid w:val="006E2E1F"/>
    <w:rsid w:val="006E5D64"/>
    <w:rsid w:val="006F3839"/>
    <w:rsid w:val="006F5F03"/>
    <w:rsid w:val="006F5FFF"/>
    <w:rsid w:val="00710804"/>
    <w:rsid w:val="00711FC6"/>
    <w:rsid w:val="007130B1"/>
    <w:rsid w:val="00715071"/>
    <w:rsid w:val="00722169"/>
    <w:rsid w:val="007231E9"/>
    <w:rsid w:val="00723D8B"/>
    <w:rsid w:val="00727C59"/>
    <w:rsid w:val="0073496D"/>
    <w:rsid w:val="00734E5D"/>
    <w:rsid w:val="00736013"/>
    <w:rsid w:val="00756245"/>
    <w:rsid w:val="00761662"/>
    <w:rsid w:val="00764043"/>
    <w:rsid w:val="007757CF"/>
    <w:rsid w:val="0078128F"/>
    <w:rsid w:val="0078683C"/>
    <w:rsid w:val="00790EDB"/>
    <w:rsid w:val="00791538"/>
    <w:rsid w:val="0079326E"/>
    <w:rsid w:val="00796EDE"/>
    <w:rsid w:val="007A32B9"/>
    <w:rsid w:val="007A511E"/>
    <w:rsid w:val="007A5A58"/>
    <w:rsid w:val="007B14D1"/>
    <w:rsid w:val="007B1C56"/>
    <w:rsid w:val="007B666E"/>
    <w:rsid w:val="007C3CD5"/>
    <w:rsid w:val="007C61EF"/>
    <w:rsid w:val="007D1C0D"/>
    <w:rsid w:val="007D2D23"/>
    <w:rsid w:val="007E27D6"/>
    <w:rsid w:val="007E3921"/>
    <w:rsid w:val="007F3D4B"/>
    <w:rsid w:val="00801028"/>
    <w:rsid w:val="00803793"/>
    <w:rsid w:val="00804000"/>
    <w:rsid w:val="0080656A"/>
    <w:rsid w:val="00817A01"/>
    <w:rsid w:val="00825E35"/>
    <w:rsid w:val="008263EB"/>
    <w:rsid w:val="00830A4E"/>
    <w:rsid w:val="008334F8"/>
    <w:rsid w:val="008340E9"/>
    <w:rsid w:val="00835FFD"/>
    <w:rsid w:val="00837808"/>
    <w:rsid w:val="008552AA"/>
    <w:rsid w:val="0086440C"/>
    <w:rsid w:val="00866F91"/>
    <w:rsid w:val="00875542"/>
    <w:rsid w:val="00876659"/>
    <w:rsid w:val="0087734C"/>
    <w:rsid w:val="00882141"/>
    <w:rsid w:val="008876EC"/>
    <w:rsid w:val="008922A8"/>
    <w:rsid w:val="008953C5"/>
    <w:rsid w:val="00895BD5"/>
    <w:rsid w:val="008A14F4"/>
    <w:rsid w:val="008A16C4"/>
    <w:rsid w:val="008A4525"/>
    <w:rsid w:val="008A4B8C"/>
    <w:rsid w:val="008A6FED"/>
    <w:rsid w:val="008B39C5"/>
    <w:rsid w:val="008B51AA"/>
    <w:rsid w:val="008C67F2"/>
    <w:rsid w:val="008D064A"/>
    <w:rsid w:val="008D2B0F"/>
    <w:rsid w:val="008D5986"/>
    <w:rsid w:val="008E449E"/>
    <w:rsid w:val="008F187F"/>
    <w:rsid w:val="008F37DC"/>
    <w:rsid w:val="008F402F"/>
    <w:rsid w:val="008F76E8"/>
    <w:rsid w:val="0090050D"/>
    <w:rsid w:val="009078A1"/>
    <w:rsid w:val="009100E5"/>
    <w:rsid w:val="00911E9C"/>
    <w:rsid w:val="00917405"/>
    <w:rsid w:val="00917F22"/>
    <w:rsid w:val="00920F7C"/>
    <w:rsid w:val="009267A8"/>
    <w:rsid w:val="00934CAE"/>
    <w:rsid w:val="0094257D"/>
    <w:rsid w:val="0095467C"/>
    <w:rsid w:val="00954853"/>
    <w:rsid w:val="00954A61"/>
    <w:rsid w:val="009553C6"/>
    <w:rsid w:val="00955C6F"/>
    <w:rsid w:val="009621C6"/>
    <w:rsid w:val="00966C7B"/>
    <w:rsid w:val="009701DC"/>
    <w:rsid w:val="009715D8"/>
    <w:rsid w:val="00995BF9"/>
    <w:rsid w:val="009A0CAF"/>
    <w:rsid w:val="009A2207"/>
    <w:rsid w:val="009A71BB"/>
    <w:rsid w:val="009B6C42"/>
    <w:rsid w:val="009D2998"/>
    <w:rsid w:val="009D31F7"/>
    <w:rsid w:val="009D32C2"/>
    <w:rsid w:val="009D50DB"/>
    <w:rsid w:val="009E2932"/>
    <w:rsid w:val="009E2EFA"/>
    <w:rsid w:val="009E3A0A"/>
    <w:rsid w:val="009F2855"/>
    <w:rsid w:val="009F3E91"/>
    <w:rsid w:val="00A1499B"/>
    <w:rsid w:val="00A22D57"/>
    <w:rsid w:val="00A314C2"/>
    <w:rsid w:val="00A56319"/>
    <w:rsid w:val="00A63E86"/>
    <w:rsid w:val="00A6485B"/>
    <w:rsid w:val="00A757C3"/>
    <w:rsid w:val="00A75E5B"/>
    <w:rsid w:val="00A7684A"/>
    <w:rsid w:val="00A83B69"/>
    <w:rsid w:val="00A86533"/>
    <w:rsid w:val="00A91CA2"/>
    <w:rsid w:val="00A92FB8"/>
    <w:rsid w:val="00A948F1"/>
    <w:rsid w:val="00AA18F9"/>
    <w:rsid w:val="00AA1D7D"/>
    <w:rsid w:val="00AA2790"/>
    <w:rsid w:val="00AB139D"/>
    <w:rsid w:val="00AB3EFB"/>
    <w:rsid w:val="00AC0B05"/>
    <w:rsid w:val="00AC4353"/>
    <w:rsid w:val="00AC654D"/>
    <w:rsid w:val="00AD079A"/>
    <w:rsid w:val="00AD1890"/>
    <w:rsid w:val="00AE2149"/>
    <w:rsid w:val="00AE33AE"/>
    <w:rsid w:val="00AE3F91"/>
    <w:rsid w:val="00B0053D"/>
    <w:rsid w:val="00B039E3"/>
    <w:rsid w:val="00B06568"/>
    <w:rsid w:val="00B06D36"/>
    <w:rsid w:val="00B22838"/>
    <w:rsid w:val="00B33E95"/>
    <w:rsid w:val="00B3720B"/>
    <w:rsid w:val="00B4013B"/>
    <w:rsid w:val="00B51BB6"/>
    <w:rsid w:val="00B5558A"/>
    <w:rsid w:val="00B56513"/>
    <w:rsid w:val="00B64376"/>
    <w:rsid w:val="00B7401F"/>
    <w:rsid w:val="00B806C3"/>
    <w:rsid w:val="00B80D6F"/>
    <w:rsid w:val="00B84FCA"/>
    <w:rsid w:val="00B9089F"/>
    <w:rsid w:val="00B91AEE"/>
    <w:rsid w:val="00B95F5A"/>
    <w:rsid w:val="00B95FDD"/>
    <w:rsid w:val="00B96EAD"/>
    <w:rsid w:val="00BA636F"/>
    <w:rsid w:val="00BA645B"/>
    <w:rsid w:val="00BA6A5B"/>
    <w:rsid w:val="00BA79F5"/>
    <w:rsid w:val="00BB0907"/>
    <w:rsid w:val="00BB0B75"/>
    <w:rsid w:val="00BB3AB6"/>
    <w:rsid w:val="00BB766D"/>
    <w:rsid w:val="00BC007B"/>
    <w:rsid w:val="00BC26BA"/>
    <w:rsid w:val="00BC35F8"/>
    <w:rsid w:val="00BC7D7F"/>
    <w:rsid w:val="00BD33A9"/>
    <w:rsid w:val="00BF376F"/>
    <w:rsid w:val="00BF46A6"/>
    <w:rsid w:val="00BF71FB"/>
    <w:rsid w:val="00C06545"/>
    <w:rsid w:val="00C108CF"/>
    <w:rsid w:val="00C13197"/>
    <w:rsid w:val="00C134AF"/>
    <w:rsid w:val="00C220FC"/>
    <w:rsid w:val="00C24DFA"/>
    <w:rsid w:val="00C26820"/>
    <w:rsid w:val="00C30182"/>
    <w:rsid w:val="00C321A2"/>
    <w:rsid w:val="00C37BC4"/>
    <w:rsid w:val="00C46A36"/>
    <w:rsid w:val="00C47037"/>
    <w:rsid w:val="00C53625"/>
    <w:rsid w:val="00C548BA"/>
    <w:rsid w:val="00C57784"/>
    <w:rsid w:val="00C602C1"/>
    <w:rsid w:val="00C60392"/>
    <w:rsid w:val="00C63FC0"/>
    <w:rsid w:val="00C66392"/>
    <w:rsid w:val="00C67B2C"/>
    <w:rsid w:val="00C74C5E"/>
    <w:rsid w:val="00C827A2"/>
    <w:rsid w:val="00C827DA"/>
    <w:rsid w:val="00C82B69"/>
    <w:rsid w:val="00C902DE"/>
    <w:rsid w:val="00C91B28"/>
    <w:rsid w:val="00C91F3A"/>
    <w:rsid w:val="00C96192"/>
    <w:rsid w:val="00CB20B2"/>
    <w:rsid w:val="00CB218D"/>
    <w:rsid w:val="00CB5797"/>
    <w:rsid w:val="00CC6E5D"/>
    <w:rsid w:val="00CD09E1"/>
    <w:rsid w:val="00CE1780"/>
    <w:rsid w:val="00CE4913"/>
    <w:rsid w:val="00CE66BD"/>
    <w:rsid w:val="00CF0671"/>
    <w:rsid w:val="00CF44AD"/>
    <w:rsid w:val="00CF4FC0"/>
    <w:rsid w:val="00D00336"/>
    <w:rsid w:val="00D027E0"/>
    <w:rsid w:val="00D1072F"/>
    <w:rsid w:val="00D108A5"/>
    <w:rsid w:val="00D14585"/>
    <w:rsid w:val="00D20EFF"/>
    <w:rsid w:val="00D32658"/>
    <w:rsid w:val="00D42C58"/>
    <w:rsid w:val="00D46B47"/>
    <w:rsid w:val="00D53ED8"/>
    <w:rsid w:val="00D64857"/>
    <w:rsid w:val="00D6493A"/>
    <w:rsid w:val="00D67875"/>
    <w:rsid w:val="00D71E86"/>
    <w:rsid w:val="00D731C6"/>
    <w:rsid w:val="00D73CC6"/>
    <w:rsid w:val="00D745C5"/>
    <w:rsid w:val="00D75327"/>
    <w:rsid w:val="00D761CB"/>
    <w:rsid w:val="00D80C36"/>
    <w:rsid w:val="00D81A32"/>
    <w:rsid w:val="00D847D5"/>
    <w:rsid w:val="00D84E23"/>
    <w:rsid w:val="00D86EE1"/>
    <w:rsid w:val="00D95E90"/>
    <w:rsid w:val="00D96126"/>
    <w:rsid w:val="00DA2FD5"/>
    <w:rsid w:val="00DB4B1C"/>
    <w:rsid w:val="00DB4C9D"/>
    <w:rsid w:val="00DB5085"/>
    <w:rsid w:val="00DB619F"/>
    <w:rsid w:val="00DB7882"/>
    <w:rsid w:val="00DC1062"/>
    <w:rsid w:val="00DC132C"/>
    <w:rsid w:val="00DC65BA"/>
    <w:rsid w:val="00DD43F0"/>
    <w:rsid w:val="00DD44DE"/>
    <w:rsid w:val="00DE09AB"/>
    <w:rsid w:val="00DE4A3F"/>
    <w:rsid w:val="00DE5A99"/>
    <w:rsid w:val="00DF4367"/>
    <w:rsid w:val="00E0574A"/>
    <w:rsid w:val="00E11E40"/>
    <w:rsid w:val="00E1243D"/>
    <w:rsid w:val="00E12742"/>
    <w:rsid w:val="00E13465"/>
    <w:rsid w:val="00E146D4"/>
    <w:rsid w:val="00E22B44"/>
    <w:rsid w:val="00E30ACD"/>
    <w:rsid w:val="00E32735"/>
    <w:rsid w:val="00E66E36"/>
    <w:rsid w:val="00E702ED"/>
    <w:rsid w:val="00E709A4"/>
    <w:rsid w:val="00E75CA8"/>
    <w:rsid w:val="00E772DB"/>
    <w:rsid w:val="00E77ABB"/>
    <w:rsid w:val="00E86012"/>
    <w:rsid w:val="00E86BAB"/>
    <w:rsid w:val="00E9188E"/>
    <w:rsid w:val="00E94E10"/>
    <w:rsid w:val="00E95FEF"/>
    <w:rsid w:val="00E96743"/>
    <w:rsid w:val="00E96A42"/>
    <w:rsid w:val="00EA1F89"/>
    <w:rsid w:val="00EA38D8"/>
    <w:rsid w:val="00EA49C5"/>
    <w:rsid w:val="00EB0DD9"/>
    <w:rsid w:val="00EB5027"/>
    <w:rsid w:val="00EC1836"/>
    <w:rsid w:val="00EC3990"/>
    <w:rsid w:val="00EC484B"/>
    <w:rsid w:val="00EC4F03"/>
    <w:rsid w:val="00EC52E5"/>
    <w:rsid w:val="00ED0B62"/>
    <w:rsid w:val="00ED14E6"/>
    <w:rsid w:val="00ED15FA"/>
    <w:rsid w:val="00ED6FB5"/>
    <w:rsid w:val="00EE37EE"/>
    <w:rsid w:val="00EE6E9A"/>
    <w:rsid w:val="00EF2AC4"/>
    <w:rsid w:val="00EF397E"/>
    <w:rsid w:val="00EF7980"/>
    <w:rsid w:val="00F06F68"/>
    <w:rsid w:val="00F1362B"/>
    <w:rsid w:val="00F24C2D"/>
    <w:rsid w:val="00F32A81"/>
    <w:rsid w:val="00F44A40"/>
    <w:rsid w:val="00F46998"/>
    <w:rsid w:val="00F52B9C"/>
    <w:rsid w:val="00F5382D"/>
    <w:rsid w:val="00F53D9C"/>
    <w:rsid w:val="00F5462B"/>
    <w:rsid w:val="00F57205"/>
    <w:rsid w:val="00F634AD"/>
    <w:rsid w:val="00F63677"/>
    <w:rsid w:val="00F75B81"/>
    <w:rsid w:val="00F804C4"/>
    <w:rsid w:val="00F81187"/>
    <w:rsid w:val="00F816F3"/>
    <w:rsid w:val="00F81E05"/>
    <w:rsid w:val="00F824F3"/>
    <w:rsid w:val="00F82F83"/>
    <w:rsid w:val="00F92B30"/>
    <w:rsid w:val="00F933B9"/>
    <w:rsid w:val="00F94674"/>
    <w:rsid w:val="00F94919"/>
    <w:rsid w:val="00F94A59"/>
    <w:rsid w:val="00FA0CAF"/>
    <w:rsid w:val="00FA25B6"/>
    <w:rsid w:val="00FA2FAF"/>
    <w:rsid w:val="00FA64B1"/>
    <w:rsid w:val="00FA70F3"/>
    <w:rsid w:val="00FA71CD"/>
    <w:rsid w:val="00FB0453"/>
    <w:rsid w:val="00FB0C07"/>
    <w:rsid w:val="00FB2191"/>
    <w:rsid w:val="00FB298D"/>
    <w:rsid w:val="00FC1439"/>
    <w:rsid w:val="00FC724B"/>
    <w:rsid w:val="00FC7910"/>
    <w:rsid w:val="00FD01E0"/>
    <w:rsid w:val="00FF0DA7"/>
    <w:rsid w:val="00FF44E0"/>
    <w:rsid w:val="00FF6C72"/>
    <w:rsid w:val="01110AB4"/>
    <w:rsid w:val="012F6D5C"/>
    <w:rsid w:val="017F70C7"/>
    <w:rsid w:val="01852E64"/>
    <w:rsid w:val="01901F4C"/>
    <w:rsid w:val="01A823E8"/>
    <w:rsid w:val="01B228B8"/>
    <w:rsid w:val="01BD012A"/>
    <w:rsid w:val="01ED2925"/>
    <w:rsid w:val="01FB78A5"/>
    <w:rsid w:val="021E623A"/>
    <w:rsid w:val="0269102F"/>
    <w:rsid w:val="026C7212"/>
    <w:rsid w:val="027109F0"/>
    <w:rsid w:val="02823FEE"/>
    <w:rsid w:val="02BC3B46"/>
    <w:rsid w:val="02E55FD7"/>
    <w:rsid w:val="02E70851"/>
    <w:rsid w:val="030C0620"/>
    <w:rsid w:val="03172552"/>
    <w:rsid w:val="03257A16"/>
    <w:rsid w:val="03855247"/>
    <w:rsid w:val="03A80396"/>
    <w:rsid w:val="03E01EE5"/>
    <w:rsid w:val="03E65214"/>
    <w:rsid w:val="03EB33B8"/>
    <w:rsid w:val="040118F7"/>
    <w:rsid w:val="041157DF"/>
    <w:rsid w:val="04277ACD"/>
    <w:rsid w:val="043038C2"/>
    <w:rsid w:val="046F3841"/>
    <w:rsid w:val="04803F12"/>
    <w:rsid w:val="048222A7"/>
    <w:rsid w:val="0489706A"/>
    <w:rsid w:val="04A54994"/>
    <w:rsid w:val="04C95C40"/>
    <w:rsid w:val="04CB456B"/>
    <w:rsid w:val="050468A7"/>
    <w:rsid w:val="05335D4E"/>
    <w:rsid w:val="05337203"/>
    <w:rsid w:val="05455E42"/>
    <w:rsid w:val="05492173"/>
    <w:rsid w:val="05685DCD"/>
    <w:rsid w:val="057A1F97"/>
    <w:rsid w:val="05D10244"/>
    <w:rsid w:val="05D9285F"/>
    <w:rsid w:val="05F66DF5"/>
    <w:rsid w:val="05FC39BD"/>
    <w:rsid w:val="060B3B78"/>
    <w:rsid w:val="065256FF"/>
    <w:rsid w:val="06654DD2"/>
    <w:rsid w:val="06764285"/>
    <w:rsid w:val="06802696"/>
    <w:rsid w:val="06937C91"/>
    <w:rsid w:val="06A63616"/>
    <w:rsid w:val="06DC45F5"/>
    <w:rsid w:val="06E02EAD"/>
    <w:rsid w:val="06E155B4"/>
    <w:rsid w:val="06E80270"/>
    <w:rsid w:val="07120D0B"/>
    <w:rsid w:val="073026D7"/>
    <w:rsid w:val="073744E7"/>
    <w:rsid w:val="073D3A7F"/>
    <w:rsid w:val="075114C5"/>
    <w:rsid w:val="07547CE6"/>
    <w:rsid w:val="075F12E6"/>
    <w:rsid w:val="07647FC9"/>
    <w:rsid w:val="07674AD1"/>
    <w:rsid w:val="076E010B"/>
    <w:rsid w:val="078E5419"/>
    <w:rsid w:val="07936B9C"/>
    <w:rsid w:val="079E06E0"/>
    <w:rsid w:val="07A27390"/>
    <w:rsid w:val="07C31CE9"/>
    <w:rsid w:val="07E12B01"/>
    <w:rsid w:val="07E14131"/>
    <w:rsid w:val="07E97242"/>
    <w:rsid w:val="07F221E6"/>
    <w:rsid w:val="081146E4"/>
    <w:rsid w:val="08663C08"/>
    <w:rsid w:val="08675F40"/>
    <w:rsid w:val="086E5F8A"/>
    <w:rsid w:val="089711AE"/>
    <w:rsid w:val="08B7712C"/>
    <w:rsid w:val="08CC4244"/>
    <w:rsid w:val="08EB62DD"/>
    <w:rsid w:val="090C65F9"/>
    <w:rsid w:val="092027C1"/>
    <w:rsid w:val="092103C6"/>
    <w:rsid w:val="092A1135"/>
    <w:rsid w:val="09404732"/>
    <w:rsid w:val="097E4AB8"/>
    <w:rsid w:val="09872F6D"/>
    <w:rsid w:val="099D3D7A"/>
    <w:rsid w:val="09BB7D30"/>
    <w:rsid w:val="09BF7836"/>
    <w:rsid w:val="09C62C54"/>
    <w:rsid w:val="09CF0BF4"/>
    <w:rsid w:val="0A084A46"/>
    <w:rsid w:val="0A1D5325"/>
    <w:rsid w:val="0A383615"/>
    <w:rsid w:val="0A45214D"/>
    <w:rsid w:val="0A5A0B28"/>
    <w:rsid w:val="0A5F228C"/>
    <w:rsid w:val="0A6B782F"/>
    <w:rsid w:val="0A787A51"/>
    <w:rsid w:val="0A9631CB"/>
    <w:rsid w:val="0AB7187C"/>
    <w:rsid w:val="0ABE052E"/>
    <w:rsid w:val="0AC96C4E"/>
    <w:rsid w:val="0B054934"/>
    <w:rsid w:val="0B093A26"/>
    <w:rsid w:val="0B0C75DF"/>
    <w:rsid w:val="0B41747C"/>
    <w:rsid w:val="0B6369B0"/>
    <w:rsid w:val="0BE24989"/>
    <w:rsid w:val="0BE64CE3"/>
    <w:rsid w:val="0BE83ADF"/>
    <w:rsid w:val="0BE85C1B"/>
    <w:rsid w:val="0BFF63FC"/>
    <w:rsid w:val="0C27668C"/>
    <w:rsid w:val="0C286CC6"/>
    <w:rsid w:val="0C3B28E5"/>
    <w:rsid w:val="0C8B6D14"/>
    <w:rsid w:val="0C8D717F"/>
    <w:rsid w:val="0CC35437"/>
    <w:rsid w:val="0CE14B44"/>
    <w:rsid w:val="0CF911C0"/>
    <w:rsid w:val="0D2310F6"/>
    <w:rsid w:val="0D6512D8"/>
    <w:rsid w:val="0D6905EB"/>
    <w:rsid w:val="0D731C96"/>
    <w:rsid w:val="0D76250C"/>
    <w:rsid w:val="0D80678C"/>
    <w:rsid w:val="0DBD4318"/>
    <w:rsid w:val="0DD34C59"/>
    <w:rsid w:val="0DDD0DBD"/>
    <w:rsid w:val="0DFF5CDC"/>
    <w:rsid w:val="0E04467E"/>
    <w:rsid w:val="0E244A1E"/>
    <w:rsid w:val="0E291A84"/>
    <w:rsid w:val="0E31653A"/>
    <w:rsid w:val="0E532571"/>
    <w:rsid w:val="0E5F09F5"/>
    <w:rsid w:val="0E751B1B"/>
    <w:rsid w:val="0EA61AF8"/>
    <w:rsid w:val="0ECE1FD8"/>
    <w:rsid w:val="0ED25855"/>
    <w:rsid w:val="0F0A5795"/>
    <w:rsid w:val="0F3177B1"/>
    <w:rsid w:val="0F32440C"/>
    <w:rsid w:val="0F4603A1"/>
    <w:rsid w:val="0F5259AF"/>
    <w:rsid w:val="0F5515C9"/>
    <w:rsid w:val="0F6D6492"/>
    <w:rsid w:val="0F7809E2"/>
    <w:rsid w:val="0F8B2833"/>
    <w:rsid w:val="0FA8531B"/>
    <w:rsid w:val="0FCE3520"/>
    <w:rsid w:val="0FD86676"/>
    <w:rsid w:val="0FDA07B5"/>
    <w:rsid w:val="0FFE716B"/>
    <w:rsid w:val="100923B5"/>
    <w:rsid w:val="10197AEB"/>
    <w:rsid w:val="101D6C76"/>
    <w:rsid w:val="102D5BD5"/>
    <w:rsid w:val="104428DF"/>
    <w:rsid w:val="104B04C9"/>
    <w:rsid w:val="106A1DBE"/>
    <w:rsid w:val="10B25EA7"/>
    <w:rsid w:val="10DF3CBE"/>
    <w:rsid w:val="11262FA0"/>
    <w:rsid w:val="113260AF"/>
    <w:rsid w:val="11532C66"/>
    <w:rsid w:val="11974A9F"/>
    <w:rsid w:val="11B17030"/>
    <w:rsid w:val="11C71F7A"/>
    <w:rsid w:val="11C96B06"/>
    <w:rsid w:val="11CB6E88"/>
    <w:rsid w:val="11D31093"/>
    <w:rsid w:val="11DB1E5A"/>
    <w:rsid w:val="11FD55A8"/>
    <w:rsid w:val="120D20FB"/>
    <w:rsid w:val="121423BF"/>
    <w:rsid w:val="12486EC1"/>
    <w:rsid w:val="12534B6D"/>
    <w:rsid w:val="128D4965"/>
    <w:rsid w:val="129226E7"/>
    <w:rsid w:val="12993559"/>
    <w:rsid w:val="12A877F6"/>
    <w:rsid w:val="12C052D8"/>
    <w:rsid w:val="13201751"/>
    <w:rsid w:val="1330032F"/>
    <w:rsid w:val="13441DA0"/>
    <w:rsid w:val="137B0582"/>
    <w:rsid w:val="13A017F4"/>
    <w:rsid w:val="13A06491"/>
    <w:rsid w:val="13BA3CD2"/>
    <w:rsid w:val="13EC1C1A"/>
    <w:rsid w:val="14061549"/>
    <w:rsid w:val="141D20F1"/>
    <w:rsid w:val="1421126B"/>
    <w:rsid w:val="14352550"/>
    <w:rsid w:val="146A6825"/>
    <w:rsid w:val="147A78AD"/>
    <w:rsid w:val="147E0A9E"/>
    <w:rsid w:val="14947C2D"/>
    <w:rsid w:val="14974111"/>
    <w:rsid w:val="14D57E7D"/>
    <w:rsid w:val="14E4476D"/>
    <w:rsid w:val="14E7111C"/>
    <w:rsid w:val="15141079"/>
    <w:rsid w:val="15354183"/>
    <w:rsid w:val="153E1D55"/>
    <w:rsid w:val="153F4C92"/>
    <w:rsid w:val="15672187"/>
    <w:rsid w:val="156F7757"/>
    <w:rsid w:val="1571524F"/>
    <w:rsid w:val="15787C57"/>
    <w:rsid w:val="15A110D1"/>
    <w:rsid w:val="15BB53C8"/>
    <w:rsid w:val="15FA4725"/>
    <w:rsid w:val="15FD2622"/>
    <w:rsid w:val="16016AAE"/>
    <w:rsid w:val="161E6A6E"/>
    <w:rsid w:val="162E5725"/>
    <w:rsid w:val="164226A6"/>
    <w:rsid w:val="164338C3"/>
    <w:rsid w:val="165359AC"/>
    <w:rsid w:val="166B60B6"/>
    <w:rsid w:val="168E214D"/>
    <w:rsid w:val="16920BEA"/>
    <w:rsid w:val="16A64EEE"/>
    <w:rsid w:val="16B52EE8"/>
    <w:rsid w:val="16D307BD"/>
    <w:rsid w:val="16D45531"/>
    <w:rsid w:val="16D47F88"/>
    <w:rsid w:val="16FC1E6F"/>
    <w:rsid w:val="170D60B2"/>
    <w:rsid w:val="171C2650"/>
    <w:rsid w:val="17C26AFA"/>
    <w:rsid w:val="17CA547C"/>
    <w:rsid w:val="17D05DC4"/>
    <w:rsid w:val="17D55CE8"/>
    <w:rsid w:val="180644E8"/>
    <w:rsid w:val="18183A63"/>
    <w:rsid w:val="181E5FF5"/>
    <w:rsid w:val="182F1809"/>
    <w:rsid w:val="18463023"/>
    <w:rsid w:val="18605EAA"/>
    <w:rsid w:val="187B3BD5"/>
    <w:rsid w:val="18870A24"/>
    <w:rsid w:val="18944860"/>
    <w:rsid w:val="18E44509"/>
    <w:rsid w:val="18F83BF0"/>
    <w:rsid w:val="18FF466C"/>
    <w:rsid w:val="19024698"/>
    <w:rsid w:val="194D0F95"/>
    <w:rsid w:val="194D18CD"/>
    <w:rsid w:val="194E30AF"/>
    <w:rsid w:val="19534E0E"/>
    <w:rsid w:val="19837D02"/>
    <w:rsid w:val="19852DE4"/>
    <w:rsid w:val="19896769"/>
    <w:rsid w:val="198A3C60"/>
    <w:rsid w:val="198D44B6"/>
    <w:rsid w:val="19930910"/>
    <w:rsid w:val="19970010"/>
    <w:rsid w:val="19A57D57"/>
    <w:rsid w:val="19AB3D19"/>
    <w:rsid w:val="19B0042C"/>
    <w:rsid w:val="19C66BDC"/>
    <w:rsid w:val="19D92078"/>
    <w:rsid w:val="19EB1826"/>
    <w:rsid w:val="1A0A079B"/>
    <w:rsid w:val="1A133336"/>
    <w:rsid w:val="1A35216E"/>
    <w:rsid w:val="1A4C6608"/>
    <w:rsid w:val="1A610652"/>
    <w:rsid w:val="1A6A4269"/>
    <w:rsid w:val="1A701E16"/>
    <w:rsid w:val="1A906635"/>
    <w:rsid w:val="1A93147E"/>
    <w:rsid w:val="1A9F4EF6"/>
    <w:rsid w:val="1ADD6F40"/>
    <w:rsid w:val="1ADE04FD"/>
    <w:rsid w:val="1AE60CA0"/>
    <w:rsid w:val="1AE77620"/>
    <w:rsid w:val="1AEC4A77"/>
    <w:rsid w:val="1B0C5AB6"/>
    <w:rsid w:val="1B1729BA"/>
    <w:rsid w:val="1B355A84"/>
    <w:rsid w:val="1B48052E"/>
    <w:rsid w:val="1B9F71AF"/>
    <w:rsid w:val="1BA6263B"/>
    <w:rsid w:val="1BAF4A2D"/>
    <w:rsid w:val="1BE575C4"/>
    <w:rsid w:val="1BE6131B"/>
    <w:rsid w:val="1BEB0A71"/>
    <w:rsid w:val="1BEF3530"/>
    <w:rsid w:val="1BF265BD"/>
    <w:rsid w:val="1C056AF0"/>
    <w:rsid w:val="1C2C7987"/>
    <w:rsid w:val="1C4B3A94"/>
    <w:rsid w:val="1C731B33"/>
    <w:rsid w:val="1C816D71"/>
    <w:rsid w:val="1CC03183"/>
    <w:rsid w:val="1CCB5D5D"/>
    <w:rsid w:val="1D2E7ADC"/>
    <w:rsid w:val="1D4410B2"/>
    <w:rsid w:val="1D497ADC"/>
    <w:rsid w:val="1D4E0CE4"/>
    <w:rsid w:val="1D602592"/>
    <w:rsid w:val="1D950A38"/>
    <w:rsid w:val="1DB36234"/>
    <w:rsid w:val="1DC41D63"/>
    <w:rsid w:val="1DC6110C"/>
    <w:rsid w:val="1E0B68A3"/>
    <w:rsid w:val="1E4F1C2C"/>
    <w:rsid w:val="1E795AAF"/>
    <w:rsid w:val="1E7C5105"/>
    <w:rsid w:val="1E8E2663"/>
    <w:rsid w:val="1E9620FE"/>
    <w:rsid w:val="1E9F35C4"/>
    <w:rsid w:val="1EBE2C70"/>
    <w:rsid w:val="1EE07CC3"/>
    <w:rsid w:val="1F023602"/>
    <w:rsid w:val="1F2C2B78"/>
    <w:rsid w:val="1F370916"/>
    <w:rsid w:val="1F415D55"/>
    <w:rsid w:val="1F4C38FA"/>
    <w:rsid w:val="1F54631A"/>
    <w:rsid w:val="1F9C0A5E"/>
    <w:rsid w:val="1FB760EF"/>
    <w:rsid w:val="1FB95423"/>
    <w:rsid w:val="1FE0781F"/>
    <w:rsid w:val="1FE14D76"/>
    <w:rsid w:val="20085DD3"/>
    <w:rsid w:val="20374EAA"/>
    <w:rsid w:val="204E3144"/>
    <w:rsid w:val="20821225"/>
    <w:rsid w:val="209D0565"/>
    <w:rsid w:val="209E28FE"/>
    <w:rsid w:val="20BF6958"/>
    <w:rsid w:val="20D01A5C"/>
    <w:rsid w:val="20E67533"/>
    <w:rsid w:val="20F85992"/>
    <w:rsid w:val="20FD7732"/>
    <w:rsid w:val="211B28C9"/>
    <w:rsid w:val="212E4777"/>
    <w:rsid w:val="213662BC"/>
    <w:rsid w:val="21643EB1"/>
    <w:rsid w:val="216B6F55"/>
    <w:rsid w:val="21741FF1"/>
    <w:rsid w:val="2194149E"/>
    <w:rsid w:val="219A04F9"/>
    <w:rsid w:val="21B83050"/>
    <w:rsid w:val="21D24437"/>
    <w:rsid w:val="21DE7166"/>
    <w:rsid w:val="21F91F4C"/>
    <w:rsid w:val="21FD4C7D"/>
    <w:rsid w:val="2214385D"/>
    <w:rsid w:val="223D463C"/>
    <w:rsid w:val="223F7A6A"/>
    <w:rsid w:val="22A9644A"/>
    <w:rsid w:val="22B82DE8"/>
    <w:rsid w:val="22BF5554"/>
    <w:rsid w:val="22EE5EE1"/>
    <w:rsid w:val="22F166F1"/>
    <w:rsid w:val="22FA37AC"/>
    <w:rsid w:val="22FE7CC0"/>
    <w:rsid w:val="233154D4"/>
    <w:rsid w:val="23360822"/>
    <w:rsid w:val="2359481B"/>
    <w:rsid w:val="238E0090"/>
    <w:rsid w:val="23BB3D8C"/>
    <w:rsid w:val="23BD59CC"/>
    <w:rsid w:val="23BF133B"/>
    <w:rsid w:val="23FE60D6"/>
    <w:rsid w:val="24122B53"/>
    <w:rsid w:val="24225F02"/>
    <w:rsid w:val="242D6E19"/>
    <w:rsid w:val="24336802"/>
    <w:rsid w:val="2478342C"/>
    <w:rsid w:val="247E5E1A"/>
    <w:rsid w:val="24817170"/>
    <w:rsid w:val="248918A7"/>
    <w:rsid w:val="249161C0"/>
    <w:rsid w:val="249B0F61"/>
    <w:rsid w:val="24C21A92"/>
    <w:rsid w:val="24D45C66"/>
    <w:rsid w:val="24FD757E"/>
    <w:rsid w:val="25022273"/>
    <w:rsid w:val="25144038"/>
    <w:rsid w:val="252C68A1"/>
    <w:rsid w:val="253E370E"/>
    <w:rsid w:val="25570245"/>
    <w:rsid w:val="255771D3"/>
    <w:rsid w:val="256C073B"/>
    <w:rsid w:val="25913EB9"/>
    <w:rsid w:val="25AA2E99"/>
    <w:rsid w:val="25ED72DE"/>
    <w:rsid w:val="25F2165C"/>
    <w:rsid w:val="26303D80"/>
    <w:rsid w:val="264B28B8"/>
    <w:rsid w:val="26711718"/>
    <w:rsid w:val="268B1934"/>
    <w:rsid w:val="269D0C61"/>
    <w:rsid w:val="26C13532"/>
    <w:rsid w:val="26CE0C2E"/>
    <w:rsid w:val="26DC7593"/>
    <w:rsid w:val="26EB7C33"/>
    <w:rsid w:val="26FB2D49"/>
    <w:rsid w:val="27354DDA"/>
    <w:rsid w:val="274B56DA"/>
    <w:rsid w:val="275A4156"/>
    <w:rsid w:val="276555C1"/>
    <w:rsid w:val="277A3D5C"/>
    <w:rsid w:val="277F7E68"/>
    <w:rsid w:val="27BB3E19"/>
    <w:rsid w:val="27CA0868"/>
    <w:rsid w:val="282F43C4"/>
    <w:rsid w:val="283B17A2"/>
    <w:rsid w:val="28833ADF"/>
    <w:rsid w:val="28872575"/>
    <w:rsid w:val="2894449D"/>
    <w:rsid w:val="289E06A9"/>
    <w:rsid w:val="28CF3DE5"/>
    <w:rsid w:val="28E40744"/>
    <w:rsid w:val="2902643D"/>
    <w:rsid w:val="29184B8A"/>
    <w:rsid w:val="291903DB"/>
    <w:rsid w:val="29253B98"/>
    <w:rsid w:val="293308F3"/>
    <w:rsid w:val="2946543C"/>
    <w:rsid w:val="295221AA"/>
    <w:rsid w:val="298B31AD"/>
    <w:rsid w:val="298C1FDF"/>
    <w:rsid w:val="29A2344E"/>
    <w:rsid w:val="29AA7536"/>
    <w:rsid w:val="29C96C28"/>
    <w:rsid w:val="29DB1E7D"/>
    <w:rsid w:val="29DF2327"/>
    <w:rsid w:val="29E47A8D"/>
    <w:rsid w:val="2A2F5C39"/>
    <w:rsid w:val="2A5A6318"/>
    <w:rsid w:val="2A8404CF"/>
    <w:rsid w:val="2A964644"/>
    <w:rsid w:val="2AA5700F"/>
    <w:rsid w:val="2AA90D2C"/>
    <w:rsid w:val="2AB743A8"/>
    <w:rsid w:val="2AC54425"/>
    <w:rsid w:val="2AD15528"/>
    <w:rsid w:val="2AD70C79"/>
    <w:rsid w:val="2ADB0F22"/>
    <w:rsid w:val="2AE671B7"/>
    <w:rsid w:val="2AE81890"/>
    <w:rsid w:val="2AEB79E9"/>
    <w:rsid w:val="2AF07C5E"/>
    <w:rsid w:val="2AF35050"/>
    <w:rsid w:val="2B215D7D"/>
    <w:rsid w:val="2B3F0ACC"/>
    <w:rsid w:val="2B61018F"/>
    <w:rsid w:val="2B7B129A"/>
    <w:rsid w:val="2B7E45C8"/>
    <w:rsid w:val="2B800373"/>
    <w:rsid w:val="2B841D3A"/>
    <w:rsid w:val="2BA75F39"/>
    <w:rsid w:val="2BB47874"/>
    <w:rsid w:val="2BD77E85"/>
    <w:rsid w:val="2BED371C"/>
    <w:rsid w:val="2C2A3943"/>
    <w:rsid w:val="2C3A03A6"/>
    <w:rsid w:val="2C3E2DB6"/>
    <w:rsid w:val="2C4B48B1"/>
    <w:rsid w:val="2C656E2B"/>
    <w:rsid w:val="2C725F74"/>
    <w:rsid w:val="2C785C5B"/>
    <w:rsid w:val="2C913133"/>
    <w:rsid w:val="2CBA404E"/>
    <w:rsid w:val="2CBC5528"/>
    <w:rsid w:val="2CCB02B4"/>
    <w:rsid w:val="2CD51081"/>
    <w:rsid w:val="2CDB69C4"/>
    <w:rsid w:val="2CE75BF2"/>
    <w:rsid w:val="2CE969AA"/>
    <w:rsid w:val="2CFE5222"/>
    <w:rsid w:val="2D530384"/>
    <w:rsid w:val="2D600758"/>
    <w:rsid w:val="2D813F45"/>
    <w:rsid w:val="2D914A12"/>
    <w:rsid w:val="2D9C759D"/>
    <w:rsid w:val="2D9D2F5D"/>
    <w:rsid w:val="2DA23A0B"/>
    <w:rsid w:val="2DAE01CC"/>
    <w:rsid w:val="2DB74B9D"/>
    <w:rsid w:val="2DBE40B2"/>
    <w:rsid w:val="2DBF34C4"/>
    <w:rsid w:val="2DC5498F"/>
    <w:rsid w:val="2DC97DDD"/>
    <w:rsid w:val="2DD17134"/>
    <w:rsid w:val="2DD40728"/>
    <w:rsid w:val="2DD966F9"/>
    <w:rsid w:val="2DE55741"/>
    <w:rsid w:val="2DEE6C0E"/>
    <w:rsid w:val="2E3B4FE9"/>
    <w:rsid w:val="2E66763E"/>
    <w:rsid w:val="2E6A1770"/>
    <w:rsid w:val="2E6C218F"/>
    <w:rsid w:val="2E764B52"/>
    <w:rsid w:val="2E983644"/>
    <w:rsid w:val="2EAE346E"/>
    <w:rsid w:val="2EBB4A9A"/>
    <w:rsid w:val="2EBE2ABA"/>
    <w:rsid w:val="2ECB265E"/>
    <w:rsid w:val="2EEC7351"/>
    <w:rsid w:val="2EF2649A"/>
    <w:rsid w:val="2F035524"/>
    <w:rsid w:val="2F1F2C39"/>
    <w:rsid w:val="2F336B91"/>
    <w:rsid w:val="2F8668F2"/>
    <w:rsid w:val="2F873B0E"/>
    <w:rsid w:val="2FB6297F"/>
    <w:rsid w:val="2FC027E0"/>
    <w:rsid w:val="2FD41944"/>
    <w:rsid w:val="2FE011E8"/>
    <w:rsid w:val="2FE22957"/>
    <w:rsid w:val="2FF91F78"/>
    <w:rsid w:val="300B5408"/>
    <w:rsid w:val="30145420"/>
    <w:rsid w:val="3019539F"/>
    <w:rsid w:val="301C15D2"/>
    <w:rsid w:val="301E382C"/>
    <w:rsid w:val="30230A66"/>
    <w:rsid w:val="304B651B"/>
    <w:rsid w:val="305843F1"/>
    <w:rsid w:val="306C1EEB"/>
    <w:rsid w:val="30945798"/>
    <w:rsid w:val="30B161DD"/>
    <w:rsid w:val="30BE5E36"/>
    <w:rsid w:val="30BF6FD3"/>
    <w:rsid w:val="30C749B6"/>
    <w:rsid w:val="30CC1DD8"/>
    <w:rsid w:val="30D35983"/>
    <w:rsid w:val="30D41596"/>
    <w:rsid w:val="30F818CC"/>
    <w:rsid w:val="311A0402"/>
    <w:rsid w:val="312D2177"/>
    <w:rsid w:val="3139283F"/>
    <w:rsid w:val="31435CC3"/>
    <w:rsid w:val="31455E60"/>
    <w:rsid w:val="314817B4"/>
    <w:rsid w:val="3169668B"/>
    <w:rsid w:val="31D06BFA"/>
    <w:rsid w:val="31E4786B"/>
    <w:rsid w:val="31EB17F3"/>
    <w:rsid w:val="31EC2A86"/>
    <w:rsid w:val="31F709CD"/>
    <w:rsid w:val="31F8248C"/>
    <w:rsid w:val="321264A2"/>
    <w:rsid w:val="32147CCD"/>
    <w:rsid w:val="3237691F"/>
    <w:rsid w:val="324B03F5"/>
    <w:rsid w:val="326D070D"/>
    <w:rsid w:val="328D4CC0"/>
    <w:rsid w:val="32CB2171"/>
    <w:rsid w:val="32CC075E"/>
    <w:rsid w:val="32D04B24"/>
    <w:rsid w:val="32D55251"/>
    <w:rsid w:val="32D90788"/>
    <w:rsid w:val="32DB6D9E"/>
    <w:rsid w:val="3369030B"/>
    <w:rsid w:val="33956ADC"/>
    <w:rsid w:val="33976F27"/>
    <w:rsid w:val="33D8697F"/>
    <w:rsid w:val="33DB1C4B"/>
    <w:rsid w:val="33DE178F"/>
    <w:rsid w:val="33E905CD"/>
    <w:rsid w:val="33FC0AEB"/>
    <w:rsid w:val="341847E7"/>
    <w:rsid w:val="343A049A"/>
    <w:rsid w:val="34494232"/>
    <w:rsid w:val="344C3F4E"/>
    <w:rsid w:val="344C7777"/>
    <w:rsid w:val="344D63B3"/>
    <w:rsid w:val="34621E62"/>
    <w:rsid w:val="34652064"/>
    <w:rsid w:val="34665699"/>
    <w:rsid w:val="349949DE"/>
    <w:rsid w:val="34E03E55"/>
    <w:rsid w:val="34F12AF0"/>
    <w:rsid w:val="34F91561"/>
    <w:rsid w:val="350E5BA5"/>
    <w:rsid w:val="35137CFC"/>
    <w:rsid w:val="351977EF"/>
    <w:rsid w:val="35745923"/>
    <w:rsid w:val="35815397"/>
    <w:rsid w:val="35A069A1"/>
    <w:rsid w:val="35A877AF"/>
    <w:rsid w:val="35CB51D9"/>
    <w:rsid w:val="35DC2EFF"/>
    <w:rsid w:val="35F910A3"/>
    <w:rsid w:val="35FA5C53"/>
    <w:rsid w:val="36042DAA"/>
    <w:rsid w:val="363F3081"/>
    <w:rsid w:val="36544029"/>
    <w:rsid w:val="366E35DF"/>
    <w:rsid w:val="367027F0"/>
    <w:rsid w:val="36886B3F"/>
    <w:rsid w:val="36892454"/>
    <w:rsid w:val="369B0383"/>
    <w:rsid w:val="369D186E"/>
    <w:rsid w:val="36E02A24"/>
    <w:rsid w:val="36F47C81"/>
    <w:rsid w:val="36F817DC"/>
    <w:rsid w:val="36FB7543"/>
    <w:rsid w:val="36FE73D6"/>
    <w:rsid w:val="37217C8F"/>
    <w:rsid w:val="373D0B5E"/>
    <w:rsid w:val="373D44C0"/>
    <w:rsid w:val="373E07D5"/>
    <w:rsid w:val="374669DA"/>
    <w:rsid w:val="374821F5"/>
    <w:rsid w:val="376473E8"/>
    <w:rsid w:val="37647C9D"/>
    <w:rsid w:val="376D3D75"/>
    <w:rsid w:val="378E3E5F"/>
    <w:rsid w:val="37984DD8"/>
    <w:rsid w:val="379B4063"/>
    <w:rsid w:val="37A160D4"/>
    <w:rsid w:val="37A3376C"/>
    <w:rsid w:val="37AD7EDA"/>
    <w:rsid w:val="37B14710"/>
    <w:rsid w:val="37B83160"/>
    <w:rsid w:val="37BC0099"/>
    <w:rsid w:val="37C17ACB"/>
    <w:rsid w:val="37EC54B1"/>
    <w:rsid w:val="38481A85"/>
    <w:rsid w:val="38482BC6"/>
    <w:rsid w:val="38564981"/>
    <w:rsid w:val="389E4B16"/>
    <w:rsid w:val="38A538AA"/>
    <w:rsid w:val="38BC1E67"/>
    <w:rsid w:val="38C85C2A"/>
    <w:rsid w:val="38CC5DFD"/>
    <w:rsid w:val="38FA2470"/>
    <w:rsid w:val="39536354"/>
    <w:rsid w:val="3968609D"/>
    <w:rsid w:val="39B549AB"/>
    <w:rsid w:val="39BB549B"/>
    <w:rsid w:val="39C83647"/>
    <w:rsid w:val="39CA4B91"/>
    <w:rsid w:val="39D34D2E"/>
    <w:rsid w:val="39FE439B"/>
    <w:rsid w:val="3A06556B"/>
    <w:rsid w:val="3A0A6F16"/>
    <w:rsid w:val="3A0E1E15"/>
    <w:rsid w:val="3A1D1EDB"/>
    <w:rsid w:val="3A1F4B11"/>
    <w:rsid w:val="3A2335E8"/>
    <w:rsid w:val="3A3C0E49"/>
    <w:rsid w:val="3A3E2205"/>
    <w:rsid w:val="3A8858BD"/>
    <w:rsid w:val="3AAC2057"/>
    <w:rsid w:val="3AE06C93"/>
    <w:rsid w:val="3B051F5E"/>
    <w:rsid w:val="3B3C07ED"/>
    <w:rsid w:val="3B6C16D9"/>
    <w:rsid w:val="3B6C7D57"/>
    <w:rsid w:val="3B760D5F"/>
    <w:rsid w:val="3B854241"/>
    <w:rsid w:val="3B8615E3"/>
    <w:rsid w:val="3BDA468C"/>
    <w:rsid w:val="3BF96159"/>
    <w:rsid w:val="3C0B2F98"/>
    <w:rsid w:val="3C12698A"/>
    <w:rsid w:val="3C243180"/>
    <w:rsid w:val="3C393528"/>
    <w:rsid w:val="3C4A1BB7"/>
    <w:rsid w:val="3C510C0B"/>
    <w:rsid w:val="3C65670C"/>
    <w:rsid w:val="3C6F4548"/>
    <w:rsid w:val="3C7356BC"/>
    <w:rsid w:val="3C75489A"/>
    <w:rsid w:val="3C9126A5"/>
    <w:rsid w:val="3CD677A8"/>
    <w:rsid w:val="3CFC5598"/>
    <w:rsid w:val="3D1068C1"/>
    <w:rsid w:val="3D201E08"/>
    <w:rsid w:val="3D487171"/>
    <w:rsid w:val="3D5F0443"/>
    <w:rsid w:val="3D773EC2"/>
    <w:rsid w:val="3D8331A7"/>
    <w:rsid w:val="3D9D6957"/>
    <w:rsid w:val="3DAC6549"/>
    <w:rsid w:val="3DB80D71"/>
    <w:rsid w:val="3DD02C9A"/>
    <w:rsid w:val="3DEC5FEE"/>
    <w:rsid w:val="3E176ADB"/>
    <w:rsid w:val="3E58296E"/>
    <w:rsid w:val="3E626E3C"/>
    <w:rsid w:val="3E633713"/>
    <w:rsid w:val="3E675430"/>
    <w:rsid w:val="3E6C398D"/>
    <w:rsid w:val="3E8F1C15"/>
    <w:rsid w:val="3ECE077C"/>
    <w:rsid w:val="3ED11701"/>
    <w:rsid w:val="3EF0103C"/>
    <w:rsid w:val="3EF9243F"/>
    <w:rsid w:val="3F2128D3"/>
    <w:rsid w:val="3F275C95"/>
    <w:rsid w:val="3F9C23CB"/>
    <w:rsid w:val="3FBB6386"/>
    <w:rsid w:val="3FC97C3E"/>
    <w:rsid w:val="3FD4617A"/>
    <w:rsid w:val="3FE26CC6"/>
    <w:rsid w:val="3FFE2A1B"/>
    <w:rsid w:val="40031554"/>
    <w:rsid w:val="402604C6"/>
    <w:rsid w:val="40320C22"/>
    <w:rsid w:val="40396073"/>
    <w:rsid w:val="405937F2"/>
    <w:rsid w:val="40694B19"/>
    <w:rsid w:val="40706599"/>
    <w:rsid w:val="40711378"/>
    <w:rsid w:val="40A167F8"/>
    <w:rsid w:val="40B263FD"/>
    <w:rsid w:val="40C50A15"/>
    <w:rsid w:val="40C90DE7"/>
    <w:rsid w:val="40D066FB"/>
    <w:rsid w:val="40F118A7"/>
    <w:rsid w:val="410C6ED1"/>
    <w:rsid w:val="41176180"/>
    <w:rsid w:val="41196BD4"/>
    <w:rsid w:val="411A0EE4"/>
    <w:rsid w:val="413B47C2"/>
    <w:rsid w:val="419D3914"/>
    <w:rsid w:val="41C57D35"/>
    <w:rsid w:val="41CE1DC1"/>
    <w:rsid w:val="41DA11C1"/>
    <w:rsid w:val="41DD727E"/>
    <w:rsid w:val="41E243C9"/>
    <w:rsid w:val="41EA3085"/>
    <w:rsid w:val="41FA347D"/>
    <w:rsid w:val="42047167"/>
    <w:rsid w:val="42173EE9"/>
    <w:rsid w:val="423231D0"/>
    <w:rsid w:val="424340C0"/>
    <w:rsid w:val="42504B86"/>
    <w:rsid w:val="42683F9E"/>
    <w:rsid w:val="42757FD8"/>
    <w:rsid w:val="42894573"/>
    <w:rsid w:val="42971447"/>
    <w:rsid w:val="42AF0517"/>
    <w:rsid w:val="42BD0C2E"/>
    <w:rsid w:val="42E81AB6"/>
    <w:rsid w:val="42F27EEA"/>
    <w:rsid w:val="43092A0B"/>
    <w:rsid w:val="43193DFA"/>
    <w:rsid w:val="43561FDC"/>
    <w:rsid w:val="43585784"/>
    <w:rsid w:val="436624FA"/>
    <w:rsid w:val="43686A25"/>
    <w:rsid w:val="4387356E"/>
    <w:rsid w:val="438C75F9"/>
    <w:rsid w:val="439F4900"/>
    <w:rsid w:val="43A269C9"/>
    <w:rsid w:val="43A33C8A"/>
    <w:rsid w:val="43A56273"/>
    <w:rsid w:val="43F20E10"/>
    <w:rsid w:val="43F7179A"/>
    <w:rsid w:val="4403207C"/>
    <w:rsid w:val="44041735"/>
    <w:rsid w:val="44221A9D"/>
    <w:rsid w:val="4441176F"/>
    <w:rsid w:val="44435AE3"/>
    <w:rsid w:val="444F1F24"/>
    <w:rsid w:val="44581669"/>
    <w:rsid w:val="446526CE"/>
    <w:rsid w:val="44697F71"/>
    <w:rsid w:val="44714126"/>
    <w:rsid w:val="44830D54"/>
    <w:rsid w:val="449E5055"/>
    <w:rsid w:val="44B01812"/>
    <w:rsid w:val="44B50DBE"/>
    <w:rsid w:val="44B84518"/>
    <w:rsid w:val="44C14A38"/>
    <w:rsid w:val="44D420F6"/>
    <w:rsid w:val="44D70894"/>
    <w:rsid w:val="44D7685E"/>
    <w:rsid w:val="44F86E9F"/>
    <w:rsid w:val="44FA678B"/>
    <w:rsid w:val="459C3468"/>
    <w:rsid w:val="45A472E7"/>
    <w:rsid w:val="45BF2A7F"/>
    <w:rsid w:val="45CB6912"/>
    <w:rsid w:val="45EB2E4B"/>
    <w:rsid w:val="45ED14B7"/>
    <w:rsid w:val="46173FC3"/>
    <w:rsid w:val="462A2A46"/>
    <w:rsid w:val="46615762"/>
    <w:rsid w:val="4664685E"/>
    <w:rsid w:val="468F0621"/>
    <w:rsid w:val="469F37F7"/>
    <w:rsid w:val="46F46919"/>
    <w:rsid w:val="46F95F37"/>
    <w:rsid w:val="47010D18"/>
    <w:rsid w:val="47361567"/>
    <w:rsid w:val="47446F7A"/>
    <w:rsid w:val="476F28AE"/>
    <w:rsid w:val="47C66A18"/>
    <w:rsid w:val="47D56669"/>
    <w:rsid w:val="47F53F9F"/>
    <w:rsid w:val="47F55AAD"/>
    <w:rsid w:val="47FB3867"/>
    <w:rsid w:val="480D5CAF"/>
    <w:rsid w:val="482941F1"/>
    <w:rsid w:val="482A1D20"/>
    <w:rsid w:val="482C4167"/>
    <w:rsid w:val="482D2425"/>
    <w:rsid w:val="483F354E"/>
    <w:rsid w:val="484E79E6"/>
    <w:rsid w:val="485533B7"/>
    <w:rsid w:val="486D44F5"/>
    <w:rsid w:val="487B6481"/>
    <w:rsid w:val="48A020C2"/>
    <w:rsid w:val="48A236D1"/>
    <w:rsid w:val="48AD438E"/>
    <w:rsid w:val="48B977AA"/>
    <w:rsid w:val="48BF65BF"/>
    <w:rsid w:val="48D05051"/>
    <w:rsid w:val="48D868F4"/>
    <w:rsid w:val="48E24C72"/>
    <w:rsid w:val="48FD0324"/>
    <w:rsid w:val="4901789B"/>
    <w:rsid w:val="491B697B"/>
    <w:rsid w:val="49217F51"/>
    <w:rsid w:val="49404F40"/>
    <w:rsid w:val="495D5CA3"/>
    <w:rsid w:val="497357A3"/>
    <w:rsid w:val="49D16D10"/>
    <w:rsid w:val="49D403BD"/>
    <w:rsid w:val="4A4D08F3"/>
    <w:rsid w:val="4A572181"/>
    <w:rsid w:val="4A5D27C1"/>
    <w:rsid w:val="4A5E6168"/>
    <w:rsid w:val="4A752549"/>
    <w:rsid w:val="4A95042A"/>
    <w:rsid w:val="4A95542E"/>
    <w:rsid w:val="4AB27EC6"/>
    <w:rsid w:val="4AB70CF0"/>
    <w:rsid w:val="4AFF2268"/>
    <w:rsid w:val="4B1031ED"/>
    <w:rsid w:val="4B3F0957"/>
    <w:rsid w:val="4B474D4A"/>
    <w:rsid w:val="4B57241E"/>
    <w:rsid w:val="4B5A441D"/>
    <w:rsid w:val="4B5B7E6D"/>
    <w:rsid w:val="4B696BE3"/>
    <w:rsid w:val="4B9533EE"/>
    <w:rsid w:val="4BB63C32"/>
    <w:rsid w:val="4BD35379"/>
    <w:rsid w:val="4C1030C5"/>
    <w:rsid w:val="4C145959"/>
    <w:rsid w:val="4C301BD2"/>
    <w:rsid w:val="4C48452E"/>
    <w:rsid w:val="4C567BE6"/>
    <w:rsid w:val="4C6246B4"/>
    <w:rsid w:val="4C776D67"/>
    <w:rsid w:val="4C7B0142"/>
    <w:rsid w:val="4CAA5934"/>
    <w:rsid w:val="4CB10657"/>
    <w:rsid w:val="4CC13A9D"/>
    <w:rsid w:val="4CC61150"/>
    <w:rsid w:val="4CE659E6"/>
    <w:rsid w:val="4D6B0DE8"/>
    <w:rsid w:val="4D7717D1"/>
    <w:rsid w:val="4D783741"/>
    <w:rsid w:val="4D996B9C"/>
    <w:rsid w:val="4D9E669A"/>
    <w:rsid w:val="4DA3785E"/>
    <w:rsid w:val="4DAD5E98"/>
    <w:rsid w:val="4DC674F9"/>
    <w:rsid w:val="4E086A6F"/>
    <w:rsid w:val="4E0A0798"/>
    <w:rsid w:val="4E187D23"/>
    <w:rsid w:val="4E5D2331"/>
    <w:rsid w:val="4E6D5EB6"/>
    <w:rsid w:val="4E772543"/>
    <w:rsid w:val="4E882FF2"/>
    <w:rsid w:val="4E8A48BC"/>
    <w:rsid w:val="4EAC443C"/>
    <w:rsid w:val="4EB721CB"/>
    <w:rsid w:val="4F035A46"/>
    <w:rsid w:val="4F095411"/>
    <w:rsid w:val="4F1144BB"/>
    <w:rsid w:val="4F197226"/>
    <w:rsid w:val="4F235E3B"/>
    <w:rsid w:val="4F594442"/>
    <w:rsid w:val="4F6855B5"/>
    <w:rsid w:val="4F7B7DB2"/>
    <w:rsid w:val="4F8C5047"/>
    <w:rsid w:val="4FAE37CA"/>
    <w:rsid w:val="4FBE47E4"/>
    <w:rsid w:val="500111E3"/>
    <w:rsid w:val="5020485B"/>
    <w:rsid w:val="504178F9"/>
    <w:rsid w:val="50456823"/>
    <w:rsid w:val="504B2BB0"/>
    <w:rsid w:val="5055799F"/>
    <w:rsid w:val="505817B7"/>
    <w:rsid w:val="505C2026"/>
    <w:rsid w:val="506713D0"/>
    <w:rsid w:val="508B510A"/>
    <w:rsid w:val="509D6E80"/>
    <w:rsid w:val="50AB50F1"/>
    <w:rsid w:val="50B270A7"/>
    <w:rsid w:val="50B6177A"/>
    <w:rsid w:val="50BB7888"/>
    <w:rsid w:val="50CF5CF4"/>
    <w:rsid w:val="50D17554"/>
    <w:rsid w:val="50D755D5"/>
    <w:rsid w:val="50DE41B1"/>
    <w:rsid w:val="510C6CA1"/>
    <w:rsid w:val="512E77DC"/>
    <w:rsid w:val="513F136E"/>
    <w:rsid w:val="51500E0B"/>
    <w:rsid w:val="517748F3"/>
    <w:rsid w:val="517A1139"/>
    <w:rsid w:val="518F6427"/>
    <w:rsid w:val="51991F1E"/>
    <w:rsid w:val="51A574D7"/>
    <w:rsid w:val="51B676E6"/>
    <w:rsid w:val="51D811F3"/>
    <w:rsid w:val="51F46C75"/>
    <w:rsid w:val="51F96949"/>
    <w:rsid w:val="521F5141"/>
    <w:rsid w:val="523B235C"/>
    <w:rsid w:val="523E3F64"/>
    <w:rsid w:val="524125E8"/>
    <w:rsid w:val="5245597E"/>
    <w:rsid w:val="52462715"/>
    <w:rsid w:val="52646B94"/>
    <w:rsid w:val="529D4D92"/>
    <w:rsid w:val="52B13361"/>
    <w:rsid w:val="52C86125"/>
    <w:rsid w:val="52E23B22"/>
    <w:rsid w:val="52E27256"/>
    <w:rsid w:val="53012260"/>
    <w:rsid w:val="53136156"/>
    <w:rsid w:val="53443FE9"/>
    <w:rsid w:val="53550D54"/>
    <w:rsid w:val="536A634B"/>
    <w:rsid w:val="536C3FB8"/>
    <w:rsid w:val="53A81D72"/>
    <w:rsid w:val="53D646B7"/>
    <w:rsid w:val="53E35E07"/>
    <w:rsid w:val="54015AF8"/>
    <w:rsid w:val="54063368"/>
    <w:rsid w:val="54067F7A"/>
    <w:rsid w:val="540B0EEF"/>
    <w:rsid w:val="540C0D45"/>
    <w:rsid w:val="5413079C"/>
    <w:rsid w:val="542D6E06"/>
    <w:rsid w:val="543C3DD0"/>
    <w:rsid w:val="54475CBA"/>
    <w:rsid w:val="545A6EBE"/>
    <w:rsid w:val="547D2A24"/>
    <w:rsid w:val="54887E6A"/>
    <w:rsid w:val="548E32B7"/>
    <w:rsid w:val="549D2A4F"/>
    <w:rsid w:val="550A69AD"/>
    <w:rsid w:val="550B576F"/>
    <w:rsid w:val="551E0C7C"/>
    <w:rsid w:val="5526387D"/>
    <w:rsid w:val="55282DD9"/>
    <w:rsid w:val="553575D8"/>
    <w:rsid w:val="553F5BC0"/>
    <w:rsid w:val="554258A8"/>
    <w:rsid w:val="554C515F"/>
    <w:rsid w:val="55597662"/>
    <w:rsid w:val="555B012B"/>
    <w:rsid w:val="55AE734E"/>
    <w:rsid w:val="55BA5635"/>
    <w:rsid w:val="55F36911"/>
    <w:rsid w:val="560C11E9"/>
    <w:rsid w:val="5614534F"/>
    <w:rsid w:val="566D2B2D"/>
    <w:rsid w:val="56764C17"/>
    <w:rsid w:val="56884484"/>
    <w:rsid w:val="56AA589C"/>
    <w:rsid w:val="56AF1D6F"/>
    <w:rsid w:val="56B12440"/>
    <w:rsid w:val="56CC224A"/>
    <w:rsid w:val="56CD347C"/>
    <w:rsid w:val="56F41EAE"/>
    <w:rsid w:val="5706274A"/>
    <w:rsid w:val="571C0491"/>
    <w:rsid w:val="57200BD2"/>
    <w:rsid w:val="573D17AD"/>
    <w:rsid w:val="5769343B"/>
    <w:rsid w:val="57967099"/>
    <w:rsid w:val="579A3B77"/>
    <w:rsid w:val="579B3493"/>
    <w:rsid w:val="57E81997"/>
    <w:rsid w:val="57F64919"/>
    <w:rsid w:val="585F6D39"/>
    <w:rsid w:val="58801610"/>
    <w:rsid w:val="58874707"/>
    <w:rsid w:val="58BE2157"/>
    <w:rsid w:val="59021F26"/>
    <w:rsid w:val="59293AA7"/>
    <w:rsid w:val="593A3031"/>
    <w:rsid w:val="59AE1AE4"/>
    <w:rsid w:val="59C00C2C"/>
    <w:rsid w:val="59C40E52"/>
    <w:rsid w:val="59C859EB"/>
    <w:rsid w:val="59D728B2"/>
    <w:rsid w:val="59E4298C"/>
    <w:rsid w:val="5A35336A"/>
    <w:rsid w:val="5A636489"/>
    <w:rsid w:val="5AA7340E"/>
    <w:rsid w:val="5AC03F00"/>
    <w:rsid w:val="5ACE7156"/>
    <w:rsid w:val="5B1554C0"/>
    <w:rsid w:val="5B425782"/>
    <w:rsid w:val="5B4644B1"/>
    <w:rsid w:val="5B4B393F"/>
    <w:rsid w:val="5B575DD6"/>
    <w:rsid w:val="5B623C18"/>
    <w:rsid w:val="5B7648D2"/>
    <w:rsid w:val="5B826D90"/>
    <w:rsid w:val="5BC82722"/>
    <w:rsid w:val="5BE57FEC"/>
    <w:rsid w:val="5BF448F5"/>
    <w:rsid w:val="5BF80A51"/>
    <w:rsid w:val="5C263E08"/>
    <w:rsid w:val="5C4C7270"/>
    <w:rsid w:val="5C4D05C1"/>
    <w:rsid w:val="5C62333F"/>
    <w:rsid w:val="5CC60A7A"/>
    <w:rsid w:val="5CD61D1E"/>
    <w:rsid w:val="5CEE5204"/>
    <w:rsid w:val="5D266B83"/>
    <w:rsid w:val="5D421B88"/>
    <w:rsid w:val="5D4A586F"/>
    <w:rsid w:val="5D4B42B9"/>
    <w:rsid w:val="5D4E5C42"/>
    <w:rsid w:val="5D6A6ED9"/>
    <w:rsid w:val="5D9206C1"/>
    <w:rsid w:val="5D9E220B"/>
    <w:rsid w:val="5DB83085"/>
    <w:rsid w:val="5DC57179"/>
    <w:rsid w:val="5DCA0F56"/>
    <w:rsid w:val="5DCB5753"/>
    <w:rsid w:val="5DD419BA"/>
    <w:rsid w:val="5DD42166"/>
    <w:rsid w:val="5DD90BA0"/>
    <w:rsid w:val="5DD9425F"/>
    <w:rsid w:val="5DDE15E3"/>
    <w:rsid w:val="5DDE404E"/>
    <w:rsid w:val="5DE52F08"/>
    <w:rsid w:val="5E0A2DF7"/>
    <w:rsid w:val="5E101C5C"/>
    <w:rsid w:val="5E20078B"/>
    <w:rsid w:val="5E3A4515"/>
    <w:rsid w:val="5E4A2C02"/>
    <w:rsid w:val="5E4C305F"/>
    <w:rsid w:val="5E524CC5"/>
    <w:rsid w:val="5E666054"/>
    <w:rsid w:val="5E9D5F43"/>
    <w:rsid w:val="5EA25C07"/>
    <w:rsid w:val="5EEE41C9"/>
    <w:rsid w:val="5EFF4F5B"/>
    <w:rsid w:val="5F183E40"/>
    <w:rsid w:val="5F2603DE"/>
    <w:rsid w:val="5F2E1F8F"/>
    <w:rsid w:val="5F574A83"/>
    <w:rsid w:val="5F595522"/>
    <w:rsid w:val="5F7E6A9E"/>
    <w:rsid w:val="5F857FC1"/>
    <w:rsid w:val="5F93376D"/>
    <w:rsid w:val="5F987877"/>
    <w:rsid w:val="5FCF47DC"/>
    <w:rsid w:val="5FCF6241"/>
    <w:rsid w:val="60270296"/>
    <w:rsid w:val="606240FD"/>
    <w:rsid w:val="608F78B8"/>
    <w:rsid w:val="60D46412"/>
    <w:rsid w:val="60D64AF3"/>
    <w:rsid w:val="60EA159F"/>
    <w:rsid w:val="60ED374E"/>
    <w:rsid w:val="611A3763"/>
    <w:rsid w:val="61247F43"/>
    <w:rsid w:val="61606480"/>
    <w:rsid w:val="616B583F"/>
    <w:rsid w:val="61765D9E"/>
    <w:rsid w:val="61B827B9"/>
    <w:rsid w:val="61CF4187"/>
    <w:rsid w:val="61E545E2"/>
    <w:rsid w:val="61FF3701"/>
    <w:rsid w:val="6227788D"/>
    <w:rsid w:val="622B6ABC"/>
    <w:rsid w:val="626709C8"/>
    <w:rsid w:val="62B17DD2"/>
    <w:rsid w:val="62C01852"/>
    <w:rsid w:val="63084CD6"/>
    <w:rsid w:val="630939DE"/>
    <w:rsid w:val="63107C6A"/>
    <w:rsid w:val="63397669"/>
    <w:rsid w:val="634E0E8E"/>
    <w:rsid w:val="63570069"/>
    <w:rsid w:val="635B3956"/>
    <w:rsid w:val="6374769B"/>
    <w:rsid w:val="63820E8A"/>
    <w:rsid w:val="63AF105B"/>
    <w:rsid w:val="63F42849"/>
    <w:rsid w:val="641623A9"/>
    <w:rsid w:val="64442DE5"/>
    <w:rsid w:val="64467ED9"/>
    <w:rsid w:val="645016B8"/>
    <w:rsid w:val="64585EDC"/>
    <w:rsid w:val="64586548"/>
    <w:rsid w:val="64760A40"/>
    <w:rsid w:val="64820FD0"/>
    <w:rsid w:val="649F03A6"/>
    <w:rsid w:val="64CC5624"/>
    <w:rsid w:val="64D23D73"/>
    <w:rsid w:val="652C5A9A"/>
    <w:rsid w:val="65432A7A"/>
    <w:rsid w:val="654C0ECB"/>
    <w:rsid w:val="6558033E"/>
    <w:rsid w:val="657A02B4"/>
    <w:rsid w:val="659624AF"/>
    <w:rsid w:val="65996156"/>
    <w:rsid w:val="65A10FAB"/>
    <w:rsid w:val="65AD79FE"/>
    <w:rsid w:val="65C837F3"/>
    <w:rsid w:val="65D946BB"/>
    <w:rsid w:val="66113577"/>
    <w:rsid w:val="66150CD9"/>
    <w:rsid w:val="661F3374"/>
    <w:rsid w:val="66935696"/>
    <w:rsid w:val="66A5233B"/>
    <w:rsid w:val="66D05D8F"/>
    <w:rsid w:val="66E234D8"/>
    <w:rsid w:val="670A3838"/>
    <w:rsid w:val="67104CB5"/>
    <w:rsid w:val="6714433B"/>
    <w:rsid w:val="674C4EC0"/>
    <w:rsid w:val="67571788"/>
    <w:rsid w:val="67844B18"/>
    <w:rsid w:val="67850B12"/>
    <w:rsid w:val="67914E49"/>
    <w:rsid w:val="679526A1"/>
    <w:rsid w:val="67D977F4"/>
    <w:rsid w:val="67EE0DAB"/>
    <w:rsid w:val="680934C1"/>
    <w:rsid w:val="681129EB"/>
    <w:rsid w:val="681459DD"/>
    <w:rsid w:val="681E41E3"/>
    <w:rsid w:val="682E0E25"/>
    <w:rsid w:val="682F1434"/>
    <w:rsid w:val="68374337"/>
    <w:rsid w:val="68672E93"/>
    <w:rsid w:val="687004CD"/>
    <w:rsid w:val="687A0A86"/>
    <w:rsid w:val="687B3203"/>
    <w:rsid w:val="68870F75"/>
    <w:rsid w:val="688B64BF"/>
    <w:rsid w:val="688E3CF0"/>
    <w:rsid w:val="68A25720"/>
    <w:rsid w:val="68AA4E20"/>
    <w:rsid w:val="68DB0783"/>
    <w:rsid w:val="68E13847"/>
    <w:rsid w:val="68F66F44"/>
    <w:rsid w:val="6928601C"/>
    <w:rsid w:val="693826EC"/>
    <w:rsid w:val="693F6625"/>
    <w:rsid w:val="694A6CAA"/>
    <w:rsid w:val="695403DC"/>
    <w:rsid w:val="69625C2E"/>
    <w:rsid w:val="699D53E6"/>
    <w:rsid w:val="69A1783C"/>
    <w:rsid w:val="69AF1527"/>
    <w:rsid w:val="69B16F2F"/>
    <w:rsid w:val="6A0425F8"/>
    <w:rsid w:val="6A103663"/>
    <w:rsid w:val="6A3D07E7"/>
    <w:rsid w:val="6A4900D2"/>
    <w:rsid w:val="6A55406E"/>
    <w:rsid w:val="6A662A6B"/>
    <w:rsid w:val="6A730A09"/>
    <w:rsid w:val="6A731EAB"/>
    <w:rsid w:val="6A867EEA"/>
    <w:rsid w:val="6AA64E5F"/>
    <w:rsid w:val="6AAD494A"/>
    <w:rsid w:val="6AB84A15"/>
    <w:rsid w:val="6ABE5BDE"/>
    <w:rsid w:val="6ACB24D4"/>
    <w:rsid w:val="6ADF50C6"/>
    <w:rsid w:val="6AE606F0"/>
    <w:rsid w:val="6B187370"/>
    <w:rsid w:val="6B3831F5"/>
    <w:rsid w:val="6BA368A0"/>
    <w:rsid w:val="6BA548A3"/>
    <w:rsid w:val="6BAC3851"/>
    <w:rsid w:val="6BC24617"/>
    <w:rsid w:val="6BEB1C8C"/>
    <w:rsid w:val="6BF2287B"/>
    <w:rsid w:val="6BF37665"/>
    <w:rsid w:val="6BF63799"/>
    <w:rsid w:val="6C195C2F"/>
    <w:rsid w:val="6C234FF4"/>
    <w:rsid w:val="6C2A07FB"/>
    <w:rsid w:val="6C3F2B5A"/>
    <w:rsid w:val="6C464F93"/>
    <w:rsid w:val="6C70304C"/>
    <w:rsid w:val="6C735DBA"/>
    <w:rsid w:val="6C750109"/>
    <w:rsid w:val="6C771FAD"/>
    <w:rsid w:val="6C831184"/>
    <w:rsid w:val="6C9F1C3B"/>
    <w:rsid w:val="6CA23ED9"/>
    <w:rsid w:val="6CAE6C7B"/>
    <w:rsid w:val="6CB11A8C"/>
    <w:rsid w:val="6CE360D3"/>
    <w:rsid w:val="6CFB0E57"/>
    <w:rsid w:val="6D132071"/>
    <w:rsid w:val="6D544FC8"/>
    <w:rsid w:val="6D5952B0"/>
    <w:rsid w:val="6D7553BA"/>
    <w:rsid w:val="6D9D62E7"/>
    <w:rsid w:val="6DA12E6D"/>
    <w:rsid w:val="6DD61F59"/>
    <w:rsid w:val="6DFB2F68"/>
    <w:rsid w:val="6E335E2C"/>
    <w:rsid w:val="6E370EF4"/>
    <w:rsid w:val="6E573281"/>
    <w:rsid w:val="6E5A151D"/>
    <w:rsid w:val="6E7D453A"/>
    <w:rsid w:val="6E9A03CA"/>
    <w:rsid w:val="6EA94A7C"/>
    <w:rsid w:val="6EEA71B6"/>
    <w:rsid w:val="6F3202E3"/>
    <w:rsid w:val="6F7B0BF1"/>
    <w:rsid w:val="6F85584B"/>
    <w:rsid w:val="6FA55A8F"/>
    <w:rsid w:val="6FDA5E66"/>
    <w:rsid w:val="6FDB410E"/>
    <w:rsid w:val="70476E2A"/>
    <w:rsid w:val="70521413"/>
    <w:rsid w:val="707D56C9"/>
    <w:rsid w:val="70C4702D"/>
    <w:rsid w:val="70DE6EF7"/>
    <w:rsid w:val="70E10F66"/>
    <w:rsid w:val="70E40D5A"/>
    <w:rsid w:val="70E940FE"/>
    <w:rsid w:val="70F97286"/>
    <w:rsid w:val="710A4CA6"/>
    <w:rsid w:val="71187557"/>
    <w:rsid w:val="711B063E"/>
    <w:rsid w:val="71273D7F"/>
    <w:rsid w:val="712D2135"/>
    <w:rsid w:val="714D100B"/>
    <w:rsid w:val="71726C83"/>
    <w:rsid w:val="718C3C77"/>
    <w:rsid w:val="71903DD8"/>
    <w:rsid w:val="71A514D8"/>
    <w:rsid w:val="71DA569F"/>
    <w:rsid w:val="71DD6D8C"/>
    <w:rsid w:val="71EE38C3"/>
    <w:rsid w:val="72152DFB"/>
    <w:rsid w:val="72713083"/>
    <w:rsid w:val="72937E76"/>
    <w:rsid w:val="7294461B"/>
    <w:rsid w:val="72AB4170"/>
    <w:rsid w:val="72B14EE7"/>
    <w:rsid w:val="72B53FF3"/>
    <w:rsid w:val="72D93402"/>
    <w:rsid w:val="72F610E1"/>
    <w:rsid w:val="73040A3A"/>
    <w:rsid w:val="73123FFC"/>
    <w:rsid w:val="73257FE0"/>
    <w:rsid w:val="732F0C5D"/>
    <w:rsid w:val="73583A44"/>
    <w:rsid w:val="73683432"/>
    <w:rsid w:val="736E64CF"/>
    <w:rsid w:val="73883688"/>
    <w:rsid w:val="73934A21"/>
    <w:rsid w:val="73AE1BE9"/>
    <w:rsid w:val="73AF38E6"/>
    <w:rsid w:val="73E00602"/>
    <w:rsid w:val="73EC6647"/>
    <w:rsid w:val="73ED08F2"/>
    <w:rsid w:val="742927CE"/>
    <w:rsid w:val="742E19F9"/>
    <w:rsid w:val="74307D9E"/>
    <w:rsid w:val="744C0FDA"/>
    <w:rsid w:val="74556BCB"/>
    <w:rsid w:val="746F4951"/>
    <w:rsid w:val="74842F21"/>
    <w:rsid w:val="74A03863"/>
    <w:rsid w:val="74D83D82"/>
    <w:rsid w:val="751959E3"/>
    <w:rsid w:val="751C387D"/>
    <w:rsid w:val="75403FE2"/>
    <w:rsid w:val="755A34AB"/>
    <w:rsid w:val="75604DC4"/>
    <w:rsid w:val="756737CB"/>
    <w:rsid w:val="756C2D51"/>
    <w:rsid w:val="758B21AC"/>
    <w:rsid w:val="758B78EE"/>
    <w:rsid w:val="75A57576"/>
    <w:rsid w:val="75B02556"/>
    <w:rsid w:val="75B058A3"/>
    <w:rsid w:val="75BE4653"/>
    <w:rsid w:val="75D52E28"/>
    <w:rsid w:val="75E50FB1"/>
    <w:rsid w:val="75EA2600"/>
    <w:rsid w:val="7605658E"/>
    <w:rsid w:val="76542E8A"/>
    <w:rsid w:val="76543A64"/>
    <w:rsid w:val="765F33AB"/>
    <w:rsid w:val="76604388"/>
    <w:rsid w:val="766936B1"/>
    <w:rsid w:val="76703276"/>
    <w:rsid w:val="76A6370F"/>
    <w:rsid w:val="76A91F0C"/>
    <w:rsid w:val="76DA138A"/>
    <w:rsid w:val="76DB53E8"/>
    <w:rsid w:val="76EC68A1"/>
    <w:rsid w:val="773035C0"/>
    <w:rsid w:val="77334938"/>
    <w:rsid w:val="776D75E1"/>
    <w:rsid w:val="776F5F9B"/>
    <w:rsid w:val="777968F0"/>
    <w:rsid w:val="7787756F"/>
    <w:rsid w:val="778D7A8A"/>
    <w:rsid w:val="77955307"/>
    <w:rsid w:val="779B3499"/>
    <w:rsid w:val="77D343C7"/>
    <w:rsid w:val="77D6558C"/>
    <w:rsid w:val="77FA416C"/>
    <w:rsid w:val="781B2B1C"/>
    <w:rsid w:val="78300EFE"/>
    <w:rsid w:val="784C5CA1"/>
    <w:rsid w:val="78875C8B"/>
    <w:rsid w:val="788C4E1B"/>
    <w:rsid w:val="78997336"/>
    <w:rsid w:val="78BE035F"/>
    <w:rsid w:val="78CD5635"/>
    <w:rsid w:val="78E30F3B"/>
    <w:rsid w:val="78F01615"/>
    <w:rsid w:val="78F82741"/>
    <w:rsid w:val="7917198C"/>
    <w:rsid w:val="79257E06"/>
    <w:rsid w:val="792776CE"/>
    <w:rsid w:val="792E55EF"/>
    <w:rsid w:val="7952229A"/>
    <w:rsid w:val="79795831"/>
    <w:rsid w:val="79865508"/>
    <w:rsid w:val="798A232C"/>
    <w:rsid w:val="799E4300"/>
    <w:rsid w:val="79A47529"/>
    <w:rsid w:val="79A878C5"/>
    <w:rsid w:val="79B976A4"/>
    <w:rsid w:val="79DA5637"/>
    <w:rsid w:val="79DC7265"/>
    <w:rsid w:val="79DF5B2B"/>
    <w:rsid w:val="79FB6AE3"/>
    <w:rsid w:val="7A1E0FA7"/>
    <w:rsid w:val="7A66034C"/>
    <w:rsid w:val="7A667A78"/>
    <w:rsid w:val="7A6C0493"/>
    <w:rsid w:val="7A792690"/>
    <w:rsid w:val="7ACC4CB5"/>
    <w:rsid w:val="7AEB3798"/>
    <w:rsid w:val="7AF21EA4"/>
    <w:rsid w:val="7B152F73"/>
    <w:rsid w:val="7B5062D8"/>
    <w:rsid w:val="7B5D6868"/>
    <w:rsid w:val="7B601D53"/>
    <w:rsid w:val="7B662546"/>
    <w:rsid w:val="7B795EE9"/>
    <w:rsid w:val="7B8D6EB5"/>
    <w:rsid w:val="7B957007"/>
    <w:rsid w:val="7BA55EB9"/>
    <w:rsid w:val="7BCE4836"/>
    <w:rsid w:val="7BE94B3C"/>
    <w:rsid w:val="7C5116DB"/>
    <w:rsid w:val="7C517A48"/>
    <w:rsid w:val="7C5E5231"/>
    <w:rsid w:val="7CA247D1"/>
    <w:rsid w:val="7CB679B9"/>
    <w:rsid w:val="7CB71D02"/>
    <w:rsid w:val="7CE73118"/>
    <w:rsid w:val="7CED41AF"/>
    <w:rsid w:val="7D03543F"/>
    <w:rsid w:val="7D3B3F81"/>
    <w:rsid w:val="7D3D201E"/>
    <w:rsid w:val="7D6371B6"/>
    <w:rsid w:val="7D753366"/>
    <w:rsid w:val="7D8E01DC"/>
    <w:rsid w:val="7DDE7670"/>
    <w:rsid w:val="7DEA013A"/>
    <w:rsid w:val="7DF22B62"/>
    <w:rsid w:val="7DF51888"/>
    <w:rsid w:val="7E224E07"/>
    <w:rsid w:val="7E232B52"/>
    <w:rsid w:val="7E3F2903"/>
    <w:rsid w:val="7E45169E"/>
    <w:rsid w:val="7E876E1D"/>
    <w:rsid w:val="7E8C1A84"/>
    <w:rsid w:val="7EA01418"/>
    <w:rsid w:val="7EA17E93"/>
    <w:rsid w:val="7EDA2C9A"/>
    <w:rsid w:val="7F127E89"/>
    <w:rsid w:val="7F287BF3"/>
    <w:rsid w:val="7F38340C"/>
    <w:rsid w:val="7F3A47B0"/>
    <w:rsid w:val="7F4A760B"/>
    <w:rsid w:val="7F682E8F"/>
    <w:rsid w:val="7F6F72B7"/>
    <w:rsid w:val="7F783BA6"/>
    <w:rsid w:val="7F7B3126"/>
    <w:rsid w:val="7FA44113"/>
    <w:rsid w:val="7FB422A0"/>
    <w:rsid w:val="7FBF0E19"/>
    <w:rsid w:val="7FFA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szCs w:val="20"/>
      <w:lang w:val="en-US" w:eastAsia="zh-CN" w:bidi="ar-SA"/>
    </w:rPr>
  </w:style>
  <w:style w:type="paragraph" w:styleId="2">
    <w:name w:val="heading 1"/>
    <w:basedOn w:val="1"/>
    <w:next w:val="1"/>
    <w:link w:val="5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55"/>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0"/>
    <w:autoRedefine/>
    <w:qFormat/>
    <w:uiPriority w:val="0"/>
    <w:pPr>
      <w:keepNext/>
      <w:keepLines/>
      <w:spacing w:before="280" w:after="290" w:line="376" w:lineRule="auto"/>
      <w:outlineLvl w:val="3"/>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sz w:val="18"/>
      <w:szCs w:val="18"/>
    </w:r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2"/>
    <w:autoRedefine/>
    <w:qFormat/>
    <w:uiPriority w:val="0"/>
    <w:pPr>
      <w:jc w:val="left"/>
    </w:pPr>
    <w:rPr>
      <w:rFonts w:ascii="Arial" w:hAnsi="Arial" w:eastAsia="黑体" w:cs="Arial"/>
    </w:rPr>
  </w:style>
  <w:style w:type="paragraph" w:styleId="9">
    <w:name w:val="Body Text"/>
    <w:basedOn w:val="1"/>
    <w:next w:val="7"/>
    <w:autoRedefine/>
    <w:unhideWhenUsed/>
    <w:qFormat/>
    <w:uiPriority w:val="0"/>
    <w:pPr>
      <w:spacing w:after="120"/>
    </w:pPr>
  </w:style>
  <w:style w:type="paragraph" w:styleId="10">
    <w:name w:val="Body Text Indent"/>
    <w:basedOn w:val="1"/>
    <w:next w:val="11"/>
    <w:autoRedefine/>
    <w:qFormat/>
    <w:uiPriority w:val="0"/>
    <w:pPr>
      <w:ind w:firstLine="555"/>
    </w:pPr>
  </w:style>
  <w:style w:type="paragraph" w:styleId="11">
    <w:name w:val="envelope return"/>
    <w:basedOn w:val="1"/>
    <w:next w:val="6"/>
    <w:autoRedefine/>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2"/>
    <w:autoRedefine/>
    <w:qFormat/>
    <w:uiPriority w:val="99"/>
    <w:rPr>
      <w:rFonts w:ascii="宋体" w:hAnsi="Courier New" w:eastAsiaTheme="minorEastAsia" w:cstheme="minorBidi"/>
      <w:szCs w:val="22"/>
    </w:rPr>
  </w:style>
  <w:style w:type="paragraph" w:styleId="14">
    <w:name w:val="Date"/>
    <w:basedOn w:val="1"/>
    <w:next w:val="1"/>
    <w:link w:val="49"/>
    <w:autoRedefine/>
    <w:qFormat/>
    <w:uiPriority w:val="0"/>
    <w:rPr>
      <w:rFonts w:ascii="Arial" w:hAnsi="Arial" w:eastAsia="宋体" w:cs="Arial"/>
      <w:b/>
      <w:sz w:val="28"/>
    </w:rPr>
  </w:style>
  <w:style w:type="paragraph" w:styleId="15">
    <w:name w:val="Balloon Text"/>
    <w:basedOn w:val="1"/>
    <w:link w:val="36"/>
    <w:autoRedefine/>
    <w:semiHidden/>
    <w:unhideWhenUsed/>
    <w:qFormat/>
    <w:uiPriority w:val="99"/>
    <w:rPr>
      <w:sz w:val="18"/>
      <w:szCs w:val="18"/>
    </w:rPr>
  </w:style>
  <w:style w:type="paragraph" w:styleId="16">
    <w:name w:val="footer"/>
    <w:basedOn w:val="1"/>
    <w:link w:val="41"/>
    <w:autoRedefine/>
    <w:unhideWhenUsed/>
    <w:qFormat/>
    <w:uiPriority w:val="99"/>
    <w:pPr>
      <w:tabs>
        <w:tab w:val="center" w:pos="4153"/>
        <w:tab w:val="right" w:pos="8306"/>
      </w:tabs>
      <w:snapToGrid w:val="0"/>
      <w:jc w:val="left"/>
    </w:pPr>
    <w:rPr>
      <w:sz w:val="18"/>
      <w:szCs w:val="18"/>
    </w:rPr>
  </w:style>
  <w:style w:type="paragraph" w:styleId="17">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next w:val="1"/>
    <w:qFormat/>
    <w:uiPriority w:val="0"/>
    <w:pPr>
      <w:ind w:left="420" w:hanging="420"/>
    </w:p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61"/>
    <w:autoRedefine/>
    <w:semiHidden/>
    <w:unhideWhenUsed/>
    <w:qFormat/>
    <w:uiPriority w:val="99"/>
    <w:rPr>
      <w:rFonts w:ascii="@仿宋_GB2312" w:hAnsi="@仿宋_GB2312" w:eastAsia="@仿宋_GB2312" w:cs="@仿宋_GB2312"/>
      <w:b/>
      <w:bCs/>
    </w:rPr>
  </w:style>
  <w:style w:type="paragraph" w:styleId="24">
    <w:name w:val="Body Text First Indent 2"/>
    <w:basedOn w:val="10"/>
    <w:next w:val="19"/>
    <w:autoRedefine/>
    <w:qFormat/>
    <w:uiPriority w:val="0"/>
    <w:pPr>
      <w:ind w:firstLine="420" w:firstLineChars="200"/>
    </w:pPr>
    <w:rPr>
      <w:rFonts w:ascii="Calibri" w:hAnsi="Calibri"/>
      <w:kern w:val="0"/>
      <w:sz w:val="20"/>
      <w:szCs w:val="24"/>
    </w:r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autoRedefine/>
    <w:qFormat/>
    <w:uiPriority w:val="0"/>
  </w:style>
  <w:style w:type="character" w:styleId="30">
    <w:name w:val="FollowedHyperlink"/>
    <w:basedOn w:val="27"/>
    <w:autoRedefine/>
    <w:semiHidden/>
    <w:unhideWhenUsed/>
    <w:qFormat/>
    <w:uiPriority w:val="99"/>
    <w:rPr>
      <w:color w:val="800080"/>
      <w:u w:val="none"/>
    </w:rPr>
  </w:style>
  <w:style w:type="character" w:styleId="31">
    <w:name w:val="Emphasis"/>
    <w:basedOn w:val="27"/>
    <w:autoRedefine/>
    <w:qFormat/>
    <w:uiPriority w:val="20"/>
  </w:style>
  <w:style w:type="character" w:styleId="32">
    <w:name w:val="Hyperlink"/>
    <w:basedOn w:val="27"/>
    <w:autoRedefine/>
    <w:unhideWhenUsed/>
    <w:qFormat/>
    <w:uiPriority w:val="99"/>
    <w:rPr>
      <w:color w:val="0000FF" w:themeColor="hyperlink"/>
      <w:u w:val="single"/>
      <w14:textFill>
        <w14:solidFill>
          <w14:schemeClr w14:val="hlink"/>
        </w14:solidFill>
      </w14:textFill>
    </w:rPr>
  </w:style>
  <w:style w:type="character" w:styleId="33">
    <w:name w:val="annotation reference"/>
    <w:basedOn w:val="27"/>
    <w:autoRedefine/>
    <w:semiHidden/>
    <w:unhideWhenUsed/>
    <w:qFormat/>
    <w:uiPriority w:val="99"/>
    <w:rPr>
      <w:sz w:val="21"/>
      <w:szCs w:val="21"/>
    </w:rPr>
  </w:style>
  <w:style w:type="character" w:styleId="34">
    <w:name w:val="HTML Cite"/>
    <w:basedOn w:val="27"/>
    <w:autoRedefine/>
    <w:semiHidden/>
    <w:unhideWhenUsed/>
    <w:qFormat/>
    <w:uiPriority w:val="99"/>
    <w:rPr>
      <w:sz w:val="24"/>
      <w:szCs w:val="24"/>
    </w:rPr>
  </w:style>
  <w:style w:type="character" w:styleId="35">
    <w:name w:val="HTML Sample"/>
    <w:basedOn w:val="27"/>
    <w:qFormat/>
    <w:uiPriority w:val="0"/>
    <w:rPr>
      <w:rFonts w:ascii="Courier New" w:hAnsi="Courier New"/>
    </w:rPr>
  </w:style>
  <w:style w:type="character" w:customStyle="1" w:styleId="36">
    <w:name w:val="批注框文本 Char"/>
    <w:basedOn w:val="27"/>
    <w:link w:val="15"/>
    <w:autoRedefine/>
    <w:semiHidden/>
    <w:qFormat/>
    <w:uiPriority w:val="99"/>
    <w:rPr>
      <w:rFonts w:ascii="@仿宋_GB2312" w:hAnsi="@仿宋_GB2312" w:eastAsia="@仿宋_GB2312" w:cs="@仿宋_GB2312"/>
      <w:sz w:val="18"/>
      <w:szCs w:val="18"/>
    </w:rPr>
  </w:style>
  <w:style w:type="paragraph" w:customStyle="1" w:styleId="37">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9">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0">
    <w:name w:val="页眉 Char"/>
    <w:basedOn w:val="27"/>
    <w:link w:val="17"/>
    <w:autoRedefine/>
    <w:qFormat/>
    <w:uiPriority w:val="99"/>
    <w:rPr>
      <w:rFonts w:ascii="@仿宋_GB2312" w:hAnsi="@仿宋_GB2312" w:eastAsia="@仿宋_GB2312" w:cs="@仿宋_GB2312"/>
      <w:sz w:val="18"/>
      <w:szCs w:val="18"/>
    </w:rPr>
  </w:style>
  <w:style w:type="character" w:customStyle="1" w:styleId="41">
    <w:name w:val="页脚 Char"/>
    <w:basedOn w:val="27"/>
    <w:link w:val="16"/>
    <w:autoRedefine/>
    <w:qFormat/>
    <w:uiPriority w:val="99"/>
    <w:rPr>
      <w:rFonts w:ascii="@仿宋_GB2312" w:hAnsi="@仿宋_GB2312" w:eastAsia="@仿宋_GB2312" w:cs="@仿宋_GB2312"/>
      <w:sz w:val="18"/>
      <w:szCs w:val="18"/>
    </w:rPr>
  </w:style>
  <w:style w:type="character" w:customStyle="1" w:styleId="42">
    <w:name w:val="纯文本 Char2"/>
    <w:link w:val="13"/>
    <w:autoRedefine/>
    <w:qFormat/>
    <w:uiPriority w:val="0"/>
    <w:rPr>
      <w:rFonts w:ascii="宋体" w:hAnsi="Courier New"/>
    </w:rPr>
  </w:style>
  <w:style w:type="character" w:customStyle="1" w:styleId="43">
    <w:name w:val="纯文本 字符1"/>
    <w:basedOn w:val="27"/>
    <w:autoRedefine/>
    <w:semiHidden/>
    <w:qFormat/>
    <w:uiPriority w:val="99"/>
    <w:rPr>
      <w:rFonts w:hAnsi="Courier New" w:cs="Courier New" w:asciiTheme="minorEastAsia"/>
      <w:szCs w:val="20"/>
    </w:rPr>
  </w:style>
  <w:style w:type="character" w:customStyle="1" w:styleId="44">
    <w:name w:val="未处理的提及1"/>
    <w:basedOn w:val="27"/>
    <w:autoRedefine/>
    <w:semiHidden/>
    <w:unhideWhenUsed/>
    <w:qFormat/>
    <w:uiPriority w:val="99"/>
    <w:rPr>
      <w:color w:val="605E5C"/>
      <w:shd w:val="clear" w:color="auto" w:fill="E1DFDD"/>
    </w:rPr>
  </w:style>
  <w:style w:type="paragraph" w:styleId="45">
    <w:name w:val="List Paragraph"/>
    <w:basedOn w:val="1"/>
    <w:autoRedefine/>
    <w:qFormat/>
    <w:uiPriority w:val="34"/>
    <w:pPr>
      <w:ind w:firstLine="420" w:firstLineChars="200"/>
    </w:pPr>
  </w:style>
  <w:style w:type="paragraph" w:customStyle="1" w:styleId="46">
    <w:name w:val="Char Char Char Char Char Char Char1 Char"/>
    <w:basedOn w:val="1"/>
    <w:autoRedefine/>
    <w:qFormat/>
    <w:uiPriority w:val="0"/>
    <w:rPr>
      <w:rFonts w:ascii="Arial" w:hAnsi="Arial" w:eastAsia="宋体" w:cs="Arial"/>
      <w:sz w:val="24"/>
    </w:rPr>
  </w:style>
  <w:style w:type="table" w:customStyle="1" w:styleId="47">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8">
    <w:name w:val="日期 字符"/>
    <w:basedOn w:val="27"/>
    <w:autoRedefine/>
    <w:semiHidden/>
    <w:qFormat/>
    <w:uiPriority w:val="99"/>
    <w:rPr>
      <w:rFonts w:ascii="@仿宋_GB2312" w:hAnsi="@仿宋_GB2312" w:eastAsia="@仿宋_GB2312" w:cs="@仿宋_GB2312"/>
      <w:szCs w:val="20"/>
    </w:rPr>
  </w:style>
  <w:style w:type="character" w:customStyle="1" w:styleId="49">
    <w:name w:val="日期 Char"/>
    <w:link w:val="14"/>
    <w:autoRedefine/>
    <w:qFormat/>
    <w:uiPriority w:val="0"/>
    <w:rPr>
      <w:rFonts w:ascii="Arial" w:hAnsi="Arial" w:eastAsia="宋体" w:cs="Arial"/>
      <w:b/>
      <w:sz w:val="28"/>
      <w:szCs w:val="20"/>
    </w:rPr>
  </w:style>
  <w:style w:type="character" w:customStyle="1" w:styleId="50">
    <w:name w:val="纯文本 Char1"/>
    <w:autoRedefine/>
    <w:qFormat/>
    <w:locked/>
    <w:uiPriority w:val="99"/>
    <w:rPr>
      <w:rFonts w:ascii="Arial" w:hAnsi="Arial" w:eastAsia="Arial"/>
      <w:kern w:val="2"/>
      <w:sz w:val="21"/>
      <w:lang w:val="en-US" w:eastAsia="zh-CN" w:bidi="ar-SA"/>
    </w:rPr>
  </w:style>
  <w:style w:type="character" w:customStyle="1" w:styleId="51">
    <w:name w:val="批注文字 Char"/>
    <w:basedOn w:val="27"/>
    <w:autoRedefine/>
    <w:semiHidden/>
    <w:qFormat/>
    <w:uiPriority w:val="99"/>
    <w:rPr>
      <w:rFonts w:ascii="@仿宋_GB2312" w:hAnsi="@仿宋_GB2312" w:eastAsia="@仿宋_GB2312" w:cs="@仿宋_GB2312"/>
      <w:szCs w:val="20"/>
    </w:rPr>
  </w:style>
  <w:style w:type="character" w:customStyle="1" w:styleId="52">
    <w:name w:val="批注文字 Char1"/>
    <w:link w:val="8"/>
    <w:autoRedefine/>
    <w:qFormat/>
    <w:uiPriority w:val="0"/>
    <w:rPr>
      <w:rFonts w:ascii="Arial" w:hAnsi="Arial" w:eastAsia="黑体" w:cs="Arial"/>
      <w:szCs w:val="20"/>
    </w:rPr>
  </w:style>
  <w:style w:type="character" w:customStyle="1" w:styleId="53">
    <w:name w:val="标题 1 Char"/>
    <w:basedOn w:val="27"/>
    <w:link w:val="2"/>
    <w:autoRedefine/>
    <w:qFormat/>
    <w:uiPriority w:val="9"/>
    <w:rPr>
      <w:rFonts w:ascii="@仿宋_GB2312" w:hAnsi="@仿宋_GB2312" w:eastAsia="@仿宋_GB2312" w:cs="@仿宋_GB2312"/>
      <w:b/>
      <w:bCs/>
      <w:kern w:val="44"/>
      <w:sz w:val="44"/>
      <w:szCs w:val="44"/>
    </w:rPr>
  </w:style>
  <w:style w:type="paragraph" w:customStyle="1" w:styleId="54">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5">
    <w:name w:val="标题 3 Char"/>
    <w:basedOn w:val="27"/>
    <w:link w:val="4"/>
    <w:autoRedefine/>
    <w:semiHidden/>
    <w:qFormat/>
    <w:uiPriority w:val="9"/>
    <w:rPr>
      <w:rFonts w:ascii="@仿宋_GB2312" w:hAnsi="@仿宋_GB2312" w:eastAsia="@仿宋_GB2312" w:cs="@仿宋_GB2312"/>
      <w:b/>
      <w:bCs/>
      <w:sz w:val="32"/>
      <w:szCs w:val="32"/>
    </w:rPr>
  </w:style>
  <w:style w:type="character" w:customStyle="1" w:styleId="56">
    <w:name w:val="fontstyle01"/>
    <w:basedOn w:val="27"/>
    <w:autoRedefine/>
    <w:qFormat/>
    <w:uiPriority w:val="0"/>
    <w:rPr>
      <w:rFonts w:hint="eastAsia" w:ascii="宋体" w:hAnsi="宋体" w:eastAsia="宋体"/>
      <w:color w:val="000000"/>
      <w:sz w:val="22"/>
      <w:szCs w:val="22"/>
    </w:rPr>
  </w:style>
  <w:style w:type="character" w:customStyle="1" w:styleId="57">
    <w:name w:val="fontstyle21"/>
    <w:basedOn w:val="27"/>
    <w:autoRedefine/>
    <w:qFormat/>
    <w:uiPriority w:val="0"/>
    <w:rPr>
      <w:rFonts w:hint="default" w:ascii="TimesNewRomanPSMT" w:hAnsi="TimesNewRomanPSMT"/>
      <w:color w:val="000000"/>
      <w:sz w:val="22"/>
      <w:szCs w:val="22"/>
    </w:rPr>
  </w:style>
  <w:style w:type="character" w:customStyle="1" w:styleId="58">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9">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0">
    <w:name w:val="标题 4 Char"/>
    <w:link w:val="5"/>
    <w:autoRedefine/>
    <w:qFormat/>
    <w:uiPriority w:val="0"/>
    <w:rPr>
      <w:rFonts w:ascii="@仿宋_GB2312" w:hAnsi="@仿宋_GB2312" w:eastAsia="@仿宋_GB2312" w:cs="@仿宋_GB2312"/>
      <w:b/>
      <w:bCs/>
      <w:sz w:val="28"/>
      <w:szCs w:val="28"/>
    </w:rPr>
  </w:style>
  <w:style w:type="character" w:customStyle="1" w:styleId="61">
    <w:name w:val="批注主题 Char"/>
    <w:basedOn w:val="52"/>
    <w:link w:val="23"/>
    <w:autoRedefine/>
    <w:semiHidden/>
    <w:qFormat/>
    <w:uiPriority w:val="99"/>
    <w:rPr>
      <w:rFonts w:ascii="@仿宋_GB2312" w:hAnsi="@仿宋_GB2312" w:eastAsia="@仿宋_GB2312" w:cs="@仿宋_GB2312"/>
      <w:b/>
      <w:bCs/>
      <w:szCs w:val="20"/>
    </w:rPr>
  </w:style>
  <w:style w:type="character" w:customStyle="1" w:styleId="62">
    <w:name w:val="index-module_accountauthentication_3bwix"/>
    <w:basedOn w:val="27"/>
    <w:autoRedefine/>
    <w:qFormat/>
    <w:uiPriority w:val="0"/>
  </w:style>
  <w:style w:type="paragraph" w:customStyle="1" w:styleId="63">
    <w:name w:val="02标题二"/>
    <w:basedOn w:val="1"/>
    <w:autoRedefine/>
    <w:qFormat/>
    <w:uiPriority w:val="0"/>
    <w:pPr>
      <w:ind w:firstLine="562" w:firstLineChars="200"/>
    </w:pPr>
    <w:rPr>
      <w:rFonts w:ascii="Times New Roman" w:hAnsi="Times New Roman" w:cs="华文仿宋"/>
      <w:b/>
      <w:bCs/>
      <w:sz w:val="28"/>
      <w:szCs w:val="28"/>
    </w:rPr>
  </w:style>
  <w:style w:type="paragraph" w:customStyle="1" w:styleId="64">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5">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26</Pages>
  <Words>3473</Words>
  <Characters>3562</Characters>
  <Lines>215</Lines>
  <Paragraphs>60</Paragraphs>
  <TotalTime>53</TotalTime>
  <ScaleCrop>false</ScaleCrop>
  <LinksUpToDate>false</LinksUpToDate>
  <CharactersWithSpaces>3609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董俊杰</cp:lastModifiedBy>
  <cp:lastPrinted>2025-01-17T00:31:00Z</cp:lastPrinted>
  <dcterms:modified xsi:type="dcterms:W3CDTF">2025-01-20T09:00:21Z</dcterms:modified>
  <cp:revision>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3565D95D1C23483491C9F838E2E454C4</vt:lpwstr>
  </property>
  <property fmtid="{D5CDD505-2E9C-101B-9397-08002B2CF9AE}" pid="4" name="KSOTemplateDocerSaveRecord">
    <vt:lpwstr>eyJoZGlkIjoiNTczNWJiOTk4MWRhMGJiOTQ5N2U1YWQyNGM2MjE2YzYiLCJ1c2VySWQiOiIyOTYwMzI4NTQifQ==</vt:lpwstr>
  </property>
</Properties>
</file>