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11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341755" cy="1746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828" cy="17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"/>
        <w:ind w:left="0"/>
        <w:rPr>
          <w:rFonts w:ascii="Times New Roman"/>
          <w:sz w:val="6"/>
        </w:rPr>
      </w:pPr>
    </w:p>
    <w:p>
      <w:pPr>
        <w:spacing w:after="0"/>
        <w:rPr>
          <w:rFonts w:ascii="Times New Roman"/>
          <w:sz w:val="6"/>
        </w:rPr>
        <w:sectPr>
          <w:type w:val="continuous"/>
          <w:pgSz w:w="12240" w:h="15840"/>
          <w:pgMar w:top="300" w:right="960" w:bottom="0" w:left="900" w:header="720" w:footer="720" w:gutter="0"/>
        </w:sectPr>
      </w:pPr>
    </w:p>
    <w:p>
      <w:pPr>
        <w:pStyle w:val="2"/>
        <w:ind w:left="0"/>
        <w:rPr>
          <w:rFonts w:ascii="Times New Roman"/>
        </w:rPr>
      </w:pPr>
    </w:p>
    <w:p>
      <w:pPr>
        <w:pStyle w:val="2"/>
        <w:spacing w:before="8"/>
        <w:ind w:left="0"/>
        <w:rPr>
          <w:rFonts w:ascii="Times New Roman"/>
          <w:sz w:val="19"/>
        </w:rPr>
      </w:pPr>
    </w:p>
    <w:p>
      <w:pPr>
        <w:spacing w:before="0"/>
        <w:ind w:left="177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仪器的主要性能</w:t>
      </w:r>
      <w:r>
        <w:rPr>
          <w:b/>
          <w:sz w:val="24"/>
        </w:rPr>
        <w:t>：</w:t>
      </w:r>
    </w:p>
    <w:p>
      <w:pPr>
        <w:spacing w:before="8"/>
        <w:ind w:right="0"/>
        <w:jc w:val="left"/>
        <w:rPr>
          <w:b/>
          <w:sz w:val="32"/>
        </w:rPr>
      </w:pPr>
      <w:r>
        <w:br w:type="column"/>
      </w:r>
      <w:r>
        <w:rPr>
          <w:b/>
          <w:sz w:val="32"/>
        </w:rPr>
        <w:t>MB-580酶标仪主要技术参数</w:t>
      </w:r>
    </w:p>
    <w:p>
      <w:pPr>
        <w:spacing w:after="0"/>
        <w:jc w:val="left"/>
        <w:rPr>
          <w:sz w:val="32"/>
        </w:rPr>
        <w:sectPr>
          <w:type w:val="continuous"/>
          <w:pgSz w:w="12240" w:h="15840"/>
          <w:pgMar w:top="300" w:right="960" w:bottom="280" w:left="900" w:header="720" w:footer="720" w:gutter="0"/>
          <w:cols w:equalWidth="0" w:num="2">
            <w:col w:w="2143" w:space="1032"/>
            <w:col w:w="7205"/>
          </w:cols>
        </w:sectPr>
      </w:pPr>
    </w:p>
    <w:p>
      <w:pPr>
        <w:autoSpaceDE w:val="0"/>
        <w:autoSpaceDN w:val="0"/>
        <w:adjustRightInd w:val="0"/>
        <w:snapToGrid w:val="0"/>
        <w:ind w:firstLine="220" w:firstLineChars="100"/>
        <w:rPr>
          <w:rFonts w:ascii="宋体" w:hAnsi="宋体"/>
          <w:color w:val="auto"/>
          <w:sz w:val="24"/>
        </w:rPr>
      </w:pPr>
      <w:r>
        <w:t>※1.</w:t>
      </w:r>
      <w:r>
        <w:rPr>
          <w:rFonts w:hint="eastAsia" w:ascii="宋体" w:hAnsi="宋体" w:cs="宋体"/>
          <w:color w:val="auto"/>
          <w:sz w:val="24"/>
          <w:lang w:val="zh-CN"/>
        </w:rPr>
        <w:t>嵌入式</w:t>
      </w:r>
      <w:r>
        <w:rPr>
          <w:rFonts w:hint="eastAsia" w:ascii="宋体" w:hAnsi="宋体"/>
          <w:color w:val="auto"/>
          <w:sz w:val="24"/>
        </w:rPr>
        <w:t>Windows</w:t>
      </w:r>
      <w:r>
        <w:rPr>
          <w:rFonts w:hint="eastAsia" w:ascii="宋体" w:hAnsi="宋体" w:cs="宋体"/>
          <w:color w:val="auto"/>
          <w:sz w:val="24"/>
          <w:lang w:val="zh-CN"/>
        </w:rPr>
        <w:t>系统控制完成编辑、测试、存储及打印工作；</w:t>
      </w:r>
    </w:p>
    <w:p>
      <w:pPr>
        <w:pStyle w:val="2"/>
        <w:spacing w:before="33"/>
      </w:pPr>
      <w:r>
        <w:t>2.8通道零色散单模光纤测量系统，酶标孔中心自动定位功能，具备系统自检和诊断功能；</w:t>
      </w:r>
    </w:p>
    <w:p>
      <w:pPr>
        <w:pStyle w:val="2"/>
        <w:spacing w:before="33"/>
      </w:pPr>
      <w:r>
        <w:t>3.具有震荡功能，震荡速度和时间可调；</w:t>
      </w:r>
    </w:p>
    <w:p>
      <w:pPr>
        <w:pStyle w:val="2"/>
        <w:spacing w:before="31" w:line="266" w:lineRule="auto"/>
        <w:ind w:right="3343" w:hanging="240"/>
      </w:pPr>
      <w:r>
        <w:t>※4.低功率6V10W卤钨灯光源，自动开关节能设计，灯泡易更换； 5.图形化界面可视化酶标板图设计，全中文操作系统；</w:t>
      </w:r>
    </w:p>
    <w:p>
      <w:pPr>
        <w:pStyle w:val="2"/>
        <w:spacing w:line="306" w:lineRule="exact"/>
        <w:ind w:left="159" w:right="2261"/>
        <w:jc w:val="center"/>
      </w:pPr>
      <w:r>
        <w:t>6.样本信息录入有列表式和卡片式，可直接输入样本号、姓名等信息；</w:t>
      </w:r>
    </w:p>
    <w:p>
      <w:pPr>
        <w:pStyle w:val="2"/>
        <w:spacing w:before="31"/>
        <w:ind w:left="159" w:right="2261"/>
        <w:jc w:val="center"/>
      </w:pPr>
      <w:r>
        <w:t>※7.编辑、测试界面同屏可显示样本号、OD值、结果、S/CO值和项目参数；</w:t>
      </w:r>
    </w:p>
    <w:p>
      <w:pPr>
        <w:pStyle w:val="2"/>
        <w:spacing w:before="33"/>
        <w:ind w:left="159" w:right="581"/>
        <w:jc w:val="center"/>
      </w:pPr>
      <w:r>
        <w:t>8.具有光密度快速测试功能，支持自身对照、列减法和行减法，判断公式可任意输入；</w:t>
      </w:r>
    </w:p>
    <w:p>
      <w:pPr>
        <w:pStyle w:val="2"/>
        <w:spacing w:before="34" w:line="264" w:lineRule="auto"/>
        <w:ind w:right="103" w:hanging="240"/>
      </w:pPr>
      <w:r>
        <w:t>※9.具有全面的定性、半定量和定量参数，布板模式、阴阳性对照值和标准曲线可贮存、调用； 10.可横向或纵向96孔可视化布板，任意设置测试的起始位和终止位，可自动编号；</w:t>
      </w:r>
    </w:p>
    <w:p>
      <w:pPr>
        <w:pStyle w:val="2"/>
        <w:spacing w:before="2"/>
        <w:ind w:left="159" w:right="2621"/>
        <w:jc w:val="center"/>
      </w:pPr>
      <w:r>
        <w:t>11.可任意位标注空白、样品、阴阳性对照及质控，支持多值对照；</w:t>
      </w:r>
    </w:p>
    <w:p>
      <w:pPr>
        <w:pStyle w:val="2"/>
        <w:spacing w:before="34"/>
        <w:ind w:left="159" w:right="2621"/>
        <w:jc w:val="center"/>
      </w:pPr>
      <w:r>
        <w:t>※12.单板多项测试功能，同一板可进行多达12种不同检验项目的测试；</w:t>
      </w:r>
    </w:p>
    <w:p>
      <w:pPr>
        <w:pStyle w:val="2"/>
        <w:spacing w:before="31"/>
        <w:ind w:left="177"/>
      </w:pPr>
      <w:r>
        <w:t>※※※13.测量结果支持重新计算功能，可调用空白值、曲线进行多次拟合计算；</w:t>
      </w:r>
    </w:p>
    <w:p>
      <w:pPr>
        <w:pStyle w:val="2"/>
        <w:spacing w:before="33" w:line="266" w:lineRule="auto"/>
        <w:ind w:right="2623" w:hanging="240"/>
      </w:pPr>
      <w:r>
        <w:t>※14.按板号报告或按样本号综合报告，并可批量录入实验项目及结果； 15.具备质控功能，任意规则定制，质控图可显示和打印；</w:t>
      </w:r>
    </w:p>
    <w:p>
      <w:pPr>
        <w:pStyle w:val="6"/>
        <w:numPr>
          <w:ilvl w:val="0"/>
          <w:numId w:val="1"/>
        </w:numPr>
        <w:tabs>
          <w:tab w:val="left" w:pos="779"/>
        </w:tabs>
        <w:spacing w:before="0" w:after="0" w:line="304" w:lineRule="exact"/>
        <w:ind w:left="778" w:right="0" w:hanging="362"/>
        <w:jc w:val="left"/>
        <w:rPr>
          <w:sz w:val="24"/>
        </w:rPr>
      </w:pPr>
      <w:r>
        <w:rPr>
          <w:sz w:val="24"/>
        </w:rPr>
        <w:t>可按标本号、姓名进行结果查询，可自动跟踪分析标本的每个项目数据变化趋势；</w:t>
      </w:r>
    </w:p>
    <w:p>
      <w:pPr>
        <w:pStyle w:val="6"/>
        <w:numPr>
          <w:ilvl w:val="0"/>
          <w:numId w:val="1"/>
        </w:numPr>
        <w:tabs>
          <w:tab w:val="left" w:pos="779"/>
        </w:tabs>
        <w:spacing w:before="33" w:after="0" w:line="240" w:lineRule="auto"/>
        <w:ind w:left="778" w:right="0" w:hanging="362"/>
        <w:jc w:val="left"/>
        <w:rPr>
          <w:sz w:val="24"/>
        </w:rPr>
      </w:pPr>
      <w:r>
        <w:rPr>
          <w:spacing w:val="-4"/>
          <w:sz w:val="24"/>
        </w:rPr>
        <w:t xml:space="preserve">测量数据可按板、行或列直接导出到 </w:t>
      </w:r>
      <w:r>
        <w:rPr>
          <w:sz w:val="24"/>
        </w:rPr>
        <w:t>MS Excel</w:t>
      </w:r>
      <w:r>
        <w:rPr>
          <w:spacing w:val="-8"/>
          <w:sz w:val="24"/>
        </w:rPr>
        <w:t xml:space="preserve"> 中进一步分析；</w:t>
      </w:r>
    </w:p>
    <w:p>
      <w:pPr>
        <w:pStyle w:val="6"/>
        <w:numPr>
          <w:ilvl w:val="0"/>
          <w:numId w:val="1"/>
        </w:numPr>
        <w:tabs>
          <w:tab w:val="left" w:pos="779"/>
        </w:tabs>
        <w:spacing w:before="34" w:after="0" w:line="240" w:lineRule="auto"/>
        <w:ind w:left="177" w:right="2340" w:firstLine="240"/>
        <w:jc w:val="left"/>
        <w:rPr>
          <w:b/>
          <w:sz w:val="24"/>
        </w:rPr>
      </w:pPr>
      <w:r>
        <w:rPr>
          <w:sz w:val="24"/>
        </w:rPr>
        <w:t>适用于平底、U</w:t>
      </w:r>
      <w:r>
        <w:rPr>
          <w:spacing w:val="-30"/>
          <w:sz w:val="24"/>
        </w:rPr>
        <w:t xml:space="preserve"> 型和 </w:t>
      </w:r>
      <w:r>
        <w:rPr>
          <w:sz w:val="24"/>
        </w:rPr>
        <w:t>V</w:t>
      </w:r>
      <w:r>
        <w:rPr>
          <w:spacing w:val="-12"/>
          <w:sz w:val="24"/>
        </w:rPr>
        <w:t xml:space="preserve"> 型底等国内外各种大小不同的 </w:t>
      </w:r>
      <w:r>
        <w:rPr>
          <w:sz w:val="24"/>
        </w:rPr>
        <w:t>96</w:t>
      </w:r>
      <w:r>
        <w:rPr>
          <w:spacing w:val="-11"/>
          <w:sz w:val="24"/>
        </w:rPr>
        <w:t xml:space="preserve"> 微孔酶标板； </w:t>
      </w:r>
      <w:r>
        <w:rPr>
          <w:b/>
          <w:sz w:val="24"/>
          <w:u w:val="single"/>
        </w:rPr>
        <w:t>主要技术参数</w:t>
      </w:r>
      <w:r>
        <w:rPr>
          <w:b/>
          <w:sz w:val="24"/>
        </w:rPr>
        <w:t>：</w:t>
      </w:r>
    </w:p>
    <w:p>
      <w:pPr>
        <w:pStyle w:val="2"/>
        <w:spacing w:before="9" w:line="235" w:lineRule="auto"/>
        <w:ind w:right="7080"/>
      </w:pPr>
      <w:r>
        <w:t>光源：寿命5000小时以上； 波长范围：400~750nm</w:t>
      </w:r>
    </w:p>
    <w:p>
      <w:pPr>
        <w:pStyle w:val="2"/>
        <w:spacing w:line="296" w:lineRule="exact"/>
      </w:pPr>
      <w:r>
        <w:t>滤光片：标配405，450，492，630nm四片滤光片，最多可装载八片滤光片；</w:t>
      </w:r>
    </w:p>
    <w:p>
      <w:pPr>
        <w:pStyle w:val="2"/>
        <w:spacing w:before="1" w:line="235" w:lineRule="auto"/>
        <w:ind w:right="600"/>
      </w:pPr>
      <w:r>
        <w:t>测量方式：单波长、双波长、多波长、终点法、两点法、动力法、外部计算机控制测量； 空白方式：单孔空白、多孔空白、行空白、列空白；</w:t>
      </w:r>
    </w:p>
    <w:p>
      <w:pPr>
        <w:pStyle w:val="2"/>
        <w:spacing w:line="235" w:lineRule="auto"/>
        <w:ind w:right="120"/>
      </w:pPr>
      <w:r>
        <w:t>计算方式：光密度、行减、列减、单点定标、线性回归、二次曲线、三次曲线、四参数方程； 检测速度：单波长﹤3秒／96孔，双波长﹤6秒／96孔；</w:t>
      </w:r>
    </w:p>
    <w:p>
      <w:pPr>
        <w:pStyle w:val="2"/>
        <w:spacing w:line="235" w:lineRule="auto"/>
        <w:ind w:right="6840"/>
      </w:pPr>
      <w:r>
        <w:t>测量范围：0.0000-4.5000Abs 分辨率：0.0001A</w:t>
      </w:r>
    </w:p>
    <w:p>
      <w:pPr>
        <w:widowControl/>
        <w:autoSpaceDE w:val="0"/>
        <w:autoSpaceDN w:val="0"/>
        <w:adjustRightInd w:val="0"/>
        <w:snapToGrid w:val="0"/>
        <w:spacing w:line="300" w:lineRule="exact"/>
        <w:ind w:firstLine="220" w:firstLineChars="100"/>
        <w:jc w:val="left"/>
        <w:rPr>
          <w:rFonts w:hint="eastAsia" w:ascii="宋体" w:hAnsi="宋体" w:cs="宋体"/>
          <w:color w:val="auto"/>
          <w:sz w:val="24"/>
        </w:rPr>
      </w:pPr>
      <w:r>
        <w:t>※※※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"/>
        </w:rPr>
        <w:t>灵敏度：≥ 0.01mg/L；</w:t>
      </w:r>
    </w:p>
    <w:p>
      <w:pPr>
        <w:autoSpaceDE w:val="0"/>
        <w:autoSpaceDN w:val="0"/>
        <w:adjustRightInd w:val="0"/>
        <w:snapToGrid w:val="0"/>
        <w:spacing w:line="3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eastAsia="zh-CN"/>
        </w:rPr>
        <w:t>示值稳定</w:t>
      </w:r>
      <w:r>
        <w:rPr>
          <w:rFonts w:hint="eastAsia" w:ascii="宋体" w:hAnsi="宋体" w:cs="宋体"/>
          <w:color w:val="auto"/>
          <w:sz w:val="24"/>
          <w:lang w:val="zh-CN"/>
        </w:rPr>
        <w:t>性</w:t>
      </w:r>
      <w:r>
        <w:rPr>
          <w:rFonts w:hint="eastAsia" w:ascii="宋体" w:hAnsi="宋体" w:cs="宋体"/>
          <w:color w:val="auto"/>
          <w:sz w:val="24"/>
        </w:rPr>
        <w:t>：±</w:t>
      </w:r>
      <w:r>
        <w:rPr>
          <w:rFonts w:ascii="宋体" w:hAnsi="宋体"/>
          <w:color w:val="auto"/>
          <w:sz w:val="24"/>
        </w:rPr>
        <w:t>0.002A</w:t>
      </w:r>
    </w:p>
    <w:p>
      <w:pPr>
        <w:autoSpaceDE w:val="0"/>
        <w:autoSpaceDN w:val="0"/>
        <w:adjustRightInd w:val="0"/>
        <w:snapToGrid w:val="0"/>
        <w:spacing w:line="3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eastAsia="zh-CN"/>
        </w:rPr>
        <w:t>吸光度示值误差：</w:t>
      </w:r>
      <w:r>
        <w:rPr>
          <w:rFonts w:hint="eastAsia" w:ascii="宋体" w:hAnsi="宋体" w:cs="宋体"/>
          <w:color w:val="auto"/>
          <w:sz w:val="24"/>
        </w:rPr>
        <w:t>±</w:t>
      </w:r>
      <w:r>
        <w:rPr>
          <w:rFonts w:ascii="宋体" w:hAnsi="宋体"/>
          <w:color w:val="auto"/>
          <w:sz w:val="24"/>
        </w:rPr>
        <w:t>0.0</w:t>
      </w:r>
      <w:r>
        <w:rPr>
          <w:rFonts w:hint="eastAsia" w:ascii="宋体" w:hAnsi="宋体"/>
          <w:color w:val="auto"/>
          <w:sz w:val="24"/>
          <w:lang w:val="en-US" w:eastAsia="zh-CN"/>
        </w:rPr>
        <w:t>15</w:t>
      </w:r>
      <w:r>
        <w:rPr>
          <w:rFonts w:ascii="宋体" w:hAnsi="宋体"/>
          <w:color w:val="auto"/>
          <w:sz w:val="24"/>
        </w:rPr>
        <w:t>A</w:t>
      </w:r>
    </w:p>
    <w:p>
      <w:pPr>
        <w:autoSpaceDE w:val="0"/>
        <w:autoSpaceDN w:val="0"/>
        <w:adjustRightInd w:val="0"/>
        <w:snapToGrid w:val="0"/>
        <w:spacing w:line="300" w:lineRule="exact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eastAsia="zh-CN"/>
        </w:rPr>
        <w:t>吸光度重复性：</w:t>
      </w:r>
      <w:r>
        <w:rPr>
          <w:rFonts w:ascii="宋体" w:hAnsi="宋体"/>
          <w:color w:val="auto"/>
          <w:sz w:val="24"/>
        </w:rPr>
        <w:t>&lt;</w:t>
      </w:r>
      <w:r>
        <w:rPr>
          <w:rFonts w:hint="eastAsia" w:ascii="宋体" w:hAnsi="宋体"/>
          <w:color w:val="auto"/>
          <w:sz w:val="24"/>
          <w:lang w:val="en-US" w:eastAsia="zh-CN"/>
        </w:rPr>
        <w:t>0.1%</w:t>
      </w:r>
    </w:p>
    <w:p>
      <w:pPr>
        <w:autoSpaceDE w:val="0"/>
        <w:autoSpaceDN w:val="0"/>
        <w:adjustRightInd w:val="0"/>
        <w:snapToGrid w:val="0"/>
        <w:spacing w:line="300" w:lineRule="exact"/>
        <w:ind w:firstLine="501" w:firstLineChars="209"/>
        <w:rPr>
          <w:rFonts w:ascii="宋体" w:hAnsi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zh-CN"/>
        </w:rPr>
        <w:t>通道差异</w:t>
      </w:r>
      <w:r>
        <w:rPr>
          <w:rFonts w:hint="eastAsia" w:ascii="宋体" w:hAnsi="宋体" w:cs="宋体"/>
          <w:color w:val="auto"/>
          <w:sz w:val="24"/>
        </w:rPr>
        <w:t>：</w:t>
      </w:r>
      <w:r>
        <w:rPr>
          <w:rFonts w:hint="eastAsia" w:ascii="宋体" w:hAnsi="宋体"/>
          <w:color w:val="auto"/>
          <w:sz w:val="24"/>
          <w:lang w:eastAsia="zh-CN"/>
        </w:rPr>
        <w:t>≤</w:t>
      </w:r>
      <w:r>
        <w:rPr>
          <w:rFonts w:ascii="宋体" w:hAnsi="宋体"/>
          <w:color w:val="auto"/>
          <w:sz w:val="24"/>
        </w:rPr>
        <w:t>0.02A</w:t>
      </w:r>
    </w:p>
    <w:p>
      <w:pPr>
        <w:pStyle w:val="2"/>
        <w:spacing w:line="300" w:lineRule="exact"/>
      </w:pPr>
      <w:r>
        <w:t>显示：</w:t>
      </w:r>
      <w:r>
        <w:rPr>
          <w:rFonts w:hint="eastAsia" w:ascii="宋体" w:hAnsi="宋体" w:cs="宋体"/>
          <w:color w:val="auto"/>
          <w:sz w:val="24"/>
          <w:lang w:val="zh-CN"/>
        </w:rPr>
        <w:t>嵌入式</w:t>
      </w:r>
      <w:r>
        <w:rPr>
          <w:rFonts w:ascii="宋体" w:hAnsi="宋体"/>
          <w:color w:val="auto"/>
          <w:sz w:val="24"/>
        </w:rPr>
        <w:t>8</w:t>
      </w:r>
      <w:r>
        <w:rPr>
          <w:rFonts w:hint="eastAsia" w:ascii="宋体" w:hAnsi="宋体" w:cs="宋体"/>
          <w:color w:val="auto"/>
          <w:sz w:val="24"/>
          <w:lang w:val="zh-CN"/>
        </w:rPr>
        <w:t>寸触摸屏或外接彩色液晶显示，可显示整板样本结果和定标曲线；</w:t>
      </w:r>
    </w:p>
    <w:p>
      <w:pPr>
        <w:autoSpaceDE w:val="0"/>
        <w:autoSpaceDN w:val="0"/>
        <w:adjustRightInd w:val="0"/>
        <w:snapToGrid w:val="0"/>
        <w:spacing w:line="340" w:lineRule="exact"/>
        <w:ind w:left="251" w:leftChars="114" w:firstLine="0" w:firstLineChars="0"/>
        <w:rPr>
          <w:rFonts w:ascii="宋体" w:hAnsi="宋体"/>
          <w:color w:val="auto"/>
          <w:sz w:val="24"/>
        </w:rPr>
      </w:pPr>
      <w:r>
        <w:t>※存贮：</w:t>
      </w:r>
      <w:r>
        <w:rPr>
          <w:rFonts w:hint="eastAsia" w:ascii="宋体" w:hAnsi="宋体"/>
          <w:color w:val="auto"/>
          <w:sz w:val="24"/>
        </w:rPr>
        <w:t>5</w:t>
      </w:r>
      <w:r>
        <w:rPr>
          <w:rFonts w:ascii="宋体" w:hAnsi="宋体"/>
          <w:color w:val="auto"/>
          <w:sz w:val="24"/>
        </w:rPr>
        <w:t>000</w:t>
      </w:r>
      <w:r>
        <w:rPr>
          <w:rFonts w:hint="eastAsia" w:ascii="宋体" w:hAnsi="宋体" w:cs="宋体"/>
          <w:color w:val="auto"/>
          <w:sz w:val="24"/>
          <w:lang w:val="zh-CN"/>
        </w:rPr>
        <w:t>个以上检测程序和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0</w:t>
      </w:r>
      <w:r>
        <w:rPr>
          <w:rFonts w:ascii="宋体" w:hAnsi="宋体"/>
          <w:color w:val="auto"/>
          <w:sz w:val="24"/>
        </w:rPr>
        <w:t>00</w:t>
      </w:r>
      <w:r>
        <w:rPr>
          <w:rFonts w:hint="eastAsia" w:ascii="宋体" w:hAnsi="宋体" w:cs="宋体"/>
          <w:color w:val="auto"/>
          <w:sz w:val="24"/>
          <w:lang w:val="zh-CN"/>
        </w:rPr>
        <w:t>块</w:t>
      </w:r>
      <w:r>
        <w:rPr>
          <w:rFonts w:ascii="宋体" w:hAnsi="宋体"/>
          <w:color w:val="auto"/>
          <w:sz w:val="24"/>
        </w:rPr>
        <w:t>96</w:t>
      </w:r>
      <w:r>
        <w:rPr>
          <w:rFonts w:hint="eastAsia" w:ascii="宋体" w:hAnsi="宋体" w:cs="宋体"/>
          <w:color w:val="auto"/>
          <w:sz w:val="24"/>
          <w:lang w:val="zh-CN"/>
        </w:rPr>
        <w:t>孔板检测结果，</w:t>
      </w:r>
      <w:r>
        <w:rPr>
          <w:rFonts w:ascii="宋体" w:hAnsi="宋体"/>
          <w:color w:val="auto"/>
          <w:sz w:val="24"/>
        </w:rPr>
        <w:t>20</w:t>
      </w:r>
      <w:r>
        <w:rPr>
          <w:rFonts w:hint="eastAsia" w:ascii="宋体" w:hAnsi="宋体"/>
          <w:color w:val="auto"/>
          <w:sz w:val="24"/>
        </w:rPr>
        <w:t>00</w:t>
      </w:r>
      <w:r>
        <w:rPr>
          <w:rFonts w:hint="eastAsia" w:ascii="宋体" w:hAnsi="宋体" w:cs="宋体"/>
          <w:color w:val="auto"/>
          <w:sz w:val="24"/>
          <w:lang w:val="zh-CN"/>
        </w:rPr>
        <w:t>种酶标板格式，</w:t>
      </w:r>
      <w:r>
        <w:rPr>
          <w:rFonts w:ascii="宋体" w:hAnsi="宋体"/>
          <w:color w:val="auto"/>
          <w:sz w:val="24"/>
        </w:rPr>
        <w:t>100000</w:t>
      </w:r>
      <w:r>
        <w:rPr>
          <w:rFonts w:hint="eastAsia" w:ascii="宋体" w:hAnsi="宋体" w:cs="宋体"/>
          <w:color w:val="auto"/>
          <w:sz w:val="24"/>
          <w:lang w:val="zh-CN"/>
        </w:rPr>
        <w:t>个以上测试结果；</w:t>
      </w:r>
    </w:p>
    <w:p>
      <w:pPr>
        <w:autoSpaceDE w:val="0"/>
        <w:autoSpaceDN w:val="0"/>
        <w:adjustRightInd w:val="0"/>
        <w:snapToGrid w:val="0"/>
        <w:spacing w:line="340" w:lineRule="exact"/>
        <w:ind w:firstLine="459" w:firstLineChars="209"/>
        <w:rPr>
          <w:rFonts w:ascii="宋体" w:hAnsi="宋体"/>
          <w:color w:val="auto"/>
          <w:sz w:val="24"/>
        </w:rPr>
      </w:pPr>
      <w:bookmarkStart w:id="0" w:name="_GoBack"/>
      <w:bookmarkEnd w:id="0"/>
      <w:r>
        <w:t>接口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 w:cs="宋体"/>
          <w:color w:val="auto"/>
          <w:sz w:val="24"/>
          <w:lang w:val="zh-CN"/>
        </w:rPr>
        <w:t>个</w:t>
      </w:r>
      <w:r>
        <w:rPr>
          <w:rFonts w:ascii="宋体" w:hAnsi="宋体"/>
          <w:color w:val="auto"/>
          <w:sz w:val="24"/>
        </w:rPr>
        <w:t>USB</w:t>
      </w:r>
      <w:r>
        <w:rPr>
          <w:rFonts w:hint="eastAsia" w:ascii="宋体" w:hAnsi="宋体" w:cs="宋体"/>
          <w:color w:val="auto"/>
          <w:sz w:val="24"/>
          <w:lang w:val="zh-CN"/>
        </w:rPr>
        <w:t>双向通讯口，1个以太网口，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 w:cs="宋体"/>
          <w:color w:val="auto"/>
          <w:sz w:val="24"/>
          <w:lang w:val="zh-CN"/>
        </w:rPr>
        <w:t>个</w:t>
      </w:r>
      <w:r>
        <w:rPr>
          <w:rFonts w:ascii="宋体" w:hAnsi="宋体"/>
          <w:color w:val="auto"/>
          <w:sz w:val="24"/>
        </w:rPr>
        <w:t>VGA</w:t>
      </w:r>
      <w:r>
        <w:rPr>
          <w:rFonts w:hint="eastAsia" w:ascii="宋体" w:hAnsi="宋体" w:cs="宋体"/>
          <w:color w:val="auto"/>
          <w:sz w:val="24"/>
          <w:lang w:val="zh-CN"/>
        </w:rPr>
        <w:t>接口；</w:t>
      </w:r>
    </w:p>
    <w:p>
      <w:pPr>
        <w:pStyle w:val="2"/>
        <w:spacing w:before="33" w:line="345" w:lineRule="auto"/>
        <w:ind w:left="177" w:right="6000"/>
        <w:rPr>
          <w:b/>
        </w:rPr>
      </w:pPr>
      <w:r>
        <w:t xml:space="preserve">※电源，12V DC，100V-240V宽幅输入； </w:t>
      </w:r>
      <w:r>
        <w:rPr>
          <w:b/>
          <w:u w:val="single"/>
        </w:rPr>
        <w:t>其它要求</w:t>
      </w:r>
    </w:p>
    <w:p>
      <w:pPr>
        <w:pStyle w:val="6"/>
        <w:numPr>
          <w:ilvl w:val="0"/>
          <w:numId w:val="2"/>
        </w:numPr>
        <w:tabs>
          <w:tab w:val="left" w:pos="659"/>
        </w:tabs>
        <w:spacing w:before="3" w:after="0" w:line="240" w:lineRule="auto"/>
        <w:ind w:left="658" w:right="0" w:hanging="242"/>
        <w:jc w:val="left"/>
        <w:rPr>
          <w:sz w:val="24"/>
        </w:rPr>
      </w:pPr>
      <w:r>
        <w:rPr>
          <w:sz w:val="24"/>
        </w:rPr>
        <w:t>负责仪器的安装调试及操作、维修培训；</w:t>
      </w:r>
    </w:p>
    <w:p>
      <w:pPr>
        <w:pStyle w:val="6"/>
        <w:numPr>
          <w:ilvl w:val="0"/>
          <w:numId w:val="2"/>
        </w:numPr>
        <w:tabs>
          <w:tab w:val="left" w:pos="659"/>
        </w:tabs>
        <w:spacing w:before="4" w:after="0" w:line="240" w:lineRule="auto"/>
        <w:ind w:left="658" w:right="0" w:hanging="242"/>
        <w:jc w:val="left"/>
        <w:rPr>
          <w:sz w:val="24"/>
        </w:rPr>
      </w:pPr>
      <w:r>
        <w:rPr>
          <w:sz w:val="24"/>
        </w:rPr>
        <w:t>保修期一年，终身维护，零配件价格网上公布；</w:t>
      </w:r>
    </w:p>
    <w:p>
      <w:pPr>
        <w:pStyle w:val="6"/>
        <w:numPr>
          <w:ilvl w:val="0"/>
          <w:numId w:val="2"/>
        </w:numPr>
        <w:tabs>
          <w:tab w:val="left" w:pos="659"/>
        </w:tabs>
        <w:spacing w:before="5" w:after="0" w:line="240" w:lineRule="auto"/>
        <w:ind w:left="658" w:right="0" w:hanging="242"/>
        <w:jc w:val="left"/>
        <w:rPr>
          <w:sz w:val="24"/>
        </w:rPr>
      </w:pPr>
      <w:r>
        <w:rPr>
          <w:sz w:val="24"/>
        </w:rPr>
        <w:t>生产厂商提供售后服务承诺书，提供操作培训人员的操作员证；</w:t>
      </w:r>
    </w:p>
    <w:p>
      <w:pPr>
        <w:pStyle w:val="6"/>
        <w:numPr>
          <w:ilvl w:val="0"/>
          <w:numId w:val="2"/>
        </w:numPr>
        <w:tabs>
          <w:tab w:val="left" w:pos="659"/>
        </w:tabs>
        <w:spacing w:before="4" w:after="0" w:line="240" w:lineRule="auto"/>
        <w:ind w:left="658" w:right="0" w:hanging="242"/>
        <w:jc w:val="left"/>
        <w:rPr>
          <w:sz w:val="24"/>
        </w:rPr>
      </w:pPr>
      <w:r>
        <w:rPr>
          <w:spacing w:val="-7"/>
          <w:sz w:val="24"/>
        </w:rPr>
        <w:t xml:space="preserve">仪器制造商应通过 </w:t>
      </w:r>
      <w:r>
        <w:rPr>
          <w:sz w:val="24"/>
        </w:rPr>
        <w:t>ISO13485：2016</w:t>
      </w:r>
      <w:r>
        <w:rPr>
          <w:spacing w:val="-40"/>
          <w:sz w:val="24"/>
        </w:rPr>
        <w:t xml:space="preserve"> 和 </w:t>
      </w:r>
      <w:r>
        <w:rPr>
          <w:sz w:val="24"/>
        </w:rPr>
        <w:t>ISO9001：2015</w:t>
      </w:r>
      <w:r>
        <w:rPr>
          <w:spacing w:val="-8"/>
          <w:sz w:val="24"/>
        </w:rPr>
        <w:t xml:space="preserve"> 质量体系认证。</w:t>
      </w:r>
    </w:p>
    <w:sectPr>
      <w:type w:val="continuous"/>
      <w:pgSz w:w="12240" w:h="15840"/>
      <w:pgMar w:top="80" w:right="960" w:bottom="280" w:left="9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658" w:hanging="241"/>
        <w:jc w:val="left"/>
      </w:pPr>
      <w:rPr>
        <w:rFonts w:hint="default" w:ascii="宋体" w:hAnsi="宋体" w:eastAsia="宋体" w:cs="宋体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32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04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76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48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20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92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64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436" w:hanging="241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 w:tentative="0">
      <w:start w:val="16"/>
      <w:numFmt w:val="decimal"/>
      <w:lvlText w:val="%1."/>
      <w:lvlJc w:val="left"/>
      <w:pPr>
        <w:ind w:left="778" w:hanging="361"/>
        <w:jc w:val="left"/>
      </w:pPr>
      <w:rPr>
        <w:rFonts w:hint="default" w:ascii="宋体" w:hAnsi="宋体" w:eastAsia="宋体" w:cs="宋体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40" w:hanging="36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700" w:hanging="36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60" w:hanging="36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620" w:hanging="36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80" w:hanging="36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540" w:hanging="36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500" w:hanging="36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460" w:hanging="361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216F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417"/>
    </w:pPr>
    <w:rPr>
      <w:rFonts w:ascii="宋体" w:hAnsi="宋体" w:eastAsia="宋体" w:cs="宋体"/>
      <w:sz w:val="24"/>
      <w:szCs w:val="2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4"/>
      <w:ind w:left="658" w:hanging="242"/>
    </w:pPr>
    <w:rPr>
      <w:rFonts w:ascii="宋体" w:hAnsi="宋体" w:eastAsia="宋体" w:cs="宋体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2020-05-08T05:14:00Z</dcterms:created>
  <dc:creator>DACK</dc:creator>
  <cp:lastModifiedBy>汇松刘小晓</cp:lastModifiedBy>
  <dcterms:modified xsi:type="dcterms:W3CDTF">2020-05-08T05:22:05Z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2020-05-08T00:00:00Z</vt:filetime>
  </property>
  <property fmtid="{D5CDD505-2E9C-101B-9397-08002B2CF9AE}" pid="5" name="KSOProductBuildVer">
    <vt:lpwstr>2052-11.1.0.9584</vt:lpwstr>
  </property>
</Properties>
</file>