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A26FEE">
      <w:pPr>
        <w:jc w:val="center"/>
        <w:rPr>
          <w:rFonts w:hint="eastAsia" w:ascii="方正公文小标宋" w:hAnsi="方正公文小标宋" w:eastAsia="方正公文小标宋" w:cs="方正公文小标宋"/>
          <w:b w:val="0"/>
          <w:bCs w:val="0"/>
          <w:sz w:val="32"/>
          <w:szCs w:val="40"/>
          <w:lang w:val="en-US" w:eastAsia="zh-CN"/>
        </w:rPr>
      </w:pPr>
      <w:r>
        <w:rPr>
          <w:rFonts w:hint="eastAsia" w:ascii="方正公文小标宋" w:hAnsi="方正公文小标宋" w:eastAsia="方正公文小标宋" w:cs="方正公文小标宋"/>
          <w:b w:val="0"/>
          <w:bCs w:val="0"/>
          <w:sz w:val="32"/>
          <w:szCs w:val="40"/>
          <w:lang w:val="en-US" w:eastAsia="zh-CN"/>
        </w:rPr>
        <w:t>资产服务内容</w:t>
      </w:r>
    </w:p>
    <w:p w14:paraId="67A5B97D">
      <w:pPr>
        <w:pageBreakBefore w:val="0"/>
        <w:kinsoku/>
        <w:wordWrap/>
        <w:overflowPunct/>
        <w:topLinePunct w:val="0"/>
        <w:autoSpaceDE/>
        <w:autoSpaceDN/>
        <w:bidi w:val="0"/>
        <w:adjustRightInd/>
        <w:snapToGrid/>
        <w:spacing w:line="360" w:lineRule="auto"/>
        <w:ind w:firstLine="560" w:firstLineChars="200"/>
        <w:jc w:val="both"/>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针对幼儿园对于资产管理的需求，为幼儿园提供资产的核对清点、数据维护、清单结果。</w:t>
      </w:r>
    </w:p>
    <w:p w14:paraId="7EF75963">
      <w:pPr>
        <w:pageBreakBefore w:val="0"/>
        <w:numPr>
          <w:ilvl w:val="0"/>
          <w:numId w:val="0"/>
        </w:numPr>
        <w:kinsoku/>
        <w:wordWrap/>
        <w:overflowPunct/>
        <w:topLinePunct w:val="0"/>
        <w:autoSpaceDE/>
        <w:autoSpaceDN/>
        <w:bidi w:val="0"/>
        <w:adjustRightInd/>
        <w:snapToGrid/>
        <w:spacing w:line="360" w:lineRule="auto"/>
        <w:ind w:firstLine="562" w:firstLineChars="200"/>
        <w:jc w:val="both"/>
        <w:outlineLvl w:val="0"/>
        <w:rPr>
          <w:rFonts w:hint="eastAsia" w:ascii="楷体" w:hAnsi="楷体" w:eastAsia="楷体" w:cs="楷体"/>
          <w:b/>
          <w:bCs/>
          <w:sz w:val="28"/>
          <w:szCs w:val="28"/>
          <w:lang w:val="en-US" w:eastAsia="zh-CN"/>
        </w:rPr>
      </w:pPr>
      <w:r>
        <w:rPr>
          <w:rFonts w:hint="eastAsia" w:ascii="楷体" w:hAnsi="楷体" w:eastAsia="楷体" w:cs="楷体"/>
          <w:b/>
          <w:bCs/>
          <w:sz w:val="28"/>
          <w:szCs w:val="28"/>
          <w:lang w:val="en-US" w:eastAsia="zh-CN"/>
        </w:rPr>
        <w:t>第一阶段：资产的首次核对</w:t>
      </w:r>
    </w:p>
    <w:p w14:paraId="1B20498E">
      <w:pPr>
        <w:pageBreakBefore w:val="0"/>
        <w:numPr>
          <w:ilvl w:val="0"/>
          <w:numId w:val="0"/>
        </w:numPr>
        <w:kinsoku/>
        <w:wordWrap/>
        <w:overflowPunct/>
        <w:topLinePunct w:val="0"/>
        <w:autoSpaceDE/>
        <w:autoSpaceDN/>
        <w:bidi w:val="0"/>
        <w:adjustRightInd/>
        <w:snapToGrid/>
        <w:spacing w:line="360" w:lineRule="auto"/>
        <w:ind w:firstLine="562" w:firstLineChars="200"/>
        <w:jc w:val="both"/>
        <w:outlineLvl w:val="1"/>
        <w:rPr>
          <w:rFonts w:hint="eastAsia" w:ascii="楷体" w:hAnsi="楷体" w:eastAsia="楷体" w:cs="楷体"/>
          <w:b/>
          <w:bCs/>
          <w:sz w:val="28"/>
          <w:szCs w:val="28"/>
          <w:lang w:val="en-US" w:eastAsia="zh-CN"/>
        </w:rPr>
      </w:pPr>
      <w:r>
        <w:rPr>
          <w:rFonts w:hint="eastAsia" w:ascii="楷体" w:hAnsi="楷体" w:eastAsia="楷体" w:cs="楷体"/>
          <w:b/>
          <w:bCs/>
          <w:kern w:val="2"/>
          <w:sz w:val="28"/>
          <w:szCs w:val="28"/>
          <w:lang w:val="en-US" w:eastAsia="zh-CN" w:bidi="ar-SA"/>
        </w:rPr>
        <w:t>一、</w:t>
      </w:r>
      <w:r>
        <w:rPr>
          <w:rFonts w:hint="eastAsia" w:ascii="楷体" w:hAnsi="楷体" w:eastAsia="楷体" w:cs="楷体"/>
          <w:b/>
          <w:bCs/>
          <w:sz w:val="28"/>
          <w:szCs w:val="28"/>
          <w:lang w:val="en-US" w:eastAsia="zh-CN"/>
        </w:rPr>
        <w:t>资产盘点</w:t>
      </w:r>
    </w:p>
    <w:p w14:paraId="7BB19675">
      <w:pPr>
        <w:pageBreakBefore w:val="0"/>
        <w:numPr>
          <w:ilvl w:val="0"/>
          <w:numId w:val="0"/>
        </w:numPr>
        <w:kinsoku/>
        <w:wordWrap/>
        <w:overflowPunct/>
        <w:topLinePunct w:val="0"/>
        <w:autoSpaceDE/>
        <w:autoSpaceDN/>
        <w:bidi w:val="0"/>
        <w:adjustRightInd/>
        <w:snapToGrid/>
        <w:spacing w:line="360" w:lineRule="auto"/>
        <w:ind w:firstLine="560" w:firstLineChars="200"/>
        <w:jc w:val="both"/>
        <w:rPr>
          <w:rFonts w:hint="eastAsia" w:ascii="楷体" w:hAnsi="楷体" w:eastAsia="楷体" w:cs="楷体"/>
          <w:color w:val="auto"/>
          <w:sz w:val="28"/>
          <w:szCs w:val="28"/>
          <w:lang w:val="en-US" w:eastAsia="zh-CN"/>
        </w:rPr>
      </w:pPr>
      <w:r>
        <w:rPr>
          <w:rFonts w:hint="eastAsia" w:ascii="楷体" w:hAnsi="楷体" w:eastAsia="楷体" w:cs="楷体"/>
          <w:color w:val="auto"/>
          <w:sz w:val="28"/>
          <w:szCs w:val="28"/>
          <w:lang w:val="en-US" w:eastAsia="zh-CN"/>
        </w:rPr>
        <w:t>1.根据集团名下各个幼儿园（现有25所）提供的现有资产清单及调拨清单，进行初步整理；</w:t>
      </w:r>
    </w:p>
    <w:p w14:paraId="020A670A">
      <w:pPr>
        <w:pageBreakBefore w:val="0"/>
        <w:numPr>
          <w:ilvl w:val="0"/>
          <w:numId w:val="0"/>
        </w:numPr>
        <w:kinsoku/>
        <w:wordWrap/>
        <w:overflowPunct/>
        <w:topLinePunct w:val="0"/>
        <w:autoSpaceDE/>
        <w:autoSpaceDN/>
        <w:bidi w:val="0"/>
        <w:adjustRightInd/>
        <w:snapToGrid/>
        <w:spacing w:line="360" w:lineRule="auto"/>
        <w:ind w:firstLine="560" w:firstLineChars="200"/>
        <w:jc w:val="both"/>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2.在幼儿园内部进行实地勘察，绘制幼儿园平面图；</w:t>
      </w:r>
    </w:p>
    <w:p w14:paraId="034688A6">
      <w:pPr>
        <w:pageBreakBefore w:val="0"/>
        <w:numPr>
          <w:ilvl w:val="0"/>
          <w:numId w:val="0"/>
        </w:numPr>
        <w:kinsoku/>
        <w:wordWrap/>
        <w:overflowPunct/>
        <w:topLinePunct w:val="0"/>
        <w:autoSpaceDE/>
        <w:autoSpaceDN/>
        <w:bidi w:val="0"/>
        <w:adjustRightInd/>
        <w:snapToGrid/>
        <w:spacing w:line="360" w:lineRule="auto"/>
        <w:ind w:firstLine="560" w:firstLineChars="200"/>
        <w:jc w:val="both"/>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3.安排工作人员进行实地清点，收集并记录每个物品的位置、资产名称、设备品牌型号、生产日期、初始金额等信息，编制《XX幼儿园资产清点表》。</w:t>
      </w:r>
    </w:p>
    <w:p w14:paraId="67423321">
      <w:pPr>
        <w:pageBreakBefore w:val="0"/>
        <w:numPr>
          <w:ilvl w:val="0"/>
          <w:numId w:val="0"/>
        </w:numPr>
        <w:kinsoku/>
        <w:wordWrap/>
        <w:overflowPunct/>
        <w:topLinePunct w:val="0"/>
        <w:autoSpaceDE/>
        <w:autoSpaceDN/>
        <w:bidi w:val="0"/>
        <w:adjustRightInd/>
        <w:snapToGrid/>
        <w:spacing w:line="360" w:lineRule="auto"/>
        <w:ind w:firstLine="480"/>
        <w:jc w:val="both"/>
        <w:rPr>
          <w:rFonts w:hint="default" w:ascii="楷体" w:hAnsi="楷体" w:eastAsia="楷体" w:cs="楷体"/>
          <w:sz w:val="28"/>
          <w:szCs w:val="28"/>
          <w:lang w:val="en-US" w:eastAsia="zh-CN"/>
        </w:rPr>
      </w:pPr>
      <w:r>
        <w:rPr>
          <w:rFonts w:hint="eastAsia" w:ascii="楷体" w:hAnsi="楷体" w:eastAsia="楷体" w:cs="楷体"/>
          <w:sz w:val="28"/>
          <w:szCs w:val="28"/>
          <w:lang w:val="en-US" w:eastAsia="zh-CN"/>
        </w:rPr>
        <w:t>清点范围:幼儿园的各个教室（玩具只需清点种类）、功能室、办公室、厨房、会议室以及室外公共区域等。</w:t>
      </w:r>
    </w:p>
    <w:p w14:paraId="62B24ED6">
      <w:pPr>
        <w:pageBreakBefore w:val="0"/>
        <w:numPr>
          <w:ilvl w:val="0"/>
          <w:numId w:val="0"/>
        </w:numPr>
        <w:kinsoku/>
        <w:wordWrap/>
        <w:overflowPunct/>
        <w:topLinePunct w:val="0"/>
        <w:autoSpaceDE/>
        <w:autoSpaceDN/>
        <w:bidi w:val="0"/>
        <w:adjustRightInd/>
        <w:snapToGrid/>
        <w:spacing w:line="360" w:lineRule="auto"/>
        <w:ind w:firstLine="480"/>
        <w:jc w:val="both"/>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清点的物品:信息化设备、教学装备、空调、办公家具、办公设备、厨房设备、部分低值易耗品等各项资产。</w:t>
      </w:r>
    </w:p>
    <w:p w14:paraId="2F29BE05">
      <w:pPr>
        <w:pageBreakBefore w:val="0"/>
        <w:numPr>
          <w:ilvl w:val="0"/>
          <w:numId w:val="0"/>
        </w:numPr>
        <w:kinsoku/>
        <w:wordWrap/>
        <w:overflowPunct/>
        <w:topLinePunct w:val="0"/>
        <w:autoSpaceDE/>
        <w:autoSpaceDN/>
        <w:bidi w:val="0"/>
        <w:adjustRightInd/>
        <w:snapToGrid/>
        <w:spacing w:line="360" w:lineRule="auto"/>
        <w:ind w:left="0" w:leftChars="0" w:firstLine="562" w:firstLineChars="200"/>
        <w:jc w:val="both"/>
        <w:outlineLvl w:val="1"/>
        <w:rPr>
          <w:rFonts w:hint="eastAsia" w:ascii="楷体" w:hAnsi="楷体" w:eastAsia="楷体" w:cs="楷体"/>
          <w:b/>
          <w:bCs/>
          <w:sz w:val="28"/>
          <w:szCs w:val="28"/>
          <w:lang w:val="en-US" w:eastAsia="zh-CN"/>
        </w:rPr>
      </w:pPr>
      <w:r>
        <w:rPr>
          <w:rFonts w:hint="eastAsia" w:ascii="楷体" w:hAnsi="楷体" w:eastAsia="楷体" w:cs="楷体"/>
          <w:b/>
          <w:bCs/>
          <w:kern w:val="2"/>
          <w:sz w:val="28"/>
          <w:szCs w:val="28"/>
          <w:lang w:val="en-US" w:eastAsia="zh-CN" w:bidi="ar-SA"/>
        </w:rPr>
        <w:t>二、</w:t>
      </w:r>
      <w:r>
        <w:rPr>
          <w:rFonts w:hint="eastAsia" w:ascii="楷体" w:hAnsi="楷体" w:eastAsia="楷体" w:cs="楷体"/>
          <w:b/>
          <w:bCs/>
          <w:sz w:val="28"/>
          <w:szCs w:val="28"/>
          <w:lang w:val="en-US" w:eastAsia="zh-CN"/>
        </w:rPr>
        <w:t>资产数据核对</w:t>
      </w:r>
    </w:p>
    <w:p w14:paraId="78550A3B">
      <w:pPr>
        <w:pageBreakBefore w:val="0"/>
        <w:numPr>
          <w:ilvl w:val="0"/>
          <w:numId w:val="0"/>
        </w:numPr>
        <w:kinsoku/>
        <w:wordWrap/>
        <w:overflowPunct/>
        <w:topLinePunct w:val="0"/>
        <w:autoSpaceDE/>
        <w:autoSpaceDN/>
        <w:bidi w:val="0"/>
        <w:adjustRightInd/>
        <w:snapToGrid/>
        <w:spacing w:line="360" w:lineRule="auto"/>
        <w:ind w:firstLine="560" w:firstLineChars="200"/>
        <w:jc w:val="both"/>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根据集团名下各个幼儿园提供的资产清单和本次收集的幼儿园资产信息进行逐一匹配，核对账实偏差，编制《XX幼儿园资产偏差表》。</w:t>
      </w:r>
    </w:p>
    <w:p w14:paraId="6476BB8B">
      <w:pPr>
        <w:pageBreakBefore w:val="0"/>
        <w:numPr>
          <w:ilvl w:val="0"/>
          <w:numId w:val="0"/>
        </w:numPr>
        <w:kinsoku/>
        <w:wordWrap/>
        <w:overflowPunct/>
        <w:topLinePunct w:val="0"/>
        <w:autoSpaceDE/>
        <w:autoSpaceDN/>
        <w:bidi w:val="0"/>
        <w:adjustRightInd/>
        <w:snapToGrid/>
        <w:spacing w:line="360" w:lineRule="auto"/>
        <w:ind w:left="0" w:leftChars="0" w:firstLine="562" w:firstLineChars="200"/>
        <w:jc w:val="both"/>
        <w:outlineLvl w:val="1"/>
        <w:rPr>
          <w:rFonts w:hint="eastAsia" w:ascii="楷体" w:hAnsi="楷体" w:eastAsia="楷体" w:cs="楷体"/>
          <w:b/>
          <w:bCs/>
          <w:sz w:val="28"/>
          <w:szCs w:val="28"/>
          <w:lang w:val="en-US" w:eastAsia="zh-CN"/>
        </w:rPr>
      </w:pPr>
      <w:r>
        <w:rPr>
          <w:rFonts w:hint="eastAsia" w:ascii="楷体" w:hAnsi="楷体" w:eastAsia="楷体" w:cs="楷体"/>
          <w:b/>
          <w:bCs/>
          <w:kern w:val="2"/>
          <w:sz w:val="28"/>
          <w:szCs w:val="28"/>
          <w:lang w:val="en-US" w:eastAsia="zh-CN" w:bidi="ar-SA"/>
        </w:rPr>
        <w:t>三、</w:t>
      </w:r>
      <w:r>
        <w:rPr>
          <w:rFonts w:hint="eastAsia" w:ascii="楷体" w:hAnsi="楷体" w:eastAsia="楷体" w:cs="楷体"/>
          <w:b/>
          <w:bCs/>
          <w:sz w:val="28"/>
          <w:szCs w:val="28"/>
          <w:lang w:val="en-US" w:eastAsia="zh-CN"/>
        </w:rPr>
        <w:t>幼儿园资产复核</w:t>
      </w:r>
    </w:p>
    <w:p w14:paraId="0F6CA7A5">
      <w:pPr>
        <w:pageBreakBefore w:val="0"/>
        <w:numPr>
          <w:ilvl w:val="0"/>
          <w:numId w:val="0"/>
        </w:numPr>
        <w:kinsoku/>
        <w:wordWrap/>
        <w:overflowPunct/>
        <w:topLinePunct w:val="0"/>
        <w:autoSpaceDE/>
        <w:autoSpaceDN/>
        <w:bidi w:val="0"/>
        <w:adjustRightInd/>
        <w:snapToGrid/>
        <w:spacing w:line="360" w:lineRule="auto"/>
        <w:ind w:firstLine="560" w:firstLineChars="200"/>
        <w:jc w:val="both"/>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根据整理的资产偏差表，对幼儿园的资产做二次复核，向幼儿园汇报盘点结果，并和幼儿园负责人进行现场核对。</w:t>
      </w:r>
    </w:p>
    <w:p w14:paraId="1977A10B">
      <w:pPr>
        <w:pageBreakBefore w:val="0"/>
        <w:numPr>
          <w:ilvl w:val="0"/>
          <w:numId w:val="0"/>
        </w:numPr>
        <w:kinsoku/>
        <w:wordWrap/>
        <w:overflowPunct/>
        <w:topLinePunct w:val="0"/>
        <w:autoSpaceDE/>
        <w:autoSpaceDN/>
        <w:bidi w:val="0"/>
        <w:adjustRightInd/>
        <w:snapToGrid/>
        <w:spacing w:line="360" w:lineRule="auto"/>
        <w:ind w:left="0" w:leftChars="0" w:firstLine="562" w:firstLineChars="200"/>
        <w:jc w:val="both"/>
        <w:outlineLvl w:val="1"/>
        <w:rPr>
          <w:rFonts w:hint="eastAsia" w:ascii="楷体" w:hAnsi="楷体" w:eastAsia="楷体" w:cs="楷体"/>
          <w:b/>
          <w:bCs/>
          <w:kern w:val="2"/>
          <w:sz w:val="28"/>
          <w:szCs w:val="28"/>
          <w:lang w:val="en-US" w:eastAsia="zh-CN" w:bidi="ar-SA"/>
        </w:rPr>
      </w:pPr>
      <w:r>
        <w:rPr>
          <w:rFonts w:hint="eastAsia" w:ascii="楷体" w:hAnsi="楷体" w:eastAsia="楷体" w:cs="楷体"/>
          <w:b/>
          <w:bCs/>
          <w:kern w:val="2"/>
          <w:sz w:val="28"/>
          <w:szCs w:val="28"/>
          <w:lang w:val="en-US" w:eastAsia="zh-CN" w:bidi="ar-SA"/>
        </w:rPr>
        <w:t>四、编制资产盘点报告</w:t>
      </w:r>
    </w:p>
    <w:p w14:paraId="2CC49CEF">
      <w:pPr>
        <w:pageBreakBefore w:val="0"/>
        <w:numPr>
          <w:ilvl w:val="0"/>
          <w:numId w:val="0"/>
        </w:numPr>
        <w:kinsoku/>
        <w:wordWrap/>
        <w:overflowPunct/>
        <w:topLinePunct w:val="0"/>
        <w:autoSpaceDE/>
        <w:autoSpaceDN/>
        <w:bidi w:val="0"/>
        <w:adjustRightInd/>
        <w:snapToGrid/>
        <w:spacing w:line="360" w:lineRule="auto"/>
        <w:ind w:firstLine="562" w:firstLineChars="200"/>
        <w:jc w:val="both"/>
        <w:outlineLvl w:val="0"/>
        <w:rPr>
          <w:rFonts w:hint="eastAsia" w:ascii="楷体" w:hAnsi="楷体" w:eastAsia="楷体" w:cs="楷体"/>
          <w:b/>
          <w:bCs/>
          <w:color w:val="auto"/>
          <w:sz w:val="28"/>
          <w:szCs w:val="28"/>
          <w:lang w:val="en-US" w:eastAsia="zh-CN"/>
        </w:rPr>
      </w:pPr>
      <w:r>
        <w:rPr>
          <w:rFonts w:hint="eastAsia" w:ascii="楷体" w:hAnsi="楷体" w:eastAsia="楷体" w:cs="楷体"/>
          <w:b/>
          <w:bCs/>
          <w:color w:val="auto"/>
          <w:sz w:val="28"/>
          <w:szCs w:val="28"/>
          <w:lang w:val="en-US" w:eastAsia="zh-CN"/>
        </w:rPr>
        <w:t>第二阶段：清单结果风险评估及整改建议</w:t>
      </w:r>
    </w:p>
    <w:p w14:paraId="37E9826C">
      <w:pPr>
        <w:pageBreakBefore w:val="0"/>
        <w:numPr>
          <w:ilvl w:val="0"/>
          <w:numId w:val="0"/>
        </w:numPr>
        <w:kinsoku/>
        <w:wordWrap/>
        <w:overflowPunct/>
        <w:topLinePunct w:val="0"/>
        <w:autoSpaceDE/>
        <w:autoSpaceDN/>
        <w:bidi w:val="0"/>
        <w:adjustRightInd/>
        <w:snapToGrid/>
        <w:spacing w:line="360" w:lineRule="auto"/>
        <w:ind w:firstLine="280" w:firstLineChars="100"/>
        <w:jc w:val="both"/>
        <w:outlineLvl w:val="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 xml:space="preserve">  针对资产报告开展风险评估，就不良资产提出整改建议，并列出各园闲置资产清单。</w:t>
      </w:r>
    </w:p>
    <w:p w14:paraId="76536F45">
      <w:pPr>
        <w:pageBreakBefore w:val="0"/>
        <w:numPr>
          <w:ilvl w:val="0"/>
          <w:numId w:val="0"/>
        </w:numPr>
        <w:kinsoku/>
        <w:wordWrap/>
        <w:overflowPunct/>
        <w:topLinePunct w:val="0"/>
        <w:autoSpaceDE/>
        <w:autoSpaceDN/>
        <w:bidi w:val="0"/>
        <w:adjustRightInd/>
        <w:snapToGrid/>
        <w:spacing w:line="360" w:lineRule="auto"/>
        <w:ind w:left="0" w:leftChars="0" w:firstLine="562" w:firstLineChars="200"/>
        <w:jc w:val="both"/>
        <w:outlineLvl w:val="1"/>
        <w:rPr>
          <w:rFonts w:hint="eastAsia" w:ascii="楷体" w:hAnsi="楷体" w:eastAsia="楷体" w:cs="楷体"/>
          <w:b/>
          <w:bCs/>
          <w:sz w:val="28"/>
          <w:szCs w:val="28"/>
          <w:lang w:val="en-US" w:eastAsia="zh-CN"/>
        </w:rPr>
      </w:pPr>
      <w:r>
        <w:rPr>
          <w:rFonts w:hint="eastAsia" w:ascii="楷体" w:hAnsi="楷体" w:eastAsia="楷体" w:cs="楷体"/>
          <w:b/>
          <w:bCs/>
          <w:sz w:val="28"/>
          <w:szCs w:val="28"/>
          <w:lang w:val="en-US" w:eastAsia="zh-CN"/>
        </w:rPr>
        <w:t>第三阶段：</w:t>
      </w:r>
      <w:r>
        <w:rPr>
          <w:rFonts w:hint="eastAsia" w:ascii="楷体" w:hAnsi="楷体" w:eastAsia="楷体" w:cs="楷体"/>
          <w:b/>
          <w:bCs/>
          <w:kern w:val="2"/>
          <w:sz w:val="28"/>
          <w:szCs w:val="28"/>
          <w:lang w:val="en-US" w:eastAsia="zh-CN" w:bidi="ar-SA"/>
        </w:rPr>
        <w:t>制作《固定资产管理登记表》和固定资产标签</w:t>
      </w:r>
    </w:p>
    <w:p w14:paraId="371EEB57">
      <w:pPr>
        <w:pageBreakBefore w:val="0"/>
        <w:numPr>
          <w:ilvl w:val="0"/>
          <w:numId w:val="0"/>
        </w:numPr>
        <w:kinsoku/>
        <w:wordWrap/>
        <w:overflowPunct/>
        <w:topLinePunct w:val="0"/>
        <w:autoSpaceDE/>
        <w:autoSpaceDN/>
        <w:bidi w:val="0"/>
        <w:adjustRightInd/>
        <w:snapToGrid/>
        <w:spacing w:line="360" w:lineRule="auto"/>
        <w:ind w:firstLine="560" w:firstLineChars="200"/>
        <w:jc w:val="both"/>
        <w:rPr>
          <w:rFonts w:hint="eastAsia" w:ascii="楷体" w:hAnsi="楷体" w:eastAsia="楷体" w:cs="楷体"/>
          <w:b/>
          <w:bCs/>
          <w:color w:val="FF0000"/>
          <w:sz w:val="28"/>
          <w:szCs w:val="28"/>
          <w:lang w:val="en-US" w:eastAsia="zh-CN"/>
        </w:rPr>
      </w:pPr>
      <w:r>
        <w:rPr>
          <w:rFonts w:hint="eastAsia" w:ascii="楷体" w:hAnsi="楷体" w:eastAsia="楷体" w:cs="楷体"/>
          <w:sz w:val="28"/>
          <w:szCs w:val="28"/>
          <w:lang w:val="en-US" w:eastAsia="zh-CN"/>
        </w:rPr>
        <w:t>固定资产盘点匹配结果，编制每个房间的《固定资产管理登记表》和固定资产标签粘贴在每个房间，方便后期核对。</w:t>
      </w:r>
    </w:p>
    <w:p w14:paraId="260B3470">
      <w:pPr>
        <w:pageBreakBefore w:val="0"/>
        <w:numPr>
          <w:ilvl w:val="0"/>
          <w:numId w:val="0"/>
        </w:numPr>
        <w:kinsoku/>
        <w:wordWrap/>
        <w:overflowPunct/>
        <w:topLinePunct w:val="0"/>
        <w:autoSpaceDE/>
        <w:autoSpaceDN/>
        <w:bidi w:val="0"/>
        <w:adjustRightInd/>
        <w:snapToGrid/>
        <w:spacing w:line="360" w:lineRule="auto"/>
        <w:ind w:firstLine="562" w:firstLineChars="200"/>
        <w:jc w:val="both"/>
        <w:outlineLvl w:val="0"/>
        <w:rPr>
          <w:rFonts w:hint="eastAsia" w:ascii="楷体" w:hAnsi="楷体" w:eastAsia="楷体" w:cs="楷体"/>
          <w:b/>
          <w:bCs/>
          <w:sz w:val="28"/>
          <w:szCs w:val="28"/>
          <w:lang w:val="en-US" w:eastAsia="zh-CN"/>
        </w:rPr>
      </w:pPr>
      <w:r>
        <w:rPr>
          <w:rFonts w:hint="eastAsia" w:ascii="楷体" w:hAnsi="楷体" w:eastAsia="楷体" w:cs="楷体"/>
          <w:b/>
          <w:bCs/>
          <w:color w:val="auto"/>
          <w:sz w:val="28"/>
          <w:szCs w:val="28"/>
          <w:lang w:val="en-US" w:eastAsia="zh-CN"/>
        </w:rPr>
        <w:t>第四阶段：</w:t>
      </w:r>
      <w:r>
        <w:rPr>
          <w:rFonts w:hint="eastAsia" w:ascii="楷体" w:hAnsi="楷体" w:eastAsia="楷体" w:cs="楷体"/>
          <w:b/>
          <w:bCs/>
          <w:sz w:val="28"/>
          <w:szCs w:val="28"/>
          <w:lang w:val="en-US" w:eastAsia="zh-CN"/>
        </w:rPr>
        <w:t>固定资产制度</w:t>
      </w:r>
    </w:p>
    <w:p w14:paraId="7CDB4EEB">
      <w:pPr>
        <w:pageBreakBefore w:val="0"/>
        <w:numPr>
          <w:ilvl w:val="0"/>
          <w:numId w:val="0"/>
        </w:numPr>
        <w:kinsoku/>
        <w:wordWrap/>
        <w:overflowPunct/>
        <w:topLinePunct w:val="0"/>
        <w:autoSpaceDE/>
        <w:autoSpaceDN/>
        <w:bidi w:val="0"/>
        <w:adjustRightInd/>
        <w:snapToGrid/>
        <w:spacing w:line="360" w:lineRule="auto"/>
        <w:ind w:firstLine="280" w:firstLineChars="100"/>
        <w:jc w:val="both"/>
        <w:outlineLvl w:val="0"/>
        <w:rPr>
          <w:rFonts w:hint="eastAsia" w:ascii="楷体" w:hAnsi="楷体" w:eastAsia="楷体" w:cs="楷体"/>
          <w:b/>
          <w:bCs/>
          <w:color w:val="auto"/>
          <w:sz w:val="28"/>
          <w:szCs w:val="28"/>
          <w:lang w:val="en-US" w:eastAsia="zh-CN"/>
        </w:rPr>
      </w:pPr>
      <w:r>
        <w:rPr>
          <w:rFonts w:hint="eastAsia" w:ascii="楷体" w:hAnsi="楷体" w:eastAsia="楷体" w:cs="楷体"/>
          <w:sz w:val="28"/>
          <w:szCs w:val="28"/>
          <w:lang w:val="en-US" w:eastAsia="zh-CN"/>
        </w:rPr>
        <w:t xml:space="preserve">  充分考虑幼儿园资产的特殊属性，制定一套适用的固定资产管理制度。</w:t>
      </w:r>
    </w:p>
    <w:p w14:paraId="2FF3CC20">
      <w:pPr>
        <w:pageBreakBefore w:val="0"/>
        <w:numPr>
          <w:ilvl w:val="0"/>
          <w:numId w:val="0"/>
        </w:numPr>
        <w:kinsoku/>
        <w:wordWrap/>
        <w:overflowPunct/>
        <w:topLinePunct w:val="0"/>
        <w:autoSpaceDE/>
        <w:autoSpaceDN/>
        <w:bidi w:val="0"/>
        <w:adjustRightInd/>
        <w:snapToGrid/>
        <w:spacing w:line="360" w:lineRule="auto"/>
        <w:ind w:firstLine="562" w:firstLineChars="200"/>
        <w:jc w:val="both"/>
        <w:outlineLvl w:val="0"/>
        <w:rPr>
          <w:rFonts w:hint="eastAsia" w:ascii="楷体" w:hAnsi="楷体" w:eastAsia="楷体" w:cs="楷体"/>
          <w:b/>
          <w:bCs/>
          <w:color w:val="auto"/>
          <w:sz w:val="28"/>
          <w:szCs w:val="28"/>
          <w:lang w:val="en-US" w:eastAsia="zh-CN"/>
        </w:rPr>
      </w:pPr>
      <w:r>
        <w:rPr>
          <w:rFonts w:hint="eastAsia" w:ascii="楷体" w:hAnsi="楷体" w:eastAsia="楷体" w:cs="楷体"/>
          <w:b/>
          <w:bCs/>
          <w:color w:val="auto"/>
          <w:sz w:val="28"/>
          <w:szCs w:val="28"/>
          <w:lang w:val="en-US" w:eastAsia="zh-CN"/>
        </w:rPr>
        <w:t>第五阶段：资产数据维护</w:t>
      </w:r>
    </w:p>
    <w:p w14:paraId="4681D90D">
      <w:pPr>
        <w:pageBreakBefore w:val="0"/>
        <w:numPr>
          <w:ilvl w:val="0"/>
          <w:numId w:val="0"/>
        </w:numPr>
        <w:kinsoku/>
        <w:wordWrap/>
        <w:overflowPunct/>
        <w:topLinePunct w:val="0"/>
        <w:autoSpaceDE/>
        <w:autoSpaceDN/>
        <w:bidi w:val="0"/>
        <w:adjustRightInd/>
        <w:snapToGrid/>
        <w:spacing w:line="360" w:lineRule="auto"/>
        <w:ind w:firstLine="560" w:firstLineChars="200"/>
        <w:jc w:val="both"/>
        <w:rPr>
          <w:rFonts w:hint="eastAsia" w:ascii="楷体" w:hAnsi="楷体" w:eastAsia="楷体" w:cs="楷体"/>
          <w:color w:val="auto"/>
          <w:sz w:val="28"/>
          <w:szCs w:val="28"/>
          <w:lang w:val="en-US" w:eastAsia="zh-CN"/>
        </w:rPr>
      </w:pPr>
      <w:r>
        <w:rPr>
          <w:rFonts w:hint="eastAsia" w:ascii="楷体" w:hAnsi="楷体" w:eastAsia="楷体" w:cs="楷体"/>
          <w:b w:val="0"/>
          <w:bCs w:val="0"/>
          <w:color w:val="auto"/>
          <w:sz w:val="28"/>
          <w:szCs w:val="28"/>
          <w:lang w:val="en-US" w:eastAsia="zh-CN"/>
        </w:rPr>
        <w:t>在服务周期内，</w:t>
      </w:r>
      <w:r>
        <w:rPr>
          <w:rFonts w:hint="eastAsia" w:ascii="楷体" w:hAnsi="楷体" w:eastAsia="楷体" w:cs="楷体"/>
          <w:color w:val="auto"/>
          <w:sz w:val="28"/>
          <w:szCs w:val="28"/>
          <w:lang w:val="en-US" w:eastAsia="zh-CN"/>
        </w:rPr>
        <w:t>协助幼儿园对需要处理的资产账目进行维护。</w:t>
      </w:r>
    </w:p>
    <w:p w14:paraId="26AB75BC">
      <w:pPr>
        <w:pageBreakBefore w:val="0"/>
        <w:numPr>
          <w:ilvl w:val="0"/>
          <w:numId w:val="0"/>
        </w:numPr>
        <w:kinsoku/>
        <w:wordWrap/>
        <w:overflowPunct/>
        <w:topLinePunct w:val="0"/>
        <w:autoSpaceDE/>
        <w:autoSpaceDN/>
        <w:bidi w:val="0"/>
        <w:adjustRightInd/>
        <w:snapToGrid/>
        <w:spacing w:line="360" w:lineRule="auto"/>
        <w:jc w:val="both"/>
        <w:outlineLvl w:val="0"/>
        <w:rPr>
          <w:rFonts w:hint="eastAsia" w:ascii="楷体" w:hAnsi="楷体" w:eastAsia="楷体" w:cs="楷体"/>
          <w:b/>
          <w:bCs/>
          <w:sz w:val="28"/>
          <w:szCs w:val="28"/>
          <w:lang w:val="en-US" w:eastAsia="zh-CN"/>
        </w:rPr>
      </w:pPr>
      <w:r>
        <w:rPr>
          <w:rFonts w:hint="eastAsia" w:ascii="楷体" w:hAnsi="楷体" w:eastAsia="楷体" w:cs="楷体"/>
          <w:b/>
          <w:bCs/>
          <w:sz w:val="28"/>
          <w:szCs w:val="28"/>
          <w:lang w:val="en-US" w:eastAsia="zh-CN"/>
        </w:rPr>
        <w:t>其他补充事项：</w:t>
      </w:r>
    </w:p>
    <w:p w14:paraId="1E29835A">
      <w:pPr>
        <w:pageBreakBefore w:val="0"/>
        <w:numPr>
          <w:ilvl w:val="0"/>
          <w:numId w:val="0"/>
        </w:numPr>
        <w:kinsoku/>
        <w:wordWrap/>
        <w:overflowPunct/>
        <w:topLinePunct w:val="0"/>
        <w:autoSpaceDE/>
        <w:autoSpaceDN/>
        <w:bidi w:val="0"/>
        <w:adjustRightInd/>
        <w:snapToGrid/>
        <w:spacing w:line="360" w:lineRule="auto"/>
        <w:ind w:firstLine="560" w:firstLineChars="200"/>
        <w:jc w:val="both"/>
        <w:rPr>
          <w:rFonts w:hint="default" w:ascii="楷体" w:hAnsi="楷体" w:eastAsia="楷体" w:cs="楷体"/>
          <w:b w:val="0"/>
          <w:bCs w:val="0"/>
          <w:color w:val="auto"/>
          <w:sz w:val="28"/>
          <w:szCs w:val="28"/>
          <w:lang w:val="en-US" w:eastAsia="zh-CN"/>
        </w:rPr>
      </w:pPr>
      <w:r>
        <w:rPr>
          <w:rFonts w:hint="eastAsia" w:ascii="楷体" w:hAnsi="楷体" w:eastAsia="楷体" w:cs="楷体"/>
          <w:b w:val="0"/>
          <w:bCs w:val="0"/>
          <w:color w:val="auto"/>
          <w:sz w:val="28"/>
          <w:szCs w:val="28"/>
          <w:lang w:val="en-US" w:eastAsia="zh-CN"/>
        </w:rPr>
        <w:t>1.本项目服务期自合同签订日期一年，合同期内需完成以上资产清点、清单编制等工作；</w:t>
      </w:r>
    </w:p>
    <w:p w14:paraId="5B2567C8">
      <w:pPr>
        <w:pageBreakBefore w:val="0"/>
        <w:numPr>
          <w:ilvl w:val="0"/>
          <w:numId w:val="0"/>
        </w:numPr>
        <w:kinsoku/>
        <w:wordWrap/>
        <w:overflowPunct/>
        <w:topLinePunct w:val="0"/>
        <w:autoSpaceDE/>
        <w:autoSpaceDN/>
        <w:bidi w:val="0"/>
        <w:adjustRightInd/>
        <w:snapToGrid/>
        <w:spacing w:line="360" w:lineRule="auto"/>
        <w:ind w:firstLine="560" w:firstLineChars="200"/>
        <w:jc w:val="both"/>
        <w:rPr>
          <w:rFonts w:hint="default" w:ascii="楷体" w:hAnsi="楷体" w:eastAsia="楷体" w:cs="楷体"/>
          <w:b w:val="0"/>
          <w:bCs w:val="0"/>
          <w:color w:val="auto"/>
          <w:sz w:val="28"/>
          <w:szCs w:val="28"/>
          <w:lang w:val="en-US" w:eastAsia="zh-CN"/>
        </w:rPr>
      </w:pPr>
      <w:r>
        <w:rPr>
          <w:rFonts w:hint="eastAsia" w:ascii="楷体" w:hAnsi="楷体" w:eastAsia="楷体" w:cs="楷体"/>
          <w:b w:val="0"/>
          <w:bCs w:val="0"/>
          <w:color w:val="auto"/>
          <w:sz w:val="28"/>
          <w:szCs w:val="28"/>
          <w:lang w:val="en-US" w:eastAsia="zh-CN"/>
        </w:rPr>
        <w:t>2.集团旗下现有25所园，若服务期内有园所增加，在不超过甲方自行采购限额范围内，可按照合同园所平均单价签订补充协议。</w:t>
      </w:r>
    </w:p>
    <w:p w14:paraId="6E5E57FA">
      <w:pPr>
        <w:pageBreakBefore w:val="0"/>
        <w:numPr>
          <w:ilvl w:val="0"/>
          <w:numId w:val="0"/>
        </w:numPr>
        <w:kinsoku/>
        <w:wordWrap/>
        <w:overflowPunct/>
        <w:topLinePunct w:val="0"/>
        <w:autoSpaceDE/>
        <w:autoSpaceDN/>
        <w:bidi w:val="0"/>
        <w:adjustRightInd/>
        <w:snapToGrid/>
        <w:spacing w:line="360" w:lineRule="auto"/>
        <w:ind w:firstLine="560" w:firstLineChars="200"/>
        <w:jc w:val="both"/>
        <w:rPr>
          <w:rFonts w:hint="default" w:ascii="楷体" w:hAnsi="楷体" w:eastAsia="楷体" w:cs="楷体"/>
          <w:b w:val="0"/>
          <w:bCs w:val="0"/>
          <w:color w:val="auto"/>
          <w:sz w:val="28"/>
          <w:szCs w:val="28"/>
          <w:lang w:val="en-US" w:eastAsia="zh-CN"/>
        </w:rPr>
      </w:pPr>
      <w:r>
        <w:rPr>
          <w:rFonts w:hint="eastAsia" w:ascii="楷体" w:hAnsi="楷体" w:eastAsia="楷体" w:cs="楷体"/>
          <w:b w:val="0"/>
          <w:bCs w:val="0"/>
          <w:color w:val="auto"/>
          <w:sz w:val="28"/>
          <w:szCs w:val="28"/>
          <w:lang w:val="en-US" w:eastAsia="zh-CN"/>
        </w:rPr>
        <w:t>3.签订补充协议以双方协商为准。</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公文小标宋">
    <w:altName w:val="宋体"/>
    <w:panose1 w:val="02000500000000000000"/>
    <w:charset w:val="86"/>
    <w:family w:val="auto"/>
    <w:pitch w:val="default"/>
    <w:sig w:usb0="00000000" w:usb1="00000000" w:usb2="00000016" w:usb3="00000000" w:csb0="00040001" w:csb1="00000000"/>
    <w:embedRegular r:id="rId1" w:fontKey="{2D7CB31A-566D-48E6-B096-22C06E5FBECC}"/>
  </w:font>
  <w:font w:name="楷体">
    <w:panose1 w:val="02010609060101010101"/>
    <w:charset w:val="86"/>
    <w:family w:val="auto"/>
    <w:pitch w:val="default"/>
    <w:sig w:usb0="800002BF" w:usb1="38CF7CFA" w:usb2="00000016" w:usb3="00000000" w:csb0="00040001" w:csb1="00000000"/>
    <w:embedRegular r:id="rId2" w:fontKey="{EAB8224B-A19A-450B-8E92-4F164FD7DFD5}"/>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0C0CBA"/>
    <w:rsid w:val="00BD1FBB"/>
    <w:rsid w:val="12C56763"/>
    <w:rsid w:val="1F372797"/>
    <w:rsid w:val="296B7A4B"/>
    <w:rsid w:val="2BF248DD"/>
    <w:rsid w:val="2F2B5748"/>
    <w:rsid w:val="2F95231A"/>
    <w:rsid w:val="33DA70ED"/>
    <w:rsid w:val="350C0CBA"/>
    <w:rsid w:val="373A3104"/>
    <w:rsid w:val="3B39E8EC"/>
    <w:rsid w:val="3BF74460"/>
    <w:rsid w:val="3F3F16D3"/>
    <w:rsid w:val="44EE02A0"/>
    <w:rsid w:val="4E9764FE"/>
    <w:rsid w:val="661C75BD"/>
    <w:rsid w:val="6BDA3955"/>
    <w:rsid w:val="6D854318"/>
    <w:rsid w:val="BF773E65"/>
    <w:rsid w:val="CFFF4A4C"/>
    <w:rsid w:val="DE6C718C"/>
    <w:rsid w:val="E76D6E9E"/>
    <w:rsid w:val="EC2F913E"/>
    <w:rsid w:val="FFED9A1C"/>
    <w:rsid w:val="FFFB9E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629</Words>
  <Characters>634</Characters>
  <Lines>0</Lines>
  <Paragraphs>0</Paragraphs>
  <TotalTime>650</TotalTime>
  <ScaleCrop>false</ScaleCrop>
  <LinksUpToDate>false</LinksUpToDate>
  <CharactersWithSpaces>638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2026-03-26T18:55:00Z</dcterms:created>
  <dc:creator>小郑有点忙</dc:creator>
  <cp:lastModifiedBy>小郑有点忙</cp:lastModifiedBy>
  <dcterms:modified xsi:type="dcterms:W3CDTF">2026-06-29T09:09:29Z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21A39EADEFC8426EAD1400D7A395D16E_13</vt:lpwstr>
  </property>
  <property fmtid="{D5CDD505-2E9C-101B-9397-08002B2CF9AE}" pid="4" name="KSOTemplateDocerSaveRecord">
    <vt:lpwstr>eyJoZGlkIjoiNjNjMDIxNmIwZjE5ZjdiZWRiOGJkZmVlYzljNDRjNjQiLCJ1c2VySWQiOiI5Mjk2OTE3NzUifQ==</vt:lpwstr>
  </property>
</Properties>
</file>