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329BC">
      <w:pPr>
        <w:pStyle w:val="2"/>
        <w:keepNext w:val="0"/>
        <w:keepLines w:val="0"/>
        <w:widowControl/>
        <w:suppressLineNumbers w:val="0"/>
      </w:pPr>
      <w:r>
        <w:rPr>
          <w:rStyle w:val="5"/>
        </w:rPr>
        <w:t>供货/工期报价包含范围</w:t>
      </w:r>
      <w:r>
        <w:t>​</w:t>
      </w:r>
    </w:p>
    <w:p w14:paraId="0974925E">
      <w:pPr>
        <w:pStyle w:val="2"/>
        <w:keepNext w:val="0"/>
        <w:keepLines w:val="0"/>
        <w:widowControl/>
        <w:suppressLineNumbers w:val="0"/>
      </w:pPr>
      <w:r>
        <w:t>报价须为</w:t>
      </w:r>
      <w:r>
        <w:rPr>
          <w:rStyle w:val="5"/>
        </w:rPr>
        <w:t>全费用包干价</w:t>
      </w:r>
      <w:r>
        <w:t>，含主材（PVC塑胶地板）、辅材（胶水、焊条、自流平、踢脚线/楼梯防滑条）、运输、装卸、旧地面处理（如有）、铺装施工、垃圾清运、</w:t>
      </w:r>
      <w:r>
        <w:rPr>
          <w:rFonts w:hint="eastAsia"/>
          <w:lang w:val="en-US" w:eastAsia="zh-CN"/>
        </w:rPr>
        <w:t>环评检测、</w:t>
      </w:r>
      <w:r>
        <w:t>税费</w:t>
      </w:r>
      <w:r>
        <w:rPr>
          <w:rFonts w:hint="eastAsia"/>
          <w:lang w:val="en-US" w:eastAsia="zh-CN"/>
        </w:rPr>
        <w:t>以及办公家具搬运（施工前搬出指定位置，施工后恢复原位</w:t>
      </w:r>
      <w:bookmarkStart w:id="0" w:name="_GoBack"/>
      <w:bookmarkEnd w:id="0"/>
      <w:r>
        <w:rPr>
          <w:rFonts w:hint="eastAsia"/>
          <w:lang w:val="en-US" w:eastAsia="zh-CN"/>
        </w:rPr>
        <w:t>）</w:t>
      </w:r>
      <w:r>
        <w:t>等一切费用，成交后不再追加任何费用。竞价成交后</w:t>
      </w:r>
      <w:r>
        <w:rPr>
          <w:u w:val="single"/>
        </w:rPr>
        <w:t xml:space="preserve"> </w:t>
      </w:r>
      <w:r>
        <w:rPr>
          <w:rStyle w:val="5"/>
          <w:rFonts w:hint="eastAsia"/>
          <w:u w:val="single"/>
          <w:lang w:val="en-US" w:eastAsia="zh-CN"/>
        </w:rPr>
        <w:t>3</w:t>
      </w:r>
      <w:r>
        <w:rPr>
          <w:rStyle w:val="5"/>
        </w:rPr>
        <w:t>个工作日内</w:t>
      </w:r>
      <w:r>
        <w:t>送货至指定地点并完成铺装验收，</w:t>
      </w:r>
      <w:r>
        <w:rPr>
          <w:rFonts w:hint="eastAsia"/>
          <w:lang w:val="en-US" w:eastAsia="zh-CN"/>
        </w:rPr>
        <w:t>供应商不得以任何理由延迟交货时间和施工工期</w:t>
      </w:r>
      <w:r>
        <w:t>。</w:t>
      </w:r>
    </w:p>
    <w:p w14:paraId="3E4919ED">
      <w:pPr>
        <w:pStyle w:val="2"/>
        <w:keepNext w:val="0"/>
        <w:keepLines w:val="0"/>
        <w:widowControl/>
        <w:suppressLineNumbers w:val="0"/>
      </w:pPr>
      <w:r>
        <w:rPr>
          <w:rStyle w:val="5"/>
        </w:rPr>
        <w:t>资质与证明材料</w:t>
      </w:r>
      <w:r>
        <w:t>​</w:t>
      </w:r>
    </w:p>
    <w:p w14:paraId="716362F8">
      <w:pPr>
        <w:pStyle w:val="2"/>
        <w:keepNext w:val="0"/>
        <w:keepLines w:val="0"/>
        <w:widowControl/>
        <w:suppressLineNumbers w:val="0"/>
        <w:rPr>
          <w:rFonts w:hint="default" w:eastAsia="宋体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1.报价产品参数必须符合本采购清单及商务要求中的参数要求。 供应商须为徽采云平台注册合肥本地供应商，要有近</w:t>
      </w:r>
      <w:r>
        <w:rPr>
          <w:rFonts w:hint="default" w:ascii="宋体" w:hAnsi="宋体" w:eastAsia="宋体" w:cs="宋体"/>
          <w:sz w:val="24"/>
          <w:szCs w:val="24"/>
        </w:rPr>
        <w:t>2年内2所以上幼儿园施工经验，上传合同首尾页面，须上传营业执照。</w:t>
      </w:r>
      <w:r>
        <w:rPr>
          <w:rFonts w:ascii="宋体" w:hAnsi="宋体" w:eastAsia="宋体" w:cs="宋体"/>
          <w:sz w:val="24"/>
          <w:szCs w:val="24"/>
        </w:rPr>
        <w:t>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ascii="宋体" w:hAnsi="宋体" w:eastAsia="宋体" w:cs="宋体"/>
          <w:sz w:val="24"/>
          <w:szCs w:val="24"/>
        </w:rPr>
        <w:t>★须提供</w:t>
      </w:r>
      <w:r>
        <w:rPr>
          <w:rFonts w:hint="eastAsia" w:ascii="宋体" w:hAnsi="宋体" w:eastAsia="宋体" w:cs="宋体"/>
          <w:sz w:val="24"/>
          <w:szCs w:val="24"/>
        </w:rPr>
        <w:t>多层复合密实型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PVC卷材检测报告，包含特定元素迁移、甲醛释放量、五氯苯酚检测符合国家标准。2、</w:t>
      </w:r>
      <w:r>
        <w:rPr>
          <w:rFonts w:ascii="宋体" w:hAnsi="宋体" w:eastAsia="宋体" w:cs="宋体"/>
          <w:sz w:val="24"/>
          <w:szCs w:val="24"/>
        </w:rPr>
        <w:t>★须提供</w:t>
      </w:r>
      <w:r>
        <w:rPr>
          <w:rFonts w:hint="eastAsia" w:ascii="宋体" w:hAnsi="宋体" w:eastAsia="宋体" w:cs="宋体"/>
          <w:sz w:val="24"/>
          <w:szCs w:val="24"/>
        </w:rPr>
        <w:t>多层复合密实型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PVC卷材耐磨性检测报告，检测结果符合国家标准。3、</w:t>
      </w:r>
      <w:r>
        <w:rPr>
          <w:rFonts w:ascii="宋体" w:hAnsi="宋体" w:eastAsia="宋体" w:cs="宋体"/>
          <w:sz w:val="24"/>
          <w:szCs w:val="24"/>
        </w:rPr>
        <w:t>★须提供</w:t>
      </w:r>
      <w:r>
        <w:rPr>
          <w:rFonts w:hint="eastAsia" w:ascii="宋体" w:hAnsi="宋体" w:eastAsia="宋体" w:cs="宋体"/>
          <w:sz w:val="24"/>
          <w:szCs w:val="24"/>
        </w:rPr>
        <w:t>多层复合密实型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PVC卷依据GB 8624-2012材铺地材料燃烧性能检测报告，检测结果符合国家标准。4、</w:t>
      </w:r>
      <w:r>
        <w:rPr>
          <w:rFonts w:ascii="宋体" w:hAnsi="宋体" w:eastAsia="宋体" w:cs="宋体"/>
          <w:sz w:val="24"/>
          <w:szCs w:val="24"/>
        </w:rPr>
        <w:t>★须提供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同质透心PVC卷材依据GB 8624-2012 铺地材料燃烧性能检测报告，检测结果符合国家标准。5、</w:t>
      </w:r>
      <w:r>
        <w:rPr>
          <w:rFonts w:ascii="宋体" w:hAnsi="宋体" w:eastAsia="宋体" w:cs="宋体"/>
          <w:sz w:val="24"/>
          <w:szCs w:val="24"/>
        </w:rPr>
        <w:t>★须提供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同质透心PVC卷材依据GB 18586-2001可溶性重金属、氯乙烯单体、挥发物检测报告，检测结果符合国家标准。6、</w:t>
      </w:r>
      <w:r>
        <w:rPr>
          <w:rFonts w:ascii="宋体" w:hAnsi="宋体" w:eastAsia="宋体" w:cs="宋体"/>
          <w:sz w:val="24"/>
          <w:szCs w:val="24"/>
        </w:rPr>
        <w:t>★须提供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PVC楼梯踏步依据GB 6675.4-2014 邻苯二甲酸、特定元素迁移检测报告，检测结果符合国家标准。</w:t>
      </w:r>
    </w:p>
    <w:p w14:paraId="2616A870">
      <w:pPr>
        <w:pStyle w:val="2"/>
        <w:keepNext w:val="0"/>
        <w:keepLines w:val="0"/>
        <w:widowControl/>
        <w:suppressLineNumbers w:val="0"/>
      </w:pPr>
      <w:r>
        <w:rPr>
          <w:rFonts w:ascii="宋体" w:hAnsi="宋体" w:eastAsia="宋体" w:cs="宋体"/>
          <w:sz w:val="24"/>
          <w:szCs w:val="24"/>
        </w:rPr>
        <w:t>三：具体要求：1.★项为实质性响应内容，为保障响应资料的真实合法性须提供带“CMA、CNAS”标志的检测报告。相关证书与检测报告须附带国家认证认可监督管理委员会官网（www.cnca.gov.cn）查询截图，加盖制造商鲜章进行佐证，不满足或未提供按无效竞价响应处理。</w:t>
      </w:r>
      <w:r>
        <w:rPr>
          <w:rFonts w:hint="default" w:ascii="宋体" w:hAnsi="宋体" w:eastAsia="宋体" w:cs="宋体"/>
          <w:sz w:val="24"/>
          <w:szCs w:val="24"/>
        </w:rPr>
        <w:t>2.</w:t>
      </w:r>
      <w:r>
        <w:rPr>
          <w:rFonts w:ascii="宋体" w:hAnsi="宋体" w:eastAsia="宋体" w:cs="宋体"/>
          <w:sz w:val="24"/>
          <w:szCs w:val="24"/>
        </w:rPr>
        <w:t>中标公示后1个工作日内，成交单位携带生产厂商相关检测报告并加盖厂家公章（原件备查）签订合同，若成交单位提供虚假信息或产品或不能履约供货，违背公告约定条款，我方有权单方面终止采购合同，将上报监管部门，并追究相应责任。</w:t>
      </w:r>
      <w:r>
        <w:rPr>
          <w:rFonts w:hint="default" w:ascii="宋体" w:hAnsi="宋体" w:eastAsia="宋体" w:cs="宋体"/>
          <w:sz w:val="24"/>
          <w:szCs w:val="24"/>
        </w:rPr>
        <w:t>3</w:t>
      </w:r>
      <w:r>
        <w:rPr>
          <w:rFonts w:ascii="宋体" w:hAnsi="宋体" w:eastAsia="宋体" w:cs="宋体"/>
          <w:sz w:val="24"/>
          <w:szCs w:val="24"/>
        </w:rPr>
        <w:t>质量标准须为原装正品，并符合国家及行业有关标准。 四：供货期限：竞价成功后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ascii="宋体" w:hAnsi="宋体" w:eastAsia="宋体" w:cs="宋体"/>
          <w:sz w:val="24"/>
          <w:szCs w:val="24"/>
        </w:rPr>
        <w:t>个工作日内完成供货安装及验收。 五：产品质保期：质保期</w:t>
      </w:r>
      <w:r>
        <w:rPr>
          <w:rFonts w:hint="default" w:ascii="宋体" w:hAnsi="宋体" w:eastAsia="宋体" w:cs="宋体"/>
          <w:sz w:val="24"/>
          <w:szCs w:val="24"/>
        </w:rPr>
        <w:t>3</w:t>
      </w:r>
      <w:r>
        <w:rPr>
          <w:rFonts w:ascii="宋体" w:hAnsi="宋体" w:eastAsia="宋体" w:cs="宋体"/>
          <w:sz w:val="24"/>
          <w:szCs w:val="24"/>
        </w:rPr>
        <w:t>年，</w:t>
      </w:r>
      <w:r>
        <w:rPr>
          <w:rFonts w:hint="default" w:ascii="宋体" w:hAnsi="宋体" w:eastAsia="宋体" w:cs="宋体"/>
          <w:sz w:val="24"/>
          <w:szCs w:val="24"/>
        </w:rPr>
        <w:t>3</w:t>
      </w:r>
      <w:r>
        <w:rPr>
          <w:rFonts w:ascii="宋体" w:hAnsi="宋体" w:eastAsia="宋体" w:cs="宋体"/>
          <w:sz w:val="24"/>
          <w:szCs w:val="24"/>
        </w:rPr>
        <w:t>年内如发现任何非人为质量问题，则需2小时内安排人员上门维修处理。质保期自项目验收合格次日起计算。质保期内要求免费提供维修服务和有关的技术咨询服务，并严格按照国家三包规定执行；质保期满后，以成本价提供维修服务和所需的材料。</w:t>
      </w:r>
    </w:p>
    <w:p w14:paraId="41C2FD0D">
      <w:pPr>
        <w:rPr>
          <w:rFonts w:hint="default"/>
        </w:rPr>
      </w:pPr>
      <w:r>
        <w:t>四：违约责任</w:t>
      </w:r>
      <w:r>
        <w:rPr>
          <w:rFonts w:hint="default"/>
        </w:rPr>
        <w:t>.恶意低价中标后拒绝签约、货不对板或逾期交货，采购人有权取消成交并追缴违约金（通常为合同金额5%），参于竞价即视力完全知悉并接受以上合部商务条款及技术参数要求，不满足以上要求者恶意报价，将上报财政监管部门进行严厉处罚，要求财政部门将其列入不良记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816E1"/>
    <w:rsid w:val="1BA91047"/>
    <w:rsid w:val="49DA1098"/>
    <w:rsid w:val="714F0DEA"/>
    <w:rsid w:val="7BFA7A4D"/>
    <w:rsid w:val="EDFFF0FD"/>
    <w:rsid w:val="F7EEB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bookmark-item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1041</Words>
  <Characters>1117</Characters>
  <Lines>0</Lines>
  <Paragraphs>0</Paragraphs>
  <TotalTime>44</TotalTime>
  <ScaleCrop>false</ScaleCrop>
  <LinksUpToDate>false</LinksUpToDate>
  <CharactersWithSpaces>1127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2026-07-10T14:37:00Z</dcterms:created>
  <dc:creator>Administrator</dc:creator>
  <cp:lastModifiedBy>梦笔生花</cp:lastModifiedBy>
  <dcterms:modified xsi:type="dcterms:W3CDTF">2026-07-14T01:05:19Z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eyJoZGlkIjoiZmJiODkxOWY0NGEwMGMxY2FmMTU5OWNkMjZhNWVkM2QiLCJ1c2VySWQiOiI0NzI0NjgwOTQifQ==</vt:lpwstr>
  </property>
  <property fmtid="{D5CDD505-2E9C-101B-9397-08002B2CF9AE}" pid="4" name="ICV">
    <vt:lpwstr>FD1C2A712AF464DE802A506A315D0C07_43</vt:lpwstr>
  </property>
</Properties>
</file>