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bCs/>
          <w:w w:val="90"/>
          <w:kern w:val="44"/>
          <w:sz w:val="32"/>
          <w:szCs w:val="32"/>
        </w:rPr>
      </w:pPr>
      <w:r>
        <w:rPr>
          <w:rFonts w:hint="eastAsia" w:ascii="宋体" w:hAnsi="宋体" w:eastAsia="宋体"/>
          <w:b/>
          <w:bCs/>
          <w:w w:val="90"/>
          <w:kern w:val="44"/>
          <w:sz w:val="32"/>
          <w:szCs w:val="32"/>
          <w:lang w:val="en-US" w:eastAsia="zh-CN"/>
        </w:rPr>
        <w:t>合肥包河区妇女儿童保健中心</w:t>
      </w:r>
      <w:r>
        <w:rPr>
          <w:rFonts w:hint="eastAsia" w:ascii="宋体" w:hAnsi="宋体" w:eastAsia="宋体"/>
          <w:b/>
          <w:bCs/>
          <w:w w:val="90"/>
          <w:kern w:val="44"/>
          <w:sz w:val="32"/>
          <w:szCs w:val="32"/>
        </w:rPr>
        <w:t>LED室内彩屏</w:t>
      </w:r>
    </w:p>
    <w:p>
      <w:pPr>
        <w:pStyle w:val="2"/>
        <w:jc w:val="center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/>
          <w:b/>
          <w:bCs/>
          <w:w w:val="90"/>
          <w:kern w:val="44"/>
          <w:sz w:val="32"/>
          <w:szCs w:val="32"/>
          <w:lang w:val="en-US" w:eastAsia="zh-CN"/>
        </w:rPr>
        <w:t>参数及规格</w:t>
      </w:r>
      <w:bookmarkStart w:id="0" w:name="_GoBack"/>
      <w:bookmarkEnd w:id="0"/>
      <w:r>
        <w:rPr>
          <w:rFonts w:hint="eastAsia" w:ascii="宋体" w:hAnsi="宋体" w:eastAsia="宋体"/>
          <w:b/>
          <w:bCs/>
          <w:w w:val="90"/>
          <w:kern w:val="44"/>
          <w:sz w:val="32"/>
          <w:szCs w:val="32"/>
          <w:lang w:val="en-US" w:eastAsia="zh-CN"/>
        </w:rPr>
        <w:t>要求</w:t>
      </w:r>
    </w:p>
    <w:p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LED小间距模组显示系统：屏体部分（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P1.25</w:t>
      </w: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）。</w:t>
      </w:r>
    </w:p>
    <w:tbl>
      <w:tblPr>
        <w:tblStyle w:val="6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73"/>
        <w:gridCol w:w="4854"/>
        <w:gridCol w:w="697"/>
        <w:gridCol w:w="587"/>
        <w:gridCol w:w="700"/>
        <w:gridCol w:w="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5" w:hRule="atLeast"/>
          <w:jc w:val="center"/>
        </w:trPr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4854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产品规格参数</w:t>
            </w:r>
          </w:p>
        </w:tc>
        <w:tc>
          <w:tcPr>
            <w:tcW w:w="697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品牌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数量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5" w:hRule="atLeast"/>
          <w:jc w:val="center"/>
        </w:trPr>
        <w:tc>
          <w:tcPr>
            <w:tcW w:w="6237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1、LED显示系统　</w:t>
            </w:r>
          </w:p>
        </w:tc>
        <w:tc>
          <w:tcPr>
            <w:tcW w:w="697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20" w:hRule="atLeast"/>
          <w:jc w:val="center"/>
        </w:trPr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LED室内全彩显示屏</w:t>
            </w:r>
          </w:p>
        </w:tc>
        <w:tc>
          <w:tcPr>
            <w:tcW w:w="4854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1.像素间距≤1.25mm；1R1G1B像素结构，SMD表贴三合一，竖向线性排列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;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2.换帧频率：50/60Hz；刷新率：≥3840Hz；可视角度：水平≥178°垂直≥178°；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3.亮度：0-2000 cd/㎡可调；对比度：≥20000:1；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4.亮度均匀性：≥99%；色度均匀性≤0.0005 Cx,Cy之内；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5.峰值功耗：≤240W/㎡，平均功耗：≤90W/㎡；产品使用无风扇静音设计并带PFC功能的开关电源，功率因素≥0.98；低功耗设计，同时具有动态节能处理，带有智能(黑屏)节电功能，开启智能节电功能比没有开启节能60%以上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6.产品在正常播放视频状态下，点亮5分钟后产品表面温度升幅≤2℃,点亮10分钟后其温度升幅≤5℃；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7.色域覆盖率（NTSC）：≥120%；色温：800K-30000K可调；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8.屏体正面为黑色哑光处理，反光率小于1%；采用黑色防眩光设计，防止眩光影响可提升视觉观感；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9.支持热插拔功能；支持实时检测显示屏工作状态，具有故障自动告警功能；支持LED单点失控点检测，失控点数据回传功能；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10.显示图像清晰度、大面积色彩还原、回扫线和频闪现象、伪轮廓现象、亮度鉴别等级、拼装精度等根据SJ/T 11590-2016LED显示屏图像质量主观评价方法的标准要求评价为优；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11.符合CESI产品认证实施规则CESI-PC-0D66中8K超高清显示；CESI-PC-0D74中HDR3.0的要求；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12.显示屏产品符合GB/T24021-2024 idt ISO14021:2016技术要求。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13.为提升大屏显示效果，具有图像清晰度优化处理功能。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14.为保证技术前瞻性，支持5G高清操控系统。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15.具有减小显示屏箱体间拼缝宽度的拼接显示装置技术，提升显示效果。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16.具有8K超高清电视制播呈现平台及应用项目实施能力。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</w:pPr>
            <w:r>
              <w:rPr>
                <w:rFonts w:hint="eastAsia" w:ascii="宋体" w:hAnsi="宋体" w:eastAsia="宋体"/>
                <w:sz w:val="18"/>
                <w:szCs w:val="18"/>
              </w:rPr>
              <w:t>17.具备补偿显示装置的亮度与色度的技术，提升显示效果。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18.屏幕实际安装尺寸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以现场预留洞口大小及业主单位要求为准；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19.中标人需另外提供4块同品牌同型号的备品。</w:t>
            </w:r>
          </w:p>
        </w:tc>
        <w:tc>
          <w:tcPr>
            <w:tcW w:w="697" w:type="dxa"/>
            <w:shd w:val="clear" w:color="auto" w:fill="auto"/>
            <w:vAlign w:val="center"/>
          </w:tcPr>
          <w:p>
            <w:pPr>
              <w:widowControl/>
              <w:snapToGrid w:val="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京东方BTQ012ECO</w:t>
            </w: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约4.6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大屏终端控制软件</w:t>
            </w:r>
          </w:p>
        </w:tc>
        <w:tc>
          <w:tcPr>
            <w:tcW w:w="4854" w:type="dxa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软件支持自动搜索连接终端，并进行屏体配置、节目发布、播放控制等</w:t>
            </w:r>
          </w:p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.支持多窗口自定义布局播放，可任意设定播放窗口分辨率，同时支持多种标准分辨率选择，可根据X、Y偏移和宽高任意设定窗口布局方式，窗口数量不限。</w:t>
            </w:r>
          </w:p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.支持局域网内实时控制，包括重启终端、软件更新、音量调节、显示屏亮度调节、双模切换（需使用诺瓦Taurus系列多媒体播放盒）、支持开关屏。</w:t>
            </w:r>
          </w:p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.支持查看媒体播放日志，并支持以日期范围、类型等条件进行查询。</w:t>
            </w:r>
          </w:p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.支持远局域网设置对时，对时需支持NTP、射频对时、GPS对时多种方式。</w:t>
            </w:r>
          </w:p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.软件支持节目导入和导出，导出到U盘支持即插即播和拷贝播放两种方式。</w:t>
            </w:r>
          </w:p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.支持高级节目由节目经过排期形成。 用户可新建、编辑、删除、导入、导出和发布高级节目。</w:t>
            </w:r>
          </w:p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.支持播放设备字体管理，用户可以进行添加、删除操作。</w:t>
            </w:r>
          </w:p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.支持手动开启或关闭显示屏、风扇等的电源，以及设置电源定时控制规则</w:t>
            </w:r>
          </w:p>
        </w:tc>
        <w:tc>
          <w:tcPr>
            <w:tcW w:w="69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诺瓦屏精灵</w:t>
            </w: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817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6237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2 控制设备以及配套设备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9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视频处理器</w:t>
            </w:r>
          </w:p>
        </w:tc>
        <w:tc>
          <w:tcPr>
            <w:tcW w:w="4854" w:type="dxa"/>
            <w:shd w:val="clear" w:color="auto" w:fill="auto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1、最小支持2160P视屏流畅播放；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、采用标准 19 英寸金属结构机箱，机箱为后挂耳结构，上盖无螺钉安装:外壳防护等级符合GBIT 4280-2017中IP20的要求;采用纯硬件 FPGA 架构设计、运行稳定、可靠、高效。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、输入接口包括1路HDMI2.0+LOOP,2路HDMI1.3，1路USB3.0，支持选配1路3G-SDI（IN+LOOP），最大支持4096*2160@60HZ信号输入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、视频输出支持6路千兆网口输出，1路10G-OPT光口，最大带载高达390万像素，最宽支持10240,最高8192。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、音频输入支持视频口伴随音频输入及独立输入两种模式，音频输出支持网口扩展输出及3.5mm独立音频口输出；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、支持输入源备份功能，主源丢失下，无需人为操作可自动切换至备源显示，切换过程无黑屏；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、最大支持144HZ高帧率输入输出，输出支持插帧、抽帧、倍频（2倍频、3倍频、4倍频）功能，可将30HZ信号，倍频至120HZ输出；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、最大可支持6个2K图层或1个4K图层+2个2K图层，全部图层大小和位置可单独调节。4K接口输入2K图层，按2K图层计算图层资源；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支持通过上位机软件实现对显示屏的连接，控制，包括：输入源切换，窗口位置及大小调节，分辨率自定义等；软件端支持可视化呈现设备各接口实时状态，包括视频输入状态及分辨率、网口带载利用率、监控界面支持接收卡温度、电压、误码率、通讯状态等的检测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支持U盘即插即播功能，最大支持4K级（3840*2160@60fps）图片和视频的流畅播放，播放列表计切换效果支持自定义编排，最多支持20余种图片切换特效，包括水波涟漪、镜头拉近、直接推出、立体翻转、百叶窗、左右擦除、上下擦除、立方体旋转、溶解转场、网格转场、扇扫转场、画卷转场、淡入淡出、旋转扭曲、心形转场、拉帘推出、透视三角、圆形消失、矩形弹跳、星形旋转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、标配全彩液晶，搭配实体按键，极大的方便了设备整体状态的监控及设备功能的控制:设备功能按键及丝印信息采用全中文提示，项目上无需粘贴额外的标签纸加以区分，清晰直观;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、支持2种用户模式，标准模式和专业模式，满足不同角色对显示屏的分权管理，使用更加放心；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、支持微信小程序快捷控制，包括亮度调节、输出画质调节、待机模式、画面冻结、场景切换、U盘播放等功能；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、支持平板对控制器进行快捷控制，包括亮度调节、图层布局调节、画面冻结、黑屏、场景切换、音量大小、OSD开关等功能；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、支持创建多个设备还原点，将当前设备的配屏，场景，输出等参数存储为还原点，当系统工作异常时，可根据还原点一键快速还原；</w:t>
            </w:r>
          </w:p>
          <w:p>
            <w:pPr>
              <w:widowControl/>
              <w:snapToGrid w:val="0"/>
              <w:jc w:val="left"/>
              <w:rPr>
                <w:rFonts w:ascii="宋体" w:hAnsi="宋体" w:eastAsia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、支持控制设备白名单，可通过MAC地址限制控制设备，非白名单内设备无法控制设备，不允许对设备进行操作；</w:t>
            </w:r>
          </w:p>
        </w:tc>
        <w:tc>
          <w:tcPr>
            <w:tcW w:w="69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诺瓦V8</w:t>
            </w: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配电柜</w:t>
            </w:r>
          </w:p>
        </w:tc>
        <w:tc>
          <w:tcPr>
            <w:tcW w:w="4854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额定功率：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温度，湿度，烟雾，配电箱开/关门，剩余电流，浸水等异常时，可以给手机/PC发信息通知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、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软件实时监控温度，湿度，烟雾，电流，电压，电功率，剩余电流，浸水，过欠压，缺相， 配电箱开关门，通道开关显示情况等等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支持分布式阶级上电/断电功能；支持高温断电，高湿断电，烟雾断电，过流过压欠压断电</w:t>
            </w:r>
          </w:p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支持手机，电脑，IPAD控制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配电箱及周边情况视频实时监控，</w:t>
            </w:r>
          </w:p>
        </w:tc>
        <w:tc>
          <w:tcPr>
            <w:tcW w:w="697" w:type="dxa"/>
            <w:shd w:val="clear" w:color="auto" w:fill="auto"/>
            <w:vAlign w:val="center"/>
          </w:tcPr>
          <w:p/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6237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3 安装辅材</w:t>
            </w:r>
          </w:p>
        </w:tc>
        <w:tc>
          <w:tcPr>
            <w:tcW w:w="697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587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51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结构边框（含装饰边条）</w:t>
            </w:r>
          </w:p>
        </w:tc>
        <w:tc>
          <w:tcPr>
            <w:tcW w:w="4854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3"/>
              </w:numPr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全工业设计，组合式结构，可对照图纸装配，方便快捷，易于安装与拆卸；LED专用支架，采用加厚五金固件加工而成，坚固耐用，不易变形，耐腐蚀，防静电。</w:t>
            </w:r>
          </w:p>
          <w:p>
            <w:pPr>
              <w:widowControl/>
              <w:numPr>
                <w:ilvl w:val="0"/>
                <w:numId w:val="3"/>
              </w:numPr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装饰包边左右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共约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100mm，上下包边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共约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100mm</w:t>
            </w:r>
          </w:p>
          <w:p>
            <w:pPr>
              <w:widowControl/>
              <w:snapToGrid w:val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3、实际安装尺寸以现场预留洞口大小为准；</w:t>
            </w:r>
          </w:p>
        </w:tc>
        <w:tc>
          <w:tcPr>
            <w:tcW w:w="69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约5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817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51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综合布线</w:t>
            </w:r>
          </w:p>
        </w:tc>
        <w:tc>
          <w:tcPr>
            <w:tcW w:w="4854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4"/>
              </w:numPr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配电系统的主进线缆（含电源线、网线）</w:t>
            </w:r>
          </w:p>
          <w:p>
            <w:pPr>
              <w:widowControl/>
              <w:numPr>
                <w:ilvl w:val="0"/>
                <w:numId w:val="4"/>
              </w:numPr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配电柜到大屏的电源线、控制端到大屏的信号线铺设至大屏安装位置(冗余一定长度)</w:t>
            </w:r>
          </w:p>
        </w:tc>
        <w:tc>
          <w:tcPr>
            <w:tcW w:w="69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58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817" w:type="dxa"/>
            <w:shd w:val="clear" w:color="auto" w:fill="auto"/>
          </w:tcPr>
          <w:p/>
        </w:tc>
      </w:tr>
    </w:tbl>
    <w:p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LED小间距模组显示系统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屏体部分（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P1.86</w:t>
      </w: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）</w:t>
      </w:r>
    </w:p>
    <w:tbl>
      <w:tblPr>
        <w:tblStyle w:val="6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73"/>
        <w:gridCol w:w="4732"/>
        <w:gridCol w:w="819"/>
        <w:gridCol w:w="660"/>
        <w:gridCol w:w="627"/>
        <w:gridCol w:w="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5" w:hRule="atLeast"/>
          <w:jc w:val="center"/>
        </w:trPr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873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4732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产品规格参数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品牌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数量</w:t>
            </w:r>
          </w:p>
        </w:tc>
        <w:tc>
          <w:tcPr>
            <w:tcW w:w="627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单位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6" w:hRule="atLeast"/>
          <w:jc w:val="center"/>
        </w:trPr>
        <w:tc>
          <w:tcPr>
            <w:tcW w:w="6115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1、LED显示系统　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66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62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20" w:hRule="atLeast"/>
          <w:jc w:val="center"/>
        </w:trPr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LED室内全彩显示屏</w:t>
            </w:r>
          </w:p>
        </w:tc>
        <w:tc>
          <w:tcPr>
            <w:tcW w:w="4732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1.像素间距≤1.86mm；像素组成:1R1G1B，SMD表贴三合一，竖向线性排列；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2.换帧频率：20Hz-240Hz帧率自适应调节；刷新率：760Hz-7680Hz；可视角度：水平≥178°垂直≥178°；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3.亮度：0-2000 cd/㎡可调；对比度：≥20000:1；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4.亮度均匀性：≥99%；色度均匀性≤0.0005 Cx,Cy之内；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5.峰值功耗：≤300W/㎡，平均功耗：≤100W/㎡；产品使用无风扇静音设计并带PFC功能的开关电源，功率因素≥0.98；低功耗设计，同时具有动态节能处理，带有智能(黑屏)节电功能，开启智能节电功能比没有开启节能60%以上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6.产品在正常播放视频状态下，点亮5分钟后产品表面温度升幅≤2℃,点亮10分钟后其温度升幅≤5℃；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7.色域覆盖率（NTSC）：≥120%；色温：1000K-30000K可调；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8.屏体正面为黑色哑光处理，反光率小于1%；采用黑色防眩光设计，防止眩光影响可提升视觉观感；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9.支持热插拔功能；支持实时检测显示屏工作状态，具有故障自动告警功能；支持LED单点失控点检测，失控点数据回传功能；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10.显示图像清晰度、大面积色彩还原、回扫线和频闪现象、伪轮廓现象、亮度鉴别等级、拼装精度等根据SJ/T 11590-2016LED显示屏图像质量主观评价方法的标准要求评价为优；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11.为有效保证产品质量，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报价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产品需具有3C认证，CQC认证，环境标志（II型）产品认证。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12.符合CESI产品认证实施规则CESI-PC-0D66中8K超高清显示；CESI-PC-0D74中HDR3.0的要求；CESI-PC-0D11中色彩品质A级的要求；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13.具有LED显示管理功能、LED图像清晰度优化处理功能、LED控制系统5G高清操控功能、可视化综合应用管理平台系统、显示屏边缘亮线暗线调整功能。</w:t>
            </w:r>
          </w:p>
          <w:p>
            <w:pPr>
              <w:numPr>
                <w:ilvl w:val="0"/>
                <w:numId w:val="1"/>
              </w:numPr>
              <w:snapToGrid w:val="0"/>
              <w:ind w:left="0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14.具备补偿显示装置的亮度与色度的方法及相关设备技术；显示屏箱体、显示模组以及拼接显示装置技术；断点自修复像素驱动电路、驱动方法及显示装置技术。</w:t>
            </w:r>
          </w:p>
          <w:p>
            <w:pPr>
              <w:rPr>
                <w:rFonts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.中标人需另外提供4块同品牌同型号的备品。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snapToGrid w:val="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京东方BTQ018ECO</w:t>
            </w:r>
          </w:p>
        </w:tc>
        <w:tc>
          <w:tcPr>
            <w:tcW w:w="66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约13.1</w:t>
            </w:r>
          </w:p>
        </w:tc>
        <w:tc>
          <w:tcPr>
            <w:tcW w:w="62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大屏终端控制软件</w:t>
            </w:r>
          </w:p>
        </w:tc>
        <w:tc>
          <w:tcPr>
            <w:tcW w:w="4732" w:type="dxa"/>
            <w:shd w:val="clear" w:color="auto" w:fill="auto"/>
            <w:vAlign w:val="center"/>
          </w:tcPr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软件支持自动搜索连接终端，并进行屏体配置、节目发布、播放控制等</w:t>
            </w:r>
          </w:p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.支持多窗口自定义布局播放，可任意设定播放窗口分辨率，同时支持多种标准分辨率选择，可根据X、Y偏移和宽高任意设定窗口布局方式，窗口数量不限。</w:t>
            </w:r>
          </w:p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.支持局域网内实时控制，包括重启终端、软件更新、音量调节、显示屏亮度调节、双模切换（需使用诺瓦Taurus系列多媒体播放盒）、支持开关屏。</w:t>
            </w:r>
          </w:p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.支持查看媒体播放日志，并支持以日期范围、类型等条件进行查询。</w:t>
            </w:r>
          </w:p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.支持远局域网设置对时，对时需支持NTP、射频对时、GPS对时多种方式。</w:t>
            </w:r>
          </w:p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.软件支持节目导入和导出，导出到U盘支持即插即播和拷贝播放两种方式。</w:t>
            </w:r>
          </w:p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.支持高级节目由节目经过排期形成。 用户可新建、编辑、删除、导入、导出和发布高级节目。</w:t>
            </w:r>
          </w:p>
          <w:p>
            <w:pPr>
              <w:numPr>
                <w:ilvl w:val="0"/>
                <w:numId w:val="2"/>
              </w:numPr>
              <w:snapToGrid w:val="0"/>
              <w:ind w:left="0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.支持播放设备字体管理，用户可以进行添加、删除操作。</w:t>
            </w:r>
          </w:p>
          <w:p>
            <w:pPr>
              <w:numPr>
                <w:ilvl w:val="0"/>
                <w:numId w:val="2"/>
              </w:numPr>
              <w:snapToGrid w:val="0"/>
              <w:ind w:left="0" w:leftChars="0" w:hanging="420" w:firstLineChars="0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.支持手动开启或关闭显示屏、风扇等的电源，以及设置电源定时控制规则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诺瓦屏精灵</w:t>
            </w:r>
          </w:p>
        </w:tc>
        <w:tc>
          <w:tcPr>
            <w:tcW w:w="66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2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817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6115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18"/>
                <w:szCs w:val="18"/>
              </w:rPr>
              <w:t>2 控制设备以及配套设备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6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2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视频处理器</w:t>
            </w:r>
          </w:p>
        </w:tc>
        <w:tc>
          <w:tcPr>
            <w:tcW w:w="4732" w:type="dxa"/>
            <w:shd w:val="clear" w:color="auto" w:fill="auto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1、最小支持2160P视屏流畅播放；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、采用标准 19 英寸金属结构机箱，机箱为后挂耳结构，上盖无螺钉安装:外壳防护等级符合GBIT 4280-2017中IP20的要求;采用纯硬件 FPGA 架构设计、运行稳定、可靠、高效。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、输入接口至少包含1路HDMI2.0，1路DP1.2，4路HDMI1.3，1路USB3.0，支持选配1路3G-SDI（IN+LOOP），最大支持2路4096*2160@60HZ信号输入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、视频输出支持可达16路千兆网口输出，2路10G-OPT光口，最大带载可达1040万像素，最宽支持16384,最高8192。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、音频输入支持视频口伴随音频输入及独立输入两种模式，音频输出支持网口扩展输出及3.5mm独立音频口输出；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、支持输入源备份功能，主源丢失下，无需人为操作可自动切换至备源显示，切换过程无黑屏；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、可支持144HZ高帧率输入输出，输出支持插帧、抽帧、倍频（2倍频、3倍频、4倍频）功能，可将30HZ信号，倍频至120HZ输出；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、图层能力：支持不少于12个2K图层或6个4K*1K图层或3个4K*2K图层，全部图层大小和位置可单独调节。4K接口输入2K信号，按2K图层计算图层资源；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支持通过上位机软件实现对显示屏的连接，控制，包括：输入源切换，窗口位置及大小调节，分辨率自定义等；软件端支持可视化呈现设备各接口实时状态，包括视频输入状态及分辨率、网口带载利用率、监控界面支持接收卡温度、电压、误码率、通讯状态等的检测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支持U盘即插即播功能，最大支持4K级（3840*2160@60fps）图片和视频的流畅播放，播放列表计切换效果支持自定义编排，最多支持20余种图片切换特效，如：水波涟漪、镜头拉近、直接推出、立体翻转、百叶窗、左右擦除、上下擦除、立方体旋转、溶解转场、网格转场、扇扫转场、画卷转场、淡入淡出、旋转扭曲、心形转场、拉帘推出、透视三角、圆形消失、矩形弹跳、星形旋转等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、设备标配全彩液晶，搭配实体按键，方便对设备整体状态的监控及设备功能的控制:设备功能按键及丝印信息采用全中文提示；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、支持不少于2种用户模式设置，满足不同角色对显示屏的分权管理，使用更加放心；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、支持微信小程序快捷控制，包括但不限于亮度调节、输出画质调节、待机模式、画面冻结、场景切换、U盘播放等功能；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、支持平板对控制器进行快捷控制，包括但不限于亮度调节、图层布局调节、画面冻结、黑屏、场景切换、音量大小、OSD开关等功能；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、支持创建设备还原点，将当前设备的相关参数存储为还原点，当系统工作异常时，可根据还原点一键快速还原；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、支持控制设备白名单，可通过MAC地址限制控制设备，非白名单内设备无法控制设备，不允许对设备进行操作；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、MTBF≥150000小时，MTTR平均修复小于10分钟 可用度大于 99%，整机寿命不小于150000小时。产品稳定性高、性能卓越、纯硬件结构，上电即可正常工作，无需做任何其它设置。</w:t>
            </w:r>
          </w:p>
          <w:p>
            <w:pPr>
              <w:widowControl/>
              <w:snapToGrid w:val="0"/>
              <w:jc w:val="left"/>
              <w:rPr>
                <w:rFonts w:ascii="宋体" w:hAnsi="宋体" w:eastAsia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、设备控制支持BS架构，可兼容多种操作系统包括但不限于：Windows、MAC OS、深度 Linux、银河麒麟、统信 UOS中标麒麟(NeoKylin)、优麒麟(UbuntuKylin)、凝思磐石、红旗 Linux 等;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诺瓦V10</w:t>
            </w:r>
          </w:p>
        </w:tc>
        <w:tc>
          <w:tcPr>
            <w:tcW w:w="66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配电柜</w:t>
            </w:r>
          </w:p>
        </w:tc>
        <w:tc>
          <w:tcPr>
            <w:tcW w:w="4732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额定功率：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0KW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温度，湿度，烟雾，配电箱开/关门，剩余电流，浸水等异常时，可以给手机/PC发信息通知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、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软件实时监控温度，湿度，烟雾，电流，电压，电功率，剩余电流，浸水，过欠压，缺相， 配电箱开关门，通道开关显示情况等等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支持分布式阶级上电/断电功能；支持高温断电，高湿断电，烟雾断电，过流过压欠压断电</w:t>
            </w:r>
          </w:p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支持手机，电脑，IPAD控制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配电箱及周边情况视频实时监控，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66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2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51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综合屏控制盒</w:t>
            </w:r>
          </w:p>
        </w:tc>
        <w:tc>
          <w:tcPr>
            <w:tcW w:w="4732" w:type="dxa"/>
            <w:shd w:val="clear" w:color="auto" w:fill="auto"/>
            <w:vAlign w:val="center"/>
          </w:tcPr>
          <w:p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CPU：四核及以上；</w:t>
            </w:r>
          </w:p>
          <w:p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内存：2G及以上内存；</w:t>
            </w:r>
          </w:p>
          <w:p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存储：16G及以上；</w:t>
            </w:r>
          </w:p>
          <w:p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支持循环、定时、插播等多种播放模式；</w:t>
            </w:r>
          </w:p>
          <w:p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解码分辨率最高支持3840*2160。</w:t>
            </w:r>
          </w:p>
          <w:p>
            <w:pPr>
              <w:widowControl/>
              <w:numPr>
                <w:ilvl w:val="-1"/>
                <w:numId w:val="0"/>
              </w:numPr>
              <w:snapToGrid w:val="0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（6）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支持多个分屏播放、rss、PDF、幻灯片文件以及TXT走流水字幕。内置集成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排队叫号软件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。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66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2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817" w:type="dxa"/>
            <w:shd w:val="clear" w:color="auto" w:fill="auto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6115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3 安装辅材</w:t>
            </w:r>
          </w:p>
        </w:tc>
        <w:tc>
          <w:tcPr>
            <w:tcW w:w="819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27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17" w:type="dxa"/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51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结构边框（含装饰边条）</w:t>
            </w:r>
          </w:p>
        </w:tc>
        <w:tc>
          <w:tcPr>
            <w:tcW w:w="4732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5"/>
              </w:numPr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全工业设计，组合式结构，可对照图纸装配，方便快捷，易于安装与拆卸；LED专用支架，采用加厚五金固件加工而成，坚固耐用，不易变形，耐腐蚀，防静电。</w:t>
            </w:r>
          </w:p>
          <w:p>
            <w:pPr>
              <w:widowControl/>
              <w:numPr>
                <w:ilvl w:val="0"/>
                <w:numId w:val="5"/>
              </w:numPr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装饰包边左右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共约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100mm，上下包边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共约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100mm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3、实际安装尺寸以现场预留洞口大小为准；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66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约14.1</w:t>
            </w:r>
          </w:p>
        </w:tc>
        <w:tc>
          <w:tcPr>
            <w:tcW w:w="62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平方米</w:t>
            </w:r>
          </w:p>
        </w:tc>
        <w:tc>
          <w:tcPr>
            <w:tcW w:w="817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51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综合布线</w:t>
            </w:r>
          </w:p>
        </w:tc>
        <w:tc>
          <w:tcPr>
            <w:tcW w:w="4732" w:type="dxa"/>
            <w:shd w:val="clear" w:color="auto" w:fill="auto"/>
            <w:vAlign w:val="center"/>
          </w:tcPr>
          <w:p>
            <w:pPr>
              <w:widowControl/>
              <w:numPr>
                <w:ilvl w:val="-1"/>
                <w:numId w:val="0"/>
              </w:numPr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1、配电系统的主进线缆（含电源线、网线）</w:t>
            </w:r>
          </w:p>
          <w:p>
            <w:pPr>
              <w:widowControl/>
              <w:numPr>
                <w:ilvl w:val="-1"/>
                <w:numId w:val="0"/>
              </w:numPr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2、配电柜到大屏的电源线、控制端到大屏的信号线铺设至大屏安装位置(冗余一定长度)</w:t>
            </w:r>
          </w:p>
        </w:tc>
        <w:tc>
          <w:tcPr>
            <w:tcW w:w="819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66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27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817" w:type="dxa"/>
            <w:shd w:val="clear" w:color="auto" w:fill="auto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9038" w:type="dxa"/>
            <w:gridSpan w:val="7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交换机产品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0" w:hRule="atLeast"/>
          <w:jc w:val="center"/>
        </w:trPr>
        <w:tc>
          <w:tcPr>
            <w:tcW w:w="510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交换机</w:t>
            </w:r>
          </w:p>
        </w:tc>
        <w:tc>
          <w:tcPr>
            <w:tcW w:w="4732" w:type="dxa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1.千兆电口≥8个，独立千兆SFP光口≥4个；Console口≥1个；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2.支持全线速转发，交换容量≥336 Gbps/3.36 Tbps，包转发率≥27 Mpps/102 Mpps；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3.支持可视化状态查看，包括交换机负载、端口转发负载、环路状态、终端接入类型等；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 xml:space="preserve">4.支持交换机环路检测功能，防止端口下因私接 Hub 等设备形成的环路而导致网络故障的现象; 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5.支持禁止通过内网PC端进行私接随身WiFi共享；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6.支持可视化管理，交换机端口 1:1 还原面板状态， 查看交换机端口工作状态、系统资源使用情况、流量趋势等；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7.支持ARP防欺骗功能，能够禁止非法用户的ARP欺骗报文，保护合法用户免受其害，防止合法用户的数据被窃取；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8.支持查看终端MAC地址、终端IP地址、终端类型、最近接入端口、最近接入时间，并可详细查看该终端活跃状态、安全事件、流量趋势;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9.支持终端可视化管理，多维度管控终端接入方式、接入终端类型，实时显示终端接入后的行为变化，可实现终端资产统计；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10.支持IP＋端口的绑定、IP+MAC的绑定、端口＋MAC的绑定、IP+MAC+端口的EN55024定、IP+MAC+端口+终端类型的绑定的功能；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11.支持交换机端口终端类型变更后，通过APP、短信告警；可以自定义交换机端口接入终端类型，及MAC黑白名单;</w:t>
            </w:r>
          </w:p>
          <w:p>
            <w:pPr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18"/>
                <w:szCs w:val="18"/>
              </w:rPr>
              <w:t xml:space="preserve">.支持生成树协议 STP， RSTP和 MSTP，完全保证快速收敛，提高容错能力，保证网络的稳定运行和链路的负载均衡，合理使用网络通道，提供冗余链路利用率; </w:t>
            </w:r>
          </w:p>
          <w:p>
            <w:pPr>
              <w:widowControl/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13.为满足网络安全建设需求，交换机需满足《信息安全技术通用渗透测试检测条件JCTJ005-2016》；</w:t>
            </w:r>
          </w:p>
        </w:tc>
        <w:tc>
          <w:tcPr>
            <w:tcW w:w="819" w:type="dxa"/>
            <w:shd w:val="clear" w:color="auto" w:fill="auto"/>
            <w:vAlign w:val="center"/>
          </w:tcPr>
          <w:p/>
          <w:p/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信锐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RS3320-12M-LI</w:t>
            </w:r>
          </w:p>
        </w:tc>
        <w:tc>
          <w:tcPr>
            <w:tcW w:w="660" w:type="dxa"/>
            <w:shd w:val="clear" w:color="auto" w:fill="auto"/>
            <w:vAlign w:val="center"/>
          </w:tcPr>
          <w:p/>
          <w:p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27" w:type="dxa"/>
            <w:shd w:val="clear" w:color="auto" w:fill="auto"/>
            <w:vAlign w:val="center"/>
          </w:tcPr>
          <w:p>
            <w:pPr>
              <w:widowControl/>
              <w:snapToGrid w:val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817" w:type="dxa"/>
            <w:shd w:val="clear" w:color="auto" w:fill="auto"/>
          </w:tcPr>
          <w:p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A0204"/>
    <w:charset w:val="00"/>
    <w:family w:val="swiss"/>
    <w:pitch w:val="default"/>
    <w:sig w:usb0="E10002FF" w:usb1="4000ACFF" w:usb2="00000009" w:usb3="00000000" w:csb0="2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66F0BC"/>
    <w:multiLevelType w:val="singleLevel"/>
    <w:tmpl w:val="AD66F0B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FDFFFB8"/>
    <w:multiLevelType w:val="singleLevel"/>
    <w:tmpl w:val="BFDFFFB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FBFF6543"/>
    <w:multiLevelType w:val="singleLevel"/>
    <w:tmpl w:val="FBFF6543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2B8A7E9D"/>
    <w:multiLevelType w:val="multilevel"/>
    <w:tmpl w:val="2B8A7E9D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EEB74C8"/>
    <w:multiLevelType w:val="multilevel"/>
    <w:tmpl w:val="6EEB74C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0"/>
      <w:numFmt w:val="bullet"/>
      <w:lvlText w:val="★"/>
      <w:lvlJc w:val="left"/>
      <w:pPr>
        <w:ind w:left="780" w:hanging="360"/>
      </w:pPr>
      <w:rPr>
        <w:rFonts w:hint="eastAsia" w:ascii="微软雅黑" w:hAnsi="微软雅黑" w:eastAsia="微软雅黑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56622"/>
    <w:rsid w:val="3FD58794"/>
    <w:rsid w:val="7DF5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等线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/>
    </w:r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4">
    <w:name w:val="envelope return"/>
    <w:basedOn w:val="1"/>
    <w:qFormat/>
    <w:uiPriority w:val="99"/>
    <w:rPr>
      <w:rFonts w:ascii="Arial" w:hAnsi="Arial" w:cs="Arial"/>
      <w:kern w:val="1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88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2025-12-09T21:41:00Z</dcterms:created>
  <dc:creator>将尘</dc:creator>
  <cp:lastModifiedBy>将尘</cp:lastModifiedBy>
  <dcterms:modified xsi:type="dcterms:W3CDTF">2025-12-09T17:01:18Z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D158CFC2A2FE125676B637699865CAA4_41</vt:lpwstr>
  </property>
</Properties>
</file>