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DC1A" w14:textId="6DA6CD5A" w:rsidR="00A07607" w:rsidRDefault="007A1511">
      <w:pPr>
        <w:tabs>
          <w:tab w:val="left" w:pos="1272"/>
          <w:tab w:val="center" w:pos="4819"/>
        </w:tabs>
        <w:jc w:val="center"/>
        <w:rPr>
          <w:rFonts w:ascii="宋体" w:hAnsi="宋体" w:cs="宋体" w:hint="eastAsia"/>
          <w:sz w:val="44"/>
          <w:szCs w:val="52"/>
        </w:rPr>
      </w:pPr>
      <w:r w:rsidRPr="007A1511">
        <w:rPr>
          <w:rFonts w:ascii="宋体" w:hAnsi="宋体" w:cs="宋体" w:hint="eastAsia"/>
          <w:sz w:val="44"/>
          <w:szCs w:val="52"/>
        </w:rPr>
        <w:t>巢湖市槐林中学多媒体教学设备采购需求</w:t>
      </w:r>
    </w:p>
    <w:p w14:paraId="3D02725E" w14:textId="77777777" w:rsidR="007A1511" w:rsidRDefault="007A1511">
      <w:pPr>
        <w:tabs>
          <w:tab w:val="left" w:pos="1272"/>
          <w:tab w:val="center" w:pos="4819"/>
        </w:tabs>
        <w:jc w:val="center"/>
        <w:rPr>
          <w:rFonts w:ascii="方正小标宋简体" w:eastAsia="方正小标宋简体" w:hAnsi="方正小标宋简体" w:cs="方正小标宋简体" w:hint="eastAsia"/>
          <w:sz w:val="44"/>
          <w:szCs w:val="52"/>
        </w:rPr>
      </w:pPr>
    </w:p>
    <w:p w14:paraId="5CB3B21A" w14:textId="77777777" w:rsidR="00A07607" w:rsidRDefault="00000000">
      <w:pPr>
        <w:spacing w:after="160" w:line="360" w:lineRule="auto"/>
        <w:ind w:left="437"/>
        <w:outlineLvl w:val="1"/>
        <w:rPr>
          <w:rFonts w:asciiTheme="minorEastAsia" w:eastAsiaTheme="minorEastAsia" w:hAnsiTheme="minorEastAsia" w:cs="@仿宋_GB2312" w:hint="eastAsia"/>
          <w:bCs/>
          <w:sz w:val="24"/>
          <w:szCs w:val="18"/>
        </w:rPr>
      </w:pPr>
      <w:r>
        <w:rPr>
          <w:rFonts w:ascii="宋体" w:hAnsi="宋体" w:hint="eastAsia"/>
          <w:b/>
          <w:bCs/>
          <w:sz w:val="24"/>
          <w:szCs w:val="18"/>
        </w:rPr>
        <w:t>一</w:t>
      </w:r>
      <w:r>
        <w:rPr>
          <w:rFonts w:ascii="宋体" w:hAnsi="宋体"/>
          <w:b/>
          <w:bCs/>
          <w:sz w:val="24"/>
          <w:szCs w:val="18"/>
        </w:rPr>
        <w:t>、</w:t>
      </w:r>
      <w:r>
        <w:rPr>
          <w:rFonts w:ascii="宋体" w:hAnsi="宋体" w:hint="eastAsia"/>
          <w:b/>
          <w:bCs/>
          <w:sz w:val="24"/>
          <w:szCs w:val="18"/>
        </w:rPr>
        <w:t>货物需求</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738"/>
        <w:gridCol w:w="6671"/>
        <w:gridCol w:w="821"/>
        <w:gridCol w:w="709"/>
        <w:gridCol w:w="850"/>
      </w:tblGrid>
      <w:tr w:rsidR="00A07607" w14:paraId="6A9B3965" w14:textId="77777777">
        <w:trPr>
          <w:jc w:val="center"/>
        </w:trPr>
        <w:tc>
          <w:tcPr>
            <w:tcW w:w="463" w:type="dxa"/>
            <w:vAlign w:val="center"/>
          </w:tcPr>
          <w:p w14:paraId="74C4756B"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序号</w:t>
            </w:r>
          </w:p>
        </w:tc>
        <w:tc>
          <w:tcPr>
            <w:tcW w:w="738" w:type="dxa"/>
            <w:vAlign w:val="center"/>
          </w:tcPr>
          <w:p w14:paraId="2FD9923E"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货物名称</w:t>
            </w:r>
          </w:p>
        </w:tc>
        <w:tc>
          <w:tcPr>
            <w:tcW w:w="6671" w:type="dxa"/>
            <w:vAlign w:val="center"/>
          </w:tcPr>
          <w:p w14:paraId="48CC1E7A"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技术参数及要求</w:t>
            </w:r>
          </w:p>
        </w:tc>
        <w:tc>
          <w:tcPr>
            <w:tcW w:w="821" w:type="dxa"/>
            <w:vAlign w:val="center"/>
          </w:tcPr>
          <w:p w14:paraId="59BA12DF"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数量单位</w:t>
            </w:r>
          </w:p>
        </w:tc>
        <w:tc>
          <w:tcPr>
            <w:tcW w:w="709" w:type="dxa"/>
            <w:vAlign w:val="center"/>
          </w:tcPr>
          <w:p w14:paraId="5272EC12"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所属行业</w:t>
            </w:r>
          </w:p>
        </w:tc>
        <w:tc>
          <w:tcPr>
            <w:tcW w:w="850" w:type="dxa"/>
            <w:vAlign w:val="center"/>
          </w:tcPr>
          <w:p w14:paraId="1DD7606F" w14:textId="77777777"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备注（预算单价：元）</w:t>
            </w:r>
          </w:p>
        </w:tc>
      </w:tr>
      <w:tr w:rsidR="00A07607" w14:paraId="3F837A56" w14:textId="77777777" w:rsidTr="00ED4427">
        <w:trPr>
          <w:trHeight w:val="569"/>
          <w:jc w:val="center"/>
        </w:trPr>
        <w:tc>
          <w:tcPr>
            <w:tcW w:w="9402" w:type="dxa"/>
            <w:gridSpan w:val="5"/>
            <w:vAlign w:val="center"/>
          </w:tcPr>
          <w:p w14:paraId="5FF5C4EF" w14:textId="524CB5FF" w:rsidR="00A07607" w:rsidRDefault="00000000">
            <w:pPr>
              <w:widowControl/>
              <w:spacing w:line="300" w:lineRule="exact"/>
              <w:jc w:val="left"/>
              <w:rPr>
                <w:rFonts w:ascii="宋体" w:hAnsi="宋体" w:cs="宋体" w:hint="eastAsia"/>
                <w:b/>
                <w:bCs/>
                <w:sz w:val="24"/>
                <w:szCs w:val="24"/>
              </w:rPr>
            </w:pPr>
            <w:r>
              <w:rPr>
                <w:rFonts w:ascii="宋体" w:hAnsi="宋体" w:cs="宋体" w:hint="eastAsia"/>
                <w:b/>
                <w:bCs/>
                <w:sz w:val="24"/>
                <w:szCs w:val="24"/>
              </w:rPr>
              <w:t>86寸</w:t>
            </w:r>
            <w:r w:rsidR="00196E76">
              <w:rPr>
                <w:rFonts w:ascii="宋体" w:hAnsi="宋体" w:cs="宋体" w:hint="eastAsia"/>
                <w:b/>
                <w:bCs/>
                <w:sz w:val="24"/>
                <w:szCs w:val="24"/>
              </w:rPr>
              <w:t>一体机</w:t>
            </w:r>
          </w:p>
        </w:tc>
        <w:tc>
          <w:tcPr>
            <w:tcW w:w="850" w:type="dxa"/>
            <w:vAlign w:val="center"/>
          </w:tcPr>
          <w:p w14:paraId="7290FE94" w14:textId="77777777" w:rsidR="00A07607" w:rsidRDefault="00A07607">
            <w:pPr>
              <w:widowControl/>
              <w:spacing w:line="300" w:lineRule="exact"/>
              <w:jc w:val="left"/>
              <w:rPr>
                <w:rFonts w:ascii="宋体" w:hAnsi="宋体" w:cs="宋体" w:hint="eastAsia"/>
                <w:bCs/>
                <w:sz w:val="24"/>
                <w:szCs w:val="24"/>
              </w:rPr>
            </w:pPr>
          </w:p>
        </w:tc>
      </w:tr>
      <w:tr w:rsidR="00A07607" w14:paraId="71521C30" w14:textId="77777777">
        <w:trPr>
          <w:jc w:val="center"/>
        </w:trPr>
        <w:tc>
          <w:tcPr>
            <w:tcW w:w="463" w:type="dxa"/>
            <w:vAlign w:val="center"/>
          </w:tcPr>
          <w:p w14:paraId="31F917C6"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t>1</w:t>
            </w:r>
          </w:p>
        </w:tc>
        <w:tc>
          <w:tcPr>
            <w:tcW w:w="738" w:type="dxa"/>
            <w:vAlign w:val="center"/>
          </w:tcPr>
          <w:p w14:paraId="3C11DB4D" w14:textId="61AF4E06" w:rsidR="00A07607" w:rsidRDefault="00000000">
            <w:pPr>
              <w:widowControl/>
              <w:spacing w:line="300" w:lineRule="exact"/>
              <w:jc w:val="left"/>
              <w:rPr>
                <w:rFonts w:ascii="宋体" w:hAnsi="宋体" w:cs="宋体" w:hint="eastAsia"/>
                <w:bCs/>
                <w:kern w:val="0"/>
                <w:sz w:val="24"/>
                <w:szCs w:val="24"/>
                <w:lang w:bidi="ar"/>
              </w:rPr>
            </w:pPr>
            <w:r>
              <w:rPr>
                <w:rFonts w:ascii="宋体" w:hAnsi="宋体" w:cs="宋体" w:hint="eastAsia"/>
                <w:bCs/>
                <w:sz w:val="24"/>
                <w:szCs w:val="24"/>
              </w:rPr>
              <w:t>86寸</w:t>
            </w:r>
            <w:r w:rsidR="00F81869">
              <w:rPr>
                <w:rFonts w:ascii="宋体" w:hAnsi="宋体" w:cs="宋体" w:hint="eastAsia"/>
                <w:bCs/>
                <w:sz w:val="24"/>
                <w:szCs w:val="24"/>
              </w:rPr>
              <w:t>一体机</w:t>
            </w:r>
          </w:p>
        </w:tc>
        <w:tc>
          <w:tcPr>
            <w:tcW w:w="6671" w:type="dxa"/>
            <w:vAlign w:val="center"/>
          </w:tcPr>
          <w:p w14:paraId="2D806F8F"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一、屏体及触控技术要求</w:t>
            </w:r>
          </w:p>
          <w:p w14:paraId="33449266" w14:textId="2235559E" w:rsidR="00196E76" w:rsidRPr="00200AED" w:rsidRDefault="00BA33EF" w:rsidP="00196E76">
            <w:pPr>
              <w:widowControl/>
              <w:spacing w:line="300" w:lineRule="exact"/>
              <w:jc w:val="left"/>
              <w:rPr>
                <w:rFonts w:ascii="宋体" w:hAnsi="宋体" w:cs="宋体" w:hint="eastAsia"/>
                <w:b/>
                <w:sz w:val="24"/>
                <w:szCs w:val="24"/>
              </w:rPr>
            </w:pPr>
            <w:r w:rsidRPr="00200AED">
              <w:rPr>
                <w:rFonts w:ascii="宋体" w:hAnsi="宋体" w:cs="宋体" w:hint="eastAsia"/>
                <w:b/>
                <w:sz w:val="24"/>
                <w:szCs w:val="24"/>
              </w:rPr>
              <w:t>★</w:t>
            </w:r>
            <w:r w:rsidR="00196E76" w:rsidRPr="00200AED">
              <w:rPr>
                <w:rFonts w:ascii="宋体" w:hAnsi="宋体" w:cs="宋体" w:hint="eastAsia"/>
                <w:b/>
                <w:sz w:val="24"/>
                <w:szCs w:val="24"/>
              </w:rPr>
              <w:t>1.智能交互平板显示尺寸≥86英寸，分辨率：3840*2160，采用直下式背光D-LED，红外触控技术，在双系统下均支持50点触控及50点书写划线。</w:t>
            </w:r>
          </w:p>
          <w:p w14:paraId="68B11789"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2.智能交互平板表面玻璃采用高强度钢化玻璃，AG防眩光，厚度≤3.2mm，硬度≥莫氏7级，石墨硬度≥9H。</w:t>
            </w:r>
          </w:p>
          <w:p w14:paraId="6CE0E3B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3.智能交互平板双侧边框宽度≤17mm，提升视觉效果及教学沉浸感。</w:t>
            </w:r>
          </w:p>
          <w:p w14:paraId="0A8CFAD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二、安全及能效要求</w:t>
            </w:r>
          </w:p>
          <w:p w14:paraId="5D7FBA48" w14:textId="1DE5B47D"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1.智能交互平板背光系统支持DC调光方式，多级亮度调节，拍摄时画面无条纹闪烁。光源稳定无频闪，防止眼睛疲劳。</w:t>
            </w:r>
          </w:p>
          <w:p w14:paraId="081A547F" w14:textId="1049E00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2.符合《GB 40070-2021儿童青少年学习用品近视防控卫生要求》。</w:t>
            </w:r>
          </w:p>
          <w:p w14:paraId="752834AC"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3.智能交互平板全通道支持纸质护眼模式，可实现画面纹理的实时调整；支持纸质纹理：素描纸、宣纸、水彩纸、牛皮纸、水纹纸；支持透明度调节与色温调节；显示画面各像素点灰度不规则，减少背景干扰。</w:t>
            </w:r>
          </w:p>
          <w:p w14:paraId="22798E9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4.智能交互平板可进行硬件自检，包括对系统内存、存储、触控系统、光感系统、内置电脑、屏体信息、主板型号、CPU型号、CPU使用率、设备名称等进行状态提示及故障提示。</w:t>
            </w:r>
          </w:p>
          <w:p w14:paraId="2C60041C"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5.依据GB 21520-2023标准，能效等级达到1级。</w:t>
            </w:r>
          </w:p>
          <w:p w14:paraId="7A8A640F" w14:textId="7D23298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6.为有效防护推拉黑板对外接设备的撞击，前置接口需采用隐藏式设计，具有翻转式防护盖板，开合角度≥100°。</w:t>
            </w:r>
          </w:p>
          <w:p w14:paraId="2A2D9500"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7.智能交互平板具备屏体温度实时监控、高温预警及断电保护等功能。</w:t>
            </w:r>
          </w:p>
          <w:p w14:paraId="31B9FD1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三、教学要求</w:t>
            </w:r>
          </w:p>
          <w:p w14:paraId="472F17E6"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1.智能交互平板前置面板至少具备1路HDMI接口（非转接），2路USB3.0接口，1路Type-C接口（具备数据传输、充电等功能）。</w:t>
            </w:r>
          </w:p>
          <w:p w14:paraId="74B4A366" w14:textId="48FC1AF8"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2.★为方便用户外接拓展设备，智能交互平板非转接HDMI输入≥2路，HDMI输出≥1路（支持安卓及其他通道信号输出）。</w:t>
            </w:r>
          </w:p>
          <w:p w14:paraId="50ED7FE2" w14:textId="1EF30889"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3.智能交互平板具有通屏笔槽结构，可放置书写笔、粉笔、水性笔等，笔槽具有漏灰孔设计。</w:t>
            </w:r>
          </w:p>
          <w:p w14:paraId="424FD672"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lastRenderedPageBreak/>
              <w:t>4.为方便维护，智能交互平板具有前掀式维护功能，平板向上掀起角度≥30°。</w:t>
            </w:r>
          </w:p>
          <w:p w14:paraId="0BE2A8FC" w14:textId="0BA06033"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5.智能交互平板前置按键≥7个，可实现音量加减、窗口关闭、触控开关等功能，且按键均支持功能复用。</w:t>
            </w:r>
          </w:p>
          <w:p w14:paraId="11798FA9" w14:textId="22973C5A"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6.前置按键采用钢琴式按键设计，向上倾斜，提升直立可视角度，符合人体工学。</w:t>
            </w:r>
          </w:p>
          <w:p w14:paraId="7F88FE23"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7.智能交互平板接口具备丝印中文标识。</w:t>
            </w:r>
          </w:p>
          <w:p w14:paraId="458A8A50" w14:textId="1FC4A1C9" w:rsidR="00196E76" w:rsidRPr="00200AED" w:rsidRDefault="00196E76" w:rsidP="00196E76">
            <w:pPr>
              <w:widowControl/>
              <w:spacing w:line="300" w:lineRule="exact"/>
              <w:jc w:val="left"/>
              <w:rPr>
                <w:rFonts w:ascii="宋体" w:hAnsi="宋体" w:cs="宋体" w:hint="eastAsia"/>
                <w:b/>
                <w:sz w:val="24"/>
                <w:szCs w:val="24"/>
              </w:rPr>
            </w:pPr>
            <w:r w:rsidRPr="00200AED">
              <w:rPr>
                <w:rFonts w:ascii="宋体" w:hAnsi="宋体" w:cs="宋体" w:hint="eastAsia"/>
                <w:b/>
                <w:sz w:val="24"/>
                <w:szCs w:val="24"/>
              </w:rPr>
              <w:t>8.★智能交互平板内置≥12核国产化驱动芯片，8核CPU、4核GPU。 Android 系统版本≥14.0，内存≥2G，存储≥8G。</w:t>
            </w:r>
          </w:p>
          <w:p w14:paraId="6EE8F3CE" w14:textId="6C9B4051" w:rsidR="00196E76" w:rsidRPr="00200AED" w:rsidRDefault="00196E76" w:rsidP="00196E76">
            <w:pPr>
              <w:widowControl/>
              <w:spacing w:line="300" w:lineRule="exact"/>
              <w:jc w:val="left"/>
              <w:rPr>
                <w:rFonts w:ascii="宋体" w:hAnsi="宋体" w:cs="宋体" w:hint="eastAsia"/>
                <w:b/>
                <w:sz w:val="24"/>
                <w:szCs w:val="24"/>
              </w:rPr>
            </w:pPr>
            <w:r w:rsidRPr="00200AED">
              <w:rPr>
                <w:rFonts w:ascii="宋体" w:hAnsi="宋体" w:cs="宋体" w:hint="eastAsia"/>
                <w:b/>
                <w:sz w:val="24"/>
                <w:szCs w:val="24"/>
              </w:rPr>
              <w:t>9.采用针孔阵列发声设计，2.2声道，下边框具有6个发声单元，最大功率≥80W, 扬声器在100%音量下，1米处声压级≥90dB，10米处声压级≥80dB；最低谐振频率不高于100Hz。</w:t>
            </w:r>
          </w:p>
          <w:p w14:paraId="79DE1061" w14:textId="1449BC93" w:rsidR="00196E76" w:rsidRPr="00200AED" w:rsidRDefault="00196E76" w:rsidP="00196E76">
            <w:pPr>
              <w:widowControl/>
              <w:spacing w:line="300" w:lineRule="exact"/>
              <w:jc w:val="left"/>
              <w:rPr>
                <w:rFonts w:ascii="宋体" w:hAnsi="宋体" w:cs="宋体" w:hint="eastAsia"/>
                <w:b/>
                <w:sz w:val="24"/>
                <w:szCs w:val="24"/>
              </w:rPr>
            </w:pPr>
            <w:r w:rsidRPr="00200AED">
              <w:rPr>
                <w:rFonts w:ascii="宋体" w:hAnsi="宋体" w:cs="宋体" w:hint="eastAsia"/>
                <w:b/>
                <w:sz w:val="24"/>
                <w:szCs w:val="24"/>
              </w:rPr>
              <w:t>10.★内置一体化超高清5K摄像头，单颗摄像头有效像素≥1900W，可输出最大分辨率5104*3864的图片与视频，支持搭配AI软件实现自动点名点数功能，支持远程巡课功能，具备指示灯工作状态提示。</w:t>
            </w:r>
          </w:p>
          <w:p w14:paraId="572764D4"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11.智能交互平板内置8阵列麦克风，拾音角度≥180°，可用于对教室环境音频进行采集。</w:t>
            </w:r>
          </w:p>
          <w:p w14:paraId="1D540224" w14:textId="1AFF4762"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12.智能交互平板具备前置组合式针孔电脑还原按键，无需专业人员即可轻松解决电脑系统故障。</w:t>
            </w:r>
          </w:p>
          <w:p w14:paraId="3AE2F2D9"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13.只需一根网线连接，即可实现Windows和</w:t>
            </w:r>
            <w:proofErr w:type="spellStart"/>
            <w:r w:rsidRPr="00196E76">
              <w:rPr>
                <w:rFonts w:ascii="宋体" w:hAnsi="宋体" w:cs="宋体" w:hint="eastAsia"/>
                <w:bCs/>
                <w:sz w:val="24"/>
                <w:szCs w:val="24"/>
              </w:rPr>
              <w:t>Andriod</w:t>
            </w:r>
            <w:proofErr w:type="spellEnd"/>
            <w:r w:rsidRPr="00196E76">
              <w:rPr>
                <w:rFonts w:ascii="宋体" w:hAnsi="宋体" w:cs="宋体" w:hint="eastAsia"/>
                <w:bCs/>
                <w:sz w:val="24"/>
                <w:szCs w:val="24"/>
              </w:rPr>
              <w:t>双系统同时上网。</w:t>
            </w:r>
          </w:p>
          <w:p w14:paraId="2F8B4B85"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14.具备无线（包括Wi-Fi和Bluetooth蓝牙）独立模块，支持单独拆卸。</w:t>
            </w:r>
          </w:p>
          <w:p w14:paraId="0DDCFB3F"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15.智能交互平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p>
          <w:p w14:paraId="719F4FC3" w14:textId="4E623A11"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16.无需打开智能交互平板背板，前置接口面板支持单独前拆维护。</w:t>
            </w:r>
          </w:p>
          <w:p w14:paraId="07C3EEAB"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四、应用功能要求</w:t>
            </w:r>
          </w:p>
          <w:p w14:paraId="02A7CF4C" w14:textId="295A723F"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整机屏幕左右两侧可显示与教学应用密切相关的各15个快捷键功能，可自定义显示模式，具备开关，支持单侧显示或双侧同时显示，可设置自动显示时间与自定义按键功能，至少具有关闭窗口、展台、桌面、多屏互动等教学常用按键。</w:t>
            </w:r>
          </w:p>
          <w:p w14:paraId="7AC83A6C"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2.在任意信号源下，从屏幕下方任意位置向上滑动，可调用快捷设置菜单无需切换系统，可快速调节Windows 和Android 的设置，并支持拖拽到屏幕任意位置。</w:t>
            </w:r>
          </w:p>
          <w:p w14:paraId="6E763AB1" w14:textId="0DDDAD16"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3.整机具有悬浮菜单，两指可快速移动悬浮菜单至按压位置，悬浮菜单可进行自定义分组，可添加AI互动软件等不少于30个应用。</w:t>
            </w:r>
          </w:p>
          <w:p w14:paraId="48B69A00"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4.支持智能手势，可通过多指长按屏幕实现悬浮窗快速调用、屏幕息屏或亮屏、屏幕下移、多任务等功能，方便教学操作。</w:t>
            </w:r>
          </w:p>
          <w:p w14:paraId="203EDC0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lastRenderedPageBreak/>
              <w:t>5.为节约用电，具备自动待机功能，在无操作或无信号输入时，自动进入待机节能状态，时间间隔可自定义。</w:t>
            </w:r>
          </w:p>
          <w:p w14:paraId="268BACD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6.智能节电，可自定义设置，在无操作或无信号输入15分钟或更长时间,出现关机提示倒计时。</w:t>
            </w:r>
          </w:p>
          <w:p w14:paraId="5772AC11"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7.设备处于关机通电状态，外接电脑、机顶盒等设备接入交互黑板时，智能交互黑板可识别到外接设备的输入信号后自动开机。</w:t>
            </w:r>
          </w:p>
          <w:p w14:paraId="653FDA9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8.可自动识别新接入的信号源，并自动切换到该信号源显示，在断开连接后，弹出确认，10秒后返回之前信号源。</w:t>
            </w:r>
          </w:p>
          <w:p w14:paraId="5DB1F1ED"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9.设备支持远程升级，及时给用户推送新版应用。</w:t>
            </w:r>
          </w:p>
          <w:p w14:paraId="0E9B02D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10.安卓界面采用4K UI设计，图标与按钮边角显示无锯齿，字体渲染平滑，提升用户体验。</w:t>
            </w:r>
          </w:p>
          <w:p w14:paraId="6BC8C19A"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11.无PC状态下，安卓系统支持白板授课，可以实现书写、擦除、撤销、恢复、插入工具及分享等多项功能，同时支持对白板进行初始设置，如背景、笔迹颜色、粗细及橡皮等功能的预设。</w:t>
            </w:r>
          </w:p>
          <w:p w14:paraId="0FB82670"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12.无PC状态下，白板背景支持颜色背景和图案背景设置，颜色背景提供不少于6种预设颜色，并支持自定义更多颜色；图案设置包括拼音格、四线三格、音符、五线谱、信纸、田字格、篮球场地、足球场地等不少于8种类型，同时支持用户自定义背景图案。</w:t>
            </w:r>
          </w:p>
          <w:p w14:paraId="26A742F9" w14:textId="0C45E27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 xml:space="preserve">13.支持预设仅允许用细笔书写模式或允许用细笔或手指书写模式，细笔可用于书写，手指可用于拖动漫游，实现手笔分离的教学效果。 </w:t>
            </w:r>
          </w:p>
          <w:p w14:paraId="79C10B57"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14.无PC状态下，白板支持漫游功能，可无限延伸白板空间，满足更大空间的板书需求。在漫游功能下，支持对当前页面进行自由缩放，双击漫游可一键恢复画布至原始位置和大小。</w:t>
            </w:r>
          </w:p>
          <w:p w14:paraId="7DDD1458"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15.无PC状态下，白板支持背景漫游设置：白板上批注书写的内容既可与背景画布同步无限漫游，也可设置为批注内容独立漫游而背景画布保持固定，以满足不同的场景使用。</w:t>
            </w:r>
          </w:p>
          <w:p w14:paraId="25626B08" w14:textId="700C9410"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 xml:space="preserve">16.支持全选页面或部分页面进行二维码分享，支持PNG、JPEG、PDF等多种格式，支持加密分享，确保信息安全，支持将内容保存到外接U盘。 </w:t>
            </w:r>
          </w:p>
          <w:p w14:paraId="4BB0DD82" w14:textId="2D991E8D"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17.可将手写文字、句子英文单词识别为印刷体，支持自定义颜色;手写识别默认支持中文、英文、日语、韩语等不少于4种语言。此外，还可以下载更多语言包进行识别，如丹麦语、波兰语、西班牙语、意大利语等不少于 10 种语言,满足多语言教学需求。识别后的内容支持颜色修改、复制、剪切、图层置顶、图层置底、删除、锁定，文字内容还支持转至会议纪。</w:t>
            </w:r>
          </w:p>
          <w:p w14:paraId="5B2EA8A1" w14:textId="6635E10F"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18.会议纪要支持手写输入文本，每项会议纪要都能根据笔迹书写范围和文本内容自动调整窗口大小，灵活适应。书写笔迹可轻松使用橡皮擦进行擦除，每项会议纪要可随意删除或调整顺序;会议纪要支持一键生成二维码分享，扫码即可快速获取内容，扫码显示的会议纪要内容会自动过滤空白项。</w:t>
            </w:r>
          </w:p>
          <w:p w14:paraId="2808119D"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19.无PC状态下，白板具备智能图形识别功能，能够自动识别绘制的矩形、三角形、圆形、椭圆形、箭头等不少于5种</w:t>
            </w:r>
            <w:r w:rsidRPr="00196E76">
              <w:rPr>
                <w:rFonts w:ascii="宋体" w:hAnsi="宋体" w:cs="宋体" w:hint="eastAsia"/>
                <w:bCs/>
                <w:sz w:val="24"/>
                <w:szCs w:val="24"/>
              </w:rPr>
              <w:lastRenderedPageBreak/>
              <w:t>常见平面图形。识别后的图形支持颜色修改、复制、剪切、图层置顶、图层置底、删除、锁定等功能。</w:t>
            </w:r>
          </w:p>
          <w:p w14:paraId="589887CE"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20.无PC状态下，白板具备批注和擦除功能，支持硬笔、软笔、荧光笔等多种笔型选择，支持笔迹颜色和粗细设置。支持橡皮擦、选中文字擦除以及一键清页功能，进行一键清页操作时会有二次确认提示，有效避免误操作。</w:t>
            </w:r>
          </w:p>
          <w:p w14:paraId="6E9EC685"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21.无PC状态下，白板支持二维及三维图形的灵活调用，支持设置图形的线条颜色和填充颜色，可以对线条和填充颜色的透明度进行设置。</w:t>
            </w:r>
          </w:p>
          <w:p w14:paraId="5C32D09B"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22.无PC状态下，白板支持插入文档、文本框、便利贴、图片、浏览器、尺子、表格、思维导图、会议纪要、截屏等多种教学辅助工具，支持通过手写添加便利贴内容，移动便利贴时，所写内容会随便利贴同步移动。</w:t>
            </w:r>
          </w:p>
          <w:p w14:paraId="2479A08E"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23.无PC状态下，白板支持页面预览功能，可一键全选所有页面或单独选择特定页面进行保存。</w:t>
            </w:r>
          </w:p>
          <w:p w14:paraId="69111DAF" w14:textId="6908FAA1"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五、内置</w:t>
            </w:r>
            <w:r w:rsidR="00B25734">
              <w:rPr>
                <w:rFonts w:ascii="宋体" w:hAnsi="宋体" w:cs="宋体" w:hint="eastAsia"/>
                <w:bCs/>
                <w:sz w:val="24"/>
                <w:szCs w:val="24"/>
              </w:rPr>
              <w:t>OPS模块</w:t>
            </w:r>
          </w:p>
          <w:p w14:paraId="50ACA1F5" w14:textId="77777777" w:rsidR="00196E76" w:rsidRPr="00196E76"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1.采用80 Pin Intel通用标准接口，模块化即插即用，易于维护；</w:t>
            </w:r>
          </w:p>
          <w:p w14:paraId="1B2C48AE" w14:textId="6DD32023" w:rsidR="00196E76" w:rsidRPr="00200AED" w:rsidRDefault="00200AED" w:rsidP="00196E76">
            <w:pPr>
              <w:widowControl/>
              <w:spacing w:line="300" w:lineRule="exact"/>
              <w:jc w:val="left"/>
              <w:rPr>
                <w:rFonts w:ascii="宋体" w:hAnsi="宋体" w:cs="宋体" w:hint="eastAsia"/>
                <w:b/>
                <w:sz w:val="24"/>
                <w:szCs w:val="24"/>
              </w:rPr>
            </w:pPr>
            <w:r w:rsidRPr="00200AED">
              <w:rPr>
                <w:rFonts w:ascii="宋体" w:hAnsi="宋体" w:cs="宋体" w:hint="eastAsia"/>
                <w:b/>
                <w:sz w:val="24"/>
                <w:szCs w:val="24"/>
              </w:rPr>
              <w:t>★</w:t>
            </w:r>
            <w:r w:rsidR="00196E76" w:rsidRPr="00200AED">
              <w:rPr>
                <w:rFonts w:ascii="宋体" w:hAnsi="宋体" w:cs="宋体" w:hint="eastAsia"/>
                <w:b/>
                <w:sz w:val="24"/>
                <w:szCs w:val="24"/>
              </w:rPr>
              <w:t>2. CPU 核心数≥8核，线程数≥12线程，最高主频≥2.0GHz；内存：≥16G DDR4；硬盘：≥512G SSD固态硬盘；</w:t>
            </w:r>
          </w:p>
          <w:p w14:paraId="5F5B2675" w14:textId="77777777" w:rsidR="00A07607" w:rsidRDefault="00196E76" w:rsidP="00196E76">
            <w:pPr>
              <w:widowControl/>
              <w:spacing w:line="300" w:lineRule="exact"/>
              <w:jc w:val="left"/>
              <w:rPr>
                <w:rFonts w:ascii="宋体" w:hAnsi="宋体" w:cs="宋体" w:hint="eastAsia"/>
                <w:bCs/>
                <w:sz w:val="24"/>
                <w:szCs w:val="24"/>
              </w:rPr>
            </w:pPr>
            <w:r w:rsidRPr="00196E76">
              <w:rPr>
                <w:rFonts w:ascii="宋体" w:hAnsi="宋体" w:cs="宋体" w:hint="eastAsia"/>
                <w:bCs/>
                <w:sz w:val="24"/>
                <w:szCs w:val="24"/>
              </w:rPr>
              <w:t>3.接口：非外扩展具备6个USB接口（其中包含3路USB 3.0），具有独立非外扩展的视频输出接口：≥1路HDMI；万兆级接口，传输速率≥10Gbps。</w:t>
            </w:r>
          </w:p>
          <w:p w14:paraId="61D48912" w14:textId="3CB64F48" w:rsidR="00EA628D" w:rsidRPr="00EA628D" w:rsidRDefault="002170DC" w:rsidP="00196E76">
            <w:pPr>
              <w:widowControl/>
              <w:spacing w:line="300" w:lineRule="exact"/>
              <w:jc w:val="left"/>
              <w:rPr>
                <w:rFonts w:ascii="宋体" w:hAnsi="宋体" w:cs="宋体" w:hint="eastAsia"/>
                <w:bCs/>
                <w:sz w:val="24"/>
                <w:szCs w:val="24"/>
              </w:rPr>
            </w:pPr>
            <w:r w:rsidRPr="002170DC">
              <w:rPr>
                <w:rFonts w:ascii="宋体" w:hAnsi="宋体" w:cs="宋体" w:hint="eastAsia"/>
                <w:bCs/>
                <w:sz w:val="24"/>
                <w:szCs w:val="24"/>
              </w:rPr>
              <w:t>中标供应商须在中标后三个工作日内提供原厂三年免费质保售后服务承诺函。</w:t>
            </w:r>
          </w:p>
        </w:tc>
        <w:tc>
          <w:tcPr>
            <w:tcW w:w="821" w:type="dxa"/>
            <w:vAlign w:val="center"/>
          </w:tcPr>
          <w:p w14:paraId="319B69A8" w14:textId="5ADC258B" w:rsidR="00A07607" w:rsidRDefault="002F6138">
            <w:pPr>
              <w:widowControl/>
              <w:spacing w:line="300" w:lineRule="exact"/>
              <w:jc w:val="left"/>
              <w:rPr>
                <w:rFonts w:ascii="宋体" w:hAnsi="宋体" w:cs="宋体" w:hint="eastAsia"/>
                <w:bCs/>
                <w:sz w:val="24"/>
                <w:szCs w:val="24"/>
              </w:rPr>
            </w:pPr>
            <w:r>
              <w:rPr>
                <w:rFonts w:ascii="宋体" w:hAnsi="宋体" w:cs="宋体" w:hint="eastAsia"/>
                <w:bCs/>
                <w:sz w:val="24"/>
                <w:szCs w:val="24"/>
              </w:rPr>
              <w:lastRenderedPageBreak/>
              <w:t>1</w:t>
            </w:r>
            <w:r w:rsidR="004604A2">
              <w:rPr>
                <w:rFonts w:ascii="宋体" w:hAnsi="宋体" w:cs="宋体" w:hint="eastAsia"/>
                <w:bCs/>
                <w:sz w:val="24"/>
                <w:szCs w:val="24"/>
              </w:rPr>
              <w:t>6</w:t>
            </w:r>
            <w:r w:rsidR="00967A18">
              <w:rPr>
                <w:rFonts w:ascii="宋体" w:hAnsi="宋体" w:cs="宋体" w:hint="eastAsia"/>
                <w:bCs/>
                <w:sz w:val="24"/>
                <w:szCs w:val="24"/>
              </w:rPr>
              <w:t>台</w:t>
            </w:r>
          </w:p>
        </w:tc>
        <w:tc>
          <w:tcPr>
            <w:tcW w:w="709" w:type="dxa"/>
            <w:vAlign w:val="center"/>
          </w:tcPr>
          <w:p w14:paraId="32311E02"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t>工业</w:t>
            </w:r>
          </w:p>
        </w:tc>
        <w:tc>
          <w:tcPr>
            <w:tcW w:w="850" w:type="dxa"/>
            <w:vAlign w:val="center"/>
          </w:tcPr>
          <w:p w14:paraId="2159139C" w14:textId="56E5BF7D" w:rsidR="00A07607" w:rsidRDefault="000F795D" w:rsidP="000F795D">
            <w:pPr>
              <w:widowControl/>
              <w:spacing w:line="300" w:lineRule="exact"/>
              <w:jc w:val="center"/>
              <w:rPr>
                <w:rFonts w:ascii="宋体" w:hAnsi="宋体" w:cs="宋体" w:hint="eastAsia"/>
                <w:bCs/>
                <w:sz w:val="24"/>
                <w:szCs w:val="24"/>
              </w:rPr>
            </w:pPr>
            <w:r>
              <w:rPr>
                <w:rFonts w:ascii="宋体" w:hAnsi="宋体" w:cs="宋体" w:hint="eastAsia"/>
                <w:bCs/>
                <w:sz w:val="24"/>
                <w:szCs w:val="24"/>
              </w:rPr>
              <w:t>9600</w:t>
            </w:r>
          </w:p>
        </w:tc>
      </w:tr>
      <w:tr w:rsidR="00A07607" w14:paraId="663690EC" w14:textId="77777777">
        <w:trPr>
          <w:jc w:val="center"/>
        </w:trPr>
        <w:tc>
          <w:tcPr>
            <w:tcW w:w="463" w:type="dxa"/>
            <w:vAlign w:val="center"/>
          </w:tcPr>
          <w:p w14:paraId="76105971"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lastRenderedPageBreak/>
              <w:t>2</w:t>
            </w:r>
          </w:p>
        </w:tc>
        <w:tc>
          <w:tcPr>
            <w:tcW w:w="738" w:type="dxa"/>
            <w:vAlign w:val="center"/>
          </w:tcPr>
          <w:p w14:paraId="6C443591" w14:textId="254A649E" w:rsidR="00A07607" w:rsidRDefault="00A3534E">
            <w:pPr>
              <w:widowControl/>
              <w:spacing w:line="300" w:lineRule="exact"/>
              <w:jc w:val="left"/>
              <w:rPr>
                <w:rFonts w:ascii="宋体" w:hAnsi="宋体" w:cs="宋体" w:hint="eastAsia"/>
                <w:bCs/>
                <w:sz w:val="24"/>
                <w:szCs w:val="24"/>
              </w:rPr>
            </w:pPr>
            <w:r w:rsidRPr="00A3534E">
              <w:rPr>
                <w:rFonts w:ascii="宋体" w:hAnsi="宋体" w:cs="宋体" w:hint="eastAsia"/>
                <w:bCs/>
                <w:sz w:val="24"/>
                <w:szCs w:val="24"/>
              </w:rPr>
              <w:t>推拉黑板</w:t>
            </w:r>
          </w:p>
        </w:tc>
        <w:tc>
          <w:tcPr>
            <w:tcW w:w="6671" w:type="dxa"/>
            <w:vAlign w:val="center"/>
          </w:tcPr>
          <w:p w14:paraId="416A3E5F"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1.结构形式：双层结构，交互式电子白板/一体机居中放置，左右推拉结构(内置轨道，外框和轨道一体化设计），内外双层，内层为两块固定书写板，外层为两块活动书写板。</w:t>
            </w:r>
          </w:p>
          <w:p w14:paraId="23E79396" w14:textId="57A01D78"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2.基本尺寸：</w:t>
            </w:r>
            <w:r w:rsidR="00243BFE" w:rsidRPr="006A36FE">
              <w:rPr>
                <w:rFonts w:ascii="宋体" w:hAnsi="宋体" w:cs="宋体" w:hint="eastAsia"/>
                <w:bCs/>
                <w:sz w:val="24"/>
                <w:szCs w:val="24"/>
              </w:rPr>
              <w:t xml:space="preserve"> </w:t>
            </w:r>
            <w:r w:rsidRPr="006A36FE">
              <w:rPr>
                <w:rFonts w:ascii="宋体" w:hAnsi="宋体" w:cs="宋体" w:hint="eastAsia"/>
                <w:bCs/>
                <w:sz w:val="24"/>
                <w:szCs w:val="24"/>
              </w:rPr>
              <w:t>4</w:t>
            </w:r>
            <w:r>
              <w:rPr>
                <w:rFonts w:ascii="宋体" w:hAnsi="宋体" w:cs="宋体" w:hint="eastAsia"/>
                <w:bCs/>
                <w:sz w:val="24"/>
                <w:szCs w:val="24"/>
              </w:rPr>
              <w:t>3</w:t>
            </w:r>
            <w:r w:rsidRPr="006A36FE">
              <w:rPr>
                <w:rFonts w:ascii="宋体" w:hAnsi="宋体" w:cs="宋体" w:hint="eastAsia"/>
                <w:bCs/>
                <w:sz w:val="24"/>
                <w:szCs w:val="24"/>
              </w:rPr>
              <w:t>00×</w:t>
            </w:r>
            <w:r w:rsidR="00243BFE">
              <w:rPr>
                <w:rFonts w:ascii="宋体" w:hAnsi="宋体" w:cs="宋体" w:hint="eastAsia"/>
                <w:bCs/>
                <w:sz w:val="24"/>
                <w:szCs w:val="24"/>
              </w:rPr>
              <w:t>1300</w:t>
            </w:r>
            <w:r w:rsidRPr="006A36FE">
              <w:rPr>
                <w:rFonts w:ascii="宋体" w:hAnsi="宋体" w:cs="宋体" w:hint="eastAsia"/>
                <w:bCs/>
                <w:sz w:val="24"/>
                <w:szCs w:val="24"/>
              </w:rPr>
              <w:t>mm，根据配一体机或者电子白板及电子白板一体机适当调整，确保于一体机/电子白板/电子白板一体机的有效配套。</w:t>
            </w:r>
          </w:p>
          <w:p w14:paraId="0615A981"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3.书写面颜色：墨绿色。</w:t>
            </w:r>
          </w:p>
          <w:p w14:paraId="0EC09AF7" w14:textId="220318CA"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4.书写面板：采用优质烤漆面板，厚度≥0.25mm，双层涂面，表面覆无色保护膜。表面硬度≥6H，粗糙度为Ra1.6-3.2um。光泽度在12光泽单位以下，没有因粉笔板本身的原因产生眩光。用热石膏或碳酸钙制白色粉笔在粉笔板上书写，手感流畅，充实，笔道均匀，线条鲜明，用干式粉笔擦往复擦拭两次，没有清楚的残留字迹；用湿式粉笔板擦在粉笔板上擦拭，距离1m处观察，没有淤积的粉笔残迹另外书写面不变色，无表皮脱落。板面长期书写不变形。</w:t>
            </w:r>
          </w:p>
          <w:p w14:paraId="0E05BECA"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5.内芯材料：选用高强度、吸音、防潮、阻燃聚苯乙烯板，粘合牢固，厚度≥14mm。采用国标适用工艺，书写无吱咔声，减小噪音，改善书写手感。</w:t>
            </w:r>
          </w:p>
          <w:p w14:paraId="0D7502AF"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6.背板：选用优质防锈亚光彩涂钢板，每隔8公分设有2公分加强凹槽，凹槽内置加强筋，造型美观、增加强度。</w:t>
            </w:r>
          </w:p>
          <w:p w14:paraId="5CF4A8FF" w14:textId="68287F7E"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7.覆板：采用环保型双组分聚氨酯胶水，自动化流水线覆板作业（可提供现场作业图片），确保粘接牢固板面平整。甲醛释放量≤0.2mg/L,符合GB28231-2011。</w:t>
            </w:r>
          </w:p>
          <w:p w14:paraId="31042C09" w14:textId="6074492F"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lastRenderedPageBreak/>
              <w:t>8.边框材质及规格：采用高级亚光香槟色铝合金，表面经过氧化涂层处理，色泽柔和、不反光，无光污染，表面经过氧化、磨砂涂层处理，无划伤、无色差、抗腐蚀。型材壁厚≥1mm。</w:t>
            </w:r>
          </w:p>
          <w:p w14:paraId="081A103E" w14:textId="77777777" w:rsidR="006A36FE" w:rsidRPr="006A36FE"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9.轨道：平行对称凹槽轨道，支持活动板T型垂直吊装。</w:t>
            </w:r>
          </w:p>
          <w:p w14:paraId="2E1EFB7B" w14:textId="77777777" w:rsidR="00A07607" w:rsidRDefault="006A36FE" w:rsidP="006A36FE">
            <w:pPr>
              <w:widowControl/>
              <w:spacing w:line="300" w:lineRule="exact"/>
              <w:jc w:val="left"/>
              <w:rPr>
                <w:rFonts w:ascii="宋体" w:hAnsi="宋体" w:cs="宋体" w:hint="eastAsia"/>
                <w:bCs/>
                <w:sz w:val="24"/>
                <w:szCs w:val="24"/>
              </w:rPr>
            </w:pPr>
            <w:r w:rsidRPr="006A36FE">
              <w:rPr>
                <w:rFonts w:ascii="宋体" w:hAnsi="宋体" w:cs="宋体" w:hint="eastAsia"/>
                <w:bCs/>
                <w:sz w:val="24"/>
                <w:szCs w:val="24"/>
              </w:rPr>
              <w:t>10.吊装滑轮:采用静音组合滑轮组，上轮采用配置高强度轴承带减震胶套的双轮，保证滑动流畅、经久耐用。下轮采用平轮或者滑动块滑动，滑动顺畅、噪音小；书写时定位精确不晃动、滑动板前后晃动小于0.5mm。</w:t>
            </w:r>
          </w:p>
          <w:p w14:paraId="7E443AE3" w14:textId="5D3E407D" w:rsidR="00EA628D" w:rsidRDefault="00EA628D" w:rsidP="006A36FE">
            <w:pPr>
              <w:widowControl/>
              <w:spacing w:line="300" w:lineRule="exact"/>
              <w:jc w:val="left"/>
              <w:rPr>
                <w:rFonts w:ascii="宋体" w:hAnsi="宋体" w:cs="宋体" w:hint="eastAsia"/>
                <w:bCs/>
                <w:sz w:val="24"/>
                <w:szCs w:val="24"/>
              </w:rPr>
            </w:pPr>
            <w:r>
              <w:rPr>
                <w:rFonts w:ascii="宋体" w:hAnsi="宋体" w:cs="宋体" w:hint="eastAsia"/>
                <w:bCs/>
                <w:sz w:val="24"/>
                <w:szCs w:val="24"/>
              </w:rPr>
              <w:t>11</w:t>
            </w:r>
            <w:r w:rsidRPr="00EA628D">
              <w:rPr>
                <w:rFonts w:ascii="宋体" w:hAnsi="宋体" w:cs="宋体"/>
                <w:bCs/>
                <w:sz w:val="24"/>
                <w:szCs w:val="24"/>
              </w:rPr>
              <w:t>.</w:t>
            </w:r>
            <w:r w:rsidR="002170DC" w:rsidRPr="002170DC">
              <w:rPr>
                <w:rFonts w:ascii="宋体" w:hAnsi="宋体" w:cs="宋体" w:hint="eastAsia"/>
                <w:bCs/>
                <w:sz w:val="24"/>
                <w:szCs w:val="24"/>
              </w:rPr>
              <w:t>中标供应商须在中标后三个工作日内提供原厂三年免费质保售后服务承诺函。</w:t>
            </w:r>
          </w:p>
        </w:tc>
        <w:tc>
          <w:tcPr>
            <w:tcW w:w="821" w:type="dxa"/>
            <w:vAlign w:val="center"/>
          </w:tcPr>
          <w:p w14:paraId="1A94048A" w14:textId="738147CD" w:rsidR="00A07607" w:rsidRDefault="002F6138">
            <w:pPr>
              <w:widowControl/>
              <w:spacing w:line="300" w:lineRule="exact"/>
              <w:jc w:val="left"/>
              <w:rPr>
                <w:rFonts w:ascii="宋体" w:hAnsi="宋体" w:cs="宋体" w:hint="eastAsia"/>
                <w:bCs/>
                <w:sz w:val="24"/>
                <w:szCs w:val="24"/>
              </w:rPr>
            </w:pPr>
            <w:r>
              <w:rPr>
                <w:rFonts w:ascii="宋体" w:hAnsi="宋体" w:cs="宋体" w:hint="eastAsia"/>
                <w:bCs/>
                <w:sz w:val="24"/>
                <w:szCs w:val="24"/>
              </w:rPr>
              <w:lastRenderedPageBreak/>
              <w:t>1</w:t>
            </w:r>
            <w:r w:rsidR="004604A2">
              <w:rPr>
                <w:rFonts w:ascii="宋体" w:hAnsi="宋体" w:cs="宋体" w:hint="eastAsia"/>
                <w:bCs/>
                <w:sz w:val="24"/>
                <w:szCs w:val="24"/>
              </w:rPr>
              <w:t>6</w:t>
            </w:r>
            <w:r>
              <w:rPr>
                <w:rFonts w:ascii="宋体" w:hAnsi="宋体" w:cs="宋体" w:hint="eastAsia"/>
                <w:bCs/>
                <w:sz w:val="24"/>
                <w:szCs w:val="24"/>
              </w:rPr>
              <w:t>块</w:t>
            </w:r>
          </w:p>
        </w:tc>
        <w:tc>
          <w:tcPr>
            <w:tcW w:w="709" w:type="dxa"/>
            <w:vAlign w:val="center"/>
          </w:tcPr>
          <w:p w14:paraId="3B7EDAB4" w14:textId="77777777" w:rsidR="00A07607" w:rsidRDefault="00000000">
            <w:pPr>
              <w:widowControl/>
              <w:spacing w:line="300" w:lineRule="exact"/>
              <w:jc w:val="left"/>
              <w:rPr>
                <w:rFonts w:ascii="宋体" w:hAnsi="宋体" w:cs="宋体" w:hint="eastAsia"/>
                <w:bCs/>
                <w:sz w:val="24"/>
                <w:szCs w:val="24"/>
              </w:rPr>
            </w:pPr>
            <w:r>
              <w:rPr>
                <w:rFonts w:ascii="宋体" w:hAnsi="宋体" w:cs="宋体" w:hint="eastAsia"/>
                <w:bCs/>
                <w:sz w:val="24"/>
                <w:szCs w:val="24"/>
              </w:rPr>
              <w:t>工业</w:t>
            </w:r>
          </w:p>
        </w:tc>
        <w:tc>
          <w:tcPr>
            <w:tcW w:w="850" w:type="dxa"/>
            <w:vAlign w:val="center"/>
          </w:tcPr>
          <w:p w14:paraId="0C990A8E" w14:textId="3AC0CBA5" w:rsidR="00A07607" w:rsidRDefault="000F795D" w:rsidP="000F795D">
            <w:pPr>
              <w:widowControl/>
              <w:spacing w:line="300" w:lineRule="exact"/>
              <w:jc w:val="center"/>
              <w:rPr>
                <w:rFonts w:ascii="宋体" w:hAnsi="宋体" w:cs="宋体" w:hint="eastAsia"/>
                <w:bCs/>
                <w:sz w:val="24"/>
                <w:szCs w:val="24"/>
              </w:rPr>
            </w:pPr>
            <w:r>
              <w:rPr>
                <w:rFonts w:ascii="宋体" w:hAnsi="宋体" w:cs="宋体" w:hint="eastAsia"/>
                <w:bCs/>
                <w:sz w:val="24"/>
                <w:szCs w:val="24"/>
              </w:rPr>
              <w:t>1200</w:t>
            </w:r>
          </w:p>
        </w:tc>
      </w:tr>
    </w:tbl>
    <w:p w14:paraId="1F0BAC27" w14:textId="77777777" w:rsidR="00A07607" w:rsidRDefault="00000000">
      <w:pPr>
        <w:spacing w:line="360" w:lineRule="auto"/>
        <w:outlineLvl w:val="1"/>
        <w:rPr>
          <w:rFonts w:asciiTheme="minorEastAsia" w:eastAsiaTheme="minorEastAsia" w:hAnsiTheme="minorEastAsia" w:hint="eastAsia"/>
          <w:b/>
          <w:bCs/>
          <w:sz w:val="24"/>
          <w:szCs w:val="18"/>
        </w:rPr>
      </w:pPr>
      <w:r>
        <w:rPr>
          <w:rFonts w:asciiTheme="minorEastAsia" w:eastAsiaTheme="minorEastAsia" w:hAnsiTheme="minorEastAsia" w:hint="eastAsia"/>
          <w:b/>
          <w:bCs/>
          <w:sz w:val="24"/>
          <w:szCs w:val="18"/>
        </w:rPr>
        <w:t>二、验收要求</w:t>
      </w:r>
    </w:p>
    <w:p w14:paraId="1DD80C11"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1、验收要求：严格依</w:t>
      </w:r>
      <w:r>
        <w:rPr>
          <w:rFonts w:asciiTheme="minorEastAsia" w:eastAsiaTheme="minorEastAsia" w:hAnsiTheme="minorEastAsia" w:hint="eastAsia"/>
          <w:bCs/>
          <w:sz w:val="24"/>
          <w:szCs w:val="18"/>
        </w:rPr>
        <w:t>照采购</w:t>
      </w:r>
      <w:r>
        <w:rPr>
          <w:rFonts w:asciiTheme="minorEastAsia" w:eastAsiaTheme="minorEastAsia" w:hAnsiTheme="minorEastAsia"/>
          <w:bCs/>
          <w:sz w:val="24"/>
          <w:szCs w:val="18"/>
        </w:rPr>
        <w:t>需求、政府采购合同及相关验收规范进行核对、验收，形成验收结论，并出具书面验收报告。</w:t>
      </w:r>
    </w:p>
    <w:p w14:paraId="0453AEFD"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2、采购人保留供货前核查成交供应商所投产品技术参数及响应文件中提供的证明材料的权利，如不提供或提供不实，采购人有权终止合同，并报监管部门按有关规定处理,成交供应商承担由此造成的一切损失，请供应商自行考虑投标风险。</w:t>
      </w:r>
    </w:p>
    <w:p w14:paraId="196CC5FA" w14:textId="77777777" w:rsidR="00A07607" w:rsidRDefault="00000000">
      <w:pPr>
        <w:spacing w:line="360" w:lineRule="auto"/>
        <w:outlineLvl w:val="1"/>
        <w:rPr>
          <w:rFonts w:asciiTheme="minorEastAsia" w:eastAsiaTheme="minorEastAsia" w:hAnsiTheme="minorEastAsia" w:hint="eastAsia"/>
          <w:b/>
          <w:bCs/>
          <w:sz w:val="24"/>
          <w:szCs w:val="18"/>
        </w:rPr>
      </w:pPr>
      <w:r>
        <w:rPr>
          <w:rFonts w:asciiTheme="minorEastAsia" w:eastAsiaTheme="minorEastAsia" w:hAnsiTheme="minorEastAsia" w:hint="eastAsia"/>
          <w:b/>
          <w:bCs/>
          <w:sz w:val="24"/>
          <w:szCs w:val="18"/>
        </w:rPr>
        <w:t>三、报价要求</w:t>
      </w:r>
    </w:p>
    <w:p w14:paraId="7CF3C5C8"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1、供应商的报价应包含</w:t>
      </w:r>
      <w:r>
        <w:rPr>
          <w:rFonts w:asciiTheme="minorEastAsia" w:eastAsiaTheme="minorEastAsia" w:hAnsiTheme="minorEastAsia" w:hint="eastAsia"/>
          <w:bCs/>
          <w:sz w:val="24"/>
          <w:szCs w:val="18"/>
        </w:rPr>
        <w:t>但不限于所投货物、保险、税费、包装、加工及加工损耗、运输、现场落地、安装及安装损耗、调试、检测、施工措施、规费税金和交付后约定期限内维保等工作所发生的一切应有费用。</w:t>
      </w:r>
    </w:p>
    <w:p w14:paraId="2EF7922D"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bCs/>
          <w:sz w:val="24"/>
          <w:szCs w:val="18"/>
        </w:rPr>
        <w:t>2、响应文件的报价表中应清楚地标明各项单价、小计等内容（详见响应文件格式“一、报价表”）。每种产品单价只允许有一个报价且不得超过采购人给定的各产品预算单价。任何有选择的报价将不予接受，响应文件无效。</w:t>
      </w:r>
    </w:p>
    <w:p w14:paraId="6AAFA063" w14:textId="77777777" w:rsidR="00A07607" w:rsidRDefault="00000000">
      <w:pPr>
        <w:spacing w:line="360" w:lineRule="auto"/>
        <w:outlineLvl w:val="1"/>
        <w:rPr>
          <w:rFonts w:asciiTheme="minorEastAsia" w:eastAsiaTheme="minorEastAsia" w:hAnsiTheme="minorEastAsia" w:hint="eastAsia"/>
          <w:bCs/>
          <w:sz w:val="24"/>
          <w:szCs w:val="18"/>
        </w:rPr>
      </w:pPr>
      <w:r>
        <w:rPr>
          <w:rFonts w:asciiTheme="minorEastAsia" w:eastAsiaTheme="minorEastAsia" w:hAnsiTheme="minorEastAsia" w:hint="eastAsia"/>
          <w:b/>
          <w:bCs/>
          <w:sz w:val="24"/>
          <w:szCs w:val="18"/>
        </w:rPr>
        <w:t>四、其他要求</w:t>
      </w:r>
    </w:p>
    <w:p w14:paraId="6EA8E036"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hint="eastAsia"/>
          <w:bCs/>
          <w:sz w:val="24"/>
          <w:szCs w:val="18"/>
        </w:rPr>
        <w:t>1、</w:t>
      </w:r>
      <w:r>
        <w:rPr>
          <w:rFonts w:asciiTheme="minorEastAsia" w:eastAsiaTheme="minorEastAsia" w:hAnsiTheme="minorEastAsia"/>
          <w:bCs/>
          <w:sz w:val="24"/>
          <w:szCs w:val="18"/>
        </w:rPr>
        <w:t>供应商应保证货物是全新未使用过的，并完全符合合同规定的质量、规格和性能要求的正品。供应商应保证其货物在正确安装、使用和保养的条件下，在其使用寿命内应具有满意的性能。在货物最终验收后的质量保证期内，成交供应商应对由于设计、工艺或材料的缺陷而发生的任何不足或故障负责，费用由成交供应商负担。</w:t>
      </w:r>
    </w:p>
    <w:p w14:paraId="5FAE672F"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hint="eastAsia"/>
          <w:bCs/>
          <w:sz w:val="24"/>
          <w:szCs w:val="18"/>
        </w:rPr>
        <w:t>2、</w:t>
      </w:r>
      <w:r>
        <w:rPr>
          <w:rFonts w:asciiTheme="minorEastAsia" w:eastAsiaTheme="minorEastAsia" w:hAnsiTheme="minorEastAsia"/>
          <w:bCs/>
          <w:sz w:val="24"/>
          <w:szCs w:val="18"/>
        </w:rPr>
        <w:t>在质保期内，成交供应商在收到采购人关于产品质量问题的通知后七天内，应维修或更换有缺陷的货物或部件。</w:t>
      </w:r>
    </w:p>
    <w:p w14:paraId="40B961BF" w14:textId="77777777" w:rsidR="00A07607" w:rsidRDefault="00000000">
      <w:pPr>
        <w:spacing w:line="360" w:lineRule="auto"/>
        <w:rPr>
          <w:rFonts w:asciiTheme="minorEastAsia" w:eastAsiaTheme="minorEastAsia" w:hAnsiTheme="minorEastAsia" w:hint="eastAsia"/>
          <w:bCs/>
          <w:sz w:val="24"/>
          <w:szCs w:val="18"/>
        </w:rPr>
      </w:pPr>
      <w:r>
        <w:rPr>
          <w:rFonts w:asciiTheme="minorEastAsia" w:eastAsiaTheme="minorEastAsia" w:hAnsiTheme="minorEastAsia" w:hint="eastAsia"/>
          <w:bCs/>
          <w:sz w:val="24"/>
          <w:szCs w:val="18"/>
        </w:rPr>
        <w:t>3、</w:t>
      </w:r>
      <w:r>
        <w:rPr>
          <w:rFonts w:asciiTheme="minorEastAsia" w:eastAsiaTheme="minorEastAsia" w:hAnsiTheme="minorEastAsia"/>
          <w:bCs/>
          <w:sz w:val="24"/>
          <w:szCs w:val="18"/>
        </w:rPr>
        <w:t>如果成交供应商在收到通知七天后没有弥补缺陷，采购人可采取必要的补救措施，但风险和费用将由成交供应商承担。</w:t>
      </w:r>
    </w:p>
    <w:p w14:paraId="2E607F94" w14:textId="19E6FBD2" w:rsidR="00A07607" w:rsidRDefault="00000000">
      <w:pPr>
        <w:spacing w:line="360" w:lineRule="auto"/>
      </w:pPr>
      <w:r>
        <w:rPr>
          <w:rFonts w:asciiTheme="minorEastAsia" w:eastAsiaTheme="minorEastAsia" w:hAnsiTheme="minorEastAsia" w:hint="eastAsia"/>
          <w:b/>
          <w:color w:val="FF0000"/>
          <w:sz w:val="24"/>
          <w:szCs w:val="18"/>
        </w:rPr>
        <w:t>4、中标供应商须在中标后三个工作日内提供</w:t>
      </w:r>
      <w:r w:rsidR="00633DDC" w:rsidRPr="00633DDC">
        <w:rPr>
          <w:rFonts w:asciiTheme="minorEastAsia" w:eastAsiaTheme="minorEastAsia" w:hAnsiTheme="minorEastAsia" w:hint="eastAsia"/>
          <w:b/>
          <w:color w:val="FF0000"/>
          <w:sz w:val="24"/>
          <w:szCs w:val="18"/>
        </w:rPr>
        <w:t>上表1-</w:t>
      </w:r>
      <w:r w:rsidR="00633DDC">
        <w:rPr>
          <w:rFonts w:asciiTheme="minorEastAsia" w:eastAsiaTheme="minorEastAsia" w:hAnsiTheme="minorEastAsia" w:hint="eastAsia"/>
          <w:b/>
          <w:color w:val="FF0000"/>
          <w:sz w:val="24"/>
          <w:szCs w:val="18"/>
        </w:rPr>
        <w:t>2</w:t>
      </w:r>
      <w:r w:rsidR="00633DDC" w:rsidRPr="00633DDC">
        <w:rPr>
          <w:rFonts w:asciiTheme="minorEastAsia" w:eastAsiaTheme="minorEastAsia" w:hAnsiTheme="minorEastAsia" w:hint="eastAsia"/>
          <w:b/>
          <w:color w:val="FF0000"/>
          <w:sz w:val="24"/>
          <w:szCs w:val="18"/>
        </w:rPr>
        <w:t>项的</w:t>
      </w:r>
      <w:r>
        <w:rPr>
          <w:rFonts w:asciiTheme="minorEastAsia" w:eastAsiaTheme="minorEastAsia" w:hAnsiTheme="minorEastAsia" w:hint="eastAsia"/>
          <w:b/>
          <w:color w:val="FF0000"/>
          <w:sz w:val="24"/>
          <w:szCs w:val="18"/>
        </w:rPr>
        <w:t>原厂三年免费质保售后服务承诺函。</w:t>
      </w:r>
    </w:p>
    <w:sectPr w:rsidR="00A07607">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C8E0" w14:textId="77777777" w:rsidR="00754CD4" w:rsidRDefault="00754CD4">
      <w:r>
        <w:separator/>
      </w:r>
    </w:p>
  </w:endnote>
  <w:endnote w:type="continuationSeparator" w:id="0">
    <w:p w14:paraId="166FC607" w14:textId="77777777" w:rsidR="00754CD4" w:rsidRDefault="0075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简标宋">
    <w:altName w:val="宋体"/>
    <w:charset w:val="86"/>
    <w:family w:val="auto"/>
    <w:pitch w:val="default"/>
    <w:sig w:usb0="00000000" w:usb1="00000000" w:usb2="00000010" w:usb3="00000000" w:csb0="00040000" w:csb1="00000000"/>
  </w:font>
  <w:font w:name="monospace">
    <w:altName w:val="Segoe Print"/>
    <w:charset w:val="00"/>
    <w:family w:val="auto"/>
    <w:pitch w:val="default"/>
  </w:font>
  <w:font w:name="Cambria">
    <w:altName w:val="DejaVu Math TeX Gyre"/>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A253" w14:textId="77777777" w:rsidR="00A07607" w:rsidRDefault="00000000">
    <w:pPr>
      <w:pStyle w:val="af0"/>
    </w:pPr>
    <w:r>
      <w:rPr>
        <w:noProof/>
      </w:rPr>
      <mc:AlternateContent>
        <mc:Choice Requires="wps">
          <w:drawing>
            <wp:anchor distT="0" distB="0" distL="114300" distR="114300" simplePos="0" relativeHeight="251659264" behindDoc="0" locked="0" layoutInCell="1" allowOverlap="1" wp14:anchorId="6B528500" wp14:editId="57C5369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C9779" w14:textId="77777777" w:rsidR="00A07607" w:rsidRDefault="00000000">
                          <w:pPr>
                            <w:pStyle w:val="af0"/>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fldSimple w:instr=" NUMPAGES  \* MERGEFORMAT ">
                            <w:r w:rsidR="00A07607">
                              <w:t>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52850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CC9779" w14:textId="77777777" w:rsidR="00A07607" w:rsidRDefault="00000000">
                    <w:pPr>
                      <w:pStyle w:val="af0"/>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fldSimple w:instr=" NUMPAGES  \* MERGEFORMAT ">
                      <w:r w:rsidR="00A07607">
                        <w:t>4</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C213" w14:textId="77777777" w:rsidR="00754CD4" w:rsidRDefault="00754CD4">
      <w:r>
        <w:separator/>
      </w:r>
    </w:p>
  </w:footnote>
  <w:footnote w:type="continuationSeparator" w:id="0">
    <w:p w14:paraId="1F74C840" w14:textId="77777777" w:rsidR="00754CD4" w:rsidRDefault="00754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5F99A7"/>
    <w:rsid w:val="00DF2958"/>
    <w:rsid w:val="4D5F99A7"/>
    <w:rsid w:val="BFBC81B4"/>
    <w:rsid w:val="C33F8901"/>
    <w:rsid w:val="FF3E9706"/>
    <w:rsid w:val="FF7F5F44"/>
    <w:rsid w:val="00031BD1"/>
    <w:rsid w:val="000411EE"/>
    <w:rsid w:val="00047800"/>
    <w:rsid w:val="00057891"/>
    <w:rsid w:val="000905FD"/>
    <w:rsid w:val="000A5767"/>
    <w:rsid w:val="000B5429"/>
    <w:rsid w:val="000C643C"/>
    <w:rsid w:val="000E3FC3"/>
    <w:rsid w:val="000F795D"/>
    <w:rsid w:val="0010661B"/>
    <w:rsid w:val="00115C53"/>
    <w:rsid w:val="001435F9"/>
    <w:rsid w:val="00147E60"/>
    <w:rsid w:val="0015123B"/>
    <w:rsid w:val="0016356C"/>
    <w:rsid w:val="0016399F"/>
    <w:rsid w:val="00164471"/>
    <w:rsid w:val="001719D9"/>
    <w:rsid w:val="00175D3E"/>
    <w:rsid w:val="0019187E"/>
    <w:rsid w:val="00195971"/>
    <w:rsid w:val="00196E76"/>
    <w:rsid w:val="001B3B14"/>
    <w:rsid w:val="001C5B66"/>
    <w:rsid w:val="001E1954"/>
    <w:rsid w:val="00200AED"/>
    <w:rsid w:val="00207516"/>
    <w:rsid w:val="002118F4"/>
    <w:rsid w:val="002170DC"/>
    <w:rsid w:val="002316DA"/>
    <w:rsid w:val="002324EF"/>
    <w:rsid w:val="00237482"/>
    <w:rsid w:val="00243BFE"/>
    <w:rsid w:val="0024472D"/>
    <w:rsid w:val="00247343"/>
    <w:rsid w:val="002479A4"/>
    <w:rsid w:val="0027248F"/>
    <w:rsid w:val="00293D9A"/>
    <w:rsid w:val="002A3B92"/>
    <w:rsid w:val="002B68CF"/>
    <w:rsid w:val="002C4BBB"/>
    <w:rsid w:val="002E590D"/>
    <w:rsid w:val="002F120D"/>
    <w:rsid w:val="002F6138"/>
    <w:rsid w:val="002F6B9A"/>
    <w:rsid w:val="0030533B"/>
    <w:rsid w:val="00324739"/>
    <w:rsid w:val="00324F69"/>
    <w:rsid w:val="003744CF"/>
    <w:rsid w:val="003775BB"/>
    <w:rsid w:val="003A2EC4"/>
    <w:rsid w:val="003C06FA"/>
    <w:rsid w:val="003C7047"/>
    <w:rsid w:val="003D348E"/>
    <w:rsid w:val="003F3589"/>
    <w:rsid w:val="0041131C"/>
    <w:rsid w:val="00445CB5"/>
    <w:rsid w:val="0045162A"/>
    <w:rsid w:val="004604A2"/>
    <w:rsid w:val="00474F46"/>
    <w:rsid w:val="00485514"/>
    <w:rsid w:val="00487E31"/>
    <w:rsid w:val="004A6679"/>
    <w:rsid w:val="004B51ED"/>
    <w:rsid w:val="004C3031"/>
    <w:rsid w:val="004C74F7"/>
    <w:rsid w:val="004E35EE"/>
    <w:rsid w:val="00536B3A"/>
    <w:rsid w:val="005C13C7"/>
    <w:rsid w:val="005C46D3"/>
    <w:rsid w:val="005C6A99"/>
    <w:rsid w:val="005C6F57"/>
    <w:rsid w:val="005D1B94"/>
    <w:rsid w:val="005F01D7"/>
    <w:rsid w:val="00601965"/>
    <w:rsid w:val="006102CA"/>
    <w:rsid w:val="00616AF9"/>
    <w:rsid w:val="00633DDC"/>
    <w:rsid w:val="00675F17"/>
    <w:rsid w:val="006A36FE"/>
    <w:rsid w:val="006A457A"/>
    <w:rsid w:val="006E165F"/>
    <w:rsid w:val="00730C69"/>
    <w:rsid w:val="00736D8C"/>
    <w:rsid w:val="007535C7"/>
    <w:rsid w:val="00754CD4"/>
    <w:rsid w:val="007736C4"/>
    <w:rsid w:val="00781221"/>
    <w:rsid w:val="007A1511"/>
    <w:rsid w:val="007A3BA5"/>
    <w:rsid w:val="007B0BD9"/>
    <w:rsid w:val="007D3D73"/>
    <w:rsid w:val="007F79A8"/>
    <w:rsid w:val="00802076"/>
    <w:rsid w:val="00803946"/>
    <w:rsid w:val="00807B23"/>
    <w:rsid w:val="0082701A"/>
    <w:rsid w:val="008443E0"/>
    <w:rsid w:val="00862AE2"/>
    <w:rsid w:val="00865E74"/>
    <w:rsid w:val="008727E8"/>
    <w:rsid w:val="00872BBB"/>
    <w:rsid w:val="00895AEE"/>
    <w:rsid w:val="008A1FC4"/>
    <w:rsid w:val="008A52F0"/>
    <w:rsid w:val="008C2901"/>
    <w:rsid w:val="008E45A3"/>
    <w:rsid w:val="008F0A7E"/>
    <w:rsid w:val="008F2A2F"/>
    <w:rsid w:val="00950210"/>
    <w:rsid w:val="009604FE"/>
    <w:rsid w:val="00967A18"/>
    <w:rsid w:val="009A3155"/>
    <w:rsid w:val="009B0F6A"/>
    <w:rsid w:val="009B7AD5"/>
    <w:rsid w:val="009D7223"/>
    <w:rsid w:val="009E6DC2"/>
    <w:rsid w:val="009F4B13"/>
    <w:rsid w:val="00A0449B"/>
    <w:rsid w:val="00A07607"/>
    <w:rsid w:val="00A20C4B"/>
    <w:rsid w:val="00A2114B"/>
    <w:rsid w:val="00A255D9"/>
    <w:rsid w:val="00A3468F"/>
    <w:rsid w:val="00A3534E"/>
    <w:rsid w:val="00A37554"/>
    <w:rsid w:val="00A41FA3"/>
    <w:rsid w:val="00A563A5"/>
    <w:rsid w:val="00A61180"/>
    <w:rsid w:val="00A865E9"/>
    <w:rsid w:val="00A905F3"/>
    <w:rsid w:val="00A93559"/>
    <w:rsid w:val="00AA35DE"/>
    <w:rsid w:val="00AA42DA"/>
    <w:rsid w:val="00AA6643"/>
    <w:rsid w:val="00AB2144"/>
    <w:rsid w:val="00AB55B3"/>
    <w:rsid w:val="00AD36C3"/>
    <w:rsid w:val="00AD5387"/>
    <w:rsid w:val="00AE65F2"/>
    <w:rsid w:val="00AF641E"/>
    <w:rsid w:val="00B25734"/>
    <w:rsid w:val="00B31058"/>
    <w:rsid w:val="00B32CF9"/>
    <w:rsid w:val="00B370A9"/>
    <w:rsid w:val="00B521C6"/>
    <w:rsid w:val="00B6321C"/>
    <w:rsid w:val="00B66F3C"/>
    <w:rsid w:val="00B71B89"/>
    <w:rsid w:val="00B802D3"/>
    <w:rsid w:val="00BA33EF"/>
    <w:rsid w:val="00BB11D6"/>
    <w:rsid w:val="00BD2CDE"/>
    <w:rsid w:val="00BE707F"/>
    <w:rsid w:val="00BF1E51"/>
    <w:rsid w:val="00C12C5B"/>
    <w:rsid w:val="00C3647E"/>
    <w:rsid w:val="00C630C4"/>
    <w:rsid w:val="00CB239B"/>
    <w:rsid w:val="00CB327A"/>
    <w:rsid w:val="00CC160D"/>
    <w:rsid w:val="00CD0A02"/>
    <w:rsid w:val="00CD75EE"/>
    <w:rsid w:val="00CE6C2E"/>
    <w:rsid w:val="00D372AB"/>
    <w:rsid w:val="00D52710"/>
    <w:rsid w:val="00D8362B"/>
    <w:rsid w:val="00D9663C"/>
    <w:rsid w:val="00DA60FC"/>
    <w:rsid w:val="00DB2395"/>
    <w:rsid w:val="00DB43A5"/>
    <w:rsid w:val="00DC58CE"/>
    <w:rsid w:val="00DE3995"/>
    <w:rsid w:val="00DF119A"/>
    <w:rsid w:val="00E41308"/>
    <w:rsid w:val="00E415BD"/>
    <w:rsid w:val="00E471BB"/>
    <w:rsid w:val="00E556E8"/>
    <w:rsid w:val="00E8272F"/>
    <w:rsid w:val="00E83EF4"/>
    <w:rsid w:val="00EA310D"/>
    <w:rsid w:val="00EA628D"/>
    <w:rsid w:val="00ED17F4"/>
    <w:rsid w:val="00ED4427"/>
    <w:rsid w:val="00ED44E5"/>
    <w:rsid w:val="00EE61FD"/>
    <w:rsid w:val="00F068D5"/>
    <w:rsid w:val="00F14451"/>
    <w:rsid w:val="00F41739"/>
    <w:rsid w:val="00F445FD"/>
    <w:rsid w:val="00F463FC"/>
    <w:rsid w:val="00F80EC3"/>
    <w:rsid w:val="00F81869"/>
    <w:rsid w:val="00FA7242"/>
    <w:rsid w:val="00FC19AF"/>
    <w:rsid w:val="00FD55D1"/>
    <w:rsid w:val="00FE06B2"/>
    <w:rsid w:val="00FE1C7F"/>
    <w:rsid w:val="012B4701"/>
    <w:rsid w:val="01396E1E"/>
    <w:rsid w:val="01D8083A"/>
    <w:rsid w:val="020F7B7E"/>
    <w:rsid w:val="02317AF5"/>
    <w:rsid w:val="028C11CF"/>
    <w:rsid w:val="02A42BE4"/>
    <w:rsid w:val="02A604E3"/>
    <w:rsid w:val="02A97FD3"/>
    <w:rsid w:val="02B726F0"/>
    <w:rsid w:val="038A570F"/>
    <w:rsid w:val="03C350C4"/>
    <w:rsid w:val="0422003D"/>
    <w:rsid w:val="04F80D9E"/>
    <w:rsid w:val="05047743"/>
    <w:rsid w:val="05373674"/>
    <w:rsid w:val="05971F55"/>
    <w:rsid w:val="067A5F0E"/>
    <w:rsid w:val="07921036"/>
    <w:rsid w:val="07AF1BE8"/>
    <w:rsid w:val="07C35693"/>
    <w:rsid w:val="08566507"/>
    <w:rsid w:val="085B1D6F"/>
    <w:rsid w:val="091D0DD3"/>
    <w:rsid w:val="0A5C7F02"/>
    <w:rsid w:val="0ABC4753"/>
    <w:rsid w:val="0AD33E3F"/>
    <w:rsid w:val="0B116715"/>
    <w:rsid w:val="0B1701D0"/>
    <w:rsid w:val="0C594818"/>
    <w:rsid w:val="0D186277"/>
    <w:rsid w:val="0E1A1D85"/>
    <w:rsid w:val="0E545297"/>
    <w:rsid w:val="0E8C4A31"/>
    <w:rsid w:val="0E927B6D"/>
    <w:rsid w:val="0EB6385C"/>
    <w:rsid w:val="0F4A2D02"/>
    <w:rsid w:val="0FCC70AF"/>
    <w:rsid w:val="105325C6"/>
    <w:rsid w:val="10E16B8A"/>
    <w:rsid w:val="11152BAE"/>
    <w:rsid w:val="113B273E"/>
    <w:rsid w:val="11405FA6"/>
    <w:rsid w:val="118A0FD0"/>
    <w:rsid w:val="11CB3AC2"/>
    <w:rsid w:val="14027543"/>
    <w:rsid w:val="153E45AB"/>
    <w:rsid w:val="158D108E"/>
    <w:rsid w:val="159B37AB"/>
    <w:rsid w:val="15CC7E09"/>
    <w:rsid w:val="15F829AC"/>
    <w:rsid w:val="1662251B"/>
    <w:rsid w:val="17017F86"/>
    <w:rsid w:val="17293909"/>
    <w:rsid w:val="17A80401"/>
    <w:rsid w:val="199361B3"/>
    <w:rsid w:val="19940C3D"/>
    <w:rsid w:val="19B72B7E"/>
    <w:rsid w:val="19F16090"/>
    <w:rsid w:val="1A165AF6"/>
    <w:rsid w:val="1A4E5290"/>
    <w:rsid w:val="1A7D527E"/>
    <w:rsid w:val="1A9A4135"/>
    <w:rsid w:val="1B770817"/>
    <w:rsid w:val="1B866CAC"/>
    <w:rsid w:val="1C9B0535"/>
    <w:rsid w:val="1D216C8C"/>
    <w:rsid w:val="1D7274E7"/>
    <w:rsid w:val="1E3649B9"/>
    <w:rsid w:val="1EDD4E34"/>
    <w:rsid w:val="1EE2069D"/>
    <w:rsid w:val="1F0B7BF4"/>
    <w:rsid w:val="1F1545CE"/>
    <w:rsid w:val="1F1D3483"/>
    <w:rsid w:val="1FE521F3"/>
    <w:rsid w:val="20482782"/>
    <w:rsid w:val="21110DC5"/>
    <w:rsid w:val="21C66054"/>
    <w:rsid w:val="253F23A5"/>
    <w:rsid w:val="25544B02"/>
    <w:rsid w:val="257A518B"/>
    <w:rsid w:val="25A1254D"/>
    <w:rsid w:val="25AE5E42"/>
    <w:rsid w:val="26064C71"/>
    <w:rsid w:val="2637307C"/>
    <w:rsid w:val="26D66D39"/>
    <w:rsid w:val="270D202F"/>
    <w:rsid w:val="293935AF"/>
    <w:rsid w:val="29F80D74"/>
    <w:rsid w:val="2B053749"/>
    <w:rsid w:val="2B5446D0"/>
    <w:rsid w:val="2C1005F7"/>
    <w:rsid w:val="2C576226"/>
    <w:rsid w:val="2CBC42DB"/>
    <w:rsid w:val="2DD83397"/>
    <w:rsid w:val="2DE955A4"/>
    <w:rsid w:val="2E6E0075"/>
    <w:rsid w:val="2E725599"/>
    <w:rsid w:val="2E7806D6"/>
    <w:rsid w:val="2EBC4A66"/>
    <w:rsid w:val="2EE41B72"/>
    <w:rsid w:val="2EF73CF0"/>
    <w:rsid w:val="2F177EEF"/>
    <w:rsid w:val="2F3960B7"/>
    <w:rsid w:val="2F9E23BE"/>
    <w:rsid w:val="300F0BC6"/>
    <w:rsid w:val="32364B30"/>
    <w:rsid w:val="3321133C"/>
    <w:rsid w:val="33652784"/>
    <w:rsid w:val="340F73E6"/>
    <w:rsid w:val="344C063B"/>
    <w:rsid w:val="345319C9"/>
    <w:rsid w:val="346314E0"/>
    <w:rsid w:val="346F1E70"/>
    <w:rsid w:val="349F69BC"/>
    <w:rsid w:val="34D16D92"/>
    <w:rsid w:val="35011425"/>
    <w:rsid w:val="353D61D5"/>
    <w:rsid w:val="356D0868"/>
    <w:rsid w:val="36050AA1"/>
    <w:rsid w:val="368F2A60"/>
    <w:rsid w:val="368F480F"/>
    <w:rsid w:val="36B97ADD"/>
    <w:rsid w:val="38330D21"/>
    <w:rsid w:val="38BE762D"/>
    <w:rsid w:val="38EE7F12"/>
    <w:rsid w:val="398048E2"/>
    <w:rsid w:val="39B76556"/>
    <w:rsid w:val="3A231E3E"/>
    <w:rsid w:val="3AC3717D"/>
    <w:rsid w:val="3B1479D8"/>
    <w:rsid w:val="3B3B4F65"/>
    <w:rsid w:val="3B4200A1"/>
    <w:rsid w:val="3B6F4C0F"/>
    <w:rsid w:val="3B9052B1"/>
    <w:rsid w:val="3BD34132"/>
    <w:rsid w:val="3C067321"/>
    <w:rsid w:val="3C577B7C"/>
    <w:rsid w:val="3C687FDC"/>
    <w:rsid w:val="3C94492D"/>
    <w:rsid w:val="3D05582A"/>
    <w:rsid w:val="3D4E34D8"/>
    <w:rsid w:val="3DFC60C1"/>
    <w:rsid w:val="3E285C74"/>
    <w:rsid w:val="3E506F79"/>
    <w:rsid w:val="3E570308"/>
    <w:rsid w:val="3EAF3CA0"/>
    <w:rsid w:val="3F2C3542"/>
    <w:rsid w:val="3F3B5533"/>
    <w:rsid w:val="3F9115F7"/>
    <w:rsid w:val="409C3E5C"/>
    <w:rsid w:val="41C757A4"/>
    <w:rsid w:val="42013BC8"/>
    <w:rsid w:val="421A3B26"/>
    <w:rsid w:val="42524866"/>
    <w:rsid w:val="430B16C1"/>
    <w:rsid w:val="430D71E7"/>
    <w:rsid w:val="43803E5D"/>
    <w:rsid w:val="450665E4"/>
    <w:rsid w:val="45927E77"/>
    <w:rsid w:val="45943BEF"/>
    <w:rsid w:val="45FA35DE"/>
    <w:rsid w:val="4654337F"/>
    <w:rsid w:val="46702A34"/>
    <w:rsid w:val="47521611"/>
    <w:rsid w:val="47A83982"/>
    <w:rsid w:val="47C167F2"/>
    <w:rsid w:val="47E0311C"/>
    <w:rsid w:val="4960336B"/>
    <w:rsid w:val="49714403"/>
    <w:rsid w:val="49995C78"/>
    <w:rsid w:val="4A132162"/>
    <w:rsid w:val="4A3B288C"/>
    <w:rsid w:val="4A8A3813"/>
    <w:rsid w:val="4AA04DE4"/>
    <w:rsid w:val="4AA91EEB"/>
    <w:rsid w:val="4ACF7478"/>
    <w:rsid w:val="4AF173EE"/>
    <w:rsid w:val="4C1B0BC7"/>
    <w:rsid w:val="4C9B3AB5"/>
    <w:rsid w:val="4D5F99A7"/>
    <w:rsid w:val="4D8E53C8"/>
    <w:rsid w:val="4D907392"/>
    <w:rsid w:val="4DB12E65"/>
    <w:rsid w:val="4DFC67D6"/>
    <w:rsid w:val="4E7C16C5"/>
    <w:rsid w:val="4E8567CB"/>
    <w:rsid w:val="4EE94FAC"/>
    <w:rsid w:val="500E27F0"/>
    <w:rsid w:val="501A1195"/>
    <w:rsid w:val="50852AB2"/>
    <w:rsid w:val="50970A38"/>
    <w:rsid w:val="50B43398"/>
    <w:rsid w:val="50DD469C"/>
    <w:rsid w:val="51BF1FF4"/>
    <w:rsid w:val="51C67CA8"/>
    <w:rsid w:val="51F7178E"/>
    <w:rsid w:val="525A7F6F"/>
    <w:rsid w:val="52742DDF"/>
    <w:rsid w:val="54181E8F"/>
    <w:rsid w:val="54A92AF2"/>
    <w:rsid w:val="5503044A"/>
    <w:rsid w:val="551663CF"/>
    <w:rsid w:val="5527238A"/>
    <w:rsid w:val="55A559A5"/>
    <w:rsid w:val="56837A94"/>
    <w:rsid w:val="569357FD"/>
    <w:rsid w:val="57032983"/>
    <w:rsid w:val="57931F59"/>
    <w:rsid w:val="57B3772C"/>
    <w:rsid w:val="5814471C"/>
    <w:rsid w:val="590B3D71"/>
    <w:rsid w:val="59A815C0"/>
    <w:rsid w:val="59AD307A"/>
    <w:rsid w:val="59BB5797"/>
    <w:rsid w:val="5A2C3F9F"/>
    <w:rsid w:val="5C2E2250"/>
    <w:rsid w:val="5D170F36"/>
    <w:rsid w:val="5D681792"/>
    <w:rsid w:val="5D69550A"/>
    <w:rsid w:val="5D79574D"/>
    <w:rsid w:val="5D7A7717"/>
    <w:rsid w:val="5E3E24F3"/>
    <w:rsid w:val="5E563CE0"/>
    <w:rsid w:val="5EB17168"/>
    <w:rsid w:val="5FEB725B"/>
    <w:rsid w:val="60606C77"/>
    <w:rsid w:val="610E08A2"/>
    <w:rsid w:val="614147D4"/>
    <w:rsid w:val="62514EEA"/>
    <w:rsid w:val="6280132C"/>
    <w:rsid w:val="62EA2C49"/>
    <w:rsid w:val="634D5C56"/>
    <w:rsid w:val="636B1FDC"/>
    <w:rsid w:val="636E5628"/>
    <w:rsid w:val="63A70B3A"/>
    <w:rsid w:val="63C65464"/>
    <w:rsid w:val="65953340"/>
    <w:rsid w:val="664D59C9"/>
    <w:rsid w:val="669730E8"/>
    <w:rsid w:val="670B371C"/>
    <w:rsid w:val="67A07D7A"/>
    <w:rsid w:val="68A67612"/>
    <w:rsid w:val="69BA3375"/>
    <w:rsid w:val="69F83E9D"/>
    <w:rsid w:val="6A786D8C"/>
    <w:rsid w:val="6A9260A0"/>
    <w:rsid w:val="6B19056F"/>
    <w:rsid w:val="6BEB5870"/>
    <w:rsid w:val="6C29646B"/>
    <w:rsid w:val="6C474C68"/>
    <w:rsid w:val="6CD504C6"/>
    <w:rsid w:val="6D8F4B19"/>
    <w:rsid w:val="6E6164B5"/>
    <w:rsid w:val="6EFF182A"/>
    <w:rsid w:val="6F2474E3"/>
    <w:rsid w:val="6F377216"/>
    <w:rsid w:val="6F5002D8"/>
    <w:rsid w:val="6F60676D"/>
    <w:rsid w:val="701B08E6"/>
    <w:rsid w:val="70AB3A18"/>
    <w:rsid w:val="70E138DD"/>
    <w:rsid w:val="71706A0F"/>
    <w:rsid w:val="71956476"/>
    <w:rsid w:val="71F80EDE"/>
    <w:rsid w:val="71FE401B"/>
    <w:rsid w:val="721B4BCD"/>
    <w:rsid w:val="72DE2B1B"/>
    <w:rsid w:val="73BB0416"/>
    <w:rsid w:val="7423420D"/>
    <w:rsid w:val="745D327B"/>
    <w:rsid w:val="757E365B"/>
    <w:rsid w:val="758B3E18"/>
    <w:rsid w:val="75B415C0"/>
    <w:rsid w:val="761B33ED"/>
    <w:rsid w:val="782A7918"/>
    <w:rsid w:val="783562BD"/>
    <w:rsid w:val="78C55892"/>
    <w:rsid w:val="78D43D28"/>
    <w:rsid w:val="790463BB"/>
    <w:rsid w:val="79183C14"/>
    <w:rsid w:val="793B5B55"/>
    <w:rsid w:val="79C618C2"/>
    <w:rsid w:val="79F20909"/>
    <w:rsid w:val="7A3C7DD6"/>
    <w:rsid w:val="7B452CBB"/>
    <w:rsid w:val="7B486307"/>
    <w:rsid w:val="7C466CEA"/>
    <w:rsid w:val="7C8415C1"/>
    <w:rsid w:val="7D311748"/>
    <w:rsid w:val="7E3C2153"/>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38A5D"/>
  <w15:docId w15:val="{DCB0AEC8-548B-483A-B8E9-A84A333D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unhideWhenUsed="1" w:qFormat="1"/>
    <w:lsdException w:name="toc 2" w:uiPriority="39" w:unhideWhenUsed="1" w:qFormat="1"/>
    <w:lsdException w:name="toc 3" w:uiPriority="39" w:unhideWhenUsed="1" w:qFormat="1"/>
    <w:lsdException w:name="toc 6"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footnote reference" w:uiPriority="99" w:unhideWhenUsed="1" w:qFormat="1"/>
    <w:lsdException w:name="annotation reference" w:uiPriority="99"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Date" w:qFormat="1"/>
    <w:lsdException w:name="Body Text First Indent" w:uiPriority="99" w:unhideWhenUsed="1" w:qFormat="1"/>
    <w:lsdException w:name="Hyperlink" w:uiPriority="99" w:unhideWhenUsed="1" w:qFormat="1"/>
    <w:lsdException w:name="FollowedHyperlink" w:uiPriority="99" w:unhideWhenUsed="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uiPriority="99" w:unhideWhenUsed="1" w:qFormat="1"/>
    <w:lsdException w:name="HTML Cite" w:uiPriority="99" w:unhideWhenUsed="1" w:qFormat="1"/>
    <w:lsdException w:name="HTML Code" w:uiPriority="99" w:unhideWhenUsed="1" w:qFormat="1"/>
    <w:lsdException w:name="HTML Definition" w:uiPriority="99" w:unhideWhenUsed="1" w:qFormat="1"/>
    <w:lsdException w:name="HTML Keyboard" w:uiPriority="99" w:unhideWhenUsed="1" w:qFormat="1"/>
    <w:lsdException w:name="HTML Sample" w:uiPriority="99" w:unhideWhenUsed="1" w:qFormat="1"/>
    <w:lsdException w:name="HTML Typewriter" w:uiPriority="99" w:unhideWhenUsed="1" w:qFormat="1"/>
    <w:lsdException w:name="HTML Variable"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2"/>
    </w:rPr>
  </w:style>
  <w:style w:type="paragraph" w:styleId="1">
    <w:name w:val="heading 1"/>
    <w:basedOn w:val="a"/>
    <w:next w:val="a"/>
    <w:link w:val="10"/>
    <w:uiPriority w:val="9"/>
    <w:qFormat/>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仿宋_GB2312"/>
      <w:bCs/>
      <w:sz w:val="28"/>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rFonts w:ascii="@仿宋_GB2312" w:eastAsia="@仿宋_GB2312" w:hAnsi="@仿宋_GB2312" w:cs="@仿宋_GB2312"/>
      <w:b/>
      <w:bCs/>
      <w:szCs w:val="32"/>
    </w:rPr>
  </w:style>
  <w:style w:type="paragraph" w:styleId="4">
    <w:name w:val="heading 4"/>
    <w:basedOn w:val="a"/>
    <w:next w:val="a"/>
    <w:link w:val="41"/>
    <w:qFormat/>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after="160" w:line="278" w:lineRule="auto"/>
      <w:ind w:firstLine="420"/>
      <w:jc w:val="left"/>
    </w:pPr>
    <w:rPr>
      <w:rFonts w:ascii="宋体"/>
      <w:kern w:val="0"/>
      <w:sz w:val="24"/>
    </w:rPr>
  </w:style>
  <w:style w:type="paragraph" w:styleId="a4">
    <w:name w:val="annotation text"/>
    <w:basedOn w:val="a"/>
    <w:link w:val="a5"/>
    <w:qFormat/>
    <w:pPr>
      <w:jc w:val="left"/>
    </w:pPr>
    <w:rPr>
      <w:rFonts w:ascii="Arial" w:eastAsia="黑体" w:hAnsi="Arial" w:cs="Arial"/>
      <w:sz w:val="21"/>
      <w:szCs w:val="24"/>
    </w:rPr>
  </w:style>
  <w:style w:type="paragraph" w:styleId="a6">
    <w:name w:val="Body Text"/>
    <w:basedOn w:val="a"/>
    <w:link w:val="a7"/>
    <w:qFormat/>
    <w:pPr>
      <w:spacing w:after="120"/>
    </w:pPr>
  </w:style>
  <w:style w:type="paragraph" w:styleId="a8">
    <w:name w:val="Body Text Indent"/>
    <w:basedOn w:val="a"/>
    <w:next w:val="a9"/>
    <w:link w:val="aa"/>
    <w:uiPriority w:val="99"/>
    <w:unhideWhenUsed/>
    <w:qFormat/>
    <w:pPr>
      <w:spacing w:after="120" w:line="278" w:lineRule="auto"/>
      <w:ind w:leftChars="200" w:left="420"/>
    </w:pPr>
    <w:rPr>
      <w:rFonts w:ascii="@仿宋_GB2312" w:eastAsia="@仿宋_GB2312" w:hAnsi="@仿宋_GB2312"/>
      <w:sz w:val="21"/>
    </w:rPr>
  </w:style>
  <w:style w:type="paragraph" w:styleId="a9">
    <w:name w:val="envelope return"/>
    <w:basedOn w:val="a"/>
    <w:uiPriority w:val="99"/>
    <w:qFormat/>
    <w:pPr>
      <w:snapToGrid w:val="0"/>
      <w:spacing w:after="160" w:line="278" w:lineRule="auto"/>
    </w:pPr>
    <w:rPr>
      <w:rFonts w:ascii="Arial" w:eastAsia="@仿宋_GB2312" w:hAnsi="Arial" w:cs="@仿宋_GB2312"/>
      <w:sz w:val="21"/>
    </w:r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b">
    <w:name w:val="Plain Text"/>
    <w:basedOn w:val="a"/>
    <w:link w:val="ac"/>
    <w:uiPriority w:val="99"/>
    <w:qFormat/>
    <w:pPr>
      <w:spacing w:after="160" w:line="278" w:lineRule="auto"/>
    </w:pPr>
    <w:rPr>
      <w:rFonts w:ascii="宋体" w:eastAsiaTheme="minorEastAsia" w:hAnsi="Courier New" w:cstheme="minorBidi"/>
      <w:sz w:val="21"/>
      <w:szCs w:val="22"/>
    </w:rPr>
  </w:style>
  <w:style w:type="paragraph" w:styleId="ad">
    <w:name w:val="Date"/>
    <w:basedOn w:val="a"/>
    <w:next w:val="a"/>
    <w:link w:val="11"/>
    <w:qFormat/>
    <w:pPr>
      <w:spacing w:after="160" w:line="278" w:lineRule="auto"/>
    </w:pPr>
    <w:rPr>
      <w:rFonts w:ascii="Arial" w:hAnsi="Arial" w:cs="Arial"/>
      <w:b/>
      <w:sz w:val="28"/>
    </w:rPr>
  </w:style>
  <w:style w:type="paragraph" w:styleId="ae">
    <w:name w:val="Balloon Text"/>
    <w:basedOn w:val="a"/>
    <w:link w:val="af"/>
    <w:uiPriority w:val="99"/>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af4">
    <w:name w:val="footnote text"/>
    <w:basedOn w:val="a"/>
    <w:link w:val="af5"/>
    <w:uiPriority w:val="99"/>
    <w:unhideWhenUsed/>
    <w:qFormat/>
    <w:pPr>
      <w:snapToGrid w:val="0"/>
      <w:spacing w:after="160" w:line="278" w:lineRule="auto"/>
      <w:jc w:val="left"/>
    </w:pPr>
    <w:rPr>
      <w:rFonts w:ascii="@仿宋_GB2312" w:eastAsia="@仿宋_GB2312" w:hAnsi="@仿宋_GB2312" w:cs="@仿宋_GB2312"/>
      <w:sz w:val="18"/>
    </w:rPr>
  </w:style>
  <w:style w:type="paragraph" w:styleId="TOC6">
    <w:name w:val="toc 6"/>
    <w:basedOn w:val="a"/>
    <w:next w:val="a"/>
    <w:qFormat/>
    <w:pPr>
      <w:spacing w:after="160" w:line="278" w:lineRule="auto"/>
      <w:ind w:leftChars="1000" w:left="2100"/>
    </w:pPr>
    <w:rPr>
      <w:rFonts w:ascii="@仿宋_GB2312" w:eastAsia="@仿宋_GB2312" w:hAnsi="@仿宋_GB2312" w:cs="@仿宋_GB2312"/>
      <w:sz w:val="21"/>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6">
    <w:name w:val="Normal (Web)"/>
    <w:basedOn w:val="a"/>
    <w:uiPriority w:val="99"/>
    <w:qFormat/>
    <w:rPr>
      <w:sz w:val="24"/>
    </w:rPr>
  </w:style>
  <w:style w:type="paragraph" w:styleId="12">
    <w:name w:val="index 1"/>
    <w:basedOn w:val="a"/>
    <w:next w:val="a"/>
    <w:qFormat/>
    <w:pPr>
      <w:spacing w:after="160" w:line="278" w:lineRule="auto"/>
      <w:jc w:val="center"/>
    </w:pPr>
    <w:rPr>
      <w:rFonts w:ascii="Arial" w:eastAsia="Arial" w:hAnsi="Arial" w:cs="Arial"/>
      <w:b/>
      <w:bCs/>
      <w:sz w:val="28"/>
    </w:rPr>
  </w:style>
  <w:style w:type="paragraph" w:styleId="af7">
    <w:name w:val="Body Text First Indent"/>
    <w:basedOn w:val="a6"/>
    <w:link w:val="af8"/>
    <w:uiPriority w:val="99"/>
    <w:unhideWhenUsed/>
    <w:qFormat/>
    <w:pPr>
      <w:spacing w:line="278" w:lineRule="auto"/>
      <w:ind w:firstLineChars="100" w:firstLine="420"/>
    </w:pPr>
    <w:rPr>
      <w:rFonts w:ascii="@微软简标宋" w:eastAsia="@微软简标宋" w:hAnsi="@微软简标宋" w:cs="@微软简标宋"/>
      <w:sz w:val="21"/>
      <w:szCs w:val="24"/>
      <w:lang w:val="zh-CN"/>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FollowedHyperlink"/>
    <w:basedOn w:val="a0"/>
    <w:uiPriority w:val="99"/>
    <w:unhideWhenUsed/>
    <w:qFormat/>
    <w:rPr>
      <w:color w:val="800080"/>
      <w:u w:val="none"/>
    </w:rPr>
  </w:style>
  <w:style w:type="character" w:styleId="afc">
    <w:name w:val="Emphasis"/>
    <w:basedOn w:val="a0"/>
    <w:uiPriority w:val="20"/>
    <w:qFormat/>
    <w:rPr>
      <w:b/>
      <w:bCs/>
    </w:rPr>
  </w:style>
  <w:style w:type="character" w:styleId="HTML">
    <w:name w:val="HTML Definition"/>
    <w:basedOn w:val="a0"/>
    <w:uiPriority w:val="99"/>
    <w:unhideWhenUsed/>
    <w:qFormat/>
  </w:style>
  <w:style w:type="character" w:styleId="HTML0">
    <w:name w:val="HTML Typewriter"/>
    <w:basedOn w:val="a0"/>
    <w:uiPriority w:val="99"/>
    <w:unhideWhenUsed/>
    <w:qFormat/>
    <w:rPr>
      <w:rFonts w:ascii="monospace" w:eastAsia="monospace" w:hAnsi="monospace" w:cs="monospace"/>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fd">
    <w:name w:val="Hyperlink"/>
    <w:basedOn w:val="a0"/>
    <w:uiPriority w:val="99"/>
    <w:unhideWhenUsed/>
    <w:qFormat/>
    <w:rPr>
      <w:color w:val="0000FF" w:themeColor="hyperlink"/>
      <w:u w:val="single"/>
    </w:rPr>
  </w:style>
  <w:style w:type="character" w:styleId="HTML3">
    <w:name w:val="HTML Code"/>
    <w:basedOn w:val="a0"/>
    <w:uiPriority w:val="99"/>
    <w:unhideWhenUsed/>
    <w:qFormat/>
    <w:rPr>
      <w:rFonts w:ascii="monospace" w:eastAsia="monospace" w:hAnsi="monospace" w:cs="monospace" w:hint="default"/>
      <w:sz w:val="20"/>
    </w:rPr>
  </w:style>
  <w:style w:type="character" w:styleId="afe">
    <w:name w:val="annotation reference"/>
    <w:basedOn w:val="a0"/>
    <w:uiPriority w:val="99"/>
    <w:qFormat/>
    <w:rPr>
      <w:sz w:val="21"/>
      <w:szCs w:val="21"/>
    </w:rPr>
  </w:style>
  <w:style w:type="character" w:styleId="HTML4">
    <w:name w:val="HTML Cite"/>
    <w:basedOn w:val="a0"/>
    <w:uiPriority w:val="99"/>
    <w:unhideWhenUsed/>
    <w:qFormat/>
  </w:style>
  <w:style w:type="character" w:styleId="aff">
    <w:name w:val="footnote reference"/>
    <w:basedOn w:val="a0"/>
    <w:uiPriority w:val="99"/>
    <w:unhideWhenUsed/>
    <w:qFormat/>
    <w:rPr>
      <w:vertAlign w:val="superscript"/>
    </w:rPr>
  </w:style>
  <w:style w:type="character" w:styleId="HTML5">
    <w:name w:val="HTML Keyboard"/>
    <w:basedOn w:val="a0"/>
    <w:uiPriority w:val="99"/>
    <w:unhideWhenUsed/>
    <w:qFormat/>
    <w:rPr>
      <w:rFonts w:ascii="monospace" w:eastAsia="monospace" w:hAnsi="monospace" w:cs="monospace" w:hint="default"/>
      <w:sz w:val="20"/>
    </w:rPr>
  </w:style>
  <w:style w:type="character" w:styleId="HTML6">
    <w:name w:val="HTML Sample"/>
    <w:basedOn w:val="a0"/>
    <w:uiPriority w:val="99"/>
    <w:unhideWhenUsed/>
    <w:qFormat/>
    <w:rPr>
      <w:rFonts w:ascii="monospace" w:eastAsia="monospace" w:hAnsi="monospace" w:cs="monospace" w:hint="default"/>
    </w:rPr>
  </w:style>
  <w:style w:type="character" w:customStyle="1" w:styleId="af3">
    <w:name w:val="页眉 字符"/>
    <w:basedOn w:val="a0"/>
    <w:link w:val="af2"/>
    <w:uiPriority w:val="99"/>
    <w:qFormat/>
    <w:rPr>
      <w:rFonts w:ascii="Times New Roman" w:hAnsi="Times New Roman"/>
      <w:kern w:val="2"/>
      <w:sz w:val="18"/>
      <w:szCs w:val="18"/>
    </w:rPr>
  </w:style>
  <w:style w:type="character" w:customStyle="1" w:styleId="af1">
    <w:name w:val="页脚 字符"/>
    <w:basedOn w:val="a0"/>
    <w:link w:val="af0"/>
    <w:uiPriority w:val="99"/>
    <w:qFormat/>
    <w:rPr>
      <w:rFonts w:ascii="Times New Roman" w:hAnsi="Times New Roman"/>
      <w:kern w:val="2"/>
      <w:sz w:val="18"/>
      <w:szCs w:val="18"/>
    </w:rPr>
  </w:style>
  <w:style w:type="character" w:customStyle="1" w:styleId="a5">
    <w:name w:val="批注文字 字符"/>
    <w:basedOn w:val="a0"/>
    <w:link w:val="a4"/>
    <w:qFormat/>
    <w:rPr>
      <w:rFonts w:ascii="Arial" w:eastAsia="黑体" w:hAnsi="Arial" w:cs="Arial"/>
      <w:kern w:val="2"/>
      <w:sz w:val="21"/>
      <w:szCs w:val="24"/>
    </w:rPr>
  </w:style>
  <w:style w:type="character" w:customStyle="1" w:styleId="af">
    <w:name w:val="批注框文本 字符"/>
    <w:basedOn w:val="a0"/>
    <w:link w:val="ae"/>
    <w:uiPriority w:val="99"/>
    <w:qFormat/>
    <w:rPr>
      <w:rFonts w:ascii="Times New Roman" w:hAnsi="Times New Roman"/>
      <w:kern w:val="2"/>
      <w:sz w:val="18"/>
      <w:szCs w:val="18"/>
    </w:rPr>
  </w:style>
  <w:style w:type="character" w:customStyle="1" w:styleId="10">
    <w:name w:val="标题 1 字符"/>
    <w:basedOn w:val="a0"/>
    <w:link w:val="1"/>
    <w:uiPriority w:val="9"/>
    <w:qFormat/>
    <w:rPr>
      <w:rFonts w:ascii="@仿宋_GB2312" w:eastAsia="@仿宋_GB2312" w:hAnsi="@仿宋_GB2312" w:cs="@仿宋_GB2312"/>
      <w:b/>
      <w:bCs/>
      <w:kern w:val="44"/>
      <w:sz w:val="44"/>
      <w:szCs w:val="44"/>
    </w:rPr>
  </w:style>
  <w:style w:type="character" w:customStyle="1" w:styleId="20">
    <w:name w:val="标题 2 字符"/>
    <w:basedOn w:val="a0"/>
    <w:link w:val="2"/>
    <w:qFormat/>
    <w:rPr>
      <w:rFonts w:ascii="Arial" w:eastAsia="黑体" w:hAnsi="Arial" w:cs="@仿宋_GB2312"/>
      <w:bCs/>
      <w:kern w:val="2"/>
      <w:sz w:val="28"/>
      <w:szCs w:val="32"/>
    </w:rPr>
  </w:style>
  <w:style w:type="character" w:customStyle="1" w:styleId="30">
    <w:name w:val="标题 3 字符"/>
    <w:basedOn w:val="a0"/>
    <w:link w:val="3"/>
    <w:uiPriority w:val="9"/>
    <w:semiHidden/>
    <w:qFormat/>
    <w:rPr>
      <w:rFonts w:ascii="@仿宋_GB2312" w:eastAsia="@仿宋_GB2312" w:hAnsi="@仿宋_GB2312" w:cs="@仿宋_GB2312"/>
      <w:b/>
      <w:bCs/>
      <w:kern w:val="2"/>
      <w:sz w:val="32"/>
      <w:szCs w:val="32"/>
    </w:rPr>
  </w:style>
  <w:style w:type="character" w:customStyle="1" w:styleId="40">
    <w:name w:val="标题 4 字符"/>
    <w:basedOn w:val="a0"/>
    <w:uiPriority w:val="9"/>
    <w:semiHidden/>
    <w:qFormat/>
    <w:rPr>
      <w:rFonts w:asciiTheme="majorHAnsi" w:eastAsiaTheme="majorEastAsia" w:hAnsiTheme="majorHAnsi" w:cstheme="majorBidi"/>
      <w:b/>
      <w:bCs/>
      <w:kern w:val="2"/>
      <w:sz w:val="28"/>
      <w:szCs w:val="28"/>
    </w:rPr>
  </w:style>
  <w:style w:type="character" w:customStyle="1" w:styleId="a7">
    <w:name w:val="正文文本 字符"/>
    <w:basedOn w:val="a0"/>
    <w:link w:val="a6"/>
    <w:qFormat/>
    <w:rPr>
      <w:kern w:val="2"/>
      <w:sz w:val="32"/>
    </w:rPr>
  </w:style>
  <w:style w:type="character" w:customStyle="1" w:styleId="af8">
    <w:name w:val="正文文本首行缩进 字符"/>
    <w:basedOn w:val="a7"/>
    <w:link w:val="af7"/>
    <w:uiPriority w:val="99"/>
    <w:qFormat/>
    <w:rPr>
      <w:rFonts w:ascii="@微软简标宋" w:eastAsia="@微软简标宋" w:hAnsi="@微软简标宋" w:cs="@微软简标宋"/>
      <w:kern w:val="2"/>
      <w:sz w:val="21"/>
      <w:szCs w:val="24"/>
      <w:lang w:val="zh-CN"/>
    </w:rPr>
  </w:style>
  <w:style w:type="character" w:customStyle="1" w:styleId="aa">
    <w:name w:val="正文文本缩进 字符"/>
    <w:basedOn w:val="a0"/>
    <w:link w:val="a8"/>
    <w:uiPriority w:val="99"/>
    <w:qFormat/>
    <w:rPr>
      <w:rFonts w:ascii="@仿宋_GB2312" w:eastAsia="@仿宋_GB2312" w:hAnsi="@仿宋_GB2312"/>
      <w:kern w:val="2"/>
      <w:sz w:val="21"/>
    </w:rPr>
  </w:style>
  <w:style w:type="character" w:customStyle="1" w:styleId="ac">
    <w:name w:val="纯文本 字符"/>
    <w:basedOn w:val="a0"/>
    <w:link w:val="ab"/>
    <w:uiPriority w:val="99"/>
    <w:qFormat/>
    <w:rPr>
      <w:rFonts w:ascii="宋体" w:eastAsiaTheme="minorEastAsia" w:hAnsi="Courier New" w:cstheme="minorBidi"/>
      <w:kern w:val="2"/>
      <w:sz w:val="21"/>
      <w:szCs w:val="22"/>
    </w:rPr>
  </w:style>
  <w:style w:type="character" w:customStyle="1" w:styleId="aff0">
    <w:name w:val="日期 字符"/>
    <w:basedOn w:val="a0"/>
    <w:uiPriority w:val="99"/>
    <w:qFormat/>
    <w:rPr>
      <w:kern w:val="2"/>
      <w:sz w:val="32"/>
    </w:rPr>
  </w:style>
  <w:style w:type="character" w:customStyle="1" w:styleId="af5">
    <w:name w:val="脚注文本 字符"/>
    <w:basedOn w:val="a0"/>
    <w:link w:val="af4"/>
    <w:uiPriority w:val="99"/>
    <w:rPr>
      <w:rFonts w:ascii="@仿宋_GB2312" w:eastAsia="@仿宋_GB2312" w:hAnsi="@仿宋_GB2312" w:cs="@仿宋_GB2312"/>
      <w:kern w:val="2"/>
      <w:sz w:val="18"/>
    </w:rPr>
  </w:style>
  <w:style w:type="paragraph" w:customStyle="1" w:styleId="Default">
    <w:name w:val="Default"/>
    <w:qFormat/>
    <w:pPr>
      <w:widowControl w:val="0"/>
      <w:autoSpaceDE w:val="0"/>
      <w:autoSpaceDN w:val="0"/>
      <w:adjustRightInd w:val="0"/>
      <w:spacing w:after="160" w:line="278" w:lineRule="auto"/>
    </w:pPr>
    <w:rPr>
      <w:color w:val="000000"/>
      <w:sz w:val="24"/>
      <w:szCs w:val="24"/>
    </w:rPr>
  </w:style>
  <w:style w:type="paragraph" w:customStyle="1" w:styleId="aff1">
    <w:name w:val="正文（缩进）"/>
    <w:basedOn w:val="a"/>
    <w:qFormat/>
    <w:pPr>
      <w:widowControl/>
      <w:spacing w:before="156" w:after="156" w:line="278" w:lineRule="auto"/>
      <w:ind w:firstLineChars="200" w:firstLine="480"/>
      <w:jc w:val="left"/>
    </w:pPr>
    <w:rPr>
      <w:rFonts w:ascii="@仿宋_GB2312" w:eastAsia="@仿宋_GB2312" w:hAnsi="@仿宋_GB2312" w:cs="@仿宋_GB2312"/>
      <w:kern w:val="0"/>
      <w:sz w:val="24"/>
      <w:szCs w:val="24"/>
    </w:rPr>
  </w:style>
  <w:style w:type="paragraph" w:customStyle="1" w:styleId="xl31">
    <w:name w:val="xl31"/>
    <w:basedOn w:val="a"/>
    <w:qFormat/>
    <w:pPr>
      <w:widowControl/>
      <w:spacing w:before="100" w:beforeAutospacing="1" w:after="100" w:afterAutospacing="1" w:line="278" w:lineRule="auto"/>
      <w:jc w:val="center"/>
    </w:pPr>
    <w:rPr>
      <w:rFonts w:ascii="@仿宋_GB2312" w:eastAsia="@仿宋_GB2312" w:hAnsi="@仿宋_GB2312" w:cs="@仿宋_GB2312"/>
      <w:b/>
      <w:bCs/>
      <w:kern w:val="0"/>
      <w:sz w:val="28"/>
      <w:szCs w:val="28"/>
    </w:rPr>
  </w:style>
  <w:style w:type="paragraph" w:customStyle="1" w:styleId="DL">
    <w:name w:val="D&amp;L"/>
    <w:basedOn w:val="af2"/>
    <w:qFormat/>
    <w:pPr>
      <w:pBdr>
        <w:bottom w:val="thinThickSmallGap" w:sz="18" w:space="1" w:color="auto"/>
      </w:pBdr>
      <w:adjustRightInd w:val="0"/>
      <w:snapToGrid/>
      <w:spacing w:after="160" w:line="240" w:lineRule="atLeast"/>
      <w:textAlignment w:val="baseline"/>
    </w:pPr>
    <w:rPr>
      <w:rFonts w:ascii="@仿宋_GB2312" w:eastAsia="@仿宋_GB2312" w:hAnsi="@仿宋_GB2312" w:cs="@仿宋_GB2312"/>
      <w:kern w:val="0"/>
      <w:sz w:val="24"/>
      <w:szCs w:val="20"/>
    </w:rPr>
  </w:style>
  <w:style w:type="character" w:customStyle="1" w:styleId="13">
    <w:name w:val="纯文本 字符1"/>
    <w:basedOn w:val="a0"/>
    <w:uiPriority w:val="99"/>
    <w:semiHidden/>
    <w:qFormat/>
    <w:rPr>
      <w:rFonts w:asciiTheme="minorEastAsia" w:hAnsi="Courier New" w:cs="Courier New"/>
      <w:szCs w:val="20"/>
    </w:rPr>
  </w:style>
  <w:style w:type="character" w:customStyle="1" w:styleId="14">
    <w:name w:val="未处理的提及1"/>
    <w:basedOn w:val="a0"/>
    <w:uiPriority w:val="99"/>
    <w:semiHidden/>
    <w:unhideWhenUsed/>
    <w:qFormat/>
    <w:rPr>
      <w:color w:val="605E5C"/>
      <w:shd w:val="clear" w:color="auto" w:fill="E1DFDD"/>
    </w:rPr>
  </w:style>
  <w:style w:type="paragraph" w:styleId="aff2">
    <w:name w:val="List Paragraph"/>
    <w:basedOn w:val="a"/>
    <w:uiPriority w:val="34"/>
    <w:qFormat/>
    <w:pPr>
      <w:spacing w:after="160" w:line="278" w:lineRule="auto"/>
      <w:ind w:firstLineChars="200" w:firstLine="420"/>
    </w:pPr>
    <w:rPr>
      <w:rFonts w:ascii="@仿宋_GB2312" w:eastAsia="@仿宋_GB2312" w:hAnsi="@仿宋_GB2312" w:cs="@仿宋_GB2312"/>
      <w:sz w:val="21"/>
    </w:rPr>
  </w:style>
  <w:style w:type="paragraph" w:customStyle="1" w:styleId="CharCharCharCharCharCharChar1Char">
    <w:name w:val="Char Char Char Char Char Char Char1 Char"/>
    <w:basedOn w:val="a"/>
    <w:qFormat/>
    <w:pPr>
      <w:spacing w:after="160" w:line="278" w:lineRule="auto"/>
    </w:pPr>
    <w:rPr>
      <w:rFonts w:ascii="Arial"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1">
    <w:name w:val="日期 字符1"/>
    <w:link w:val="ad"/>
    <w:qFormat/>
    <w:rPr>
      <w:rFonts w:ascii="Arial" w:hAnsi="Arial" w:cs="Arial"/>
      <w:b/>
      <w:kern w:val="2"/>
      <w:sz w:val="28"/>
    </w:rPr>
  </w:style>
  <w:style w:type="character" w:customStyle="1" w:styleId="Char1">
    <w:name w:val="纯文本 Char1"/>
    <w:uiPriority w:val="99"/>
    <w:qFormat/>
    <w:locked/>
    <w:rPr>
      <w:rFonts w:ascii="Arial" w:eastAsia="Arial" w:hAnsi="Arial"/>
      <w:kern w:val="2"/>
      <w:sz w:val="21"/>
      <w:lang w:val="en-US" w:eastAsia="zh-CN" w:bidi="ar-SA"/>
    </w:rPr>
  </w:style>
  <w:style w:type="character" w:customStyle="1" w:styleId="Char">
    <w:name w:val="批注文字 Char"/>
    <w:basedOn w:val="a0"/>
    <w:uiPriority w:val="99"/>
    <w:semiHidden/>
    <w:qFormat/>
    <w:rPr>
      <w:rFonts w:ascii="@仿宋_GB2312" w:eastAsia="@仿宋_GB2312" w:hAnsi="@仿宋_GB2312" w:cs="@仿宋_GB2312"/>
      <w:szCs w:val="20"/>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1">
    <w:name w:val="标题 4 字符1"/>
    <w:link w:val="4"/>
    <w:qFormat/>
    <w:rPr>
      <w:rFonts w:ascii="@仿宋_GB2312" w:eastAsia="@仿宋_GB2312" w:hAnsi="@仿宋_GB2312" w:cs="@仿宋_GB2312"/>
      <w:b/>
      <w:bCs/>
      <w:kern w:val="2"/>
      <w:sz w:val="28"/>
      <w:szCs w:val="28"/>
    </w:rPr>
  </w:style>
  <w:style w:type="character" w:customStyle="1" w:styleId="4Char">
    <w:name w:val="标题 4 Char"/>
    <w:qFormat/>
    <w:rPr>
      <w:rFonts w:ascii="Arial" w:eastAsia="Arial" w:hAnsi="Arial"/>
      <w:b/>
      <w:bCs/>
      <w:kern w:val="2"/>
      <w:sz w:val="28"/>
      <w:szCs w:val="28"/>
      <w:lang w:val="en-US" w:eastAsia="zh-CN" w:bidi="ar-SA"/>
    </w:rPr>
  </w:style>
  <w:style w:type="table" w:customStyle="1" w:styleId="15">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qFormat/>
    <w:pPr>
      <w:spacing w:after="160" w:line="278" w:lineRule="auto"/>
    </w:p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
    <w:semiHidden/>
    <w:qFormat/>
    <w:pPr>
      <w:spacing w:after="160" w:line="278" w:lineRule="auto"/>
    </w:pPr>
    <w:rPr>
      <w:rFonts w:ascii="宋体" w:hAnsi="宋体" w:cs="宋体"/>
      <w:sz w:val="22"/>
      <w:szCs w:val="22"/>
      <w:lang w:eastAsia="en-US"/>
    </w:rPr>
  </w:style>
  <w:style w:type="paragraph" w:customStyle="1" w:styleId="TableParagraph">
    <w:name w:val="Table Paragraph"/>
    <w:basedOn w:val="a"/>
    <w:uiPriority w:val="1"/>
    <w:qFormat/>
    <w:pPr>
      <w:spacing w:after="160" w:line="278" w:lineRule="auto"/>
    </w:pPr>
    <w:rPr>
      <w:rFonts w:ascii="@仿宋_GB2312" w:eastAsia="@仿宋_GB2312" w:hAnsi="@仿宋_GB2312" w:cs="@仿宋_GB2312"/>
      <w:sz w:val="21"/>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11">
    <w:name w:val="font11"/>
    <w:qFormat/>
    <w:rPr>
      <w:rFonts w:ascii="宋体" w:eastAsia="宋体" w:hAnsi="宋体" w:cs="宋体" w:hint="eastAsia"/>
      <w:color w:val="000000"/>
      <w:sz w:val="24"/>
      <w:szCs w:val="24"/>
      <w:u w:val="none"/>
    </w:rPr>
  </w:style>
  <w:style w:type="paragraph" w:customStyle="1" w:styleId="aff3">
    <w:name w:val="表格"/>
    <w:basedOn w:val="a"/>
    <w:qFormat/>
    <w:pPr>
      <w:spacing w:after="160" w:line="278" w:lineRule="auto"/>
      <w:jc w:val="center"/>
    </w:pPr>
    <w:rPr>
      <w:rFonts w:ascii="@仿宋_GB2312" w:eastAsia="@仿宋_GB2312" w:hAnsi="@仿宋_GB2312" w:cs="@仿宋_GB2312" w:hint="eastAsia"/>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font121">
    <w:name w:val="font1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customStyle="1" w:styleId="16">
    <w:name w:val="修订1"/>
    <w:hidden/>
    <w:uiPriority w:val="99"/>
    <w:unhideWhenUsed/>
    <w:qFormat/>
    <w:rPr>
      <w:rFonts w:ascii="@仿宋_GB2312" w:eastAsia="@仿宋_GB2312" w:hAnsi="@仿宋_GB2312" w:cs="@仿宋_GB2312"/>
      <w:kern w:val="2"/>
      <w:sz w:val="21"/>
    </w:rPr>
  </w:style>
  <w:style w:type="paragraph" w:customStyle="1" w:styleId="aff4">
    <w:name w:val="首行缩进"/>
    <w:basedOn w:val="a"/>
    <w:qFormat/>
    <w:pPr>
      <w:spacing w:after="160" w:line="278" w:lineRule="auto"/>
      <w:ind w:firstLineChars="200" w:firstLine="480"/>
    </w:pPr>
    <w:rPr>
      <w:rFonts w:ascii="@仿宋_GB2312" w:eastAsia="@仿宋_GB2312" w:hAnsi="@仿宋_GB2312" w:cs="@仿宋_GB2312"/>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774</Words>
  <Characters>4415</Characters>
  <Application>Microsoft Office Word</Application>
  <DocSecurity>0</DocSecurity>
  <Lines>36</Lines>
  <Paragraphs>10</Paragraphs>
  <ScaleCrop>false</ScaleCrop>
  <Company>china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2025-06-27T02:37:00Z</cp:lastPrinted>
  <dcterms:created xsi:type="dcterms:W3CDTF">2025-10-24T06:25:00Z</dcterms:created>
  <dcterms:modified xsi:type="dcterms:W3CDTF">2025-10-24T08:50:00Z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eyJoZGlkIjoiNDRkMzQ1NmRmYTZlMjBlZTBhMDU2OGE3ZDdjYjU1ZTEiLCJ1c2VySWQiOiI0MzM4MTU2OTkifQ==</vt:lpwstr>
  </property>
  <property fmtid="{D5CDD505-2E9C-101B-9397-08002B2CF9AE}" pid="4" name="ICV">
    <vt:lpwstr>AEA222881D6E40E09E82BD8B60BFCBEB_13</vt:lpwstr>
  </property>
</Properties>
</file>