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879C6">
      <w:pPr>
        <w:jc w:val="center"/>
        <w:rPr>
          <w:rFonts w:hint="eastAsia"/>
          <w:sz w:val="32"/>
          <w:szCs w:val="32"/>
          <w:lang w:val="en-US" w:eastAsia="zh-CN"/>
        </w:rPr>
      </w:pPr>
    </w:p>
    <w:p w14:paraId="6EC6DF02">
      <w:pPr>
        <w:jc w:val="both"/>
        <w:rPr>
          <w:rFonts w:hint="eastAsia"/>
          <w:sz w:val="32"/>
          <w:szCs w:val="32"/>
          <w:lang w:val="en-US" w:eastAsia="zh-CN"/>
        </w:rPr>
      </w:pPr>
    </w:p>
    <w:p w14:paraId="7FFCE631">
      <w:pPr>
        <w:jc w:val="center"/>
        <w:rPr>
          <w:rFonts w:hint="eastAsia"/>
          <w:sz w:val="32"/>
          <w:szCs w:val="32"/>
          <w:lang w:val="en-US" w:eastAsia="zh-CN"/>
        </w:rPr>
      </w:pPr>
      <w:r>
        <w:rPr>
          <w:rFonts w:hint="eastAsia"/>
          <w:sz w:val="32"/>
          <w:szCs w:val="32"/>
          <w:lang w:val="en-US" w:eastAsia="zh-CN"/>
        </w:rPr>
        <w:t>巢湖市特殊教育学校</w:t>
      </w:r>
    </w:p>
    <w:p w14:paraId="34C700B7">
      <w:pPr>
        <w:jc w:val="center"/>
        <w:rPr>
          <w:rFonts w:hint="eastAsia"/>
          <w:sz w:val="32"/>
          <w:szCs w:val="32"/>
          <w:lang w:val="en-US" w:eastAsia="zh-CN"/>
        </w:rPr>
      </w:pPr>
      <w:r>
        <w:rPr>
          <w:rFonts w:hint="eastAsia"/>
          <w:sz w:val="32"/>
          <w:szCs w:val="32"/>
          <w:lang w:val="en-US" w:eastAsia="zh-CN"/>
        </w:rPr>
        <w:t>培智教学系统（四年级下册）采购项目采购需求</w:t>
      </w:r>
    </w:p>
    <w:tbl>
      <w:tblPr>
        <w:tblStyle w:val="6"/>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327"/>
        <w:gridCol w:w="7170"/>
        <w:gridCol w:w="569"/>
      </w:tblGrid>
      <w:tr w14:paraId="21F4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493" w:type="dxa"/>
            <w:vAlign w:val="center"/>
          </w:tcPr>
          <w:p w14:paraId="335709F7">
            <w:pPr>
              <w:pStyle w:val="2"/>
              <w:keepNext/>
              <w:keepLines/>
              <w:pageBreakBefore w:val="0"/>
              <w:widowControl w:val="0"/>
              <w:numPr>
                <w:ilvl w:val="0"/>
                <w:numId w:val="0"/>
              </w:numPr>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序号</w:t>
            </w:r>
          </w:p>
        </w:tc>
        <w:tc>
          <w:tcPr>
            <w:tcW w:w="1327" w:type="dxa"/>
            <w:vAlign w:val="center"/>
          </w:tcPr>
          <w:p w14:paraId="18A7AD62">
            <w:pPr>
              <w:pStyle w:val="2"/>
              <w:keepNext/>
              <w:keepLines/>
              <w:pageBreakBefore w:val="0"/>
              <w:widowControl w:val="0"/>
              <w:numPr>
                <w:ilvl w:val="0"/>
                <w:numId w:val="0"/>
              </w:numPr>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产品名称</w:t>
            </w:r>
          </w:p>
        </w:tc>
        <w:tc>
          <w:tcPr>
            <w:tcW w:w="7170" w:type="dxa"/>
            <w:vAlign w:val="center"/>
          </w:tcPr>
          <w:p w14:paraId="6BE940CC">
            <w:pPr>
              <w:pStyle w:val="2"/>
              <w:keepNext/>
              <w:keepLines/>
              <w:pageBreakBefore w:val="0"/>
              <w:widowControl w:val="0"/>
              <w:numPr>
                <w:ilvl w:val="0"/>
                <w:numId w:val="0"/>
              </w:numPr>
              <w:kinsoku/>
              <w:wordWrap/>
              <w:overflowPunct/>
              <w:topLinePunct w:val="0"/>
              <w:autoSpaceDE/>
              <w:autoSpaceDN/>
              <w:bidi w:val="0"/>
              <w:adjustRightInd/>
              <w:snapToGrid/>
              <w:spacing w:line="300" w:lineRule="auto"/>
              <w:ind w:left="0" w:firstLine="0" w:firstLineChars="0"/>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采购技术需求</w:t>
            </w:r>
          </w:p>
        </w:tc>
        <w:tc>
          <w:tcPr>
            <w:tcW w:w="569" w:type="dxa"/>
            <w:vAlign w:val="center"/>
          </w:tcPr>
          <w:p w14:paraId="6D5C548A">
            <w:pPr>
              <w:pStyle w:val="2"/>
              <w:keepNext/>
              <w:keepLines/>
              <w:pageBreakBefore w:val="0"/>
              <w:widowControl w:val="0"/>
              <w:numPr>
                <w:ilvl w:val="0"/>
                <w:numId w:val="0"/>
              </w:numPr>
              <w:kinsoku/>
              <w:wordWrap/>
              <w:overflowPunct/>
              <w:topLinePunct w:val="0"/>
              <w:autoSpaceDE/>
              <w:autoSpaceDN/>
              <w:bidi w:val="0"/>
              <w:adjustRightInd/>
              <w:snapToGrid/>
              <w:spacing w:line="240" w:lineRule="auto"/>
              <w:ind w:left="0" w:firstLine="0" w:firstLineChars="0"/>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数量</w:t>
            </w:r>
          </w:p>
        </w:tc>
      </w:tr>
      <w:tr w14:paraId="10A5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 w:type="dxa"/>
            <w:vAlign w:val="center"/>
          </w:tcPr>
          <w:p w14:paraId="6EDB4FCA">
            <w:pPr>
              <w:pageBreakBefore w:val="0"/>
              <w:kinsoku/>
              <w:wordWrap/>
              <w:overflowPunct/>
              <w:topLinePunct w:val="0"/>
              <w:autoSpaceDE/>
              <w:autoSpaceDN/>
              <w:bidi w:val="0"/>
              <w:adjustRightInd/>
              <w:snapToGrid/>
              <w:ind w:left="0" w:firstLine="0" w:firstLineChars="0"/>
              <w:jc w:val="center"/>
              <w:rPr>
                <w:rFonts w:hint="default" w:asciiTheme="minorEastAsia" w:hAnsi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1</w:t>
            </w:r>
          </w:p>
        </w:tc>
        <w:tc>
          <w:tcPr>
            <w:tcW w:w="1327" w:type="dxa"/>
            <w:vAlign w:val="center"/>
          </w:tcPr>
          <w:p w14:paraId="33B1C230">
            <w:pPr>
              <w:pageBreakBefore w:val="0"/>
              <w:kinsoku/>
              <w:wordWrap/>
              <w:overflowPunct/>
              <w:topLinePunct w:val="0"/>
              <w:autoSpaceDE/>
              <w:autoSpaceDN/>
              <w:bidi w:val="0"/>
              <w:adjustRightInd/>
              <w:snapToGrid/>
              <w:ind w:left="0" w:firstLine="0" w:firstLineChars="0"/>
              <w:jc w:val="center"/>
              <w:rPr>
                <w:rFonts w:hint="eastAsia" w:asciiTheme="minorEastAsia" w:hAnsiTheme="minorEastAsia" w:eastAsiaTheme="minorEastAsia" w:cstheme="minorEastAsia"/>
                <w:b w:val="0"/>
                <w:bCs/>
                <w:color w:val="auto"/>
                <w:sz w:val="24"/>
                <w:szCs w:val="24"/>
                <w:u w:val="none"/>
                <w:lang w:eastAsia="zh-CN"/>
              </w:rPr>
            </w:pPr>
            <w:r>
              <w:rPr>
                <w:rFonts w:hint="eastAsia" w:ascii="宋体" w:hAnsi="宋体" w:eastAsia="宋体" w:cs="宋体"/>
                <w:b w:val="0"/>
                <w:bCs/>
                <w:color w:val="auto"/>
                <w:sz w:val="24"/>
                <w:szCs w:val="24"/>
                <w:u w:val="none"/>
                <w:lang w:eastAsia="zh-CN"/>
              </w:rPr>
              <w:t>教学系统</w:t>
            </w:r>
            <w:r>
              <w:rPr>
                <w:rFonts w:hint="eastAsia" w:ascii="宋体" w:hAnsi="宋体" w:eastAsia="宋体" w:cs="宋体"/>
                <w:b w:val="0"/>
                <w:bCs/>
                <w:color w:val="auto"/>
                <w:sz w:val="24"/>
                <w:szCs w:val="24"/>
                <w:u w:val="none"/>
              </w:rPr>
              <w:t>（</w:t>
            </w:r>
            <w:r>
              <w:rPr>
                <w:rFonts w:hint="eastAsia" w:ascii="宋体" w:hAnsi="宋体" w:cs="宋体"/>
                <w:b w:val="0"/>
                <w:bCs/>
                <w:color w:val="auto"/>
                <w:sz w:val="24"/>
                <w:szCs w:val="24"/>
                <w:u w:val="none"/>
                <w:lang w:val="en-US" w:eastAsia="zh-CN"/>
              </w:rPr>
              <w:t>四</w:t>
            </w:r>
            <w:r>
              <w:rPr>
                <w:rFonts w:hint="eastAsia" w:ascii="宋体" w:hAnsi="宋体" w:eastAsia="宋体" w:cs="宋体"/>
                <w:b w:val="0"/>
                <w:bCs/>
                <w:color w:val="auto"/>
                <w:sz w:val="24"/>
                <w:szCs w:val="24"/>
                <w:u w:val="none"/>
                <w:lang w:eastAsia="zh-CN"/>
              </w:rPr>
              <w:t>年级</w:t>
            </w:r>
            <w:r>
              <w:rPr>
                <w:rFonts w:hint="eastAsia" w:ascii="宋体" w:hAnsi="宋体" w:cs="宋体"/>
                <w:b w:val="0"/>
                <w:bCs/>
                <w:color w:val="auto"/>
                <w:sz w:val="24"/>
                <w:szCs w:val="24"/>
                <w:u w:val="none"/>
                <w:lang w:val="en-US" w:eastAsia="zh-CN"/>
              </w:rPr>
              <w:t>下</w:t>
            </w:r>
            <w:r>
              <w:rPr>
                <w:rFonts w:hint="eastAsia" w:ascii="宋体" w:hAnsi="宋体" w:eastAsia="宋体" w:cs="宋体"/>
                <w:b w:val="0"/>
                <w:bCs/>
                <w:color w:val="auto"/>
                <w:sz w:val="24"/>
                <w:szCs w:val="24"/>
                <w:u w:val="none"/>
                <w:lang w:eastAsia="zh-CN"/>
              </w:rPr>
              <w:t>册）</w:t>
            </w:r>
          </w:p>
        </w:tc>
        <w:tc>
          <w:tcPr>
            <w:tcW w:w="7170" w:type="dxa"/>
            <w:vAlign w:val="center"/>
          </w:tcPr>
          <w:p w14:paraId="68A4B8E5">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一、软件参数：</w:t>
            </w:r>
          </w:p>
          <w:p w14:paraId="5EEC7E33">
            <w:pPr>
              <w:pageBreakBefore w:val="0"/>
              <w:kinsoku/>
              <w:wordWrap/>
              <w:overflowPunct/>
              <w:topLinePunct w:val="0"/>
              <w:autoSpaceDE/>
              <w:autoSpaceDN/>
              <w:bidi w:val="0"/>
              <w:adjustRightInd/>
              <w:snapToGrid/>
              <w:spacing w:line="300" w:lineRule="auto"/>
              <w:ind w:left="0" w:leftChars="0" w:firstLine="0" w:firstLineChars="0"/>
              <w:jc w:val="left"/>
              <w:textAlignment w:val="auto"/>
              <w:rPr>
                <w:rFonts w:hint="eastAsia" w:ascii="宋体" w:hAnsi="宋体" w:eastAsia="宋体" w:cs="宋体"/>
                <w:b w:val="0"/>
                <w:bCs w:val="0"/>
                <w:sz w:val="24"/>
                <w:szCs w:val="24"/>
                <w:lang w:val="en-US" w:eastAsia="zh-CN"/>
              </w:rPr>
            </w:pPr>
            <w:r>
              <w:rPr>
                <w:rFonts w:hint="eastAsia" w:asciiTheme="minorEastAsia" w:hAnsiTheme="minorEastAsia" w:eastAsiaTheme="minorEastAsia" w:cstheme="minorEastAsia"/>
                <w:color w:val="auto"/>
                <w:sz w:val="24"/>
                <w:szCs w:val="24"/>
              </w:rPr>
              <w:t>★1、为保证教学效果，软件内动漫和游戏中的人物形象应与学校使用教材中的人物形象一致。</w:t>
            </w:r>
          </w:p>
          <w:p w14:paraId="1401F129">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2、具备视频、图片、游戏、文字功能。</w:t>
            </w:r>
          </w:p>
          <w:p w14:paraId="2560EA56">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3、配套学校使用教材四年级下《生活适应》《生活语文》《生活数学》设计和制作的教育教学资源。</w:t>
            </w:r>
          </w:p>
          <w:p w14:paraId="706B113B">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4、四年级下生活适应类课程资源内容，内容包含但不限于：</w:t>
            </w:r>
          </w:p>
          <w:p w14:paraId="1D46A9BF">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①学洗头；②学洗澡；③我家的亲戚；④打电话；⑤活动课的安全；⑥社区服务人员；⑦社区安全标识；⑧民间艺术小天地；⑨传统美德小故事（明礼篇）；⑩综合活动（家庭聚会）。</w:t>
            </w:r>
          </w:p>
          <w:p w14:paraId="3D285549">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课程资源类型（以下为估算数据）：视频≥100个、图片≥350幅、互动游戏≥46个、文字活动方案≥53个。</w:t>
            </w:r>
          </w:p>
          <w:p w14:paraId="4307EDD9">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5、四年级下生活语文类课程资源内容，内容包含但不限于：</w:t>
            </w:r>
          </w:p>
          <w:p w14:paraId="1649039F">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①元宵节；②植树；③交通安全很重要；语文小天地一；④我的梦；⑤我的书桌；⑥学洗碗；语文小天地二；口语交际(听故事，讲故事)；</w:t>
            </w:r>
          </w:p>
          <w:p w14:paraId="3254F703">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⑦日月明；⑧量词歌；⑨江南；语文小天地三；⑩乌鸦喝水；⑪比尾巴；⑫三字歌；语文小天地四；口语交际（快乐的儿童节）；⑬汉语拼音（选学）。</w:t>
            </w:r>
          </w:p>
          <w:p w14:paraId="0C190DA8">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课程资源类型（以下为估算数据）：视频≥550个、图片≥540幅、互动游戏≥115个、文字活动方案≥145个。</w:t>
            </w:r>
          </w:p>
          <w:p w14:paraId="169C00AE">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6、四年级下生活数学类课程资源内容，内容包含但不限于：</w:t>
            </w:r>
          </w:p>
          <w:p w14:paraId="38633291">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①快慢、远近；②20以内的进位加法；③认识时间（一）；综合与实践；④认识图形（四）；数学天地；⑤总复习。</w:t>
            </w:r>
          </w:p>
          <w:p w14:paraId="4F31DD77">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课程资源类型（以下为估算数据）：视频≥35个、图片≥176幅、互动游戏≥85个、文字活动方案≥106个。</w:t>
            </w:r>
          </w:p>
          <w:p w14:paraId="5616D0F3">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★（投标时针对上述“一、软件参数4至6条”全部内容，须提供具备CMA资质的检测机构（检测报告须标注CMA标志）出具的教学系统四年级下检测报告复印件予以佐证，并加盖制造商公章。）</w:t>
            </w:r>
          </w:p>
          <w:p w14:paraId="65A6B954">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7、资源说明</w:t>
            </w:r>
          </w:p>
          <w:p w14:paraId="643707F2">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拍摄的真人视频、自制的动漫等视频资源。</w:t>
            </w:r>
          </w:p>
          <w:p w14:paraId="7909B2EC">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拍摄的图片、自创的卡通图片等资源。</w:t>
            </w:r>
          </w:p>
          <w:p w14:paraId="0AFC0D4D">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根据课程标准、教学目标设置的人机互动游戏。</w:t>
            </w:r>
          </w:p>
          <w:p w14:paraId="31F50829">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实践活动、线下游戏的文字活动方案。</w:t>
            </w:r>
          </w:p>
          <w:p w14:paraId="0CBEAF78">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8、功能说明</w:t>
            </w:r>
          </w:p>
          <w:p w14:paraId="06DD602B">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“培智教学系统·四年级下”电子书界面功能按键包含：背景音开关，音量调节、教学按键（如表扬、安静等）、刷新、暂停、返回、缩小、退出等。</w:t>
            </w:r>
          </w:p>
          <w:p w14:paraId="57D6F2D1">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二、硬件部分：</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存储容量：16G*3个</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接口：USB3.0</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读写速度：7~17MB/S。</w:t>
            </w:r>
          </w:p>
          <w:p w14:paraId="3F9C60FB">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三、教学用具：</w:t>
            </w:r>
          </w:p>
          <w:p w14:paraId="23E55905">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1.1规格约：230*190mm、185*260mm、140*170mm、370*260mm 、130*90mm不低于≥80项</w:t>
            </w:r>
          </w:p>
          <w:p w14:paraId="344D1750">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1.2数量：三箱</w:t>
            </w:r>
          </w:p>
          <w:p w14:paraId="1BC91346">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1.3内容：</w:t>
            </w:r>
          </w:p>
          <w:p w14:paraId="06EE63A1">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1.3.1四年级下生活适应类教学用具内容包含但不限于：</w:t>
            </w:r>
          </w:p>
          <w:p w14:paraId="4D716254">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洗头≥18项、学洗澡≥14项、我家的亲戚≥26项、打电话≥40项、活动课的安全≥9项、社区服务人员=0项、社区安全标识≥48项、民间艺术小天地≥48项、传统美德小故事—明礼篇≥4项、综合活动—家庭聚会≥16项。</w:t>
            </w:r>
          </w:p>
          <w:p w14:paraId="692BDA7F">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1.3.2四年级下生活语文类教学用具内容包含但不限于：</w:t>
            </w:r>
          </w:p>
          <w:p w14:paraId="329784D0">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元宵节≥48项、植树≥64项、交通安全很重要≥38项、语文小天地一≥17项、我的梦≥83项、我的书桌≥47项、学洗碗≥16项、语文小天地二≥22项、口语交际≥8项、日月明≥60项、量词歌≥43项、江南≥41项、语文小天地三≥62项、乌鸦喝水≥25项、比尾巴≥52项、三字歌≥20项、语文小天地四≥17项、口语交际≥18项、汉语拼音≥117项。</w:t>
            </w:r>
          </w:p>
          <w:p w14:paraId="66B32393">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1.3.3四年级下生活数学类教学用具内容包含但不限于：</w:t>
            </w:r>
          </w:p>
          <w:p w14:paraId="1E9B32E2">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快慢、远近≥5项、20以内的进位加法≥209项、认识时间（一）≥32项、综合与实践≥9项、认识图形（四）≥16项、数学天地≥13项、总复习≥20项。</w:t>
            </w:r>
          </w:p>
          <w:p w14:paraId="431098B6">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1.3.4产品内容紧扣《义务教育课程标准》和人教版《生活适应》、《生活语文》、《生活数学》教材。</w:t>
            </w:r>
          </w:p>
          <w:p w14:paraId="456BF888">
            <w:pPr>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时须提供具备CMA资质的检测机构（检测报告须标注CMA标志）的四年级下教学用具检测报告复印件。检验项目包括但不限于：GB21027-2020中可迁移元素（锑、砷、钡、镉、铬、铅、汞、硒）或GB6675.4-2014-特定元素的迁移，检测项目需符合检验标准中的化学安全要求，并加盖制造商公章。）</w:t>
            </w:r>
          </w:p>
        </w:tc>
        <w:tc>
          <w:tcPr>
            <w:tcW w:w="569" w:type="dxa"/>
            <w:vAlign w:val="center"/>
          </w:tcPr>
          <w:p w14:paraId="582E211F">
            <w:pPr>
              <w:pStyle w:val="2"/>
              <w:keepNext/>
              <w:keepLines/>
              <w:pageBreakBefore w:val="0"/>
              <w:widowControl w:val="0"/>
              <w:numPr>
                <w:ilvl w:val="0"/>
                <w:numId w:val="0"/>
              </w:numPr>
              <w:kinsoku/>
              <w:wordWrap/>
              <w:overflowPunct/>
              <w:topLinePunct w:val="0"/>
              <w:autoSpaceDE/>
              <w:autoSpaceDN/>
              <w:bidi w:val="0"/>
              <w:adjustRightInd/>
              <w:snapToGrid/>
              <w:spacing w:line="240" w:lineRule="auto"/>
              <w:ind w:left="0" w:firstLine="0" w:firstLineChars="0"/>
              <w:jc w:val="both"/>
              <w:textAlignment w:val="auto"/>
              <w:rPr>
                <w:rFonts w:hint="default"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color w:val="000000" w:themeColor="text1"/>
                <w:sz w:val="24"/>
                <w:szCs w:val="24"/>
                <w:lang w:val="en-US" w:eastAsia="zh-CN"/>
                <w14:textFill>
                  <w14:solidFill>
                    <w14:schemeClr w14:val="tx1"/>
                  </w14:solidFill>
                </w14:textFill>
              </w:rPr>
              <w:t>1</w:t>
            </w:r>
          </w:p>
        </w:tc>
      </w:tr>
    </w:tbl>
    <w:p w14:paraId="0AE56E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bookmarkStart w:id="0" w:name="_GoBack"/>
      <w:bookmarkEnd w:id="0"/>
      <w:r>
        <w:rPr>
          <w:rFonts w:hint="eastAsia" w:ascii="宋体" w:hAnsi="宋体" w:eastAsia="宋体" w:cs="宋体"/>
          <w:bCs/>
          <w:sz w:val="24"/>
          <w:szCs w:val="24"/>
        </w:rPr>
        <w:t>备注：</w:t>
      </w:r>
    </w:p>
    <w:p w14:paraId="1CE59C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一、采购文件中标★项条款为必须满足项，否则将视为响应无效，作废标处理；</w:t>
      </w:r>
    </w:p>
    <w:p w14:paraId="003561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二、为保证教学效果，</w:t>
      </w:r>
      <w:r>
        <w:rPr>
          <w:rFonts w:hint="eastAsia" w:ascii="宋体" w:hAnsi="宋体" w:eastAsia="宋体" w:cs="宋体"/>
          <w:bCs/>
          <w:sz w:val="24"/>
          <w:szCs w:val="24"/>
          <w:lang w:val="en-US" w:eastAsia="zh-CN"/>
        </w:rPr>
        <w:t>教学系统内</w:t>
      </w:r>
      <w:r>
        <w:rPr>
          <w:rFonts w:hint="eastAsia" w:ascii="宋体" w:hAnsi="宋体" w:eastAsia="宋体" w:cs="宋体"/>
          <w:bCs/>
          <w:sz w:val="24"/>
          <w:szCs w:val="24"/>
        </w:rPr>
        <w:t>动漫和游戏中的人物形象应与学校使用教材中的人物形象一致。</w:t>
      </w:r>
    </w:p>
    <w:p w14:paraId="0DB56593">
      <w:pPr>
        <w:pStyle w:val="4"/>
        <w:rPr>
          <w:rFonts w:hint="default" w:eastAsia="宋体"/>
          <w:lang w:val="en-US" w:eastAsia="zh-CN"/>
        </w:rPr>
      </w:pPr>
      <w:r>
        <w:rPr>
          <w:rFonts w:hint="eastAsia" w:ascii="宋体" w:hAnsi="宋体" w:eastAsia="宋体" w:cs="宋体"/>
          <w:bCs/>
          <w:sz w:val="24"/>
          <w:szCs w:val="24"/>
          <w:lang w:val="en-US" w:eastAsia="zh-CN"/>
        </w:rPr>
        <w:t>三、签订合同后需要提供</w:t>
      </w:r>
      <w:r>
        <w:rPr>
          <w:rFonts w:hint="eastAsia" w:ascii="宋体" w:hAnsi="宋体" w:eastAsia="宋体" w:cs="宋体"/>
          <w:bCs/>
          <w:sz w:val="24"/>
          <w:szCs w:val="24"/>
        </w:rPr>
        <w:t>★</w:t>
      </w:r>
      <w:r>
        <w:rPr>
          <w:rFonts w:hint="eastAsia" w:ascii="宋体" w:hAnsi="宋体" w:eastAsia="宋体" w:cs="宋体"/>
          <w:bCs/>
          <w:sz w:val="24"/>
          <w:szCs w:val="24"/>
          <w:lang w:val="en-US" w:eastAsia="zh-CN"/>
        </w:rPr>
        <w:t>项检测报告。</w:t>
      </w:r>
    </w:p>
    <w:p w14:paraId="16BD58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四</w:t>
      </w:r>
      <w:r>
        <w:rPr>
          <w:rFonts w:hint="eastAsia" w:ascii="宋体" w:hAnsi="宋体" w:eastAsia="宋体" w:cs="宋体"/>
          <w:bCs/>
          <w:sz w:val="24"/>
          <w:szCs w:val="24"/>
        </w:rPr>
        <w:t>、</w:t>
      </w:r>
      <w:r>
        <w:rPr>
          <w:rFonts w:hint="eastAsia" w:ascii="宋体" w:hAnsi="宋体" w:eastAsia="宋体" w:cs="宋体"/>
          <w:sz w:val="24"/>
          <w:szCs w:val="24"/>
        </w:rPr>
        <w:t xml:space="preserve"> </w:t>
      </w:r>
      <w:r>
        <w:rPr>
          <w:rFonts w:hint="eastAsia" w:ascii="宋体" w:hAnsi="宋体" w:eastAsia="宋体" w:cs="宋体"/>
          <w:bCs/>
          <w:sz w:val="24"/>
          <w:szCs w:val="24"/>
        </w:rPr>
        <w:t>售后服务要求：</w:t>
      </w:r>
    </w:p>
    <w:p w14:paraId="3F16A76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rPr>
        <w:t>1.免费保修期要求:按国家有关产品“三包”规定执行“三包”服务，本项目教学软件产品，供应商提供一年免费保修和升级服务。</w:t>
      </w:r>
    </w:p>
    <w:p w14:paraId="0DDA325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五</w:t>
      </w:r>
      <w:r>
        <w:rPr>
          <w:rFonts w:hint="eastAsia" w:ascii="宋体" w:hAnsi="宋体" w:eastAsia="宋体" w:cs="宋体"/>
          <w:bCs/>
          <w:sz w:val="24"/>
          <w:szCs w:val="24"/>
        </w:rPr>
        <w:t>、其它要求：</w:t>
      </w:r>
    </w:p>
    <w:p w14:paraId="17C5B60F">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交付使用期：自签订合同之日起</w:t>
      </w:r>
      <w:r>
        <w:rPr>
          <w:rFonts w:hint="eastAsia" w:ascii="宋体" w:hAnsi="宋体" w:eastAsia="宋体" w:cs="宋体"/>
          <w:sz w:val="24"/>
          <w:szCs w:val="24"/>
          <w:lang w:val="en-US" w:eastAsia="zh-CN"/>
        </w:rPr>
        <w:t>3</w:t>
      </w:r>
      <w:r>
        <w:rPr>
          <w:rFonts w:hint="eastAsia" w:ascii="宋体" w:hAnsi="宋体" w:eastAsia="宋体" w:cs="宋体"/>
          <w:sz w:val="24"/>
          <w:szCs w:val="24"/>
        </w:rPr>
        <w:t>个工作日内建设完毕并交付使用。</w:t>
      </w:r>
    </w:p>
    <w:p w14:paraId="20ACD7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2、交付地点：</w:t>
      </w:r>
      <w:r>
        <w:rPr>
          <w:rFonts w:hint="eastAsia" w:ascii="宋体" w:hAnsi="宋体" w:eastAsia="宋体" w:cs="宋体"/>
          <w:sz w:val="24"/>
          <w:szCs w:val="24"/>
          <w:lang w:val="en-US" w:eastAsia="zh-CN"/>
        </w:rPr>
        <w:t>采购方指定地点</w:t>
      </w:r>
      <w:r>
        <w:rPr>
          <w:rFonts w:hint="eastAsia" w:ascii="宋体" w:hAnsi="宋体" w:eastAsia="宋体" w:cs="宋体"/>
          <w:sz w:val="24"/>
          <w:szCs w:val="24"/>
        </w:rPr>
        <w:t>。</w:t>
      </w:r>
    </w:p>
    <w:p w14:paraId="3E5F1027">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sz w:val="32"/>
          <w:szCs w:val="32"/>
        </w:rPr>
      </w:pPr>
      <w:r>
        <w:rPr>
          <w:rFonts w:hint="eastAsia" w:ascii="宋体" w:hAnsi="宋体" w:eastAsia="宋体" w:cs="宋体"/>
          <w:sz w:val="24"/>
          <w:szCs w:val="24"/>
        </w:rPr>
        <w:t>3、符合《残疾人教育条例》（修订版）和《培智学校义务教育课程标准（2016年版）》等系列文件要求。</w:t>
      </w:r>
    </w:p>
    <w:p w14:paraId="5251532B">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7BBFA2"/>
    <w:multiLevelType w:val="singleLevel"/>
    <w:tmpl w:val="567BBFA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54146"/>
    <w:rsid w:val="03F13ECF"/>
    <w:rsid w:val="0A7315F2"/>
    <w:rsid w:val="16B0704A"/>
    <w:rsid w:val="1A3522E5"/>
    <w:rsid w:val="235651B5"/>
    <w:rsid w:val="25DC5E46"/>
    <w:rsid w:val="27625A02"/>
    <w:rsid w:val="2B271FB2"/>
    <w:rsid w:val="32862139"/>
    <w:rsid w:val="376B702A"/>
    <w:rsid w:val="46194E66"/>
    <w:rsid w:val="64F031D4"/>
    <w:rsid w:val="670E2D2E"/>
    <w:rsid w:val="69AF61E5"/>
    <w:rsid w:val="77774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99"/>
    <w:rPr>
      <w:rFonts w:ascii="Times New Roman" w:hAnsi="Times New Roman"/>
      <w:sz w:val="24"/>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21"/>
    <w:basedOn w:val="7"/>
    <w:qFormat/>
    <w:uiPriority w:val="0"/>
    <w:rPr>
      <w:rFonts w:ascii="宋体" w:hAnsi="宋体" w:eastAsia="宋体" w:cs="宋体"/>
      <w:color w:val="007029"/>
      <w:sz w:val="24"/>
      <w:szCs w:val="24"/>
      <w:u w:val="none"/>
    </w:rPr>
  </w:style>
  <w:style w:type="character" w:customStyle="1" w:styleId="9">
    <w:name w:val="font312"/>
    <w:basedOn w:val="7"/>
    <w:qFormat/>
    <w:uiPriority w:val="0"/>
    <w:rPr>
      <w:rFonts w:ascii="宋体" w:hAnsi="宋体" w:eastAsia="宋体" w:cs="宋体"/>
      <w:color w:val="006E25"/>
      <w:sz w:val="24"/>
      <w:szCs w:val="24"/>
      <w:u w:val="none"/>
    </w:rPr>
  </w:style>
  <w:style w:type="character" w:customStyle="1" w:styleId="10">
    <w:name w:val="font561"/>
    <w:basedOn w:val="7"/>
    <w:qFormat/>
    <w:uiPriority w:val="0"/>
    <w:rPr>
      <w:rFonts w:ascii="宋体" w:hAnsi="宋体" w:eastAsia="宋体" w:cs="宋体"/>
      <w:color w:val="00812F"/>
      <w:sz w:val="24"/>
      <w:szCs w:val="24"/>
      <w:u w:val="none"/>
    </w:rPr>
  </w:style>
  <w:style w:type="character" w:customStyle="1" w:styleId="11">
    <w:name w:val="font741"/>
    <w:basedOn w:val="7"/>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9877</Words>
  <Characters>11034</Characters>
  <Lines>0</Lines>
  <Paragraphs>0</Paragraphs>
  <TotalTime>4</TotalTime>
  <ScaleCrop>false</ScaleCrop>
  <LinksUpToDate>false</LinksUpToDate>
  <CharactersWithSpaces>11070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2026-05-13T07:48:00Z</dcterms:created>
  <dc:creator>Administrator</dc:creator>
  <cp:lastModifiedBy>李忠凯</cp:lastModifiedBy>
  <dcterms:modified xsi:type="dcterms:W3CDTF">2026-05-27T00:14:57Z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eyJoZGlkIjoiYTY2M2JlMTRjNDY2NDZiODE2ZjYzNDJlZWUwNTgyOTIiLCJ1c2VySWQiOiI4OTA2NzE2MzEifQ==</vt:lpwstr>
  </property>
  <property fmtid="{D5CDD505-2E9C-101B-9397-08002B2CF9AE}" pid="4" name="ICV">
    <vt:lpwstr>33EF93B5D44541D2AA82CAD5F7BA2234_12</vt:lpwstr>
  </property>
</Properties>
</file>