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61B02">
      <w:pPr>
        <w:snapToGrid w:val="0"/>
        <w:spacing w:line="360" w:lineRule="auto"/>
        <w:jc w:val="center"/>
        <w:rPr>
          <w:rFonts w:hint="eastAsia" w:ascii="宋体" w:hAnsi="宋体" w:cs="Arial" w:eastAsiaTheme="minorEastAsia"/>
          <w:kern w:val="0"/>
          <w:sz w:val="30"/>
          <w:szCs w:val="30"/>
          <w:lang w:eastAsia="zh-CN"/>
        </w:rPr>
      </w:pPr>
      <w:r>
        <w:rPr>
          <w:rFonts w:hint="eastAsia" w:ascii="宋体" w:hAnsi="宋体" w:cs="Arial"/>
          <w:kern w:val="0"/>
          <w:sz w:val="30"/>
          <w:szCs w:val="30"/>
        </w:rPr>
        <w:t>采购</w:t>
      </w:r>
      <w:r>
        <w:rPr>
          <w:rFonts w:hint="eastAsia" w:ascii="宋体" w:hAnsi="宋体" w:cs="Arial"/>
          <w:kern w:val="0"/>
          <w:sz w:val="30"/>
          <w:szCs w:val="30"/>
          <w:lang w:val="en-US" w:eastAsia="zh-CN"/>
        </w:rPr>
        <w:t>参数</w:t>
      </w:r>
    </w:p>
    <w:p w14:paraId="1526CD8F">
      <w:pPr>
        <w:spacing w:line="360" w:lineRule="auto"/>
        <w:rPr>
          <w:rFonts w:hint="eastAsia" w:ascii="宋体" w:hAnsi="宋体" w:cs="Arial"/>
          <w:color w:val="0D0D0D" w:themeColor="text1" w:themeTint="F2"/>
          <w:kern w:val="0"/>
          <w:sz w:val="24"/>
          <w14:textFill>
            <w14:solidFill>
              <w14:schemeClr w14:val="tx1">
                <w14:lumMod w14:val="95000"/>
                <w14:lumOff w14:val="5000"/>
              </w14:schemeClr>
            </w14:solidFill>
          </w14:textFill>
        </w:rPr>
      </w:pPr>
    </w:p>
    <w:tbl>
      <w:tblPr>
        <w:tblStyle w:val="9"/>
        <w:tblW w:w="999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753"/>
        <w:gridCol w:w="1402"/>
        <w:gridCol w:w="7385"/>
      </w:tblGrid>
      <w:tr w14:paraId="530C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0CA89269">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753" w:type="dxa"/>
            <w:vAlign w:val="center"/>
          </w:tcPr>
          <w:p w14:paraId="3A05871C">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设备名称</w:t>
            </w:r>
          </w:p>
        </w:tc>
        <w:tc>
          <w:tcPr>
            <w:tcW w:w="1402" w:type="dxa"/>
            <w:vAlign w:val="center"/>
          </w:tcPr>
          <w:p w14:paraId="011D0329">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品牌型号</w:t>
            </w:r>
          </w:p>
        </w:tc>
        <w:tc>
          <w:tcPr>
            <w:tcW w:w="7385" w:type="dxa"/>
            <w:vAlign w:val="center"/>
          </w:tcPr>
          <w:p w14:paraId="510EE208">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详细参数</w:t>
            </w:r>
          </w:p>
        </w:tc>
      </w:tr>
      <w:tr w14:paraId="7389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5A3D86C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1</w:t>
            </w:r>
          </w:p>
        </w:tc>
        <w:tc>
          <w:tcPr>
            <w:tcW w:w="753" w:type="dxa"/>
            <w:tcBorders>
              <w:top w:val="single" w:color="auto" w:sz="4" w:space="0"/>
              <w:left w:val="single" w:color="auto" w:sz="4" w:space="0"/>
              <w:bottom w:val="single" w:color="auto" w:sz="4" w:space="0"/>
              <w:right w:val="single" w:color="auto" w:sz="4" w:space="0"/>
            </w:tcBorders>
            <w:vAlign w:val="center"/>
          </w:tcPr>
          <w:p w14:paraId="0568CAAE">
            <w:pPr>
              <w:widowControl/>
              <w:jc w:val="center"/>
              <w:rPr>
                <w:rFonts w:hint="eastAsia" w:ascii="宋体" w:hAnsi="宋体" w:eastAsia="宋体" w:cs="宋体"/>
                <w:sz w:val="24"/>
                <w:szCs w:val="24"/>
              </w:rPr>
            </w:pPr>
            <w:r>
              <w:rPr>
                <w:rFonts w:hint="eastAsia" w:ascii="宋体" w:hAnsi="宋体" w:eastAsia="宋体" w:cs="宋体"/>
                <w:sz w:val="24"/>
                <w:szCs w:val="24"/>
                <w:lang w:bidi="ar"/>
              </w:rPr>
              <w:t>75吋一体机</w:t>
            </w:r>
          </w:p>
        </w:tc>
        <w:tc>
          <w:tcPr>
            <w:tcW w:w="1402" w:type="dxa"/>
            <w:tcBorders>
              <w:top w:val="single" w:color="auto" w:sz="4" w:space="0"/>
              <w:left w:val="single" w:color="auto" w:sz="4" w:space="0"/>
              <w:bottom w:val="single" w:color="auto" w:sz="4" w:space="0"/>
              <w:right w:val="single" w:color="auto" w:sz="4" w:space="0"/>
            </w:tcBorders>
            <w:vAlign w:val="center"/>
          </w:tcPr>
          <w:p w14:paraId="203419C7">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rPr>
              <w:t>希沃FB75EC</w:t>
            </w:r>
          </w:p>
        </w:tc>
        <w:tc>
          <w:tcPr>
            <w:tcW w:w="7385" w:type="dxa"/>
            <w:tcBorders>
              <w:top w:val="single" w:color="auto" w:sz="4" w:space="0"/>
              <w:left w:val="single" w:color="auto" w:sz="4" w:space="0"/>
              <w:bottom w:val="single" w:color="auto" w:sz="4" w:space="0"/>
              <w:right w:val="single" w:color="auto" w:sz="4" w:space="0"/>
            </w:tcBorders>
          </w:tcPr>
          <w:p w14:paraId="34728E2D">
            <w:pPr>
              <w:rPr>
                <w:rFonts w:hint="eastAsia"/>
              </w:rPr>
            </w:pPr>
            <w:r>
              <w:rPr>
                <w:rFonts w:hint="eastAsia"/>
              </w:rPr>
              <w:t>一、整机设计</w:t>
            </w:r>
          </w:p>
          <w:p w14:paraId="29C512D7">
            <w:pPr>
              <w:rPr>
                <w:rFonts w:hint="eastAsia"/>
              </w:rPr>
            </w:pPr>
            <w:r>
              <w:rPr>
                <w:rFonts w:hint="eastAsia"/>
              </w:rPr>
              <w:t>1、整机采用75英寸超高清LED液晶显示屏。整机显示比例16:9，分辨率3840×2160。</w:t>
            </w:r>
          </w:p>
          <w:p w14:paraId="08708851">
            <w:pPr>
              <w:rPr>
                <w:rFonts w:hint="eastAsia"/>
              </w:rPr>
            </w:pPr>
            <w:r>
              <w:rPr>
                <w:rFonts w:hint="eastAsia"/>
              </w:rPr>
              <w:t>2、整机安卓和外接通道(2路HDMI)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14:paraId="602A4678">
            <w:pPr>
              <w:rPr>
                <w:rFonts w:hint="eastAsia"/>
              </w:rPr>
            </w:pPr>
            <w:r>
              <w:rPr>
                <w:rFonts w:hint="eastAsia"/>
              </w:rPr>
              <w:t>3、整机上边框内置非独立摄像头，采用一体化集成设计，可拍摄≥1300万像素数的照片，可拍摄输出4K分辨率的视频。</w:t>
            </w:r>
          </w:p>
          <w:p w14:paraId="50DE4887">
            <w:pPr>
              <w:rPr>
                <w:rFonts w:hint="eastAsia"/>
              </w:rPr>
            </w:pPr>
            <w:r>
              <w:rPr>
                <w:rFonts w:hint="eastAsia"/>
              </w:rPr>
              <w:t>4、整机摄像头支持人脸识别、清点人数、随机抽人；识别所有学生，显示标记，然后随机抽选，同时显示标记不少于60人。</w:t>
            </w:r>
          </w:p>
          <w:p w14:paraId="7A914233">
            <w:pPr>
              <w:rPr>
                <w:rFonts w:hint="eastAsia"/>
              </w:rPr>
            </w:pPr>
            <w:r>
              <w:rPr>
                <w:rFonts w:hint="eastAsia"/>
              </w:rPr>
              <w:t>5、★整机嵌入式芯片内置2TOPS AI算力，可用于AI图像、音频处理。整机内置2.2声道扬声器，位于设备上边框，顶置朝前发声，前朝向10W高音扬声器2个，上朝向20W中低音扬声器2个，额定总功率60W。整机扬声器采用模块化设计，无需打开背板即可单独拆卸。（提供第三方检测机构出具带CMA或CNAS标识的检测报告供采购人核查）</w:t>
            </w:r>
          </w:p>
          <w:p w14:paraId="31A59298">
            <w:pPr>
              <w:rPr>
                <w:rFonts w:hint="eastAsia"/>
              </w:rPr>
            </w:pPr>
            <w:r>
              <w:rPr>
                <w:rFonts w:hint="eastAsia"/>
              </w:rPr>
              <w:t>6、★整机支持发出频率为18kHz-22kHz超声波信号，智能手机通过麦克风接收后，智能手机与整机无需在同一局域网内，可实现配对，一键投屏，用户无需手动输入投屏码或扫码获取投屏码。（提供第三方检测机构出具带CMA或CNAS标识的检测报告供采购人核查）</w:t>
            </w:r>
          </w:p>
          <w:p w14:paraId="37F592A2">
            <w:pPr>
              <w:rPr>
                <w:rFonts w:hint="eastAsia"/>
              </w:rPr>
            </w:pPr>
            <w:r>
              <w:rPr>
                <w:rFonts w:hint="eastAsia"/>
              </w:rPr>
              <w:t>7、★整机侧边栏内置自习工具，通过整机麦克风监测教室中学生音量大小，当学生音量大于阈值时，屏幕自动弹窗提醒进行自习纪律干预。（提供第三方检测机构出具带CMA或CNAS标识的检测报告供采购人核查）</w:t>
            </w:r>
          </w:p>
          <w:p w14:paraId="63071A48">
            <w:pPr>
              <w:rPr>
                <w:rFonts w:hint="eastAsia"/>
              </w:rPr>
            </w:pPr>
            <w:r>
              <w:rPr>
                <w:rFonts w:hint="eastAsia"/>
              </w:rPr>
              <w:t>8、整机内置非独立外扩展的阵列麦克风，可用于对教室环境音频进行采集，麦克风拾音距离≥12米。</w:t>
            </w:r>
          </w:p>
          <w:p w14:paraId="2288164C">
            <w:pPr>
              <w:rPr>
                <w:rFonts w:hint="eastAsia"/>
              </w:rPr>
            </w:pPr>
            <w:r>
              <w:rPr>
                <w:rFonts w:hint="eastAsia"/>
              </w:rPr>
              <w:t>9、★整机支持在无任何外部设备的情况下，实时录制用户朗读内容，识别用户声纹并进行统一身份登录，登录后自动获取个人云端教学课件列表，打开教学白板软件时可跳过软件自带登录步骤。整机全通道支持纸质护眼模式，可实现画面纹理的实时调整；支持纸质纹理：牛皮纸、素描纸、宣纸、水彩纸、水纹纸；支持透明度调节；支持色温调节。（提供第三方检测机构出具带CMA或CNAS标识的检测报告供采购人核查）</w:t>
            </w:r>
          </w:p>
          <w:p w14:paraId="59CC28CA">
            <w:pPr>
              <w:rPr>
                <w:rFonts w:hint="eastAsia"/>
              </w:rPr>
            </w:pPr>
            <w:r>
              <w:rPr>
                <w:rFonts w:hint="eastAsia"/>
              </w:rPr>
              <w:t>10、整机全通道侧边栏快捷菜单包含如下小工具：批注、降半屏、截屏、放大镜、倒计时、日历、聚光灯、秒表、冻屏、倒数日、答题、节拍器。</w:t>
            </w:r>
          </w:p>
          <w:p w14:paraId="0845BCA8">
            <w:pPr>
              <w:rPr>
                <w:rFonts w:hint="eastAsia"/>
              </w:rPr>
            </w:pPr>
            <w:r>
              <w:rPr>
                <w:rFonts w:hint="eastAsia"/>
              </w:rPr>
              <w:t>11、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14:paraId="76632264">
            <w:pPr>
              <w:rPr>
                <w:rFonts w:hint="eastAsia"/>
              </w:rPr>
            </w:pPr>
            <w:r>
              <w:rPr>
                <w:rFonts w:hint="eastAsia"/>
              </w:rPr>
              <w:t>12、整机内置双WiFi6无线网卡（不接受外接），在Android下支持无线设备同时连接数量≥32个，在Windows系统下支持无线设备同时连接≥8个；在Android和Windows系统下，可实现Wi-Fi无线上网连接、AP无线热点发射。</w:t>
            </w:r>
          </w:p>
          <w:p w14:paraId="542B3A5B">
            <w:pPr>
              <w:rPr>
                <w:rFonts w:hint="eastAsia"/>
              </w:rPr>
            </w:pPr>
            <w:r>
              <w:rPr>
                <w:rFonts w:hint="eastAsia"/>
              </w:rPr>
              <w:t>二、内置电脑模块</w:t>
            </w:r>
          </w:p>
          <w:p w14:paraId="196AA1C8">
            <w:pPr>
              <w:rPr>
                <w:rFonts w:hint="eastAsia"/>
              </w:rPr>
            </w:pPr>
            <w:r>
              <w:rPr>
                <w:rFonts w:hint="eastAsia"/>
              </w:rPr>
              <w:t>1、CPU：i5 12代或以上。</w:t>
            </w:r>
          </w:p>
          <w:p w14:paraId="2ACD3EA3">
            <w:pPr>
              <w:rPr>
                <w:rFonts w:hint="eastAsia"/>
              </w:rPr>
            </w:pPr>
            <w:r>
              <w:rPr>
                <w:rFonts w:hint="eastAsia"/>
              </w:rPr>
              <w:t>2、具有独立非外扩展的视频输出接口：≥1路HDMI 。</w:t>
            </w:r>
          </w:p>
          <w:p w14:paraId="1EE8C9E9">
            <w:pPr>
              <w:rPr>
                <w:rFonts w:hint="eastAsia"/>
              </w:rPr>
            </w:pPr>
            <w:r>
              <w:rPr>
                <w:rFonts w:hint="eastAsia"/>
              </w:rPr>
              <w:t>3、具有独立非外扩展的电脑USB接口：≥3路USB。</w:t>
            </w:r>
          </w:p>
          <w:p w14:paraId="6396A930">
            <w:pPr>
              <w:rPr>
                <w:rFonts w:hint="eastAsia"/>
              </w:rPr>
            </w:pPr>
            <w:r>
              <w:rPr>
                <w:rFonts w:hint="eastAsia"/>
              </w:rPr>
              <w:t>4、内存：8GB或以上配置。硬盘：256GB或以上固态硬盘。</w:t>
            </w:r>
          </w:p>
          <w:p w14:paraId="25E58376">
            <w:pPr>
              <w:rPr>
                <w:rFonts w:hint="eastAsia"/>
              </w:rPr>
            </w:pPr>
            <w:r>
              <w:rPr>
                <w:rFonts w:hint="eastAsia"/>
              </w:rPr>
              <w:t>5、采用按压式卡扣，无需工具就可快速拆卸电脑模块。和整机的连接采用万兆级接口，传输速率≥10Gbps。</w:t>
            </w:r>
          </w:p>
          <w:p w14:paraId="70F1045B">
            <w:pPr>
              <w:rPr>
                <w:rFonts w:hint="eastAsia"/>
              </w:rPr>
            </w:pPr>
            <w:r>
              <w:rPr>
                <w:rFonts w:hint="eastAsia"/>
              </w:rPr>
              <w:t>6、具有标准PC防盗锁孔。</w:t>
            </w:r>
          </w:p>
          <w:p w14:paraId="694103A1">
            <w:pPr>
              <w:rPr>
                <w:rFonts w:hint="eastAsia"/>
              </w:rPr>
            </w:pPr>
            <w:r>
              <w:rPr>
                <w:rFonts w:hint="eastAsia"/>
              </w:rPr>
              <w:t>三、教学辅助工具</w:t>
            </w:r>
          </w:p>
          <w:p w14:paraId="7E3518F7">
            <w:pPr>
              <w:rPr>
                <w:rFonts w:hint="eastAsia"/>
              </w:rPr>
            </w:pPr>
            <w:r>
              <w:rPr>
                <w:rFonts w:hint="eastAsia"/>
              </w:rPr>
              <w:t>1、支持账号/密码和手机微信扫码两种登录方式。用户首次登录时绑定微信 ID 与账号的对应关系，绑定后即可通过微信扫码登录，无需再次输入账号/密码。</w:t>
            </w:r>
          </w:p>
          <w:p w14:paraId="560BC7FF">
            <w:pPr>
              <w:rPr>
                <w:rFonts w:hint="eastAsia"/>
              </w:rPr>
            </w:pPr>
            <w:r>
              <w:rPr>
                <w:rFonts w:hint="eastAsia"/>
              </w:rPr>
              <w:t>2、支持查看当前设备的硬件信息（包括 CPU、主板、显卡、硬盘、显示器、网卡、声卡）和系统信息（包括操作系统、系统激活状态、连接 ID、SN 、MAC 地址、内外网 IP）。</w:t>
            </w:r>
          </w:p>
          <w:p w14:paraId="1D045CAD">
            <w:pPr>
              <w:rPr>
                <w:rFonts w:hint="eastAsia"/>
              </w:rPr>
            </w:pPr>
            <w:r>
              <w:rPr>
                <w:rFonts w:hint="eastAsia"/>
              </w:rPr>
              <w:t>3、★支持一次发送文件给多个接收端设备；接收端离线时文件能够暂存在云端，接收端设备在线后可进行自动下载。自动下载：支持接收端设备在线状态下可自动接收发送端设备发送的文件。自动清理：支持自动清理超过14天的文件。（提供第三方检测机构出具带CMA或CNAS标识的检测报告供采购人核查）</w:t>
            </w:r>
          </w:p>
          <w:p w14:paraId="4B6426EC">
            <w:pPr>
              <w:rPr>
                <w:rFonts w:hint="eastAsia"/>
              </w:rPr>
            </w:pPr>
            <w:r>
              <w:rPr>
                <w:rFonts w:hint="eastAsia"/>
              </w:rPr>
              <w:t>4、用户在资料夹中把多个文件发送至班班通设备中，发送的文件不限格式，接收端软件自动下载该文件。</w:t>
            </w:r>
          </w:p>
          <w:p w14:paraId="5C360FE9">
            <w:pPr>
              <w:rPr>
                <w:rFonts w:hint="eastAsia"/>
              </w:rPr>
            </w:pPr>
            <w:r>
              <w:rPr>
                <w:rFonts w:hint="eastAsia"/>
              </w:rPr>
              <w:t>5、支持助手栏添加并展示应用、网站和组件。支持在发送端软件内打开课件、课件库、校本资源、集体备课、作业本、快传、设备等。</w:t>
            </w:r>
          </w:p>
          <w:p w14:paraId="210D583B">
            <w:pPr>
              <w:rPr>
                <w:rFonts w:hint="eastAsia"/>
              </w:rPr>
            </w:pPr>
            <w:r>
              <w:rPr>
                <w:rFonts w:hint="eastAsia"/>
              </w:rPr>
              <w:t>6、助手栏展示最近使用的前3条课件，点击课件支持在发送端软件内打开和编辑。</w:t>
            </w:r>
          </w:p>
          <w:p w14:paraId="17FE8935">
            <w:pPr>
              <w:rPr>
                <w:rFonts w:hint="eastAsia"/>
              </w:rPr>
            </w:pPr>
            <w:r>
              <w:rPr>
                <w:rFonts w:hint="eastAsia"/>
              </w:rPr>
              <w:t>7、支持学校管理员手机扫描班班通设备上二维码，选择学校并输入设备的名称，班班通设备即可完成关联学校；支持学校管理员对已关联的设备进行修改设备名称。普通老师加入该学校后可在终端应用软件中看到该设备并可远程创建接收夹。</w:t>
            </w:r>
          </w:p>
          <w:p w14:paraId="1AE26B75">
            <w:pPr>
              <w:rPr>
                <w:rFonts w:hint="eastAsia"/>
              </w:rPr>
            </w:pPr>
            <w:r>
              <w:rPr>
                <w:rFonts w:hint="eastAsia"/>
              </w:rPr>
              <w:t>8、★拖动文件时，支持根据文件判定并展示需要的功能项，文件拖入功能项后打开对应的功能；功能包括PDF转格式、图片转格式、文字快剪、提取文字、发送到大屏、发送到班级；右键点击文件时，支持根据文件判定并展示需要的功能项，选择后打开对应的功能；功能包括PDF转格式、图片转格式、文字快剪、提取文字、发送到大屏、发送到资料夹。（提供第三方检测机构出具带CMA或CNAS标识的检测报告供采购人核查）</w:t>
            </w:r>
          </w:p>
          <w:p w14:paraId="7B4119A1">
            <w:pPr>
              <w:rPr>
                <w:rFonts w:hint="eastAsia"/>
              </w:rPr>
            </w:pPr>
            <w:r>
              <w:rPr>
                <w:rFonts w:hint="eastAsia"/>
              </w:rPr>
              <w:t>四、教学白板软件</w:t>
            </w:r>
          </w:p>
          <w:p w14:paraId="0B812330">
            <w:pPr>
              <w:rPr>
                <w:rFonts w:hint="eastAsia"/>
              </w:rPr>
            </w:pPr>
            <w:r>
              <w:rPr>
                <w:rFonts w:hint="eastAsia"/>
              </w:rPr>
              <w:t>1、涵盖小学语文、数学、英语全部教学章节的不少于2000份的交互式课件。课件支持直接预览并下载，预览时支持拖动课堂活动、形状、几何、文本等元素；下载时课件可同步至教师个人云课件存储空间；课件支持教师在线评分。</w:t>
            </w:r>
          </w:p>
          <w:p w14:paraId="742F98EA">
            <w:pPr>
              <w:rPr>
                <w:rFonts w:hint="eastAsia"/>
              </w:rPr>
            </w:pPr>
            <w:r>
              <w:rPr>
                <w:rFonts w:hint="eastAsia"/>
              </w:rPr>
              <w:t xml:space="preserve">2、具有课堂活动智能填写功能，支持选词填空、判断对错和趣味选择三大课堂活动。支持输入文本后一键解析，自动将文本内容结构化填充至题干和正确选项，完成课堂活动的制作。 </w:t>
            </w:r>
          </w:p>
          <w:p w14:paraId="610A36DA">
            <w:pPr>
              <w:rPr>
                <w:rFonts w:hint="eastAsia"/>
              </w:rPr>
            </w:pPr>
            <w:r>
              <w:rPr>
                <w:rFonts w:hint="eastAsia"/>
              </w:rPr>
              <w:t xml:space="preserve">3、支持PPT原生解析，教师可将pptx格式的课件转化为互动教学课件，支持单份导入和批量文件夹导入两种导入方式，导入后保留PPT原文件中的文字、图片、表格对象及动画的可编辑性，并可为课件增加互动教学元素。 </w:t>
            </w:r>
          </w:p>
          <w:p w14:paraId="5FE72E1F">
            <w:pPr>
              <w:rPr>
                <w:rFonts w:hint="eastAsia"/>
              </w:rPr>
            </w:pPr>
            <w:r>
              <w:rPr>
                <w:rFonts w:hint="eastAsia"/>
              </w:rPr>
              <w:t>4、★无需安装部署直播软件，可实现语音直播、课件同步、互动工具远程教学功能。学生可在直播课堂打字提问、互动，学生提问内容实时传递至教师。课程结束后自动生成直播回放，回放课程自动保存在云端，支持人工删除。（提供第三方检测机构出具带CMA或CNAS标识的检测报告供采购人核查）</w:t>
            </w:r>
          </w:p>
          <w:p w14:paraId="42E14ECD">
            <w:pPr>
              <w:rPr>
                <w:rFonts w:hint="eastAsia"/>
              </w:rPr>
            </w:pPr>
            <w:r>
              <w:rPr>
                <w:rFonts w:hint="eastAsia"/>
              </w:rPr>
              <w:t>5、采用三维技术将二维图片素材立体可视化呈现，资源至少需覆盖远古动物、脊椎动物、无脊椎动物、植物、微生物、生物探秘、地理物质、宇宙星球、生活用品、交通大全、体育运动、文化艺术十二大类别；子分类至少需涵盖恐龙、其它远古生物、软体动物、节肢动物、腔肠动物、棘皮动物、鱼类、两栖类、爬行类、鸟类、哺乳类、裸子植物、被子植物、细菌、真菌、病毒、矿物、岩石、化石、行星、视觉艺术、表演艺术、美食、文化、器官、组织、生长发育、文物、建筑、服装、球类运动、厨卫用品、家具用品、陆地交通工具、水运交通工具、航空交通工具等36个子内容领域知识点模型。</w:t>
            </w:r>
          </w:p>
          <w:p w14:paraId="5898EBC2">
            <w:pPr>
              <w:rPr>
                <w:rFonts w:hint="eastAsia"/>
              </w:rPr>
            </w:pPr>
            <w:r>
              <w:rPr>
                <w:rFonts w:hint="eastAsia"/>
              </w:rPr>
              <w:t>6、★支持将Word文档转换为云教案，云教案能够插入表格、图片、音视频、文档附件。提供教案模板以供老师撰写教案，预置模板包含表格式、提纲式、集备式、多课时式、单元设计式不少于7个。（提供第三方检测机构出具带CMA或CNAS标识的检测报告供采购人核查）</w:t>
            </w:r>
          </w:p>
          <w:p w14:paraId="7D9950C8">
            <w:pPr>
              <w:rPr>
                <w:rFonts w:hint="eastAsia"/>
              </w:rPr>
            </w:pPr>
            <w:r>
              <w:rPr>
                <w:rFonts w:hint="eastAsia"/>
              </w:rPr>
              <w:t>7、在备课场景中支持搜索课件库课件资源，具有不少于10万份的课件资源，支持整份课件或按照课件页插入课件中。支持按照教学环节筛选对应课件页一键插入课件中，可导入新课、作者简介。支持按照元素类型思维导图、课堂活动选取需要的部分补充课件缺失的部分。</w:t>
            </w:r>
          </w:p>
          <w:p w14:paraId="7DBD0AA7">
            <w:pPr>
              <w:rPr>
                <w:rFonts w:hint="eastAsia"/>
              </w:rPr>
            </w:pPr>
            <w:r>
              <w:rPr>
                <w:rFonts w:hint="eastAsia"/>
              </w:rPr>
              <w:t>8、采用3DwebGl技术进行研发，资源内容在云端服务器上，可在线更新资源内容，无需安装任何应用程序，可直接在教学白板软件中打开使用。</w:t>
            </w:r>
          </w:p>
          <w:p w14:paraId="584EAE90">
            <w:pPr>
              <w:rPr>
                <w:rFonts w:hint="eastAsia"/>
              </w:rPr>
            </w:pPr>
            <w:r>
              <w:rPr>
                <w:rFonts w:hint="eastAsia"/>
              </w:rPr>
              <w:t>9、要求所有模型均具有知识卡片，知识卡片内容需根据模型特性进行详细介绍，如：动物类知识卡片需包含：别名、分类、外形、大小、保护等级、分布区域等；植物类知识卡片需包含：别名、分类、形态、产地、生境等；宇宙星球类需包含：别名、分类、质量、直径、自转周期、公转周期、生命周期等。</w:t>
            </w:r>
          </w:p>
          <w:p w14:paraId="64C8EB6A">
            <w:pPr>
              <w:widowControl/>
              <w:jc w:val="left"/>
              <w:rPr>
                <w:rFonts w:hint="eastAsia" w:ascii="宋体" w:hAnsi="宋体" w:eastAsia="宋体" w:cs="宋体"/>
                <w:bCs/>
                <w:kern w:val="0"/>
                <w:sz w:val="24"/>
                <w:szCs w:val="24"/>
              </w:rPr>
            </w:pPr>
            <w:r>
              <w:rPr>
                <w:rFonts w:hint="eastAsia"/>
              </w:rPr>
              <w:t>10、每个模型均配备二维码，可通过平板、手机等智能设备自带功能扫描二维码，即可在屏幕上实时生成三维立体模型，使用户能够在真实环境中查看模型的三维形态，并可进行平移、放大缩小、旋转等操作，为用户提供了沉浸式的交互体验。</w:t>
            </w:r>
          </w:p>
        </w:tc>
      </w:tr>
      <w:tr w14:paraId="3DF3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69D8E1F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2</w:t>
            </w:r>
          </w:p>
        </w:tc>
        <w:tc>
          <w:tcPr>
            <w:tcW w:w="753" w:type="dxa"/>
            <w:tcBorders>
              <w:top w:val="single" w:color="auto" w:sz="4" w:space="0"/>
              <w:left w:val="single" w:color="auto" w:sz="4" w:space="0"/>
              <w:bottom w:val="single" w:color="auto" w:sz="4" w:space="0"/>
              <w:right w:val="single" w:color="auto" w:sz="4" w:space="0"/>
            </w:tcBorders>
            <w:vAlign w:val="center"/>
          </w:tcPr>
          <w:p w14:paraId="40629BB9">
            <w:pPr>
              <w:widowControl/>
              <w:jc w:val="center"/>
              <w:rPr>
                <w:rFonts w:hint="eastAsia" w:ascii="宋体" w:hAnsi="宋体" w:eastAsia="宋体" w:cs="宋体"/>
                <w:sz w:val="24"/>
                <w:szCs w:val="24"/>
              </w:rPr>
            </w:pPr>
            <w:r>
              <w:rPr>
                <w:rFonts w:hint="eastAsia" w:ascii="宋体" w:hAnsi="宋体" w:eastAsia="宋体" w:cs="宋体"/>
                <w:sz w:val="24"/>
                <w:szCs w:val="24"/>
                <w:lang w:bidi="ar"/>
              </w:rPr>
              <w:t>视频展台</w:t>
            </w:r>
          </w:p>
        </w:tc>
        <w:tc>
          <w:tcPr>
            <w:tcW w:w="1402" w:type="dxa"/>
            <w:tcBorders>
              <w:top w:val="single" w:color="auto" w:sz="4" w:space="0"/>
              <w:left w:val="single" w:color="auto" w:sz="4" w:space="0"/>
              <w:bottom w:val="single" w:color="auto" w:sz="4" w:space="0"/>
              <w:right w:val="single" w:color="auto" w:sz="4" w:space="0"/>
            </w:tcBorders>
            <w:vAlign w:val="center"/>
          </w:tcPr>
          <w:p w14:paraId="21FCE8DE">
            <w:pPr>
              <w:widowControl/>
              <w:jc w:val="left"/>
              <w:rPr>
                <w:rFonts w:hint="eastAsia" w:ascii="宋体" w:hAnsi="宋体" w:eastAsia="宋体" w:cs="宋体"/>
                <w:bCs/>
                <w:kern w:val="0"/>
                <w:sz w:val="24"/>
                <w:szCs w:val="24"/>
              </w:rPr>
            </w:pPr>
            <w:bookmarkStart w:id="0" w:name="_GoBack"/>
            <w:r>
              <w:rPr>
                <w:rFonts w:hint="eastAsia" w:ascii="宋体" w:hAnsi="宋体" w:eastAsia="宋体" w:cs="宋体"/>
                <w:bCs/>
                <w:kern w:val="0"/>
                <w:sz w:val="24"/>
                <w:szCs w:val="24"/>
              </w:rPr>
              <w:t>希沃SC06</w:t>
            </w:r>
            <w:bookmarkEnd w:id="0"/>
          </w:p>
        </w:tc>
        <w:tc>
          <w:tcPr>
            <w:tcW w:w="7385" w:type="dxa"/>
            <w:tcBorders>
              <w:top w:val="single" w:color="auto" w:sz="4" w:space="0"/>
              <w:left w:val="single" w:color="auto" w:sz="4" w:space="0"/>
              <w:bottom w:val="single" w:color="auto" w:sz="4" w:space="0"/>
              <w:right w:val="single" w:color="auto" w:sz="4" w:space="0"/>
            </w:tcBorders>
          </w:tcPr>
          <w:p w14:paraId="74483DFB">
            <w:pPr>
              <w:rPr>
                <w:rFonts w:hint="eastAsia"/>
              </w:rPr>
            </w:pPr>
            <w:r>
              <w:rPr>
                <w:rFonts w:hint="eastAsia"/>
              </w:rPr>
              <w:t>1、采用≥800万像素摄像头；采用 USB电源直接供电，无需额外配置电源适配器；箱内USB连线采用隐藏式设计，箱内无可见连线且USB口下出。</w:t>
            </w:r>
          </w:p>
          <w:p w14:paraId="127EC50A">
            <w:pPr>
              <w:rPr>
                <w:rFonts w:hint="eastAsia"/>
              </w:rPr>
            </w:pPr>
            <w:r>
              <w:rPr>
                <w:rFonts w:hint="eastAsia"/>
              </w:rPr>
              <w:t>2、A4大小拍摄幅面，1080P动态视频预览达到30帧/秒。</w:t>
            </w:r>
          </w:p>
          <w:p w14:paraId="2459D80B">
            <w:pPr>
              <w:rPr>
                <w:rFonts w:hint="eastAsia"/>
              </w:rPr>
            </w:pPr>
            <w:r>
              <w:rPr>
                <w:rFonts w:hint="eastAsia"/>
              </w:rPr>
              <w:t>3、整机采用圆弧式设计，无锐角；托板可承重3kg，同时托板采用磁吸吸附式机构。</w:t>
            </w:r>
          </w:p>
          <w:p w14:paraId="25C1D572">
            <w:pPr>
              <w:rPr>
                <w:rFonts w:hint="eastAsia"/>
              </w:rPr>
            </w:pPr>
            <w:r>
              <w:rPr>
                <w:rFonts w:hint="eastAsia"/>
              </w:rPr>
              <w:t xml:space="preserve">4、展示托板正上方具备LED补光灯，补光灯开关采用触摸按键设计，同时可通过视频展台软件直接控制开关； </w:t>
            </w:r>
          </w:p>
          <w:p w14:paraId="182639C7">
            <w:pPr>
              <w:rPr>
                <w:rFonts w:hint="eastAsia"/>
              </w:rPr>
            </w:pPr>
            <w:r>
              <w:rPr>
                <w:rFonts w:hint="eastAsia"/>
              </w:rPr>
              <w:t>5、摄像头支持自动对焦；摄像头部分进行外壳防护等级试验，防护等级达到IP4X级别。</w:t>
            </w:r>
          </w:p>
          <w:p w14:paraId="0D834616">
            <w:pPr>
              <w:rPr>
                <w:rFonts w:hint="eastAsia"/>
              </w:rPr>
            </w:pPr>
            <w:r>
              <w:rPr>
                <w:rFonts w:hint="eastAsia"/>
              </w:rPr>
              <w:t>6、支持对展台画面进行放大、缩小、旋转、自适应、冻结画面等操作。</w:t>
            </w:r>
          </w:p>
          <w:p w14:paraId="002475B7">
            <w:pPr>
              <w:rPr>
                <w:rFonts w:hint="eastAsia"/>
              </w:rPr>
            </w:pPr>
            <w:r>
              <w:rPr>
                <w:rFonts w:hint="eastAsia"/>
              </w:rPr>
              <w:t>7、支持展台画面实时批注，预设多种笔划粗细及颜色供选择，且支持对展台画面联同批注内容进行同步缩放、移动。</w:t>
            </w:r>
          </w:p>
          <w:p w14:paraId="11C4980B">
            <w:pPr>
              <w:rPr>
                <w:rFonts w:hint="eastAsia"/>
              </w:rPr>
            </w:pPr>
            <w:r>
              <w:rPr>
                <w:rFonts w:hint="eastAsia"/>
              </w:rPr>
              <w:t>8、支持展台画面拍照截图并进行多图预览，可对任一图片进行全屏显示。</w:t>
            </w:r>
          </w:p>
          <w:p w14:paraId="3E099811">
            <w:pPr>
              <w:rPr>
                <w:rFonts w:hint="eastAsia"/>
              </w:rPr>
            </w:pPr>
            <w:r>
              <w:rPr>
                <w:rFonts w:hint="eastAsia"/>
              </w:rPr>
              <w:t>9、老师可在一体机或电脑上选择延时拍照功能，支持5秒或10秒延时模式，可调整拍摄内容。</w:t>
            </w:r>
          </w:p>
          <w:p w14:paraId="111BA39E">
            <w:pPr>
              <w:rPr>
                <w:rFonts w:hint="eastAsia"/>
              </w:rPr>
            </w:pPr>
            <w:r>
              <w:rPr>
                <w:rFonts w:hint="eastAsia"/>
              </w:rPr>
              <w:t>10、具备图像增强功能，可自动裁剪背景并增强文字显示，使文档画面更清晰。</w:t>
            </w:r>
          </w:p>
          <w:p w14:paraId="6C60AF79">
            <w:pPr>
              <w:rPr>
                <w:rFonts w:hint="eastAsia"/>
              </w:rPr>
            </w:pPr>
            <w:r>
              <w:rPr>
                <w:rFonts w:hint="eastAsia"/>
              </w:rPr>
              <w:t>11、可选择图像、文本或动态等多种情景模式，适应不同展示内容。</w:t>
            </w:r>
          </w:p>
          <w:p w14:paraId="5438B54F">
            <w:pPr>
              <w:rPr>
                <w:rFonts w:hint="eastAsia"/>
              </w:rPr>
            </w:pPr>
            <w:r>
              <w:rPr>
                <w:rFonts w:hint="eastAsia"/>
              </w:rPr>
              <w:t>12、二维码扫码：打开扫一扫功能后，将书本上的二维码放入扫描框内即可自动扫描，并进入系统浏览器获取二维码的链接内容，可获取电子教学资源。</w:t>
            </w:r>
          </w:p>
          <w:p w14:paraId="1E907763">
            <w:pPr>
              <w:rPr>
                <w:rFonts w:hint="eastAsia"/>
              </w:rPr>
            </w:pPr>
            <w:r>
              <w:rPr>
                <w:rFonts w:hint="eastAsia"/>
              </w:rPr>
              <w:t>13、支持故障自动检测，在软件无法出现展台拍摄画面时，自动出现检测链接，检测“无画面”的原因，并给出引导性解决方案。可判断硬件连接、显卡驱动、摄像头占用、软件版本等问题。</w:t>
            </w:r>
          </w:p>
          <w:p w14:paraId="5CF06D5F">
            <w:pPr>
              <w:widowControl/>
              <w:jc w:val="left"/>
              <w:rPr>
                <w:rFonts w:hint="eastAsia" w:ascii="宋体" w:hAnsi="宋体" w:eastAsia="宋体" w:cs="宋体"/>
                <w:bCs/>
                <w:kern w:val="0"/>
                <w:sz w:val="24"/>
                <w:szCs w:val="24"/>
              </w:rPr>
            </w:pPr>
            <w:r>
              <w:rPr>
                <w:rFonts w:hint="eastAsia"/>
              </w:rPr>
              <w:t>14、为保证产品的兼容稳定，需与一体机为同一品牌。</w:t>
            </w:r>
          </w:p>
        </w:tc>
      </w:tr>
      <w:tr w14:paraId="5643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vAlign w:val="center"/>
          </w:tcPr>
          <w:p w14:paraId="4DEAF41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 xml:space="preserve">3 </w:t>
            </w:r>
          </w:p>
        </w:tc>
        <w:tc>
          <w:tcPr>
            <w:tcW w:w="753" w:type="dxa"/>
            <w:tcBorders>
              <w:top w:val="single" w:color="auto" w:sz="4" w:space="0"/>
              <w:left w:val="single" w:color="auto" w:sz="4" w:space="0"/>
              <w:bottom w:val="single" w:color="auto" w:sz="4" w:space="0"/>
              <w:right w:val="single" w:color="auto" w:sz="4" w:space="0"/>
            </w:tcBorders>
            <w:vAlign w:val="center"/>
          </w:tcPr>
          <w:p w14:paraId="49A1F1BD">
            <w:pPr>
              <w:widowControl/>
              <w:jc w:val="center"/>
              <w:rPr>
                <w:rFonts w:hint="eastAsia" w:cs="宋体" w:asciiTheme="minorEastAsia" w:hAnsiTheme="minorEastAsia"/>
                <w:sz w:val="24"/>
                <w:szCs w:val="24"/>
              </w:rPr>
            </w:pPr>
            <w:r>
              <w:rPr>
                <w:rFonts w:hint="eastAsia" w:cs="微软雅黑" w:asciiTheme="minorEastAsia" w:hAnsiTheme="minorEastAsia"/>
                <w:sz w:val="24"/>
                <w:szCs w:val="24"/>
                <w:lang w:bidi="ar"/>
              </w:rPr>
              <w:t>推拉黑板</w:t>
            </w:r>
          </w:p>
        </w:tc>
        <w:tc>
          <w:tcPr>
            <w:tcW w:w="1402" w:type="dxa"/>
            <w:tcBorders>
              <w:top w:val="single" w:color="auto" w:sz="4" w:space="0"/>
              <w:left w:val="single" w:color="auto" w:sz="4" w:space="0"/>
              <w:bottom w:val="single" w:color="auto" w:sz="4" w:space="0"/>
              <w:right w:val="single" w:color="auto" w:sz="4" w:space="0"/>
            </w:tcBorders>
            <w:vAlign w:val="center"/>
          </w:tcPr>
          <w:p w14:paraId="64C3B706">
            <w:pPr>
              <w:widowControl/>
              <w:jc w:val="left"/>
              <w:rPr>
                <w:rFonts w:hint="eastAsia" w:ascii="宋体" w:hAnsi="宋体" w:eastAsia="宋体" w:cs="宋体"/>
                <w:bCs/>
                <w:kern w:val="0"/>
                <w:sz w:val="24"/>
                <w:szCs w:val="24"/>
              </w:rPr>
            </w:pPr>
            <w:r>
              <w:rPr>
                <w:rFonts w:hint="eastAsia" w:ascii="宋体" w:hAnsi="宋体" w:eastAsia="宋体" w:cs="宋体"/>
                <w:bCs/>
                <w:kern w:val="0"/>
                <w:sz w:val="24"/>
                <w:szCs w:val="24"/>
              </w:rPr>
              <w:t>蓝贝斯特LB05A</w:t>
            </w:r>
          </w:p>
        </w:tc>
        <w:tc>
          <w:tcPr>
            <w:tcW w:w="7385" w:type="dxa"/>
            <w:tcBorders>
              <w:top w:val="single" w:color="auto" w:sz="4" w:space="0"/>
              <w:left w:val="single" w:color="auto" w:sz="4" w:space="0"/>
              <w:bottom w:val="single" w:color="auto" w:sz="4" w:space="0"/>
              <w:right w:val="single" w:color="auto" w:sz="4" w:space="0"/>
            </w:tcBorders>
          </w:tcPr>
          <w:p w14:paraId="5F890EAC">
            <w:pPr>
              <w:rPr>
                <w:rFonts w:hint="eastAsia"/>
              </w:rPr>
            </w:pPr>
            <w:r>
              <w:rPr>
                <w:rFonts w:hint="eastAsia"/>
              </w:rPr>
              <w:t>1.结构：双层结构，内层为两块固定书写板左右各一块，中间预留放置电子产品空间，外层为两块滑动书写板，开闭自如确保一体机的安全管理，支持电子产品居中放置。</w:t>
            </w:r>
          </w:p>
          <w:p w14:paraId="2804D6C5">
            <w:pPr>
              <w:rPr>
                <w:rFonts w:hint="eastAsia"/>
              </w:rPr>
            </w:pPr>
            <w:r>
              <w:rPr>
                <w:rFonts w:hint="eastAsia"/>
              </w:rPr>
              <w:t>2.尺寸：长度≥4000mm，高度可根据所配电子产品适当调整，确保与电子产品的有效配套。当搭配电子产品正面为标准长方形无凸起时，安装完毕后教学书写板正面、侧面均不可露墙。</w:t>
            </w:r>
          </w:p>
          <w:p w14:paraId="5CB007D3">
            <w:pPr>
              <w:rPr>
                <w:rFonts w:hint="eastAsia"/>
              </w:rPr>
            </w:pPr>
            <w:r>
              <w:rPr>
                <w:rFonts w:hint="eastAsia"/>
              </w:rPr>
              <w:t>3.内板：正面左右两侧无边框设计，上下边框正面高度不超15mm，最大限度的增大书写面。</w:t>
            </w:r>
          </w:p>
          <w:p w14:paraId="682915B2">
            <w:pPr>
              <w:rPr>
                <w:rFonts w:hint="eastAsia"/>
              </w:rPr>
            </w:pPr>
            <w:r>
              <w:rPr>
                <w:rFonts w:hint="eastAsia"/>
              </w:rPr>
              <w:t>4.板面：采用金属烤漆书写板面，亚光、墨绿色，没有因教学书写板本身原因产生的眩光，书写流畅字迹清晰、色彩协调可视效果佳，有效的缓解学生视觉疲劳；可吸附磁钉、磁片，便于教学。5.背板：采用优质镀锌钢板，机械化流水线一次成型。</w:t>
            </w:r>
          </w:p>
          <w:p w14:paraId="0B324B06">
            <w:pPr>
              <w:rPr>
                <w:rFonts w:hint="eastAsia"/>
              </w:rPr>
            </w:pPr>
            <w:r>
              <w:rPr>
                <w:rFonts w:hint="eastAsia"/>
              </w:rPr>
              <w:t>6.衬板：选用高强度、吸音、防潮、阻燃聚苯乙烯板,厚度≥14mm。</w:t>
            </w:r>
          </w:p>
          <w:p w14:paraId="2374D43D">
            <w:pPr>
              <w:rPr>
                <w:rFonts w:hint="eastAsia"/>
              </w:rPr>
            </w:pPr>
            <w:r>
              <w:rPr>
                <w:rFonts w:hint="eastAsia"/>
              </w:rPr>
              <w:t>7.覆板：采用自动化流水线覆板作业，避免人工作业刷胶不均导致粘贴不牢、起鼓等现象，</w:t>
            </w:r>
          </w:p>
          <w:p w14:paraId="53FEDE55">
            <w:pPr>
              <w:rPr>
                <w:rFonts w:hint="eastAsia"/>
              </w:rPr>
            </w:pPr>
            <w:r>
              <w:rPr>
                <w:rFonts w:hint="eastAsia"/>
              </w:rPr>
              <w:t>8.边框：采用高强度香槟色电泳铝合金型材，横框规格≥57mm×78mm，立框规格≥29mm×100mm。轨道上置隐藏式滑动系统，杜绝灰尘及杂物进入，结构性解决滑动受灰尘影响的问题。★边框铝型材落砂量为3200时，未落穿基材，保护等级10级。并提供检测报告。</w:t>
            </w:r>
          </w:p>
          <w:p w14:paraId="73A4493A">
            <w:pPr>
              <w:rPr>
                <w:rFonts w:hint="eastAsia"/>
              </w:rPr>
            </w:pPr>
            <w:r>
              <w:rPr>
                <w:rFonts w:hint="eastAsia"/>
              </w:rPr>
              <w:t>9.粉尘槽：应配有宽度≥30mm的粉尘槽，粉尘槽应与滑动系统分离，不影响滑动板滑动。可放置书写笔、教鞭等教具，也可用于灰尘集中处理；粉尘槽采用U型结构以便于承载粉笔末等，应避免使用L型等开放式结构。粉尘槽应与边框一体式设计，以增加强度。</w:t>
            </w:r>
          </w:p>
          <w:p w14:paraId="009A3AEC">
            <w:pPr>
              <w:rPr>
                <w:rFonts w:hint="eastAsia"/>
              </w:rPr>
            </w:pPr>
            <w:r>
              <w:rPr>
                <w:rFonts w:hint="eastAsia"/>
              </w:rPr>
              <w:t>10.限位档：横框内部两侧安装限位档，避免滑动板推拉过程中撞击立框及夹手，禁止安装于立框。</w:t>
            </w:r>
          </w:p>
          <w:p w14:paraId="37D32529">
            <w:pPr>
              <w:rPr>
                <w:rFonts w:hint="eastAsia"/>
              </w:rPr>
            </w:pPr>
            <w:r>
              <w:rPr>
                <w:rFonts w:hint="eastAsia"/>
              </w:rPr>
              <w:t>11.滑轮：双组高精度轴承上吊轮，下平滑动系统，上下均匀安装，上部滑轮应采用包胶轮以减少噪音，下部设有滑块，</w:t>
            </w:r>
          </w:p>
          <w:p w14:paraId="3A455CEE">
            <w:pPr>
              <w:rPr>
                <w:rFonts w:hint="eastAsia"/>
              </w:rPr>
            </w:pPr>
            <w:r>
              <w:rPr>
                <w:rFonts w:hint="eastAsia"/>
              </w:rPr>
              <w:t>12.集灰盒：教学书写板带有集灰盒，便于将粉尘槽内粉尘清理至集灰盒中。集灰盒应可抽拉，便于粉尘倾倒。</w:t>
            </w:r>
          </w:p>
          <w:p w14:paraId="120ADCE6">
            <w:pPr>
              <w:rPr>
                <w:rFonts w:hint="eastAsia"/>
              </w:rPr>
            </w:pPr>
            <w:r>
              <w:rPr>
                <w:rFonts w:hint="eastAsia"/>
              </w:rPr>
              <w:t>13.包角：采用抗老化高强度ABS工程塑料注塑成型，采用双壁成腔流线型设计，教学书写板品牌标识与包角一次模具成型，无尖角毛刺。当搭配电子产品为液晶屏时，包角应做可部分掰除设计，以更好的适配液晶屏厚度</w:t>
            </w:r>
          </w:p>
          <w:p w14:paraId="06E17ED6">
            <w:pPr>
              <w:widowControl/>
              <w:jc w:val="left"/>
              <w:rPr>
                <w:rFonts w:hint="eastAsia" w:ascii="宋体" w:hAnsi="宋体" w:eastAsia="宋体" w:cs="宋体"/>
                <w:bCs/>
                <w:kern w:val="0"/>
                <w:sz w:val="24"/>
                <w:szCs w:val="24"/>
              </w:rPr>
            </w:pPr>
            <w:r>
              <w:rPr>
                <w:rFonts w:hint="eastAsia"/>
              </w:rPr>
              <w:t>14.安全性：滑动板配装锁具，当不使用电子产品时，应可对教学书写板进行锁闭，避免课间学生误操作并保护设备。一把锁实现对滑动教学书写板的锁定，钥匙通用，方便实用</w:t>
            </w:r>
          </w:p>
        </w:tc>
      </w:tr>
    </w:tbl>
    <w:p w14:paraId="666558A7"/>
    <w:p w14:paraId="5906E35F"/>
    <w:p w14:paraId="784D9225"/>
    <w:sectPr>
      <w:footerReference r:id="rId3" w:type="default"/>
      <w:pgSz w:w="11906" w:h="16838"/>
      <w:pgMar w:top="1440" w:right="1134" w:bottom="1440" w:left="1134" w:header="851" w:footer="992" w:gutter="0"/>
      <w:cols w:space="0" w:num="1"/>
      <w:rtlGutter w:val="0"/>
      <w:docGrid w:type="linesAndChars" w:linePitch="312"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0904978"/>
    </w:sdtPr>
    <w:sdtContent>
      <w:sdt>
        <w:sdtPr>
          <w:id w:val="1728636285"/>
        </w:sdtPr>
        <w:sdtContent>
          <w:p w14:paraId="129EBEBE">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145</w:t>
            </w:r>
            <w:r>
              <w:rPr>
                <w:b/>
                <w:bCs/>
                <w:sz w:val="24"/>
                <w:szCs w:val="24"/>
              </w:rPr>
              <w:fldChar w:fldCharType="end"/>
            </w:r>
          </w:p>
        </w:sdtContent>
      </w:sdt>
    </w:sdtContent>
  </w:sdt>
  <w:p w14:paraId="6F083C9D">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F91333"/>
    <w:multiLevelType w:val="multilevel"/>
    <w:tmpl w:val="79F91333"/>
    <w:lvl w:ilvl="0" w:tentative="0">
      <w:start w:val="1"/>
      <w:numFmt w:val="bullet"/>
      <w:pStyle w:val="5"/>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7"/>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2OTRkZDNmMTllYTY0NTBjMzU2MjYwZDljOTEzOWYifQ=="/>
  </w:docVars>
  <w:rsids>
    <w:rsidRoot w:val="0098566F"/>
    <w:rsid w:val="00004CA6"/>
    <w:rsid w:val="000D6E7A"/>
    <w:rsid w:val="000D6FC5"/>
    <w:rsid w:val="000F62AE"/>
    <w:rsid w:val="001629FA"/>
    <w:rsid w:val="001D30BE"/>
    <w:rsid w:val="001D472D"/>
    <w:rsid w:val="00203269"/>
    <w:rsid w:val="00207050"/>
    <w:rsid w:val="002108E2"/>
    <w:rsid w:val="0021664A"/>
    <w:rsid w:val="00243F67"/>
    <w:rsid w:val="002554C5"/>
    <w:rsid w:val="002E18C3"/>
    <w:rsid w:val="00304DCC"/>
    <w:rsid w:val="00305483"/>
    <w:rsid w:val="0031009F"/>
    <w:rsid w:val="00315A44"/>
    <w:rsid w:val="003259A8"/>
    <w:rsid w:val="00343FB2"/>
    <w:rsid w:val="003457F3"/>
    <w:rsid w:val="00347B02"/>
    <w:rsid w:val="003713EF"/>
    <w:rsid w:val="003752C8"/>
    <w:rsid w:val="003B6A23"/>
    <w:rsid w:val="003C0C8F"/>
    <w:rsid w:val="00424492"/>
    <w:rsid w:val="00440425"/>
    <w:rsid w:val="00451BBF"/>
    <w:rsid w:val="004819C6"/>
    <w:rsid w:val="00486BD1"/>
    <w:rsid w:val="004B258F"/>
    <w:rsid w:val="004C5F03"/>
    <w:rsid w:val="00503D0E"/>
    <w:rsid w:val="00521CA3"/>
    <w:rsid w:val="00533B90"/>
    <w:rsid w:val="0055130E"/>
    <w:rsid w:val="00553039"/>
    <w:rsid w:val="005625EC"/>
    <w:rsid w:val="005A6FF2"/>
    <w:rsid w:val="005A7039"/>
    <w:rsid w:val="005D6032"/>
    <w:rsid w:val="005F0BD4"/>
    <w:rsid w:val="005F31B5"/>
    <w:rsid w:val="006016D7"/>
    <w:rsid w:val="0067351F"/>
    <w:rsid w:val="00686778"/>
    <w:rsid w:val="00691394"/>
    <w:rsid w:val="006D3DBC"/>
    <w:rsid w:val="006E045B"/>
    <w:rsid w:val="006F36AA"/>
    <w:rsid w:val="00717E17"/>
    <w:rsid w:val="00745BAF"/>
    <w:rsid w:val="0078051B"/>
    <w:rsid w:val="00784132"/>
    <w:rsid w:val="007A1352"/>
    <w:rsid w:val="007C0FB7"/>
    <w:rsid w:val="007C3CE8"/>
    <w:rsid w:val="007C7FD2"/>
    <w:rsid w:val="007D5A78"/>
    <w:rsid w:val="00825775"/>
    <w:rsid w:val="008843F9"/>
    <w:rsid w:val="00891704"/>
    <w:rsid w:val="0095402F"/>
    <w:rsid w:val="00961E00"/>
    <w:rsid w:val="00963DF4"/>
    <w:rsid w:val="0098566F"/>
    <w:rsid w:val="00986ABD"/>
    <w:rsid w:val="009A655A"/>
    <w:rsid w:val="009C780F"/>
    <w:rsid w:val="00A40DA8"/>
    <w:rsid w:val="00A735C9"/>
    <w:rsid w:val="00A81D22"/>
    <w:rsid w:val="00A832F4"/>
    <w:rsid w:val="00A86CDC"/>
    <w:rsid w:val="00AF0DCF"/>
    <w:rsid w:val="00AF7504"/>
    <w:rsid w:val="00B26797"/>
    <w:rsid w:val="00B3157F"/>
    <w:rsid w:val="00B957F0"/>
    <w:rsid w:val="00C21172"/>
    <w:rsid w:val="00C212D1"/>
    <w:rsid w:val="00C3700C"/>
    <w:rsid w:val="00C41361"/>
    <w:rsid w:val="00C427C3"/>
    <w:rsid w:val="00C50656"/>
    <w:rsid w:val="00C53CEB"/>
    <w:rsid w:val="00C60876"/>
    <w:rsid w:val="00C74812"/>
    <w:rsid w:val="00C76F39"/>
    <w:rsid w:val="00C854C9"/>
    <w:rsid w:val="00D11D47"/>
    <w:rsid w:val="00D1272A"/>
    <w:rsid w:val="00D14D65"/>
    <w:rsid w:val="00D20B4D"/>
    <w:rsid w:val="00D21FE8"/>
    <w:rsid w:val="00D54CDB"/>
    <w:rsid w:val="00D755C3"/>
    <w:rsid w:val="00D83BDB"/>
    <w:rsid w:val="00DC7270"/>
    <w:rsid w:val="00E06D50"/>
    <w:rsid w:val="00E24D23"/>
    <w:rsid w:val="00E455C2"/>
    <w:rsid w:val="00E52A12"/>
    <w:rsid w:val="00E574F6"/>
    <w:rsid w:val="00EA2C39"/>
    <w:rsid w:val="00EB28F3"/>
    <w:rsid w:val="00ED5330"/>
    <w:rsid w:val="00EF5434"/>
    <w:rsid w:val="00FB3365"/>
    <w:rsid w:val="00FD5409"/>
    <w:rsid w:val="00FF4474"/>
    <w:rsid w:val="01730582"/>
    <w:rsid w:val="022071A1"/>
    <w:rsid w:val="02906F11"/>
    <w:rsid w:val="029F53A6"/>
    <w:rsid w:val="03253AFD"/>
    <w:rsid w:val="03960557"/>
    <w:rsid w:val="04161698"/>
    <w:rsid w:val="04275653"/>
    <w:rsid w:val="04E83035"/>
    <w:rsid w:val="051C683A"/>
    <w:rsid w:val="059564A6"/>
    <w:rsid w:val="05B922DB"/>
    <w:rsid w:val="077A1F3E"/>
    <w:rsid w:val="08183C31"/>
    <w:rsid w:val="086A5B0F"/>
    <w:rsid w:val="08FE6017"/>
    <w:rsid w:val="0907104A"/>
    <w:rsid w:val="09BC6226"/>
    <w:rsid w:val="09BE6112"/>
    <w:rsid w:val="09CB4CD3"/>
    <w:rsid w:val="09F064E7"/>
    <w:rsid w:val="0A1C108A"/>
    <w:rsid w:val="0A851326"/>
    <w:rsid w:val="0A9A6B7F"/>
    <w:rsid w:val="0B9E444D"/>
    <w:rsid w:val="0BAD643E"/>
    <w:rsid w:val="0BF40511"/>
    <w:rsid w:val="0C4D19CF"/>
    <w:rsid w:val="0CA02447"/>
    <w:rsid w:val="0D6B65B1"/>
    <w:rsid w:val="0E7B6CC7"/>
    <w:rsid w:val="0E8C2C83"/>
    <w:rsid w:val="0FAE09D7"/>
    <w:rsid w:val="10AD6EE0"/>
    <w:rsid w:val="122704B0"/>
    <w:rsid w:val="15C34AB0"/>
    <w:rsid w:val="16911FBF"/>
    <w:rsid w:val="175C51BC"/>
    <w:rsid w:val="17C4348D"/>
    <w:rsid w:val="18561C0B"/>
    <w:rsid w:val="18925339"/>
    <w:rsid w:val="18AB63FB"/>
    <w:rsid w:val="196A0501"/>
    <w:rsid w:val="19E5593D"/>
    <w:rsid w:val="19FA13E8"/>
    <w:rsid w:val="1A02029D"/>
    <w:rsid w:val="1AFB21A3"/>
    <w:rsid w:val="1B52556A"/>
    <w:rsid w:val="1BB90E2F"/>
    <w:rsid w:val="1C0E33F1"/>
    <w:rsid w:val="1C283D8D"/>
    <w:rsid w:val="1C56667E"/>
    <w:rsid w:val="1C961170"/>
    <w:rsid w:val="1DBE097F"/>
    <w:rsid w:val="1E3631FA"/>
    <w:rsid w:val="1F38206B"/>
    <w:rsid w:val="1FEA5A5B"/>
    <w:rsid w:val="204A474C"/>
    <w:rsid w:val="209119AC"/>
    <w:rsid w:val="20E06E5E"/>
    <w:rsid w:val="20F12E19"/>
    <w:rsid w:val="21030C15"/>
    <w:rsid w:val="210466A8"/>
    <w:rsid w:val="215F5FD5"/>
    <w:rsid w:val="216B6728"/>
    <w:rsid w:val="21723157"/>
    <w:rsid w:val="21751354"/>
    <w:rsid w:val="21F7445F"/>
    <w:rsid w:val="21FC7CC7"/>
    <w:rsid w:val="220F79FB"/>
    <w:rsid w:val="22B1460E"/>
    <w:rsid w:val="22F866E1"/>
    <w:rsid w:val="234436D4"/>
    <w:rsid w:val="236D2C2B"/>
    <w:rsid w:val="246B6A3F"/>
    <w:rsid w:val="26962499"/>
    <w:rsid w:val="26B75F6B"/>
    <w:rsid w:val="27383550"/>
    <w:rsid w:val="27441EF5"/>
    <w:rsid w:val="27561C28"/>
    <w:rsid w:val="27846795"/>
    <w:rsid w:val="279F35CF"/>
    <w:rsid w:val="27FA6A57"/>
    <w:rsid w:val="28722A91"/>
    <w:rsid w:val="28D23530"/>
    <w:rsid w:val="28D63020"/>
    <w:rsid w:val="29BF1D06"/>
    <w:rsid w:val="29C70BBB"/>
    <w:rsid w:val="2A6F54DA"/>
    <w:rsid w:val="2ABE3D6C"/>
    <w:rsid w:val="2B4D3342"/>
    <w:rsid w:val="2BC730F4"/>
    <w:rsid w:val="2C555293"/>
    <w:rsid w:val="2C5F332D"/>
    <w:rsid w:val="2CBC42DB"/>
    <w:rsid w:val="2CBF5B79"/>
    <w:rsid w:val="2D363388"/>
    <w:rsid w:val="2D5957F0"/>
    <w:rsid w:val="2DE53478"/>
    <w:rsid w:val="2E057F04"/>
    <w:rsid w:val="2E840E29"/>
    <w:rsid w:val="2ED26038"/>
    <w:rsid w:val="2F2F348A"/>
    <w:rsid w:val="2FB35E69"/>
    <w:rsid w:val="308275EA"/>
    <w:rsid w:val="30BE3B47"/>
    <w:rsid w:val="315216B2"/>
    <w:rsid w:val="323963CE"/>
    <w:rsid w:val="324071DB"/>
    <w:rsid w:val="32AF7436"/>
    <w:rsid w:val="338179ED"/>
    <w:rsid w:val="33F627C9"/>
    <w:rsid w:val="340056E6"/>
    <w:rsid w:val="34FC3E0F"/>
    <w:rsid w:val="35633E8E"/>
    <w:rsid w:val="356973D7"/>
    <w:rsid w:val="3578720D"/>
    <w:rsid w:val="359F471C"/>
    <w:rsid w:val="36CA1CEB"/>
    <w:rsid w:val="36E0150E"/>
    <w:rsid w:val="37DC1CD5"/>
    <w:rsid w:val="389D76B7"/>
    <w:rsid w:val="38F57CE4"/>
    <w:rsid w:val="394F0285"/>
    <w:rsid w:val="3A4818A4"/>
    <w:rsid w:val="3AA50AA5"/>
    <w:rsid w:val="3C5A766D"/>
    <w:rsid w:val="3D081E83"/>
    <w:rsid w:val="3D54230E"/>
    <w:rsid w:val="3DE530FA"/>
    <w:rsid w:val="3DE9514C"/>
    <w:rsid w:val="3E261EFC"/>
    <w:rsid w:val="3E594080"/>
    <w:rsid w:val="3EAB0654"/>
    <w:rsid w:val="3ED92ACB"/>
    <w:rsid w:val="3F5B5BD6"/>
    <w:rsid w:val="3FF43934"/>
    <w:rsid w:val="404E573A"/>
    <w:rsid w:val="40C96B6F"/>
    <w:rsid w:val="411424E0"/>
    <w:rsid w:val="412B62A7"/>
    <w:rsid w:val="41AE46E3"/>
    <w:rsid w:val="41C9151C"/>
    <w:rsid w:val="41F540C0"/>
    <w:rsid w:val="429338D8"/>
    <w:rsid w:val="42A87384"/>
    <w:rsid w:val="434E23D3"/>
    <w:rsid w:val="43AF4742"/>
    <w:rsid w:val="43CE2E1A"/>
    <w:rsid w:val="44B244EA"/>
    <w:rsid w:val="44BC4C26"/>
    <w:rsid w:val="457F7D7E"/>
    <w:rsid w:val="46994C46"/>
    <w:rsid w:val="47045039"/>
    <w:rsid w:val="47094169"/>
    <w:rsid w:val="4735256F"/>
    <w:rsid w:val="47F60B91"/>
    <w:rsid w:val="494151C5"/>
    <w:rsid w:val="495042D1"/>
    <w:rsid w:val="499E6DEB"/>
    <w:rsid w:val="49FB248F"/>
    <w:rsid w:val="4AA03036"/>
    <w:rsid w:val="4AB663B6"/>
    <w:rsid w:val="4AE9678B"/>
    <w:rsid w:val="4B920BD1"/>
    <w:rsid w:val="4BF03B4A"/>
    <w:rsid w:val="4C940979"/>
    <w:rsid w:val="4D095C04"/>
    <w:rsid w:val="4D106251"/>
    <w:rsid w:val="4D153868"/>
    <w:rsid w:val="4D1A70D0"/>
    <w:rsid w:val="4D704F42"/>
    <w:rsid w:val="4D834C75"/>
    <w:rsid w:val="4D8409ED"/>
    <w:rsid w:val="4DE96E97"/>
    <w:rsid w:val="4DEB7EC2"/>
    <w:rsid w:val="4E402B66"/>
    <w:rsid w:val="4E772300"/>
    <w:rsid w:val="4E9D1D67"/>
    <w:rsid w:val="4EDE5EDB"/>
    <w:rsid w:val="4F0B3174"/>
    <w:rsid w:val="4F161B19"/>
    <w:rsid w:val="4F4F2935"/>
    <w:rsid w:val="4FD5108C"/>
    <w:rsid w:val="501E6ED7"/>
    <w:rsid w:val="50650662"/>
    <w:rsid w:val="51730B5D"/>
    <w:rsid w:val="51F223CA"/>
    <w:rsid w:val="53B65679"/>
    <w:rsid w:val="53F24D97"/>
    <w:rsid w:val="54014B46"/>
    <w:rsid w:val="55342CF9"/>
    <w:rsid w:val="55AC6D33"/>
    <w:rsid w:val="55EC35D4"/>
    <w:rsid w:val="56293EE0"/>
    <w:rsid w:val="562C5ED9"/>
    <w:rsid w:val="56312D95"/>
    <w:rsid w:val="563A7E9B"/>
    <w:rsid w:val="57D936E4"/>
    <w:rsid w:val="580C1D0B"/>
    <w:rsid w:val="584C035A"/>
    <w:rsid w:val="595630EA"/>
    <w:rsid w:val="5A3F0C77"/>
    <w:rsid w:val="5A897643"/>
    <w:rsid w:val="5B33135D"/>
    <w:rsid w:val="5D7967F9"/>
    <w:rsid w:val="5DE11544"/>
    <w:rsid w:val="5DFB2606"/>
    <w:rsid w:val="5E274A1B"/>
    <w:rsid w:val="5EE96902"/>
    <w:rsid w:val="5F090D52"/>
    <w:rsid w:val="5F7A1C50"/>
    <w:rsid w:val="5FD924D3"/>
    <w:rsid w:val="6037544B"/>
    <w:rsid w:val="603E67DA"/>
    <w:rsid w:val="60566219"/>
    <w:rsid w:val="605D1356"/>
    <w:rsid w:val="60765F74"/>
    <w:rsid w:val="60DD2497"/>
    <w:rsid w:val="60E32FFC"/>
    <w:rsid w:val="612B1454"/>
    <w:rsid w:val="61483DB4"/>
    <w:rsid w:val="62634C1E"/>
    <w:rsid w:val="6285580A"/>
    <w:rsid w:val="639332E1"/>
    <w:rsid w:val="63BE441A"/>
    <w:rsid w:val="643C1282"/>
    <w:rsid w:val="65B0017A"/>
    <w:rsid w:val="65BE21B3"/>
    <w:rsid w:val="662F5543"/>
    <w:rsid w:val="663B55C5"/>
    <w:rsid w:val="668138C4"/>
    <w:rsid w:val="669B2BD8"/>
    <w:rsid w:val="66E542DE"/>
    <w:rsid w:val="670562A3"/>
    <w:rsid w:val="67346B89"/>
    <w:rsid w:val="676236F6"/>
    <w:rsid w:val="67717495"/>
    <w:rsid w:val="67931B01"/>
    <w:rsid w:val="67A91325"/>
    <w:rsid w:val="67C84A0C"/>
    <w:rsid w:val="67F813E9"/>
    <w:rsid w:val="68A33FC6"/>
    <w:rsid w:val="68E5638C"/>
    <w:rsid w:val="69140A20"/>
    <w:rsid w:val="69382960"/>
    <w:rsid w:val="694A2693"/>
    <w:rsid w:val="698C2CAC"/>
    <w:rsid w:val="69981651"/>
    <w:rsid w:val="6A3B574E"/>
    <w:rsid w:val="6A4E3ABD"/>
    <w:rsid w:val="6B1059B8"/>
    <w:rsid w:val="6B3B31EB"/>
    <w:rsid w:val="6B5E2426"/>
    <w:rsid w:val="6C066D46"/>
    <w:rsid w:val="6CDF1345"/>
    <w:rsid w:val="6CF748E0"/>
    <w:rsid w:val="6D785A8C"/>
    <w:rsid w:val="6DEA61F3"/>
    <w:rsid w:val="6E3631E6"/>
    <w:rsid w:val="6EEB5D7F"/>
    <w:rsid w:val="6EF03395"/>
    <w:rsid w:val="6F51652A"/>
    <w:rsid w:val="6F7B35A7"/>
    <w:rsid w:val="7020414E"/>
    <w:rsid w:val="70981F36"/>
    <w:rsid w:val="70ED2282"/>
    <w:rsid w:val="711C4915"/>
    <w:rsid w:val="714B51FB"/>
    <w:rsid w:val="717E737E"/>
    <w:rsid w:val="71ED1E0E"/>
    <w:rsid w:val="72907369"/>
    <w:rsid w:val="72D10240"/>
    <w:rsid w:val="73214465"/>
    <w:rsid w:val="735008A6"/>
    <w:rsid w:val="740A314B"/>
    <w:rsid w:val="745E5245"/>
    <w:rsid w:val="747405C4"/>
    <w:rsid w:val="7530273D"/>
    <w:rsid w:val="754937FF"/>
    <w:rsid w:val="75D237F5"/>
    <w:rsid w:val="75E874BC"/>
    <w:rsid w:val="763E532E"/>
    <w:rsid w:val="76465F91"/>
    <w:rsid w:val="774150D6"/>
    <w:rsid w:val="78D15FE5"/>
    <w:rsid w:val="79430177"/>
    <w:rsid w:val="79556C16"/>
    <w:rsid w:val="796055BB"/>
    <w:rsid w:val="79704BEA"/>
    <w:rsid w:val="7AC02D81"/>
    <w:rsid w:val="7AED2E7F"/>
    <w:rsid w:val="7BB0282A"/>
    <w:rsid w:val="7C130C74"/>
    <w:rsid w:val="7C345209"/>
    <w:rsid w:val="7C6B49A3"/>
    <w:rsid w:val="7CB22EFA"/>
    <w:rsid w:val="7CDC6030"/>
    <w:rsid w:val="7D1A3B23"/>
    <w:rsid w:val="7D221505"/>
    <w:rsid w:val="7D2F777E"/>
    <w:rsid w:val="7DDD367E"/>
    <w:rsid w:val="7E7E6C0F"/>
    <w:rsid w:val="7E857F9E"/>
    <w:rsid w:val="7EE43B13"/>
    <w:rsid w:val="7F08297D"/>
    <w:rsid w:val="7F6F47AA"/>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3"/>
    <w:basedOn w:val="1"/>
    <w:next w:val="1"/>
    <w:unhideWhenUsed/>
    <w:qFormat/>
    <w:uiPriority w:val="9"/>
    <w:pPr>
      <w:keepNext/>
      <w:keepLines/>
      <w:numPr>
        <w:ilvl w:val="0"/>
        <w:numId w:val="1"/>
      </w:numPr>
      <w:spacing w:before="120" w:after="120" w:line="360" w:lineRule="auto"/>
      <w:ind w:firstLine="0"/>
      <w:jc w:val="left"/>
      <w:outlineLvl w:val="2"/>
    </w:pPr>
    <w:rPr>
      <w:b/>
      <w:bCs/>
      <w:sz w:val="30"/>
      <w:szCs w:val="32"/>
    </w:rPr>
  </w:style>
  <w:style w:type="paragraph" w:styleId="6">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rPr>
      <w:rFonts w:eastAsia="宋体"/>
      <w:szCs w:val="24"/>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页眉 字符"/>
    <w:basedOn w:val="10"/>
    <w:link w:val="8"/>
    <w:qFormat/>
    <w:uiPriority w:val="99"/>
    <w:rPr>
      <w:sz w:val="18"/>
      <w:szCs w:val="18"/>
    </w:rPr>
  </w:style>
  <w:style w:type="character" w:customStyle="1" w:styleId="13">
    <w:name w:val="页脚 字符"/>
    <w:basedOn w:val="10"/>
    <w:link w:val="7"/>
    <w:qFormat/>
    <w:uiPriority w:val="99"/>
    <w:rPr>
      <w:sz w:val="18"/>
      <w:szCs w:val="18"/>
    </w:rPr>
  </w:style>
  <w:style w:type="character" w:customStyle="1" w:styleId="14">
    <w:name w:val="specification-attr-key"/>
    <w:basedOn w:val="10"/>
    <w:qFormat/>
    <w:uiPriority w:val="0"/>
  </w:style>
  <w:style w:type="character" w:customStyle="1" w:styleId="15">
    <w:name w:val="specification-attr-val"/>
    <w:basedOn w:val="10"/>
    <w:qFormat/>
    <w:uiPriority w:val="0"/>
  </w:style>
  <w:style w:type="character" w:customStyle="1" w:styleId="16">
    <w:name w:val="font21"/>
    <w:basedOn w:val="10"/>
    <w:qFormat/>
    <w:uiPriority w:val="0"/>
    <w:rPr>
      <w:rFonts w:hint="eastAsia" w:ascii="宋体" w:hAnsi="宋体" w:eastAsia="宋体" w:cs="宋体"/>
      <w:color w:val="000000"/>
      <w:sz w:val="22"/>
      <w:szCs w:val="22"/>
      <w:u w:val="none"/>
    </w:rPr>
  </w:style>
  <w:style w:type="character" w:customStyle="1" w:styleId="17">
    <w:name w:val="font41"/>
    <w:basedOn w:val="10"/>
    <w:qFormat/>
    <w:uiPriority w:val="0"/>
    <w:rPr>
      <w:rFonts w:hint="eastAsia" w:ascii="宋体" w:hAnsi="宋体" w:eastAsia="宋体" w:cs="宋体"/>
      <w:b/>
      <w:bCs/>
      <w:color w:val="000000"/>
      <w:sz w:val="22"/>
      <w:szCs w:val="22"/>
      <w:u w:val="none"/>
    </w:rPr>
  </w:style>
  <w:style w:type="character" w:customStyle="1" w:styleId="18">
    <w:name w:val="font31"/>
    <w:basedOn w:val="10"/>
    <w:qFormat/>
    <w:uiPriority w:val="0"/>
    <w:rPr>
      <w:rFonts w:hint="eastAsia" w:ascii="宋体" w:hAnsi="宋体" w:eastAsia="宋体" w:cs="宋体"/>
      <w:color w:val="000000"/>
      <w:sz w:val="22"/>
      <w:szCs w:val="22"/>
      <w:u w:val="none"/>
    </w:rPr>
  </w:style>
  <w:style w:type="character" w:customStyle="1" w:styleId="19">
    <w:name w:val="font11"/>
    <w:basedOn w:val="10"/>
    <w:qFormat/>
    <w:uiPriority w:val="0"/>
    <w:rPr>
      <w:rFonts w:hint="eastAsia" w:ascii="宋体" w:hAnsi="宋体" w:eastAsia="宋体" w:cs="宋体"/>
      <w:b/>
      <w:bCs/>
      <w:color w:val="000000"/>
      <w:sz w:val="22"/>
      <w:szCs w:val="22"/>
      <w:u w:val="none"/>
    </w:rPr>
  </w:style>
  <w:style w:type="character" w:customStyle="1" w:styleId="20">
    <w:name w:val="font01"/>
    <w:basedOn w:val="10"/>
    <w:qFormat/>
    <w:uiPriority w:val="0"/>
    <w:rPr>
      <w:rFonts w:hint="eastAsia" w:ascii="宋体" w:hAnsi="宋体" w:eastAsia="宋体" w:cs="宋体"/>
      <w:color w:val="000000"/>
      <w:sz w:val="22"/>
      <w:szCs w:val="22"/>
      <w:u w:val="none"/>
    </w:rPr>
  </w:style>
  <w:style w:type="character" w:customStyle="1" w:styleId="21">
    <w:name w:val="font51"/>
    <w:basedOn w:val="10"/>
    <w:qFormat/>
    <w:uiPriority w:val="0"/>
    <w:rPr>
      <w:rFonts w:hint="eastAsia" w:ascii="宋体" w:hAnsi="宋体" w:eastAsia="宋体" w:cs="宋体"/>
      <w:b/>
      <w:bCs/>
      <w:color w:val="000000"/>
      <w:sz w:val="21"/>
      <w:szCs w:val="21"/>
      <w:u w:val="none"/>
    </w:rPr>
  </w:style>
  <w:style w:type="paragraph" w:customStyle="1" w:styleId="22">
    <w:name w:val="TOC 标题1"/>
    <w:basedOn w:val="4"/>
    <w:next w:val="1"/>
    <w:qFormat/>
    <w:uiPriority w:val="39"/>
    <w:pPr>
      <w:widowControl w:val="0"/>
      <w:tabs>
        <w:tab w:val="left" w:pos="1830"/>
      </w:tabs>
      <w:spacing w:beforeAutospacing="0" w:after="0" w:afterAutospacing="0" w:line="276" w:lineRule="auto"/>
      <w:outlineLvl w:val="9"/>
    </w:pPr>
    <w:rPr>
      <w:rFonts w:ascii="仿宋" w:hAnsi="仿宋" w:eastAsia="仿宋"/>
      <w:color w:val="000000"/>
      <w:kern w:val="0"/>
      <w:sz w:val="32"/>
      <w:szCs w:val="32"/>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4768</Words>
  <Characters>5042</Characters>
  <Lines>149</Lines>
  <Paragraphs>107</Paragraphs>
  <TotalTime>32</TotalTime>
  <ScaleCrop>false</ScaleCrop>
  <LinksUpToDate>false</LinksUpToDate>
  <CharactersWithSpaces>5057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2025-08-08T01:44:00Z</dcterms:created>
  <dc:creator>LG</dc:creator>
  <cp:lastModifiedBy>二贝花开花落</cp:lastModifiedBy>
  <cp:lastPrinted>2023-03-31T05:45:00Z</cp:lastPrinted>
  <dcterms:modified xsi:type="dcterms:W3CDTF">2025-10-28T08:12:23Z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20F5A0FD1E6349BBA8CDE9582EA8CF78_13</vt:lpwstr>
  </property>
  <property fmtid="{D5CDD505-2E9C-101B-9397-08002B2CF9AE}" pid="4" name="KSOTemplateDocerSaveRecord">
    <vt:lpwstr>eyJoZGlkIjoiNDRkMzQ1NmRmYTZlMjBlZTBhMDU2OGE3ZDdjYjU1ZTEiLCJ1c2VySWQiOiI0MzM4MTU2OTkifQ==</vt:lpwstr>
  </property>
</Properties>
</file>