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928" w:tblpY="884"/>
        <w:tblOverlap w:val="never"/>
        <w:tblW w:w="8293" w:type="dxa"/>
        <w:tblInd w:w="0" w:type="dxa"/>
        <w:tblLayout w:type="autofit"/>
        <w:tblCellMar>
          <w:top w:w="0" w:type="dxa"/>
          <w:left w:w="108" w:type="dxa"/>
          <w:bottom w:w="0" w:type="dxa"/>
          <w:right w:w="108" w:type="dxa"/>
        </w:tblCellMar>
      </w:tblPr>
      <w:tblGrid>
        <w:gridCol w:w="1391"/>
        <w:gridCol w:w="4230"/>
        <w:gridCol w:w="707"/>
        <w:gridCol w:w="883"/>
        <w:gridCol w:w="1082"/>
      </w:tblGrid>
      <w:tr w14:paraId="4F00629B">
        <w:tblPrEx>
          <w:tblCellMar>
            <w:top w:w="0" w:type="dxa"/>
            <w:left w:w="108" w:type="dxa"/>
            <w:bottom w:w="0" w:type="dxa"/>
            <w:right w:w="108" w:type="dxa"/>
          </w:tblCellMar>
        </w:tblPrEx>
        <w:trPr>
          <w:trHeight w:val="608" w:hRule="atLeast"/>
        </w:trPr>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34D6F175">
            <w:pPr>
              <w:widowControl/>
              <w:jc w:val="center"/>
              <w:rPr>
                <w:rFonts w:ascii="宋体" w:hAnsi="宋体" w:cs="宋体"/>
                <w:b/>
                <w:bCs/>
                <w:kern w:val="0"/>
              </w:rPr>
            </w:pPr>
            <w:r>
              <w:rPr>
                <w:rFonts w:hint="eastAsia" w:ascii="宋体" w:hAnsi="宋体" w:cs="宋体"/>
                <w:b/>
                <w:bCs/>
                <w:kern w:val="0"/>
              </w:rPr>
              <w:t>产品</w:t>
            </w:r>
          </w:p>
        </w:tc>
        <w:tc>
          <w:tcPr>
            <w:tcW w:w="4230" w:type="dxa"/>
            <w:tcBorders>
              <w:top w:val="single" w:color="auto" w:sz="4" w:space="0"/>
              <w:left w:val="nil"/>
              <w:bottom w:val="single" w:color="auto" w:sz="4" w:space="0"/>
              <w:right w:val="single" w:color="auto" w:sz="4" w:space="0"/>
            </w:tcBorders>
            <w:shd w:val="clear" w:color="auto" w:fill="auto"/>
            <w:vAlign w:val="center"/>
          </w:tcPr>
          <w:p w14:paraId="7EE52439">
            <w:pPr>
              <w:widowControl/>
              <w:jc w:val="center"/>
              <w:rPr>
                <w:rFonts w:ascii="宋体" w:hAnsi="宋体" w:cs="宋体"/>
                <w:b/>
                <w:bCs/>
                <w:kern w:val="0"/>
              </w:rPr>
            </w:pPr>
            <w:r>
              <w:rPr>
                <w:rFonts w:hint="eastAsia" w:ascii="宋体" w:hAnsi="宋体" w:cs="宋体"/>
                <w:b/>
                <w:bCs/>
                <w:kern w:val="0"/>
              </w:rPr>
              <w:t>参数</w:t>
            </w:r>
          </w:p>
        </w:tc>
        <w:tc>
          <w:tcPr>
            <w:tcW w:w="707" w:type="dxa"/>
            <w:tcBorders>
              <w:top w:val="single" w:color="auto" w:sz="4" w:space="0"/>
              <w:left w:val="nil"/>
              <w:bottom w:val="single" w:color="auto" w:sz="4" w:space="0"/>
              <w:right w:val="single" w:color="auto" w:sz="4" w:space="0"/>
            </w:tcBorders>
            <w:shd w:val="clear" w:color="auto" w:fill="auto"/>
            <w:vAlign w:val="center"/>
          </w:tcPr>
          <w:p w14:paraId="3F4E4536">
            <w:pPr>
              <w:widowControl/>
              <w:jc w:val="center"/>
              <w:rPr>
                <w:rFonts w:ascii="宋体" w:hAnsi="宋体" w:cs="宋体"/>
                <w:b/>
                <w:bCs/>
                <w:kern w:val="0"/>
              </w:rPr>
            </w:pPr>
            <w:r>
              <w:rPr>
                <w:rFonts w:hint="eastAsia" w:ascii="宋体" w:hAnsi="宋体" w:cs="宋体"/>
                <w:b/>
                <w:bCs/>
                <w:kern w:val="0"/>
              </w:rPr>
              <w:t>数量</w:t>
            </w:r>
          </w:p>
        </w:tc>
        <w:tc>
          <w:tcPr>
            <w:tcW w:w="883" w:type="dxa"/>
            <w:tcBorders>
              <w:top w:val="single" w:color="auto" w:sz="4" w:space="0"/>
              <w:left w:val="nil"/>
              <w:bottom w:val="single" w:color="auto" w:sz="4" w:space="0"/>
              <w:right w:val="single" w:color="auto" w:sz="4" w:space="0"/>
            </w:tcBorders>
            <w:shd w:val="clear" w:color="auto" w:fill="auto"/>
            <w:vAlign w:val="center"/>
          </w:tcPr>
          <w:p w14:paraId="184F92E1">
            <w:pPr>
              <w:widowControl/>
              <w:jc w:val="center"/>
              <w:rPr>
                <w:rFonts w:hint="eastAsia" w:ascii="宋体" w:hAnsi="宋体" w:eastAsia="宋体" w:cs="宋体"/>
                <w:b/>
                <w:bCs/>
                <w:kern w:val="0"/>
                <w:lang w:val="en-US" w:eastAsia="zh-CN"/>
              </w:rPr>
            </w:pPr>
            <w:r>
              <w:rPr>
                <w:rFonts w:hint="eastAsia" w:ascii="宋体" w:hAnsi="宋体" w:cs="宋体"/>
                <w:b/>
                <w:bCs/>
                <w:kern w:val="0"/>
                <w:lang w:val="en-US" w:eastAsia="zh-CN"/>
              </w:rPr>
              <w:t>单位</w:t>
            </w:r>
          </w:p>
        </w:tc>
        <w:tc>
          <w:tcPr>
            <w:tcW w:w="1082" w:type="dxa"/>
            <w:tcBorders>
              <w:top w:val="single" w:color="auto" w:sz="4" w:space="0"/>
              <w:left w:val="nil"/>
              <w:bottom w:val="single" w:color="auto" w:sz="4" w:space="0"/>
              <w:right w:val="single" w:color="auto" w:sz="4" w:space="0"/>
            </w:tcBorders>
            <w:shd w:val="clear" w:color="auto" w:fill="auto"/>
            <w:vAlign w:val="center"/>
          </w:tcPr>
          <w:p w14:paraId="0002F879">
            <w:pPr>
              <w:widowControl/>
              <w:jc w:val="center"/>
              <w:rPr>
                <w:rFonts w:ascii="宋体" w:hAnsi="宋体" w:cs="宋体"/>
                <w:b/>
                <w:bCs/>
                <w:kern w:val="0"/>
              </w:rPr>
            </w:pPr>
            <w:r>
              <w:rPr>
                <w:rFonts w:hint="eastAsia" w:ascii="宋体" w:hAnsi="宋体" w:cs="宋体"/>
                <w:b/>
                <w:bCs/>
                <w:kern w:val="0"/>
              </w:rPr>
              <w:t>备注</w:t>
            </w:r>
          </w:p>
        </w:tc>
      </w:tr>
      <w:tr w14:paraId="222FA9D4">
        <w:tblPrEx>
          <w:tblCellMar>
            <w:top w:w="0" w:type="dxa"/>
            <w:left w:w="108" w:type="dxa"/>
            <w:bottom w:w="0" w:type="dxa"/>
            <w:right w:w="108" w:type="dxa"/>
          </w:tblCellMar>
        </w:tblPrEx>
        <w:trPr>
          <w:trHeight w:val="7151" w:hRule="atLeast"/>
        </w:trPr>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3F295598">
            <w:pPr>
              <w:widowControl/>
              <w:jc w:val="center"/>
              <w:rPr>
                <w:rFonts w:ascii="宋体" w:hAnsi="宋体" w:cs="宋体"/>
                <w:color w:val="000000"/>
                <w:kern w:val="0"/>
                <w:sz w:val="22"/>
                <w:szCs w:val="22"/>
              </w:rPr>
            </w:pPr>
            <w:r>
              <w:rPr>
                <w:rFonts w:hint="eastAsia" w:ascii="宋体" w:hAnsi="宋体" w:cs="宋体"/>
                <w:color w:val="000000"/>
                <w:kern w:val="0"/>
                <w:sz w:val="22"/>
                <w:szCs w:val="22"/>
              </w:rPr>
              <w:t>青少年法治教室课堂教学系统V</w:t>
            </w:r>
            <w:r>
              <w:rPr>
                <w:rFonts w:ascii="宋体" w:hAnsi="宋体" w:cs="宋体"/>
                <w:color w:val="000000"/>
                <w:kern w:val="0"/>
                <w:sz w:val="22"/>
                <w:szCs w:val="22"/>
              </w:rPr>
              <w:t>1.0</w:t>
            </w:r>
          </w:p>
          <w:p w14:paraId="408528F4">
            <w:pPr>
              <w:widowControl/>
              <w:jc w:val="center"/>
              <w:rPr>
                <w:rFonts w:ascii="宋体" w:hAnsi="宋体" w:cs="宋体"/>
                <w:kern w:val="0"/>
              </w:rPr>
            </w:pPr>
          </w:p>
        </w:tc>
        <w:tc>
          <w:tcPr>
            <w:tcW w:w="4230" w:type="dxa"/>
            <w:tcBorders>
              <w:top w:val="single" w:color="auto" w:sz="4" w:space="0"/>
              <w:left w:val="nil"/>
              <w:bottom w:val="single" w:color="auto" w:sz="4" w:space="0"/>
              <w:right w:val="single" w:color="auto" w:sz="4" w:space="0"/>
            </w:tcBorders>
            <w:shd w:val="clear" w:color="auto" w:fill="auto"/>
            <w:vAlign w:val="center"/>
          </w:tcPr>
          <w:p w14:paraId="21EC7EF7">
            <w:pPr>
              <w:widowControl/>
              <w:jc w:val="left"/>
              <w:rPr>
                <w:rFonts w:hint="eastAsia" w:ascii="宋体" w:hAnsi="宋体" w:cs="宋体"/>
                <w:kern w:val="0"/>
              </w:rPr>
            </w:pPr>
            <w:r>
              <w:rPr>
                <w:rFonts w:hint="eastAsia" w:ascii="宋体" w:hAnsi="宋体" w:cs="宋体"/>
                <w:kern w:val="0"/>
                <w:lang w:val="en-US" w:eastAsia="zh-CN"/>
              </w:rPr>
              <w:t>一．小学版：</w:t>
            </w:r>
            <w:r>
              <w:rPr>
                <w:rFonts w:hint="eastAsia" w:ascii="宋体" w:hAnsi="宋体" w:cs="宋体"/>
                <w:kern w:val="0"/>
              </w:rPr>
              <w:t>1、资源包小学版所含课程需包含小学1-6年级教学课程，且每个年级在线课程课时数≥10，总课时≥60； 2、以上课程内容需配备相应的教师指导手册（电子文件）≥60套，课堂游戏配套教学用具（电子文件）≥20套。 3、资源包需涵盖以生动、活泼的动画表现法律知识的法治动画≥250分钟。 4、资源包需涵盖以探索中国古代法律文化为主题的视频课程≥150分钟。 5、资源包需含用于课堂教学的法律知识类互动游戏视频≥40分钟。 6、资源包需含可用于课堂需即学即用，即时考察课程学习的成果课堂测评题目。二、中学版： 1、课程资源包中学版需包含7-8、10-11年级学生课堂教学课程，且每个年级课时数≥10，总课时≥40。 2、 以上1中课程课程内容需由国内顶级法学、教育学专家团队研发，且需配备相应的教师指导手册≥40套，课堂游戏配套教学用具≥20套。 3、资源包需涵盖从贴近学生日常生活的案例入手，以趣味性的演说方法向学生们传递学法、守法、用法的视频课程≥250分钟。 4、资源包需涵盖将课程知识与学生实践相结合，设置演讲、辩论、擂台赛等更深层次的活动内容的视频课程≥30分钟。 5、资源包需涵盖检测本课所学内容，巩固法律知识的教学测评视频≥60分钟。 6、资源包需涵盖通过当前社会焦点，紧扣社会现象，关注身边的法律事件，以多人讨论的形式，共同探讨时下热议法律问题的视频课程≥360分钟。 利用大数据、云平台等信息化手段，采取分阶段的定制化法治教育方案，力求突破以往无差别的、固化的、照本宣科的法律宣传教育，开展“任务中学，游戏中做”的实践教育，将法治教育、法治实践、法治测评有机融合，切实提高青少年法治教育的针对性和实效性。</w:t>
            </w:r>
          </w:p>
          <w:p w14:paraId="05FC25F3">
            <w:pPr>
              <w:widowControl/>
              <w:jc w:val="left"/>
              <w:rPr>
                <w:rFonts w:hint="eastAsia" w:ascii="宋体" w:hAnsi="宋体" w:cs="宋体"/>
                <w:kern w:val="0"/>
              </w:rPr>
            </w:pPr>
          </w:p>
        </w:tc>
        <w:tc>
          <w:tcPr>
            <w:tcW w:w="707" w:type="dxa"/>
            <w:tcBorders>
              <w:top w:val="single" w:color="auto" w:sz="4" w:space="0"/>
              <w:left w:val="nil"/>
              <w:bottom w:val="single" w:color="auto" w:sz="4" w:space="0"/>
              <w:right w:val="single" w:color="auto" w:sz="4" w:space="0"/>
            </w:tcBorders>
            <w:shd w:val="clear" w:color="auto" w:fill="auto"/>
            <w:vAlign w:val="center"/>
          </w:tcPr>
          <w:p w14:paraId="3BB62DCF">
            <w:pPr>
              <w:widowControl/>
              <w:jc w:val="left"/>
              <w:rPr>
                <w:rFonts w:hint="default" w:ascii="宋体" w:hAnsi="宋体" w:cs="宋体"/>
                <w:kern w:val="0"/>
                <w:lang w:val="en-US"/>
              </w:rPr>
            </w:pPr>
            <w:r>
              <w:rPr>
                <w:rFonts w:hint="eastAsia" w:ascii="宋体" w:hAnsi="宋体" w:cs="宋体"/>
                <w:kern w:val="0"/>
                <w:lang w:val="en-US" w:eastAsia="zh-CN"/>
              </w:rPr>
              <w:t>1</w:t>
            </w:r>
          </w:p>
        </w:tc>
        <w:tc>
          <w:tcPr>
            <w:tcW w:w="883" w:type="dxa"/>
            <w:tcBorders>
              <w:top w:val="single" w:color="auto" w:sz="4" w:space="0"/>
              <w:left w:val="nil"/>
              <w:bottom w:val="single" w:color="auto" w:sz="4" w:space="0"/>
              <w:right w:val="single" w:color="auto" w:sz="4" w:space="0"/>
            </w:tcBorders>
            <w:shd w:val="clear" w:color="auto" w:fill="auto"/>
            <w:vAlign w:val="center"/>
          </w:tcPr>
          <w:p w14:paraId="61554419">
            <w:pPr>
              <w:widowControl/>
              <w:jc w:val="center"/>
              <w:rPr>
                <w:rFonts w:hint="default" w:ascii="宋体" w:hAnsi="宋体" w:cs="宋体"/>
                <w:kern w:val="0"/>
                <w:lang w:val="en-US" w:eastAsia="zh-CN"/>
              </w:rPr>
            </w:pPr>
            <w:r>
              <w:rPr>
                <w:rFonts w:hint="eastAsia" w:ascii="宋体" w:hAnsi="宋体" w:cs="宋体"/>
                <w:kern w:val="0"/>
                <w:lang w:val="en-US" w:eastAsia="zh-CN"/>
              </w:rPr>
              <w:t>套</w:t>
            </w:r>
          </w:p>
        </w:tc>
        <w:tc>
          <w:tcPr>
            <w:tcW w:w="1082" w:type="dxa"/>
            <w:tcBorders>
              <w:top w:val="single" w:color="auto" w:sz="4" w:space="0"/>
              <w:left w:val="nil"/>
              <w:bottom w:val="single" w:color="auto" w:sz="4" w:space="0"/>
              <w:right w:val="single" w:color="auto" w:sz="4" w:space="0"/>
            </w:tcBorders>
            <w:shd w:val="clear" w:color="auto" w:fill="auto"/>
            <w:vAlign w:val="center"/>
          </w:tcPr>
          <w:p w14:paraId="51E632E7">
            <w:pPr>
              <w:widowControl/>
              <w:jc w:val="center"/>
              <w:rPr>
                <w:rFonts w:hint="default" w:ascii="宋体" w:hAnsi="宋体" w:eastAsia="宋体" w:cs="宋体"/>
                <w:kern w:val="0"/>
                <w:lang w:val="en-US" w:eastAsia="zh-CN"/>
              </w:rPr>
            </w:pPr>
          </w:p>
        </w:tc>
      </w:tr>
      <w:tr w14:paraId="2B072069">
        <w:tblPrEx>
          <w:tblCellMar>
            <w:top w:w="0" w:type="dxa"/>
            <w:left w:w="108" w:type="dxa"/>
            <w:bottom w:w="0" w:type="dxa"/>
            <w:right w:w="108" w:type="dxa"/>
          </w:tblCellMar>
        </w:tblPrEx>
        <w:trPr>
          <w:trHeight w:val="581" w:hRule="atLeast"/>
        </w:trPr>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10707287">
            <w:pPr>
              <w:widowControl/>
              <w:jc w:val="center"/>
              <w:rPr>
                <w:rFonts w:hint="default" w:ascii="宋体" w:hAnsi="宋体" w:eastAsia="宋体" w:cs="宋体"/>
                <w:kern w:val="0"/>
                <w:lang w:val="en-US" w:eastAsia="zh-CN"/>
              </w:rPr>
            </w:pPr>
            <w:r>
              <w:rPr>
                <w:rFonts w:hint="eastAsia" w:ascii="宋体" w:hAnsi="宋体" w:cs="宋体"/>
                <w:kern w:val="0"/>
                <w:lang w:val="en-US" w:eastAsia="zh-CN"/>
              </w:rPr>
              <w:t>商务部分</w:t>
            </w:r>
          </w:p>
        </w:tc>
        <w:tc>
          <w:tcPr>
            <w:tcW w:w="4230" w:type="dxa"/>
            <w:tcBorders>
              <w:top w:val="single" w:color="auto" w:sz="4" w:space="0"/>
              <w:left w:val="nil"/>
              <w:bottom w:val="single" w:color="auto" w:sz="4" w:space="0"/>
              <w:right w:val="single" w:color="auto" w:sz="4" w:space="0"/>
            </w:tcBorders>
            <w:shd w:val="clear" w:color="auto" w:fill="auto"/>
            <w:vAlign w:val="center"/>
          </w:tcPr>
          <w:p w14:paraId="25266FE8">
            <w:pPr>
              <w:widowControl/>
              <w:jc w:val="left"/>
              <w:rPr>
                <w:rFonts w:hint="default" w:ascii="宋体" w:hAnsi="宋体" w:eastAsia="宋体" w:cs="宋体"/>
                <w:kern w:val="0"/>
                <w:lang w:val="en-US" w:eastAsia="zh-CN"/>
              </w:rPr>
            </w:pPr>
            <w:r>
              <w:rPr>
                <w:rFonts w:hint="eastAsia" w:ascii="宋体" w:hAnsi="宋体" w:cs="宋体"/>
                <w:kern w:val="0"/>
              </w:rPr>
              <w:t>供应商参与竞价时请认真阅读要求，严格按照采购方选定品牌来报价，如中标供应商不能满足采购要求产品或不能履约供货，将上报监管部门根据电子卖场管理办法第四十六条规定对供应商予以清退，并追究其相应责任。</w:t>
            </w:r>
            <w:r>
              <w:rPr>
                <w:rFonts w:hint="eastAsia" w:ascii="宋体" w:hAnsi="宋体" w:cs="宋体"/>
                <w:kern w:val="0"/>
                <w:lang w:val="en-US" w:eastAsia="zh-CN"/>
              </w:rPr>
              <w:t>中标供应商需在5个工作日内签订合同，签订合同时需提供软件安装包，备查符合参数使用要求。</w:t>
            </w:r>
            <w:r>
              <w:rPr>
                <w:rFonts w:hint="eastAsia" w:ascii="宋体" w:hAnsi="宋体" w:cs="宋体"/>
                <w:kern w:val="0"/>
              </w:rPr>
              <w:t>报价费用包含但不限于运输、</w:t>
            </w:r>
            <w:bookmarkStart w:id="0" w:name="_GoBack"/>
            <w:bookmarkEnd w:id="0"/>
            <w:r>
              <w:rPr>
                <w:rFonts w:hint="eastAsia" w:ascii="宋体" w:hAnsi="宋体" w:cs="宋体"/>
                <w:kern w:val="0"/>
              </w:rPr>
              <w:t>税费、安装等一切费用。</w:t>
            </w:r>
          </w:p>
        </w:tc>
        <w:tc>
          <w:tcPr>
            <w:tcW w:w="707" w:type="dxa"/>
            <w:tcBorders>
              <w:top w:val="single" w:color="auto" w:sz="4" w:space="0"/>
              <w:left w:val="nil"/>
              <w:bottom w:val="single" w:color="auto" w:sz="4" w:space="0"/>
              <w:right w:val="single" w:color="auto" w:sz="4" w:space="0"/>
            </w:tcBorders>
            <w:shd w:val="clear" w:color="auto" w:fill="auto"/>
            <w:vAlign w:val="center"/>
          </w:tcPr>
          <w:p w14:paraId="2B77A37F">
            <w:pPr>
              <w:widowControl/>
              <w:jc w:val="center"/>
              <w:rPr>
                <w:rFonts w:hint="eastAsia" w:ascii="宋体" w:hAnsi="宋体" w:cs="宋体"/>
                <w:kern w:val="0"/>
                <w:lang w:val="en-US" w:eastAsia="zh-CN"/>
              </w:rPr>
            </w:pPr>
          </w:p>
        </w:tc>
        <w:tc>
          <w:tcPr>
            <w:tcW w:w="883" w:type="dxa"/>
            <w:tcBorders>
              <w:top w:val="single" w:color="auto" w:sz="4" w:space="0"/>
              <w:left w:val="nil"/>
              <w:bottom w:val="single" w:color="auto" w:sz="4" w:space="0"/>
              <w:right w:val="single" w:color="auto" w:sz="4" w:space="0"/>
            </w:tcBorders>
            <w:shd w:val="clear" w:color="auto" w:fill="auto"/>
            <w:vAlign w:val="center"/>
          </w:tcPr>
          <w:p w14:paraId="0FBACBE5">
            <w:pPr>
              <w:widowControl/>
              <w:jc w:val="center"/>
              <w:rPr>
                <w:rFonts w:hint="eastAsia" w:ascii="宋体" w:hAnsi="宋体" w:cs="宋体"/>
                <w:kern w:val="0"/>
                <w:lang w:val="en-US" w:eastAsia="zh-CN"/>
              </w:rPr>
            </w:pPr>
          </w:p>
        </w:tc>
        <w:tc>
          <w:tcPr>
            <w:tcW w:w="1082" w:type="dxa"/>
            <w:tcBorders>
              <w:top w:val="single" w:color="auto" w:sz="4" w:space="0"/>
              <w:left w:val="nil"/>
              <w:bottom w:val="single" w:color="auto" w:sz="4" w:space="0"/>
              <w:right w:val="single" w:color="auto" w:sz="4" w:space="0"/>
            </w:tcBorders>
            <w:shd w:val="clear" w:color="auto" w:fill="auto"/>
            <w:vAlign w:val="center"/>
          </w:tcPr>
          <w:p w14:paraId="03B182DB">
            <w:pPr>
              <w:widowControl/>
              <w:jc w:val="center"/>
              <w:rPr>
                <w:rFonts w:hint="eastAsia" w:ascii="宋体" w:hAnsi="宋体" w:cs="宋体"/>
                <w:kern w:val="0"/>
              </w:rPr>
            </w:pPr>
          </w:p>
        </w:tc>
      </w:tr>
      <w:tr w14:paraId="593032BB">
        <w:tblPrEx>
          <w:tblCellMar>
            <w:top w:w="0" w:type="dxa"/>
            <w:left w:w="108" w:type="dxa"/>
            <w:bottom w:w="0" w:type="dxa"/>
            <w:right w:w="108" w:type="dxa"/>
          </w:tblCellMar>
        </w:tblPrEx>
        <w:trPr>
          <w:trHeight w:val="2259" w:hRule="atLeast"/>
        </w:trPr>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3B5A8EAD">
            <w:pPr>
              <w:widowControl/>
              <w:jc w:val="center"/>
              <w:rPr>
                <w:rFonts w:hint="default" w:ascii="宋体" w:hAnsi="宋体" w:eastAsia="宋体" w:cs="宋体"/>
                <w:kern w:val="0"/>
                <w:lang w:val="en-US" w:eastAsia="zh-CN"/>
              </w:rPr>
            </w:pPr>
            <w:r>
              <w:rPr>
                <w:rFonts w:hint="eastAsia" w:ascii="宋体" w:hAnsi="宋体" w:cs="宋体"/>
                <w:kern w:val="0"/>
                <w:lang w:val="en-US" w:eastAsia="zh-CN"/>
              </w:rPr>
              <w:t>使用要求</w:t>
            </w:r>
          </w:p>
        </w:tc>
        <w:tc>
          <w:tcPr>
            <w:tcW w:w="4230" w:type="dxa"/>
            <w:tcBorders>
              <w:top w:val="single" w:color="auto" w:sz="4" w:space="0"/>
              <w:left w:val="nil"/>
              <w:bottom w:val="single" w:color="auto" w:sz="4" w:space="0"/>
              <w:right w:val="single" w:color="auto" w:sz="4" w:space="0"/>
            </w:tcBorders>
            <w:shd w:val="clear" w:color="auto" w:fill="auto"/>
            <w:vAlign w:val="center"/>
          </w:tcPr>
          <w:p w14:paraId="21D3495E">
            <w:pPr>
              <w:widowControl/>
              <w:jc w:val="left"/>
              <w:rPr>
                <w:rFonts w:hint="default" w:ascii="宋体" w:hAnsi="宋体" w:cs="宋体"/>
                <w:kern w:val="0"/>
                <w:lang w:val="en-US"/>
              </w:rPr>
            </w:pPr>
            <w:r>
              <w:rPr>
                <w:rFonts w:hint="eastAsia" w:ascii="宋体" w:hAnsi="宋体" w:cs="宋体"/>
                <w:kern w:val="0"/>
              </w:rPr>
              <w:t>支持本校</w:t>
            </w:r>
            <w:r>
              <w:rPr>
                <w:rFonts w:hint="eastAsia" w:ascii="宋体" w:hAnsi="宋体" w:cs="宋体"/>
                <w:kern w:val="0"/>
                <w:lang w:val="en-US" w:eastAsia="zh-CN"/>
              </w:rPr>
              <w:t>40个教室</w:t>
            </w:r>
            <w:r>
              <w:rPr>
                <w:rFonts w:hint="eastAsia" w:ascii="宋体" w:hAnsi="宋体" w:cs="宋体"/>
                <w:kern w:val="0"/>
              </w:rPr>
              <w:t>开通课程服务</w:t>
            </w:r>
            <w:r>
              <w:rPr>
                <w:rFonts w:hint="eastAsia" w:ascii="宋体" w:hAnsi="宋体" w:cs="宋体"/>
                <w:kern w:val="0"/>
                <w:lang w:eastAsia="zh-CN"/>
              </w:rPr>
              <w:t>，</w:t>
            </w:r>
            <w:r>
              <w:rPr>
                <w:rFonts w:hint="eastAsia" w:ascii="宋体" w:hAnsi="宋体" w:cs="宋体"/>
                <w:kern w:val="0"/>
                <w:lang w:val="en-US" w:eastAsia="zh-CN"/>
              </w:rPr>
              <w:t>支持一次老师培训服务，开通时间为3年，3年内不收取任何费用。若使用期间出现问题需要供应商协助解决。</w:t>
            </w:r>
          </w:p>
        </w:tc>
        <w:tc>
          <w:tcPr>
            <w:tcW w:w="707" w:type="dxa"/>
            <w:tcBorders>
              <w:top w:val="single" w:color="auto" w:sz="4" w:space="0"/>
              <w:left w:val="nil"/>
              <w:bottom w:val="single" w:color="auto" w:sz="4" w:space="0"/>
              <w:right w:val="single" w:color="auto" w:sz="4" w:space="0"/>
            </w:tcBorders>
            <w:shd w:val="clear" w:color="auto" w:fill="auto"/>
            <w:vAlign w:val="center"/>
          </w:tcPr>
          <w:p w14:paraId="136FB11D">
            <w:pPr>
              <w:widowControl/>
              <w:jc w:val="center"/>
              <w:rPr>
                <w:rFonts w:hint="eastAsia" w:ascii="宋体" w:hAnsi="宋体" w:cs="宋体"/>
                <w:kern w:val="0"/>
                <w:lang w:val="en-US" w:eastAsia="zh-CN"/>
              </w:rPr>
            </w:pPr>
          </w:p>
        </w:tc>
        <w:tc>
          <w:tcPr>
            <w:tcW w:w="883" w:type="dxa"/>
            <w:tcBorders>
              <w:top w:val="single" w:color="auto" w:sz="4" w:space="0"/>
              <w:left w:val="nil"/>
              <w:bottom w:val="single" w:color="auto" w:sz="4" w:space="0"/>
              <w:right w:val="single" w:color="auto" w:sz="4" w:space="0"/>
            </w:tcBorders>
            <w:shd w:val="clear" w:color="auto" w:fill="auto"/>
            <w:vAlign w:val="center"/>
          </w:tcPr>
          <w:p w14:paraId="0167B8B6">
            <w:pPr>
              <w:widowControl/>
              <w:jc w:val="center"/>
              <w:rPr>
                <w:rFonts w:hint="eastAsia" w:ascii="宋体" w:hAnsi="宋体" w:cs="宋体"/>
                <w:kern w:val="0"/>
                <w:lang w:val="en-US" w:eastAsia="zh-CN"/>
              </w:rPr>
            </w:pPr>
          </w:p>
        </w:tc>
        <w:tc>
          <w:tcPr>
            <w:tcW w:w="1082" w:type="dxa"/>
            <w:tcBorders>
              <w:top w:val="single" w:color="auto" w:sz="4" w:space="0"/>
              <w:left w:val="nil"/>
              <w:bottom w:val="single" w:color="auto" w:sz="4" w:space="0"/>
              <w:right w:val="single" w:color="auto" w:sz="4" w:space="0"/>
            </w:tcBorders>
            <w:shd w:val="clear" w:color="auto" w:fill="auto"/>
            <w:vAlign w:val="center"/>
          </w:tcPr>
          <w:p w14:paraId="32F730B5">
            <w:pPr>
              <w:widowControl/>
              <w:jc w:val="center"/>
              <w:rPr>
                <w:rFonts w:hint="eastAsia" w:ascii="宋体" w:hAnsi="宋体" w:cs="宋体"/>
                <w:kern w:val="0"/>
              </w:rPr>
            </w:pPr>
          </w:p>
        </w:tc>
      </w:tr>
    </w:tbl>
    <w:p w14:paraId="36D443D4">
      <w:pPr>
        <w:rPr>
          <w:rFonts w:hint="default" w:eastAsia="宋体"/>
          <w:b/>
          <w:bCs/>
          <w:sz w:val="44"/>
          <w:szCs w:val="4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723265"/>
    </w:sdtPr>
    <w:sdtContent>
      <w:sdt>
        <w:sdtPr>
          <w:id w:val="-1669238322"/>
        </w:sdtPr>
        <w:sdtContent>
          <w:p w14:paraId="3B9F1489">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14:paraId="60E38CB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578EA"/>
    <w:rsid w:val="0460370D"/>
    <w:rsid w:val="04DE21B6"/>
    <w:rsid w:val="0D632F5A"/>
    <w:rsid w:val="12605970"/>
    <w:rsid w:val="18216B7B"/>
    <w:rsid w:val="192B1173"/>
    <w:rsid w:val="20541126"/>
    <w:rsid w:val="23203542"/>
    <w:rsid w:val="28A864B3"/>
    <w:rsid w:val="2CBD2091"/>
    <w:rsid w:val="30B67293"/>
    <w:rsid w:val="322272D6"/>
    <w:rsid w:val="33296443"/>
    <w:rsid w:val="34F92C96"/>
    <w:rsid w:val="380D00E1"/>
    <w:rsid w:val="3BAE3989"/>
    <w:rsid w:val="4622744D"/>
    <w:rsid w:val="4BBC79FC"/>
    <w:rsid w:val="4E1F4272"/>
    <w:rsid w:val="50630D8E"/>
    <w:rsid w:val="51C8534D"/>
    <w:rsid w:val="5E2751A9"/>
    <w:rsid w:val="62944DD7"/>
    <w:rsid w:val="729D3834"/>
    <w:rsid w:val="74962C31"/>
    <w:rsid w:val="758C1355"/>
    <w:rsid w:val="7AC8166A"/>
    <w:rsid w:val="7D935F5F"/>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pBdr>
        <w:top w:val="none" w:color="FFFFFF" w:sz="0" w:space="31"/>
        <w:left w:val="none" w:color="FFFFFF" w:sz="0" w:space="31"/>
        <w:bottom w:val="none" w:color="FFFFFF" w:sz="0" w:space="31"/>
        <w:right w:val="none" w:color="FFFFFF" w:sz="0" w:space="31"/>
      </w:pBdr>
      <w:spacing w:before="260" w:after="260" w:line="416" w:lineRule="auto"/>
      <w:outlineLvl w:val="2"/>
    </w:pPr>
    <w:rPr>
      <w:rFonts w:ascii="Calibri" w:hAnsi="Calibri" w:cs="Calibri"/>
      <w:b/>
      <w:bCs/>
      <w:color w:val="000000"/>
      <w:sz w:val="32"/>
      <w:szCs w:val="32"/>
      <w:u w:color="00000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6">
    <w:name w:val="无"/>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816</Words>
  <Characters>847</Characters>
  <Lines>0</Lines>
  <Paragraphs>0</Paragraphs>
  <TotalTime>61</TotalTime>
  <ScaleCrop>false</ScaleCrop>
  <LinksUpToDate>false</LinksUpToDate>
  <CharactersWithSpaces>860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2025-04-25T01:31:00Z</dcterms:created>
  <dc:creator>孙超</dc:creator>
  <cp:lastModifiedBy>孙超</cp:lastModifiedBy>
  <dcterms:modified xsi:type="dcterms:W3CDTF">2026-04-27T07:10:45Z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eyJoZGlkIjoiN2YzNjBkOTgyNWQ1YTMxYzM3MzMwNWFiODNmOWIzYWMiLCJ1c2VySWQiOiIxNDY5OTc4MDIzIn0=</vt:lpwstr>
  </property>
  <property fmtid="{D5CDD505-2E9C-101B-9397-08002B2CF9AE}" pid="4" name="ICV">
    <vt:lpwstr>BD1654FCEEED4236BFDFCF592F979C0E_13</vt:lpwstr>
  </property>
</Properties>
</file>