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99D94">
      <w:pPr>
        <w:pStyle w:val="3"/>
        <w:keepNext w:val="0"/>
        <w:keepLines w:val="0"/>
        <w:pageBreakBefore w:val="0"/>
        <w:widowControl w:val="0"/>
        <w:numPr>
          <w:ilvl w:val="0"/>
          <w:numId w:val="0"/>
        </w:numPr>
        <w:tabs>
          <w:tab w:val="clear" w:pos="1440"/>
          <w:tab w:val="clear" w:pos="5670"/>
        </w:tabs>
        <w:kinsoku/>
        <w:wordWrap w:val="0"/>
        <w:overflowPunct/>
        <w:topLinePunct w:val="0"/>
        <w:bidi w:val="0"/>
        <w:jc w:val="center"/>
        <w:rPr>
          <w:rFonts w:hint="eastAsia" w:ascii="Arial" w:hAnsi="Arial"/>
          <w:color w:val="auto"/>
          <w:kern w:val="2"/>
          <w:sz w:val="32"/>
          <w:szCs w:val="32"/>
          <w:highlight w:val="none"/>
          <w:lang w:val="en-US" w:eastAsia="zh-CN"/>
        </w:rPr>
      </w:pPr>
      <w:bookmarkStart w:id="0" w:name="_Toc30324"/>
      <w:r>
        <w:rPr>
          <w:rFonts w:hint="eastAsia" w:ascii="Arial" w:hAnsi="Arial"/>
          <w:color w:val="auto"/>
          <w:kern w:val="2"/>
          <w:sz w:val="32"/>
          <w:szCs w:val="32"/>
          <w:highlight w:val="none"/>
          <w:lang w:val="en-US" w:eastAsia="zh-CN"/>
        </w:rPr>
        <w:t>采购需求</w:t>
      </w:r>
      <w:bookmarkEnd w:id="0"/>
    </w:p>
    <w:p w14:paraId="4DBAA11C">
      <w:pPr>
        <w:keepNext w:val="0"/>
        <w:keepLines w:val="0"/>
        <w:pageBreakBefore w:val="0"/>
        <w:widowControl w:val="0"/>
        <w:kinsoku/>
        <w:wordWrap w:val="0"/>
        <w:overflowPunct/>
        <w:topLinePunct w:val="0"/>
        <w:autoSpaceDE/>
        <w:autoSpaceDN/>
        <w:bidi w:val="0"/>
        <w:adjustRightInd/>
        <w:snapToGrid/>
        <w:spacing w:line="440" w:lineRule="exact"/>
        <w:ind w:firstLine="405"/>
        <w:jc w:val="left"/>
        <w:textAlignment w:val="auto"/>
        <w:rPr>
          <w:rFonts w:ascii="宋体" w:hAnsi="宋体"/>
          <w:b/>
          <w:bCs/>
          <w:color w:val="auto"/>
          <w:szCs w:val="21"/>
          <w:highlight w:val="none"/>
        </w:rPr>
      </w:pPr>
      <w:r>
        <w:rPr>
          <w:rFonts w:hint="eastAsia" w:ascii="宋体" w:hAnsi="宋体"/>
          <w:b/>
          <w:bCs/>
          <w:color w:val="auto"/>
          <w:szCs w:val="21"/>
          <w:highlight w:val="none"/>
        </w:rPr>
        <w:t>1、在采购活动开始前没有获准采购进口产品而开展采购活动的，视同为拒绝采购进口产品。</w:t>
      </w:r>
    </w:p>
    <w:p w14:paraId="32CD2C7C">
      <w:pPr>
        <w:keepNext w:val="0"/>
        <w:keepLines w:val="0"/>
        <w:pageBreakBefore w:val="0"/>
        <w:widowControl w:val="0"/>
        <w:kinsoku/>
        <w:wordWrap w:val="0"/>
        <w:overflowPunct/>
        <w:topLinePunct w:val="0"/>
        <w:autoSpaceDE/>
        <w:autoSpaceDN/>
        <w:bidi w:val="0"/>
        <w:adjustRightInd/>
        <w:snapToGrid/>
        <w:spacing w:line="440" w:lineRule="exact"/>
        <w:ind w:firstLine="405"/>
        <w:jc w:val="left"/>
        <w:textAlignment w:val="auto"/>
        <w:rPr>
          <w:rFonts w:ascii="宋体" w:hAnsi="宋体"/>
          <w:b/>
          <w:bCs/>
          <w:color w:val="auto"/>
          <w:szCs w:val="21"/>
          <w:highlight w:val="none"/>
        </w:rPr>
      </w:pPr>
      <w:r>
        <w:rPr>
          <w:rFonts w:hint="eastAsia" w:ascii="宋体" w:hAnsi="宋体"/>
          <w:b/>
          <w:bCs/>
          <w:color w:val="auto"/>
          <w:szCs w:val="21"/>
          <w:highlight w:val="none"/>
        </w:rPr>
        <w:t>2、根据“关于印发《政府采购进口产品管理办法》的通知”的相关规定：下列采购需求中标注进口产品的货物均已履行相关论证手续，经核准采购进口产品，但不限制满足</w:t>
      </w:r>
      <w:r>
        <w:rPr>
          <w:rFonts w:hint="eastAsia" w:ascii="宋体" w:hAnsi="宋体"/>
          <w:b/>
          <w:bCs/>
          <w:color w:val="auto"/>
          <w:szCs w:val="21"/>
          <w:highlight w:val="none"/>
          <w:lang w:val="en-US" w:eastAsia="zh-CN"/>
        </w:rPr>
        <w:t>竞争性</w:t>
      </w:r>
      <w:r>
        <w:rPr>
          <w:rFonts w:hint="eastAsia" w:ascii="宋体" w:hAnsi="宋体"/>
          <w:b/>
          <w:bCs/>
          <w:color w:val="auto"/>
          <w:szCs w:val="21"/>
          <w:highlight w:val="none"/>
          <w:lang w:eastAsia="zh-CN"/>
        </w:rPr>
        <w:t>谈判文件</w:t>
      </w:r>
      <w:r>
        <w:rPr>
          <w:rFonts w:hint="eastAsia" w:ascii="宋体" w:hAnsi="宋体"/>
          <w:b/>
          <w:bCs/>
          <w:color w:val="auto"/>
          <w:szCs w:val="21"/>
          <w:highlight w:val="none"/>
        </w:rPr>
        <w:t>要求的国内产品参与竞争。未标注进口产品的货物均为拒绝采购进口产品。</w:t>
      </w:r>
    </w:p>
    <w:p w14:paraId="26576F5A">
      <w:pPr>
        <w:keepNext w:val="0"/>
        <w:keepLines w:val="0"/>
        <w:pageBreakBefore w:val="0"/>
        <w:widowControl w:val="0"/>
        <w:kinsoku/>
        <w:wordWrap w:val="0"/>
        <w:overflowPunct/>
        <w:topLinePunct w:val="0"/>
        <w:autoSpaceDE/>
        <w:autoSpaceDN/>
        <w:bidi w:val="0"/>
        <w:adjustRightInd/>
        <w:snapToGrid/>
        <w:spacing w:line="440" w:lineRule="exact"/>
        <w:ind w:firstLine="405"/>
        <w:jc w:val="left"/>
        <w:textAlignment w:val="auto"/>
        <w:rPr>
          <w:rFonts w:hint="eastAsia" w:ascii="宋体" w:hAnsi="宋体"/>
          <w:b/>
          <w:bCs/>
          <w:color w:val="auto"/>
          <w:szCs w:val="21"/>
          <w:highlight w:val="none"/>
        </w:rPr>
      </w:pPr>
      <w:r>
        <w:rPr>
          <w:rFonts w:hint="eastAsia" w:ascii="宋体" w:hAnsi="宋体"/>
          <w:b/>
          <w:bCs/>
          <w:color w:val="auto"/>
          <w:szCs w:val="21"/>
          <w:highlight w:val="none"/>
        </w:rPr>
        <w:t>3、</w:t>
      </w:r>
      <w:r>
        <w:rPr>
          <w:rFonts w:hint="eastAsia" w:ascii="宋体" w:hAnsi="宋体"/>
          <w:b/>
          <w:bCs/>
          <w:color w:val="auto"/>
          <w:szCs w:val="21"/>
          <w:highlight w:val="none"/>
          <w:lang w:val="en-US" w:eastAsia="zh-CN"/>
        </w:rPr>
        <w:t>成交</w:t>
      </w:r>
      <w:r>
        <w:rPr>
          <w:rFonts w:hint="eastAsia" w:ascii="宋体" w:hAnsi="宋体"/>
          <w:b/>
          <w:bCs/>
          <w:color w:val="auto"/>
          <w:szCs w:val="21"/>
          <w:highlight w:val="none"/>
        </w:rPr>
        <w:t>人提供的货物为进口产品的，供货时须向采购人提供所投进口产品的海关报关单等证明材料。</w:t>
      </w:r>
    </w:p>
    <w:p w14:paraId="0222F68A">
      <w:pPr>
        <w:keepNext w:val="0"/>
        <w:keepLines w:val="0"/>
        <w:pageBreakBefore w:val="0"/>
        <w:widowControl w:val="0"/>
        <w:kinsoku/>
        <w:wordWrap w:val="0"/>
        <w:overflowPunct/>
        <w:topLinePunct w:val="0"/>
        <w:autoSpaceDE/>
        <w:autoSpaceDN/>
        <w:bidi w:val="0"/>
        <w:adjustRightInd/>
        <w:snapToGrid/>
        <w:spacing w:line="440" w:lineRule="exact"/>
        <w:ind w:firstLine="405"/>
        <w:jc w:val="left"/>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4、</w:t>
      </w:r>
      <w:r>
        <w:rPr>
          <w:rFonts w:hint="eastAsia" w:ascii="宋体" w:hAnsi="宋体"/>
          <w:b/>
          <w:bCs/>
          <w:color w:val="auto"/>
          <w:szCs w:val="21"/>
          <w:highlight w:val="none"/>
        </w:rPr>
        <w:t>下列采购需求中：如属于《节能产品政府采购品目清单》中政府强制采购的节能产品，则</w:t>
      </w:r>
      <w:r>
        <w:rPr>
          <w:rFonts w:hint="eastAsia" w:ascii="宋体" w:hAnsi="宋体"/>
          <w:b/>
          <w:bCs/>
          <w:color w:val="auto"/>
          <w:szCs w:val="21"/>
          <w:highlight w:val="none"/>
          <w:lang w:eastAsia="zh-CN"/>
        </w:rPr>
        <w:t>响应人</w:t>
      </w:r>
      <w:r>
        <w:rPr>
          <w:rFonts w:hint="eastAsia" w:ascii="宋体" w:hAnsi="宋体"/>
          <w:b/>
          <w:bCs/>
          <w:color w:val="auto"/>
          <w:szCs w:val="21"/>
          <w:highlight w:val="none"/>
        </w:rPr>
        <w:t>所投产品须具有市场监管总局公布的《参与实施政府采购节能产品认证机构目录》中的认证机构出具的、处于有效期内的节能产品认证证书。</w:t>
      </w:r>
    </w:p>
    <w:p w14:paraId="5F045DC8">
      <w:pPr>
        <w:keepNext w:val="0"/>
        <w:keepLines w:val="0"/>
        <w:pageBreakBefore w:val="0"/>
        <w:widowControl w:val="0"/>
        <w:kinsoku/>
        <w:wordWrap w:val="0"/>
        <w:overflowPunct/>
        <w:topLinePunct w:val="0"/>
        <w:bidi w:val="0"/>
        <w:spacing w:line="360" w:lineRule="auto"/>
        <w:ind w:firstLine="482" w:firstLineChars="200"/>
        <w:rPr>
          <w:rFonts w:ascii="宋体" w:hAnsi="宋体" w:cs="宋体"/>
          <w:sz w:val="24"/>
          <w:szCs w:val="24"/>
          <w:highlight w:val="none"/>
        </w:rPr>
      </w:pPr>
      <w:r>
        <w:rPr>
          <w:rFonts w:hint="eastAsia" w:ascii="宋体" w:hAnsi="宋体" w:cs="宋体"/>
          <w:b/>
          <w:bCs/>
          <w:sz w:val="24"/>
          <w:szCs w:val="24"/>
          <w:highlight w:val="none"/>
        </w:rPr>
        <w:t>一、商务要求：</w:t>
      </w:r>
    </w:p>
    <w:tbl>
      <w:tblPr>
        <w:tblStyle w:val="10"/>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846"/>
        <w:gridCol w:w="6154"/>
      </w:tblGrid>
      <w:tr w14:paraId="297B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60" w:type="dxa"/>
            <w:vAlign w:val="center"/>
          </w:tcPr>
          <w:p w14:paraId="0D4E1509">
            <w:pPr>
              <w:pStyle w:val="7"/>
              <w:keepNext w:val="0"/>
              <w:keepLines w:val="0"/>
              <w:pageBreakBefore w:val="0"/>
              <w:widowControl w:val="0"/>
              <w:kinsoku/>
              <w:wordWrap w:val="0"/>
              <w:overflowPunct/>
              <w:topLinePunct w:val="0"/>
              <w:bidi w:val="0"/>
              <w:spacing w:line="360" w:lineRule="auto"/>
              <w:jc w:val="center"/>
              <w:rPr>
                <w:rFonts w:hAnsi="宋体" w:cs="宋体"/>
                <w:b/>
                <w:sz w:val="24"/>
                <w:szCs w:val="24"/>
                <w:highlight w:val="none"/>
              </w:rPr>
            </w:pPr>
            <w:r>
              <w:rPr>
                <w:rFonts w:hint="eastAsia" w:hAnsi="宋体" w:cs="宋体"/>
                <w:b/>
                <w:sz w:val="24"/>
                <w:szCs w:val="24"/>
                <w:highlight w:val="none"/>
              </w:rPr>
              <w:t>序号</w:t>
            </w:r>
          </w:p>
        </w:tc>
        <w:tc>
          <w:tcPr>
            <w:tcW w:w="2846" w:type="dxa"/>
            <w:vAlign w:val="center"/>
          </w:tcPr>
          <w:p w14:paraId="5FF35A77">
            <w:pPr>
              <w:pStyle w:val="7"/>
              <w:keepNext w:val="0"/>
              <w:keepLines w:val="0"/>
              <w:pageBreakBefore w:val="0"/>
              <w:widowControl w:val="0"/>
              <w:kinsoku/>
              <w:wordWrap w:val="0"/>
              <w:overflowPunct/>
              <w:topLinePunct w:val="0"/>
              <w:bidi w:val="0"/>
              <w:spacing w:line="360" w:lineRule="auto"/>
              <w:jc w:val="center"/>
              <w:rPr>
                <w:rFonts w:hAnsi="宋体" w:cs="宋体"/>
                <w:sz w:val="24"/>
                <w:szCs w:val="24"/>
                <w:highlight w:val="none"/>
              </w:rPr>
            </w:pPr>
            <w:r>
              <w:rPr>
                <w:rFonts w:hint="eastAsia" w:hAnsi="宋体" w:cs="宋体"/>
                <w:b/>
                <w:bCs/>
                <w:sz w:val="24"/>
                <w:szCs w:val="24"/>
                <w:highlight w:val="none"/>
              </w:rPr>
              <w:t>条款名称</w:t>
            </w:r>
          </w:p>
        </w:tc>
        <w:tc>
          <w:tcPr>
            <w:tcW w:w="6154" w:type="dxa"/>
            <w:vAlign w:val="center"/>
          </w:tcPr>
          <w:p w14:paraId="0C1BB27A">
            <w:pPr>
              <w:pStyle w:val="7"/>
              <w:keepNext w:val="0"/>
              <w:keepLines w:val="0"/>
              <w:pageBreakBefore w:val="0"/>
              <w:widowControl w:val="0"/>
              <w:kinsoku/>
              <w:wordWrap w:val="0"/>
              <w:overflowPunct/>
              <w:topLinePunct w:val="0"/>
              <w:bidi w:val="0"/>
              <w:spacing w:line="360" w:lineRule="auto"/>
              <w:jc w:val="center"/>
              <w:rPr>
                <w:rFonts w:hAnsi="宋体" w:cs="宋体"/>
                <w:b/>
                <w:sz w:val="24"/>
                <w:szCs w:val="24"/>
                <w:highlight w:val="none"/>
              </w:rPr>
            </w:pPr>
            <w:r>
              <w:rPr>
                <w:rFonts w:hint="eastAsia" w:hAnsi="宋体" w:cs="宋体"/>
                <w:b/>
                <w:sz w:val="24"/>
                <w:szCs w:val="24"/>
                <w:highlight w:val="none"/>
              </w:rPr>
              <w:t>具体要求内容</w:t>
            </w:r>
          </w:p>
        </w:tc>
      </w:tr>
      <w:tr w14:paraId="00E8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60" w:type="dxa"/>
            <w:vAlign w:val="center"/>
          </w:tcPr>
          <w:p w14:paraId="05028649">
            <w:pPr>
              <w:keepNext w:val="0"/>
              <w:keepLines w:val="0"/>
              <w:pageBreakBefore w:val="0"/>
              <w:widowControl w:val="0"/>
              <w:kinsoku/>
              <w:wordWrap w:val="0"/>
              <w:overflowPunct/>
              <w:topLinePunct w:val="0"/>
              <w:bidi w:val="0"/>
              <w:spacing w:line="360" w:lineRule="auto"/>
              <w:jc w:val="center"/>
              <w:rPr>
                <w:rFonts w:ascii="宋体" w:hAnsi="宋体" w:cs="宋体"/>
                <w:sz w:val="24"/>
                <w:szCs w:val="24"/>
                <w:highlight w:val="none"/>
              </w:rPr>
            </w:pPr>
            <w:r>
              <w:rPr>
                <w:rFonts w:hint="eastAsia" w:ascii="宋体" w:hAnsi="宋体" w:cs="宋体"/>
                <w:sz w:val="24"/>
                <w:szCs w:val="24"/>
                <w:highlight w:val="none"/>
              </w:rPr>
              <w:t>1</w:t>
            </w:r>
          </w:p>
        </w:tc>
        <w:tc>
          <w:tcPr>
            <w:tcW w:w="2846" w:type="dxa"/>
            <w:vAlign w:val="center"/>
          </w:tcPr>
          <w:p w14:paraId="6DC7AD1F">
            <w:pPr>
              <w:keepNext w:val="0"/>
              <w:keepLines w:val="0"/>
              <w:pageBreakBefore w:val="0"/>
              <w:widowControl w:val="0"/>
              <w:kinsoku/>
              <w:wordWrap w:val="0"/>
              <w:overflowPunct/>
              <w:topLinePunct w:val="0"/>
              <w:bidi w:val="0"/>
              <w:spacing w:line="360" w:lineRule="auto"/>
              <w:jc w:val="center"/>
              <w:rPr>
                <w:rFonts w:ascii="宋体" w:hAnsi="宋体" w:cs="宋体"/>
                <w:sz w:val="24"/>
                <w:szCs w:val="24"/>
                <w:highlight w:val="none"/>
              </w:rPr>
            </w:pPr>
            <w:r>
              <w:rPr>
                <w:rFonts w:hint="eastAsia" w:ascii="宋体" w:hAnsi="宋体" w:cs="宋体"/>
                <w:sz w:val="24"/>
                <w:szCs w:val="24"/>
                <w:highlight w:val="none"/>
              </w:rPr>
              <w:t>付款方式</w:t>
            </w:r>
          </w:p>
        </w:tc>
        <w:tc>
          <w:tcPr>
            <w:tcW w:w="6154" w:type="dxa"/>
            <w:vAlign w:val="center"/>
          </w:tcPr>
          <w:p w14:paraId="27D16365">
            <w:pPr>
              <w:keepNext w:val="0"/>
              <w:keepLines w:val="0"/>
              <w:pageBreakBefore w:val="0"/>
              <w:widowControl w:val="0"/>
              <w:kinsoku/>
              <w:wordWrap w:val="0"/>
              <w:overflowPunct/>
              <w:topLinePunct w:val="0"/>
              <w:bidi w:val="0"/>
              <w:spacing w:line="360" w:lineRule="auto"/>
              <w:jc w:val="center"/>
              <w:rPr>
                <w:rFonts w:ascii="宋体" w:hAnsi="宋体" w:cs="宋体"/>
                <w:sz w:val="24"/>
                <w:szCs w:val="24"/>
                <w:highlight w:val="none"/>
              </w:rPr>
            </w:pPr>
            <w:r>
              <w:rPr>
                <w:rFonts w:hint="eastAsia" w:ascii="宋体" w:hAnsi="宋体" w:cs="宋体"/>
                <w:sz w:val="24"/>
                <w:szCs w:val="24"/>
                <w:highlight w:val="none"/>
                <w:lang w:val="en-US" w:eastAsia="zh-CN"/>
              </w:rPr>
              <w:t>设备验收合格后一次性付清。</w:t>
            </w:r>
          </w:p>
        </w:tc>
      </w:tr>
      <w:tr w14:paraId="0264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60" w:type="dxa"/>
            <w:vAlign w:val="center"/>
          </w:tcPr>
          <w:p w14:paraId="7483C575">
            <w:pPr>
              <w:keepNext w:val="0"/>
              <w:keepLines w:val="0"/>
              <w:pageBreakBefore w:val="0"/>
              <w:widowControl w:val="0"/>
              <w:kinsoku/>
              <w:wordWrap w:val="0"/>
              <w:overflowPunct/>
              <w:topLinePunct w:val="0"/>
              <w:bidi w:val="0"/>
              <w:spacing w:line="360" w:lineRule="auto"/>
              <w:jc w:val="center"/>
              <w:rPr>
                <w:rFonts w:ascii="宋体" w:hAnsi="宋体" w:cs="宋体"/>
                <w:sz w:val="24"/>
                <w:szCs w:val="24"/>
                <w:highlight w:val="none"/>
              </w:rPr>
            </w:pPr>
            <w:r>
              <w:rPr>
                <w:rFonts w:hint="eastAsia" w:ascii="宋体" w:hAnsi="宋体" w:cs="宋体"/>
                <w:sz w:val="24"/>
                <w:szCs w:val="24"/>
                <w:highlight w:val="none"/>
              </w:rPr>
              <w:t>2</w:t>
            </w:r>
          </w:p>
        </w:tc>
        <w:tc>
          <w:tcPr>
            <w:tcW w:w="2846" w:type="dxa"/>
            <w:vAlign w:val="center"/>
          </w:tcPr>
          <w:p w14:paraId="33029837">
            <w:pPr>
              <w:keepNext w:val="0"/>
              <w:keepLines w:val="0"/>
              <w:pageBreakBefore w:val="0"/>
              <w:widowControl w:val="0"/>
              <w:kinsoku/>
              <w:wordWrap w:val="0"/>
              <w:overflowPunct/>
              <w:topLinePunct w:val="0"/>
              <w:bidi w:val="0"/>
              <w:spacing w:line="360" w:lineRule="auto"/>
              <w:jc w:val="center"/>
              <w:rPr>
                <w:rFonts w:ascii="宋体" w:hAnsi="宋体" w:cs="宋体"/>
                <w:sz w:val="24"/>
                <w:szCs w:val="24"/>
                <w:highlight w:val="none"/>
              </w:rPr>
            </w:pPr>
            <w:r>
              <w:rPr>
                <w:rFonts w:hint="eastAsia" w:ascii="宋体" w:hAnsi="宋体" w:cs="宋体"/>
                <w:sz w:val="24"/>
                <w:szCs w:val="24"/>
                <w:highlight w:val="none"/>
              </w:rPr>
              <w:t>交货地点</w:t>
            </w:r>
          </w:p>
        </w:tc>
        <w:tc>
          <w:tcPr>
            <w:tcW w:w="6154" w:type="dxa"/>
            <w:vAlign w:val="center"/>
          </w:tcPr>
          <w:p w14:paraId="44281910">
            <w:pPr>
              <w:keepNext w:val="0"/>
              <w:keepLines w:val="0"/>
              <w:pageBreakBefore w:val="0"/>
              <w:widowControl w:val="0"/>
              <w:kinsoku/>
              <w:wordWrap w:val="0"/>
              <w:overflowPunct/>
              <w:topLinePunct w:val="0"/>
              <w:bidi w:val="0"/>
              <w:jc w:val="center"/>
              <w:rPr>
                <w:rFonts w:hint="eastAsia" w:ascii="宋体" w:hAnsi="宋体" w:eastAsia="宋体"/>
                <w:sz w:val="24"/>
                <w:highlight w:val="none"/>
                <w:lang w:eastAsia="zh-CN"/>
              </w:rPr>
            </w:pPr>
            <w:r>
              <w:rPr>
                <w:rFonts w:hint="eastAsia" w:ascii="宋体" w:hAnsi="宋体" w:eastAsia="宋体"/>
                <w:sz w:val="24"/>
                <w:highlight w:val="none"/>
                <w:lang w:eastAsia="zh-CN"/>
              </w:rPr>
              <w:t>采购人指定地点</w:t>
            </w:r>
          </w:p>
        </w:tc>
      </w:tr>
      <w:tr w14:paraId="7AEB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960" w:type="dxa"/>
            <w:vAlign w:val="center"/>
          </w:tcPr>
          <w:p w14:paraId="5F8B979E">
            <w:pPr>
              <w:keepNext w:val="0"/>
              <w:keepLines w:val="0"/>
              <w:pageBreakBefore w:val="0"/>
              <w:widowControl w:val="0"/>
              <w:kinsoku/>
              <w:wordWrap w:val="0"/>
              <w:overflowPunct/>
              <w:topLinePunct w:val="0"/>
              <w:bidi w:val="0"/>
              <w:spacing w:line="360" w:lineRule="auto"/>
              <w:jc w:val="center"/>
              <w:rPr>
                <w:rFonts w:ascii="宋体" w:hAnsi="宋体" w:cs="宋体"/>
                <w:sz w:val="24"/>
                <w:szCs w:val="24"/>
                <w:highlight w:val="none"/>
              </w:rPr>
            </w:pPr>
            <w:r>
              <w:rPr>
                <w:rFonts w:hint="eastAsia" w:ascii="宋体" w:hAnsi="宋体" w:cs="宋体"/>
                <w:sz w:val="24"/>
                <w:szCs w:val="24"/>
                <w:highlight w:val="none"/>
              </w:rPr>
              <w:t>3</w:t>
            </w:r>
          </w:p>
        </w:tc>
        <w:tc>
          <w:tcPr>
            <w:tcW w:w="2846" w:type="dxa"/>
            <w:vAlign w:val="center"/>
          </w:tcPr>
          <w:p w14:paraId="5A43A396">
            <w:pPr>
              <w:keepNext w:val="0"/>
              <w:keepLines w:val="0"/>
              <w:pageBreakBefore w:val="0"/>
              <w:widowControl w:val="0"/>
              <w:kinsoku/>
              <w:wordWrap w:val="0"/>
              <w:overflowPunct/>
              <w:topLinePunct w:val="0"/>
              <w:bidi w:val="0"/>
              <w:spacing w:line="360" w:lineRule="auto"/>
              <w:jc w:val="center"/>
              <w:rPr>
                <w:rFonts w:ascii="宋体" w:hAnsi="宋体" w:cs="宋体"/>
                <w:sz w:val="24"/>
                <w:szCs w:val="24"/>
                <w:highlight w:val="none"/>
              </w:rPr>
            </w:pPr>
            <w:r>
              <w:rPr>
                <w:rFonts w:hint="eastAsia" w:ascii="宋体" w:hAnsi="宋体"/>
                <w:sz w:val="24"/>
                <w:szCs w:val="24"/>
                <w:highlight w:val="none"/>
              </w:rPr>
              <w:t>交货期</w:t>
            </w:r>
          </w:p>
        </w:tc>
        <w:tc>
          <w:tcPr>
            <w:tcW w:w="6154" w:type="dxa"/>
            <w:vAlign w:val="center"/>
          </w:tcPr>
          <w:p w14:paraId="7F7B449C">
            <w:pPr>
              <w:keepNext w:val="0"/>
              <w:keepLines w:val="0"/>
              <w:pageBreakBefore w:val="0"/>
              <w:widowControl w:val="0"/>
              <w:kinsoku/>
              <w:wordWrap w:val="0"/>
              <w:overflowPunct/>
              <w:topLinePunct w:val="0"/>
              <w:bidi w:val="0"/>
              <w:jc w:val="center"/>
              <w:rPr>
                <w:rFonts w:hint="eastAsia" w:ascii="宋体" w:hAnsi="宋体" w:eastAsia="宋体"/>
                <w:sz w:val="24"/>
                <w:highlight w:val="none"/>
              </w:rPr>
            </w:pPr>
            <w:r>
              <w:rPr>
                <w:rFonts w:hint="eastAsia" w:ascii="宋体" w:hAnsi="宋体" w:eastAsia="宋体"/>
                <w:sz w:val="24"/>
                <w:highlight w:val="none"/>
              </w:rPr>
              <w:t>自合同签订之日起7日历天内完成供货、安装、调试</w:t>
            </w:r>
          </w:p>
        </w:tc>
      </w:tr>
      <w:tr w14:paraId="29DF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60" w:type="dxa"/>
            <w:vAlign w:val="center"/>
          </w:tcPr>
          <w:p w14:paraId="7042CCBA">
            <w:pPr>
              <w:keepNext w:val="0"/>
              <w:keepLines w:val="0"/>
              <w:pageBreakBefore w:val="0"/>
              <w:widowControl w:val="0"/>
              <w:kinsoku/>
              <w:wordWrap w:val="0"/>
              <w:overflowPunct/>
              <w:topLinePunct w:val="0"/>
              <w:bidi w:val="0"/>
              <w:jc w:val="center"/>
              <w:rPr>
                <w:rFonts w:ascii="宋体" w:hAnsi="宋体" w:eastAsia="宋体"/>
                <w:sz w:val="24"/>
                <w:highlight w:val="none"/>
              </w:rPr>
            </w:pPr>
            <w:r>
              <w:rPr>
                <w:rFonts w:hint="eastAsia" w:ascii="宋体" w:hAnsi="宋体" w:eastAsia="宋体"/>
                <w:sz w:val="24"/>
                <w:highlight w:val="none"/>
              </w:rPr>
              <w:t>4</w:t>
            </w:r>
          </w:p>
        </w:tc>
        <w:tc>
          <w:tcPr>
            <w:tcW w:w="2846" w:type="dxa"/>
            <w:vAlign w:val="center"/>
          </w:tcPr>
          <w:p w14:paraId="4976DD08">
            <w:pPr>
              <w:keepNext w:val="0"/>
              <w:keepLines w:val="0"/>
              <w:pageBreakBefore w:val="0"/>
              <w:widowControl w:val="0"/>
              <w:kinsoku/>
              <w:wordWrap w:val="0"/>
              <w:overflowPunct/>
              <w:topLinePunct w:val="0"/>
              <w:bidi w:val="0"/>
              <w:jc w:val="center"/>
              <w:rPr>
                <w:rFonts w:ascii="宋体" w:hAnsi="宋体"/>
                <w:sz w:val="24"/>
                <w:highlight w:val="none"/>
              </w:rPr>
            </w:pPr>
            <w:r>
              <w:rPr>
                <w:rFonts w:hint="eastAsia" w:ascii="宋体" w:hAnsi="宋体"/>
                <w:sz w:val="24"/>
                <w:highlight w:val="none"/>
              </w:rPr>
              <w:t>免费质保期</w:t>
            </w:r>
          </w:p>
        </w:tc>
        <w:tc>
          <w:tcPr>
            <w:tcW w:w="6154" w:type="dxa"/>
            <w:vAlign w:val="center"/>
          </w:tcPr>
          <w:p w14:paraId="42496404">
            <w:pPr>
              <w:keepNext w:val="0"/>
              <w:keepLines w:val="0"/>
              <w:pageBreakBefore w:val="0"/>
              <w:widowControl w:val="0"/>
              <w:kinsoku/>
              <w:wordWrap w:val="0"/>
              <w:overflowPunct/>
              <w:topLinePunct w:val="0"/>
              <w:bidi w:val="0"/>
              <w:jc w:val="center"/>
              <w:rPr>
                <w:rFonts w:ascii="宋体" w:hAnsi="宋体" w:eastAsia="宋体"/>
                <w:sz w:val="24"/>
                <w:highlight w:val="none"/>
              </w:rPr>
            </w:pPr>
            <w:r>
              <w:rPr>
                <w:rFonts w:hint="eastAsia" w:ascii="宋体" w:hAnsi="宋体" w:eastAsia="宋体"/>
                <w:sz w:val="24"/>
                <w:highlight w:val="none"/>
              </w:rPr>
              <w:t>所有货物自验收合格之日起免费质保</w:t>
            </w:r>
            <w:r>
              <w:rPr>
                <w:rFonts w:hint="eastAsia" w:ascii="宋体" w:hAnsi="宋体"/>
                <w:sz w:val="24"/>
                <w:highlight w:val="cyan"/>
                <w:lang w:eastAsia="zh-CN"/>
              </w:rPr>
              <w:t>五</w:t>
            </w:r>
            <w:r>
              <w:rPr>
                <w:rFonts w:hint="eastAsia" w:ascii="宋体" w:hAnsi="宋体" w:eastAsia="宋体"/>
                <w:sz w:val="24"/>
                <w:highlight w:val="none"/>
              </w:rPr>
              <w:t>年且不低于原厂质保期</w:t>
            </w:r>
          </w:p>
        </w:tc>
      </w:tr>
      <w:tr w14:paraId="786C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60" w:type="dxa"/>
            <w:vAlign w:val="center"/>
          </w:tcPr>
          <w:p w14:paraId="45B0A192">
            <w:pPr>
              <w:keepNext w:val="0"/>
              <w:keepLines w:val="0"/>
              <w:pageBreakBefore w:val="0"/>
              <w:widowControl w:val="0"/>
              <w:kinsoku/>
              <w:wordWrap w:val="0"/>
              <w:overflowPunct/>
              <w:topLinePunct w:val="0"/>
              <w:bidi w:val="0"/>
              <w:jc w:val="center"/>
              <w:rPr>
                <w:rFonts w:ascii="宋体" w:hAnsi="宋体" w:eastAsia="宋体"/>
                <w:sz w:val="24"/>
                <w:highlight w:val="none"/>
              </w:rPr>
            </w:pPr>
            <w:r>
              <w:rPr>
                <w:rFonts w:hint="eastAsia" w:ascii="宋体" w:hAnsi="宋体" w:eastAsia="宋体"/>
                <w:sz w:val="24"/>
                <w:highlight w:val="none"/>
              </w:rPr>
              <w:t>5</w:t>
            </w:r>
          </w:p>
        </w:tc>
        <w:tc>
          <w:tcPr>
            <w:tcW w:w="2846" w:type="dxa"/>
            <w:vAlign w:val="center"/>
          </w:tcPr>
          <w:p w14:paraId="678D711C">
            <w:pPr>
              <w:keepNext w:val="0"/>
              <w:keepLines w:val="0"/>
              <w:pageBreakBefore w:val="0"/>
              <w:widowControl w:val="0"/>
              <w:kinsoku/>
              <w:wordWrap w:val="0"/>
              <w:overflowPunct/>
              <w:topLinePunct w:val="0"/>
              <w:bidi w:val="0"/>
              <w:jc w:val="center"/>
              <w:rPr>
                <w:rFonts w:ascii="宋体" w:hAnsi="宋体"/>
                <w:sz w:val="24"/>
                <w:highlight w:val="none"/>
              </w:rPr>
            </w:pPr>
            <w:r>
              <w:rPr>
                <w:rFonts w:hint="eastAsia" w:ascii="宋体" w:hAnsi="宋体"/>
                <w:sz w:val="24"/>
                <w:highlight w:val="none"/>
              </w:rPr>
              <w:t>商品包装要求</w:t>
            </w:r>
          </w:p>
        </w:tc>
        <w:tc>
          <w:tcPr>
            <w:tcW w:w="6154" w:type="dxa"/>
            <w:vAlign w:val="center"/>
          </w:tcPr>
          <w:p w14:paraId="6A5EA526">
            <w:pPr>
              <w:keepNext w:val="0"/>
              <w:keepLines w:val="0"/>
              <w:pageBreakBefore w:val="0"/>
              <w:widowControl w:val="0"/>
              <w:kinsoku/>
              <w:wordWrap w:val="0"/>
              <w:overflowPunct/>
              <w:topLinePunct w:val="0"/>
              <w:bidi w:val="0"/>
              <w:jc w:val="center"/>
              <w:rPr>
                <w:rFonts w:ascii="宋体" w:hAnsi="宋体" w:eastAsia="宋体"/>
                <w:sz w:val="24"/>
                <w:highlight w:val="none"/>
              </w:rPr>
            </w:pPr>
            <w:r>
              <w:rPr>
                <w:rFonts w:ascii="sans-serif" w:hAnsi="sans-serif" w:eastAsia="sans-serif" w:cs="sans-serif"/>
                <w:sz w:val="24"/>
                <w:szCs w:val="24"/>
                <w:highlight w:val="none"/>
              </w:rPr>
              <w:t>除另有约定外</w:t>
            </w:r>
            <w:r>
              <w:rPr>
                <w:rFonts w:hint="eastAsia" w:ascii="sans-serif" w:hAnsi="sans-serif" w:cs="sans-serif"/>
                <w:sz w:val="24"/>
                <w:szCs w:val="24"/>
                <w:highlight w:val="none"/>
              </w:rPr>
              <w:t>，</w:t>
            </w:r>
            <w:r>
              <w:rPr>
                <w:rFonts w:ascii="sans-serif" w:hAnsi="sans-serif" w:eastAsia="sans-serif" w:cs="sans-serif"/>
                <w:sz w:val="24"/>
                <w:szCs w:val="24"/>
                <w:highlight w:val="none"/>
              </w:rPr>
              <w:t>供应商交付全部货物的包装要求严格按照国家强制标准执行。</w:t>
            </w:r>
          </w:p>
        </w:tc>
      </w:tr>
    </w:tbl>
    <w:p w14:paraId="6E1EDAAC">
      <w:pPr>
        <w:keepNext w:val="0"/>
        <w:keepLines w:val="0"/>
        <w:pageBreakBefore w:val="0"/>
        <w:widowControl w:val="0"/>
        <w:numPr>
          <w:ilvl w:val="0"/>
          <w:numId w:val="0"/>
        </w:numPr>
        <w:kinsoku/>
        <w:wordWrap w:val="0"/>
        <w:overflowPunct/>
        <w:topLinePunct w:val="0"/>
        <w:bidi w:val="0"/>
        <w:adjustRightInd/>
        <w:snapToGrid/>
        <w:spacing w:line="360" w:lineRule="auto"/>
        <w:ind w:firstLine="482" w:firstLineChars="200"/>
        <w:textAlignment w:val="auto"/>
        <w:rPr>
          <w:rFonts w:hint="eastAsia"/>
          <w:b/>
          <w:bCs/>
          <w:highlight w:val="none"/>
        </w:rPr>
      </w:pPr>
      <w:r>
        <w:rPr>
          <w:rFonts w:hint="eastAsia" w:cs="宋体"/>
          <w:b/>
          <w:bCs/>
          <w:sz w:val="24"/>
          <w:szCs w:val="24"/>
          <w:highlight w:val="none"/>
        </w:rPr>
        <w:t>二、技术要求一览表</w:t>
      </w:r>
    </w:p>
    <w:tbl>
      <w:tblPr>
        <w:tblStyle w:val="10"/>
        <w:tblW w:w="9944" w:type="dxa"/>
        <w:jc w:val="center"/>
        <w:tblLayout w:type="fixed"/>
        <w:tblCellMar>
          <w:top w:w="0" w:type="dxa"/>
          <w:left w:w="108" w:type="dxa"/>
          <w:bottom w:w="0" w:type="dxa"/>
          <w:right w:w="108" w:type="dxa"/>
        </w:tblCellMar>
      </w:tblPr>
      <w:tblGrid>
        <w:gridCol w:w="470"/>
        <w:gridCol w:w="1252"/>
        <w:gridCol w:w="6751"/>
        <w:gridCol w:w="658"/>
        <w:gridCol w:w="806"/>
        <w:gridCol w:w="7"/>
      </w:tblGrid>
      <w:tr w14:paraId="77AAC8DB">
        <w:tblPrEx>
          <w:tblCellMar>
            <w:top w:w="0" w:type="dxa"/>
            <w:left w:w="108" w:type="dxa"/>
            <w:bottom w:w="0" w:type="dxa"/>
            <w:right w:w="108" w:type="dxa"/>
          </w:tblCellMar>
        </w:tblPrEx>
        <w:trPr>
          <w:gridAfter w:val="1"/>
          <w:wAfter w:w="7" w:type="dxa"/>
          <w:trHeight w:val="684"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14:paraId="1E0B8B2B">
            <w:pPr>
              <w:keepNext w:val="0"/>
              <w:keepLines w:val="0"/>
              <w:widowControl/>
              <w:suppressLineNumbers w:val="0"/>
              <w:jc w:val="center"/>
              <w:textAlignment w:val="center"/>
              <w:rPr>
                <w:rFonts w:ascii="宋体" w:hAnsi="宋体" w:cs="宋体"/>
                <w:b/>
                <w:bCs/>
                <w:color w:val="auto"/>
                <w:szCs w:val="21"/>
                <w:highlight w:val="none"/>
              </w:rPr>
            </w:pPr>
            <w:r>
              <w:rPr>
                <w:rFonts w:hint="eastAsia" w:ascii="宋体" w:hAnsi="宋体" w:eastAsia="宋体" w:cs="宋体"/>
                <w:b/>
                <w:bCs/>
                <w:i w:val="0"/>
                <w:iCs w:val="0"/>
                <w:color w:val="000000"/>
                <w:kern w:val="0"/>
                <w:sz w:val="24"/>
                <w:szCs w:val="24"/>
                <w:highlight w:val="none"/>
                <w:u w:val="none"/>
                <w:lang w:val="en-US" w:eastAsia="zh-CN"/>
              </w:rPr>
              <w:t>序号</w:t>
            </w:r>
          </w:p>
        </w:tc>
        <w:tc>
          <w:tcPr>
            <w:tcW w:w="1252" w:type="dxa"/>
            <w:tcBorders>
              <w:top w:val="single" w:color="000000" w:sz="4" w:space="0"/>
              <w:left w:val="single" w:color="000000" w:sz="4" w:space="0"/>
              <w:bottom w:val="single" w:color="000000" w:sz="4" w:space="0"/>
              <w:right w:val="single" w:color="000000" w:sz="4" w:space="0"/>
            </w:tcBorders>
            <w:noWrap/>
            <w:vAlign w:val="center"/>
          </w:tcPr>
          <w:p w14:paraId="69B2213D">
            <w:pPr>
              <w:keepNext w:val="0"/>
              <w:keepLines w:val="0"/>
              <w:widowControl/>
              <w:suppressLineNumbers w:val="0"/>
              <w:jc w:val="center"/>
              <w:textAlignment w:val="center"/>
              <w:rPr>
                <w:rFonts w:ascii="宋体" w:hAnsi="宋体" w:cs="宋体"/>
                <w:b/>
                <w:bCs/>
                <w:color w:val="auto"/>
                <w:szCs w:val="21"/>
                <w:highlight w:val="none"/>
              </w:rPr>
            </w:pPr>
            <w:r>
              <w:rPr>
                <w:rFonts w:hint="eastAsia" w:ascii="宋体" w:hAnsi="宋体" w:eastAsia="宋体" w:cs="宋体"/>
                <w:b/>
                <w:bCs/>
                <w:i w:val="0"/>
                <w:iCs w:val="0"/>
                <w:color w:val="000000"/>
                <w:kern w:val="0"/>
                <w:sz w:val="24"/>
                <w:szCs w:val="24"/>
                <w:highlight w:val="none"/>
                <w:u w:val="none"/>
                <w:lang w:val="en-US" w:eastAsia="zh-CN"/>
              </w:rPr>
              <w:t>货物名称</w:t>
            </w:r>
          </w:p>
        </w:tc>
        <w:tc>
          <w:tcPr>
            <w:tcW w:w="6751" w:type="dxa"/>
            <w:tcBorders>
              <w:top w:val="single" w:color="000000" w:sz="4" w:space="0"/>
              <w:left w:val="single" w:color="000000" w:sz="4" w:space="0"/>
              <w:bottom w:val="single" w:color="000000" w:sz="4" w:space="0"/>
              <w:right w:val="single" w:color="000000" w:sz="4" w:space="0"/>
            </w:tcBorders>
            <w:noWrap/>
            <w:vAlign w:val="center"/>
          </w:tcPr>
          <w:p w14:paraId="2F4BB478">
            <w:pPr>
              <w:keepNext w:val="0"/>
              <w:keepLines w:val="0"/>
              <w:widowControl/>
              <w:suppressLineNumbers w:val="0"/>
              <w:jc w:val="center"/>
              <w:textAlignment w:val="center"/>
              <w:rPr>
                <w:rFonts w:ascii="宋体" w:hAnsi="宋体" w:cs="宋体"/>
                <w:b/>
                <w:bCs/>
                <w:color w:val="auto"/>
                <w:szCs w:val="21"/>
                <w:highlight w:val="none"/>
              </w:rPr>
            </w:pPr>
            <w:r>
              <w:rPr>
                <w:rFonts w:hint="eastAsia" w:ascii="宋体" w:hAnsi="宋体" w:eastAsia="宋体" w:cs="宋体"/>
                <w:b/>
                <w:bCs/>
                <w:i w:val="0"/>
                <w:iCs w:val="0"/>
                <w:color w:val="000000"/>
                <w:kern w:val="0"/>
                <w:sz w:val="24"/>
                <w:szCs w:val="24"/>
                <w:highlight w:val="none"/>
                <w:u w:val="none"/>
                <w:lang w:val="en-US" w:eastAsia="zh-CN"/>
              </w:rPr>
              <w:t>技术参数要求</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7C33BC89">
            <w:pPr>
              <w:keepNext w:val="0"/>
              <w:keepLines w:val="0"/>
              <w:widowControl/>
              <w:suppressLineNumbers w:val="0"/>
              <w:jc w:val="center"/>
              <w:textAlignment w:val="center"/>
              <w:rPr>
                <w:rFonts w:ascii="宋体" w:hAnsi="宋体" w:cs="宋体"/>
                <w:b/>
                <w:bCs/>
                <w:color w:val="auto"/>
                <w:szCs w:val="21"/>
                <w:highlight w:val="none"/>
              </w:rPr>
            </w:pPr>
            <w:r>
              <w:rPr>
                <w:rFonts w:hint="eastAsia" w:ascii="宋体" w:hAnsi="宋体" w:eastAsia="宋体" w:cs="宋体"/>
                <w:b/>
                <w:bCs/>
                <w:i w:val="0"/>
                <w:iCs w:val="0"/>
                <w:color w:val="000000"/>
                <w:kern w:val="0"/>
                <w:sz w:val="24"/>
                <w:szCs w:val="24"/>
                <w:highlight w:val="none"/>
                <w:u w:val="none"/>
                <w:lang w:val="en-US" w:eastAsia="zh-CN"/>
              </w:rPr>
              <w:t>单位</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7EE9B88">
            <w:pPr>
              <w:keepNext w:val="0"/>
              <w:keepLines w:val="0"/>
              <w:widowControl/>
              <w:suppressLineNumbers w:val="0"/>
              <w:jc w:val="center"/>
              <w:textAlignment w:val="center"/>
              <w:rPr>
                <w:rFonts w:ascii="宋体" w:hAnsi="宋体" w:cs="宋体"/>
                <w:b/>
                <w:bCs/>
                <w:color w:val="auto"/>
                <w:szCs w:val="21"/>
                <w:highlight w:val="none"/>
              </w:rPr>
            </w:pPr>
            <w:r>
              <w:rPr>
                <w:rFonts w:hint="eastAsia" w:ascii="宋体" w:hAnsi="宋体" w:eastAsia="宋体" w:cs="宋体"/>
                <w:b/>
                <w:bCs/>
                <w:i w:val="0"/>
                <w:iCs w:val="0"/>
                <w:color w:val="000000"/>
                <w:kern w:val="0"/>
                <w:sz w:val="24"/>
                <w:szCs w:val="24"/>
                <w:highlight w:val="none"/>
                <w:u w:val="none"/>
                <w:lang w:val="en-US" w:eastAsia="zh-CN"/>
              </w:rPr>
              <w:t>数量</w:t>
            </w:r>
          </w:p>
        </w:tc>
      </w:tr>
      <w:tr w14:paraId="25D31044">
        <w:tblPrEx>
          <w:tblCellMar>
            <w:top w:w="0" w:type="dxa"/>
            <w:left w:w="108" w:type="dxa"/>
            <w:bottom w:w="0" w:type="dxa"/>
            <w:right w:w="108" w:type="dxa"/>
          </w:tblCellMar>
        </w:tblPrEx>
        <w:trPr>
          <w:gridAfter w:val="1"/>
          <w:wAfter w:w="7" w:type="dxa"/>
          <w:trHeight w:val="684"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14:paraId="58D33577">
            <w:pPr>
              <w:jc w:val="center"/>
              <w:rPr>
                <w:rFonts w:hint="eastAsia" w:ascii="宋体" w:hAnsi="宋体" w:eastAsia="宋体" w:cs="宋体"/>
                <w:b/>
                <w:bCs/>
                <w:color w:val="auto"/>
                <w:sz w:val="22"/>
                <w:szCs w:val="22"/>
                <w:highlight w:val="none"/>
              </w:rPr>
            </w:pPr>
            <w:r>
              <w:rPr>
                <w:rFonts w:hint="eastAsia"/>
              </w:rPr>
              <w:t>1</w:t>
            </w:r>
          </w:p>
        </w:tc>
        <w:tc>
          <w:tcPr>
            <w:tcW w:w="1252" w:type="dxa"/>
            <w:tcBorders>
              <w:top w:val="single" w:color="000000" w:sz="4" w:space="0"/>
              <w:left w:val="single" w:color="000000" w:sz="4" w:space="0"/>
              <w:bottom w:val="single" w:color="000000" w:sz="4" w:space="0"/>
              <w:right w:val="single" w:color="000000" w:sz="4" w:space="0"/>
            </w:tcBorders>
            <w:noWrap/>
            <w:vAlign w:val="center"/>
          </w:tcPr>
          <w:p w14:paraId="20E58AE8">
            <w:pPr>
              <w:jc w:val="center"/>
              <w:rPr>
                <w:rFonts w:hint="eastAsia" w:ascii="宋体" w:hAnsi="宋体" w:eastAsia="宋体" w:cs="宋体"/>
                <w:b/>
                <w:bCs/>
                <w:color w:val="auto"/>
                <w:sz w:val="22"/>
                <w:szCs w:val="22"/>
                <w:highlight w:val="none"/>
              </w:rPr>
            </w:pPr>
            <w:r>
              <w:rPr>
                <w:rFonts w:hint="eastAsia"/>
              </w:rPr>
              <w:t>智慧教学终端</w:t>
            </w:r>
          </w:p>
        </w:tc>
        <w:tc>
          <w:tcPr>
            <w:tcW w:w="6751" w:type="dxa"/>
            <w:tcBorders>
              <w:top w:val="single" w:color="000000" w:sz="4" w:space="0"/>
              <w:left w:val="single" w:color="000000" w:sz="4" w:space="0"/>
              <w:bottom w:val="single" w:color="000000" w:sz="4" w:space="0"/>
              <w:right w:val="single" w:color="000000" w:sz="4" w:space="0"/>
            </w:tcBorders>
            <w:noWrap/>
            <w:vAlign w:val="center"/>
          </w:tcPr>
          <w:p w14:paraId="4C0BE717">
            <w:r>
              <w:rPr>
                <w:rFonts w:hint="eastAsia"/>
              </w:rPr>
              <w:t>一、硬件配置</w:t>
            </w:r>
          </w:p>
          <w:p w14:paraId="7CD0AB3D">
            <w:r>
              <w:rPr>
                <w:rFonts w:hint="eastAsia"/>
              </w:rPr>
              <w:t>1.液晶屏显示尺寸 ≥86 英寸 ，物理分辨率：≥3840*2160（像素），在最高分辨率下屏幕刷新率可达60Hz。</w:t>
            </w:r>
          </w:p>
          <w:p w14:paraId="61DD1BA2">
            <w:r>
              <w:rPr>
                <w:rFonts w:hint="eastAsia"/>
              </w:rPr>
              <w:t>2.整机外观尺寸：宽度≥4200mm，高度≥1200mm，厚度≤</w:t>
            </w:r>
            <w:r>
              <w:t>120</w:t>
            </w:r>
            <w:r>
              <w:rPr>
                <w:rFonts w:hint="eastAsia"/>
              </w:rPr>
              <w:t>mm；整机两侧副屏支持无尘粉笔、普通粉笔、液体粉笔等进行板书书写。</w:t>
            </w:r>
          </w:p>
          <w:p w14:paraId="51D0EBA8">
            <w:r>
              <w:rPr>
                <w:rFonts w:hint="eastAsia"/>
              </w:rPr>
              <w:t>3.整机需采用全金属外壳，铝合金边框，金属材质背板，屏幕边缘采用圆角包边防护，表面无尖锐边缘设计，对内部电路器件辐射有一定的屏蔽作用。</w:t>
            </w:r>
          </w:p>
          <w:p w14:paraId="3ECEB645">
            <w:r>
              <w:rPr>
                <w:rFonts w:hint="eastAsia"/>
              </w:rPr>
              <w:t>4.整机需采用内置摄像头、麦克风，无需外接线材连接和任何可见外接线材及模块化拼接痕迹，不占用整机外部设备接口。</w:t>
            </w:r>
          </w:p>
          <w:p w14:paraId="4709CC93">
            <w:r>
              <w:rPr>
                <w:rFonts w:hint="eastAsia"/>
              </w:rPr>
              <w:t>5.整机具备≥5个前置物理快捷按键，通过前置物理按键实现开关、音量调节、关闭窗口、菜单自定义等功能。</w:t>
            </w:r>
          </w:p>
          <w:p w14:paraId="3860D775">
            <w:r>
              <w:rPr>
                <w:rFonts w:hint="eastAsia"/>
              </w:rPr>
              <w:t>6.整机接口至少包含2路HDMI、1路VGA、2路USB、1路RJ45、1路TOUCH  USB(触控输出接口)、1路Audio in、1路Audio out。整机前置接口至少包括</w:t>
            </w:r>
            <w:r>
              <w:t>2</w:t>
            </w:r>
            <w:r>
              <w:rPr>
                <w:rFonts w:hint="eastAsia"/>
              </w:rPr>
              <w:t>路USB（其中USB</w:t>
            </w:r>
            <w:r>
              <w:t>3.1</w:t>
            </w:r>
            <w:r>
              <w:rPr>
                <w:rFonts w:hint="eastAsia"/>
              </w:rPr>
              <w:t>以上接口至少1个）；。</w:t>
            </w:r>
          </w:p>
          <w:p w14:paraId="293DFC0A">
            <w:pPr>
              <w:rPr>
                <w:rFonts w:hint="eastAsia"/>
              </w:rPr>
            </w:pPr>
            <w:r>
              <w:rPr>
                <w:rFonts w:hint="eastAsia"/>
                <w:lang w:val="en-US" w:eastAsia="zh-CN"/>
              </w:rPr>
              <w:t>7</w:t>
            </w:r>
            <w:r>
              <w:rPr>
                <w:rFonts w:hint="eastAsia"/>
              </w:rPr>
              <w:t>、★整机内置2.2声道扬声器，位于设备上边框，顶置朝前发声，前朝向10W高音扬声器2个，上朝向20W中低音扬声器2个，总功率60W；（提供第三方检测机构出具的检测报告复印件）</w:t>
            </w:r>
          </w:p>
          <w:p w14:paraId="09B839BA">
            <w:pPr>
              <w:rPr>
                <w:rFonts w:hint="eastAsia"/>
              </w:rPr>
            </w:pPr>
            <w:r>
              <w:rPr>
                <w:rFonts w:hint="eastAsia"/>
                <w:lang w:val="en-US" w:eastAsia="zh-CN"/>
              </w:rPr>
              <w:t>8</w:t>
            </w:r>
            <w:r>
              <w:rPr>
                <w:rFonts w:hint="eastAsia"/>
              </w:rPr>
              <w:t>、智慧黑板自带嵌入式系统，版本不低于13.0，RAM不小于2G，ROM不小于8G；</w:t>
            </w:r>
          </w:p>
          <w:p w14:paraId="2C231C1B">
            <w:pPr>
              <w:rPr>
                <w:rFonts w:hint="eastAsia"/>
              </w:rPr>
            </w:pPr>
            <w:r>
              <w:rPr>
                <w:rFonts w:hint="eastAsia"/>
                <w:lang w:val="en-US" w:eastAsia="zh-CN"/>
              </w:rPr>
              <w:t>9</w:t>
            </w:r>
            <w:r>
              <w:rPr>
                <w:rFonts w:hint="eastAsia"/>
              </w:rPr>
              <w:t>、电源键具备多合一功能，可实现显示器电源开关、电脑开关、辅助电脑系统还原、节能息屏等操作；</w:t>
            </w:r>
          </w:p>
          <w:p w14:paraId="39A6C613">
            <w:pPr>
              <w:rPr>
                <w:rFonts w:hint="eastAsia"/>
              </w:rPr>
            </w:pPr>
            <w:r>
              <w:rPr>
                <w:rFonts w:hint="eastAsia"/>
                <w:lang w:val="en-US" w:eastAsia="zh-CN"/>
              </w:rPr>
              <w:t>10</w:t>
            </w:r>
            <w:r>
              <w:rPr>
                <w:rFonts w:hint="eastAsia"/>
              </w:rPr>
              <w:t>、★整机系统支持手势上滑调出人工智能画质调节模式（AI-PQ），在安卓通道下可根据屏幕内容自动调节画质参数，当屏幕出现人物、建筑、夜景等元素时，自动调整对比度、饱和度、锐利度、色调色相值、高光/阴影。（提供第三方检测机构出具的检测报告复印件）</w:t>
            </w:r>
          </w:p>
          <w:p w14:paraId="65D22914">
            <w:pPr>
              <w:rPr>
                <w:rFonts w:hint="eastAsia"/>
              </w:rPr>
            </w:pPr>
            <w:r>
              <w:rPr>
                <w:rFonts w:hint="eastAsia"/>
                <w:lang w:val="en-US" w:eastAsia="zh-CN"/>
              </w:rPr>
              <w:t>11</w:t>
            </w:r>
            <w:r>
              <w:rPr>
                <w:rFonts w:hint="eastAsia"/>
              </w:rPr>
              <w:t>、内置Wi-Fi6无线网卡，在Android、Windows、市场常规系统下，可实现Wi-Fi无线上网连接、AP无线热点发射，在Android、Windows支持多个无线设备同时连接数量；</w:t>
            </w:r>
          </w:p>
          <w:p w14:paraId="36BF777B">
            <w:pPr>
              <w:rPr>
                <w:rFonts w:hint="eastAsia"/>
              </w:rPr>
            </w:pPr>
            <w:r>
              <w:rPr>
                <w:rFonts w:hint="eastAsia"/>
                <w:lang w:val="en-US" w:eastAsia="zh-CN"/>
              </w:rPr>
              <w:t>12</w:t>
            </w:r>
            <w:r>
              <w:rPr>
                <w:rFonts w:hint="eastAsia"/>
              </w:rPr>
              <w:t>、内置蓝牙5.4模块，工作距离≥12米，在Windows系统下，交互设备可通过蓝牙模块与蓝牙音箱连接，播放交互设备音频，同时支持与具有蓝牙功能的手机连接，进行文件传输；</w:t>
            </w:r>
          </w:p>
          <w:p w14:paraId="391E03B0">
            <w:pPr>
              <w:rPr>
                <w:rFonts w:hint="eastAsia"/>
              </w:rPr>
            </w:pPr>
            <w:r>
              <w:rPr>
                <w:rFonts w:hint="eastAsia"/>
                <w:lang w:val="en-US" w:eastAsia="zh-CN"/>
              </w:rPr>
              <w:t>13</w:t>
            </w:r>
            <w:r>
              <w:rPr>
                <w:rFonts w:hint="eastAsia"/>
              </w:rPr>
              <w:t>、整机视网膜蓝光危害（蓝光加权辐射亮度LB）满足IEC TR 62778:2014蓝光危害RG0级别。</w:t>
            </w:r>
          </w:p>
          <w:p w14:paraId="52FD8255">
            <w:pPr>
              <w:rPr>
                <w:rFonts w:hint="eastAsia"/>
              </w:rPr>
            </w:pPr>
            <w:r>
              <w:rPr>
                <w:rFonts w:hint="eastAsia"/>
                <w:lang w:val="en-US" w:eastAsia="zh-CN"/>
              </w:rPr>
              <w:t>14</w:t>
            </w:r>
            <w:r>
              <w:rPr>
                <w:rFonts w:hint="eastAsia"/>
              </w:rPr>
              <w:t>、整机上边框内置非独立摄像头，可拍摄≥1300万像素数的照片，可拍摄输出4K分辨率的视频，内置非独立的高清摄像头，可用于远程巡课。</w:t>
            </w:r>
          </w:p>
          <w:p w14:paraId="54BDB8F8">
            <w:pPr>
              <w:rPr>
                <w:rFonts w:hint="eastAsia"/>
              </w:rPr>
            </w:pPr>
            <w:r>
              <w:rPr>
                <w:rFonts w:hint="eastAsia"/>
                <w:lang w:val="en-US" w:eastAsia="zh-CN"/>
              </w:rPr>
              <w:t>15</w:t>
            </w:r>
            <w:r>
              <w:rPr>
                <w:rFonts w:hint="eastAsia"/>
              </w:rPr>
              <w:t>、★整机支持通过扬声器发出频率为18kHz-22kHz超声波信号，智能手机通过麦克风接收后，智能手机与整机无需在同一局域网内，可实现配对，一键投屏，用户无需手动输入投屏码或扫码获取投屏码；（提供第三方检测机构出具的检测报告复印件）</w:t>
            </w:r>
          </w:p>
          <w:p w14:paraId="2A689A5B">
            <w:pPr>
              <w:rPr>
                <w:rFonts w:hint="eastAsia"/>
              </w:rPr>
            </w:pPr>
            <w:r>
              <w:rPr>
                <w:rFonts w:hint="eastAsia"/>
              </w:rPr>
              <w:t>1</w:t>
            </w:r>
            <w:r>
              <w:rPr>
                <w:rFonts w:hint="eastAsia"/>
                <w:lang w:val="en-US" w:eastAsia="zh-CN"/>
              </w:rPr>
              <w:t>6</w:t>
            </w:r>
            <w:r>
              <w:rPr>
                <w:rFonts w:hint="eastAsia"/>
              </w:rPr>
              <w:t>、支持声音模式调节，可根据不同使用场景将声音模式支持标准、多媒体和节能三种图像模式调节；</w:t>
            </w:r>
          </w:p>
          <w:p w14:paraId="07F41865">
            <w:pPr>
              <w:rPr>
                <w:rFonts w:hint="eastAsia"/>
              </w:rPr>
            </w:pPr>
            <w:r>
              <w:rPr>
                <w:rFonts w:hint="eastAsia"/>
                <w:lang w:val="en-US" w:eastAsia="zh-CN"/>
              </w:rPr>
              <w:t>二</w:t>
            </w:r>
            <w:r>
              <w:rPr>
                <w:rFonts w:hint="eastAsia"/>
              </w:rPr>
              <w:t>、应用性功能要求</w:t>
            </w:r>
          </w:p>
          <w:p w14:paraId="1E12C8D5">
            <w:pPr>
              <w:rPr>
                <w:rFonts w:hint="eastAsia"/>
              </w:rPr>
            </w:pPr>
            <w:r>
              <w:rPr>
                <w:rFonts w:hint="eastAsia"/>
              </w:rPr>
              <w:t>1、整机内置全通道侧边栏快捷菜单，小工具、应用软件、快捷设置、亮度/音量调节、教室物联入口。</w:t>
            </w:r>
          </w:p>
          <w:p w14:paraId="60FC84A9">
            <w:pPr>
              <w:rPr>
                <w:rFonts w:hint="eastAsia"/>
              </w:rPr>
            </w:pPr>
            <w:r>
              <w:rPr>
                <w:rFonts w:hint="eastAsia"/>
              </w:rPr>
              <w:t>2、整机全通道侧边栏支持展示学校名称、设备班级、场地信息。</w:t>
            </w:r>
          </w:p>
          <w:p w14:paraId="30718D8F">
            <w:pPr>
              <w:rPr>
                <w:rFonts w:hint="eastAsia"/>
              </w:rPr>
            </w:pPr>
            <w:r>
              <w:rPr>
                <w:rFonts w:hint="eastAsia"/>
              </w:rPr>
              <w:t>3、整机全通道侧边栏快捷菜单包含如下小工具：批注、降半屏、截屏、放大镜、倒计时、日历、聚光灯、秒表、冻屏、倒数日、答题、节拍器。</w:t>
            </w:r>
          </w:p>
          <w:p w14:paraId="24E49874">
            <w:pPr>
              <w:rPr>
                <w:rFonts w:hint="eastAsia"/>
              </w:rPr>
            </w:pPr>
            <w:r>
              <w:rPr>
                <w:rFonts w:hint="eastAsia"/>
              </w:rPr>
              <w:t>4、整机全通道侧边栏快捷菜单小工具支持自定义，支持设置对应小工具的显示/隐藏。</w:t>
            </w:r>
          </w:p>
          <w:p w14:paraId="242041B9">
            <w:pPr>
              <w:rPr>
                <w:rFonts w:hint="eastAsia"/>
              </w:rPr>
            </w:pPr>
            <w:r>
              <w:rPr>
                <w:rFonts w:hint="eastAsia"/>
              </w:rPr>
              <w:t>5、★整机全通道侧边栏支持使用批注小工具进行批注讲解，可切换书写笔颜色、截屏保存批注内容、清屏，可根据手与屏幕的接触面积自动调整板擦工具的大小。（提供第三方检测机构出具的检测报告复印件）</w:t>
            </w:r>
          </w:p>
          <w:p w14:paraId="527DFE49">
            <w:pPr>
              <w:rPr>
                <w:rFonts w:hint="eastAsia"/>
              </w:rPr>
            </w:pPr>
            <w:r>
              <w:rPr>
                <w:rFonts w:hint="eastAsia"/>
              </w:rPr>
              <w:t>6、整机全通道侧边栏支持将设备屏幕降低为半屏幕状态，点击上半屏幕可以返回全屏状态。</w:t>
            </w:r>
          </w:p>
          <w:p w14:paraId="72CE28A8">
            <w:pPr>
              <w:rPr>
                <w:rFonts w:hint="eastAsia"/>
              </w:rPr>
            </w:pPr>
            <w:r>
              <w:rPr>
                <w:rFonts w:hint="eastAsia"/>
              </w:rPr>
              <w:t>7、整机全通道侧边栏支持自行选择所需截取屏幕范围，点击截屏可成功截取屏幕，并自动保存。</w:t>
            </w:r>
          </w:p>
          <w:p w14:paraId="43EE8E8C">
            <w:pPr>
              <w:rPr>
                <w:rFonts w:hint="eastAsia"/>
              </w:rPr>
            </w:pPr>
            <w:r>
              <w:rPr>
                <w:rFonts w:hint="eastAsia"/>
              </w:rPr>
              <w:t>8、整机全通道侧边栏支持放大选中区域内容，并可支持对未选中区域关灯处理，实现聚光灯效果。</w:t>
            </w:r>
          </w:p>
          <w:p w14:paraId="0CA7F821">
            <w:r>
              <w:rPr>
                <w:rFonts w:hint="eastAsia"/>
                <w:lang w:val="en-US" w:eastAsia="zh-CN"/>
              </w:rPr>
              <w:t>四</w:t>
            </w:r>
            <w:r>
              <w:rPr>
                <w:rFonts w:hint="eastAsia"/>
              </w:rPr>
              <w:t>、OPS电脑</w:t>
            </w:r>
          </w:p>
          <w:p w14:paraId="035FBBAE">
            <w:pPr>
              <w:rPr>
                <w:rFonts w:hint="eastAsia"/>
              </w:rPr>
            </w:pPr>
            <w:r>
              <w:rPr>
                <w:rFonts w:hint="eastAsia"/>
              </w:rPr>
              <w:t>1、OPS内置电脑核心数≥8核，线程数≥12线程，主频≥2.0GHz，内存≥</w:t>
            </w:r>
            <w:r>
              <w:rPr>
                <w:rFonts w:hint="default"/>
                <w:lang w:val="en-US"/>
              </w:rPr>
              <w:t>16</w:t>
            </w:r>
            <w:r>
              <w:rPr>
                <w:rFonts w:hint="eastAsia"/>
              </w:rPr>
              <w:t>GB DDR4，硬盘≥</w:t>
            </w:r>
            <w:r>
              <w:rPr>
                <w:rFonts w:hint="eastAsia"/>
                <w:lang w:val="en-US" w:eastAsia="zh-CN"/>
              </w:rPr>
              <w:t>256</w:t>
            </w:r>
            <w:r>
              <w:rPr>
                <w:rFonts w:hint="eastAsia"/>
              </w:rPr>
              <w:t>GB SSD；</w:t>
            </w:r>
          </w:p>
          <w:p w14:paraId="58612564">
            <w:pPr>
              <w:rPr>
                <w:rFonts w:hint="eastAsia"/>
              </w:rPr>
            </w:pPr>
            <w:r>
              <w:rPr>
                <w:rFonts w:hint="eastAsia"/>
              </w:rPr>
              <w:t>2、电脑模块可抽拉式插入整机，实现无单独接线的插拔；</w:t>
            </w:r>
          </w:p>
          <w:p w14:paraId="27F2CC65">
            <w:pPr>
              <w:rPr>
                <w:rFonts w:hint="eastAsia"/>
              </w:rPr>
            </w:pPr>
            <w:r>
              <w:rPr>
                <w:rFonts w:hint="eastAsia"/>
              </w:rPr>
              <w:t>3、整机的连接采用万兆级接口，传输速率≥10Gbps；</w:t>
            </w:r>
          </w:p>
          <w:p w14:paraId="199940F4">
            <w:r>
              <w:rPr>
                <w:rFonts w:hint="eastAsia"/>
                <w:lang w:eastAsia="zh-CN"/>
              </w:rPr>
              <w:t>五</w:t>
            </w:r>
            <w:r>
              <w:rPr>
                <w:rFonts w:hint="eastAsia"/>
              </w:rPr>
              <w:t>、教学软件</w:t>
            </w:r>
          </w:p>
          <w:p w14:paraId="781EA478">
            <w:r>
              <w:rPr>
                <w:rFonts w:hint="eastAsia"/>
              </w:rPr>
              <w:t xml:space="preserve">1.支持老师个人账号注册登录使用，支持课件云存储，无需使用 U 盘等存储设备，老师只需联网登录即可获取云课件。 </w:t>
            </w:r>
          </w:p>
          <w:p w14:paraId="4F4E32D7">
            <w:r>
              <w:rPr>
                <w:rFonts w:hint="eastAsia"/>
              </w:rPr>
              <w:t xml:space="preserve">2.支持课件云同步，课件上的所有修改、操作均可实时同步至云端，无需单独保存上传，确保多终端调用同个课件均为最新版本。 </w:t>
            </w:r>
          </w:p>
          <w:p w14:paraId="576CC75C">
            <w:pPr>
              <w:rPr>
                <w:rFonts w:hint="eastAsia"/>
                <w:lang w:val="en-US" w:eastAsia="zh-CN"/>
              </w:rPr>
            </w:pPr>
            <w:r>
              <w:rPr>
                <w:rFonts w:hint="eastAsia"/>
                <w:lang w:val="en-US" w:eastAsia="zh-CN"/>
              </w:rPr>
              <w:t xml:space="preserve">3.支持用户在软件中打开 pptx 格式文件，且用户可在软件中自由编辑原文件中的图片、文字、表格等元素，并支持修改原文件中的动画。方便老师利用软件互动功能在原有 PPT 基础上修改课件。  </w:t>
            </w:r>
          </w:p>
          <w:p w14:paraId="546C1E4F">
            <w:pPr>
              <w:rPr>
                <w:rFonts w:hint="eastAsia"/>
                <w:lang w:val="en-US" w:eastAsia="zh-CN"/>
              </w:rPr>
            </w:pPr>
            <w:r>
              <w:rPr>
                <w:rFonts w:hint="eastAsia"/>
                <w:lang w:val="en-US" w:eastAsia="zh-CN"/>
              </w:rPr>
              <w:t xml:space="preserve">4.基础图形：支持直线、箭头、正方形、圆角四边形、平行四边形、圆形、 等腰三角形、直角三角形、菱形、梯形、五边形等基本图形绘制。 </w:t>
            </w:r>
          </w:p>
          <w:p w14:paraId="500A9D73">
            <w:pPr>
              <w:rPr>
                <w:rFonts w:hint="eastAsia"/>
                <w:lang w:val="en-US" w:eastAsia="zh-CN"/>
              </w:rPr>
            </w:pPr>
            <w:r>
              <w:rPr>
                <w:rFonts w:hint="eastAsia"/>
                <w:lang w:val="en-US" w:eastAsia="zh-CN"/>
              </w:rPr>
              <w:t xml:space="preserve">5.高级图形：支持对话框、五角星、大括号、旗子等特殊图形绘制，同时支持自定义绘制复杂的任意多边形及曲边图形。 </w:t>
            </w:r>
          </w:p>
          <w:p w14:paraId="7CF20497">
            <w:pPr>
              <w:rPr>
                <w:rFonts w:hint="eastAsia"/>
                <w:lang w:val="en-US" w:eastAsia="zh-CN"/>
              </w:rPr>
            </w:pPr>
            <w:r>
              <w:rPr>
                <w:rFonts w:hint="eastAsia"/>
                <w:lang w:val="en-US" w:eastAsia="zh-CN"/>
              </w:rPr>
              <w:t xml:space="preserve">6.图形编辑：支持对图形对象进行颜色、边框、阴影、倒影、透明度等属性设置。  </w:t>
            </w:r>
          </w:p>
          <w:p w14:paraId="3CA09B32">
            <w:pPr>
              <w:rPr>
                <w:rFonts w:hint="eastAsia"/>
                <w:lang w:val="en-US" w:eastAsia="zh-CN"/>
              </w:rPr>
            </w:pPr>
            <w:r>
              <w:rPr>
                <w:rFonts w:hint="eastAsia"/>
                <w:lang w:val="en-US" w:eastAsia="zh-CN"/>
              </w:rPr>
              <w:t xml:space="preserve">7.互动分类游戏：支持创建互动分类游戏，可自定义不同类别及相对应的对象，实现将不同对象拖拽到对应的类别容器中可自动辨识分类，分类正确或错误均有相应提示。类别和对象的样式、数量均可以自定义设置。系统需提供不少于 10 种游戏模板，直接选择并输入相应内容即可轻松生成互动分类游戏，提升课堂趣味性。 </w:t>
            </w:r>
          </w:p>
          <w:p w14:paraId="3DB114DE">
            <w:pPr>
              <w:rPr>
                <w:rFonts w:hint="eastAsia"/>
                <w:lang w:val="en-US" w:eastAsia="zh-CN"/>
              </w:rPr>
            </w:pPr>
            <w:r>
              <w:rPr>
                <w:rFonts w:hint="eastAsia"/>
                <w:lang w:val="en-US" w:eastAsia="zh-CN"/>
              </w:rPr>
              <w:t xml:space="preserve">8.智能选词填空：支持创建智能选词填空游戏，教师可随意编辑填空题题干以及相应的答案选项，将选项拖到对应题干空白处，系统将自动判别答案 是否正确。系统需提供不少于 9 种游戏模板供老师选择，且模板样式支持自定义修改。 </w:t>
            </w:r>
          </w:p>
          <w:p w14:paraId="55370193">
            <w:pPr>
              <w:rPr>
                <w:rFonts w:hint="eastAsia"/>
                <w:lang w:val="en-US" w:eastAsia="zh-CN"/>
              </w:rPr>
            </w:pPr>
            <w:r>
              <w:rPr>
                <w:rFonts w:hint="eastAsia"/>
                <w:lang w:val="en-US" w:eastAsia="zh-CN"/>
              </w:rPr>
              <w:t xml:space="preserve">9.分组竞争游戏：支持创建分组竞争游戏，教师可设置正确项／干扰项，让两组学生开展竞争游戏。系统提供不少于 3 种难度、10 种游戏模版选择， 且模版样式支持自定义修改。 </w:t>
            </w:r>
          </w:p>
          <w:p w14:paraId="1A803EEA">
            <w:pPr>
              <w:rPr>
                <w:rFonts w:hint="eastAsia"/>
                <w:lang w:val="en-US" w:eastAsia="zh-CN"/>
              </w:rPr>
            </w:pPr>
            <w:r>
              <w:rPr>
                <w:rFonts w:hint="eastAsia"/>
                <w:lang w:val="en-US" w:eastAsia="zh-CN"/>
              </w:rPr>
              <w:t xml:space="preserve">10.快捷抠图：无需借助专业图片处理软件，即可在白板软件中对导入的图片进行快捷抠图（去背景），处理后的图片主体边缘没有明显毛边，可导出保存成 PNG 格式。 </w:t>
            </w:r>
          </w:p>
          <w:p w14:paraId="36E3EAE9">
            <w:pPr>
              <w:rPr>
                <w:rFonts w:hint="eastAsia"/>
                <w:lang w:val="en-US" w:eastAsia="zh-CN"/>
              </w:rPr>
            </w:pPr>
            <w:r>
              <w:rPr>
                <w:rFonts w:hint="eastAsia"/>
                <w:lang w:val="en-US" w:eastAsia="zh-CN"/>
              </w:rPr>
              <w:t xml:space="preserve">11.提供覆盖小学、初中、高中的古诗词、古文资源，包含原文、翻译、背景介绍、作者介绍、朗诵音频等。 </w:t>
            </w:r>
          </w:p>
          <w:p w14:paraId="71D4BBA0">
            <w:pPr>
              <w:rPr>
                <w:rFonts w:hint="eastAsia"/>
                <w:lang w:val="en-US" w:eastAsia="zh-CN"/>
              </w:rPr>
            </w:pPr>
            <w:r>
              <w:rPr>
                <w:rFonts w:hint="eastAsia"/>
                <w:lang w:val="en-US" w:eastAsia="zh-CN"/>
              </w:rPr>
              <w:t xml:space="preserve">12.AI智能备课助手：可在备课场景中搜索课件库课件资源，具有不少于10万份课件资源，支持整份课件或按照课件页插入课件中。可按教学环节筛选对应课件页一键插入课件中，导入新课、作者简介。可按元素类型思维导图、课堂活动选取需要的部分补充课件缺失的部分。可在查看部分课件的同时查看对应整份课件，了解作者整体教学思路。                                         </w:t>
            </w:r>
          </w:p>
          <w:p w14:paraId="528AF7A5">
            <w:pPr>
              <w:rPr>
                <w:rFonts w:hint="eastAsia"/>
                <w:lang w:val="en-US" w:eastAsia="zh-CN"/>
              </w:rPr>
            </w:pPr>
            <w:r>
              <w:rPr>
                <w:rFonts w:hint="eastAsia"/>
                <w:lang w:val="en-US" w:eastAsia="zh-CN"/>
              </w:rPr>
              <w:t>13.★支持PPT原生解析，教师可将pptx格式的课件转化为互动教学课件。支持单份导入和批量文件夹导入两种导入方式。导入后保留PPT原文件中的文字、图片、表格对象及动画的可编辑性，并可为课件增加互动教学元素。（提供具有“CMA”或“CNAS”标识的第三方检测机构出具的检测报告扫描件）</w:t>
            </w:r>
          </w:p>
          <w:p w14:paraId="1E311D91">
            <w:pPr>
              <w:pStyle w:val="2"/>
              <w:rPr>
                <w:rFonts w:hint="eastAsia" w:eastAsia="楷体_GB2312"/>
                <w:lang w:val="en-US" w:eastAsia="zh-CN"/>
              </w:rPr>
            </w:pPr>
            <w:r>
              <w:rPr>
                <w:rFonts w:hint="eastAsia" w:asciiTheme="majorEastAsia" w:hAnsiTheme="majorEastAsia" w:eastAsiaTheme="majorEastAsia" w:cstheme="majorEastAsia"/>
                <w:sz w:val="21"/>
                <w:szCs w:val="21"/>
                <w:lang w:val="en-US" w:eastAsia="zh-CN"/>
              </w:rPr>
              <w:t>14.</w:t>
            </w:r>
            <w:r>
              <w:rPr>
                <w:rFonts w:hint="eastAsia"/>
                <w:lang w:val="en-US" w:eastAsia="zh-CN"/>
              </w:rPr>
              <w:t>★</w:t>
            </w:r>
            <w:r>
              <w:rPr>
                <w:rFonts w:hint="eastAsia" w:asciiTheme="majorEastAsia" w:hAnsiTheme="majorEastAsia" w:eastAsiaTheme="majorEastAsia" w:cstheme="majorEastAsia"/>
                <w:sz w:val="21"/>
                <w:szCs w:val="21"/>
                <w:lang w:val="en-US" w:eastAsia="zh-CN"/>
              </w:rPr>
              <w:t>所有软件必须是正版软件</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7BCFBE81">
            <w:pPr>
              <w:jc w:val="center"/>
              <w:rPr>
                <w:rFonts w:hint="default" w:ascii="宋体" w:hAnsi="宋体" w:eastAsia="宋体" w:cs="宋体"/>
                <w:b/>
                <w:bCs/>
                <w:color w:val="auto"/>
                <w:sz w:val="22"/>
                <w:szCs w:val="22"/>
                <w:highlight w:val="none"/>
                <w:lang w:val="en-US" w:eastAsia="zh-CN"/>
              </w:rPr>
            </w:pPr>
            <w:r>
              <w:rPr>
                <w:rFonts w:hint="eastAsia"/>
                <w:u w:color="000000"/>
                <w:lang w:val="en-US" w:eastAsia="zh-CN"/>
              </w:rPr>
              <w:t>2</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F115EB8">
            <w:pPr>
              <w:jc w:val="center"/>
              <w:rPr>
                <w:rFonts w:hint="eastAsia" w:ascii="宋体" w:hAnsi="宋体" w:eastAsia="宋体" w:cs="宋体"/>
                <w:b/>
                <w:bCs/>
                <w:color w:val="auto"/>
                <w:sz w:val="22"/>
                <w:szCs w:val="22"/>
                <w:highlight w:val="none"/>
              </w:rPr>
            </w:pPr>
            <w:r>
              <w:rPr>
                <w:rFonts w:hint="eastAsia"/>
                <w:u w:color="000000"/>
                <w:lang w:val="zh-TW" w:eastAsia="zh-TW"/>
              </w:rPr>
              <w:t>台</w:t>
            </w:r>
          </w:p>
        </w:tc>
      </w:tr>
      <w:tr w14:paraId="702A4BDF">
        <w:tblPrEx>
          <w:tblCellMar>
            <w:top w:w="0" w:type="dxa"/>
            <w:left w:w="108" w:type="dxa"/>
            <w:bottom w:w="0" w:type="dxa"/>
            <w:right w:w="108" w:type="dxa"/>
          </w:tblCellMar>
        </w:tblPrEx>
        <w:trPr>
          <w:gridAfter w:val="1"/>
          <w:wAfter w:w="7" w:type="dxa"/>
          <w:trHeight w:val="7835"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14:paraId="3527447E">
            <w:pPr>
              <w:jc w:val="center"/>
              <w:rPr>
                <w:rFonts w:hint="eastAsia"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lang w:val="en-US"/>
              </w:rPr>
              <w:t>2</w:t>
            </w:r>
          </w:p>
        </w:tc>
        <w:tc>
          <w:tcPr>
            <w:tcW w:w="1252" w:type="dxa"/>
            <w:tcBorders>
              <w:top w:val="single" w:color="000000" w:sz="4" w:space="0"/>
              <w:left w:val="single" w:color="000000" w:sz="4" w:space="0"/>
              <w:bottom w:val="single" w:color="000000" w:sz="4" w:space="0"/>
              <w:right w:val="single" w:color="000000" w:sz="4" w:space="0"/>
            </w:tcBorders>
            <w:noWrap/>
            <w:vAlign w:val="center"/>
          </w:tcPr>
          <w:p w14:paraId="567AC610">
            <w:pPr>
              <w:jc w:val="center"/>
              <w:rPr>
                <w:rFonts w:hint="eastAsia" w:ascii="宋体" w:hAnsi="宋体" w:eastAsia="宋体" w:cs="宋体"/>
                <w:b/>
                <w:bCs/>
                <w:color w:val="auto"/>
                <w:sz w:val="22"/>
                <w:szCs w:val="22"/>
                <w:highlight w:val="none"/>
              </w:rPr>
            </w:pPr>
            <w:r>
              <w:rPr>
                <w:rFonts w:hint="eastAsia"/>
              </w:rPr>
              <w:t>智能视频展台</w:t>
            </w:r>
          </w:p>
        </w:tc>
        <w:tc>
          <w:tcPr>
            <w:tcW w:w="6751" w:type="dxa"/>
            <w:tcBorders>
              <w:top w:val="single" w:color="000000" w:sz="4" w:space="0"/>
              <w:left w:val="single" w:color="000000" w:sz="4" w:space="0"/>
              <w:bottom w:val="single" w:color="000000" w:sz="4" w:space="0"/>
              <w:right w:val="single" w:color="000000" w:sz="4" w:space="0"/>
            </w:tcBorders>
            <w:noWrap/>
            <w:vAlign w:val="center"/>
          </w:tcPr>
          <w:p w14:paraId="54CEC358">
            <w:pPr>
              <w:rPr>
                <w:rFonts w:hint="eastAsia" w:ascii="Times New Roman" w:hAnsi="Times New Roman" w:cs="Times New Roman"/>
                <w:lang w:val="en-US" w:eastAsia="zh-CN"/>
              </w:rPr>
            </w:pPr>
            <w:r>
              <w:rPr>
                <w:rFonts w:hint="eastAsia" w:ascii="Times New Roman" w:hAnsi="Times New Roman" w:cs="Times New Roman"/>
                <w:lang w:val="en-US" w:eastAsia="zh-CN"/>
              </w:rPr>
              <w:t>1、壁挂式安装，无锐角无利边设计，托板采用单板结构，托板平整无接缝，且托板及挂墙部分具有金属加强 ，展开后托板尺寸≥A4面积，托板可承重≥</w:t>
            </w:r>
            <w:r>
              <w:rPr>
                <w:rFonts w:hint="default" w:ascii="Times New Roman" w:hAnsi="Times New Roman" w:cs="Times New Roman"/>
                <w:lang w:val="en-US" w:eastAsia="zh-CN"/>
              </w:rPr>
              <w:t xml:space="preserve">3kg </w:t>
            </w:r>
            <w:r>
              <w:rPr>
                <w:rFonts w:hint="eastAsia" w:ascii="Times New Roman" w:hAnsi="Times New Roman" w:cs="Times New Roman"/>
                <w:lang w:val="en-US" w:eastAsia="zh-CN"/>
              </w:rPr>
              <w:t>，托板可收起，采用磁吸吸附式机构 。</w:t>
            </w:r>
          </w:p>
          <w:p w14:paraId="43F5E217">
            <w:pPr>
              <w:rPr>
                <w:rFonts w:hint="eastAsia" w:ascii="Times New Roman" w:hAnsi="Times New Roman" w:cs="Times New Roman"/>
                <w:lang w:val="en-US" w:eastAsia="zh-CN"/>
              </w:rPr>
            </w:pPr>
            <w:r>
              <w:rPr>
                <w:rFonts w:hint="eastAsia" w:ascii="Times New Roman" w:hAnsi="Times New Roman" w:cs="Times New Roman"/>
                <w:lang w:val="en-US" w:eastAsia="zh-CN"/>
              </w:rPr>
              <w:t>★2、采用一体式非活动悬臂设计，打开托板一个动作即可启动展台，实现画面拍摄和数据传输。（提供第三方检测机构出具的检测报告复印件）</w:t>
            </w:r>
          </w:p>
          <w:p w14:paraId="48B9C25A">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3、支持视频矫正功能，拍摄输出实时画面无梯形畸变，展台主体区画面为标准矩形效果。 </w:t>
            </w:r>
          </w:p>
          <w:p w14:paraId="7CFBFF57">
            <w:pPr>
              <w:rPr>
                <w:rFonts w:hint="eastAsia" w:ascii="Times New Roman" w:hAnsi="Times New Roman" w:cs="Times New Roman"/>
                <w:lang w:val="en-US" w:eastAsia="zh-CN"/>
              </w:rPr>
            </w:pPr>
            <w:r>
              <w:rPr>
                <w:rFonts w:hint="eastAsia" w:ascii="Times New Roman" w:hAnsi="Times New Roman" w:cs="Times New Roman"/>
                <w:lang w:val="en-US" w:eastAsia="zh-CN"/>
              </w:rPr>
              <w:t>4、采用USB接口，单根USB线实现供电、高清数据传输需求。展台背面支持数据线缠绕设计，可防止数据线松动脱落，并支持左右下三个方向出线。</w:t>
            </w:r>
          </w:p>
          <w:p w14:paraId="56D118E6">
            <w:pPr>
              <w:rPr>
                <w:rFonts w:hint="eastAsia" w:ascii="Times New Roman" w:hAnsi="Times New Roman" w:cs="Times New Roman"/>
                <w:lang w:val="en-US" w:eastAsia="zh-CN"/>
              </w:rPr>
            </w:pPr>
            <w:r>
              <w:rPr>
                <w:rFonts w:hint="eastAsia" w:ascii="Times New Roman" w:hAnsi="Times New Roman" w:cs="Times New Roman"/>
              </w:rPr>
              <w:t>5</w:t>
            </w:r>
            <w:r>
              <w:rPr>
                <w:rFonts w:hint="eastAsia" w:ascii="Times New Roman" w:hAnsi="Times New Roman" w:cs="Times New Roman"/>
                <w:lang w:val="en-US" w:eastAsia="zh-CN"/>
              </w:rPr>
              <w:t>、摄像头可拍摄不少于1300万像素数的照片，摄像头支持自动对焦，可拍摄A4画幅，显示视频输出像素最大可支持</w:t>
            </w:r>
            <w:r>
              <w:rPr>
                <w:rFonts w:hint="default" w:ascii="Times New Roman" w:hAnsi="Times New Roman" w:cs="Times New Roman"/>
                <w:lang w:val="en-US" w:eastAsia="zh-CN"/>
              </w:rPr>
              <w:t>3120</w:t>
            </w:r>
            <w:r>
              <w:rPr>
                <w:rFonts w:hint="eastAsia" w:ascii="Times New Roman" w:hAnsi="Times New Roman" w:cs="Times New Roman"/>
                <w:lang w:val="en-US" w:eastAsia="zh-CN"/>
              </w:rPr>
              <w:t>×</w:t>
            </w:r>
            <w:r>
              <w:rPr>
                <w:rFonts w:hint="default" w:ascii="Times New Roman" w:hAnsi="Times New Roman" w:cs="Times New Roman"/>
                <w:lang w:val="en-US" w:eastAsia="zh-CN"/>
              </w:rPr>
              <w:t>4208</w:t>
            </w:r>
            <w:r>
              <w:rPr>
                <w:rFonts w:hint="eastAsia" w:ascii="Times New Roman" w:hAnsi="Times New Roman" w:cs="Times New Roman"/>
                <w:lang w:val="en-US" w:eastAsia="zh-CN"/>
              </w:rPr>
              <w:t>像素数 。</w:t>
            </w:r>
          </w:p>
          <w:p w14:paraId="70FA1047">
            <w:pPr>
              <w:rPr>
                <w:rFonts w:hint="eastAsia" w:ascii="Times New Roman" w:hAnsi="Times New Roman" w:cs="Times New Roman"/>
                <w:lang w:val="en-US" w:eastAsia="zh-CN"/>
              </w:rPr>
            </w:pPr>
            <w:r>
              <w:rPr>
                <w:rFonts w:hint="eastAsia" w:ascii="Times New Roman" w:hAnsi="Times New Roman" w:cs="Times New Roman"/>
                <w:lang w:val="en-US" w:eastAsia="zh-CN"/>
              </w:rPr>
              <w:t>6、支持实时降噪功能，可开关控制。</w:t>
            </w:r>
          </w:p>
          <w:p w14:paraId="3A8779D5">
            <w:pPr>
              <w:rPr>
                <w:rFonts w:hint="eastAsia" w:ascii="Times New Roman" w:hAnsi="Times New Roman" w:cs="Times New Roman"/>
                <w:lang w:val="en-US" w:eastAsia="zh-CN"/>
              </w:rPr>
            </w:pPr>
            <w:r>
              <w:rPr>
                <w:rFonts w:hint="eastAsia" w:ascii="Times New Roman" w:hAnsi="Times New Roman" w:cs="Times New Roman"/>
                <w:lang w:val="en-US" w:eastAsia="zh-CN"/>
              </w:rPr>
              <w:t>7、支持通过双击屏幕画面任意位置，即时改变对焦位置,可对立体物体的局部进行对焦。</w:t>
            </w:r>
          </w:p>
          <w:p w14:paraId="3E752C05">
            <w:pPr>
              <w:rPr>
                <w:rFonts w:hint="eastAsia" w:ascii="Times New Roman" w:hAnsi="Times New Roman" w:cs="Times New Roman"/>
                <w:lang w:val="en-US" w:eastAsia="zh-CN"/>
              </w:rPr>
            </w:pPr>
            <w:r>
              <w:rPr>
                <w:rFonts w:hint="eastAsia" w:ascii="Times New Roman" w:hAnsi="Times New Roman" w:cs="Times New Roman"/>
                <w:lang w:val="en-US" w:eastAsia="zh-CN"/>
              </w:rPr>
              <w:t>8、展展台按键采用触摸按键，可实现灯光调节、拍照截图、画面缩小、画面放大功能，同时也支持在展台软件上进行同样的操作。</w:t>
            </w:r>
          </w:p>
          <w:p w14:paraId="5970C52D">
            <w:pPr>
              <w:rPr>
                <w:rFonts w:hint="eastAsia" w:ascii="Times New Roman" w:hAnsi="Times New Roman" w:cs="Times New Roman"/>
                <w:lang w:val="en-US" w:eastAsia="zh-CN"/>
              </w:rPr>
            </w:pPr>
            <w:r>
              <w:rPr>
                <w:rFonts w:hint="eastAsia" w:ascii="Times New Roman" w:hAnsi="Times New Roman" w:cs="Times New Roman"/>
                <w:lang w:val="en-US" w:eastAsia="zh-CN"/>
              </w:rPr>
              <w:t>9、支持3档LED补光，可进行亮度补充。10、支持对展台实时画面进行放大、缩小、旋转、 自适应、画面锁定的操作。</w:t>
            </w:r>
          </w:p>
          <w:p w14:paraId="20CE4FDC">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11、支持展台画面实时批注，预设多种笔划粗细及颜色供选择，且支持对展台画面联同批注内容进行同步缩放、移动。 </w:t>
            </w:r>
          </w:p>
          <w:p w14:paraId="734A0A14">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12、支持展台画面拍照截图并进行多图预览，可对任一图片进行全屏显示。 </w:t>
            </w:r>
          </w:p>
          <w:p w14:paraId="376E1E99">
            <w:pPr>
              <w:rPr>
                <w:rFonts w:hint="eastAsia" w:ascii="Times New Roman" w:hAnsi="Times New Roman" w:cs="Times New Roman"/>
                <w:lang w:val="en-US" w:eastAsia="zh-CN"/>
              </w:rPr>
            </w:pPr>
            <w:r>
              <w:rPr>
                <w:rFonts w:hint="eastAsia" w:ascii="Times New Roman" w:hAnsi="Times New Roman" w:cs="Times New Roman"/>
                <w:lang w:val="en-US" w:eastAsia="zh-CN"/>
              </w:rPr>
              <w:t>13、可在一体机或电脑上选择延时拍照功能，支持5秒或10秒延时模式，可调整拍摄内容。</w:t>
            </w:r>
          </w:p>
          <w:p w14:paraId="0626275B">
            <w:pPr>
              <w:rPr>
                <w:rFonts w:hint="eastAsia" w:ascii="Times New Roman" w:hAnsi="Times New Roman" w:cs="Times New Roman"/>
                <w:lang w:val="en-US" w:eastAsia="zh-CN"/>
              </w:rPr>
            </w:pPr>
            <w:r>
              <w:rPr>
                <w:rFonts w:hint="eastAsia" w:ascii="Times New Roman" w:hAnsi="Times New Roman" w:cs="Times New Roman"/>
                <w:lang w:val="en-US" w:eastAsia="zh-CN"/>
              </w:rPr>
              <w:t>★14、支持故障自动检测，可判断硬件连接、显卡驱动、摄像头占用、软件版本问题，并给出引导性解决方案。在出现显卡驱动、摄像头占用问题导致无法显示展台拍摄画面时，自动出现检测链接，检测“无画面”的原因。 （提供第三方检测机构出具的检测报告复印件）</w:t>
            </w:r>
          </w:p>
          <w:p w14:paraId="7365EAB5">
            <w:pPr>
              <w:rPr>
                <w:rFonts w:hint="eastAsia" w:ascii="宋体" w:hAnsi="宋体" w:eastAsia="宋体" w:cs="宋体"/>
                <w:b/>
                <w:bCs/>
                <w:color w:val="auto"/>
                <w:sz w:val="22"/>
                <w:szCs w:val="22"/>
                <w:highlight w:val="none"/>
              </w:rPr>
            </w:pPr>
            <w:r>
              <w:rPr>
                <w:rFonts w:hint="eastAsia" w:ascii="Times New Roman" w:hAnsi="Times New Roman" w:cs="Times New Roman"/>
                <w:lang w:val="en-US" w:eastAsia="zh-CN"/>
              </w:rPr>
              <w:t>15、打开扫一扫功能后，将书本上的二维码放入扫描框内即可自动扫描，并进入系统浏览器获取二维码的链接内容。</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7F149B4A">
            <w:pPr>
              <w:jc w:val="center"/>
              <w:rPr>
                <w:rFonts w:hint="default" w:ascii="宋体" w:hAnsi="宋体" w:eastAsia="宋体" w:cs="宋体"/>
                <w:b/>
                <w:bCs/>
                <w:color w:val="auto"/>
                <w:sz w:val="22"/>
                <w:szCs w:val="22"/>
                <w:highlight w:val="none"/>
                <w:lang w:val="en-US" w:eastAsia="zh-CN"/>
              </w:rPr>
            </w:pPr>
            <w:r>
              <w:rPr>
                <w:rFonts w:hint="eastAsia"/>
                <w:u w:color="000000"/>
                <w:lang w:val="en-US" w:eastAsia="zh-CN"/>
              </w:rPr>
              <w:t>2</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E197DB5">
            <w:pPr>
              <w:jc w:val="center"/>
              <w:rPr>
                <w:rFonts w:hint="eastAsia" w:ascii="宋体" w:hAnsi="宋体" w:eastAsia="宋体" w:cs="宋体"/>
                <w:b/>
                <w:bCs/>
                <w:color w:val="auto"/>
                <w:sz w:val="22"/>
                <w:szCs w:val="22"/>
                <w:highlight w:val="none"/>
              </w:rPr>
            </w:pPr>
            <w:r>
              <w:rPr>
                <w:rFonts w:hint="eastAsia"/>
              </w:rPr>
              <w:t>台</w:t>
            </w:r>
          </w:p>
        </w:tc>
      </w:tr>
      <w:tr w14:paraId="6FBC44CA">
        <w:tblPrEx>
          <w:tblCellMar>
            <w:top w:w="0" w:type="dxa"/>
            <w:left w:w="108" w:type="dxa"/>
            <w:bottom w:w="0" w:type="dxa"/>
            <w:right w:w="108" w:type="dxa"/>
          </w:tblCellMar>
        </w:tblPrEx>
        <w:trPr>
          <w:gridAfter w:val="1"/>
          <w:wAfter w:w="7" w:type="dxa"/>
          <w:trHeight w:val="684"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14:paraId="3E830FD3">
            <w:pPr>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w:t>
            </w:r>
          </w:p>
        </w:tc>
        <w:tc>
          <w:tcPr>
            <w:tcW w:w="1252" w:type="dxa"/>
            <w:tcBorders>
              <w:top w:val="single" w:color="000000" w:sz="4" w:space="0"/>
              <w:left w:val="single" w:color="000000" w:sz="4" w:space="0"/>
              <w:bottom w:val="single" w:color="000000" w:sz="4" w:space="0"/>
              <w:right w:val="single" w:color="000000" w:sz="4" w:space="0"/>
            </w:tcBorders>
            <w:noWrap/>
            <w:vAlign w:val="center"/>
          </w:tcPr>
          <w:p w14:paraId="73FCAE32">
            <w:pPr>
              <w:jc w:val="center"/>
              <w:rPr>
                <w:rFonts w:hint="default"/>
                <w:lang w:val="en-US" w:eastAsia="zh-CN"/>
              </w:rPr>
            </w:pPr>
            <w:r>
              <w:rPr>
                <w:rFonts w:hint="eastAsia"/>
                <w:lang w:val="en-US" w:eastAsia="zh-CN"/>
              </w:rPr>
              <w:t>讲台</w:t>
            </w:r>
          </w:p>
        </w:tc>
        <w:tc>
          <w:tcPr>
            <w:tcW w:w="6751" w:type="dxa"/>
            <w:tcBorders>
              <w:top w:val="single" w:color="000000" w:sz="4" w:space="0"/>
              <w:left w:val="single" w:color="000000" w:sz="4" w:space="0"/>
              <w:bottom w:val="single" w:color="000000" w:sz="4" w:space="0"/>
              <w:right w:val="single" w:color="000000" w:sz="4" w:space="0"/>
            </w:tcBorders>
            <w:noWrap/>
            <w:vAlign w:val="center"/>
          </w:tcPr>
          <w:p w14:paraId="5543E3B9">
            <w:pPr>
              <w:rPr>
                <w:rFonts w:hint="eastAsia" w:ascii="宋体" w:hAnsi="宋体" w:eastAsia="宋体" w:cs="宋体"/>
                <w:szCs w:val="24"/>
                <w:highlight w:val="none"/>
              </w:rPr>
            </w:pPr>
            <w:r>
              <w:rPr>
                <w:rFonts w:hint="eastAsia" w:ascii="宋体" w:hAnsi="宋体" w:cs="宋体"/>
                <w:szCs w:val="24"/>
                <w:highlight w:val="none"/>
                <w:lang w:val="en-US" w:eastAsia="zh-CN"/>
              </w:rPr>
              <w:t>1</w:t>
            </w:r>
            <w:r>
              <w:rPr>
                <w:rFonts w:hint="eastAsia" w:ascii="宋体" w:hAnsi="宋体" w:eastAsia="宋体" w:cs="宋体"/>
                <w:szCs w:val="24"/>
                <w:highlight w:val="none"/>
              </w:rPr>
              <w:t>规格:长1000mm，宽650mm，高920mm;</w:t>
            </w:r>
          </w:p>
          <w:p w14:paraId="129178B3">
            <w:pPr>
              <w:numPr>
                <w:ilvl w:val="0"/>
                <w:numId w:val="1"/>
              </w:numPr>
              <w:rPr>
                <w:rFonts w:hint="eastAsia" w:ascii="宋体" w:hAnsi="宋体" w:eastAsia="宋体" w:cs="宋体"/>
                <w:szCs w:val="24"/>
                <w:highlight w:val="none"/>
              </w:rPr>
            </w:pPr>
            <w:r>
              <w:rPr>
                <w:rFonts w:hint="eastAsia" w:ascii="宋体" w:hAnsi="宋体" w:eastAsia="宋体" w:cs="宋体"/>
                <w:szCs w:val="24"/>
                <w:highlight w:val="none"/>
              </w:rPr>
              <w:t>材质:钢木结构，台面厚度 12mm 高密度板，提供木质扶手方便使用者握扶，扶手为实木烤漆，颜色和桌面一致。钢制部分为1.0m厚冷轧钢板，牢固，可靠，边棱、边角为无棱角、平滑;</w:t>
            </w:r>
          </w:p>
          <w:p w14:paraId="0AA155CF">
            <w:pPr>
              <w:numPr>
                <w:ilvl w:val="0"/>
                <w:numId w:val="1"/>
              </w:numPr>
              <w:rPr>
                <w:rFonts w:hint="eastAsia" w:ascii="宋体" w:hAnsi="宋体" w:eastAsia="宋体" w:cs="宋体"/>
                <w:szCs w:val="24"/>
                <w:highlight w:val="none"/>
              </w:rPr>
            </w:pPr>
            <w:r>
              <w:rPr>
                <w:rFonts w:hint="eastAsia" w:ascii="宋体" w:hAnsi="宋体" w:eastAsia="宋体" w:cs="宋体"/>
                <w:szCs w:val="24"/>
                <w:highlight w:val="none"/>
              </w:rPr>
              <w:t>结构:上下层采用分体式设计，可拆卸，易安装，易运输，一把R钥</w:t>
            </w:r>
            <w:bookmarkStart w:id="1" w:name="_GoBack"/>
            <w:bookmarkEnd w:id="1"/>
            <w:r>
              <w:rPr>
                <w:rFonts w:hint="eastAsia" w:ascii="宋体" w:hAnsi="宋体" w:eastAsia="宋体" w:cs="宋体"/>
                <w:szCs w:val="24"/>
                <w:highlight w:val="none"/>
              </w:rPr>
              <w:t>匙控制所有锁;</w:t>
            </w:r>
          </w:p>
          <w:p w14:paraId="5BF8BA56">
            <w:pPr>
              <w:rPr>
                <w:rFonts w:hint="eastAsia" w:ascii="宋体" w:hAnsi="宋体" w:eastAsia="宋体" w:cs="宋体"/>
                <w:szCs w:val="24"/>
                <w:highlight w:val="none"/>
              </w:rPr>
            </w:pPr>
            <w:r>
              <w:rPr>
                <w:rFonts w:hint="eastAsia" w:ascii="宋体" w:hAnsi="宋体" w:eastAsia="宋体" w:cs="宋体"/>
                <w:szCs w:val="24"/>
                <w:highlight w:val="none"/>
              </w:rPr>
              <w:t>4、质量要求:零部件无断裂或豁裂;无严重影响使用功能的损或变形;用手撤压某些为牢固的部件，无永久性松动;连接部位无松动;活动部件(门、抽层等)开关灵活;家具五金件无明显变形、损坏。</w:t>
            </w:r>
          </w:p>
        </w:tc>
        <w:tc>
          <w:tcPr>
            <w:tcW w:w="658" w:type="dxa"/>
            <w:tcBorders>
              <w:top w:val="single" w:color="000000" w:sz="4" w:space="0"/>
              <w:left w:val="single" w:color="000000" w:sz="4" w:space="0"/>
              <w:bottom w:val="single" w:color="000000" w:sz="4" w:space="0"/>
              <w:right w:val="single" w:color="000000" w:sz="4" w:space="0"/>
            </w:tcBorders>
            <w:shd w:val="clear"/>
            <w:noWrap/>
            <w:vAlign w:val="center"/>
          </w:tcPr>
          <w:p w14:paraId="58F87672">
            <w:pPr>
              <w:jc w:val="center"/>
              <w:rPr>
                <w:rFonts w:hint="eastAsia" w:ascii="宋体" w:hAnsi="宋体" w:eastAsia="宋体" w:cs="宋体"/>
                <w:kern w:val="2"/>
                <w:sz w:val="21"/>
                <w:szCs w:val="24"/>
                <w:highlight w:val="none"/>
                <w:lang w:val="en-US" w:eastAsia="zh-CN" w:bidi="ar-SA"/>
              </w:rPr>
            </w:pPr>
            <w:r>
              <w:rPr>
                <w:rFonts w:hint="eastAsia"/>
                <w:u w:color="000000"/>
                <w:lang w:val="en-US" w:eastAsia="zh-CN"/>
              </w:rPr>
              <w:t>2</w:t>
            </w:r>
          </w:p>
        </w:tc>
        <w:tc>
          <w:tcPr>
            <w:tcW w:w="806" w:type="dxa"/>
            <w:tcBorders>
              <w:top w:val="single" w:color="000000" w:sz="4" w:space="0"/>
              <w:left w:val="single" w:color="000000" w:sz="4" w:space="0"/>
              <w:bottom w:val="single" w:color="000000" w:sz="4" w:space="0"/>
              <w:right w:val="single" w:color="000000" w:sz="4" w:space="0"/>
            </w:tcBorders>
            <w:shd w:val="clear"/>
            <w:noWrap/>
            <w:vAlign w:val="center"/>
          </w:tcPr>
          <w:p w14:paraId="062E50F1">
            <w:pPr>
              <w:jc w:val="center"/>
              <w:rPr>
                <w:rFonts w:hint="eastAsia" w:ascii="宋体" w:hAnsi="宋体" w:eastAsia="宋体" w:cs="宋体"/>
                <w:kern w:val="2"/>
                <w:sz w:val="21"/>
                <w:szCs w:val="24"/>
                <w:highlight w:val="none"/>
                <w:lang w:val="en-US" w:eastAsia="zh-CN" w:bidi="ar-SA"/>
              </w:rPr>
            </w:pPr>
            <w:r>
              <w:rPr>
                <w:rFonts w:hint="eastAsia"/>
                <w:lang w:eastAsia="zh-CN"/>
              </w:rPr>
              <w:t>套</w:t>
            </w:r>
          </w:p>
        </w:tc>
      </w:tr>
      <w:tr w14:paraId="4B1E37CB">
        <w:tblPrEx>
          <w:tblCellMar>
            <w:top w:w="0" w:type="dxa"/>
            <w:left w:w="108" w:type="dxa"/>
            <w:bottom w:w="0" w:type="dxa"/>
            <w:right w:w="108" w:type="dxa"/>
          </w:tblCellMar>
        </w:tblPrEx>
        <w:trPr>
          <w:gridAfter w:val="1"/>
          <w:wAfter w:w="7" w:type="dxa"/>
          <w:trHeight w:val="684"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14:paraId="033D98DD">
            <w:pPr>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4</w:t>
            </w:r>
          </w:p>
        </w:tc>
        <w:tc>
          <w:tcPr>
            <w:tcW w:w="1252" w:type="dxa"/>
            <w:tcBorders>
              <w:top w:val="single" w:color="000000" w:sz="4" w:space="0"/>
              <w:left w:val="single" w:color="000000" w:sz="4" w:space="0"/>
              <w:bottom w:val="single" w:color="000000" w:sz="4" w:space="0"/>
              <w:right w:val="single" w:color="000000" w:sz="4" w:space="0"/>
            </w:tcBorders>
            <w:noWrap/>
            <w:vAlign w:val="center"/>
          </w:tcPr>
          <w:p w14:paraId="68E70373">
            <w:pPr>
              <w:jc w:val="center"/>
              <w:rPr>
                <w:rFonts w:hint="eastAsia" w:ascii="宋体" w:hAnsi="宋体" w:eastAsia="宋体" w:cs="宋体"/>
                <w:szCs w:val="24"/>
                <w:highlight w:val="none"/>
                <w:lang w:eastAsia="zh-CN"/>
              </w:rPr>
            </w:pPr>
            <w:r>
              <w:rPr>
                <w:rFonts w:hint="eastAsia"/>
                <w:lang w:eastAsia="zh-CN"/>
              </w:rPr>
              <w:t>无线键鼠</w:t>
            </w:r>
          </w:p>
        </w:tc>
        <w:tc>
          <w:tcPr>
            <w:tcW w:w="6751" w:type="dxa"/>
            <w:tcBorders>
              <w:top w:val="single" w:color="000000" w:sz="4" w:space="0"/>
              <w:left w:val="single" w:color="000000" w:sz="4" w:space="0"/>
              <w:bottom w:val="single" w:color="000000" w:sz="4" w:space="0"/>
              <w:right w:val="single" w:color="000000" w:sz="4" w:space="0"/>
            </w:tcBorders>
            <w:noWrap/>
            <w:vAlign w:val="center"/>
          </w:tcPr>
          <w:p w14:paraId="2D84D61A">
            <w:pPr>
              <w:rPr>
                <w:rFonts w:hint="eastAsia" w:ascii="宋体" w:hAnsi="宋体" w:eastAsia="宋体" w:cs="宋体"/>
                <w:szCs w:val="24"/>
                <w:highlight w:val="none"/>
              </w:rPr>
            </w:pPr>
            <w:r>
              <w:rPr>
                <w:rFonts w:hint="eastAsia" w:ascii="宋体" w:hAnsi="宋体" w:eastAsia="宋体" w:cs="宋体"/>
                <w:szCs w:val="24"/>
                <w:highlight w:val="none"/>
              </w:rPr>
              <w:t>键盘:104键全尺寸布局，36个月电池续航，防泼溅设计</w:t>
            </w:r>
          </w:p>
          <w:p w14:paraId="2763574A">
            <w:pPr>
              <w:rPr>
                <w:rFonts w:hint="eastAsia" w:ascii="宋体" w:hAnsi="宋体" w:eastAsia="宋体" w:cs="宋体"/>
                <w:szCs w:val="24"/>
                <w:highlight w:val="none"/>
              </w:rPr>
            </w:pPr>
            <w:r>
              <w:rPr>
                <w:rFonts w:hint="eastAsia" w:ascii="宋体" w:hAnsi="宋体" w:eastAsia="宋体" w:cs="宋体"/>
                <w:szCs w:val="24"/>
                <w:highlight w:val="none"/>
              </w:rPr>
              <w:t>鼠标:1000DPI光学追踪，12个月电池续航，人体工学设计</w:t>
            </w:r>
          </w:p>
          <w:p w14:paraId="14769D91">
            <w:pPr>
              <w:rPr>
                <w:rFonts w:hint="eastAsia" w:ascii="宋体" w:hAnsi="宋体" w:eastAsia="宋体" w:cs="宋体"/>
                <w:szCs w:val="24"/>
                <w:highlight w:val="none"/>
              </w:rPr>
            </w:pPr>
            <w:r>
              <w:rPr>
                <w:rFonts w:hint="eastAsia" w:ascii="宋体" w:hAnsi="宋体" w:eastAsia="宋体" w:cs="宋体"/>
                <w:szCs w:val="24"/>
                <w:highlight w:val="none"/>
              </w:rPr>
              <w:t>连接方式:2.4GHz无线，10米连接范围</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4A16F786">
            <w:pPr>
              <w:jc w:val="center"/>
              <w:rPr>
                <w:rFonts w:hint="default" w:ascii="宋体" w:hAnsi="宋体" w:eastAsia="宋体" w:cs="宋体"/>
                <w:szCs w:val="24"/>
                <w:highlight w:val="none"/>
                <w:lang w:val="en-US" w:eastAsia="zh-CN"/>
              </w:rPr>
            </w:pPr>
            <w:r>
              <w:rPr>
                <w:rFonts w:hint="eastAsia"/>
                <w:u w:color="000000"/>
                <w:lang w:val="en-US" w:eastAsia="zh-CN"/>
              </w:rPr>
              <w:t>2</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CC9D7C5">
            <w:pPr>
              <w:jc w:val="center"/>
              <w:rPr>
                <w:rFonts w:hint="eastAsia" w:ascii="宋体" w:hAnsi="宋体" w:eastAsia="宋体" w:cs="宋体"/>
                <w:szCs w:val="24"/>
                <w:highlight w:val="none"/>
                <w:lang w:eastAsia="zh-CN"/>
              </w:rPr>
            </w:pPr>
            <w:r>
              <w:rPr>
                <w:rFonts w:hint="eastAsia"/>
                <w:lang w:eastAsia="zh-CN"/>
              </w:rPr>
              <w:t>套</w:t>
            </w:r>
          </w:p>
        </w:tc>
      </w:tr>
      <w:tr w14:paraId="1ADDAD0F">
        <w:tblPrEx>
          <w:tblCellMar>
            <w:top w:w="0" w:type="dxa"/>
            <w:left w:w="108" w:type="dxa"/>
            <w:bottom w:w="0" w:type="dxa"/>
            <w:right w:w="108" w:type="dxa"/>
          </w:tblCellMar>
        </w:tblPrEx>
        <w:trPr>
          <w:gridAfter w:val="1"/>
          <w:wAfter w:w="7" w:type="dxa"/>
          <w:trHeight w:val="684"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14:paraId="0D7A8F1C">
            <w:pPr>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5</w:t>
            </w:r>
          </w:p>
        </w:tc>
        <w:tc>
          <w:tcPr>
            <w:tcW w:w="1252" w:type="dxa"/>
            <w:tcBorders>
              <w:top w:val="single" w:color="000000" w:sz="4" w:space="0"/>
              <w:left w:val="single" w:color="000000" w:sz="4" w:space="0"/>
              <w:bottom w:val="single" w:color="000000" w:sz="4" w:space="0"/>
              <w:right w:val="single" w:color="000000" w:sz="4" w:space="0"/>
            </w:tcBorders>
            <w:noWrap/>
            <w:vAlign w:val="center"/>
          </w:tcPr>
          <w:p w14:paraId="6018A5EA">
            <w:pPr>
              <w:jc w:val="center"/>
              <w:rPr>
                <w:rFonts w:hint="eastAsia" w:ascii="宋体" w:hAnsi="宋体" w:eastAsia="宋体" w:cs="宋体"/>
                <w:szCs w:val="24"/>
                <w:highlight w:val="none"/>
              </w:rPr>
            </w:pPr>
            <w:r>
              <w:rPr>
                <w:rFonts w:hint="eastAsia"/>
              </w:rPr>
              <w:t>漏电保护器</w:t>
            </w:r>
          </w:p>
        </w:tc>
        <w:tc>
          <w:tcPr>
            <w:tcW w:w="6751" w:type="dxa"/>
            <w:tcBorders>
              <w:top w:val="single" w:color="000000" w:sz="4" w:space="0"/>
              <w:left w:val="single" w:color="000000" w:sz="4" w:space="0"/>
              <w:bottom w:val="single" w:color="000000" w:sz="4" w:space="0"/>
              <w:right w:val="single" w:color="000000" w:sz="4" w:space="0"/>
            </w:tcBorders>
            <w:noWrap/>
            <w:vAlign w:val="center"/>
          </w:tcPr>
          <w:p w14:paraId="0F523B3F">
            <w:pPr>
              <w:rPr>
                <w:rFonts w:hint="eastAsia" w:ascii="宋体" w:hAnsi="宋体" w:eastAsia="宋体" w:cs="宋体"/>
                <w:szCs w:val="24"/>
                <w:highlight w:val="none"/>
              </w:rPr>
            </w:pPr>
            <w:r>
              <w:rPr>
                <w:rFonts w:hint="eastAsia"/>
              </w:rPr>
              <w:t>额定电压230V，额定短路分段能力6000Icn A，机械寿命≥10000次；电气寿命≥4000次</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049FA555">
            <w:pPr>
              <w:jc w:val="center"/>
              <w:rPr>
                <w:rFonts w:hint="default" w:ascii="宋体" w:hAnsi="宋体" w:eastAsia="宋体" w:cs="宋体"/>
                <w:szCs w:val="24"/>
                <w:highlight w:val="none"/>
                <w:lang w:val="en-US" w:eastAsia="zh-CN"/>
              </w:rPr>
            </w:pPr>
            <w:r>
              <w:rPr>
                <w:rFonts w:hint="eastAsia"/>
                <w:u w:color="000000"/>
                <w:lang w:val="en-US" w:eastAsia="zh-CN"/>
              </w:rPr>
              <w:t>2</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075C4467">
            <w:pPr>
              <w:jc w:val="center"/>
              <w:rPr>
                <w:rFonts w:hint="eastAsia" w:ascii="宋体" w:hAnsi="宋体" w:eastAsia="宋体" w:cs="宋体"/>
                <w:szCs w:val="24"/>
                <w:highlight w:val="none"/>
              </w:rPr>
            </w:pPr>
            <w:r>
              <w:rPr>
                <w:rFonts w:hint="eastAsia"/>
              </w:rPr>
              <w:t>个</w:t>
            </w:r>
          </w:p>
        </w:tc>
      </w:tr>
      <w:tr w14:paraId="366C9ACC">
        <w:tblPrEx>
          <w:tblCellMar>
            <w:top w:w="0" w:type="dxa"/>
            <w:left w:w="108" w:type="dxa"/>
            <w:bottom w:w="0" w:type="dxa"/>
            <w:right w:w="108" w:type="dxa"/>
          </w:tblCellMar>
        </w:tblPrEx>
        <w:trPr>
          <w:gridAfter w:val="1"/>
          <w:wAfter w:w="7" w:type="dxa"/>
          <w:trHeight w:val="684" w:hRule="atLeast"/>
          <w:jc w:val="center"/>
        </w:trPr>
        <w:tc>
          <w:tcPr>
            <w:tcW w:w="470" w:type="dxa"/>
            <w:tcBorders>
              <w:top w:val="single" w:color="000000" w:sz="4" w:space="0"/>
              <w:left w:val="single" w:color="000000" w:sz="4" w:space="0"/>
              <w:bottom w:val="single" w:color="000000" w:sz="4" w:space="0"/>
              <w:right w:val="single" w:color="000000" w:sz="4" w:space="0"/>
            </w:tcBorders>
            <w:noWrap/>
            <w:vAlign w:val="center"/>
          </w:tcPr>
          <w:p w14:paraId="1FC0D6DC">
            <w:pPr>
              <w:jc w:val="center"/>
              <w:rPr>
                <w:rFonts w:hint="eastAsia" w:ascii="宋体" w:hAnsi="宋体" w:eastAsia="宋体" w:cs="宋体"/>
                <w:color w:val="auto"/>
                <w:kern w:val="0"/>
                <w:sz w:val="22"/>
                <w:szCs w:val="22"/>
                <w:highlight w:val="none"/>
                <w:lang w:eastAsia="zh-CN"/>
              </w:rPr>
            </w:pPr>
            <w:r>
              <w:rPr>
                <w:rFonts w:hint="eastAsia" w:ascii="宋体" w:hAnsi="宋体" w:cs="宋体"/>
                <w:color w:val="auto"/>
                <w:kern w:val="0"/>
                <w:sz w:val="22"/>
                <w:szCs w:val="22"/>
                <w:highlight w:val="none"/>
                <w:lang w:val="en-US" w:eastAsia="zh-CN"/>
              </w:rPr>
              <w:t>6</w:t>
            </w:r>
          </w:p>
        </w:tc>
        <w:tc>
          <w:tcPr>
            <w:tcW w:w="1252" w:type="dxa"/>
            <w:tcBorders>
              <w:top w:val="single" w:color="000000" w:sz="4" w:space="0"/>
              <w:left w:val="single" w:color="000000" w:sz="4" w:space="0"/>
              <w:bottom w:val="single" w:color="000000" w:sz="4" w:space="0"/>
              <w:right w:val="single" w:color="000000" w:sz="4" w:space="0"/>
            </w:tcBorders>
            <w:noWrap/>
            <w:vAlign w:val="center"/>
          </w:tcPr>
          <w:p w14:paraId="1A30D280">
            <w:pPr>
              <w:jc w:val="center"/>
              <w:rPr>
                <w:rFonts w:hint="eastAsia" w:ascii="宋体" w:hAnsi="宋体" w:eastAsia="宋体" w:cs="宋体"/>
                <w:szCs w:val="24"/>
                <w:highlight w:val="none"/>
              </w:rPr>
            </w:pPr>
            <w:r>
              <w:rPr>
                <w:rFonts w:hint="eastAsia"/>
              </w:rPr>
              <w:t>系统集成施工</w:t>
            </w:r>
          </w:p>
        </w:tc>
        <w:tc>
          <w:tcPr>
            <w:tcW w:w="6751" w:type="dxa"/>
            <w:tcBorders>
              <w:top w:val="single" w:color="000000" w:sz="4" w:space="0"/>
              <w:left w:val="single" w:color="000000" w:sz="4" w:space="0"/>
              <w:bottom w:val="single" w:color="000000" w:sz="4" w:space="0"/>
              <w:right w:val="single" w:color="000000" w:sz="4" w:space="0"/>
            </w:tcBorders>
            <w:noWrap/>
            <w:vAlign w:val="center"/>
          </w:tcPr>
          <w:p w14:paraId="153DC1D4">
            <w:pPr>
              <w:rPr>
                <w:rFonts w:hint="eastAsia" w:ascii="宋体" w:hAnsi="宋体" w:eastAsia="宋体" w:cs="宋体"/>
                <w:szCs w:val="24"/>
                <w:highlight w:val="none"/>
              </w:rPr>
            </w:pPr>
            <w:r>
              <w:rPr>
                <w:rFonts w:hint="eastAsia"/>
              </w:rPr>
              <w:t>含以上所有软硬件系统集成安装调试，按工程有关文件要求执行，</w:t>
            </w:r>
            <w:r>
              <w:rPr>
                <w:rFonts w:hint="eastAsia"/>
                <w:color w:val="000000"/>
                <w:kern w:val="0"/>
              </w:rPr>
              <w:t>与其他工程环节衔接好</w:t>
            </w:r>
            <w:r>
              <w:rPr>
                <w:rFonts w:hint="eastAsia"/>
                <w:color w:val="000000"/>
                <w:kern w:val="0"/>
                <w:lang w:eastAsia="zh-CN"/>
              </w:rPr>
              <w:t>，</w:t>
            </w:r>
            <w:r>
              <w:rPr>
                <w:rFonts w:hint="eastAsia"/>
              </w:rPr>
              <w:t>建立施工档案。</w:t>
            </w:r>
          </w:p>
        </w:tc>
        <w:tc>
          <w:tcPr>
            <w:tcW w:w="658" w:type="dxa"/>
            <w:tcBorders>
              <w:top w:val="single" w:color="000000" w:sz="4" w:space="0"/>
              <w:left w:val="single" w:color="000000" w:sz="4" w:space="0"/>
              <w:bottom w:val="single" w:color="000000" w:sz="4" w:space="0"/>
              <w:right w:val="single" w:color="000000" w:sz="4" w:space="0"/>
            </w:tcBorders>
            <w:noWrap/>
            <w:vAlign w:val="center"/>
          </w:tcPr>
          <w:p w14:paraId="261C5AA3">
            <w:pPr>
              <w:jc w:val="center"/>
              <w:rPr>
                <w:rFonts w:hint="default" w:ascii="宋体" w:hAnsi="宋体" w:eastAsia="宋体" w:cs="宋体"/>
                <w:szCs w:val="24"/>
                <w:highlight w:val="none"/>
                <w:lang w:val="en-US" w:eastAsia="zh-CN"/>
              </w:rPr>
            </w:pPr>
            <w:r>
              <w:rPr>
                <w:rFonts w:hint="eastAsia"/>
                <w:u w:color="000000"/>
                <w:lang w:val="en-US" w:eastAsia="zh-CN"/>
              </w:rPr>
              <w:t>2</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6EC0632D">
            <w:pPr>
              <w:jc w:val="center"/>
              <w:rPr>
                <w:rFonts w:hint="eastAsia" w:ascii="宋体" w:hAnsi="宋体" w:eastAsia="宋体" w:cs="宋体"/>
                <w:szCs w:val="24"/>
                <w:highlight w:val="none"/>
              </w:rPr>
            </w:pPr>
            <w:r>
              <w:rPr>
                <w:rFonts w:hint="eastAsia"/>
              </w:rPr>
              <w:t>套</w:t>
            </w:r>
          </w:p>
        </w:tc>
      </w:tr>
      <w:tr w14:paraId="6D0D173B">
        <w:tblPrEx>
          <w:tblCellMar>
            <w:top w:w="0" w:type="dxa"/>
            <w:left w:w="108" w:type="dxa"/>
            <w:bottom w:w="0" w:type="dxa"/>
            <w:right w:w="108" w:type="dxa"/>
          </w:tblCellMar>
        </w:tblPrEx>
        <w:trPr>
          <w:jc w:val="center"/>
        </w:trPr>
        <w:tc>
          <w:tcPr>
            <w:tcW w:w="9944" w:type="dxa"/>
            <w:gridSpan w:val="6"/>
            <w:tcBorders>
              <w:top w:val="single" w:color="000000" w:sz="4" w:space="0"/>
              <w:left w:val="single" w:color="000000" w:sz="4" w:space="0"/>
              <w:bottom w:val="single" w:color="000000" w:sz="4" w:space="0"/>
              <w:right w:val="single" w:color="000000" w:sz="4" w:space="0"/>
            </w:tcBorders>
            <w:noWrap/>
            <w:vAlign w:val="center"/>
          </w:tcPr>
          <w:p w14:paraId="475426EB">
            <w:pPr>
              <w:keepNext w:val="0"/>
              <w:keepLines w:val="0"/>
              <w:pageBreakBefore w:val="0"/>
              <w:widowControl w:val="0"/>
              <w:kinsoku/>
              <w:wordWrap w:val="0"/>
              <w:overflowPunct/>
              <w:topLinePunct w:val="0"/>
              <w:autoSpaceDE/>
              <w:autoSpaceDN/>
              <w:bidi w:val="0"/>
              <w:adjustRightInd/>
              <w:snapToGrid/>
              <w:spacing w:before="120" w:line="360" w:lineRule="auto"/>
              <w:jc w:val="left"/>
              <w:textAlignment w:val="auto"/>
              <w:rPr>
                <w:rFonts w:ascii="宋体" w:hAnsi="宋体" w:cs="宋体"/>
                <w:b/>
                <w:bCs/>
                <w:szCs w:val="21"/>
                <w:highlight w:val="none"/>
              </w:rPr>
            </w:pPr>
            <w:r>
              <w:rPr>
                <w:rFonts w:hint="eastAsia" w:ascii="宋体" w:hAnsi="宋体" w:cs="宋体"/>
                <w:b/>
                <w:bCs/>
                <w:szCs w:val="21"/>
                <w:highlight w:val="none"/>
              </w:rPr>
              <w:t>说明：</w:t>
            </w:r>
          </w:p>
          <w:p w14:paraId="377B3AA1">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b w:val="0"/>
                <w:bCs w:val="0"/>
                <w:spacing w:val="-4"/>
                <w:szCs w:val="21"/>
                <w:highlight w:val="none"/>
                <w:lang w:eastAsia="zh-CN"/>
              </w:rPr>
            </w:pPr>
            <w:r>
              <w:rPr>
                <w:rFonts w:hint="eastAsia" w:ascii="宋体" w:hAnsi="宋体" w:eastAsia="宋体" w:cs="宋体"/>
                <w:b w:val="0"/>
                <w:bCs w:val="0"/>
                <w:spacing w:val="-4"/>
                <w:szCs w:val="21"/>
                <w:highlight w:val="none"/>
                <w:lang w:eastAsia="zh-CN"/>
              </w:rPr>
              <w:t>1</w:t>
            </w:r>
            <w:r>
              <w:rPr>
                <w:rFonts w:hint="eastAsia" w:ascii="宋体" w:hAnsi="宋体" w:cs="宋体"/>
                <w:b w:val="0"/>
                <w:bCs w:val="0"/>
                <w:spacing w:val="-4"/>
                <w:szCs w:val="21"/>
                <w:highlight w:val="none"/>
                <w:lang w:val="en-US" w:eastAsia="zh-CN"/>
              </w:rPr>
              <w:t>.</w:t>
            </w:r>
            <w:r>
              <w:rPr>
                <w:rFonts w:hint="eastAsia" w:ascii="宋体" w:hAnsi="宋体" w:cs="宋体"/>
                <w:b w:val="0"/>
                <w:bCs w:val="0"/>
                <w:spacing w:val="-4"/>
                <w:szCs w:val="21"/>
                <w:highlight w:val="none"/>
                <w:lang w:eastAsia="zh-CN"/>
              </w:rPr>
              <w:t>成交人</w:t>
            </w:r>
            <w:r>
              <w:rPr>
                <w:rFonts w:hint="eastAsia" w:ascii="宋体" w:hAnsi="宋体" w:eastAsia="宋体" w:cs="宋体"/>
                <w:b w:val="0"/>
                <w:bCs w:val="0"/>
                <w:spacing w:val="-4"/>
                <w:szCs w:val="21"/>
                <w:highlight w:val="none"/>
                <w:lang w:eastAsia="zh-CN"/>
              </w:rPr>
              <w:t>所投货物的品牌与参数，保证原厂正品供货。</w:t>
            </w:r>
          </w:p>
          <w:p w14:paraId="113301F3">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b/>
                <w:bCs/>
                <w:spacing w:val="-4"/>
                <w:szCs w:val="21"/>
                <w:highlight w:val="none"/>
                <w:lang w:eastAsia="zh-CN"/>
              </w:rPr>
            </w:pPr>
            <w:r>
              <w:rPr>
                <w:rFonts w:hint="eastAsia" w:ascii="宋体" w:hAnsi="宋体" w:eastAsia="宋体" w:cs="宋体"/>
                <w:b/>
                <w:bCs/>
                <w:spacing w:val="-4"/>
                <w:szCs w:val="21"/>
                <w:highlight w:val="none"/>
                <w:lang w:eastAsia="zh-CN"/>
              </w:rPr>
              <w:t>2</w:t>
            </w:r>
            <w:r>
              <w:rPr>
                <w:rFonts w:hint="eastAsia" w:ascii="宋体" w:hAnsi="宋体" w:cs="宋体"/>
                <w:b/>
                <w:bCs/>
                <w:spacing w:val="-4"/>
                <w:szCs w:val="21"/>
                <w:highlight w:val="none"/>
                <w:lang w:val="en-US" w:eastAsia="zh-CN"/>
              </w:rPr>
              <w:t>.</w:t>
            </w:r>
            <w:r>
              <w:rPr>
                <w:rFonts w:hint="eastAsia" w:ascii="宋体" w:hAnsi="宋体" w:eastAsia="宋体" w:cs="宋体"/>
                <w:b/>
                <w:bCs/>
                <w:spacing w:val="-4"/>
                <w:szCs w:val="21"/>
                <w:highlight w:val="none"/>
                <w:lang w:eastAsia="zh-CN"/>
              </w:rPr>
              <w:t>本项目核心产品为表中序号为</w:t>
            </w:r>
            <w:r>
              <w:rPr>
                <w:rFonts w:hint="eastAsia" w:ascii="宋体" w:hAnsi="宋体" w:cs="宋体"/>
                <w:b/>
                <w:bCs/>
                <w:spacing w:val="-4"/>
                <w:szCs w:val="21"/>
                <w:highlight w:val="none"/>
                <w:u w:val="single"/>
                <w:lang w:val="en-US" w:eastAsia="zh-CN"/>
              </w:rPr>
              <w:t xml:space="preserve"> 1 </w:t>
            </w:r>
            <w:r>
              <w:rPr>
                <w:rFonts w:hint="eastAsia" w:ascii="宋体" w:hAnsi="宋体" w:eastAsia="宋体" w:cs="宋体"/>
                <w:b/>
                <w:bCs/>
                <w:spacing w:val="-4"/>
                <w:szCs w:val="21"/>
                <w:highlight w:val="none"/>
                <w:lang w:eastAsia="zh-CN"/>
              </w:rPr>
              <w:t>的设备，名称为“</w:t>
            </w:r>
            <w:r>
              <w:rPr>
                <w:rFonts w:hint="eastAsia" w:ascii="宋体" w:hAnsi="宋体" w:cs="宋体"/>
                <w:b/>
                <w:bCs/>
                <w:spacing w:val="-4"/>
                <w:szCs w:val="21"/>
                <w:highlight w:val="none"/>
                <w:lang w:val="en-US" w:eastAsia="zh-CN"/>
              </w:rPr>
              <w:t>智慧教学终端</w:t>
            </w:r>
            <w:r>
              <w:rPr>
                <w:rFonts w:hint="eastAsia" w:ascii="宋体" w:hAnsi="宋体" w:eastAsia="宋体" w:cs="宋体"/>
                <w:b/>
                <w:bCs/>
                <w:spacing w:val="-4"/>
                <w:szCs w:val="21"/>
                <w:highlight w:val="none"/>
                <w:lang w:eastAsia="zh-CN"/>
              </w:rPr>
              <w:t>”。</w:t>
            </w:r>
          </w:p>
          <w:p w14:paraId="2AED2858">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b w:val="0"/>
                <w:bCs w:val="0"/>
                <w:spacing w:val="-4"/>
                <w:szCs w:val="21"/>
                <w:highlight w:val="none"/>
                <w:lang w:eastAsia="zh-CN"/>
              </w:rPr>
            </w:pPr>
            <w:r>
              <w:rPr>
                <w:rFonts w:hint="eastAsia" w:ascii="宋体" w:hAnsi="宋体" w:eastAsia="宋体" w:cs="宋体"/>
                <w:b/>
                <w:bCs/>
                <w:spacing w:val="-4"/>
                <w:szCs w:val="21"/>
                <w:highlight w:val="none"/>
                <w:lang w:val="en-US" w:eastAsia="zh-CN"/>
              </w:rPr>
              <w:t>3</w:t>
            </w:r>
            <w:r>
              <w:rPr>
                <w:rFonts w:hint="eastAsia" w:ascii="宋体" w:hAnsi="宋体" w:cs="宋体"/>
                <w:b/>
                <w:bCs/>
                <w:spacing w:val="-4"/>
                <w:szCs w:val="21"/>
                <w:highlight w:val="none"/>
                <w:lang w:val="en-US" w:eastAsia="zh-CN"/>
              </w:rPr>
              <w:t>.</w:t>
            </w:r>
            <w:r>
              <w:rPr>
                <w:rFonts w:hint="eastAsia" w:ascii="宋体" w:hAnsi="宋体" w:eastAsia="宋体" w:cs="宋体"/>
                <w:b w:val="0"/>
                <w:bCs w:val="0"/>
                <w:spacing w:val="-4"/>
                <w:szCs w:val="21"/>
                <w:highlight w:val="none"/>
                <w:lang w:eastAsia="zh-CN"/>
              </w:rPr>
              <w:t>本项目主要标的为表中序号为</w:t>
            </w:r>
            <w:r>
              <w:rPr>
                <w:rFonts w:hint="eastAsia" w:ascii="宋体" w:hAnsi="宋体" w:cs="宋体"/>
                <w:b w:val="0"/>
                <w:bCs w:val="0"/>
                <w:spacing w:val="-4"/>
                <w:szCs w:val="21"/>
                <w:highlight w:val="none"/>
                <w:u w:val="single"/>
                <w:lang w:val="en-US" w:eastAsia="zh-CN"/>
              </w:rPr>
              <w:t xml:space="preserve"> 1 </w:t>
            </w:r>
            <w:r>
              <w:rPr>
                <w:rFonts w:hint="eastAsia" w:ascii="宋体" w:hAnsi="宋体" w:eastAsia="宋体" w:cs="宋体"/>
                <w:b w:val="0"/>
                <w:bCs w:val="0"/>
                <w:spacing w:val="-4"/>
                <w:szCs w:val="21"/>
                <w:highlight w:val="none"/>
                <w:lang w:eastAsia="zh-CN"/>
              </w:rPr>
              <w:t>的设备，主要标的名称、品牌、规格、型号、数量、单价等信息将在成交结果公告中公示。</w:t>
            </w:r>
          </w:p>
          <w:p w14:paraId="34B74672">
            <w:pPr>
              <w:keepNext w:val="0"/>
              <w:keepLines w:val="0"/>
              <w:pageBreakBefore w:val="0"/>
              <w:widowControl w:val="0"/>
              <w:kinsoku/>
              <w:wordWrap/>
              <w:overflowPunct/>
              <w:topLinePunct w:val="0"/>
              <w:autoSpaceDE/>
              <w:autoSpaceDN/>
              <w:bidi w:val="0"/>
              <w:adjustRightInd/>
              <w:snapToGrid/>
              <w:spacing w:line="460" w:lineRule="exact"/>
              <w:ind w:left="0"/>
              <w:jc w:val="left"/>
              <w:textAlignment w:val="auto"/>
              <w:rPr>
                <w:rFonts w:hint="eastAsia" w:ascii="宋体" w:hAnsi="宋体" w:eastAsia="宋体" w:cs="宋体"/>
                <w:b w:val="0"/>
                <w:bCs w:val="0"/>
                <w:spacing w:val="-4"/>
                <w:szCs w:val="21"/>
                <w:highlight w:val="none"/>
                <w:lang w:eastAsia="zh-CN"/>
              </w:rPr>
            </w:pPr>
            <w:r>
              <w:rPr>
                <w:rFonts w:hint="eastAsia" w:ascii="宋体" w:hAnsi="宋体" w:eastAsia="宋体" w:cs="宋体"/>
                <w:b w:val="0"/>
                <w:bCs w:val="0"/>
                <w:spacing w:val="-4"/>
                <w:szCs w:val="21"/>
                <w:highlight w:val="none"/>
                <w:lang w:val="en-US" w:eastAsia="zh-CN"/>
              </w:rPr>
              <w:t>4</w:t>
            </w:r>
            <w:r>
              <w:rPr>
                <w:rFonts w:hint="eastAsia" w:ascii="宋体" w:hAnsi="宋体" w:cs="宋体"/>
                <w:b w:val="0"/>
                <w:bCs w:val="0"/>
                <w:spacing w:val="-4"/>
                <w:szCs w:val="21"/>
                <w:highlight w:val="none"/>
                <w:lang w:val="en-US" w:eastAsia="zh-CN"/>
              </w:rPr>
              <w:t>.</w:t>
            </w:r>
            <w:r>
              <w:rPr>
                <w:rFonts w:hint="eastAsia" w:ascii="宋体" w:hAnsi="宋体" w:eastAsia="宋体" w:cs="宋体"/>
                <w:b w:val="0"/>
                <w:bCs w:val="0"/>
                <w:spacing w:val="-4"/>
                <w:szCs w:val="21"/>
                <w:highlight w:val="none"/>
                <w:lang w:eastAsia="zh-CN"/>
              </w:rPr>
              <w:t>所有技术参数及要求采购人验收时将逐条核对，如发现与实际情况不符、虚假响应等，采购人有权报监管部门并追究违约责任。</w:t>
            </w:r>
          </w:p>
          <w:p w14:paraId="4C80BCDD">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eastAsia"/>
                <w:highlight w:val="none"/>
                <w:lang w:val="en-US" w:eastAsia="zh-CN"/>
              </w:rPr>
            </w:pPr>
            <w:r>
              <w:rPr>
                <w:rFonts w:hint="eastAsia"/>
                <w:highlight w:val="none"/>
                <w:lang w:val="en-US" w:eastAsia="zh-CN"/>
              </w:rPr>
              <w:t>5.</w:t>
            </w:r>
            <w:r>
              <w:rPr>
                <w:rFonts w:hint="eastAsia"/>
                <w:b/>
                <w:bCs/>
                <w:highlight w:val="none"/>
                <w:lang w:eastAsia="zh-CN"/>
              </w:rPr>
              <w:t>本项目技术参数中若有要求提供</w:t>
            </w:r>
            <w:r>
              <w:rPr>
                <w:rFonts w:hint="eastAsia"/>
                <w:b/>
                <w:bCs/>
                <w:highlight w:val="cyan"/>
                <w:lang w:eastAsia="zh-CN"/>
              </w:rPr>
              <w:t>“检测报告”、“证明材料”等应</w:t>
            </w:r>
            <w:r>
              <w:rPr>
                <w:rFonts w:hint="eastAsia"/>
                <w:b/>
                <w:bCs/>
                <w:highlight w:val="none"/>
                <w:lang w:eastAsia="zh-CN"/>
              </w:rPr>
              <w:t>在合同签订前交由采购人查验。若成交人不能提供检测报告或提供的检测报告的内容与成交人响应文件中响应的内容不符，采购人有权报监管部门并追究违约责任，造成的一切损失由成交人自行承担。</w:t>
            </w:r>
          </w:p>
        </w:tc>
      </w:tr>
    </w:tbl>
    <w:p w14:paraId="69F26C29">
      <w:pPr>
        <w:pStyle w:val="4"/>
        <w:keepNext w:val="0"/>
        <w:keepLines w:val="0"/>
        <w:pageBreakBefore w:val="0"/>
        <w:widowControl w:val="0"/>
        <w:numPr>
          <w:ilvl w:val="0"/>
          <w:numId w:val="0"/>
        </w:numPr>
        <w:kinsoku/>
        <w:wordWrap w:val="0"/>
        <w:overflowPunct/>
        <w:topLinePunct w:val="0"/>
        <w:autoSpaceDE/>
        <w:autoSpaceDN/>
        <w:bidi w:val="0"/>
        <w:adjustRightInd/>
        <w:snapToGrid/>
        <w:spacing w:line="360" w:lineRule="auto"/>
        <w:textAlignment w:val="auto"/>
        <w:rPr>
          <w:rFonts w:hint="eastAsia"/>
          <w:highlight w:val="none"/>
        </w:rPr>
      </w:pPr>
      <w:r>
        <w:rPr>
          <w:rFonts w:hint="eastAsia" w:ascii="宋体" w:hAnsi="宋体" w:eastAsia="宋体" w:cs="Times New Roman"/>
          <w:b/>
          <w:kern w:val="2"/>
          <w:sz w:val="21"/>
          <w:highlight w:val="none"/>
          <w:shd w:val="clear" w:color="auto" w:fill="FFFFFF"/>
          <w:lang w:val="en-US" w:eastAsia="zh-CN" w:bidi="ar-SA"/>
        </w:rPr>
        <w:t>三、</w:t>
      </w:r>
      <w:r>
        <w:rPr>
          <w:rFonts w:hint="eastAsia"/>
          <w:highlight w:val="none"/>
        </w:rPr>
        <w:t>人员培训要求</w:t>
      </w:r>
    </w:p>
    <w:p w14:paraId="5C4ABDCA">
      <w:pPr>
        <w:pStyle w:val="4"/>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b w:val="0"/>
          <w:bCs/>
          <w:szCs w:val="21"/>
          <w:highlight w:val="none"/>
        </w:rPr>
      </w:pPr>
      <w:r>
        <w:rPr>
          <w:rFonts w:hint="eastAsia"/>
          <w:b w:val="0"/>
          <w:bCs/>
          <w:szCs w:val="21"/>
          <w:highlight w:val="none"/>
        </w:rPr>
        <w:t>货物安装、调试、验收合格后，成交人应对采购人的相关人员进行免费现场培训。培训内容包括基本操作、保养维修、常见故障及解决办法等。</w:t>
      </w:r>
    </w:p>
    <w:p w14:paraId="48757238">
      <w:pPr>
        <w:pStyle w:val="4"/>
        <w:keepNext w:val="0"/>
        <w:keepLines w:val="0"/>
        <w:pageBreakBefore w:val="0"/>
        <w:widowControl w:val="0"/>
        <w:kinsoku/>
        <w:wordWrap w:val="0"/>
        <w:overflowPunct/>
        <w:topLinePunct w:val="0"/>
        <w:autoSpaceDE/>
        <w:autoSpaceDN/>
        <w:bidi w:val="0"/>
        <w:adjustRightInd/>
        <w:snapToGrid/>
        <w:spacing w:line="360" w:lineRule="auto"/>
        <w:textAlignment w:val="auto"/>
        <w:rPr>
          <w:highlight w:val="none"/>
        </w:rPr>
      </w:pPr>
      <w:r>
        <w:rPr>
          <w:rFonts w:hint="eastAsia"/>
          <w:highlight w:val="none"/>
        </w:rPr>
        <w:t>四、货物质量及售后服务要求</w:t>
      </w:r>
    </w:p>
    <w:p w14:paraId="05FF1319">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货物质量：成交人提供的货物必须是全新、原装、合格正品，完全符合国家规定的质量标准和厂方的标准。货物完好，配件齐全。</w:t>
      </w:r>
    </w:p>
    <w:p w14:paraId="0A85BBA5">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保修及售后服务：依据商品的保修条款及售后服务条款，提供原厂质保，质保期按照国家规定，且不低于所供品牌向用户承诺的质保期限，质保期从货物验收合格后算起。</w:t>
      </w:r>
    </w:p>
    <w:p w14:paraId="6AADA9A1">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rPr>
          <w:rFonts w:hint="eastAsia"/>
          <w:highlight w:val="none"/>
        </w:rPr>
      </w:pP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lang w:eastAsia="zh-CN"/>
        </w:rPr>
        <w:t>维修响应时间，成交人接到采购人报修信息后，提供7</w:t>
      </w:r>
      <w:r>
        <w:rPr>
          <w:rFonts w:hint="eastAsia" w:ascii="宋体" w:hAnsi="宋体" w:cs="Times New Roman"/>
          <w:szCs w:val="21"/>
          <w:highlight w:val="none"/>
          <w:lang w:val="en-US" w:eastAsia="zh-CN"/>
        </w:rPr>
        <w:t>×</w:t>
      </w:r>
      <w:r>
        <w:rPr>
          <w:rFonts w:hint="eastAsia" w:ascii="宋体" w:hAnsi="宋体" w:eastAsia="宋体" w:cs="Times New Roman"/>
          <w:szCs w:val="21"/>
          <w:highlight w:val="none"/>
          <w:lang w:eastAsia="zh-CN"/>
        </w:rPr>
        <w:t>24小时及时响应，4小时到达现场，8小时修复。如不能修复免费提供同等档次备用设备，因成交人售后服务不及时而造成损失，成交人必须承担由此产生的一切费用。</w:t>
      </w:r>
    </w:p>
    <w:p w14:paraId="725619AF">
      <w:pPr>
        <w:pStyle w:val="4"/>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eastAsia="宋体"/>
          <w:highlight w:val="none"/>
          <w:lang w:eastAsia="zh-CN"/>
        </w:rPr>
      </w:pPr>
      <w:r>
        <w:rPr>
          <w:rFonts w:hint="eastAsia"/>
          <w:highlight w:val="none"/>
        </w:rPr>
        <w:t>五、验收</w:t>
      </w:r>
    </w:p>
    <w:p w14:paraId="676F0FBB">
      <w:pPr>
        <w:keepNext w:val="0"/>
        <w:keepLines w:val="0"/>
        <w:pageBreakBefore w:val="0"/>
        <w:widowControl w:val="0"/>
        <w:kinsoku/>
        <w:wordWrap w:val="0"/>
        <w:overflowPunct/>
        <w:topLinePunct w:val="0"/>
        <w:bidi w:val="0"/>
        <w:spacing w:line="360" w:lineRule="auto"/>
        <w:ind w:firstLine="420" w:firstLineChars="200"/>
        <w:jc w:val="left"/>
        <w:rPr>
          <w:rFonts w:hint="eastAsia"/>
          <w:highlight w:val="none"/>
        </w:rPr>
        <w:sectPr>
          <w:footerReference r:id="rId3" w:type="default"/>
          <w:pgSz w:w="11906" w:h="16838"/>
          <w:pgMar w:top="1440" w:right="1080" w:bottom="1440" w:left="1080" w:header="850" w:footer="992" w:gutter="0"/>
          <w:pgNumType w:fmt="decimal"/>
          <w:cols w:space="0" w:num="1"/>
          <w:rtlGutter w:val="0"/>
          <w:docGrid w:type="lines" w:linePitch="324" w:charSpace="0"/>
        </w:sectPr>
      </w:pPr>
      <w:r>
        <w:rPr>
          <w:rFonts w:hint="eastAsia" w:ascii="宋体" w:hAnsi="宋体"/>
          <w:sz w:val="21"/>
          <w:szCs w:val="21"/>
          <w:highlight w:val="none"/>
        </w:rPr>
        <w:t>成交人和采购人双方共同实施验收工作，结果和验收报告经双方确认后生效。</w:t>
      </w:r>
    </w:p>
    <w:p w14:paraId="1BCE8E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E3A1A">
    <w:pPr>
      <w:pStyle w:val="8"/>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CDE93C5">
                          <w:pPr>
                            <w:pStyle w:val="8"/>
                          </w:pPr>
                          <w:r>
                            <w:fldChar w:fldCharType="begin"/>
                          </w:r>
                          <w:r>
                            <w:instrText xml:space="preserve"> PAGE  \* MERGEFORMAT </w:instrText>
                          </w:r>
                          <w:r>
                            <w:fldChar w:fldCharType="separate"/>
                          </w:r>
                          <w:r>
                            <w:t>二十</w:t>
                          </w:r>
                          <w:r>
                            <w:fldChar w:fldCharType="end"/>
                          </w:r>
                        </w:p>
                      </w:txbxContent>
                    </wps:txbx>
                    <wps:bodyPr vert="horz" wrap="none" lIns="0" tIns="0" rIns="0" bIns="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iL46J9IBAACfAwAADgAAAAAAAAABACAAAAAfAQAA&#10;ZHJzL2Uyb0RvYy54bWxQSwUGAAAAAAYABgBZAQAAYwUAAAAA&#10;">
              <v:fill on="f" focussize="0,0"/>
              <v:stroke on="f"/>
              <v:imagedata o:title=""/>
              <o:lock v:ext="edit" aspectratio="f"/>
              <v:textbox inset="0mm,0mm,0mm,0mm" style="mso-fit-shape-to-text:t;">
                <w:txbxContent>
                  <w:p w14:paraId="3CDE93C5">
                    <w:pPr>
                      <w:pStyle w:val="8"/>
                    </w:pPr>
                    <w:r>
                      <w:fldChar w:fldCharType="begin"/>
                    </w:r>
                    <w:r>
                      <w:instrText xml:space="preserve"> PAGE  \* MERGEFORMAT </w:instrText>
                    </w:r>
                    <w:r>
                      <w:fldChar w:fldCharType="separate"/>
                    </w:r>
                    <w:r>
                      <w:t>二十</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809BE1"/>
    <w:multiLevelType w:val="singleLevel"/>
    <w:tmpl w:val="DC809BE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B31D5"/>
    <w:rsid w:val="04C24768"/>
    <w:rsid w:val="09E54678"/>
    <w:rsid w:val="2B784AFD"/>
    <w:rsid w:val="32D66F61"/>
    <w:rsid w:val="40482B8C"/>
    <w:rsid w:val="518A5B33"/>
    <w:rsid w:val="5A47312A"/>
    <w:rsid w:val="61315D0A"/>
    <w:rsid w:val="69BF72AD"/>
    <w:rsid w:val="6F6F2B64"/>
    <w:rsid w:val="788B7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11">
    <w:name w:val="Default Paragraph Font"/>
    <w:qFormat/>
    <w:uiPriority w:val="0"/>
  </w:style>
  <w:style w:type="table" w:default="1" w:styleId="10">
    <w:name w:val="Normal Table"/>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hAnsi="Arial" w:eastAsia="楷体_GB2312"/>
      <w:sz w:val="20"/>
    </w:rPr>
  </w:style>
  <w:style w:type="paragraph" w:styleId="5">
    <w:name w:val="Normal Indent"/>
    <w:basedOn w:val="1"/>
    <w:qFormat/>
    <w:uiPriority w:val="0"/>
    <w:pPr>
      <w:ind w:firstLine="420"/>
    </w:pPr>
  </w:style>
  <w:style w:type="paragraph" w:styleId="6">
    <w:name w:val="Body Text Indent"/>
    <w:basedOn w:val="1"/>
    <w:qFormat/>
    <w:uiPriority w:val="0"/>
    <w:pPr>
      <w:ind w:firstLine="645"/>
    </w:pPr>
    <w:rPr>
      <w:sz w:val="20"/>
    </w:rPr>
  </w:style>
  <w:style w:type="paragraph" w:styleId="7">
    <w:name w:val="Plain Text"/>
    <w:basedOn w:val="1"/>
    <w:qFormat/>
    <w:uiPriority w:val="99"/>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模板普通正文"/>
    <w:basedOn w:val="6"/>
    <w:qFormat/>
    <w:uiPriority w:val="0"/>
    <w:pPr>
      <w:spacing w:beforeLines="50" w:after="10"/>
      <w:ind w:firstLine="490" w:firstLineChars="175"/>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4672</Words>
  <Characters>4979</Characters>
  <Paragraphs>147</Paragraphs>
  <TotalTime>0</TotalTime>
  <ScaleCrop>false</ScaleCrop>
  <LinksUpToDate>false</LinksUpToDate>
  <CharactersWithSpaces>5076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2025-11-21T01:29:00Z</dcterms:created>
  <dc:creator>Administrator</dc:creator>
  <cp:lastModifiedBy>Administrator</cp:lastModifiedBy>
  <dcterms:modified xsi:type="dcterms:W3CDTF">2025-12-08T02:15:37Z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eyJoZGlkIjoiYTNhN2Y3ZDI0MTFhM2RkODUzNmUzZTIxMGRmMTNlZTUifQ==</vt:lpwstr>
  </property>
  <property fmtid="{D5CDD505-2E9C-101B-9397-08002B2CF9AE}" pid="4" name="ICV">
    <vt:lpwstr>22e2e5ca12864d278cb2e6cac74ada56_23</vt:lpwstr>
  </property>
</Properties>
</file>