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48A5FF">
      <w:pPr>
        <w:pStyle w:val="3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安庆市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特殊教育学校</w:t>
      </w:r>
    </w:p>
    <w:p w14:paraId="019609FD">
      <w:pPr>
        <w:pStyle w:val="3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培智教学系统</w:t>
      </w:r>
      <w:r>
        <w:rPr>
          <w:rFonts w:hint="eastAsia" w:asciiTheme="minorEastAsia" w:hAnsiTheme="minorEastAsia" w:cstheme="minor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（七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年级</w:t>
      </w:r>
      <w:r>
        <w:rPr>
          <w:rFonts w:hint="eastAsia" w:asciiTheme="minorEastAsia" w:hAnsiTheme="minorEastAsia" w:cstheme="minor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下册）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采购项目采购需求</w:t>
      </w:r>
    </w:p>
    <w:tbl>
      <w:tblPr>
        <w:tblStyle w:val="7"/>
        <w:tblW w:w="95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3"/>
        <w:gridCol w:w="1327"/>
        <w:gridCol w:w="7170"/>
        <w:gridCol w:w="569"/>
      </w:tblGrid>
      <w:tr w14:paraId="32A6D9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3" w:type="dxa"/>
            <w:vAlign w:val="center"/>
          </w:tcPr>
          <w:p w14:paraId="17E8E816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27" w:type="dxa"/>
            <w:vAlign w:val="center"/>
          </w:tcPr>
          <w:p w14:paraId="357828EF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4"/>
                <w:szCs w:val="24"/>
                <w:u w:val="none"/>
                <w:lang w:eastAsia="zh-CN"/>
              </w:rPr>
              <w:t>教学系统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4"/>
                <w:szCs w:val="24"/>
                <w:u w:val="none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4"/>
                <w:szCs w:val="24"/>
                <w:u w:val="none"/>
                <w:lang w:val="en-US" w:eastAsia="zh-CN"/>
              </w:rPr>
              <w:t>七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4"/>
                <w:szCs w:val="24"/>
                <w:u w:val="none"/>
                <w:lang w:eastAsia="zh-CN"/>
              </w:rPr>
              <w:t>年级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4"/>
                <w:szCs w:val="24"/>
                <w:u w:val="none"/>
                <w:lang w:val="en-US" w:eastAsia="zh-CN"/>
              </w:rPr>
              <w:t>下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4"/>
                <w:szCs w:val="24"/>
                <w:u w:val="none"/>
                <w:lang w:eastAsia="zh-CN"/>
              </w:rPr>
              <w:t>册）</w:t>
            </w:r>
          </w:p>
        </w:tc>
        <w:tc>
          <w:tcPr>
            <w:tcW w:w="7170" w:type="dxa"/>
            <w:vAlign w:val="center"/>
          </w:tcPr>
          <w:p w14:paraId="72B748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FF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一、软件参数：</w:t>
            </w:r>
          </w:p>
          <w:p w14:paraId="1BB13A30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 w:lef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Cs w:val="21"/>
                <w:u w:val="wave" w:color="FFFFFF"/>
              </w:rPr>
              <w:t>▲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1、为保证教学效果，软件内动漫和游戏中的人物形象应与学校使用</w:t>
            </w: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lang w:eastAsia="zh-CN"/>
              </w:rPr>
              <w:t>培智学校义务教育实验教科书（人教版）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教材中的人物形象一致。</w:t>
            </w:r>
          </w:p>
          <w:p w14:paraId="01B96D14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 w:lef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2、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具备视频、图片、游戏、文字功能。</w:t>
            </w:r>
          </w:p>
          <w:p w14:paraId="1CF6D9E1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 w:lef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3、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配套培智学校义务实验教科书（人教版）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七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年级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下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册《生活适应》《生活语文》《生活数学》设计和制作的教育教学资源。</w:t>
            </w:r>
          </w:p>
          <w:p w14:paraId="1A1227F4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 w:lef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4、七年级下册《生活适应》课程资源内容：①文明就餐；②合理着装；③与父母沟通；④突发疾病的应对与预防；⑤意外伤害的应对与预防；⑥生活在社区；⑦社区志愿服务。课程资源类型（以下为估算数据）：视频（≥31个）、图片（≥115幅）、互动游戏（≥8个）、文字活动方案（≥37个）。</w:t>
            </w:r>
          </w:p>
          <w:p w14:paraId="70D09D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5、七年级下册《生活语文》课程资源内容：①让我们荡起双桨；②我选我；③通知；④坏事变好事；◎语文小天地一；⑤忆江南；⑥雷雨；⑦明信片；⑧公园导览图；◎语文小天地二；◎写话与习作 列清单；⑨雷锋叔叔，你在哪里；⑩扫墓；⑪朱德的扁担；◎语文小天地三；⑫田家四季歌；⑬守株待兔；⑭劳动倡议书；⑮千人糕；◎语文小天地四；◎写话与习作 学写留言条；⑯自读课文。课程资源类型（以下为估算数据）：视频（≥199个）、图片（≥305幅）、互动游戏（≥36个）、文字活动方案（≥68个）。</w:t>
            </w:r>
          </w:p>
          <w:p w14:paraId="070EA007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 w:lef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6、七年级下册《生活数学》课程资源内容：①表内乘法（二）；②线段与直线；③轴对称图形；◎综合与实践；④总复习。课程资源类型（以下为估算数据）：视频（≥35个）、图片（≥86幅）、互动游戏（≥59个）、文字活动方案（≥63个）。</w:t>
            </w:r>
          </w:p>
          <w:p w14:paraId="31823F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</w:rPr>
              <w:t>★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（投标时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针对上述“一、软件参数第4至6条”全部内容，提供具备CMA资质的检测机构（检测报告须标注CMA标志）出具的七年级下检测报告复印件予以佐证。）</w:t>
            </w:r>
          </w:p>
          <w:p w14:paraId="3B3E26D1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 w:lef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7、资源说明</w:t>
            </w:r>
          </w:p>
          <w:p w14:paraId="516A55B3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 w:lef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拍摄的真人视频、自制的动漫等视频资源。</w:t>
            </w:r>
          </w:p>
          <w:p w14:paraId="03D09CAB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 w:lef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拍摄的图片、自创的卡通图片等资源。</w:t>
            </w:r>
          </w:p>
          <w:p w14:paraId="44EB7D39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 w:lef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根据课程标准、教学目标设置的人机互动游戏。</w:t>
            </w:r>
          </w:p>
          <w:p w14:paraId="2EC03BDD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 w:lef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实践活动、线下游戏的文字活动方案。</w:t>
            </w:r>
          </w:p>
          <w:p w14:paraId="65E82B6C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 w:lef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8、软件内包含与课程配套的《生活适应》、《生活语文》、《生活数学》详细教案</w:t>
            </w:r>
          </w:p>
          <w:p w14:paraId="1C54E485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 w:lef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9、功能要求</w:t>
            </w:r>
          </w:p>
          <w:p w14:paraId="65DE8EBC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 w:lef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可一键退出教学系统功能。</w:t>
            </w:r>
          </w:p>
          <w:p w14:paraId="1C1473EB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 w:lef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配有背景音乐播放或关闭功能。</w:t>
            </w:r>
          </w:p>
          <w:p w14:paraId="287E83DA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 w:lef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可调节背景音乐或课件资源的音频的音量大小功能。</w:t>
            </w:r>
          </w:p>
          <w:p w14:paraId="4EB8F0CC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 w:lef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有表扬、鼓励学生功能画面。</w:t>
            </w:r>
          </w:p>
          <w:p w14:paraId="63984354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 w:lef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维持课堂安静功能，可示意学生保持安静功能。</w:t>
            </w:r>
          </w:p>
          <w:p w14:paraId="134A339F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 w:lef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刷新功能即可在浏览图片、操作游戏时刷新界面，重新加载页面。</w:t>
            </w:r>
          </w:p>
          <w:p w14:paraId="0B39C912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 w:lef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在播放视频时可暂停视频和恢复播放功能。</w:t>
            </w:r>
          </w:p>
          <w:p w14:paraId="01F7DAF9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 w:lef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返回上一级页面功能。</w:t>
            </w:r>
          </w:p>
          <w:p w14:paraId="40351925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将程序窗口最小化进入电脑桌面其它界面功能。</w:t>
            </w:r>
          </w:p>
          <w:p w14:paraId="4D009F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 w:firstLine="0" w:firstLineChars="0"/>
              <w:textAlignment w:val="auto"/>
              <w:rPr>
                <w:rFonts w:hint="default" w:ascii="Times New Roman" w:hAnsi="Times New Roman" w:eastAsia="宋体" w:cs="Times New Roman"/>
                <w:color w:val="FF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二、硬件部分：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存储容量：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eastAsia="zh-CN"/>
              </w:rPr>
              <w:t>16G*3个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接口：USB3.0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读写速度：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7~17MB/S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  <w:t>。</w:t>
            </w:r>
          </w:p>
          <w:p w14:paraId="448ABE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 w:firstLine="0" w:firstLineChars="0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三、教学用具：</w:t>
            </w:r>
          </w:p>
          <w:p w14:paraId="27DFB1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 w:firstLine="0" w:firstLineChars="0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1、七年级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下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教学用具包</w:t>
            </w:r>
          </w:p>
          <w:p w14:paraId="6746E1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 w:firstLine="0" w:firstLineChars="0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1.1规格约：230*190mm、185*260mm、140*170mm、370*260mm 、130*90mm不低于≥80项</w:t>
            </w:r>
          </w:p>
          <w:p w14:paraId="347D53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 w:firstLine="0" w:firstLineChars="0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1.2数量：三箱</w:t>
            </w:r>
          </w:p>
          <w:p w14:paraId="5DCB48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 w:firstLine="0" w:firstLineChars="0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1.3内容：</w:t>
            </w:r>
          </w:p>
          <w:p w14:paraId="350264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1.3.1七年级下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生活适应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类教学用具内容包含但不限于：</w:t>
            </w:r>
          </w:p>
          <w:p w14:paraId="4D60F9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文明就餐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</w:rPr>
              <w:t>≥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52项、</w:t>
            </w:r>
            <w:r>
              <w:rPr>
                <w:rStyle w:val="9"/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合理着装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</w:rPr>
              <w:t>≥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41项、</w:t>
            </w:r>
            <w:r>
              <w:rPr>
                <w:rStyle w:val="10"/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与父母沟通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</w:rPr>
              <w:t>≥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29项、</w:t>
            </w:r>
            <w:r>
              <w:rPr>
                <w:rStyle w:val="11"/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突发疾病的应对与预防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</w:rPr>
              <w:t>≥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40项、</w:t>
            </w:r>
            <w:r>
              <w:rPr>
                <w:rStyle w:val="12"/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意外伤害的应对与预防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</w:rPr>
              <w:t>≥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63项、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生活在社区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</w:rPr>
              <w:t>≥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61项、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社区志愿服务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</w:rPr>
              <w:t>≥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37项。</w:t>
            </w:r>
          </w:p>
          <w:p w14:paraId="7B0ADC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1.3.2七年级下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生活语文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类教学用具内容包含但不限于：</w:t>
            </w:r>
          </w:p>
          <w:p w14:paraId="7496A7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</w:rPr>
              <w:t>让我们荡起双桨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</w:rPr>
              <w:t>≥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37项、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我选我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</w:rPr>
              <w:t>≥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8项、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通知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</w:rPr>
              <w:t>≥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9项、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语文天地（一）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</w:rPr>
              <w:t>≥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3项、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忆江南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</w:rPr>
              <w:t>≥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6项、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雷雨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</w:rPr>
              <w:t>≥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20项、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明信片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</w:rPr>
              <w:t>≥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19项、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公园导览图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</w:rPr>
              <w:t>≥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2项、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</w:rPr>
              <w:t>语文天地（二）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</w:rPr>
              <w:t>≥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4项、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</w:rPr>
              <w:t>写话与习作列清单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</w:rPr>
              <w:t>≥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2项、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雷锋叔叔，你在哪里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</w:rPr>
              <w:t>≥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23项、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扫墓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</w:rPr>
              <w:t>≥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22项、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朱德的扁担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</w:rPr>
              <w:t>≥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20项、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语文天地（三）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</w:rPr>
              <w:t>≥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18项、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田家四季歌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</w:rPr>
              <w:t>≥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13项、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守株待兔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</w:rPr>
              <w:t>≥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19项、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劳动倡议书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</w:rPr>
              <w:t>≥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8项、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语文天地（四）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</w:rPr>
              <w:t>≥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13项、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写话与习作：学写留言条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</w:rPr>
              <w:t>≥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1项。</w:t>
            </w:r>
          </w:p>
          <w:p w14:paraId="498277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1.3.3七年级下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生活数学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类教学用具内容包含但不限于：</w:t>
            </w:r>
          </w:p>
          <w:p w14:paraId="5DAA25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pacing w:val="6"/>
                <w:sz w:val="24"/>
                <w:szCs w:val="24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表内乘法(二)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</w:rPr>
              <w:t>≥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137项、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pacing w:val="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线段与直线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</w:rPr>
              <w:t>≥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22项、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pacing w:val="-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轴对称图形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</w:rPr>
              <w:t>≥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55项、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pacing w:val="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综合与实践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</w:rPr>
              <w:t>≥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4项、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pacing w:val="8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总复习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</w:rPr>
              <w:t>≥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33项。</w:t>
            </w:r>
          </w:p>
          <w:p w14:paraId="32F330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 w:firstLine="0" w:firstLineChars="0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1.3.4产品内容紧扣《义务教育课程标准》和人教版《生活适应》、《生活语文》、《生活数学》教材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，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提供教材配套教学用具符合环保需求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。</w:t>
            </w:r>
          </w:p>
          <w:p w14:paraId="2583D948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★（投标时须提供具备CMA资质的检测机构（检测报告须标注CMA标志）的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七年级下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教学用具检测报告复印件。检验项目包括但不限于：GB21027-2020中可迁移元素（锑、砷、钡、镉、铬、铅、汞、硒）或GB6675.4-2014-特定元素的迁移，检测项目需符合检验标准中的化学安全要求，并加盖制造商公章。）</w:t>
            </w:r>
          </w:p>
        </w:tc>
        <w:tc>
          <w:tcPr>
            <w:tcW w:w="569" w:type="dxa"/>
            <w:vAlign w:val="center"/>
          </w:tcPr>
          <w:p w14:paraId="5F4E833F">
            <w:pPr>
              <w:pStyle w:val="3"/>
              <w:keepNext/>
              <w:keepLines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Theme="minorEastAsia" w:hAnsiTheme="minorEastAsia" w:cstheme="minorEastAsia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套</w:t>
            </w:r>
            <w:bookmarkStart w:id="0" w:name="_GoBack"/>
            <w:bookmarkEnd w:id="0"/>
          </w:p>
        </w:tc>
      </w:tr>
    </w:tbl>
    <w:p w14:paraId="793751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bCs/>
          <w:sz w:val="24"/>
          <w:szCs w:val="24"/>
        </w:rPr>
      </w:pPr>
    </w:p>
    <w:p w14:paraId="0AE56E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bCs/>
          <w:sz w:val="24"/>
          <w:szCs w:val="24"/>
        </w:rPr>
      </w:pPr>
      <w:r>
        <w:rPr>
          <w:rFonts w:hint="eastAsia" w:ascii="宋体" w:hAnsi="宋体" w:eastAsia="宋体" w:cs="宋体"/>
          <w:bCs/>
          <w:sz w:val="24"/>
          <w:szCs w:val="24"/>
        </w:rPr>
        <w:t>备注：</w:t>
      </w:r>
    </w:p>
    <w:p w14:paraId="18B9AE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hint="eastAsia" w:ascii="宋体" w:hAnsi="宋体" w:eastAsia="宋体" w:cs="宋体"/>
          <w:bCs/>
          <w:sz w:val="24"/>
          <w:szCs w:val="24"/>
        </w:rPr>
      </w:pPr>
      <w:r>
        <w:rPr>
          <w:rFonts w:hint="eastAsia" w:ascii="宋体" w:hAnsi="宋体" w:eastAsia="宋体" w:cs="宋体"/>
          <w:bCs/>
          <w:sz w:val="24"/>
          <w:szCs w:val="24"/>
        </w:rPr>
        <w:t>一、采购文件中标</w:t>
      </w:r>
      <w:r>
        <w:rPr>
          <w:rFonts w:hint="eastAsia" w:ascii="宋体" w:hAnsi="宋体" w:eastAsia="宋体" w:cs="宋体"/>
          <w:bCs/>
          <w:sz w:val="24"/>
          <w:szCs w:val="24"/>
          <w:lang w:eastAsia="zh-CN"/>
        </w:rPr>
        <w:t>“</w:t>
      </w:r>
      <w:r>
        <w:rPr>
          <w:rFonts w:hint="eastAsia" w:ascii="宋体" w:hAnsi="宋体" w:eastAsia="宋体" w:cs="宋体"/>
          <w:bCs/>
          <w:sz w:val="24"/>
          <w:szCs w:val="24"/>
        </w:rPr>
        <w:t>★</w:t>
      </w:r>
      <w:r>
        <w:rPr>
          <w:rFonts w:hint="eastAsia" w:ascii="宋体" w:hAnsi="宋体" w:eastAsia="宋体" w:cs="宋体"/>
          <w:bCs/>
          <w:sz w:val="24"/>
          <w:szCs w:val="24"/>
          <w:lang w:eastAsia="zh-CN"/>
        </w:rPr>
        <w:t>”</w:t>
      </w:r>
      <w:r>
        <w:rPr>
          <w:rFonts w:hint="eastAsia" w:ascii="宋体" w:hAnsi="宋体" w:eastAsia="宋体" w:cs="宋体"/>
          <w:bCs/>
          <w:sz w:val="24"/>
          <w:szCs w:val="24"/>
        </w:rPr>
        <w:t>项条款为</w:t>
      </w:r>
      <w:r>
        <w:rPr>
          <w:rFonts w:hint="eastAsia" w:ascii="宋体" w:hAnsi="宋体" w:eastAsia="宋体" w:cs="宋体"/>
          <w:bCs/>
          <w:sz w:val="24"/>
          <w:szCs w:val="24"/>
          <w:lang w:eastAsia="zh-CN"/>
        </w:rPr>
        <w:t>实质性要求，供应商需按采购需求提供相应的证明材料</w:t>
      </w:r>
      <w:r>
        <w:rPr>
          <w:rFonts w:hint="eastAsia" w:ascii="宋体" w:hAnsi="宋体" w:eastAsia="宋体" w:cs="宋体"/>
          <w:bCs/>
          <w:sz w:val="24"/>
          <w:szCs w:val="24"/>
        </w:rPr>
        <w:t>；</w:t>
      </w:r>
    </w:p>
    <w:p w14:paraId="10FF11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hint="eastAsia" w:ascii="宋体" w:hAnsi="宋体" w:eastAsia="宋体" w:cs="宋体"/>
          <w:bCs/>
          <w:sz w:val="24"/>
          <w:szCs w:val="24"/>
        </w:rPr>
      </w:pPr>
      <w:r>
        <w:rPr>
          <w:rFonts w:hint="eastAsia" w:ascii="宋体" w:hAnsi="宋体" w:eastAsia="宋体" w:cs="宋体"/>
          <w:bCs/>
          <w:sz w:val="24"/>
          <w:szCs w:val="24"/>
        </w:rPr>
        <w:t>二、为保证教学效果，</w:t>
      </w:r>
      <w:r>
        <w:rPr>
          <w:rFonts w:hint="eastAsia" w:ascii="宋体" w:hAnsi="宋体" w:eastAsia="宋体" w:cs="宋体"/>
          <w:bCs/>
          <w:sz w:val="24"/>
          <w:szCs w:val="24"/>
          <w:lang w:eastAsia="zh-CN"/>
        </w:rPr>
        <w:t>采购文件中表“</w:t>
      </w:r>
      <w:r>
        <w:rPr>
          <w:rFonts w:hint="eastAsia" w:ascii="宋体" w:hAnsi="宋体" w:cs="宋体"/>
          <w:kern w:val="0"/>
          <w:szCs w:val="21"/>
          <w:u w:val="wave" w:color="FFFFFF"/>
        </w:rPr>
        <w:t>▲</w:t>
      </w:r>
      <w:r>
        <w:rPr>
          <w:rFonts w:hint="eastAsia" w:ascii="宋体" w:hAnsi="宋体" w:eastAsia="宋体" w:cs="宋体"/>
          <w:bCs/>
          <w:sz w:val="24"/>
          <w:szCs w:val="24"/>
          <w:lang w:eastAsia="zh-CN"/>
        </w:rPr>
        <w:t>”项条款，供应商需提供书面承诺并加盖公章，要求所提供的</w:t>
      </w:r>
      <w:r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  <w:t>教学系统内</w:t>
      </w:r>
      <w:r>
        <w:rPr>
          <w:rFonts w:hint="eastAsia" w:ascii="宋体" w:hAnsi="宋体" w:eastAsia="宋体" w:cs="宋体"/>
          <w:bCs/>
          <w:sz w:val="24"/>
          <w:szCs w:val="24"/>
        </w:rPr>
        <w:t>动漫和游戏中的人物形象应与学校使用教材中的人物形象一致。</w:t>
      </w:r>
    </w:p>
    <w:p w14:paraId="10FEAE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hint="eastAsia" w:ascii="宋体" w:hAnsi="宋体" w:eastAsia="宋体" w:cs="宋体"/>
          <w:bCs/>
          <w:sz w:val="24"/>
          <w:szCs w:val="24"/>
        </w:rPr>
      </w:pPr>
      <w:r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  <w:t>三</w:t>
      </w:r>
      <w:r>
        <w:rPr>
          <w:rFonts w:hint="eastAsia" w:ascii="宋体" w:hAnsi="宋体" w:eastAsia="宋体" w:cs="宋体"/>
          <w:bCs/>
          <w:sz w:val="24"/>
          <w:szCs w:val="24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bCs/>
          <w:sz w:val="24"/>
          <w:szCs w:val="24"/>
        </w:rPr>
        <w:t>售后服务要求：</w:t>
      </w:r>
    </w:p>
    <w:p w14:paraId="1973CE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hint="eastAsia" w:ascii="宋体" w:hAnsi="宋体" w:eastAsia="宋体" w:cs="宋体"/>
          <w:bCs/>
          <w:sz w:val="24"/>
          <w:szCs w:val="24"/>
        </w:rPr>
      </w:pPr>
      <w:r>
        <w:rPr>
          <w:rFonts w:hint="eastAsia" w:ascii="宋体" w:hAnsi="宋体" w:eastAsia="宋体" w:cs="宋体"/>
          <w:bCs/>
          <w:sz w:val="24"/>
          <w:szCs w:val="24"/>
        </w:rPr>
        <w:t>1.免费保修期要求:按国家有关产品“三包”规定执行“三包”服务，本项目教学软件产品，供应商提供一年免费保修和升级服务。</w:t>
      </w:r>
    </w:p>
    <w:p w14:paraId="5180CF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hint="eastAsia" w:ascii="宋体" w:hAnsi="宋体" w:eastAsia="宋体" w:cs="宋体"/>
          <w:bCs/>
          <w:sz w:val="24"/>
          <w:szCs w:val="24"/>
        </w:rPr>
      </w:pPr>
      <w:r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  <w:t>四</w:t>
      </w:r>
      <w:r>
        <w:rPr>
          <w:rFonts w:hint="eastAsia" w:ascii="宋体" w:hAnsi="宋体" w:eastAsia="宋体" w:cs="宋体"/>
          <w:bCs/>
          <w:sz w:val="24"/>
          <w:szCs w:val="24"/>
        </w:rPr>
        <w:t>、其它要求：</w:t>
      </w:r>
    </w:p>
    <w:p w14:paraId="624A9A1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交付使用期：自签订合同之日起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10</w:t>
      </w:r>
      <w:r>
        <w:rPr>
          <w:rFonts w:hint="eastAsia" w:ascii="宋体" w:hAnsi="宋体" w:eastAsia="宋体" w:cs="宋体"/>
          <w:sz w:val="24"/>
          <w:szCs w:val="24"/>
        </w:rPr>
        <w:t>个工作日内建设完毕并交付使用。</w:t>
      </w:r>
    </w:p>
    <w:p w14:paraId="10F687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2、交付地点：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采购方指定地点</w:t>
      </w:r>
      <w:r>
        <w:rPr>
          <w:rFonts w:hint="eastAsia" w:ascii="宋体" w:hAnsi="宋体" w:eastAsia="宋体" w:cs="宋体"/>
          <w:sz w:val="24"/>
          <w:szCs w:val="24"/>
        </w:rPr>
        <w:t>。</w:t>
      </w:r>
    </w:p>
    <w:p w14:paraId="263264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</w:pPr>
      <w:r>
        <w:rPr>
          <w:rFonts w:hint="eastAsia" w:ascii="宋体" w:hAnsi="宋体" w:eastAsia="宋体" w:cs="宋体"/>
          <w:sz w:val="24"/>
          <w:szCs w:val="24"/>
        </w:rPr>
        <w:t>3、符合《残疾人教育条例》（修订版）和《培智学校义务教育课程标准（2016年版）》等系列文件要求。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S PGothic">
    <w:panose1 w:val="020B0600070205080204"/>
    <w:charset w:val="80"/>
    <w:family w:val="auto"/>
    <w:pitch w:val="default"/>
    <w:sig w:usb0="E00002FF" w:usb1="6AC7FDFB" w:usb2="00000012" w:usb3="00000000" w:csb0="4002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67BBFA2"/>
    <w:multiLevelType w:val="singleLevel"/>
    <w:tmpl w:val="567BBFA2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785B98"/>
    <w:rsid w:val="08F0443E"/>
    <w:rsid w:val="0CE265BB"/>
    <w:rsid w:val="114809B7"/>
    <w:rsid w:val="2BDB094E"/>
    <w:rsid w:val="33264BA4"/>
    <w:rsid w:val="3BEB4DFF"/>
    <w:rsid w:val="3DCB0822"/>
    <w:rsid w:val="40E21F80"/>
    <w:rsid w:val="45A1630C"/>
    <w:rsid w:val="47CE092E"/>
    <w:rsid w:val="4BA91A77"/>
    <w:rsid w:val="54AB4AB2"/>
    <w:rsid w:val="56020CE8"/>
    <w:rsid w:val="633F2F95"/>
    <w:rsid w:val="6B79100E"/>
    <w:rsid w:val="75F53987"/>
    <w:rsid w:val="76F83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1"/>
    <w:unhideWhenUsed/>
    <w:qFormat/>
    <w:uiPriority w:val="99"/>
    <w:rPr>
      <w:rFonts w:ascii="Times New Roman" w:hAnsi="Times New Roman"/>
      <w:sz w:val="24"/>
      <w:szCs w:val="20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font321"/>
    <w:basedOn w:val="8"/>
    <w:qFormat/>
    <w:uiPriority w:val="0"/>
    <w:rPr>
      <w:rFonts w:ascii="宋体" w:hAnsi="宋体" w:eastAsia="宋体" w:cs="宋体"/>
      <w:color w:val="007029"/>
      <w:sz w:val="24"/>
      <w:szCs w:val="24"/>
      <w:u w:val="none"/>
    </w:rPr>
  </w:style>
  <w:style w:type="character" w:customStyle="1" w:styleId="10">
    <w:name w:val="font312"/>
    <w:basedOn w:val="8"/>
    <w:qFormat/>
    <w:uiPriority w:val="0"/>
    <w:rPr>
      <w:rFonts w:ascii="宋体" w:hAnsi="宋体" w:eastAsia="宋体" w:cs="宋体"/>
      <w:color w:val="006E25"/>
      <w:sz w:val="24"/>
      <w:szCs w:val="24"/>
      <w:u w:val="none"/>
    </w:rPr>
  </w:style>
  <w:style w:type="character" w:customStyle="1" w:styleId="11">
    <w:name w:val="font561"/>
    <w:basedOn w:val="8"/>
    <w:qFormat/>
    <w:uiPriority w:val="0"/>
    <w:rPr>
      <w:rFonts w:ascii="宋体" w:hAnsi="宋体" w:eastAsia="宋体" w:cs="宋体"/>
      <w:color w:val="00812F"/>
      <w:sz w:val="24"/>
      <w:szCs w:val="24"/>
      <w:u w:val="none"/>
    </w:rPr>
  </w:style>
  <w:style w:type="character" w:customStyle="1" w:styleId="12">
    <w:name w:val="font741"/>
    <w:basedOn w:val="8"/>
    <w:qFormat/>
    <w:uiPriority w:val="0"/>
    <w:rPr>
      <w:rFonts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2663</Words>
  <Characters>2867</Characters>
  <Lines>0</Lines>
  <Paragraphs>0</Paragraphs>
  <TotalTime>1</TotalTime>
  <ScaleCrop>false</ScaleCrop>
  <LinksUpToDate>false</LinksUpToDate>
  <CharactersWithSpaces>2991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2026-03-09T08:25:00Z</dcterms:created>
  <dc:creator>PC</dc:creator>
  <cp:lastModifiedBy>来徽</cp:lastModifiedBy>
  <dcterms:modified xsi:type="dcterms:W3CDTF">2026-03-11T06:11:10Z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eyJoZGlkIjoiYWZiY2FiZTExNTI0YjljZGVmMDVkZjliMTI1NzkzYTIiLCJ1c2VySWQiOiIzMTA1NTYxODcifQ==</vt:lpwstr>
  </property>
  <property fmtid="{D5CDD505-2E9C-101B-9397-08002B2CF9AE}" pid="4" name="ICV">
    <vt:lpwstr>01D447311E0C42629BFE0AB6048C8400_12</vt:lpwstr>
  </property>
</Properties>
</file>