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商务要求</w:t>
      </w:r>
    </w:p>
    <w:tbl>
      <w:tblPr>
        <w:tblStyle w:val="5"/>
        <w:tblW w:w="88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6"/>
        <w:gridCol w:w="5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04040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感应冲洗水器技术参数要求</w:t>
            </w:r>
          </w:p>
        </w:tc>
        <w:tc>
          <w:tcPr>
            <w:tcW w:w="589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电源：输入交流220V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2、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输出：直流DC12V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探头电压：DC12V，感应探测角度全方向可调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不分正负极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探测距离：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12米 5、延时：1-99分钟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6、可计人数：1-99人（可设置来人冲水不来人一直不冲水） 7、泄露电流：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≤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0.75mA</w:t>
            </w:r>
          </w:p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8、面板物理按键：具有延时设置、人数设置、定时设置 9、显示面板：具有延时时间和人数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04040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  <w:t>（提供CMA或CNAS认证检测机构出具的检测报告）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404040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电控水箱排水阀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技术参数要求</w:t>
            </w:r>
          </w:p>
        </w:tc>
        <w:tc>
          <w:tcPr>
            <w:tcW w:w="589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1、额定工作电压：DC 12V 直流低压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2、额定功率：≤3W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3、出水口径：DN50（50管），外径Φ58mm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4、密封结构：双层加厚硅胶密封圈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5、适用工作水压：0.05~0.8MPa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微软雅黑" w:hAnsi="微软雅黑" w:eastAsia="宋体" w:cs="微软雅黑"/>
                <w:b/>
                <w:bCs/>
                <w:i w:val="0"/>
                <w:iCs w:val="0"/>
                <w:caps w:val="0"/>
                <w:color w:val="40404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辅材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要求</w:t>
            </w:r>
          </w:p>
        </w:tc>
        <w:tc>
          <w:tcPr>
            <w:tcW w:w="589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为了保证正常使用，含未列明的辅材，如进水阀球、管件、管头套、PVC线管、供电线路、信号控制线、损坏水箱更换、保洁等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安装调试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要求</w:t>
            </w:r>
          </w:p>
        </w:tc>
        <w:tc>
          <w:tcPr>
            <w:tcW w:w="589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投标人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可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实地勘察现场情况，包含运输、上楼费用、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拆除原有设备、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高空作业、安装人员保险、机械费用等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施工人员要求</w:t>
            </w:r>
          </w:p>
        </w:tc>
        <w:tc>
          <w:tcPr>
            <w:tcW w:w="589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安装人员要求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不少于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5人，同时具有高处作业证、低压电工作业证，工期要求10日（签订合同前需提供有效期内特种作业操作证书及所在投标单位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社保缴纳证明加盖投标人公章，）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不提供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将上报监管部门对供应商予以清退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其他注意事项</w:t>
            </w:r>
          </w:p>
        </w:tc>
        <w:tc>
          <w:tcPr>
            <w:tcW w:w="589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参加竞价时请认真阅读商务要求及产品需求，如中标供应商不能提供满足采购要求产品或不能履约供货，将上报监管部门对供应商予以清退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商务要求</w:t>
            </w:r>
          </w:p>
        </w:tc>
        <w:tc>
          <w:tcPr>
            <w:tcW w:w="589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成交后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10日内安装调试结束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所购产品不接受型号调换，所报价格包含项目安装调试及功能实现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税金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的一切费用。售后：原厂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年免费质保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上门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（成交供应商供货前须出具原厂质保涵）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工作时间通知维修后中标单位三小时内到校进行维修，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货物需为原装正品，拒绝改标贴标，拖延供货或不供货放弃中标的将追究相关法律责任。</w:t>
            </w:r>
          </w:p>
        </w:tc>
      </w:tr>
    </w:tbl>
    <w:p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2MmRmYmNlZjc3NWI5ZTBmZmVkZTE2OTdmMmZjMzgifQ=="/>
  </w:docVars>
  <w:rsids>
    <w:rsidRoot w:val="411B48BC"/>
    <w:rsid w:val="29B41BCD"/>
    <w:rsid w:val="411B48BC"/>
    <w:rsid w:val="45F8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655</Words>
  <Characters>709</Characters>
  <Lines>0</Lines>
  <Paragraphs>0</Paragraphs>
  <TotalTime>7</TotalTime>
  <ScaleCrop>false</ScaleCrop>
  <LinksUpToDate>false</LinksUpToDate>
  <CharactersWithSpaces>715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2026-04-18T03:11:00Z</dcterms:created>
  <dc:creator>袁其龙18133225111</dc:creator>
  <cp:lastModifiedBy>二丁目</cp:lastModifiedBy>
  <dcterms:modified xsi:type="dcterms:W3CDTF">2026-04-23T03:26:30Z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85AC3E45A22D403AA2066106AE4EA648_11</vt:lpwstr>
  </property>
  <property fmtid="{D5CDD505-2E9C-101B-9397-08002B2CF9AE}" pid="4" name="KSOTemplateDocerSaveRecord">
    <vt:lpwstr>eyJoZGlkIjoiNTFmOWRiNzMzZDMxM2ZlNmRmYzkzZWIyNGM5YTY1ZjQiLCJ1c2VySWQiOiI0NDAxNjI0NTQifQ==</vt:lpwstr>
  </property>
</Properties>
</file>