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tbl>
      <w:tblPr>
        <w:tblStyle w:val="7"/>
        <w:tblW w:w="10020" w:type="dxa"/>
        <w:jc w:val="center"/>
        <w:tblLayout w:type="fixed"/>
        <w:tblCellMar>
          <w:top w:w="0" w:type="dxa"/>
          <w:left w:w="0" w:type="dxa"/>
          <w:bottom w:w="0" w:type="dxa"/>
          <w:right w:w="0" w:type="dxa"/>
        </w:tblCellMar>
      </w:tblPr>
      <w:tblGrid>
        <w:gridCol w:w="515"/>
        <w:gridCol w:w="890"/>
        <w:gridCol w:w="1048"/>
        <w:gridCol w:w="7567"/>
      </w:tblGrid>
      <w:tr w14:paraId="3AFF5918">
        <w:tblPrEx>
          <w:tblCellMar>
            <w:top w:w="0" w:type="dxa"/>
            <w:left w:w="0" w:type="dxa"/>
            <w:bottom w:w="0" w:type="dxa"/>
            <w:right w:w="0" w:type="dxa"/>
          </w:tblCellMar>
        </w:tblPrEx>
        <w:trPr>
          <w:trHeight w:val="370" w:hRule="atLeast"/>
          <w:jc w:val="center"/>
        </w:trPr>
        <w:tc>
          <w:tcPr>
            <w:tcW w:w="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3E18CE">
            <w:pPr>
              <w:widowControl/>
              <w:jc w:val="center"/>
              <w:textAlignment w:val="center"/>
              <w:rPr>
                <w:rFonts w:ascii="仿宋" w:hAnsi="仿宋" w:eastAsia="仿宋" w:cs="仿宋"/>
                <w:bCs/>
              </w:rPr>
            </w:pPr>
            <w:r>
              <w:rPr>
                <w:rFonts w:hint="eastAsia" w:ascii="仿宋" w:hAnsi="仿宋" w:eastAsia="仿宋" w:cs="仿宋"/>
                <w:bCs/>
                <w:kern w:val="0"/>
                <w:lang w:bidi="ar"/>
              </w:rPr>
              <w:t>序号</w:t>
            </w:r>
          </w:p>
        </w:tc>
        <w:tc>
          <w:tcPr>
            <w:tcW w:w="890" w:type="dxa"/>
            <w:tcBorders>
              <w:top w:val="single" w:color="000000" w:sz="4" w:space="0"/>
              <w:left w:val="single" w:color="000000" w:sz="4" w:space="0"/>
              <w:bottom w:val="single" w:color="000000" w:sz="4" w:space="0"/>
              <w:right w:val="single" w:color="000000" w:sz="4" w:space="0"/>
            </w:tcBorders>
          </w:tcPr>
          <w:p w14:paraId="4FDE1653">
            <w:pPr>
              <w:widowControl/>
              <w:jc w:val="center"/>
              <w:textAlignment w:val="center"/>
              <w:rPr>
                <w:rFonts w:ascii="仿宋" w:hAnsi="仿宋" w:eastAsia="仿宋" w:cs="仿宋"/>
                <w:bCs/>
                <w:kern w:val="0"/>
                <w:lang w:bidi="ar"/>
              </w:rPr>
            </w:pPr>
            <w:r>
              <w:rPr>
                <w:rFonts w:hint="eastAsia" w:ascii="仿宋" w:hAnsi="仿宋" w:eastAsia="仿宋" w:cs="仿宋"/>
                <w:bCs/>
                <w:kern w:val="0"/>
                <w:lang w:bidi="ar"/>
              </w:rPr>
              <w:t>设备</w:t>
            </w:r>
          </w:p>
          <w:p w14:paraId="50AAFA20">
            <w:pPr>
              <w:widowControl/>
              <w:jc w:val="center"/>
              <w:textAlignment w:val="center"/>
              <w:rPr>
                <w:rFonts w:ascii="仿宋" w:hAnsi="仿宋" w:eastAsia="仿宋" w:cs="仿宋"/>
                <w:bCs/>
                <w:kern w:val="0"/>
                <w:lang w:bidi="ar"/>
              </w:rPr>
            </w:pPr>
            <w:r>
              <w:rPr>
                <w:rFonts w:hint="eastAsia" w:ascii="仿宋" w:hAnsi="仿宋" w:eastAsia="仿宋" w:cs="仿宋"/>
                <w:bCs/>
                <w:kern w:val="0"/>
                <w:lang w:bidi="ar"/>
              </w:rPr>
              <w:t>名称</w:t>
            </w:r>
          </w:p>
        </w:tc>
        <w:tc>
          <w:tcPr>
            <w:tcW w:w="10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7E2D3">
            <w:pPr>
              <w:widowControl/>
              <w:jc w:val="center"/>
              <w:textAlignment w:val="center"/>
              <w:rPr>
                <w:rFonts w:ascii="仿宋" w:hAnsi="仿宋" w:eastAsia="仿宋" w:cs="仿宋"/>
                <w:bCs/>
              </w:rPr>
            </w:pPr>
            <w:r>
              <w:rPr>
                <w:rFonts w:hint="eastAsia" w:ascii="仿宋" w:hAnsi="仿宋" w:eastAsia="仿宋" w:cs="仿宋"/>
                <w:bCs/>
              </w:rPr>
              <w:t>数量/盏</w:t>
            </w:r>
          </w:p>
        </w:tc>
        <w:tc>
          <w:tcPr>
            <w:tcW w:w="7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B9E599">
            <w:pPr>
              <w:widowControl/>
              <w:jc w:val="center"/>
              <w:textAlignment w:val="center"/>
              <w:rPr>
                <w:rFonts w:ascii="仿宋" w:hAnsi="仿宋" w:eastAsia="仿宋" w:cs="仿宋"/>
                <w:bCs/>
              </w:rPr>
            </w:pPr>
            <w:r>
              <w:rPr>
                <w:rFonts w:hint="eastAsia" w:ascii="仿宋" w:hAnsi="仿宋" w:eastAsia="仿宋" w:cs="仿宋"/>
                <w:bCs/>
                <w:kern w:val="0"/>
                <w:lang w:bidi="ar"/>
              </w:rPr>
              <w:t>技术规格</w:t>
            </w:r>
          </w:p>
        </w:tc>
      </w:tr>
      <w:tr w14:paraId="6B220071">
        <w:tblPrEx>
          <w:tblCellMar>
            <w:top w:w="0" w:type="dxa"/>
            <w:left w:w="0" w:type="dxa"/>
            <w:bottom w:w="0" w:type="dxa"/>
            <w:right w:w="0" w:type="dxa"/>
          </w:tblCellMar>
        </w:tblPrEx>
        <w:trPr>
          <w:trHeight w:val="2941" w:hRule="atLeast"/>
          <w:jc w:val="center"/>
        </w:trPr>
        <w:tc>
          <w:tcPr>
            <w:tcW w:w="51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A76A9E7">
            <w:pPr>
              <w:widowControl/>
              <w:jc w:val="center"/>
              <w:textAlignment w:val="center"/>
              <w:rPr>
                <w:rFonts w:ascii="宋体" w:hAnsi="宋体" w:cs="宋体"/>
                <w:bCs/>
                <w:kern w:val="0"/>
                <w:lang w:bidi="ar"/>
              </w:rPr>
            </w:pPr>
            <w:r>
              <w:rPr>
                <w:rFonts w:hint="eastAsia" w:ascii="宋体" w:hAnsi="宋体" w:cs="宋体"/>
                <w:bCs/>
                <w:kern w:val="0"/>
                <w:lang w:bidi="ar"/>
              </w:rPr>
              <w:t>1</w:t>
            </w:r>
          </w:p>
        </w:tc>
        <w:tc>
          <w:tcPr>
            <w:tcW w:w="890" w:type="dxa"/>
            <w:tcBorders>
              <w:top w:val="single" w:color="000000" w:sz="4" w:space="0"/>
              <w:left w:val="single" w:color="auto" w:sz="4" w:space="0"/>
              <w:bottom w:val="single" w:color="000000" w:sz="4" w:space="0"/>
              <w:right w:val="single" w:color="auto" w:sz="4" w:space="0"/>
            </w:tcBorders>
          </w:tcPr>
          <w:p w14:paraId="7EA123C4">
            <w:pPr>
              <w:widowControl/>
              <w:jc w:val="center"/>
              <w:textAlignment w:val="center"/>
              <w:rPr>
                <w:rFonts w:ascii="宋体" w:hAnsi="宋体" w:cs="宋体"/>
                <w:bCs/>
              </w:rPr>
            </w:pPr>
          </w:p>
          <w:p w14:paraId="093B6571">
            <w:pPr>
              <w:pStyle w:val="3"/>
            </w:pPr>
          </w:p>
          <w:p w14:paraId="7315315A">
            <w:pPr>
              <w:pStyle w:val="4"/>
              <w:ind w:left="6000"/>
            </w:pPr>
          </w:p>
          <w:p w14:paraId="77D0D178"/>
          <w:p w14:paraId="54E06367">
            <w:pPr>
              <w:pStyle w:val="3"/>
            </w:pPr>
          </w:p>
          <w:p w14:paraId="66874AF9">
            <w:pPr>
              <w:pStyle w:val="4"/>
              <w:ind w:left="6000"/>
            </w:pPr>
          </w:p>
          <w:p w14:paraId="0FCE43F4"/>
          <w:p w14:paraId="0012AC9F">
            <w:pPr>
              <w:pStyle w:val="3"/>
            </w:pPr>
          </w:p>
          <w:p w14:paraId="06C518D5">
            <w:pPr>
              <w:pStyle w:val="4"/>
              <w:ind w:left="6000"/>
            </w:pPr>
          </w:p>
          <w:p w14:paraId="65C1C4B4"/>
          <w:p w14:paraId="2D413124">
            <w:pPr>
              <w:pStyle w:val="3"/>
            </w:pPr>
          </w:p>
          <w:p w14:paraId="76A2D66E">
            <w:pPr>
              <w:pStyle w:val="4"/>
              <w:ind w:left="6000"/>
            </w:pPr>
          </w:p>
          <w:p w14:paraId="6DD2542F"/>
          <w:p w14:paraId="16F08D30">
            <w:pPr>
              <w:jc w:val="both"/>
              <w:rPr>
                <w:rFonts w:hint="eastAsia" w:ascii="仿宋" w:hAnsi="仿宋" w:eastAsia="仿宋" w:cs="仿宋"/>
                <w:lang w:eastAsia="zh-CN"/>
              </w:rPr>
            </w:pPr>
            <w:r>
              <w:rPr>
                <w:rFonts w:hint="eastAsia" w:ascii="仿宋" w:hAnsi="仿宋" w:eastAsia="仿宋" w:cs="仿宋"/>
                <w:lang w:eastAsia="zh-CN"/>
              </w:rPr>
              <w:t>莱帝森</w:t>
            </w:r>
          </w:p>
          <w:p w14:paraId="69FE7414">
            <w:pPr>
              <w:pStyle w:val="3"/>
              <w:jc w:val="center"/>
            </w:pPr>
            <w:r>
              <w:rPr>
                <w:rFonts w:hint="eastAsia" w:ascii="仿宋" w:hAnsi="仿宋" w:eastAsia="仿宋" w:cs="仿宋"/>
              </w:rPr>
              <w:t>LED黑板灯</w:t>
            </w:r>
          </w:p>
        </w:tc>
        <w:tc>
          <w:tcPr>
            <w:tcW w:w="1048" w:type="dxa"/>
            <w:tcBorders>
              <w:top w:val="single" w:color="000000" w:sz="4" w:space="0"/>
              <w:left w:val="single" w:color="auto" w:sz="4" w:space="0"/>
              <w:bottom w:val="single" w:color="000000" w:sz="4" w:space="0"/>
              <w:right w:val="single" w:color="auto" w:sz="4" w:space="0"/>
            </w:tcBorders>
            <w:tcMar>
              <w:top w:w="15" w:type="dxa"/>
              <w:left w:w="15" w:type="dxa"/>
              <w:right w:w="15" w:type="dxa"/>
            </w:tcMar>
            <w:vAlign w:val="center"/>
          </w:tcPr>
          <w:p w14:paraId="2CD03302">
            <w:pPr>
              <w:widowControl/>
              <w:jc w:val="left"/>
              <w:rPr>
                <w:rFonts w:ascii="仿宋" w:hAnsi="仿宋" w:eastAsia="仿宋" w:cs="仿宋"/>
                <w:highlight w:val="none"/>
              </w:rPr>
            </w:pPr>
          </w:p>
        </w:tc>
        <w:tc>
          <w:tcPr>
            <w:tcW w:w="75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DF17847">
            <w:pPr>
              <w:pStyle w:val="2"/>
              <w:numPr>
                <w:ilvl w:val="0"/>
                <w:numId w:val="0"/>
              </w:num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1.LED</w:t>
            </w:r>
            <w:r>
              <w:rPr>
                <w:rFonts w:hint="eastAsia" w:ascii="仿宋" w:hAnsi="仿宋" w:eastAsia="仿宋" w:cs="仿宋"/>
                <w:sz w:val="24"/>
                <w:szCs w:val="24"/>
                <w:highlight w:val="none"/>
              </w:rPr>
              <w:t>黑板灯整灯尺寸：长度≥1190mm、宽度≥45mm；灯具结构设计合理，各部件连接稳固牢靠，驱动电源外置并固定于灯体；采用 PC 高精度透镜配光设计；灯具壳体与安装吊杆连接位支持左右滑动调节，调节幅度≥80cm，便于安装避让教室纵梁等障碍物。</w:t>
            </w:r>
          </w:p>
          <w:p w14:paraId="1321F8AA">
            <w:pPr>
              <w:pStyle w:val="2"/>
              <w:numPr>
                <w:ilvl w:val="0"/>
                <w:numId w:val="0"/>
              </w:numPr>
              <w:rPr>
                <w:rFonts w:hint="eastAsia" w:ascii="仿宋" w:hAnsi="仿宋" w:eastAsia="仿宋" w:cs="仿宋"/>
                <w:sz w:val="24"/>
                <w:szCs w:val="24"/>
                <w:highlight w:val="none"/>
              </w:rPr>
            </w:pPr>
          </w:p>
          <w:p w14:paraId="1C76CCFB">
            <w:pPr>
              <w:pStyle w:val="2"/>
              <w:numPr>
                <w:ilvl w:val="0"/>
                <w:numId w:val="0"/>
              </w:numPr>
              <w:ind w:leftChars="0"/>
              <w:rPr>
                <w:rFonts w:hint="eastAsia" w:ascii="仿宋" w:hAnsi="仿宋" w:eastAsia="仿宋" w:cs="仿宋"/>
                <w:color w:val="auto"/>
                <w:sz w:val="24"/>
                <w:szCs w:val="24"/>
                <w:highlight w:val="none"/>
                <w:lang w:val="en-US" w:eastAsia="zh-CN"/>
              </w:rPr>
            </w:pPr>
            <w:r>
              <w:rPr>
                <w:rFonts w:hint="eastAsia" w:ascii="仿宋" w:hAnsi="仿宋" w:eastAsia="仿宋" w:cs="仿宋"/>
                <w:bCs/>
                <w:sz w:val="24"/>
                <w:szCs w:val="24"/>
                <w:highlight w:val="none"/>
                <w:lang w:val="en-US" w:eastAsia="zh-CN"/>
              </w:rPr>
              <w:t>2.LED</w:t>
            </w:r>
            <w:r>
              <w:rPr>
                <w:rFonts w:hint="eastAsia" w:ascii="仿宋" w:hAnsi="仿宋" w:eastAsia="仿宋" w:cs="仿宋"/>
                <w:bCs/>
                <w:sz w:val="24"/>
                <w:szCs w:val="24"/>
                <w:highlight w:val="none"/>
              </w:rPr>
              <w:t>黑板灯额定功率</w:t>
            </w:r>
            <w:r>
              <w:rPr>
                <w:rFonts w:hint="eastAsia" w:ascii="仿宋" w:hAnsi="仿宋" w:eastAsia="仿宋" w:cs="仿宋"/>
                <w:bCs/>
                <w:sz w:val="24"/>
                <w:szCs w:val="24"/>
                <w:highlight w:val="none"/>
                <w:lang w:val="en-US" w:eastAsia="zh-CN"/>
              </w:rPr>
              <w:t xml:space="preserve">40W±2W， </w:t>
            </w:r>
            <w:r>
              <w:rPr>
                <w:rFonts w:hint="eastAsia" w:ascii="仿宋" w:hAnsi="仿宋" w:eastAsia="仿宋" w:cs="仿宋"/>
                <w:bCs/>
                <w:sz w:val="24"/>
                <w:szCs w:val="24"/>
                <w:highlight w:val="none"/>
              </w:rPr>
              <w:t>功率因数≥0.95</w:t>
            </w:r>
            <w:r>
              <w:rPr>
                <w:rFonts w:hint="eastAsia" w:ascii="仿宋" w:hAnsi="仿宋" w:eastAsia="仿宋" w:cs="仿宋"/>
                <w:bCs/>
                <w:sz w:val="24"/>
                <w:szCs w:val="24"/>
                <w:highlight w:val="none"/>
                <w:lang w:val="en-US" w:eastAsia="zh-CN"/>
              </w:rPr>
              <w:t>.</w:t>
            </w:r>
          </w:p>
          <w:p w14:paraId="37B105CF">
            <w:pPr>
              <w:pStyle w:val="2"/>
              <w:numPr>
                <w:ilvl w:val="0"/>
                <w:numId w:val="0"/>
              </w:numPr>
              <w:ind w:leftChars="0"/>
              <w:rPr>
                <w:rFonts w:hint="eastAsia" w:ascii="仿宋" w:hAnsi="仿宋" w:eastAsia="仿宋" w:cs="仿宋"/>
                <w:sz w:val="24"/>
                <w:szCs w:val="24"/>
                <w:highlight w:val="none"/>
              </w:rPr>
            </w:pPr>
          </w:p>
          <w:p w14:paraId="0946827B">
            <w:pPr>
              <w:pStyle w:val="2"/>
              <w:numPr>
                <w:ilvl w:val="0"/>
                <w:numId w:val="0"/>
              </w:numPr>
              <w:ind w:leftChars="0"/>
              <w:rPr>
                <w:rFonts w:hint="eastAsia" w:ascii="仿宋" w:hAnsi="仿宋" w:eastAsia="仿宋" w:cs="仿宋"/>
                <w:color w:val="auto"/>
                <w:sz w:val="24"/>
                <w:szCs w:val="24"/>
                <w:highlight w:val="none"/>
              </w:rPr>
            </w:pPr>
            <w:r>
              <w:rPr>
                <w:rFonts w:hint="eastAsia" w:ascii="仿宋" w:hAnsi="仿宋" w:eastAsia="仿宋" w:cs="仿宋"/>
                <w:sz w:val="24"/>
                <w:szCs w:val="24"/>
                <w:highlight w:val="none"/>
                <w:lang w:val="en-US" w:eastAsia="zh-CN"/>
              </w:rPr>
              <w:t>3.LED黑板灯</w:t>
            </w:r>
            <w:r>
              <w:rPr>
                <w:rFonts w:hint="eastAsia" w:ascii="仿宋" w:hAnsi="仿宋" w:eastAsia="仿宋" w:cs="仿宋"/>
                <w:sz w:val="24"/>
                <w:szCs w:val="24"/>
                <w:highlight w:val="none"/>
              </w:rPr>
              <w:t>经20000 小时以上老化测试，光通维持率≥93%；初始色容差 SDCM≤3，老化后色容差与初始值偏差≤1.5；黑板灯老化后光束角实测偏差≤±2°；显色指数要求 Ra≥97、R9≥80、R15≥90，经20000小时</w:t>
            </w:r>
            <w:r>
              <w:rPr>
                <w:rFonts w:hint="eastAsia" w:ascii="仿宋" w:hAnsi="仿宋" w:eastAsia="仿宋" w:cs="仿宋"/>
                <w:sz w:val="24"/>
                <w:szCs w:val="24"/>
                <w:highlight w:val="none"/>
                <w:lang w:val="en-US" w:eastAsia="zh-CN"/>
              </w:rPr>
              <w:t>以上</w:t>
            </w:r>
            <w:r>
              <w:rPr>
                <w:rFonts w:hint="eastAsia" w:ascii="仿宋" w:hAnsi="仿宋" w:eastAsia="仿宋" w:cs="仿宋"/>
                <w:sz w:val="24"/>
                <w:szCs w:val="24"/>
                <w:highlight w:val="none"/>
              </w:rPr>
              <w:t>老化后，Ra、R9、R15 参数变化差值均小于 3。</w:t>
            </w:r>
          </w:p>
          <w:p w14:paraId="0E9A3C41">
            <w:pPr>
              <w:pStyle w:val="2"/>
              <w:numPr>
                <w:ilvl w:val="0"/>
                <w:numId w:val="0"/>
              </w:numPr>
              <w:ind w:leftChars="0"/>
              <w:rPr>
                <w:rFonts w:hint="eastAsia" w:ascii="仿宋" w:hAnsi="仿宋" w:eastAsia="仿宋" w:cs="仿宋"/>
                <w:color w:val="auto"/>
                <w:sz w:val="24"/>
                <w:szCs w:val="24"/>
                <w:highlight w:val="none"/>
              </w:rPr>
            </w:pPr>
          </w:p>
          <w:p w14:paraId="7B6CB2DD">
            <w:pPr>
              <w:pStyle w:val="2"/>
              <w:numPr>
                <w:ilvl w:val="0"/>
                <w:numId w:val="0"/>
              </w:numPr>
              <w:ind w:left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为了保证灯具寿命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在常温25℃测得灯珠焊点温度＜50℃，</w:t>
            </w:r>
            <w:r>
              <w:rPr>
                <w:rFonts w:hint="eastAsia" w:ascii="仿宋" w:hAnsi="仿宋" w:eastAsia="仿宋" w:cs="仿宋"/>
                <w:color w:val="auto"/>
                <w:sz w:val="24"/>
                <w:szCs w:val="24"/>
                <w:highlight w:val="none"/>
                <w:lang w:val="en-US" w:eastAsia="zh-CN"/>
              </w:rPr>
              <w:t>LED控制表面（</w:t>
            </w:r>
            <w:r>
              <w:rPr>
                <w:rFonts w:hint="eastAsia" w:ascii="仿宋" w:hAnsi="仿宋" w:eastAsia="仿宋" w:cs="仿宋"/>
                <w:color w:val="auto"/>
                <w:sz w:val="24"/>
                <w:szCs w:val="24"/>
                <w:highlight w:val="none"/>
              </w:rPr>
              <w:t>驱动温度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＜58℃，内部线材温度＜40℃，安装面＜35℃。</w:t>
            </w:r>
          </w:p>
          <w:p w14:paraId="413B3698">
            <w:pPr>
              <w:pStyle w:val="2"/>
              <w:numPr>
                <w:ilvl w:val="0"/>
                <w:numId w:val="0"/>
              </w:numPr>
              <w:rPr>
                <w:rFonts w:hint="eastAsia" w:ascii="仿宋" w:hAnsi="仿宋" w:eastAsia="仿宋" w:cs="仿宋"/>
                <w:sz w:val="24"/>
                <w:szCs w:val="24"/>
                <w:highlight w:val="none"/>
              </w:rPr>
            </w:pPr>
          </w:p>
          <w:p w14:paraId="4659EFF9">
            <w:pPr>
              <w:pStyle w:val="2"/>
              <w:numPr>
                <w:ilvl w:val="0"/>
                <w:numId w:val="1"/>
              </w:num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依据</w:t>
            </w:r>
            <w:r>
              <w:rPr>
                <w:rFonts w:hint="eastAsia" w:ascii="仿宋" w:hAnsi="仿宋" w:eastAsia="仿宋" w:cs="仿宋"/>
                <w:sz w:val="24"/>
                <w:szCs w:val="24"/>
                <w:highlight w:val="none"/>
              </w:rPr>
              <w:t xml:space="preserve"> GB/T 39394-2020测试方法，带透镜 LED 灯具光通量与同条件下裸光源（无透镜）光通量之比效率≥85%。</w:t>
            </w:r>
          </w:p>
          <w:p w14:paraId="03815858">
            <w:pPr>
              <w:pStyle w:val="2"/>
              <w:numPr>
                <w:ilvl w:val="0"/>
                <w:numId w:val="0"/>
              </w:numPr>
              <w:rPr>
                <w:rFonts w:hint="eastAsia" w:ascii="仿宋" w:hAnsi="仿宋" w:eastAsia="仿宋" w:cs="仿宋"/>
                <w:sz w:val="24"/>
                <w:szCs w:val="24"/>
                <w:highlight w:val="none"/>
              </w:rPr>
            </w:pPr>
          </w:p>
          <w:p w14:paraId="4591F5EE">
            <w:pPr>
              <w:keepNext w:val="0"/>
              <w:keepLines w:val="0"/>
              <w:widowControl/>
              <w:numPr>
                <w:ilvl w:val="0"/>
                <w:numId w:val="1"/>
              </w:numPr>
              <w:suppressLineNumbers w:val="0"/>
              <w:ind w:left="0" w:leftChars="0" w:firstLine="0" w:firstLineChars="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sz w:val="24"/>
                <w:szCs w:val="24"/>
                <w:highlight w:val="none"/>
              </w:rPr>
              <w:t>LED 黑板灯防护等级达</w:t>
            </w:r>
            <w:r>
              <w:rPr>
                <w:rStyle w:val="10"/>
                <w:rFonts w:hint="eastAsia" w:ascii="仿宋" w:hAnsi="仿宋" w:eastAsia="仿宋" w:cs="仿宋"/>
                <w:b w:val="0"/>
                <w:bCs w:val="0"/>
                <w:color w:val="000000"/>
                <w:sz w:val="24"/>
                <w:szCs w:val="24"/>
                <w:highlight w:val="none"/>
              </w:rPr>
              <w:t>IP40</w:t>
            </w:r>
            <w:r>
              <w:rPr>
                <w:rFonts w:hint="eastAsia" w:ascii="仿宋" w:hAnsi="仿宋" w:eastAsia="仿宋" w:cs="仿宋"/>
                <w:sz w:val="24"/>
                <w:szCs w:val="24"/>
                <w:highlight w:val="none"/>
              </w:rPr>
              <w:t>，可有效防止蚊虫侵入灯体内部，保障灯具使用卫生、使用寿命及电气绝缘安全；依据</w:t>
            </w:r>
            <w:r>
              <w:rPr>
                <w:rStyle w:val="10"/>
                <w:rFonts w:hint="eastAsia" w:ascii="仿宋" w:hAnsi="仿宋" w:eastAsia="仿宋" w:cs="仿宋"/>
                <w:b w:val="0"/>
                <w:bCs w:val="0"/>
                <w:color w:val="000000"/>
                <w:sz w:val="24"/>
                <w:szCs w:val="24"/>
                <w:highlight w:val="none"/>
              </w:rPr>
              <w:t>GB 7000.1《灯具 第 1 部分：一般要求与试验》</w:t>
            </w:r>
            <w:r>
              <w:rPr>
                <w:rFonts w:hint="eastAsia" w:ascii="仿宋" w:hAnsi="仿宋" w:eastAsia="仿宋" w:cs="仿宋"/>
                <w:b w:val="0"/>
                <w:bCs w:val="0"/>
                <w:sz w:val="24"/>
                <w:szCs w:val="24"/>
                <w:highlight w:val="none"/>
              </w:rPr>
              <w:t>、</w:t>
            </w:r>
            <w:r>
              <w:rPr>
                <w:rStyle w:val="10"/>
                <w:rFonts w:hint="eastAsia" w:ascii="仿宋" w:hAnsi="仿宋" w:eastAsia="仿宋" w:cs="仿宋"/>
                <w:b w:val="0"/>
                <w:bCs w:val="0"/>
                <w:color w:val="000000"/>
                <w:sz w:val="24"/>
                <w:szCs w:val="24"/>
                <w:highlight w:val="none"/>
              </w:rPr>
              <w:t>GB 7000.201《灯具 第 2-1 部分：固定式通用灯具特殊要求》</w:t>
            </w:r>
            <w:r>
              <w:rPr>
                <w:rFonts w:hint="eastAsia" w:ascii="仿宋" w:hAnsi="仿宋" w:eastAsia="仿宋" w:cs="仿宋"/>
                <w:b w:val="0"/>
                <w:bCs w:val="0"/>
                <w:sz w:val="24"/>
                <w:szCs w:val="24"/>
                <w:highlight w:val="none"/>
              </w:rPr>
              <w:t>，带电部件与安装表面、带电部件与灯具金属部件间电气强度试验</w:t>
            </w:r>
            <w:r>
              <w:rPr>
                <w:rStyle w:val="10"/>
                <w:rFonts w:hint="eastAsia" w:ascii="仿宋" w:hAnsi="仿宋" w:eastAsia="仿宋" w:cs="仿宋"/>
                <w:b w:val="0"/>
                <w:bCs w:val="0"/>
                <w:color w:val="000000"/>
                <w:sz w:val="24"/>
                <w:szCs w:val="24"/>
                <w:highlight w:val="none"/>
              </w:rPr>
              <w:t>2960耐压</w:t>
            </w:r>
            <w:r>
              <w:rPr>
                <w:rFonts w:hint="eastAsia" w:ascii="仿宋" w:hAnsi="仿宋" w:eastAsia="仿宋" w:cs="仿宋"/>
                <w:color w:val="000000"/>
                <w:kern w:val="0"/>
                <w:sz w:val="24"/>
                <w:szCs w:val="24"/>
                <w:highlight w:val="none"/>
                <w:lang w:val="en-US" w:eastAsia="zh-CN" w:bidi="ar"/>
              </w:rPr>
              <w:t>试验结果符合要求。</w:t>
            </w:r>
          </w:p>
          <w:p w14:paraId="16A13ABC">
            <w:pPr>
              <w:pStyle w:val="2"/>
              <w:numPr>
                <w:ilvl w:val="0"/>
                <w:numId w:val="0"/>
              </w:numPr>
              <w:ind w:leftChars="0"/>
              <w:rPr>
                <w:rFonts w:hint="eastAsia"/>
                <w:highlight w:val="none"/>
                <w:lang w:val="en-US" w:eastAsia="zh-CN"/>
              </w:rPr>
            </w:pPr>
          </w:p>
          <w:p w14:paraId="53C1AE4B">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b w:val="0"/>
                <w:bCs w:val="0"/>
                <w:sz w:val="24"/>
                <w:szCs w:val="24"/>
                <w:highlight w:val="none"/>
                <w:lang w:val="en-US" w:eastAsia="zh-CN"/>
              </w:rPr>
              <w:t>7.</w:t>
            </w:r>
            <w:r>
              <w:rPr>
                <w:rFonts w:hint="eastAsia" w:ascii="仿宋" w:hAnsi="仿宋" w:eastAsia="仿宋" w:cs="仿宋"/>
                <w:b w:val="0"/>
                <w:bCs w:val="0"/>
                <w:sz w:val="24"/>
                <w:szCs w:val="24"/>
                <w:highlight w:val="none"/>
              </w:rPr>
              <w:t xml:space="preserve">符合 </w:t>
            </w:r>
            <w:r>
              <w:rPr>
                <w:rStyle w:val="10"/>
                <w:rFonts w:hint="eastAsia" w:ascii="仿宋" w:hAnsi="仿宋" w:eastAsia="仿宋" w:cs="仿宋"/>
                <w:b w:val="0"/>
                <w:bCs w:val="0"/>
                <w:color w:val="000000"/>
                <w:sz w:val="24"/>
                <w:szCs w:val="24"/>
                <w:highlight w:val="none"/>
              </w:rPr>
              <w:t>GB 17625.1-2022《电磁兼容 限值 第 1 部分：谐波电流发射限值》</w:t>
            </w:r>
            <w:r>
              <w:rPr>
                <w:rFonts w:hint="eastAsia" w:ascii="仿宋" w:hAnsi="仿宋" w:eastAsia="仿宋" w:cs="仿宋"/>
                <w:b w:val="0"/>
                <w:bCs w:val="0"/>
                <w:sz w:val="24"/>
                <w:szCs w:val="24"/>
                <w:highlight w:val="none"/>
              </w:rPr>
              <w:t xml:space="preserve"> 标准，灯具总谐波失真率 </w:t>
            </w:r>
            <w:r>
              <w:rPr>
                <w:rStyle w:val="10"/>
                <w:rFonts w:hint="eastAsia" w:ascii="仿宋" w:hAnsi="仿宋" w:eastAsia="仿宋" w:cs="仿宋"/>
                <w:b w:val="0"/>
                <w:bCs w:val="0"/>
                <w:color w:val="000000"/>
                <w:sz w:val="24"/>
                <w:szCs w:val="24"/>
                <w:highlight w:val="none"/>
              </w:rPr>
              <w:t>THD＜10%</w:t>
            </w:r>
          </w:p>
          <w:p w14:paraId="4737D117">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3F645905">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8.依据GB/T 31831-2015 LED 室内照明应用技术要求灯具频闪波动深度＜3.2%</w:t>
            </w:r>
          </w:p>
          <w:p w14:paraId="063E4AB0">
            <w:pPr>
              <w:pStyle w:val="2"/>
              <w:rPr>
                <w:rFonts w:hint="default"/>
                <w:highlight w:val="none"/>
                <w:lang w:val="en-US"/>
              </w:rPr>
            </w:pPr>
          </w:p>
          <w:p w14:paraId="08D2140B">
            <w:pPr>
              <w:pStyle w:val="2"/>
              <w:numPr>
                <w:ilvl w:val="0"/>
                <w:numId w:val="2"/>
              </w:numPr>
              <w:ind w:leftChars="0"/>
              <w:rPr>
                <w:rFonts w:hint="eastAsia" w:ascii="仿宋" w:hAnsi="仿宋" w:eastAsia="仿宋" w:cs="仿宋"/>
                <w:sz w:val="24"/>
                <w:szCs w:val="24"/>
                <w:highlight w:val="none"/>
              </w:rPr>
            </w:pPr>
            <w:r>
              <w:rPr>
                <w:rFonts w:hint="eastAsia" w:ascii="仿宋" w:hAnsi="仿宋" w:eastAsia="仿宋" w:cs="仿宋"/>
                <w:sz w:val="24"/>
                <w:szCs w:val="24"/>
                <w:highlight w:val="none"/>
              </w:rPr>
              <w:t>灯具符合《电子电器产品中限用物质的限量要求》，</w:t>
            </w:r>
            <w:r>
              <w:rPr>
                <w:rStyle w:val="10"/>
                <w:rFonts w:hint="eastAsia" w:ascii="仿宋" w:hAnsi="仿宋" w:eastAsia="仿宋" w:cs="仿宋"/>
                <w:b/>
                <w:bCs/>
                <w:color w:val="000000"/>
                <w:sz w:val="24"/>
                <w:szCs w:val="24"/>
                <w:highlight w:val="none"/>
              </w:rPr>
              <w:t>铅、镉、汞、六价铬、多溴联苯、多溴二苯醚</w:t>
            </w:r>
            <w:r>
              <w:rPr>
                <w:rFonts w:hint="eastAsia" w:ascii="仿宋" w:hAnsi="仿宋" w:eastAsia="仿宋" w:cs="仿宋"/>
                <w:sz w:val="24"/>
                <w:szCs w:val="24"/>
                <w:highlight w:val="none"/>
              </w:rPr>
              <w:t>等有害重金属含量均满足限值标准。</w:t>
            </w:r>
          </w:p>
          <w:p w14:paraId="5025F412">
            <w:pPr>
              <w:pStyle w:val="2"/>
              <w:numPr>
                <w:ilvl w:val="0"/>
                <w:numId w:val="0"/>
              </w:numPr>
              <w:ind w:leftChars="0"/>
              <w:rPr>
                <w:rFonts w:hint="eastAsia" w:ascii="仿宋" w:hAnsi="仿宋" w:eastAsia="仿宋" w:cs="仿宋"/>
                <w:color w:val="auto"/>
                <w:highlight w:val="none"/>
              </w:rPr>
            </w:pPr>
          </w:p>
          <w:p w14:paraId="192EF162">
            <w:pPr>
              <w:pStyle w:val="2"/>
              <w:numPr>
                <w:ilvl w:val="0"/>
                <w:numId w:val="2"/>
              </w:numPr>
              <w:ind w:left="0" w:leftChars="0" w:firstLine="0" w:firstLineChars="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产品点亮1000小时耐久实验后放入实验箱中，实验箱温度保持-20℃持续168小时，检测结果为：外观良好、电气性能良好，实验结果合格</w:t>
            </w:r>
            <w:r>
              <w:rPr>
                <w:rFonts w:hint="eastAsia" w:ascii="仿宋" w:hAnsi="仿宋" w:eastAsia="仿宋" w:cs="仿宋"/>
                <w:color w:val="auto"/>
                <w:sz w:val="24"/>
                <w:szCs w:val="24"/>
                <w:highlight w:val="none"/>
                <w:lang w:eastAsia="zh-CN"/>
              </w:rPr>
              <w:t>。</w:t>
            </w:r>
          </w:p>
          <w:p w14:paraId="0D00099B">
            <w:pPr>
              <w:pStyle w:val="2"/>
              <w:numPr>
                <w:ilvl w:val="0"/>
                <w:numId w:val="0"/>
              </w:numPr>
              <w:ind w:leftChars="0"/>
              <w:rPr>
                <w:rFonts w:hint="eastAsia" w:ascii="仿宋" w:hAnsi="仿宋" w:eastAsia="仿宋" w:cs="仿宋"/>
                <w:color w:val="auto"/>
                <w:sz w:val="24"/>
                <w:szCs w:val="24"/>
                <w:highlight w:val="none"/>
                <w:lang w:eastAsia="zh-CN"/>
              </w:rPr>
            </w:pPr>
          </w:p>
          <w:p w14:paraId="712A4CC6">
            <w:pPr>
              <w:pStyle w:val="2"/>
              <w:numPr>
                <w:ilvl w:val="0"/>
                <w:numId w:val="2"/>
              </w:numPr>
              <w:ind w:left="0" w:leftChars="0"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产品点亮1000小时耐久实验后放入实验箱中，实验箱温度保持＋50℃持续168小时，检测结果为：外观良好、电气性能良好，实验结果合格。</w:t>
            </w:r>
          </w:p>
          <w:p w14:paraId="4276061E">
            <w:pPr>
              <w:pStyle w:val="2"/>
              <w:numPr>
                <w:ilvl w:val="0"/>
                <w:numId w:val="0"/>
              </w:numPr>
              <w:ind w:leftChars="0"/>
              <w:rPr>
                <w:rFonts w:hint="eastAsia" w:ascii="仿宋" w:hAnsi="仿宋" w:eastAsia="仿宋" w:cs="仿宋"/>
                <w:color w:val="000000"/>
                <w:kern w:val="0"/>
                <w:sz w:val="24"/>
                <w:szCs w:val="24"/>
                <w:highlight w:val="none"/>
                <w:lang w:val="en-US" w:eastAsia="zh-CN" w:bidi="ar"/>
              </w:rPr>
            </w:pPr>
          </w:p>
          <w:p w14:paraId="105AAF1D">
            <w:pPr>
              <w:pStyle w:val="2"/>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b/>
                <w:bCs/>
                <w:sz w:val="24"/>
                <w:szCs w:val="24"/>
                <w:highlight w:val="none"/>
              </w:rPr>
              <w:t>以上第</w:t>
            </w:r>
            <w:r>
              <w:rPr>
                <w:rFonts w:ascii="仿宋" w:hAnsi="仿宋" w:eastAsia="仿宋"/>
                <w:b/>
                <w:bCs/>
                <w:sz w:val="24"/>
                <w:szCs w:val="24"/>
                <w:highlight w:val="none"/>
              </w:rPr>
              <w:t>3</w:t>
            </w:r>
            <w:r>
              <w:rPr>
                <w:rFonts w:hint="eastAsia" w:ascii="仿宋" w:hAnsi="仿宋" w:eastAsia="仿宋"/>
                <w:b/>
                <w:bCs/>
                <w:sz w:val="24"/>
                <w:szCs w:val="24"/>
                <w:highlight w:val="none"/>
              </w:rPr>
              <w:t>-</w:t>
            </w:r>
            <w:r>
              <w:rPr>
                <w:rFonts w:hint="eastAsia" w:ascii="仿宋" w:hAnsi="仿宋" w:eastAsia="仿宋"/>
                <w:b/>
                <w:bCs/>
                <w:sz w:val="24"/>
                <w:szCs w:val="24"/>
                <w:highlight w:val="none"/>
                <w:lang w:val="en-US" w:eastAsia="zh-CN"/>
              </w:rPr>
              <w:t>11</w:t>
            </w:r>
            <w:r>
              <w:rPr>
                <w:rFonts w:hint="eastAsia" w:ascii="仿宋" w:hAnsi="仿宋" w:eastAsia="仿宋"/>
                <w:b/>
                <w:bCs/>
                <w:sz w:val="24"/>
                <w:szCs w:val="24"/>
                <w:highlight w:val="none"/>
              </w:rPr>
              <w:t>项，必须提供具有CMA、CNAS资质的第三方检测机构出具的检测报告复印件</w:t>
            </w:r>
            <w:r>
              <w:rPr>
                <w:rFonts w:hint="eastAsia" w:ascii="仿宋" w:hAnsi="仿宋" w:eastAsia="仿宋"/>
                <w:b/>
                <w:bCs/>
                <w:sz w:val="24"/>
                <w:szCs w:val="24"/>
                <w:highlight w:val="none"/>
                <w:lang w:eastAsia="zh-CN"/>
              </w:rPr>
              <w:t>。</w:t>
            </w:r>
          </w:p>
          <w:p w14:paraId="7E8166F0">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4042DE12">
            <w:pPr>
              <w:keepNext w:val="0"/>
              <w:keepLines w:val="0"/>
              <w:widowControl/>
              <w:suppressLineNumbers w:val="0"/>
              <w:jc w:val="left"/>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12.LED黑板灯光输出波形的波动深度不应高于 IEEE Std 1789:2015 无显著影响水平(</w:t>
            </w:r>
            <w:r>
              <w:rPr>
                <w:rFonts w:hint="eastAsia" w:ascii="仿宋" w:hAnsi="仿宋" w:eastAsia="仿宋" w:cs="仿宋"/>
                <w:i/>
                <w:iCs/>
                <w:color w:val="000000"/>
                <w:kern w:val="0"/>
                <w:sz w:val="24"/>
                <w:szCs w:val="24"/>
                <w:highlight w:val="none"/>
                <w:lang w:val="en-US" w:eastAsia="zh-CN" w:bidi="ar"/>
              </w:rPr>
              <w:t>NOEL</w:t>
            </w:r>
            <w:r>
              <w:rPr>
                <w:rFonts w:hint="eastAsia" w:ascii="仿宋" w:hAnsi="仿宋" w:eastAsia="仿宋" w:cs="仿宋"/>
                <w:color w:val="000000"/>
                <w:kern w:val="0"/>
                <w:sz w:val="24"/>
                <w:szCs w:val="24"/>
                <w:highlight w:val="none"/>
                <w:lang w:val="en-US" w:eastAsia="zh-CN" w:bidi="ar"/>
              </w:rPr>
              <w:t>)对应的限值要求。</w:t>
            </w:r>
          </w:p>
          <w:p w14:paraId="799A9D96">
            <w:pPr>
              <w:pStyle w:val="2"/>
              <w:numPr>
                <w:ilvl w:val="0"/>
                <w:numId w:val="0"/>
              </w:numPr>
              <w:ind w:leftChars="0"/>
              <w:jc w:val="left"/>
              <w:rPr>
                <w:rFonts w:hint="eastAsia" w:ascii="仿宋" w:hAnsi="仿宋" w:eastAsia="仿宋" w:cs="仿宋"/>
                <w:color w:val="auto"/>
                <w:highlight w:val="none"/>
              </w:rPr>
            </w:pPr>
          </w:p>
          <w:p w14:paraId="0D4644AC">
            <w:pPr>
              <w:pStyle w:val="2"/>
              <w:numPr>
                <w:ilvl w:val="0"/>
                <w:numId w:val="0"/>
              </w:numPr>
              <w:ind w:leftChars="0"/>
              <w:jc w:val="left"/>
              <w:rPr>
                <w:rFonts w:hint="default" w:eastAsia="仿宋"/>
                <w:b w:val="0"/>
                <w:bCs w:val="0"/>
                <w:highlight w:val="none"/>
                <w:lang w:val="en-US" w:eastAsia="zh-CN"/>
              </w:rPr>
            </w:pPr>
            <w:bookmarkStart w:id="0" w:name="_GoBack"/>
            <w:bookmarkEnd w:id="0"/>
            <w:r>
              <w:rPr>
                <w:rFonts w:hint="eastAsia" w:ascii="仿宋" w:hAnsi="仿宋" w:eastAsia="仿宋"/>
                <w:b w:val="0"/>
                <w:bCs w:val="0"/>
                <w:sz w:val="24"/>
                <w:szCs w:val="24"/>
                <w:highlight w:val="none"/>
                <w:lang w:val="en-US" w:eastAsia="zh-CN"/>
              </w:rPr>
              <w:t>13.LED黑板灯提供50000小时寿命优品认证</w:t>
            </w:r>
            <w:r>
              <w:rPr>
                <w:rFonts w:hint="eastAsia" w:ascii="仿宋" w:hAnsi="仿宋" w:eastAsia="仿宋"/>
                <w:sz w:val="24"/>
                <w:szCs w:val="24"/>
                <w:highlight w:val="none"/>
                <w:lang w:val="en-US" w:eastAsia="zh-CN"/>
              </w:rPr>
              <w:t>.</w:t>
            </w:r>
          </w:p>
          <w:p w14:paraId="392EB913">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2610F3A6">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14.应符合GB17625.1、GB/T17743的要求,并满足GB/T 18595 中快速瞬变、注入电流和浪涌的要求。</w:t>
            </w:r>
          </w:p>
          <w:p w14:paraId="206EE4D2">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6B4FAF0E">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15.LED黑板灯视网膜蓝光危害 ：按照 IECTR 62778 评估，LED 一般照明用灯具的视网膜蓝光危害不应超过RG1 。</w:t>
            </w:r>
          </w:p>
          <w:p w14:paraId="294A0942">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1461F5B0">
            <w:pPr>
              <w:keepNext w:val="0"/>
              <w:keepLines w:val="0"/>
              <w:widowControl/>
              <w:suppressLineNumbers w:val="0"/>
              <w:jc w:val="left"/>
              <w:rPr>
                <w:rFonts w:hint="eastAsia" w:ascii="仿宋" w:hAnsi="仿宋" w:eastAsia="仿宋" w:cs="仿宋"/>
                <w:sz w:val="24"/>
                <w:szCs w:val="24"/>
                <w:highlight w:val="none"/>
                <w:lang w:val="en-US" w:eastAsia="zh-CN"/>
              </w:rPr>
            </w:pPr>
            <w:r>
              <w:rPr>
                <w:rFonts w:hint="eastAsia" w:ascii="仿宋" w:hAnsi="仿宋" w:eastAsia="仿宋" w:cs="仿宋"/>
                <w:color w:val="000000"/>
                <w:kern w:val="0"/>
                <w:sz w:val="24"/>
                <w:szCs w:val="24"/>
                <w:highlight w:val="none"/>
                <w:lang w:val="en-US" w:eastAsia="zh-CN" w:bidi="ar"/>
              </w:rPr>
              <w:t>16.LED黑板灯照明质量和节能评价：模拟计算的照明质量应符合 GB 50034 对教育建筑照明标准值的要求；教室照明功率密度应符合 GB 50034 对教育建筑照明功率密度限值的要求。</w:t>
            </w:r>
          </w:p>
          <w:p w14:paraId="33045116">
            <w:pPr>
              <w:pStyle w:val="2"/>
              <w:numPr>
                <w:ilvl w:val="0"/>
                <w:numId w:val="0"/>
              </w:numPr>
              <w:ind w:left="-2" w:leftChars="0"/>
              <w:jc w:val="left"/>
              <w:rPr>
                <w:rFonts w:hint="eastAsia" w:ascii="仿宋" w:hAnsi="仿宋" w:eastAsia="仿宋" w:cs="仿宋"/>
                <w:b w:val="0"/>
                <w:bCs w:val="0"/>
                <w:sz w:val="24"/>
                <w:szCs w:val="24"/>
                <w:highlight w:val="none"/>
                <w:lang w:val="en-US" w:eastAsia="zh-CN"/>
              </w:rPr>
            </w:pPr>
          </w:p>
          <w:p w14:paraId="39385372">
            <w:pPr>
              <w:pStyle w:val="2"/>
              <w:numPr>
                <w:ilvl w:val="0"/>
                <w:numId w:val="0"/>
              </w:numPr>
              <w:ind w:left="-2" w:leftChars="0"/>
              <w:jc w:val="left"/>
              <w:rPr>
                <w:rFonts w:hint="eastAsia" w:ascii="仿宋" w:hAnsi="仿宋" w:eastAsia="仿宋" w:cs="仿宋"/>
                <w:sz w:val="24"/>
                <w:szCs w:val="24"/>
                <w:highlight w:val="none"/>
                <w:lang w:eastAsia="zh-CN"/>
              </w:rPr>
            </w:pPr>
            <w:r>
              <w:rPr>
                <w:rFonts w:hint="eastAsia" w:ascii="仿宋" w:hAnsi="仿宋" w:eastAsia="仿宋" w:cs="仿宋"/>
                <w:b w:val="0"/>
                <w:bCs w:val="0"/>
                <w:sz w:val="24"/>
                <w:szCs w:val="24"/>
                <w:highlight w:val="none"/>
                <w:lang w:val="en-US" w:eastAsia="zh-CN"/>
              </w:rPr>
              <w:t>17.LED黑板灯提供</w:t>
            </w:r>
            <w:r>
              <w:rPr>
                <w:rFonts w:hint="eastAsia" w:ascii="仿宋" w:hAnsi="仿宋" w:eastAsia="仿宋" w:cs="仿宋"/>
                <w:sz w:val="24"/>
                <w:szCs w:val="24"/>
                <w:highlight w:val="none"/>
                <w:lang w:val="en-US" w:eastAsia="zh-CN"/>
              </w:rPr>
              <w:t>节能认证及</w:t>
            </w:r>
            <w:r>
              <w:rPr>
                <w:rFonts w:hint="eastAsia" w:ascii="仿宋" w:hAnsi="仿宋" w:eastAsia="仿宋" w:cs="仿宋"/>
                <w:b w:val="0"/>
                <w:bCs w:val="0"/>
                <w:sz w:val="24"/>
                <w:szCs w:val="24"/>
                <w:highlight w:val="none"/>
                <w:lang w:val="en-US" w:eastAsia="zh-CN"/>
              </w:rPr>
              <w:t>《</w:t>
            </w:r>
            <w:r>
              <w:rPr>
                <w:rFonts w:hint="eastAsia" w:ascii="仿宋" w:hAnsi="仿宋" w:eastAsia="仿宋" w:cs="仿宋"/>
                <w:sz w:val="24"/>
                <w:szCs w:val="24"/>
                <w:highlight w:val="none"/>
              </w:rPr>
              <w:t>儿童青少年学习用灯具近视防控卫生要求认证</w:t>
            </w:r>
            <w:r>
              <w:rPr>
                <w:rFonts w:hint="eastAsia" w:ascii="仿宋" w:hAnsi="仿宋" w:eastAsia="仿宋" w:cs="仿宋"/>
                <w:sz w:val="24"/>
                <w:szCs w:val="24"/>
                <w:highlight w:val="none"/>
                <w:lang w:eastAsia="zh-CN"/>
              </w:rPr>
              <w:t>》。</w:t>
            </w:r>
          </w:p>
          <w:p w14:paraId="16E1898C">
            <w:pPr>
              <w:pStyle w:val="2"/>
              <w:numPr>
                <w:ilvl w:val="0"/>
                <w:numId w:val="0"/>
              </w:numPr>
              <w:ind w:left="-2" w:leftChars="0"/>
              <w:jc w:val="left"/>
              <w:rPr>
                <w:rFonts w:ascii="仿宋" w:hAnsi="仿宋" w:eastAsia="仿宋" w:cs="仿宋"/>
                <w:color w:val="auto"/>
                <w:highlight w:val="none"/>
              </w:rPr>
            </w:pPr>
            <w:r>
              <w:rPr>
                <w:rFonts w:hint="eastAsia" w:ascii="仿宋" w:hAnsi="仿宋" w:eastAsia="仿宋" w:cs="Arial"/>
                <w:b/>
                <w:sz w:val="24"/>
                <w:szCs w:val="24"/>
                <w:highlight w:val="none"/>
              </w:rPr>
              <w:t>以上第1</w:t>
            </w:r>
            <w:r>
              <w:rPr>
                <w:rFonts w:hint="eastAsia" w:ascii="仿宋" w:hAnsi="仿宋" w:eastAsia="仿宋" w:cs="Arial"/>
                <w:b/>
                <w:sz w:val="24"/>
                <w:szCs w:val="24"/>
                <w:highlight w:val="none"/>
                <w:lang w:val="en-US" w:eastAsia="zh-CN"/>
              </w:rPr>
              <w:t>2</w:t>
            </w:r>
            <w:r>
              <w:rPr>
                <w:rFonts w:ascii="仿宋" w:hAnsi="仿宋" w:eastAsia="仿宋" w:cs="Arial"/>
                <w:b/>
                <w:sz w:val="24"/>
                <w:szCs w:val="24"/>
                <w:highlight w:val="none"/>
              </w:rPr>
              <w:t>-</w:t>
            </w:r>
            <w:r>
              <w:rPr>
                <w:rFonts w:hint="eastAsia" w:ascii="仿宋" w:hAnsi="仿宋" w:eastAsia="仿宋" w:cs="Arial"/>
                <w:b/>
                <w:sz w:val="24"/>
                <w:szCs w:val="24"/>
                <w:highlight w:val="none"/>
                <w:lang w:val="en-US" w:eastAsia="zh-CN"/>
              </w:rPr>
              <w:t>17</w:t>
            </w:r>
            <w:r>
              <w:rPr>
                <w:rFonts w:hint="eastAsia" w:ascii="仿宋" w:hAnsi="仿宋" w:eastAsia="仿宋" w:cs="Arial"/>
                <w:b/>
                <w:sz w:val="24"/>
                <w:szCs w:val="24"/>
                <w:highlight w:val="none"/>
              </w:rPr>
              <w:t>项</w:t>
            </w:r>
            <w:r>
              <w:rPr>
                <w:rFonts w:hint="eastAsia" w:ascii="仿宋" w:hAnsi="仿宋" w:eastAsia="仿宋"/>
                <w:b/>
                <w:sz w:val="24"/>
                <w:szCs w:val="24"/>
                <w:highlight w:val="none"/>
              </w:rPr>
              <w:t>须提供相应认证证书复印件</w:t>
            </w:r>
            <w:r>
              <w:rPr>
                <w:rFonts w:hint="eastAsia" w:ascii="仿宋" w:hAnsi="仿宋" w:eastAsia="仿宋"/>
                <w:b/>
                <w:sz w:val="24"/>
                <w:szCs w:val="24"/>
                <w:highlight w:val="none"/>
                <w:lang w:eastAsia="zh-CN"/>
              </w:rPr>
              <w:t>。</w:t>
            </w:r>
          </w:p>
        </w:tc>
      </w:tr>
    </w:tbl>
    <w:p w14:paraId="54DBBC4B">
      <w:pPr>
        <w:pStyle w:val="5"/>
        <w:rPr>
          <w:rFonts w:hint="eastAsia" w:ascii="仿宋" w:hAnsi="仿宋" w:eastAsia="仿宋" w:cs="仿宋"/>
          <w:sz w:val="32"/>
          <w:szCs w:val="32"/>
          <w:lang w:val="en-US" w:eastAsia="zh-CN"/>
        </w:rPr>
      </w:pPr>
      <w:r>
        <w:rPr>
          <w:rFonts w:hint="eastAsia" w:ascii="仿宋" w:hAnsi="仿宋" w:eastAsia="仿宋" w:cs="仿宋"/>
          <w:sz w:val="32"/>
          <w:szCs w:val="32"/>
          <w:lang w:eastAsia="zh-CN"/>
        </w:rPr>
        <w:t>买家留言：</w:t>
      </w:r>
      <w:r>
        <w:rPr>
          <w:rFonts w:hint="eastAsia" w:ascii="仿宋" w:hAnsi="仿宋" w:eastAsia="仿宋" w:cs="仿宋"/>
          <w:sz w:val="32"/>
          <w:szCs w:val="32"/>
          <w:lang w:val="en-US" w:eastAsia="zh-CN"/>
        </w:rPr>
        <w:t>1、参与竞标商家，报价产品含安装、运输、税票等一切费用，由于该产品考虑到学生使用的安全性及护眼问题，供应商报价时须在竞价单响应附件上传提供由第三方检测机构出具的产品检验报告，未上传报告者响应报价无效。</w:t>
      </w:r>
    </w:p>
    <w:p w14:paraId="37D7A389">
      <w:pPr>
        <w:pStyle w:val="5"/>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商务要求：1、中标供应商要按照同品牌同参数供货不得用不同品牌以次充好，如未按照发起的品牌供货，视为假冒伪劣产品，取消中标资格并报主管部门采取信用惩戒，将根据【徽采云平台电子卖场权益维护及纠纷处理规则】的规定报财政厅监管部门处理。</w:t>
      </w:r>
    </w:p>
    <w:p w14:paraId="31D30884">
      <w:pPr>
        <w:pStyle w:val="5"/>
        <w:numPr>
          <w:ilvl w:val="0"/>
          <w:numId w:val="3"/>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成交供应商在成交公告发布2日内须向采购人提供相关检验报告，加盖原厂家公章、检验报告须具有CMA或CNAS标识并符合国家相关标准。</w:t>
      </w:r>
    </w:p>
    <w:p w14:paraId="565339F5">
      <w:pPr>
        <w:pStyle w:val="5"/>
        <w:numPr>
          <w:ilvl w:val="0"/>
          <w:numId w:val="3"/>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中标供应商中标后7个工作日完成供货，安装完毕，为保证中标供应商所提供产品的质量和服务，满足采购需求技术要求，LED黑板灯要求五年原厂质保。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D4A7E3"/>
    <w:multiLevelType w:val="singleLevel"/>
    <w:tmpl w:val="FED4A7E3"/>
    <w:lvl w:ilvl="0" w:tentative="0">
      <w:start w:val="5"/>
      <w:numFmt w:val="decimal"/>
      <w:lvlText w:val="%1."/>
      <w:lvlJc w:val="left"/>
      <w:pPr>
        <w:tabs>
          <w:tab w:val="left" w:pos="312"/>
        </w:tabs>
      </w:pPr>
    </w:lvl>
  </w:abstractNum>
  <w:abstractNum w:abstractNumId="1">
    <w:nsid w:val="117AD89A"/>
    <w:multiLevelType w:val="singleLevel"/>
    <w:tmpl w:val="117AD89A"/>
    <w:lvl w:ilvl="0" w:tentative="0">
      <w:start w:val="2"/>
      <w:numFmt w:val="decimal"/>
      <w:suff w:val="nothing"/>
      <w:lvlText w:val="%1、"/>
      <w:lvlJc w:val="left"/>
    </w:lvl>
  </w:abstractNum>
  <w:abstractNum w:abstractNumId="2">
    <w:nsid w:val="43B96CF9"/>
    <w:multiLevelType w:val="singleLevel"/>
    <w:tmpl w:val="43B96CF9"/>
    <w:lvl w:ilvl="0" w:tentative="0">
      <w:start w:val="9"/>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4MWEwMDEyYWEwMTU5YWJmNDYzNGEyMjk4ZTI1YjIifQ=="/>
    <w:docVar w:name="KSO_WPS_MARK_KEY" w:val="3591f62b-023f-4dc5-83d7-57513e7af7bf"/>
  </w:docVars>
  <w:rsids>
    <w:rsidRoot w:val="539658D0"/>
    <w:rsid w:val="00051D53"/>
    <w:rsid w:val="0005247A"/>
    <w:rsid w:val="000D1870"/>
    <w:rsid w:val="00115EB5"/>
    <w:rsid w:val="001E096D"/>
    <w:rsid w:val="001F2F83"/>
    <w:rsid w:val="002D2592"/>
    <w:rsid w:val="003A1784"/>
    <w:rsid w:val="003A293F"/>
    <w:rsid w:val="003B4B20"/>
    <w:rsid w:val="003C060E"/>
    <w:rsid w:val="00403545"/>
    <w:rsid w:val="00470149"/>
    <w:rsid w:val="004A1155"/>
    <w:rsid w:val="00500240"/>
    <w:rsid w:val="005519AF"/>
    <w:rsid w:val="00576A5C"/>
    <w:rsid w:val="008302A2"/>
    <w:rsid w:val="008757D1"/>
    <w:rsid w:val="008F4CCB"/>
    <w:rsid w:val="009049D8"/>
    <w:rsid w:val="00951321"/>
    <w:rsid w:val="009A314F"/>
    <w:rsid w:val="00A112B6"/>
    <w:rsid w:val="00A35B82"/>
    <w:rsid w:val="00B07A72"/>
    <w:rsid w:val="00B51337"/>
    <w:rsid w:val="00B53B66"/>
    <w:rsid w:val="00BE5C74"/>
    <w:rsid w:val="00CC5880"/>
    <w:rsid w:val="00DC5393"/>
    <w:rsid w:val="00E025A7"/>
    <w:rsid w:val="00E15C0F"/>
    <w:rsid w:val="00E558D4"/>
    <w:rsid w:val="00ED36B1"/>
    <w:rsid w:val="01D46DBB"/>
    <w:rsid w:val="022555B2"/>
    <w:rsid w:val="024478CF"/>
    <w:rsid w:val="03053891"/>
    <w:rsid w:val="0339133F"/>
    <w:rsid w:val="037222E2"/>
    <w:rsid w:val="03D144DF"/>
    <w:rsid w:val="048F616F"/>
    <w:rsid w:val="04C01618"/>
    <w:rsid w:val="053336AD"/>
    <w:rsid w:val="054F65F7"/>
    <w:rsid w:val="059F5504"/>
    <w:rsid w:val="0635691E"/>
    <w:rsid w:val="06473689"/>
    <w:rsid w:val="065D780C"/>
    <w:rsid w:val="06D534C3"/>
    <w:rsid w:val="072B0FB7"/>
    <w:rsid w:val="07514C9D"/>
    <w:rsid w:val="07BC57D2"/>
    <w:rsid w:val="07C2040C"/>
    <w:rsid w:val="07C76F3A"/>
    <w:rsid w:val="08300958"/>
    <w:rsid w:val="086C13EE"/>
    <w:rsid w:val="08EA63D8"/>
    <w:rsid w:val="091D099C"/>
    <w:rsid w:val="092A5532"/>
    <w:rsid w:val="09F47D43"/>
    <w:rsid w:val="0A0D119F"/>
    <w:rsid w:val="0A4B329A"/>
    <w:rsid w:val="0A5E021F"/>
    <w:rsid w:val="0AA90B70"/>
    <w:rsid w:val="0B0B3B2B"/>
    <w:rsid w:val="0B1522F4"/>
    <w:rsid w:val="0BE8435A"/>
    <w:rsid w:val="0C3B7EEE"/>
    <w:rsid w:val="0C815F90"/>
    <w:rsid w:val="0CEE5B20"/>
    <w:rsid w:val="0D7053EA"/>
    <w:rsid w:val="0D93534F"/>
    <w:rsid w:val="0DC34055"/>
    <w:rsid w:val="0E100F06"/>
    <w:rsid w:val="0E5B5AB3"/>
    <w:rsid w:val="0EB55C81"/>
    <w:rsid w:val="0EC51CF1"/>
    <w:rsid w:val="0EED3F15"/>
    <w:rsid w:val="0F1C1938"/>
    <w:rsid w:val="0FBB5C06"/>
    <w:rsid w:val="0FEA0BB7"/>
    <w:rsid w:val="105A290D"/>
    <w:rsid w:val="10747BBA"/>
    <w:rsid w:val="107A7B53"/>
    <w:rsid w:val="10A128BB"/>
    <w:rsid w:val="11491018"/>
    <w:rsid w:val="11AC4325"/>
    <w:rsid w:val="11F453B3"/>
    <w:rsid w:val="11F47BF5"/>
    <w:rsid w:val="11F5775B"/>
    <w:rsid w:val="11F91C76"/>
    <w:rsid w:val="12602187"/>
    <w:rsid w:val="12CD03B5"/>
    <w:rsid w:val="12D04178"/>
    <w:rsid w:val="12DA52CD"/>
    <w:rsid w:val="13086A7E"/>
    <w:rsid w:val="1308777F"/>
    <w:rsid w:val="13106293"/>
    <w:rsid w:val="132533FB"/>
    <w:rsid w:val="13A96EE5"/>
    <w:rsid w:val="1430249F"/>
    <w:rsid w:val="149C34F4"/>
    <w:rsid w:val="152E646A"/>
    <w:rsid w:val="158C3568"/>
    <w:rsid w:val="160947FF"/>
    <w:rsid w:val="160A243B"/>
    <w:rsid w:val="16885CF1"/>
    <w:rsid w:val="16D23389"/>
    <w:rsid w:val="17E458DD"/>
    <w:rsid w:val="183D0B4A"/>
    <w:rsid w:val="18E739A9"/>
    <w:rsid w:val="18E86C54"/>
    <w:rsid w:val="191307B7"/>
    <w:rsid w:val="1929310B"/>
    <w:rsid w:val="1B0227C2"/>
    <w:rsid w:val="1B4F7620"/>
    <w:rsid w:val="1BCC4583"/>
    <w:rsid w:val="1C041919"/>
    <w:rsid w:val="1C6B19BB"/>
    <w:rsid w:val="1CB00CB3"/>
    <w:rsid w:val="1DF41CC7"/>
    <w:rsid w:val="1E3C5E68"/>
    <w:rsid w:val="1F4624DE"/>
    <w:rsid w:val="1F677CA7"/>
    <w:rsid w:val="1FD9384E"/>
    <w:rsid w:val="200579B7"/>
    <w:rsid w:val="209761CB"/>
    <w:rsid w:val="23516EE1"/>
    <w:rsid w:val="23716EB4"/>
    <w:rsid w:val="240D693A"/>
    <w:rsid w:val="247E4406"/>
    <w:rsid w:val="2489086C"/>
    <w:rsid w:val="24BE68F8"/>
    <w:rsid w:val="25535E50"/>
    <w:rsid w:val="25D353A7"/>
    <w:rsid w:val="25DA49E2"/>
    <w:rsid w:val="26866BCC"/>
    <w:rsid w:val="269A6797"/>
    <w:rsid w:val="26F83FF0"/>
    <w:rsid w:val="270C5517"/>
    <w:rsid w:val="277B1A1A"/>
    <w:rsid w:val="28011C81"/>
    <w:rsid w:val="28C406E1"/>
    <w:rsid w:val="28E75DB2"/>
    <w:rsid w:val="290F58F4"/>
    <w:rsid w:val="29160E8C"/>
    <w:rsid w:val="29603E37"/>
    <w:rsid w:val="29820AB2"/>
    <w:rsid w:val="2A0852AF"/>
    <w:rsid w:val="2A141649"/>
    <w:rsid w:val="2AB4113F"/>
    <w:rsid w:val="2ABF6E0D"/>
    <w:rsid w:val="2AEC29A5"/>
    <w:rsid w:val="2AFC6642"/>
    <w:rsid w:val="2B2854D8"/>
    <w:rsid w:val="2B3B1015"/>
    <w:rsid w:val="2B8F395A"/>
    <w:rsid w:val="2B9B3DE3"/>
    <w:rsid w:val="2BA44F9E"/>
    <w:rsid w:val="2C2E4F21"/>
    <w:rsid w:val="2C4C123B"/>
    <w:rsid w:val="2DA472C0"/>
    <w:rsid w:val="2DCD5BC9"/>
    <w:rsid w:val="2DD23444"/>
    <w:rsid w:val="2FA968CE"/>
    <w:rsid w:val="2FD40DF0"/>
    <w:rsid w:val="303845C1"/>
    <w:rsid w:val="30570215"/>
    <w:rsid w:val="309F1E37"/>
    <w:rsid w:val="30C72B18"/>
    <w:rsid w:val="30F97993"/>
    <w:rsid w:val="31667D53"/>
    <w:rsid w:val="31886949"/>
    <w:rsid w:val="320D7537"/>
    <w:rsid w:val="321D37AE"/>
    <w:rsid w:val="324205E9"/>
    <w:rsid w:val="32462906"/>
    <w:rsid w:val="329F67DC"/>
    <w:rsid w:val="32C97752"/>
    <w:rsid w:val="32CF1352"/>
    <w:rsid w:val="32F347CF"/>
    <w:rsid w:val="32FE67E5"/>
    <w:rsid w:val="338E38BA"/>
    <w:rsid w:val="34675693"/>
    <w:rsid w:val="353363F0"/>
    <w:rsid w:val="359103D7"/>
    <w:rsid w:val="367169E2"/>
    <w:rsid w:val="36C05BF7"/>
    <w:rsid w:val="374240CE"/>
    <w:rsid w:val="3750780D"/>
    <w:rsid w:val="375C6DE7"/>
    <w:rsid w:val="38A242A5"/>
    <w:rsid w:val="3A3050D1"/>
    <w:rsid w:val="3A356837"/>
    <w:rsid w:val="3A8A4E65"/>
    <w:rsid w:val="3AB04F9E"/>
    <w:rsid w:val="3AB934E6"/>
    <w:rsid w:val="3BB0121E"/>
    <w:rsid w:val="3BD41EAF"/>
    <w:rsid w:val="3C5F6A31"/>
    <w:rsid w:val="3CCC7989"/>
    <w:rsid w:val="3DAD290A"/>
    <w:rsid w:val="3DAD2DDB"/>
    <w:rsid w:val="3E0D2875"/>
    <w:rsid w:val="3F085CC5"/>
    <w:rsid w:val="3F283A7A"/>
    <w:rsid w:val="408715FC"/>
    <w:rsid w:val="408F4D19"/>
    <w:rsid w:val="40BA3A16"/>
    <w:rsid w:val="40BC4452"/>
    <w:rsid w:val="410500CC"/>
    <w:rsid w:val="419160F0"/>
    <w:rsid w:val="41D15952"/>
    <w:rsid w:val="43195B8C"/>
    <w:rsid w:val="43261623"/>
    <w:rsid w:val="445F450B"/>
    <w:rsid w:val="447829C3"/>
    <w:rsid w:val="448F5023"/>
    <w:rsid w:val="44DF28D5"/>
    <w:rsid w:val="457F29F5"/>
    <w:rsid w:val="45B24076"/>
    <w:rsid w:val="467050E4"/>
    <w:rsid w:val="46914E0A"/>
    <w:rsid w:val="469B4E8A"/>
    <w:rsid w:val="46A950DE"/>
    <w:rsid w:val="47311A6E"/>
    <w:rsid w:val="47CD58CC"/>
    <w:rsid w:val="48555E98"/>
    <w:rsid w:val="49FC25C6"/>
    <w:rsid w:val="4A613997"/>
    <w:rsid w:val="4AB66F12"/>
    <w:rsid w:val="4AD53E09"/>
    <w:rsid w:val="4AD748BC"/>
    <w:rsid w:val="4D0D24BF"/>
    <w:rsid w:val="4D8612CF"/>
    <w:rsid w:val="4D8D78A2"/>
    <w:rsid w:val="4D8D79EE"/>
    <w:rsid w:val="4DE16FAF"/>
    <w:rsid w:val="4E774ECA"/>
    <w:rsid w:val="4ED7604E"/>
    <w:rsid w:val="4F0827F9"/>
    <w:rsid w:val="4F105A6C"/>
    <w:rsid w:val="4F135162"/>
    <w:rsid w:val="4F592F74"/>
    <w:rsid w:val="4F5A249E"/>
    <w:rsid w:val="501D3C79"/>
    <w:rsid w:val="50A849F3"/>
    <w:rsid w:val="514F4E6E"/>
    <w:rsid w:val="5187285A"/>
    <w:rsid w:val="520619D1"/>
    <w:rsid w:val="526711E3"/>
    <w:rsid w:val="53392FDD"/>
    <w:rsid w:val="539658D0"/>
    <w:rsid w:val="53B76493"/>
    <w:rsid w:val="54605ECE"/>
    <w:rsid w:val="549F7EBB"/>
    <w:rsid w:val="555D4E55"/>
    <w:rsid w:val="55844460"/>
    <w:rsid w:val="559B68D4"/>
    <w:rsid w:val="55AD1AED"/>
    <w:rsid w:val="55D0578B"/>
    <w:rsid w:val="56243DFF"/>
    <w:rsid w:val="56590A8A"/>
    <w:rsid w:val="56701057"/>
    <w:rsid w:val="568865A8"/>
    <w:rsid w:val="56B018EF"/>
    <w:rsid w:val="5768204A"/>
    <w:rsid w:val="57C1092B"/>
    <w:rsid w:val="57C44739"/>
    <w:rsid w:val="57CD00B3"/>
    <w:rsid w:val="581D2D51"/>
    <w:rsid w:val="583C2681"/>
    <w:rsid w:val="58B31C1A"/>
    <w:rsid w:val="58C93758"/>
    <w:rsid w:val="58CE5BBA"/>
    <w:rsid w:val="591E14FD"/>
    <w:rsid w:val="59230CDA"/>
    <w:rsid w:val="5AA25A1A"/>
    <w:rsid w:val="5AF401F8"/>
    <w:rsid w:val="5B4B5573"/>
    <w:rsid w:val="5B6C3FBA"/>
    <w:rsid w:val="5B6F4F62"/>
    <w:rsid w:val="5BF8701C"/>
    <w:rsid w:val="5CFF6DEB"/>
    <w:rsid w:val="5D240071"/>
    <w:rsid w:val="5DBF0593"/>
    <w:rsid w:val="5F975047"/>
    <w:rsid w:val="600914FF"/>
    <w:rsid w:val="60843B36"/>
    <w:rsid w:val="61DE6B9C"/>
    <w:rsid w:val="62AD4504"/>
    <w:rsid w:val="62B378A3"/>
    <w:rsid w:val="62F82B2F"/>
    <w:rsid w:val="63AA7BD3"/>
    <w:rsid w:val="63E95715"/>
    <w:rsid w:val="65060E9A"/>
    <w:rsid w:val="65132DA2"/>
    <w:rsid w:val="65A10979"/>
    <w:rsid w:val="65ED6CD8"/>
    <w:rsid w:val="6649527E"/>
    <w:rsid w:val="678E0047"/>
    <w:rsid w:val="68DB2113"/>
    <w:rsid w:val="692B630D"/>
    <w:rsid w:val="69436164"/>
    <w:rsid w:val="69627F26"/>
    <w:rsid w:val="6969757D"/>
    <w:rsid w:val="698A2A1B"/>
    <w:rsid w:val="69A47B55"/>
    <w:rsid w:val="69AE1FE4"/>
    <w:rsid w:val="6A5D3D36"/>
    <w:rsid w:val="6B4E03F2"/>
    <w:rsid w:val="6B62095E"/>
    <w:rsid w:val="6B947BF6"/>
    <w:rsid w:val="6D6B4986"/>
    <w:rsid w:val="6D91113C"/>
    <w:rsid w:val="6DB7012F"/>
    <w:rsid w:val="6E625D89"/>
    <w:rsid w:val="6E724357"/>
    <w:rsid w:val="6EC25670"/>
    <w:rsid w:val="6ED5063C"/>
    <w:rsid w:val="6F0E1431"/>
    <w:rsid w:val="6F7902AD"/>
    <w:rsid w:val="6FC767EC"/>
    <w:rsid w:val="70093D0E"/>
    <w:rsid w:val="707324D0"/>
    <w:rsid w:val="714B45F0"/>
    <w:rsid w:val="714C1B10"/>
    <w:rsid w:val="71724535"/>
    <w:rsid w:val="71C31C37"/>
    <w:rsid w:val="7284628F"/>
    <w:rsid w:val="72E03B24"/>
    <w:rsid w:val="732473B9"/>
    <w:rsid w:val="733B12B3"/>
    <w:rsid w:val="735352D9"/>
    <w:rsid w:val="73B426BC"/>
    <w:rsid w:val="73B57E1A"/>
    <w:rsid w:val="73F765DD"/>
    <w:rsid w:val="743B52A3"/>
    <w:rsid w:val="774921DC"/>
    <w:rsid w:val="779B754D"/>
    <w:rsid w:val="7856695F"/>
    <w:rsid w:val="78B06C3A"/>
    <w:rsid w:val="792B0CE0"/>
    <w:rsid w:val="79614503"/>
    <w:rsid w:val="796B4381"/>
    <w:rsid w:val="79BC75BE"/>
    <w:rsid w:val="7A091B25"/>
    <w:rsid w:val="7A266407"/>
    <w:rsid w:val="7A502322"/>
    <w:rsid w:val="7A5829AF"/>
    <w:rsid w:val="7A984B2B"/>
    <w:rsid w:val="7ABF31A7"/>
    <w:rsid w:val="7AD73740"/>
    <w:rsid w:val="7B691628"/>
    <w:rsid w:val="7B893911"/>
    <w:rsid w:val="7C134738"/>
    <w:rsid w:val="7C6A0577"/>
    <w:rsid w:val="7D034BDB"/>
    <w:rsid w:val="7D782FAD"/>
    <w:rsid w:val="7D897142"/>
    <w:rsid w:val="7D997111"/>
    <w:rsid w:val="7DA1332E"/>
    <w:rsid w:val="7DAD4508"/>
    <w:rsid w:val="7E12556C"/>
    <w:rsid w:val="7E1306E9"/>
    <w:rsid w:val="7FAD7032"/>
    <w:rsid w:val="7FBA38E9"/>
    <w:rsid w:val="7FF54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99"/>
    <w:rPr>
      <w:rFonts w:ascii="宋体" w:hAnsi="Courier New"/>
    </w:r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rPr>
      <w:rFonts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Title"/>
    <w:basedOn w:val="1"/>
    <w:next w:val="1"/>
    <w:qFormat/>
    <w:uiPriority w:val="10"/>
    <w:pPr>
      <w:spacing w:before="240" w:after="60"/>
      <w:jc w:val="center"/>
      <w:outlineLvl w:val="0"/>
    </w:pPr>
    <w:rPr>
      <w:rFonts w:ascii="Cambria" w:hAnsi="Cambria"/>
      <w:b/>
      <w:bCs/>
      <w:sz w:val="36"/>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1363</Words>
  <Characters>1631</Characters>
  <Lines>9</Lines>
  <Paragraphs>9</Paragraphs>
  <TotalTime>0</TotalTime>
  <ScaleCrop>false</ScaleCrop>
  <LinksUpToDate>false</LinksUpToDate>
  <CharactersWithSpaces>1681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2021-04-30T06:04:00Z</dcterms:created>
  <dc:creator>Administrator</dc:creator>
  <cp:lastModifiedBy>莱帝森护眼灯厂家</cp:lastModifiedBy>
  <cp:lastPrinted>2026-07-22T03:13:00Z</cp:lastPrinted>
  <dcterms:modified xsi:type="dcterms:W3CDTF">2026-07-29T02:28:22Z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D3BD20ECE6EB4F5DB1177EF6FE11EF5B_13</vt:lpwstr>
  </property>
  <property fmtid="{D5CDD505-2E9C-101B-9397-08002B2CF9AE}" pid="4" name="KSOTemplateDocerSaveRecord">
    <vt:lpwstr>eyJoZGlkIjoiNWFhZWNiNGVlN2MwMTRhYjA0ZWFjZjlhYmVjYjM3OTMiLCJ1c2VySWQiOiIxMTMyMTc0ODQyIn0=</vt:lpwstr>
  </property>
</Properties>
</file>