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tbl>
      <w:tblPr>
        <w:tblStyle w:val="7"/>
        <w:tblW w:w="10020" w:type="dxa"/>
        <w:jc w:val="center"/>
        <w:tblLayout w:type="fixed"/>
        <w:tblCellMar>
          <w:top w:w="0" w:type="dxa"/>
          <w:left w:w="0" w:type="dxa"/>
          <w:bottom w:w="0" w:type="dxa"/>
          <w:right w:w="0" w:type="dxa"/>
        </w:tblCellMar>
      </w:tblPr>
      <w:tblGrid>
        <w:gridCol w:w="515"/>
        <w:gridCol w:w="890"/>
        <w:gridCol w:w="1048"/>
        <w:gridCol w:w="7567"/>
      </w:tblGrid>
      <w:tr w14:paraId="6EF03811">
        <w:trPr>
          <w:trHeight w:val="370" w:hRule="atLeast"/>
          <w:jc w:val="center"/>
        </w:trPr>
        <w:tc>
          <w:tcPr>
            <w:tcW w:w="5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DC7EBA">
            <w:pPr>
              <w:widowControl/>
              <w:jc w:val="center"/>
              <w:textAlignment w:val="center"/>
              <w:rPr>
                <w:rFonts w:ascii="仿宋" w:hAnsi="仿宋" w:eastAsia="仿宋" w:cs="仿宋"/>
                <w:bCs/>
              </w:rPr>
            </w:pPr>
            <w:r>
              <w:rPr>
                <w:rFonts w:hint="eastAsia" w:ascii="仿宋" w:hAnsi="仿宋" w:eastAsia="仿宋" w:cs="仿宋"/>
                <w:bCs/>
                <w:kern w:val="0"/>
                <w:lang w:bidi="ar"/>
              </w:rPr>
              <w:t>序号</w:t>
            </w:r>
          </w:p>
        </w:tc>
        <w:tc>
          <w:tcPr>
            <w:tcW w:w="890" w:type="dxa"/>
            <w:tcBorders>
              <w:top w:val="single" w:color="000000" w:sz="4" w:space="0"/>
              <w:left w:val="single" w:color="000000" w:sz="4" w:space="0"/>
              <w:bottom w:val="single" w:color="000000" w:sz="4" w:space="0"/>
              <w:right w:val="single" w:color="000000" w:sz="4" w:space="0"/>
            </w:tcBorders>
          </w:tcPr>
          <w:p w14:paraId="3AC77822">
            <w:pPr>
              <w:widowControl/>
              <w:jc w:val="center"/>
              <w:textAlignment w:val="center"/>
              <w:rPr>
                <w:rFonts w:ascii="仿宋" w:hAnsi="仿宋" w:eastAsia="仿宋" w:cs="仿宋"/>
                <w:bCs/>
                <w:kern w:val="0"/>
                <w:lang w:bidi="ar"/>
              </w:rPr>
            </w:pPr>
            <w:r>
              <w:rPr>
                <w:rFonts w:hint="eastAsia" w:ascii="仿宋" w:hAnsi="仿宋" w:eastAsia="仿宋" w:cs="仿宋"/>
                <w:bCs/>
                <w:kern w:val="0"/>
                <w:lang w:bidi="ar"/>
              </w:rPr>
              <w:t>设备</w:t>
            </w:r>
          </w:p>
          <w:p w14:paraId="5B9257B0">
            <w:pPr>
              <w:widowControl/>
              <w:jc w:val="center"/>
              <w:textAlignment w:val="center"/>
              <w:rPr>
                <w:rFonts w:ascii="仿宋" w:hAnsi="仿宋" w:eastAsia="仿宋" w:cs="仿宋"/>
                <w:bCs/>
                <w:kern w:val="0"/>
                <w:lang w:bidi="ar"/>
              </w:rPr>
            </w:pPr>
            <w:r>
              <w:rPr>
                <w:rFonts w:hint="eastAsia" w:ascii="仿宋" w:hAnsi="仿宋" w:eastAsia="仿宋" w:cs="仿宋"/>
                <w:bCs/>
                <w:kern w:val="0"/>
                <w:lang w:bidi="ar"/>
              </w:rPr>
              <w:t>名称</w:t>
            </w:r>
          </w:p>
        </w:tc>
        <w:tc>
          <w:tcPr>
            <w:tcW w:w="10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A910D5">
            <w:pPr>
              <w:widowControl/>
              <w:jc w:val="center"/>
              <w:textAlignment w:val="center"/>
              <w:rPr>
                <w:rFonts w:ascii="仿宋" w:hAnsi="仿宋" w:eastAsia="仿宋" w:cs="仿宋"/>
                <w:bCs/>
              </w:rPr>
            </w:pPr>
            <w:r>
              <w:rPr>
                <w:rFonts w:hint="eastAsia" w:ascii="仿宋" w:hAnsi="仿宋" w:eastAsia="仿宋" w:cs="仿宋"/>
                <w:bCs/>
              </w:rPr>
              <w:t>数量/盏</w:t>
            </w:r>
          </w:p>
        </w:tc>
        <w:tc>
          <w:tcPr>
            <w:tcW w:w="7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3A7BB4">
            <w:pPr>
              <w:widowControl/>
              <w:jc w:val="center"/>
              <w:textAlignment w:val="center"/>
              <w:rPr>
                <w:rFonts w:ascii="仿宋" w:hAnsi="仿宋" w:eastAsia="仿宋" w:cs="仿宋"/>
                <w:bCs/>
              </w:rPr>
            </w:pPr>
            <w:r>
              <w:rPr>
                <w:rFonts w:hint="eastAsia" w:ascii="仿宋" w:hAnsi="仿宋" w:eastAsia="仿宋" w:cs="仿宋"/>
                <w:bCs/>
                <w:kern w:val="0"/>
                <w:lang w:bidi="ar"/>
              </w:rPr>
              <w:t>技术规格</w:t>
            </w:r>
          </w:p>
        </w:tc>
      </w:tr>
      <w:tr w14:paraId="43FE7AF4">
        <w:tblPrEx>
          <w:tblCellMar>
            <w:top w:w="0" w:type="dxa"/>
            <w:left w:w="0" w:type="dxa"/>
            <w:bottom w:w="0" w:type="dxa"/>
            <w:right w:w="0" w:type="dxa"/>
          </w:tblCellMar>
        </w:tblPrEx>
        <w:trPr>
          <w:trHeight w:val="728" w:hRule="atLeast"/>
          <w:jc w:val="center"/>
        </w:trPr>
        <w:tc>
          <w:tcPr>
            <w:tcW w:w="515"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5CC33B3B">
            <w:pPr>
              <w:spacing w:line="360" w:lineRule="auto"/>
              <w:ind w:left="120" w:leftChars="50" w:right="120" w:rightChars="50"/>
              <w:jc w:val="left"/>
              <w:textAlignment w:val="baseline"/>
              <w:rPr>
                <w:rFonts w:ascii="宋体" w:hAnsi="宋体" w:cs="宋体"/>
              </w:rPr>
            </w:pPr>
            <w:r>
              <w:rPr>
                <w:rFonts w:hint="eastAsia" w:ascii="宋体" w:hAnsi="宋体" w:cs="宋体"/>
              </w:rPr>
              <w:t>2</w:t>
            </w:r>
          </w:p>
        </w:tc>
        <w:tc>
          <w:tcPr>
            <w:tcW w:w="890" w:type="dxa"/>
            <w:tcBorders>
              <w:top w:val="single" w:color="000000" w:sz="4" w:space="0"/>
              <w:left w:val="single" w:color="auto" w:sz="4" w:space="0"/>
              <w:bottom w:val="single" w:color="000000" w:sz="4" w:space="0"/>
              <w:right w:val="single" w:color="auto" w:sz="4" w:space="0"/>
            </w:tcBorders>
          </w:tcPr>
          <w:p w14:paraId="687297E4">
            <w:pPr>
              <w:spacing w:line="360" w:lineRule="auto"/>
              <w:ind w:left="120" w:leftChars="50" w:right="120" w:rightChars="50"/>
              <w:jc w:val="left"/>
              <w:textAlignment w:val="baseline"/>
              <w:rPr>
                <w:rFonts w:ascii="宋体" w:hAnsi="宋体" w:cs="宋体"/>
              </w:rPr>
            </w:pPr>
          </w:p>
          <w:p w14:paraId="2920A747">
            <w:pPr>
              <w:pStyle w:val="3"/>
            </w:pPr>
          </w:p>
          <w:p w14:paraId="5551CF59">
            <w:pPr>
              <w:pStyle w:val="4"/>
              <w:ind w:left="6000"/>
            </w:pPr>
          </w:p>
          <w:p w14:paraId="58F32EBA"/>
          <w:p w14:paraId="51C22B77">
            <w:pPr>
              <w:pStyle w:val="3"/>
            </w:pPr>
          </w:p>
          <w:p w14:paraId="58454AAB">
            <w:pPr>
              <w:pStyle w:val="4"/>
              <w:ind w:left="6000"/>
            </w:pPr>
          </w:p>
          <w:p w14:paraId="3883F84C"/>
          <w:p w14:paraId="41AEB9D3">
            <w:pPr>
              <w:pStyle w:val="3"/>
            </w:pPr>
          </w:p>
          <w:p w14:paraId="7350CDB1">
            <w:pPr>
              <w:pStyle w:val="4"/>
              <w:ind w:left="6000"/>
            </w:pPr>
          </w:p>
          <w:p w14:paraId="3F50178D"/>
          <w:p w14:paraId="2DF0AC27">
            <w:pPr>
              <w:pStyle w:val="3"/>
            </w:pPr>
          </w:p>
          <w:p w14:paraId="681E51DC">
            <w:pPr>
              <w:rPr>
                <w:rFonts w:hint="eastAsia" w:ascii="仿宋" w:hAnsi="仿宋" w:eastAsia="仿宋" w:cs="仿宋"/>
                <w:lang w:eastAsia="zh-CN"/>
              </w:rPr>
            </w:pPr>
            <w:r>
              <w:rPr>
                <w:rFonts w:hint="eastAsia" w:ascii="仿宋" w:hAnsi="仿宋" w:eastAsia="仿宋" w:cs="仿宋"/>
                <w:lang w:eastAsia="zh-CN"/>
              </w:rPr>
              <w:t>莱帝森</w:t>
            </w:r>
          </w:p>
          <w:p w14:paraId="05F9B674">
            <w:pPr>
              <w:pStyle w:val="3"/>
            </w:pPr>
            <w:r>
              <w:rPr>
                <w:rFonts w:hint="eastAsia" w:ascii="仿宋" w:hAnsi="仿宋" w:eastAsia="仿宋" w:cs="仿宋"/>
              </w:rPr>
              <w:t>LED教室灯</w:t>
            </w:r>
          </w:p>
        </w:tc>
        <w:tc>
          <w:tcPr>
            <w:tcW w:w="1048" w:type="dxa"/>
            <w:tcBorders>
              <w:top w:val="single" w:color="000000" w:sz="4" w:space="0"/>
              <w:left w:val="single" w:color="auto" w:sz="4" w:space="0"/>
              <w:bottom w:val="single" w:color="000000" w:sz="4" w:space="0"/>
              <w:right w:val="single" w:color="auto" w:sz="4" w:space="0"/>
            </w:tcBorders>
            <w:tcMar>
              <w:top w:w="15" w:type="dxa"/>
              <w:left w:w="15" w:type="dxa"/>
              <w:right w:w="15" w:type="dxa"/>
            </w:tcMar>
            <w:vAlign w:val="center"/>
          </w:tcPr>
          <w:p w14:paraId="332F7D52">
            <w:pPr>
              <w:spacing w:line="360" w:lineRule="auto"/>
              <w:ind w:left="120" w:leftChars="50" w:right="120" w:rightChars="50"/>
              <w:jc w:val="left"/>
              <w:textAlignment w:val="baseline"/>
              <w:rPr>
                <w:rFonts w:hint="eastAsia" w:ascii="仿宋" w:hAnsi="仿宋" w:eastAsia="仿宋" w:cs="仿宋"/>
                <w:sz w:val="24"/>
                <w:szCs w:val="24"/>
              </w:rPr>
            </w:pPr>
          </w:p>
        </w:tc>
        <w:tc>
          <w:tcPr>
            <w:tcW w:w="7567"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6F47BB3C">
            <w:pPr>
              <w:pStyle w:val="2"/>
              <w:numPr>
                <w:ilvl w:val="0"/>
                <w:numId w:val="0"/>
              </w:numPr>
              <w:tabs>
                <w:tab w:val="left" w:pos="0"/>
              </w:tabs>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r>
              <w:rPr>
                <w:rFonts w:hint="eastAsia" w:ascii="仿宋" w:hAnsi="仿宋" w:eastAsia="仿宋" w:cs="仿宋"/>
                <w:sz w:val="24"/>
                <w:szCs w:val="24"/>
              </w:rPr>
              <w:t>LED 教室灯整灯尺寸：长度≥1180mm、宽度≥280mm；灯具整体结构合理，各部件连接稳固，</w:t>
            </w:r>
            <w:r>
              <w:rPr>
                <w:rFonts w:hint="eastAsia" w:ascii="仿宋" w:hAnsi="仿宋" w:eastAsia="仿宋" w:cs="仿宋"/>
                <w:b/>
                <w:bCs/>
                <w:sz w:val="24"/>
                <w:szCs w:val="24"/>
              </w:rPr>
              <w:t>采用防眩格栅结构</w:t>
            </w:r>
            <w:r>
              <w:rPr>
                <w:rFonts w:hint="eastAsia" w:ascii="仿宋" w:hAnsi="仿宋" w:eastAsia="仿宋" w:cs="仿宋"/>
                <w:b/>
                <w:bCs/>
                <w:sz w:val="24"/>
                <w:szCs w:val="24"/>
                <w:lang w:eastAsia="zh-CN"/>
              </w:rPr>
              <w:t>，</w:t>
            </w:r>
            <w:r>
              <w:rPr>
                <w:rFonts w:hint="eastAsia" w:ascii="仿宋" w:hAnsi="仿宋" w:eastAsia="仿宋" w:cs="仿宋"/>
                <w:b/>
                <w:bCs/>
                <w:sz w:val="24"/>
                <w:szCs w:val="24"/>
                <w:lang w:val="en-US" w:eastAsia="zh-CN"/>
              </w:rPr>
              <w:t>灯具</w:t>
            </w:r>
            <w:r>
              <w:rPr>
                <w:rFonts w:hint="eastAsia" w:ascii="仿宋" w:hAnsi="仿宋" w:eastAsia="仿宋" w:cs="仿宋"/>
                <w:b/>
                <w:bCs/>
                <w:sz w:val="24"/>
                <w:szCs w:val="24"/>
              </w:rPr>
              <w:t>背部</w:t>
            </w:r>
            <w:r>
              <w:rPr>
                <w:rFonts w:hint="eastAsia" w:ascii="仿宋" w:hAnsi="仿宋" w:eastAsia="仿宋" w:cs="仿宋"/>
                <w:b/>
                <w:bCs/>
                <w:sz w:val="24"/>
                <w:szCs w:val="24"/>
                <w:lang w:val="en-US" w:eastAsia="zh-CN"/>
              </w:rPr>
              <w:t>向上补</w:t>
            </w:r>
            <w:r>
              <w:rPr>
                <w:rFonts w:hint="eastAsia" w:ascii="仿宋" w:hAnsi="仿宋" w:eastAsia="仿宋" w:cs="仿宋"/>
                <w:b/>
                <w:bCs/>
                <w:sz w:val="24"/>
                <w:szCs w:val="24"/>
              </w:rPr>
              <w:t>光设计</w:t>
            </w:r>
            <w:r>
              <w:rPr>
                <w:rFonts w:hint="eastAsia" w:ascii="仿宋" w:hAnsi="仿宋" w:eastAsia="仿宋" w:cs="仿宋"/>
                <w:b/>
                <w:bCs/>
                <w:sz w:val="24"/>
                <w:szCs w:val="24"/>
                <w:lang w:eastAsia="zh-CN"/>
              </w:rPr>
              <w:t>。</w:t>
            </w:r>
            <w:r>
              <w:rPr>
                <w:rFonts w:hint="eastAsia" w:ascii="仿宋" w:hAnsi="仿宋" w:eastAsia="仿宋" w:cs="仿宋"/>
                <w:sz w:val="24"/>
                <w:szCs w:val="24"/>
                <w:lang w:val="en-US" w:eastAsia="zh-CN"/>
              </w:rPr>
              <w:t xml:space="preserve"> </w:t>
            </w:r>
          </w:p>
          <w:p w14:paraId="42734AC0">
            <w:pPr>
              <w:pStyle w:val="2"/>
              <w:tabs>
                <w:tab w:val="left" w:pos="0"/>
              </w:tabs>
              <w:jc w:val="left"/>
              <w:rPr>
                <w:rFonts w:hint="eastAsia" w:ascii="仿宋" w:hAnsi="仿宋" w:eastAsia="仿宋" w:cs="仿宋"/>
                <w:b/>
                <w:bCs/>
                <w:sz w:val="24"/>
                <w:szCs w:val="24"/>
                <w:lang w:val="en-US" w:eastAsia="zh-CN"/>
              </w:rPr>
            </w:pPr>
          </w:p>
          <w:p w14:paraId="232C96AB">
            <w:pPr>
              <w:pStyle w:val="2"/>
              <w:tabs>
                <w:tab w:val="left" w:pos="0"/>
              </w:tabs>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LED教室灯额定功率</w:t>
            </w:r>
            <w:r>
              <w:rPr>
                <w:rFonts w:hint="eastAsia" w:ascii="仿宋" w:hAnsi="仿宋" w:eastAsia="仿宋" w:cs="仿宋"/>
                <w:bCs/>
                <w:sz w:val="24"/>
                <w:szCs w:val="24"/>
                <w:lang w:val="en-US" w:eastAsia="zh-CN"/>
              </w:rPr>
              <w:t>40W±2W</w:t>
            </w:r>
            <w:r>
              <w:rPr>
                <w:rFonts w:hint="eastAsia" w:ascii="仿宋" w:hAnsi="仿宋" w:eastAsia="仿宋" w:cs="仿宋"/>
                <w:sz w:val="24"/>
                <w:szCs w:val="24"/>
                <w:lang w:eastAsia="zh-CN"/>
              </w:rPr>
              <w:t>，</w:t>
            </w:r>
            <w:r>
              <w:rPr>
                <w:rFonts w:hint="eastAsia" w:ascii="仿宋" w:hAnsi="仿宋" w:eastAsia="仿宋" w:cs="仿宋"/>
                <w:bCs/>
                <w:sz w:val="24"/>
                <w:szCs w:val="24"/>
              </w:rPr>
              <w:t>功率因数≥0.95</w:t>
            </w:r>
            <w:r>
              <w:rPr>
                <w:rFonts w:hint="eastAsia" w:ascii="仿宋" w:hAnsi="仿宋" w:eastAsia="仿宋" w:cs="仿宋"/>
                <w:sz w:val="24"/>
                <w:szCs w:val="24"/>
              </w:rPr>
              <w:t>，</w:t>
            </w:r>
          </w:p>
          <w:p w14:paraId="5672D661">
            <w:pPr>
              <w:pStyle w:val="2"/>
              <w:numPr>
                <w:ilvl w:val="0"/>
                <w:numId w:val="0"/>
              </w:numPr>
              <w:ind w:leftChars="0"/>
              <w:rPr>
                <w:rFonts w:hint="eastAsia" w:ascii="仿宋" w:hAnsi="仿宋" w:eastAsia="仿宋" w:cs="仿宋"/>
                <w:sz w:val="24"/>
                <w:szCs w:val="24"/>
                <w:lang w:val="en-US" w:eastAsia="zh-CN"/>
              </w:rPr>
            </w:pPr>
          </w:p>
          <w:p w14:paraId="53E72C26">
            <w:pPr>
              <w:pStyle w:val="2"/>
              <w:numPr>
                <w:ilvl w:val="0"/>
                <w:numId w:val="0"/>
              </w:numPr>
              <w:ind w:leftChars="0"/>
              <w:rPr>
                <w:rFonts w:hint="eastAsia" w:ascii="仿宋" w:hAnsi="仿宋" w:eastAsia="仿宋" w:cs="仿宋"/>
                <w:bCs/>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灯具经20000小时以上老化测试，光通维持率≥93%；初始色容差 SDCM≤3，老化后色容差与初始值偏差≤1.5；黑板灯老化后光束角实测偏差≤±2°；显色指数要求 Ra≥97、R9≥80、R15≥90，经20000小时</w:t>
            </w:r>
            <w:r>
              <w:rPr>
                <w:rFonts w:hint="eastAsia" w:ascii="仿宋" w:hAnsi="仿宋" w:eastAsia="仿宋" w:cs="仿宋"/>
                <w:sz w:val="24"/>
                <w:szCs w:val="24"/>
                <w:lang w:val="en-US" w:eastAsia="zh-CN"/>
              </w:rPr>
              <w:t>以上</w:t>
            </w:r>
            <w:r>
              <w:rPr>
                <w:rFonts w:hint="eastAsia" w:ascii="仿宋" w:hAnsi="仿宋" w:eastAsia="仿宋" w:cs="仿宋"/>
                <w:sz w:val="24"/>
                <w:szCs w:val="24"/>
              </w:rPr>
              <w:t>老化后，Ra、R9、R15 参数变化差值均小于 3。</w:t>
            </w:r>
          </w:p>
          <w:p w14:paraId="4B49BDB6">
            <w:pPr>
              <w:pStyle w:val="2"/>
              <w:numPr>
                <w:ilvl w:val="0"/>
                <w:numId w:val="0"/>
              </w:numPr>
              <w:rPr>
                <w:rFonts w:hint="eastAsia" w:ascii="仿宋" w:hAnsi="仿宋" w:eastAsia="仿宋" w:cs="仿宋"/>
                <w:color w:val="auto"/>
                <w:sz w:val="24"/>
                <w:szCs w:val="24"/>
                <w:highlight w:val="none"/>
                <w:lang w:val="en-US" w:eastAsia="zh-CN"/>
              </w:rPr>
            </w:pPr>
          </w:p>
          <w:p w14:paraId="486CADD9">
            <w:pPr>
              <w:pStyle w:val="2"/>
              <w:numPr>
                <w:ilvl w:val="0"/>
                <w:numId w:val="0"/>
              </w:num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为了保证灯具寿命</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在常温25℃测得灯珠焊点温度＜50℃，</w:t>
            </w:r>
            <w:r>
              <w:rPr>
                <w:rFonts w:hint="eastAsia" w:ascii="仿宋" w:hAnsi="仿宋" w:eastAsia="仿宋" w:cs="仿宋"/>
                <w:color w:val="auto"/>
                <w:sz w:val="24"/>
                <w:szCs w:val="24"/>
                <w:highlight w:val="none"/>
                <w:lang w:val="en-US" w:eastAsia="zh-CN"/>
              </w:rPr>
              <w:t>LED控制表面（</w:t>
            </w:r>
            <w:r>
              <w:rPr>
                <w:rFonts w:hint="eastAsia" w:ascii="仿宋" w:hAnsi="仿宋" w:eastAsia="仿宋" w:cs="仿宋"/>
                <w:color w:val="auto"/>
                <w:sz w:val="24"/>
                <w:szCs w:val="24"/>
                <w:highlight w:val="none"/>
              </w:rPr>
              <w:t>驱动温度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＜58℃，内部线材温度＜40℃，安装面＜35℃。</w:t>
            </w:r>
          </w:p>
          <w:p w14:paraId="0E6CB620">
            <w:pPr>
              <w:pStyle w:val="2"/>
              <w:numPr>
                <w:ilvl w:val="0"/>
                <w:numId w:val="0"/>
              </w:numPr>
              <w:rPr>
                <w:rFonts w:hint="eastAsia" w:ascii="仿宋" w:hAnsi="仿宋" w:eastAsia="仿宋" w:cs="仿宋"/>
                <w:color w:val="auto"/>
                <w:sz w:val="24"/>
                <w:szCs w:val="24"/>
                <w:highlight w:val="none"/>
              </w:rPr>
            </w:pPr>
          </w:p>
          <w:p w14:paraId="748AD82A">
            <w:pPr>
              <w:pStyle w:val="2"/>
              <w:numPr>
                <w:ilvl w:val="0"/>
                <w:numId w:val="0"/>
              </w:numPr>
              <w:rPr>
                <w:rFonts w:hint="eastAsia" w:ascii="仿宋" w:hAnsi="仿宋" w:eastAsia="仿宋" w:cs="仿宋"/>
                <w:b w:val="0"/>
                <w:bCs w:val="0"/>
                <w:sz w:val="24"/>
                <w:szCs w:val="24"/>
                <w:highlight w:val="lightGray"/>
                <w:lang w:eastAsia="zh-CN"/>
              </w:rPr>
            </w:pPr>
            <w:r>
              <w:rPr>
                <w:rFonts w:hint="eastAsia" w:ascii="仿宋" w:hAnsi="仿宋" w:eastAsia="仿宋" w:cs="仿宋"/>
                <w:b w:val="0"/>
                <w:bCs w:val="0"/>
                <w:sz w:val="24"/>
                <w:szCs w:val="24"/>
                <w:lang w:val="en-US" w:eastAsia="zh-CN"/>
              </w:rPr>
              <w:t>5.</w:t>
            </w:r>
            <w:r>
              <w:rPr>
                <w:rFonts w:hint="eastAsia" w:ascii="仿宋" w:hAnsi="仿宋" w:eastAsia="仿宋" w:cs="仿宋"/>
                <w:b w:val="0"/>
                <w:bCs w:val="0"/>
                <w:sz w:val="24"/>
                <w:szCs w:val="24"/>
              </w:rPr>
              <w:t>依据</w:t>
            </w:r>
            <w:r>
              <w:rPr>
                <w:rStyle w:val="10"/>
                <w:rFonts w:hint="eastAsia" w:ascii="仿宋" w:hAnsi="仿宋" w:eastAsia="仿宋" w:cs="仿宋"/>
                <w:b w:val="0"/>
                <w:bCs w:val="0"/>
                <w:color w:val="000000"/>
                <w:sz w:val="24"/>
                <w:szCs w:val="24"/>
              </w:rPr>
              <w:t>GB/T 39394-2020《LED 灯、LED 灯具和 LED 模块的测试方法》</w:t>
            </w:r>
            <w:r>
              <w:rPr>
                <w:rFonts w:hint="eastAsia" w:ascii="仿宋" w:hAnsi="仿宋" w:eastAsia="仿宋" w:cs="仿宋"/>
                <w:b w:val="0"/>
                <w:bCs w:val="0"/>
                <w:sz w:val="24"/>
                <w:szCs w:val="24"/>
              </w:rPr>
              <w:t>，带扩散板、格栅及防眩装置的教室灯，其灯具光通量与无防眩结构裸光源光通量的对比效率＞73%</w:t>
            </w:r>
            <w:r>
              <w:rPr>
                <w:rFonts w:hint="eastAsia" w:ascii="仿宋" w:hAnsi="仿宋" w:eastAsia="仿宋" w:cs="仿宋"/>
                <w:b w:val="0"/>
                <w:bCs w:val="0"/>
                <w:sz w:val="24"/>
                <w:szCs w:val="24"/>
                <w:lang w:eastAsia="zh-CN"/>
              </w:rPr>
              <w:t>。</w:t>
            </w:r>
          </w:p>
          <w:p w14:paraId="3AA608E8">
            <w:pPr>
              <w:pStyle w:val="2"/>
              <w:numPr>
                <w:ilvl w:val="0"/>
                <w:numId w:val="0"/>
              </w:numPr>
              <w:rPr>
                <w:rFonts w:hint="eastAsia" w:ascii="仿宋" w:hAnsi="仿宋" w:eastAsia="仿宋" w:cs="仿宋"/>
                <w:color w:val="auto"/>
                <w:sz w:val="24"/>
                <w:szCs w:val="24"/>
                <w:highlight w:val="none"/>
              </w:rPr>
            </w:pPr>
          </w:p>
          <w:p w14:paraId="3B561521">
            <w:pPr>
              <w:keepNext w:val="0"/>
              <w:keepLines w:val="0"/>
              <w:widowControl/>
              <w:suppressLineNumbers w:val="0"/>
              <w:jc w:val="left"/>
              <w:rPr>
                <w:highlight w:val="none"/>
              </w:rPr>
            </w:pP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LE</w:t>
            </w:r>
            <w:r>
              <w:rPr>
                <w:rFonts w:hint="eastAsia" w:ascii="仿宋" w:hAnsi="仿宋" w:eastAsia="仿宋" w:cs="仿宋"/>
                <w:sz w:val="24"/>
                <w:szCs w:val="24"/>
                <w:highlight w:val="none"/>
                <w:lang w:val="en-US" w:eastAsia="zh-CN"/>
              </w:rPr>
              <w:t>D教室</w:t>
            </w:r>
            <w:r>
              <w:rPr>
                <w:rFonts w:hint="eastAsia" w:ascii="仿宋" w:hAnsi="仿宋" w:eastAsia="仿宋" w:cs="仿宋"/>
                <w:sz w:val="24"/>
                <w:szCs w:val="24"/>
                <w:highlight w:val="none"/>
              </w:rPr>
              <w:t>灯防护等级达</w:t>
            </w:r>
            <w:r>
              <w:rPr>
                <w:rStyle w:val="10"/>
                <w:rFonts w:hint="eastAsia" w:ascii="仿宋" w:hAnsi="仿宋" w:eastAsia="仿宋" w:cs="仿宋"/>
                <w:b w:val="0"/>
                <w:bCs w:val="0"/>
                <w:color w:val="000000"/>
                <w:sz w:val="24"/>
                <w:szCs w:val="24"/>
                <w:highlight w:val="none"/>
              </w:rPr>
              <w:t>IP40</w:t>
            </w:r>
            <w:r>
              <w:rPr>
                <w:rFonts w:hint="eastAsia" w:ascii="仿宋" w:hAnsi="仿宋" w:eastAsia="仿宋" w:cs="仿宋"/>
                <w:sz w:val="24"/>
                <w:szCs w:val="24"/>
                <w:highlight w:val="none"/>
              </w:rPr>
              <w:t>，可有效防止蚊虫侵入灯体内部，保障灯具使用卫生、使用寿命及电气绝缘安全；依据</w:t>
            </w:r>
            <w:r>
              <w:rPr>
                <w:rStyle w:val="10"/>
                <w:rFonts w:hint="eastAsia" w:ascii="仿宋" w:hAnsi="仿宋" w:eastAsia="仿宋" w:cs="仿宋"/>
                <w:b w:val="0"/>
                <w:bCs w:val="0"/>
                <w:color w:val="000000"/>
                <w:sz w:val="24"/>
                <w:szCs w:val="24"/>
                <w:highlight w:val="none"/>
              </w:rPr>
              <w:t>GB 7000.1《灯具 第 1 部分：一般要求与试验》</w:t>
            </w:r>
            <w:r>
              <w:rPr>
                <w:rFonts w:hint="eastAsia" w:ascii="仿宋" w:hAnsi="仿宋" w:eastAsia="仿宋" w:cs="仿宋"/>
                <w:b w:val="0"/>
                <w:bCs w:val="0"/>
                <w:sz w:val="24"/>
                <w:szCs w:val="24"/>
                <w:highlight w:val="none"/>
              </w:rPr>
              <w:t>、</w:t>
            </w:r>
            <w:r>
              <w:rPr>
                <w:rStyle w:val="10"/>
                <w:rFonts w:hint="eastAsia" w:ascii="仿宋" w:hAnsi="仿宋" w:eastAsia="仿宋" w:cs="仿宋"/>
                <w:b w:val="0"/>
                <w:bCs w:val="0"/>
                <w:color w:val="000000"/>
                <w:sz w:val="24"/>
                <w:szCs w:val="24"/>
                <w:highlight w:val="none"/>
              </w:rPr>
              <w:t>GB 7000.201《灯具 第 2-1 部分：固定式通用灯具特殊要求》</w:t>
            </w:r>
            <w:r>
              <w:rPr>
                <w:rFonts w:hint="eastAsia" w:ascii="仿宋" w:hAnsi="仿宋" w:eastAsia="仿宋" w:cs="仿宋"/>
                <w:b w:val="0"/>
                <w:bCs w:val="0"/>
                <w:sz w:val="24"/>
                <w:szCs w:val="24"/>
                <w:highlight w:val="none"/>
              </w:rPr>
              <w:t>，带电部件与安装表面、带电部件与灯具金属部件间电气强度试验</w:t>
            </w:r>
            <w:r>
              <w:rPr>
                <w:rStyle w:val="10"/>
                <w:rFonts w:hint="eastAsia" w:ascii="仿宋" w:hAnsi="仿宋" w:eastAsia="仿宋" w:cs="仿宋"/>
                <w:b w:val="0"/>
                <w:bCs w:val="0"/>
                <w:color w:val="000000"/>
                <w:sz w:val="24"/>
                <w:szCs w:val="24"/>
                <w:highlight w:val="none"/>
              </w:rPr>
              <w:t>2960耐压</w:t>
            </w:r>
            <w:r>
              <w:rPr>
                <w:rFonts w:hint="eastAsia" w:ascii="仿宋" w:hAnsi="仿宋" w:eastAsia="仿宋" w:cs="仿宋"/>
                <w:color w:val="000000"/>
                <w:kern w:val="0"/>
                <w:sz w:val="24"/>
                <w:szCs w:val="24"/>
                <w:highlight w:val="none"/>
                <w:lang w:val="en-US" w:eastAsia="zh-CN" w:bidi="ar"/>
              </w:rPr>
              <w:t>试验结果符合要求。</w:t>
            </w:r>
          </w:p>
          <w:p w14:paraId="021B2BC2">
            <w:pPr>
              <w:keepNext w:val="0"/>
              <w:keepLines w:val="0"/>
              <w:widowControl/>
              <w:suppressLineNumbers w:val="0"/>
              <w:jc w:val="left"/>
              <w:rPr>
                <w:rFonts w:hint="eastAsia" w:ascii="仿宋" w:hAnsi="仿宋" w:eastAsia="仿宋" w:cs="仿宋"/>
                <w:b w:val="0"/>
                <w:bCs w:val="0"/>
                <w:sz w:val="24"/>
                <w:szCs w:val="24"/>
                <w:highlight w:val="none"/>
                <w:lang w:val="en-US" w:eastAsia="zh-CN"/>
              </w:rPr>
            </w:pPr>
          </w:p>
          <w:p w14:paraId="2EA60D72">
            <w:pPr>
              <w:keepNext w:val="0"/>
              <w:keepLines w:val="0"/>
              <w:widowControl/>
              <w:suppressLineNumbers w:val="0"/>
              <w:jc w:val="left"/>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sz w:val="24"/>
                <w:szCs w:val="24"/>
                <w:highlight w:val="none"/>
                <w:lang w:val="en-US" w:eastAsia="zh-CN"/>
              </w:rPr>
              <w:t>7.LED教室灯</w:t>
            </w:r>
            <w:r>
              <w:rPr>
                <w:rFonts w:hint="eastAsia" w:ascii="仿宋" w:hAnsi="仿宋" w:eastAsia="仿宋" w:cs="仿宋"/>
                <w:b w:val="0"/>
                <w:bCs w:val="0"/>
                <w:sz w:val="24"/>
                <w:szCs w:val="24"/>
                <w:highlight w:val="none"/>
              </w:rPr>
              <w:t xml:space="preserve">符合 </w:t>
            </w:r>
            <w:r>
              <w:rPr>
                <w:rStyle w:val="10"/>
                <w:rFonts w:hint="eastAsia" w:ascii="仿宋" w:hAnsi="仿宋" w:eastAsia="仿宋" w:cs="仿宋"/>
                <w:b w:val="0"/>
                <w:bCs w:val="0"/>
                <w:color w:val="000000"/>
                <w:sz w:val="24"/>
                <w:szCs w:val="24"/>
                <w:highlight w:val="none"/>
              </w:rPr>
              <w:t>GB 17625.1-2022《电磁兼容 限值 第 1 部分：谐波电流发射限值》</w:t>
            </w:r>
            <w:r>
              <w:rPr>
                <w:rFonts w:hint="eastAsia" w:ascii="仿宋" w:hAnsi="仿宋" w:eastAsia="仿宋" w:cs="仿宋"/>
                <w:b w:val="0"/>
                <w:bCs w:val="0"/>
                <w:sz w:val="24"/>
                <w:szCs w:val="24"/>
                <w:highlight w:val="none"/>
              </w:rPr>
              <w:t xml:space="preserve"> 标准，灯具总谐波失真率 </w:t>
            </w:r>
            <w:r>
              <w:rPr>
                <w:rStyle w:val="10"/>
                <w:rFonts w:hint="eastAsia" w:ascii="仿宋" w:hAnsi="仿宋" w:eastAsia="仿宋" w:cs="仿宋"/>
                <w:b w:val="0"/>
                <w:bCs w:val="0"/>
                <w:color w:val="000000"/>
                <w:sz w:val="24"/>
                <w:szCs w:val="24"/>
                <w:highlight w:val="none"/>
              </w:rPr>
              <w:t>THD＜10%</w:t>
            </w:r>
          </w:p>
          <w:p w14:paraId="799B85A1">
            <w:pPr>
              <w:pStyle w:val="2"/>
              <w:numPr>
                <w:ilvl w:val="0"/>
                <w:numId w:val="0"/>
              </w:numPr>
              <w:ind w:leftChars="0"/>
              <w:rPr>
                <w:rFonts w:hint="eastAsia" w:ascii="仿宋" w:hAnsi="仿宋" w:eastAsia="仿宋" w:cs="仿宋"/>
                <w:sz w:val="24"/>
                <w:szCs w:val="24"/>
                <w:highlight w:val="none"/>
                <w:lang w:val="en-US" w:eastAsia="zh-CN"/>
              </w:rPr>
            </w:pPr>
          </w:p>
          <w:p w14:paraId="000CCF72">
            <w:pPr>
              <w:pStyle w:val="2"/>
              <w:numPr>
                <w:ilvl w:val="0"/>
                <w:numId w:val="0"/>
              </w:numPr>
              <w:ind w:leftChars="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rPr>
              <w:t>灯具符合《电子电器产品中限用物质的限量要求》，</w:t>
            </w:r>
            <w:r>
              <w:rPr>
                <w:rStyle w:val="10"/>
                <w:rFonts w:hint="eastAsia" w:ascii="仿宋" w:hAnsi="仿宋" w:eastAsia="仿宋" w:cs="仿宋"/>
                <w:b/>
                <w:bCs/>
                <w:color w:val="000000"/>
                <w:sz w:val="24"/>
                <w:szCs w:val="24"/>
                <w:highlight w:val="none"/>
              </w:rPr>
              <w:t>铅、镉、汞、六价铬、多溴联苯、多溴二苯醚</w:t>
            </w:r>
            <w:r>
              <w:rPr>
                <w:rFonts w:hint="eastAsia" w:ascii="仿宋" w:hAnsi="仿宋" w:eastAsia="仿宋" w:cs="仿宋"/>
                <w:sz w:val="24"/>
                <w:szCs w:val="24"/>
                <w:highlight w:val="none"/>
              </w:rPr>
              <w:t>等有害重金属含量均满足限值标准。</w:t>
            </w:r>
          </w:p>
          <w:p w14:paraId="5109D479">
            <w:pPr>
              <w:pStyle w:val="2"/>
              <w:numPr>
                <w:ilvl w:val="0"/>
                <w:numId w:val="0"/>
              </w:numPr>
              <w:ind w:leftChars="0"/>
              <w:rPr>
                <w:rFonts w:hint="eastAsia" w:ascii="仿宋" w:hAnsi="仿宋" w:eastAsia="仿宋" w:cs="仿宋"/>
                <w:color w:val="auto"/>
                <w:sz w:val="24"/>
                <w:szCs w:val="24"/>
                <w:highlight w:val="none"/>
              </w:rPr>
            </w:pPr>
          </w:p>
          <w:p w14:paraId="7EF1A6A3">
            <w:pPr>
              <w:pStyle w:val="2"/>
              <w:numPr>
                <w:ilvl w:val="0"/>
                <w:numId w:val="0"/>
              </w:numPr>
              <w:ind w:leftChars="0"/>
              <w:rPr>
                <w:rFonts w:hint="eastAsia" w:ascii="仿宋" w:hAnsi="仿宋" w:eastAsia="仿宋" w:cs="仿宋"/>
                <w:bCs/>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为了灯具在使用过程的安全性，灯具经过1000小时耐久实验后悬挂机械加载项目灯具结构件拉力必须≥灯体</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倍重量。</w:t>
            </w:r>
          </w:p>
          <w:p w14:paraId="50059145">
            <w:pPr>
              <w:pStyle w:val="2"/>
              <w:numPr>
                <w:ilvl w:val="0"/>
                <w:numId w:val="0"/>
              </w:numPr>
              <w:ind w:leftChars="0"/>
              <w:rPr>
                <w:rFonts w:hint="eastAsia" w:ascii="仿宋" w:hAnsi="仿宋" w:eastAsia="仿宋" w:cs="仿宋"/>
                <w:b/>
                <w:bCs/>
                <w:sz w:val="24"/>
                <w:szCs w:val="24"/>
                <w:highlight w:val="none"/>
                <w:lang w:val="en-US" w:eastAsia="zh-CN"/>
              </w:rPr>
            </w:pPr>
          </w:p>
          <w:p w14:paraId="674DC3BB">
            <w:pPr>
              <w:pStyle w:val="2"/>
              <w:numPr>
                <w:ilvl w:val="0"/>
                <w:numId w:val="0"/>
              </w:numPr>
              <w:ind w:leftChars="0"/>
              <w:rPr>
                <w:rFonts w:hint="eastAsia" w:ascii="仿宋" w:hAnsi="仿宋" w:eastAsia="仿宋" w:cs="仿宋"/>
                <w:sz w:val="24"/>
                <w:szCs w:val="24"/>
                <w:highlight w:val="none"/>
              </w:rPr>
            </w:pPr>
            <w:r>
              <w:rPr>
                <w:rFonts w:hint="eastAsia" w:ascii="仿宋" w:hAnsi="仿宋" w:eastAsia="仿宋" w:cs="仿宋"/>
                <w:b w:val="0"/>
                <w:bCs w:val="0"/>
                <w:sz w:val="24"/>
                <w:szCs w:val="24"/>
                <w:highlight w:val="none"/>
                <w:lang w:val="en-US" w:eastAsia="zh-CN"/>
              </w:rPr>
              <w:t>10.依据</w:t>
            </w:r>
            <w:r>
              <w:rPr>
                <w:rFonts w:hint="eastAsia" w:ascii="仿宋" w:hAnsi="仿宋" w:eastAsia="仿宋" w:cs="仿宋"/>
                <w:b w:val="0"/>
                <w:bCs w:val="0"/>
                <w:sz w:val="24"/>
                <w:szCs w:val="24"/>
                <w:highlight w:val="none"/>
              </w:rPr>
              <w:t>《中小学教室采光和照明卫生标准》测得课桌平均照度≥500lx,显指≥9</w:t>
            </w:r>
            <w:r>
              <w:rPr>
                <w:rFonts w:hint="eastAsia" w:ascii="仿宋" w:hAnsi="仿宋" w:eastAsia="仿宋" w:cs="仿宋"/>
                <w:b w:val="0"/>
                <w:bCs w:val="0"/>
                <w:sz w:val="24"/>
                <w:szCs w:val="24"/>
                <w:highlight w:val="none"/>
                <w:lang w:val="en-US" w:eastAsia="zh-CN"/>
              </w:rPr>
              <w:t>6</w:t>
            </w:r>
            <w:r>
              <w:rPr>
                <w:rFonts w:hint="eastAsia" w:ascii="仿宋" w:hAnsi="仿宋" w:eastAsia="仿宋" w:cs="仿宋"/>
                <w:b w:val="0"/>
                <w:bCs w:val="0"/>
                <w:sz w:val="24"/>
                <w:szCs w:val="24"/>
                <w:highlight w:val="none"/>
              </w:rPr>
              <w:t>，均匀度≥0.9，统一眩光值≤16，功率密度≤7W/㎡。</w:t>
            </w:r>
          </w:p>
          <w:p w14:paraId="6611A29E">
            <w:pPr>
              <w:pStyle w:val="2"/>
              <w:numPr>
                <w:ilvl w:val="0"/>
                <w:numId w:val="0"/>
              </w:numPr>
              <w:ind w:leftChars="0"/>
              <w:rPr>
                <w:rFonts w:hint="eastAsia" w:ascii="仿宋" w:hAnsi="仿宋" w:eastAsia="仿宋" w:cs="仿宋"/>
                <w:color w:val="auto"/>
                <w:sz w:val="24"/>
                <w:szCs w:val="24"/>
                <w:highlight w:val="none"/>
              </w:rPr>
            </w:pPr>
          </w:p>
          <w:p w14:paraId="3EED18AC">
            <w:pPr>
              <w:pStyle w:val="2"/>
              <w:numPr>
                <w:ilvl w:val="0"/>
                <w:numId w:val="0"/>
              </w:numPr>
              <w:ind w:leftChars="0"/>
              <w:rPr>
                <w:rFonts w:hint="eastAsia" w:ascii="仿宋" w:hAnsi="仿宋" w:eastAsia="仿宋" w:cs="仿宋"/>
                <w:bCs/>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rPr>
              <w:t>产品点亮1000小时耐久实验后放入实验箱中，实验箱温度保持-20℃持续168小时，检测结果为：外观良好、电气性能良好，实验结果合格</w:t>
            </w:r>
            <w:r>
              <w:rPr>
                <w:rFonts w:hint="eastAsia" w:ascii="仿宋" w:hAnsi="仿宋" w:eastAsia="仿宋" w:cs="仿宋"/>
                <w:color w:val="auto"/>
                <w:sz w:val="24"/>
                <w:szCs w:val="24"/>
                <w:highlight w:val="none"/>
                <w:lang w:eastAsia="zh-CN"/>
              </w:rPr>
              <w:t>。</w:t>
            </w:r>
          </w:p>
          <w:p w14:paraId="069191FE">
            <w:pPr>
              <w:pStyle w:val="2"/>
              <w:numPr>
                <w:ilvl w:val="0"/>
                <w:numId w:val="0"/>
              </w:numPr>
              <w:ind w:leftChars="0"/>
              <w:rPr>
                <w:rFonts w:hint="eastAsia" w:ascii="仿宋" w:hAnsi="仿宋" w:eastAsia="仿宋" w:cs="仿宋"/>
                <w:color w:val="auto"/>
                <w:sz w:val="24"/>
                <w:szCs w:val="24"/>
                <w:highlight w:val="none"/>
              </w:rPr>
            </w:pPr>
          </w:p>
          <w:p w14:paraId="33C0A421">
            <w:pPr>
              <w:pStyle w:val="2"/>
              <w:numPr>
                <w:ilvl w:val="0"/>
                <w:numId w:val="0"/>
              </w:numPr>
              <w:ind w:leftChars="0"/>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12.</w:t>
            </w:r>
            <w:r>
              <w:rPr>
                <w:rFonts w:hint="eastAsia" w:ascii="仿宋" w:hAnsi="仿宋" w:eastAsia="仿宋" w:cs="仿宋"/>
                <w:color w:val="auto"/>
                <w:sz w:val="24"/>
                <w:szCs w:val="24"/>
                <w:highlight w:val="none"/>
              </w:rPr>
              <w:t>产品点亮1000小时耐久实验后放入实验箱中，实验箱温度保持＋50℃持续168小时，检测结果为：外观良好、电气性能良好，实验结果合格。</w:t>
            </w:r>
          </w:p>
          <w:p w14:paraId="21821178">
            <w:pPr>
              <w:pStyle w:val="2"/>
              <w:tabs>
                <w:tab w:val="left" w:pos="0"/>
              </w:tabs>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以上第3-1</w:t>
            </w:r>
            <w:r>
              <w:rPr>
                <w:rFonts w:hint="eastAsia" w:ascii="仿宋" w:hAnsi="仿宋" w:eastAsia="仿宋" w:cs="仿宋"/>
                <w:b/>
                <w:bCs/>
                <w:sz w:val="24"/>
                <w:szCs w:val="24"/>
                <w:highlight w:val="none"/>
                <w:lang w:val="en-US" w:eastAsia="zh-CN"/>
              </w:rPr>
              <w:t>2</w:t>
            </w:r>
            <w:r>
              <w:rPr>
                <w:rFonts w:hint="eastAsia" w:ascii="仿宋" w:hAnsi="仿宋" w:eastAsia="仿宋" w:cs="仿宋"/>
                <w:b/>
                <w:bCs/>
                <w:sz w:val="24"/>
                <w:szCs w:val="24"/>
                <w:highlight w:val="none"/>
              </w:rPr>
              <w:t>项，必须提供具有CMA、CNAS资质的第三方检测机构出具的检测报告</w:t>
            </w:r>
            <w:r>
              <w:rPr>
                <w:rFonts w:hint="eastAsia" w:ascii="仿宋" w:hAnsi="仿宋" w:eastAsia="仿宋" w:cs="仿宋"/>
                <w:b/>
                <w:bCs/>
                <w:sz w:val="24"/>
                <w:szCs w:val="24"/>
                <w:highlight w:val="none"/>
                <w:lang w:eastAsia="zh-CN"/>
              </w:rPr>
              <w:t>加盖原厂鲜红公章</w:t>
            </w:r>
            <w:r>
              <w:rPr>
                <w:rFonts w:hint="eastAsia" w:ascii="仿宋" w:hAnsi="仿宋" w:eastAsia="仿宋" w:cs="仿宋"/>
                <w:b/>
                <w:bCs/>
                <w:sz w:val="24"/>
                <w:szCs w:val="24"/>
                <w:highlight w:val="none"/>
              </w:rPr>
              <w:t>。</w:t>
            </w:r>
          </w:p>
          <w:p w14:paraId="05E6B75B">
            <w:pPr>
              <w:pStyle w:val="2"/>
              <w:tabs>
                <w:tab w:val="left" w:pos="0"/>
              </w:tabs>
              <w:rPr>
                <w:rFonts w:hint="eastAsia" w:ascii="仿宋" w:hAnsi="仿宋" w:eastAsia="仿宋" w:cs="仿宋"/>
                <w:b/>
                <w:bCs/>
                <w:sz w:val="24"/>
                <w:szCs w:val="24"/>
                <w:highlight w:val="none"/>
              </w:rPr>
            </w:pPr>
          </w:p>
          <w:p w14:paraId="36701D46">
            <w:pPr>
              <w:pStyle w:val="2"/>
              <w:numPr>
                <w:ilvl w:val="0"/>
                <w:numId w:val="0"/>
              </w:numPr>
              <w:ind w:leftChars="0"/>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13.</w:t>
            </w:r>
            <w:r>
              <w:rPr>
                <w:rFonts w:hint="eastAsia" w:ascii="仿宋" w:hAnsi="仿宋" w:eastAsia="仿宋" w:cs="仿宋"/>
                <w:color w:val="auto"/>
                <w:sz w:val="24"/>
                <w:szCs w:val="24"/>
                <w:highlight w:val="none"/>
              </w:rPr>
              <w:t>为保证灯具使用寿命和光通维持率，光源功率冗余不低于额定功率的</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倍</w:t>
            </w:r>
            <w:r>
              <w:rPr>
                <w:rFonts w:hint="eastAsia" w:ascii="仿宋" w:hAnsi="仿宋" w:eastAsia="仿宋" w:cs="仿宋"/>
                <w:color w:val="auto"/>
                <w:sz w:val="24"/>
                <w:szCs w:val="24"/>
                <w:highlight w:val="none"/>
                <w:lang w:eastAsia="zh-CN"/>
              </w:rPr>
              <w:t>，</w:t>
            </w:r>
            <w:r>
              <w:rPr>
                <w:rFonts w:hint="eastAsia" w:ascii="仿宋" w:hAnsi="仿宋" w:eastAsia="仿宋" w:cs="仿宋"/>
                <w:color w:val="000000" w:themeColor="text1"/>
                <w:sz w:val="24"/>
                <w:szCs w:val="24"/>
                <w:highlight w:val="none"/>
                <w14:textFill>
                  <w14:solidFill>
                    <w14:schemeClr w14:val="tx1"/>
                  </w14:solidFill>
                </w14:textFill>
              </w:rPr>
              <w:t>提供3C证书佐证</w:t>
            </w:r>
            <w:r>
              <w:rPr>
                <w:rFonts w:hint="eastAsia" w:ascii="仿宋" w:hAnsi="仿宋" w:eastAsia="仿宋" w:cs="仿宋"/>
                <w:bCs/>
                <w:color w:val="000000" w:themeColor="text1"/>
                <w:sz w:val="24"/>
                <w:szCs w:val="24"/>
                <w:highlight w:val="none"/>
                <w14:textFill>
                  <w14:solidFill>
                    <w14:schemeClr w14:val="tx1"/>
                  </w14:solidFill>
                </w14:textFill>
              </w:rPr>
              <w:t>。</w:t>
            </w:r>
          </w:p>
          <w:p w14:paraId="212AB872">
            <w:pPr>
              <w:keepNext w:val="0"/>
              <w:keepLines w:val="0"/>
              <w:widowControl/>
              <w:suppressLineNumbers w:val="0"/>
              <w:jc w:val="left"/>
              <w:rPr>
                <w:rFonts w:hint="eastAsia" w:ascii="仿宋" w:hAnsi="仿宋" w:eastAsia="仿宋" w:cs="仿宋"/>
                <w:color w:val="000000"/>
                <w:kern w:val="0"/>
                <w:sz w:val="24"/>
                <w:szCs w:val="24"/>
                <w:highlight w:val="none"/>
                <w:lang w:val="en-US" w:eastAsia="zh-CN" w:bidi="ar"/>
              </w:rPr>
            </w:pPr>
          </w:p>
          <w:p w14:paraId="1BCDC3EA">
            <w:pPr>
              <w:keepNext w:val="0"/>
              <w:keepLines w:val="0"/>
              <w:widowControl/>
              <w:suppressLineNumbers w:val="0"/>
              <w:jc w:val="left"/>
              <w:rPr>
                <w:rFonts w:hint="eastAsia" w:ascii="仿宋" w:hAnsi="仿宋" w:eastAsia="仿宋" w:cs="仿宋"/>
                <w:sz w:val="24"/>
                <w:szCs w:val="24"/>
                <w:highlight w:val="none"/>
              </w:rPr>
            </w:pPr>
            <w:r>
              <w:rPr>
                <w:rFonts w:hint="eastAsia" w:ascii="仿宋" w:hAnsi="仿宋" w:eastAsia="仿宋" w:cs="仿宋"/>
                <w:color w:val="000000"/>
                <w:kern w:val="0"/>
                <w:sz w:val="24"/>
                <w:szCs w:val="24"/>
                <w:highlight w:val="none"/>
                <w:lang w:val="en-US" w:eastAsia="zh-CN" w:bidi="ar"/>
              </w:rPr>
              <w:t>14.光输出波形的波动深度不应高于 IEEE Std 1789:2015 无显 著影响水平(</w:t>
            </w:r>
            <w:r>
              <w:rPr>
                <w:rFonts w:hint="eastAsia" w:ascii="仿宋" w:hAnsi="仿宋" w:eastAsia="仿宋" w:cs="仿宋"/>
                <w:i/>
                <w:iCs/>
                <w:color w:val="000000"/>
                <w:kern w:val="0"/>
                <w:sz w:val="24"/>
                <w:szCs w:val="24"/>
                <w:highlight w:val="none"/>
                <w:lang w:val="en-US" w:eastAsia="zh-CN" w:bidi="ar"/>
              </w:rPr>
              <w:t>NOEL</w:t>
            </w:r>
            <w:r>
              <w:rPr>
                <w:rFonts w:hint="eastAsia" w:ascii="仿宋" w:hAnsi="仿宋" w:eastAsia="仿宋" w:cs="仿宋"/>
                <w:color w:val="000000"/>
                <w:kern w:val="0"/>
                <w:sz w:val="24"/>
                <w:szCs w:val="24"/>
                <w:highlight w:val="none"/>
                <w:lang w:val="en-US" w:eastAsia="zh-CN" w:bidi="ar"/>
              </w:rPr>
              <w:t>)对应的限值要求。</w:t>
            </w:r>
          </w:p>
          <w:p w14:paraId="20B99CAD">
            <w:pPr>
              <w:pStyle w:val="2"/>
              <w:numPr>
                <w:ilvl w:val="0"/>
                <w:numId w:val="0"/>
              </w:numPr>
              <w:ind w:leftChars="0"/>
              <w:jc w:val="left"/>
              <w:rPr>
                <w:rFonts w:hint="eastAsia" w:ascii="仿宋" w:hAnsi="仿宋" w:eastAsia="仿宋" w:cs="仿宋"/>
                <w:color w:val="auto"/>
                <w:sz w:val="24"/>
                <w:szCs w:val="24"/>
                <w:highlight w:val="none"/>
              </w:rPr>
            </w:pPr>
          </w:p>
          <w:p w14:paraId="1AAEFE5E">
            <w:pPr>
              <w:pStyle w:val="2"/>
              <w:numPr>
                <w:ilvl w:val="0"/>
                <w:numId w:val="0"/>
              </w:numPr>
              <w:ind w:leftChars="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15.LED教室灯提供50000小时寿命优品认证</w:t>
            </w:r>
            <w:r>
              <w:rPr>
                <w:rFonts w:hint="eastAsia" w:ascii="仿宋" w:hAnsi="仿宋" w:eastAsia="仿宋" w:cs="仿宋"/>
                <w:sz w:val="24"/>
                <w:szCs w:val="24"/>
                <w:highlight w:val="none"/>
                <w:lang w:val="en-US" w:eastAsia="zh-CN"/>
              </w:rPr>
              <w:t>.</w:t>
            </w:r>
          </w:p>
          <w:p w14:paraId="42989FEA">
            <w:pPr>
              <w:keepNext w:val="0"/>
              <w:keepLines w:val="0"/>
              <w:widowControl/>
              <w:suppressLineNumbers w:val="0"/>
              <w:jc w:val="left"/>
              <w:rPr>
                <w:rFonts w:hint="eastAsia" w:ascii="仿宋" w:hAnsi="仿宋" w:eastAsia="仿宋" w:cs="仿宋"/>
                <w:color w:val="000000"/>
                <w:kern w:val="0"/>
                <w:sz w:val="24"/>
                <w:szCs w:val="24"/>
                <w:highlight w:val="none"/>
                <w:lang w:val="en-US" w:eastAsia="zh-CN" w:bidi="ar"/>
              </w:rPr>
            </w:pPr>
          </w:p>
          <w:p w14:paraId="0A5B8EB5">
            <w:pPr>
              <w:keepNext w:val="0"/>
              <w:keepLines w:val="0"/>
              <w:widowControl/>
              <w:suppressLineNumbers w:val="0"/>
              <w:jc w:val="left"/>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16.适用于多媒体教室、计算机教室和电子阅览室的一般照明用灯具在 C 平面光度学坐标系统中γ角 65°、 75°和 85°的平均亮度不应高于 3000 cd/m²。</w:t>
            </w:r>
          </w:p>
          <w:p w14:paraId="386F2631">
            <w:pPr>
              <w:keepNext w:val="0"/>
              <w:keepLines w:val="0"/>
              <w:widowControl/>
              <w:suppressLineNumbers w:val="0"/>
              <w:jc w:val="left"/>
              <w:rPr>
                <w:rFonts w:hint="eastAsia" w:ascii="仿宋" w:hAnsi="仿宋" w:eastAsia="仿宋" w:cs="仿宋"/>
                <w:color w:val="000000"/>
                <w:kern w:val="0"/>
                <w:sz w:val="24"/>
                <w:szCs w:val="24"/>
                <w:highlight w:val="none"/>
                <w:lang w:val="en-US" w:eastAsia="zh-CN" w:bidi="ar"/>
              </w:rPr>
            </w:pPr>
          </w:p>
          <w:p w14:paraId="03CC64A8">
            <w:pPr>
              <w:keepNext w:val="0"/>
              <w:keepLines w:val="0"/>
              <w:widowControl/>
              <w:suppressLineNumbers w:val="0"/>
              <w:jc w:val="left"/>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17.视网膜蓝光危害 ：按照 IECTR 62778 评估，LED 一般照明用灯具的视网膜蓝光危害不应超过RG0 。</w:t>
            </w:r>
          </w:p>
          <w:p w14:paraId="041783B1">
            <w:pPr>
              <w:keepNext w:val="0"/>
              <w:keepLines w:val="0"/>
              <w:widowControl/>
              <w:suppressLineNumbers w:val="0"/>
              <w:jc w:val="left"/>
              <w:rPr>
                <w:rFonts w:hint="eastAsia" w:ascii="仿宋" w:hAnsi="仿宋" w:eastAsia="仿宋" w:cs="仿宋"/>
                <w:color w:val="000000"/>
                <w:kern w:val="0"/>
                <w:sz w:val="24"/>
                <w:szCs w:val="24"/>
                <w:highlight w:val="none"/>
                <w:lang w:val="en-US" w:eastAsia="zh-CN" w:bidi="ar"/>
              </w:rPr>
            </w:pPr>
          </w:p>
          <w:p w14:paraId="7404B6D2">
            <w:pPr>
              <w:keepNext w:val="0"/>
              <w:keepLines w:val="0"/>
              <w:widowControl/>
              <w:suppressLineNumbers w:val="0"/>
              <w:jc w:val="left"/>
              <w:rPr>
                <w:rFonts w:hint="eastAsia" w:ascii="仿宋" w:hAnsi="仿宋" w:eastAsia="仿宋" w:cs="仿宋"/>
                <w:sz w:val="24"/>
                <w:szCs w:val="24"/>
                <w:highlight w:val="none"/>
                <w:lang w:val="en-US" w:eastAsia="zh-CN"/>
              </w:rPr>
            </w:pPr>
            <w:r>
              <w:rPr>
                <w:rFonts w:hint="eastAsia" w:ascii="仿宋" w:hAnsi="仿宋" w:eastAsia="仿宋" w:cs="仿宋"/>
                <w:color w:val="000000"/>
                <w:kern w:val="0"/>
                <w:sz w:val="24"/>
                <w:szCs w:val="24"/>
                <w:highlight w:val="none"/>
                <w:lang w:val="en-US" w:eastAsia="zh-CN" w:bidi="ar"/>
              </w:rPr>
              <w:t>18.照明质量和节能评价：模拟计算的照明质量应符合 GB 50034 对教育建筑照明标准值的要求；教室照明功率密度应符合 GB 50034 对教育建筑照明功率密度限值的要求。</w:t>
            </w:r>
          </w:p>
          <w:p w14:paraId="6BBF88FA">
            <w:pPr>
              <w:pStyle w:val="2"/>
              <w:numPr>
                <w:ilvl w:val="0"/>
                <w:numId w:val="0"/>
              </w:numPr>
              <w:ind w:left="-2" w:leftChars="0"/>
              <w:jc w:val="left"/>
              <w:rPr>
                <w:rFonts w:hint="eastAsia" w:ascii="仿宋" w:hAnsi="仿宋" w:eastAsia="仿宋" w:cs="仿宋"/>
                <w:b w:val="0"/>
                <w:bCs w:val="0"/>
                <w:sz w:val="24"/>
                <w:szCs w:val="24"/>
                <w:highlight w:val="none"/>
                <w:lang w:val="en-US" w:eastAsia="zh-CN"/>
              </w:rPr>
            </w:pPr>
          </w:p>
          <w:p w14:paraId="0BFCCABB">
            <w:pPr>
              <w:pStyle w:val="2"/>
              <w:numPr>
                <w:ilvl w:val="0"/>
                <w:numId w:val="0"/>
              </w:numPr>
              <w:ind w:left="-2" w:leftChars="0"/>
              <w:jc w:val="left"/>
              <w:rPr>
                <w:rFonts w:hint="eastAsia" w:ascii="仿宋" w:hAnsi="仿宋" w:eastAsia="仿宋" w:cs="仿宋"/>
                <w:bCs/>
                <w:sz w:val="24"/>
                <w:szCs w:val="24"/>
                <w:highlight w:val="none"/>
                <w:lang w:val="en-US" w:eastAsia="zh-CN"/>
              </w:rPr>
            </w:pPr>
            <w:r>
              <w:rPr>
                <w:rFonts w:hint="eastAsia" w:ascii="仿宋" w:hAnsi="仿宋" w:eastAsia="仿宋" w:cs="仿宋"/>
                <w:b w:val="0"/>
                <w:bCs w:val="0"/>
                <w:sz w:val="24"/>
                <w:szCs w:val="24"/>
                <w:highlight w:val="none"/>
                <w:lang w:val="en-US" w:eastAsia="zh-CN"/>
              </w:rPr>
              <w:t>19.LED教室灯提供</w:t>
            </w:r>
            <w:r>
              <w:rPr>
                <w:rFonts w:hint="eastAsia" w:ascii="仿宋" w:hAnsi="仿宋" w:eastAsia="仿宋" w:cs="仿宋"/>
                <w:sz w:val="24"/>
                <w:szCs w:val="24"/>
                <w:highlight w:val="none"/>
                <w:lang w:val="en-US" w:eastAsia="zh-CN"/>
              </w:rPr>
              <w:t>节能认证及</w:t>
            </w:r>
            <w:r>
              <w:rPr>
                <w:rFonts w:hint="eastAsia" w:ascii="仿宋" w:hAnsi="仿宋" w:eastAsia="仿宋" w:cs="仿宋"/>
                <w:b w:val="0"/>
                <w:bCs w:val="0"/>
                <w:sz w:val="24"/>
                <w:szCs w:val="24"/>
                <w:highlight w:val="none"/>
                <w:lang w:val="en-US" w:eastAsia="zh-CN"/>
              </w:rPr>
              <w:t>《</w:t>
            </w:r>
            <w:r>
              <w:rPr>
                <w:rFonts w:hint="eastAsia" w:ascii="仿宋" w:hAnsi="仿宋" w:eastAsia="仿宋" w:cs="仿宋"/>
                <w:sz w:val="24"/>
                <w:szCs w:val="24"/>
                <w:highlight w:val="none"/>
              </w:rPr>
              <w:t>儿童青少年学习用灯具近视防控卫生要求认证</w:t>
            </w:r>
            <w:r>
              <w:rPr>
                <w:rFonts w:hint="eastAsia" w:ascii="仿宋" w:hAnsi="仿宋" w:eastAsia="仿宋" w:cs="仿宋"/>
                <w:sz w:val="24"/>
                <w:szCs w:val="24"/>
                <w:highlight w:val="none"/>
                <w:lang w:eastAsia="zh-CN"/>
              </w:rPr>
              <w:t>》。</w:t>
            </w:r>
          </w:p>
          <w:p w14:paraId="28CEC441">
            <w:pPr>
              <w:pStyle w:val="2"/>
              <w:tabs>
                <w:tab w:val="left" w:pos="0"/>
              </w:tabs>
              <w:rPr>
                <w:rFonts w:hint="eastAsia" w:ascii="仿宋" w:hAnsi="仿宋" w:eastAsia="仿宋" w:cs="仿宋"/>
                <w:color w:val="auto"/>
                <w:sz w:val="24"/>
                <w:szCs w:val="24"/>
                <w:highlight w:val="none"/>
              </w:rPr>
            </w:pPr>
            <w:r>
              <w:rPr>
                <w:rFonts w:hint="eastAsia" w:ascii="仿宋" w:hAnsi="仿宋" w:eastAsia="仿宋" w:cs="Arial"/>
                <w:b/>
                <w:sz w:val="24"/>
                <w:szCs w:val="24"/>
                <w:highlight w:val="none"/>
              </w:rPr>
              <w:t>以上第1</w:t>
            </w:r>
            <w:r>
              <w:rPr>
                <w:rFonts w:hint="eastAsia" w:ascii="仿宋" w:hAnsi="仿宋" w:eastAsia="仿宋" w:cs="Arial"/>
                <w:b/>
                <w:sz w:val="24"/>
                <w:szCs w:val="24"/>
                <w:highlight w:val="none"/>
                <w:lang w:val="en-US" w:eastAsia="zh-CN"/>
              </w:rPr>
              <w:t>3</w:t>
            </w:r>
            <w:r>
              <w:rPr>
                <w:rFonts w:ascii="仿宋" w:hAnsi="仿宋" w:eastAsia="仿宋" w:cs="Arial"/>
                <w:b/>
                <w:sz w:val="24"/>
                <w:szCs w:val="24"/>
                <w:highlight w:val="none"/>
              </w:rPr>
              <w:t>-</w:t>
            </w:r>
            <w:r>
              <w:rPr>
                <w:rFonts w:hint="eastAsia" w:ascii="仿宋" w:hAnsi="仿宋" w:eastAsia="仿宋" w:cs="Arial"/>
                <w:b/>
                <w:sz w:val="24"/>
                <w:szCs w:val="24"/>
                <w:highlight w:val="none"/>
                <w:lang w:val="en-US" w:eastAsia="zh-CN"/>
              </w:rPr>
              <w:t>19</w:t>
            </w:r>
            <w:r>
              <w:rPr>
                <w:rFonts w:hint="eastAsia" w:ascii="仿宋" w:hAnsi="仿宋" w:eastAsia="仿宋" w:cs="Arial"/>
                <w:b/>
                <w:sz w:val="24"/>
                <w:szCs w:val="24"/>
                <w:highlight w:val="none"/>
              </w:rPr>
              <w:t>项</w:t>
            </w:r>
            <w:r>
              <w:rPr>
                <w:rFonts w:hint="eastAsia" w:ascii="仿宋" w:hAnsi="仿宋" w:eastAsia="仿宋"/>
                <w:b/>
                <w:sz w:val="24"/>
                <w:szCs w:val="24"/>
                <w:highlight w:val="none"/>
              </w:rPr>
              <w:t>须提供相应认证证书复印件和中国国家认证认可监督管理委员会查询截图证明。</w:t>
            </w:r>
          </w:p>
        </w:tc>
      </w:tr>
    </w:tbl>
    <w:p w14:paraId="54DBBC4B">
      <w:pPr>
        <w:pStyle w:val="5"/>
        <w:rPr>
          <w:rFonts w:hint="eastAsia" w:ascii="仿宋" w:hAnsi="仿宋" w:eastAsia="仿宋" w:cs="仿宋"/>
          <w:sz w:val="32"/>
          <w:szCs w:val="32"/>
          <w:lang w:val="en-US" w:eastAsia="zh-CN"/>
        </w:rPr>
      </w:pPr>
      <w:r>
        <w:rPr>
          <w:rFonts w:hint="eastAsia" w:ascii="仿宋" w:hAnsi="仿宋" w:eastAsia="仿宋" w:cs="仿宋"/>
          <w:sz w:val="32"/>
          <w:szCs w:val="32"/>
          <w:lang w:eastAsia="zh-CN"/>
        </w:rPr>
        <w:t>买家留言：</w:t>
      </w:r>
      <w:r>
        <w:rPr>
          <w:rFonts w:hint="eastAsia" w:ascii="仿宋" w:hAnsi="仿宋" w:eastAsia="仿宋" w:cs="仿宋"/>
          <w:sz w:val="32"/>
          <w:szCs w:val="32"/>
          <w:lang w:val="en-US" w:eastAsia="zh-CN"/>
        </w:rPr>
        <w:t>1、参与竞标商家，报价产品含安装、运输、税票等一切费用，由于该产品考虑到学生使用的安全性及护眼问题，供应商报价时须在竞价单响应附件上传提供由第三方检测机构出具的产品检验报告，未上传报告者响应报价无效。</w:t>
      </w:r>
    </w:p>
    <w:p w14:paraId="37D7A389">
      <w:pPr>
        <w:pStyle w:val="5"/>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商务要求：1、中标供应商要按照同品牌同参数供货不得用不同品牌以次充好，如未按照发起的品牌供货，视为假冒伪劣产品，取消中标资格并报主管部门采取信用惩戒，将根据【徽采云平台电子卖场权益维护及纠纷处理规则】的规定报财政厅监管部门处理。</w:t>
      </w:r>
    </w:p>
    <w:p w14:paraId="31D30884">
      <w:pPr>
        <w:pStyle w:val="5"/>
        <w:numPr>
          <w:ilvl w:val="0"/>
          <w:numId w:val="1"/>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成交供应商在成交公告发布2日内须向采购人提供相关检验报告，加盖原厂家公章、检验报告须具有CMA或CNAS标识并符合国家相关标准。</w:t>
      </w:r>
    </w:p>
    <w:p w14:paraId="565339F5">
      <w:pPr>
        <w:pStyle w:val="5"/>
        <w:numPr>
          <w:ilvl w:val="0"/>
          <w:numId w:val="1"/>
        </w:num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中标供应商中标后7个工作日完成供货，安装完毕，为保证中标供应商所提供产品的质量和服务，满足采购需求技术要求，LED教室灯要求五年原厂质保。</w:t>
      </w:r>
    </w:p>
    <w:p w14:paraId="3795DE9B">
      <w:pPr>
        <w:pStyle w:val="5"/>
        <w:numPr>
          <w:ilvl w:val="0"/>
          <w:numId w:val="1"/>
        </w:num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如因供应商自身原因造成报价错误，成交后拒签合同，导致采购人延误工期，采购人将不予接受并要求按照安徽省财政厅关于印发《‘徽采云’电子卖场供应商及商品管理工作指引》的通知第十条规定，对供应商予以清退，请供应商谨慎报价，并支付竞价5%的违约金。</w:t>
      </w:r>
    </w:p>
    <w:p w14:paraId="271E46A9">
      <w:pPr>
        <w:pStyle w:val="5"/>
        <w:rPr>
          <w:rFonts w:ascii="仿宋" w:hAnsi="仿宋" w:eastAsia="仿宋" w:cs="仿宋"/>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7AD89A"/>
    <w:multiLevelType w:val="singleLevel"/>
    <w:tmpl w:val="117AD89A"/>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4MWEwMDEyYWEwMTU5YWJmNDYzNGEyMjk4ZTI1YjIifQ=="/>
    <w:docVar w:name="KSO_WPS_MARK_KEY" w:val="3591f62b-023f-4dc5-83d7-57513e7af7bf"/>
  </w:docVars>
  <w:rsids>
    <w:rsidRoot w:val="539658D0"/>
    <w:rsid w:val="00051D53"/>
    <w:rsid w:val="0005247A"/>
    <w:rsid w:val="000D1870"/>
    <w:rsid w:val="00115EB5"/>
    <w:rsid w:val="001E096D"/>
    <w:rsid w:val="001F2F83"/>
    <w:rsid w:val="002D2592"/>
    <w:rsid w:val="003A1784"/>
    <w:rsid w:val="003A293F"/>
    <w:rsid w:val="003B4B20"/>
    <w:rsid w:val="003C060E"/>
    <w:rsid w:val="00403545"/>
    <w:rsid w:val="00470149"/>
    <w:rsid w:val="004A1155"/>
    <w:rsid w:val="00500240"/>
    <w:rsid w:val="005519AF"/>
    <w:rsid w:val="00576A5C"/>
    <w:rsid w:val="008302A2"/>
    <w:rsid w:val="008757D1"/>
    <w:rsid w:val="008F4CCB"/>
    <w:rsid w:val="009049D8"/>
    <w:rsid w:val="00951321"/>
    <w:rsid w:val="009A314F"/>
    <w:rsid w:val="00A112B6"/>
    <w:rsid w:val="00A35B82"/>
    <w:rsid w:val="00B07A72"/>
    <w:rsid w:val="00B51337"/>
    <w:rsid w:val="00B53B66"/>
    <w:rsid w:val="00BE5C74"/>
    <w:rsid w:val="00CC5880"/>
    <w:rsid w:val="00DC5393"/>
    <w:rsid w:val="00E025A7"/>
    <w:rsid w:val="00E15C0F"/>
    <w:rsid w:val="00E558D4"/>
    <w:rsid w:val="00ED36B1"/>
    <w:rsid w:val="01D46DBB"/>
    <w:rsid w:val="022555B2"/>
    <w:rsid w:val="024478CF"/>
    <w:rsid w:val="03053891"/>
    <w:rsid w:val="030B2EE5"/>
    <w:rsid w:val="0339133F"/>
    <w:rsid w:val="037222E2"/>
    <w:rsid w:val="03D144DF"/>
    <w:rsid w:val="048F616F"/>
    <w:rsid w:val="04C01618"/>
    <w:rsid w:val="053336AD"/>
    <w:rsid w:val="054F65F7"/>
    <w:rsid w:val="059F5504"/>
    <w:rsid w:val="06473689"/>
    <w:rsid w:val="065D780C"/>
    <w:rsid w:val="06D534C3"/>
    <w:rsid w:val="072B0FB7"/>
    <w:rsid w:val="07514C9D"/>
    <w:rsid w:val="07BC57D2"/>
    <w:rsid w:val="07C2040C"/>
    <w:rsid w:val="07C76F3A"/>
    <w:rsid w:val="08300958"/>
    <w:rsid w:val="086C13EE"/>
    <w:rsid w:val="08EA63D8"/>
    <w:rsid w:val="091D099C"/>
    <w:rsid w:val="092A5532"/>
    <w:rsid w:val="09F47D43"/>
    <w:rsid w:val="0A0D119F"/>
    <w:rsid w:val="0A4B329A"/>
    <w:rsid w:val="0A5E021F"/>
    <w:rsid w:val="0AA90B70"/>
    <w:rsid w:val="0B0B3B2B"/>
    <w:rsid w:val="0B1522F4"/>
    <w:rsid w:val="0BE8435A"/>
    <w:rsid w:val="0C3B7EEE"/>
    <w:rsid w:val="0C815F90"/>
    <w:rsid w:val="0CEE5B20"/>
    <w:rsid w:val="0D7053EA"/>
    <w:rsid w:val="0D93534F"/>
    <w:rsid w:val="0DC34055"/>
    <w:rsid w:val="0E100F06"/>
    <w:rsid w:val="0E5B5AB3"/>
    <w:rsid w:val="0EB55C81"/>
    <w:rsid w:val="0EC51CF1"/>
    <w:rsid w:val="0EED3F15"/>
    <w:rsid w:val="0F1C1938"/>
    <w:rsid w:val="0FBB5C06"/>
    <w:rsid w:val="0FEA0BB7"/>
    <w:rsid w:val="105A290D"/>
    <w:rsid w:val="10747BBA"/>
    <w:rsid w:val="107A7B53"/>
    <w:rsid w:val="10A128BB"/>
    <w:rsid w:val="11491018"/>
    <w:rsid w:val="11AC4325"/>
    <w:rsid w:val="11F453B3"/>
    <w:rsid w:val="11F47BF5"/>
    <w:rsid w:val="11F5775B"/>
    <w:rsid w:val="11F91C76"/>
    <w:rsid w:val="12602187"/>
    <w:rsid w:val="12CD03B5"/>
    <w:rsid w:val="12D04178"/>
    <w:rsid w:val="12DA52CD"/>
    <w:rsid w:val="13086A7E"/>
    <w:rsid w:val="1308777F"/>
    <w:rsid w:val="13106293"/>
    <w:rsid w:val="132533FB"/>
    <w:rsid w:val="13A96EE5"/>
    <w:rsid w:val="1430249F"/>
    <w:rsid w:val="149C34F4"/>
    <w:rsid w:val="152E646A"/>
    <w:rsid w:val="158C3568"/>
    <w:rsid w:val="160947FF"/>
    <w:rsid w:val="160A243B"/>
    <w:rsid w:val="16885CF1"/>
    <w:rsid w:val="16D23389"/>
    <w:rsid w:val="17E458DD"/>
    <w:rsid w:val="183D0B4A"/>
    <w:rsid w:val="18E739A9"/>
    <w:rsid w:val="18E86C54"/>
    <w:rsid w:val="191307B7"/>
    <w:rsid w:val="1929310B"/>
    <w:rsid w:val="1B0227C2"/>
    <w:rsid w:val="1B4F7620"/>
    <w:rsid w:val="1BCC4583"/>
    <w:rsid w:val="1C041919"/>
    <w:rsid w:val="1C6B19BB"/>
    <w:rsid w:val="1CB00CB3"/>
    <w:rsid w:val="1DF41CC7"/>
    <w:rsid w:val="1E3C5E68"/>
    <w:rsid w:val="1F4624DE"/>
    <w:rsid w:val="1F677CA7"/>
    <w:rsid w:val="1FD9384E"/>
    <w:rsid w:val="200579B7"/>
    <w:rsid w:val="209761CB"/>
    <w:rsid w:val="23516EE1"/>
    <w:rsid w:val="23716EB4"/>
    <w:rsid w:val="240D693A"/>
    <w:rsid w:val="247E4406"/>
    <w:rsid w:val="2489086C"/>
    <w:rsid w:val="24BE68F8"/>
    <w:rsid w:val="25535E50"/>
    <w:rsid w:val="25D353A7"/>
    <w:rsid w:val="25DA49E2"/>
    <w:rsid w:val="26866BCC"/>
    <w:rsid w:val="269A6797"/>
    <w:rsid w:val="26F83FF0"/>
    <w:rsid w:val="270C5517"/>
    <w:rsid w:val="277B1A1A"/>
    <w:rsid w:val="27841879"/>
    <w:rsid w:val="28011C81"/>
    <w:rsid w:val="28C406E1"/>
    <w:rsid w:val="28E75DB2"/>
    <w:rsid w:val="290F58F4"/>
    <w:rsid w:val="29160E8C"/>
    <w:rsid w:val="29603E37"/>
    <w:rsid w:val="29820AB2"/>
    <w:rsid w:val="2A0852AF"/>
    <w:rsid w:val="2A141649"/>
    <w:rsid w:val="2AB4113F"/>
    <w:rsid w:val="2ABF6E0D"/>
    <w:rsid w:val="2AEC29A5"/>
    <w:rsid w:val="2AFC6642"/>
    <w:rsid w:val="2B2854D8"/>
    <w:rsid w:val="2B3B1015"/>
    <w:rsid w:val="2B8F395A"/>
    <w:rsid w:val="2B9B3DE3"/>
    <w:rsid w:val="2BA44F9E"/>
    <w:rsid w:val="2C2E4F21"/>
    <w:rsid w:val="2C4C123B"/>
    <w:rsid w:val="2DA472C0"/>
    <w:rsid w:val="2DCD5BC9"/>
    <w:rsid w:val="2DD23444"/>
    <w:rsid w:val="2FA968CE"/>
    <w:rsid w:val="2FD40DF0"/>
    <w:rsid w:val="303845C1"/>
    <w:rsid w:val="30570215"/>
    <w:rsid w:val="309F1E37"/>
    <w:rsid w:val="30C72B18"/>
    <w:rsid w:val="30F97993"/>
    <w:rsid w:val="31667D53"/>
    <w:rsid w:val="31886949"/>
    <w:rsid w:val="320D7537"/>
    <w:rsid w:val="321D37AE"/>
    <w:rsid w:val="324205E9"/>
    <w:rsid w:val="32462906"/>
    <w:rsid w:val="329F67DC"/>
    <w:rsid w:val="32C97752"/>
    <w:rsid w:val="32CF1352"/>
    <w:rsid w:val="32F347CF"/>
    <w:rsid w:val="32FE67E5"/>
    <w:rsid w:val="338E38BA"/>
    <w:rsid w:val="34675693"/>
    <w:rsid w:val="353363F0"/>
    <w:rsid w:val="367169E2"/>
    <w:rsid w:val="36C05BF7"/>
    <w:rsid w:val="374240CE"/>
    <w:rsid w:val="3750780D"/>
    <w:rsid w:val="375C6DE7"/>
    <w:rsid w:val="38A242A5"/>
    <w:rsid w:val="3A3050D1"/>
    <w:rsid w:val="3A356837"/>
    <w:rsid w:val="3A8A4E65"/>
    <w:rsid w:val="3AB04F9E"/>
    <w:rsid w:val="3AB934E6"/>
    <w:rsid w:val="3BB0121E"/>
    <w:rsid w:val="3BD41EAF"/>
    <w:rsid w:val="3C5F6A31"/>
    <w:rsid w:val="3CCC7989"/>
    <w:rsid w:val="3DAD290A"/>
    <w:rsid w:val="3DAD2DDB"/>
    <w:rsid w:val="3E0D2875"/>
    <w:rsid w:val="3F085CC5"/>
    <w:rsid w:val="3F283A7A"/>
    <w:rsid w:val="408715FC"/>
    <w:rsid w:val="408F4D19"/>
    <w:rsid w:val="40BA3A16"/>
    <w:rsid w:val="40BC4452"/>
    <w:rsid w:val="410500CC"/>
    <w:rsid w:val="419160F0"/>
    <w:rsid w:val="41D15952"/>
    <w:rsid w:val="43195B8C"/>
    <w:rsid w:val="43261623"/>
    <w:rsid w:val="445F450B"/>
    <w:rsid w:val="447829C3"/>
    <w:rsid w:val="448F5023"/>
    <w:rsid w:val="44DF28D5"/>
    <w:rsid w:val="457F29F5"/>
    <w:rsid w:val="45B24076"/>
    <w:rsid w:val="467050E4"/>
    <w:rsid w:val="46914E0A"/>
    <w:rsid w:val="469B4E8A"/>
    <w:rsid w:val="46A950DE"/>
    <w:rsid w:val="47311A6E"/>
    <w:rsid w:val="47CD58CC"/>
    <w:rsid w:val="48555E98"/>
    <w:rsid w:val="49FC25C6"/>
    <w:rsid w:val="4A613997"/>
    <w:rsid w:val="4AB66F12"/>
    <w:rsid w:val="4AD53E09"/>
    <w:rsid w:val="4AD748BC"/>
    <w:rsid w:val="4D0D24BF"/>
    <w:rsid w:val="4D8612CF"/>
    <w:rsid w:val="4D8D78A2"/>
    <w:rsid w:val="4DE16FAF"/>
    <w:rsid w:val="4E774ECA"/>
    <w:rsid w:val="4ED7604E"/>
    <w:rsid w:val="4F0827F9"/>
    <w:rsid w:val="4F105A6C"/>
    <w:rsid w:val="4F135162"/>
    <w:rsid w:val="4F592F74"/>
    <w:rsid w:val="4F5A249E"/>
    <w:rsid w:val="501D3C79"/>
    <w:rsid w:val="50A849F3"/>
    <w:rsid w:val="514F4E6E"/>
    <w:rsid w:val="5187285A"/>
    <w:rsid w:val="520619D1"/>
    <w:rsid w:val="526711E3"/>
    <w:rsid w:val="53392FDD"/>
    <w:rsid w:val="539658D0"/>
    <w:rsid w:val="53B76493"/>
    <w:rsid w:val="54605ECE"/>
    <w:rsid w:val="549F7EBB"/>
    <w:rsid w:val="55230570"/>
    <w:rsid w:val="555D4E55"/>
    <w:rsid w:val="55844460"/>
    <w:rsid w:val="559B68D4"/>
    <w:rsid w:val="55AD1AED"/>
    <w:rsid w:val="55D0578B"/>
    <w:rsid w:val="56243DFF"/>
    <w:rsid w:val="56590A8A"/>
    <w:rsid w:val="56701057"/>
    <w:rsid w:val="568865A8"/>
    <w:rsid w:val="56B018EF"/>
    <w:rsid w:val="5768204A"/>
    <w:rsid w:val="57C1092B"/>
    <w:rsid w:val="57C44739"/>
    <w:rsid w:val="57CD00B3"/>
    <w:rsid w:val="581D2D51"/>
    <w:rsid w:val="583C2681"/>
    <w:rsid w:val="58B31C1A"/>
    <w:rsid w:val="58C93758"/>
    <w:rsid w:val="58CE5BBA"/>
    <w:rsid w:val="591E14FD"/>
    <w:rsid w:val="5AA25A1A"/>
    <w:rsid w:val="5AF401F8"/>
    <w:rsid w:val="5B4B5573"/>
    <w:rsid w:val="5B6C3FBA"/>
    <w:rsid w:val="5B6F4F62"/>
    <w:rsid w:val="5BF8701C"/>
    <w:rsid w:val="5CFF6DEB"/>
    <w:rsid w:val="5D240071"/>
    <w:rsid w:val="5DBF0593"/>
    <w:rsid w:val="5F975047"/>
    <w:rsid w:val="600914FF"/>
    <w:rsid w:val="60843B36"/>
    <w:rsid w:val="61DE6B9C"/>
    <w:rsid w:val="62AD4504"/>
    <w:rsid w:val="62B378A3"/>
    <w:rsid w:val="62F82B2F"/>
    <w:rsid w:val="63AA7BD3"/>
    <w:rsid w:val="63E95715"/>
    <w:rsid w:val="65060E9A"/>
    <w:rsid w:val="65132DA2"/>
    <w:rsid w:val="65A10979"/>
    <w:rsid w:val="65ED6CD8"/>
    <w:rsid w:val="6649527E"/>
    <w:rsid w:val="678E0047"/>
    <w:rsid w:val="68DB2113"/>
    <w:rsid w:val="692B630D"/>
    <w:rsid w:val="69436164"/>
    <w:rsid w:val="69627F26"/>
    <w:rsid w:val="6969757D"/>
    <w:rsid w:val="69A47B55"/>
    <w:rsid w:val="69AE1FE4"/>
    <w:rsid w:val="6A5D3D36"/>
    <w:rsid w:val="6B4E03F2"/>
    <w:rsid w:val="6B62095E"/>
    <w:rsid w:val="6B947BF6"/>
    <w:rsid w:val="6D6B4986"/>
    <w:rsid w:val="6D91113C"/>
    <w:rsid w:val="6E625D89"/>
    <w:rsid w:val="6E724357"/>
    <w:rsid w:val="6EC25670"/>
    <w:rsid w:val="6ED5063C"/>
    <w:rsid w:val="6F0E1431"/>
    <w:rsid w:val="6F7902AD"/>
    <w:rsid w:val="6FC767EC"/>
    <w:rsid w:val="70093D0E"/>
    <w:rsid w:val="707324D0"/>
    <w:rsid w:val="714B45F0"/>
    <w:rsid w:val="714C1B10"/>
    <w:rsid w:val="71724535"/>
    <w:rsid w:val="71C31C37"/>
    <w:rsid w:val="7284628F"/>
    <w:rsid w:val="72E03B24"/>
    <w:rsid w:val="732473B9"/>
    <w:rsid w:val="733B12B3"/>
    <w:rsid w:val="735352D9"/>
    <w:rsid w:val="73B426BC"/>
    <w:rsid w:val="73B57E1A"/>
    <w:rsid w:val="73F765DD"/>
    <w:rsid w:val="743B52A3"/>
    <w:rsid w:val="774921DC"/>
    <w:rsid w:val="779B754D"/>
    <w:rsid w:val="7856695F"/>
    <w:rsid w:val="78B06C3A"/>
    <w:rsid w:val="792B0CE0"/>
    <w:rsid w:val="79614503"/>
    <w:rsid w:val="796B4381"/>
    <w:rsid w:val="79BC75BE"/>
    <w:rsid w:val="7A091B25"/>
    <w:rsid w:val="7A266407"/>
    <w:rsid w:val="7A502322"/>
    <w:rsid w:val="7A5829AF"/>
    <w:rsid w:val="7A984B2B"/>
    <w:rsid w:val="7ABF31A7"/>
    <w:rsid w:val="7AD73740"/>
    <w:rsid w:val="7B691628"/>
    <w:rsid w:val="7B893911"/>
    <w:rsid w:val="7C134738"/>
    <w:rsid w:val="7C6A0577"/>
    <w:rsid w:val="7D034BDB"/>
    <w:rsid w:val="7D782FAD"/>
    <w:rsid w:val="7D897142"/>
    <w:rsid w:val="7D997111"/>
    <w:rsid w:val="7DA1332E"/>
    <w:rsid w:val="7DAD4508"/>
    <w:rsid w:val="7E12556C"/>
    <w:rsid w:val="7E1306E9"/>
    <w:rsid w:val="7FAD7032"/>
    <w:rsid w:val="7FBA38E9"/>
    <w:rsid w:val="7FF54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99"/>
    <w:rPr>
      <w:rFonts w:ascii="宋体" w:hAnsi="Courier New"/>
    </w:rPr>
  </w:style>
  <w:style w:type="paragraph" w:styleId="3">
    <w:name w:val="Body Text"/>
    <w:basedOn w:val="1"/>
    <w:next w:val="4"/>
    <w:qFormat/>
    <w:uiPriority w:val="0"/>
    <w:pPr>
      <w:spacing w:after="120"/>
    </w:pPr>
  </w:style>
  <w:style w:type="paragraph" w:styleId="4">
    <w:name w:val="Date"/>
    <w:basedOn w:val="1"/>
    <w:next w:val="1"/>
    <w:qFormat/>
    <w:uiPriority w:val="0"/>
    <w:pPr>
      <w:ind w:left="100" w:leftChars="2500"/>
    </w:pPr>
    <w:rPr>
      <w:rFonts w:eastAsia="仿宋_GB2312"/>
      <w:sz w:val="32"/>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Title"/>
    <w:basedOn w:val="1"/>
    <w:next w:val="1"/>
    <w:qFormat/>
    <w:uiPriority w:val="10"/>
    <w:pPr>
      <w:spacing w:before="240" w:after="60"/>
      <w:jc w:val="center"/>
      <w:outlineLvl w:val="0"/>
    </w:pPr>
    <w:rPr>
      <w:rFonts w:ascii="Cambria" w:hAnsi="Cambria"/>
      <w:b/>
      <w:bCs/>
      <w:sz w:val="36"/>
      <w:szCs w:val="32"/>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1518</Words>
  <Characters>1775</Characters>
  <Lines>9</Lines>
  <Paragraphs>9</Paragraphs>
  <TotalTime>184</TotalTime>
  <ScaleCrop>false</ScaleCrop>
  <LinksUpToDate>false</LinksUpToDate>
  <CharactersWithSpaces>1826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2021-04-30T06:04:00Z</dcterms:created>
  <dc:creator>Administrator</dc:creator>
  <cp:lastModifiedBy>雪峰圣火</cp:lastModifiedBy>
  <cp:lastPrinted>2026-07-22T03:13:00Z</cp:lastPrinted>
  <dcterms:modified xsi:type="dcterms:W3CDTF">2026-07-25T02:58:36Z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7D1BBF3E4FE144EE8A2434652E174BF5_13</vt:lpwstr>
  </property>
  <property fmtid="{D5CDD505-2E9C-101B-9397-08002B2CF9AE}" pid="4" name="KSOTemplateDocerSaveRecord">
    <vt:lpwstr>eyJoZGlkIjoiYTEyMGM5NjU3NTY2ZDExNzAxMGU1ODI0YTIwODBkNmQiLCJ1c2VySWQiOiIyNzA2NDI4NTQifQ==</vt:lpwstr>
  </property>
</Properties>
</file>