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87EBED">
      <w:pPr>
        <w:jc w:val="center"/>
        <w:rPr>
          <w:b/>
          <w:bCs/>
          <w:sz w:val="44"/>
          <w:szCs w:val="44"/>
        </w:rPr>
      </w:pPr>
      <w:r>
        <w:rPr>
          <w:rFonts w:hint="eastAsia"/>
          <w:b/>
          <w:bCs/>
          <w:sz w:val="44"/>
          <w:szCs w:val="44"/>
          <w:lang w:val="en-US" w:eastAsia="zh-CN"/>
        </w:rPr>
        <w:t>涡阳第五中学</w:t>
      </w:r>
      <w:r>
        <w:rPr>
          <w:rFonts w:hint="eastAsia" w:ascii="黑体" w:hAnsi="黑体" w:eastAsia="黑体" w:cs="黑体"/>
          <w:b/>
          <w:bCs/>
          <w:sz w:val="44"/>
          <w:szCs w:val="44"/>
          <w:lang w:val="en-US" w:eastAsia="zh-CN"/>
        </w:rPr>
        <w:t>2026</w:t>
      </w:r>
      <w:r>
        <w:rPr>
          <w:rFonts w:hint="eastAsia"/>
          <w:b/>
          <w:bCs/>
          <w:sz w:val="44"/>
          <w:szCs w:val="44"/>
          <w:lang w:val="en-US" w:eastAsia="zh-CN"/>
        </w:rPr>
        <w:t>年监控设备改造项目</w:t>
      </w:r>
      <w:r>
        <w:rPr>
          <w:rFonts w:hint="eastAsia"/>
          <w:b/>
          <w:bCs/>
          <w:sz w:val="44"/>
          <w:szCs w:val="44"/>
        </w:rPr>
        <w:t>采购需求</w:t>
      </w:r>
    </w:p>
    <w:tbl>
      <w:tblPr>
        <w:tblStyle w:val="6"/>
        <w:tblW w:w="0" w:type="auto"/>
        <w:tblInd w:w="-3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2"/>
        <w:gridCol w:w="1785"/>
        <w:gridCol w:w="7421"/>
        <w:gridCol w:w="1181"/>
        <w:gridCol w:w="2640"/>
        <w:gridCol w:w="862"/>
      </w:tblGrid>
      <w:tr w14:paraId="285C7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vAlign w:val="center"/>
          </w:tcPr>
          <w:p w14:paraId="2D09F681">
            <w:pPr>
              <w:jc w:val="center"/>
              <w:rPr>
                <w:rFonts w:ascii="宋体" w:hAnsi="宋体" w:eastAsia="宋体" w:cs="宋体"/>
                <w:b/>
                <w:bCs/>
                <w:sz w:val="22"/>
                <w:szCs w:val="22"/>
              </w:rPr>
            </w:pPr>
            <w:r>
              <w:rPr>
                <w:rFonts w:hint="eastAsia" w:ascii="宋体" w:hAnsi="宋体" w:eastAsia="宋体" w:cs="宋体"/>
                <w:b/>
                <w:bCs/>
                <w:sz w:val="22"/>
                <w:szCs w:val="22"/>
              </w:rPr>
              <w:t>序号</w:t>
            </w:r>
          </w:p>
        </w:tc>
        <w:tc>
          <w:tcPr>
            <w:tcW w:w="1785" w:type="dxa"/>
            <w:vAlign w:val="center"/>
          </w:tcPr>
          <w:p w14:paraId="69861258">
            <w:pPr>
              <w:jc w:val="center"/>
              <w:rPr>
                <w:rFonts w:ascii="宋体" w:hAnsi="宋体" w:eastAsia="宋体" w:cs="宋体"/>
                <w:b/>
                <w:bCs/>
                <w:sz w:val="22"/>
                <w:szCs w:val="22"/>
              </w:rPr>
            </w:pPr>
            <w:r>
              <w:rPr>
                <w:rFonts w:hint="eastAsia" w:ascii="宋体" w:hAnsi="宋体" w:eastAsia="宋体" w:cs="宋体"/>
                <w:b/>
                <w:bCs/>
                <w:sz w:val="22"/>
                <w:szCs w:val="22"/>
              </w:rPr>
              <w:t>货物名称</w:t>
            </w:r>
          </w:p>
        </w:tc>
        <w:tc>
          <w:tcPr>
            <w:tcW w:w="7421" w:type="dxa"/>
            <w:vAlign w:val="center"/>
          </w:tcPr>
          <w:p w14:paraId="75AA9318">
            <w:pPr>
              <w:jc w:val="center"/>
              <w:rPr>
                <w:rFonts w:ascii="宋体" w:hAnsi="宋体" w:eastAsia="宋体" w:cs="宋体"/>
                <w:b/>
                <w:bCs/>
                <w:sz w:val="22"/>
                <w:szCs w:val="22"/>
              </w:rPr>
            </w:pPr>
            <w:r>
              <w:rPr>
                <w:rFonts w:hint="eastAsia" w:ascii="宋体" w:hAnsi="宋体" w:eastAsia="宋体" w:cs="宋体"/>
                <w:b/>
                <w:bCs/>
                <w:sz w:val="22"/>
                <w:szCs w:val="22"/>
              </w:rPr>
              <w:t>技术参数及要求</w:t>
            </w:r>
          </w:p>
        </w:tc>
        <w:tc>
          <w:tcPr>
            <w:tcW w:w="1181" w:type="dxa"/>
            <w:vAlign w:val="center"/>
          </w:tcPr>
          <w:p w14:paraId="5E35C462">
            <w:pPr>
              <w:jc w:val="center"/>
              <w:rPr>
                <w:rFonts w:ascii="宋体" w:hAnsi="宋体" w:eastAsia="宋体" w:cs="宋体"/>
                <w:b/>
                <w:bCs/>
                <w:sz w:val="22"/>
                <w:szCs w:val="22"/>
              </w:rPr>
            </w:pPr>
            <w:r>
              <w:rPr>
                <w:rFonts w:hint="eastAsia" w:ascii="宋体" w:hAnsi="宋体" w:eastAsia="宋体" w:cs="宋体"/>
                <w:b/>
                <w:bCs/>
                <w:sz w:val="22"/>
                <w:szCs w:val="22"/>
              </w:rPr>
              <w:t>数量（单位）</w:t>
            </w:r>
          </w:p>
        </w:tc>
        <w:tc>
          <w:tcPr>
            <w:tcW w:w="2640" w:type="dxa"/>
            <w:vAlign w:val="center"/>
          </w:tcPr>
          <w:p w14:paraId="0EB240C6">
            <w:pPr>
              <w:jc w:val="center"/>
              <w:rPr>
                <w:rFonts w:ascii="宋体" w:hAnsi="宋体" w:eastAsia="宋体" w:cs="宋体"/>
                <w:b/>
                <w:bCs/>
                <w:sz w:val="22"/>
                <w:szCs w:val="22"/>
              </w:rPr>
            </w:pPr>
            <w:r>
              <w:rPr>
                <w:rFonts w:hint="eastAsia" w:ascii="宋体" w:hAnsi="宋体" w:eastAsia="宋体" w:cs="宋体"/>
                <w:b/>
                <w:bCs/>
                <w:sz w:val="22"/>
                <w:szCs w:val="22"/>
              </w:rPr>
              <w:t>品牌型号</w:t>
            </w:r>
          </w:p>
        </w:tc>
        <w:tc>
          <w:tcPr>
            <w:tcW w:w="862" w:type="dxa"/>
            <w:vAlign w:val="center"/>
          </w:tcPr>
          <w:p w14:paraId="1DA6C316">
            <w:pPr>
              <w:jc w:val="center"/>
              <w:rPr>
                <w:rFonts w:ascii="宋体" w:hAnsi="宋体" w:eastAsia="宋体" w:cs="宋体"/>
                <w:b/>
                <w:bCs/>
                <w:sz w:val="22"/>
                <w:szCs w:val="22"/>
              </w:rPr>
            </w:pPr>
            <w:r>
              <w:rPr>
                <w:rFonts w:hint="eastAsia" w:ascii="宋体" w:hAnsi="宋体" w:eastAsia="宋体" w:cs="宋体"/>
                <w:b/>
                <w:bCs/>
                <w:sz w:val="22"/>
                <w:szCs w:val="22"/>
              </w:rPr>
              <w:t>备注</w:t>
            </w:r>
          </w:p>
        </w:tc>
      </w:tr>
      <w:tr w14:paraId="61B1C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8" w:hRule="atLeast"/>
        </w:trPr>
        <w:tc>
          <w:tcPr>
            <w:tcW w:w="792" w:type="dxa"/>
            <w:vAlign w:val="center"/>
          </w:tcPr>
          <w:p w14:paraId="57460660">
            <w:pPr>
              <w:jc w:val="center"/>
              <w:rPr>
                <w:rFonts w:ascii="宋体" w:hAnsi="宋体" w:eastAsia="宋体" w:cs="宋体"/>
                <w:sz w:val="22"/>
                <w:szCs w:val="22"/>
              </w:rPr>
            </w:pPr>
            <w:r>
              <w:rPr>
                <w:rFonts w:hint="eastAsia" w:ascii="宋体" w:hAnsi="宋体" w:eastAsia="宋体" w:cs="宋体"/>
                <w:sz w:val="22"/>
                <w:szCs w:val="22"/>
              </w:rPr>
              <w:t>1</w:t>
            </w:r>
          </w:p>
        </w:tc>
        <w:tc>
          <w:tcPr>
            <w:tcW w:w="1785" w:type="dxa"/>
            <w:vAlign w:val="center"/>
          </w:tcPr>
          <w:p w14:paraId="69801B0C">
            <w:pPr>
              <w:jc w:val="center"/>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双光定焦枪型网络摄像机</w:t>
            </w:r>
          </w:p>
        </w:tc>
        <w:tc>
          <w:tcPr>
            <w:tcW w:w="7421" w:type="dxa"/>
          </w:tcPr>
          <w:p w14:paraId="60779BF6">
            <w:pPr>
              <w:rPr>
                <w:rFonts w:hint="eastAsia"/>
              </w:rPr>
            </w:pPr>
            <w:r>
              <w:rPr>
                <w:rFonts w:hint="eastAsia"/>
              </w:rPr>
              <w:t>1、支持≥1/3英寸CMOS图像传感器；支持≥400万(2560×1440)@25fps</w:t>
            </w:r>
          </w:p>
          <w:p w14:paraId="00D2A1A4">
            <w:pPr>
              <w:rPr>
                <w:rFonts w:hint="eastAsia"/>
              </w:rPr>
            </w:pPr>
            <w:r>
              <w:rPr>
                <w:rFonts w:hint="eastAsia"/>
              </w:rPr>
              <w:t>2、★支持≥2颗补光灯,红外监控距离≥50米</w:t>
            </w:r>
          </w:p>
          <w:p w14:paraId="3B7AF435">
            <w:pPr>
              <w:rPr>
                <w:rFonts w:hint="eastAsia"/>
              </w:rPr>
            </w:pPr>
            <w:r>
              <w:rPr>
                <w:rFonts w:hint="eastAsia"/>
              </w:rPr>
              <w:t>3、★支持补光灯表面为磨砂面,灯珠朝向与样机照射方向一致；支持补光灯开启后,正面不可见补光灯灯珠；支持补光灯开启后,补光亮度均匀,无明显波纹状、圆环状、麻点状、条纹状及不规则亮斑</w:t>
            </w:r>
          </w:p>
          <w:p w14:paraId="317E8FD2">
            <w:pPr>
              <w:rPr>
                <w:rFonts w:hint="eastAsia"/>
              </w:rPr>
            </w:pPr>
            <w:r>
              <w:rPr>
                <w:rFonts w:hint="eastAsia"/>
              </w:rPr>
              <w:t>4、支持数字宽动态，3D降噪，强光抑制，背光补偿，数字水印</w:t>
            </w:r>
          </w:p>
          <w:p w14:paraId="7314B46D">
            <w:pPr>
              <w:rPr>
                <w:rFonts w:hint="eastAsia"/>
              </w:rPr>
            </w:pPr>
            <w:r>
              <w:rPr>
                <w:rFonts w:hint="eastAsia"/>
              </w:rPr>
              <w:t>5、支持SMART H.264/H.265，灵活编码，适用不同带宽和存储环境</w:t>
            </w:r>
          </w:p>
          <w:p w14:paraId="2547ED12">
            <w:pPr>
              <w:rPr>
                <w:rFonts w:hint="eastAsia"/>
              </w:rPr>
            </w:pPr>
            <w:r>
              <w:rPr>
                <w:rFonts w:hint="eastAsia"/>
              </w:rPr>
              <w:t>6、★支持对人、机动车、全部(人或机动车)进行检测,当小狗、树叶等非人或车辆目标经过检测区域时,不会触发报警</w:t>
            </w:r>
          </w:p>
          <w:p w14:paraId="5F54256F">
            <w:pPr>
              <w:rPr>
                <w:rFonts w:hint="eastAsia"/>
              </w:rPr>
            </w:pPr>
            <w:r>
              <w:rPr>
                <w:rFonts w:hint="eastAsia"/>
              </w:rPr>
              <w:t>7、支持网络断开；IP冲突；非法访问；动态检测；视频遮挡；安全异常；智能动检（人）；音频异常等报警事件</w:t>
            </w:r>
          </w:p>
          <w:p w14:paraId="31589CED">
            <w:pPr>
              <w:rPr>
                <w:rFonts w:hint="eastAsia"/>
              </w:rPr>
            </w:pPr>
            <w:r>
              <w:rPr>
                <w:rFonts w:hint="eastAsia"/>
              </w:rPr>
              <w:t>8、★设备镜头前盖玻璃呈倾斜状,与镜头平面呈4°夹角</w:t>
            </w:r>
          </w:p>
          <w:p w14:paraId="08742424">
            <w:pPr>
              <w:rPr>
                <w:rFonts w:hint="eastAsia"/>
              </w:rPr>
            </w:pPr>
            <w:r>
              <w:rPr>
                <w:rFonts w:hint="eastAsia"/>
              </w:rPr>
              <w:t>9、★支持采用DC12V电源与POE供电,当一路电源停止供电后,样机可正常工作</w:t>
            </w:r>
          </w:p>
          <w:p w14:paraId="7F502979">
            <w:pPr>
              <w:rPr>
                <w:rFonts w:hint="eastAsia"/>
              </w:rPr>
            </w:pPr>
            <w:r>
              <w:rPr>
                <w:rFonts w:hint="eastAsia"/>
              </w:rPr>
              <w:t>10、支持≥IP67防护等级</w:t>
            </w:r>
          </w:p>
          <w:p w14:paraId="48C5992E">
            <w:pPr>
              <w:rPr>
                <w:rFonts w:ascii="宋体" w:hAnsi="宋体" w:eastAsia="宋体" w:cs="宋体"/>
                <w:sz w:val="22"/>
                <w:szCs w:val="22"/>
              </w:rPr>
            </w:pPr>
            <w:r>
              <w:rPr>
                <w:rFonts w:hint="eastAsia"/>
              </w:rPr>
              <w:t>以上标★项需提供国家认监委认可的检测机构出具的检测报告复印件或扫描件</w:t>
            </w:r>
          </w:p>
        </w:tc>
        <w:tc>
          <w:tcPr>
            <w:tcW w:w="1181" w:type="dxa"/>
            <w:vAlign w:val="center"/>
          </w:tcPr>
          <w:p w14:paraId="021DD79D">
            <w:pPr>
              <w:jc w:val="center"/>
              <w:rPr>
                <w:rFonts w:ascii="宋体" w:hAnsi="宋体" w:eastAsia="宋体" w:cs="宋体"/>
                <w:sz w:val="22"/>
                <w:szCs w:val="22"/>
              </w:rPr>
            </w:pPr>
            <w:r>
              <w:rPr>
                <w:rFonts w:hint="eastAsia" w:ascii="宋体" w:hAnsi="宋体" w:eastAsia="宋体" w:cs="宋体"/>
                <w:sz w:val="22"/>
                <w:szCs w:val="22"/>
                <w:lang w:val="en-US" w:eastAsia="zh-CN"/>
              </w:rPr>
              <w:t>91</w:t>
            </w:r>
            <w:r>
              <w:rPr>
                <w:rFonts w:hint="eastAsia" w:ascii="宋体" w:hAnsi="宋体" w:eastAsia="宋体" w:cs="宋体"/>
                <w:sz w:val="22"/>
                <w:szCs w:val="22"/>
              </w:rPr>
              <w:t>台</w:t>
            </w:r>
          </w:p>
        </w:tc>
        <w:tc>
          <w:tcPr>
            <w:tcW w:w="2640" w:type="dxa"/>
            <w:vAlign w:val="center"/>
          </w:tcPr>
          <w:p w14:paraId="12343E26">
            <w:pPr>
              <w:jc w:val="center"/>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大华、</w:t>
            </w:r>
            <w:r>
              <w:rPr>
                <w:rFonts w:hint="eastAsia" w:ascii="宋体" w:hAnsi="宋体" w:eastAsia="宋体" w:cs="宋体"/>
                <w:sz w:val="24"/>
                <w:szCs w:val="24"/>
                <w:lang w:val="en-US" w:eastAsia="zh-CN"/>
              </w:rPr>
              <w:t>DH-IPC-HFW3XYZM3-ABD</w:t>
            </w:r>
          </w:p>
        </w:tc>
        <w:tc>
          <w:tcPr>
            <w:tcW w:w="862" w:type="dxa"/>
            <w:vAlign w:val="center"/>
          </w:tcPr>
          <w:p w14:paraId="6C277E8E">
            <w:pPr>
              <w:jc w:val="center"/>
              <w:rPr>
                <w:rFonts w:ascii="宋体" w:hAnsi="宋体" w:eastAsia="宋体" w:cs="宋体"/>
                <w:sz w:val="22"/>
                <w:szCs w:val="22"/>
              </w:rPr>
            </w:pPr>
          </w:p>
        </w:tc>
      </w:tr>
      <w:tr w14:paraId="19970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vAlign w:val="center"/>
          </w:tcPr>
          <w:p w14:paraId="29A2FD05">
            <w:pPr>
              <w:jc w:val="center"/>
              <w:rPr>
                <w:rFonts w:ascii="宋体" w:hAnsi="宋体" w:eastAsia="宋体" w:cs="宋体"/>
                <w:sz w:val="22"/>
                <w:szCs w:val="22"/>
              </w:rPr>
            </w:pPr>
            <w:r>
              <w:rPr>
                <w:rFonts w:hint="eastAsia" w:ascii="宋体" w:hAnsi="宋体" w:eastAsia="宋体" w:cs="宋体"/>
                <w:sz w:val="22"/>
                <w:szCs w:val="22"/>
              </w:rPr>
              <w:t>2</w:t>
            </w:r>
          </w:p>
        </w:tc>
        <w:tc>
          <w:tcPr>
            <w:tcW w:w="1785" w:type="dxa"/>
            <w:shd w:val="clear" w:color="auto" w:fill="auto"/>
            <w:vAlign w:val="center"/>
          </w:tcPr>
          <w:p w14:paraId="01227A8F">
            <w:pPr>
              <w:widowControl/>
              <w:jc w:val="center"/>
              <w:textAlignment w:val="center"/>
              <w:rPr>
                <w:rFonts w:hint="default" w:ascii="宋体" w:hAnsi="宋体" w:eastAsia="宋体" w:cs="宋体"/>
                <w:color w:val="000000"/>
                <w:kern w:val="0"/>
                <w:sz w:val="22"/>
                <w:szCs w:val="22"/>
                <w:lang w:val="en-US" w:eastAsia="zh-CN" w:bidi="ar"/>
              </w:rPr>
            </w:pPr>
            <w:r>
              <w:rPr>
                <w:rFonts w:hint="eastAsia" w:ascii="宋体" w:hAnsi="宋体" w:eastAsia="宋体" w:cs="宋体"/>
                <w:color w:val="000000"/>
                <w:kern w:val="0"/>
                <w:sz w:val="22"/>
                <w:szCs w:val="22"/>
                <w:lang w:val="en-US" w:eastAsia="zh-CN" w:bidi="ar"/>
              </w:rPr>
              <w:t>双光定焦海螺网络摄像机</w:t>
            </w:r>
          </w:p>
        </w:tc>
        <w:tc>
          <w:tcPr>
            <w:tcW w:w="7421" w:type="dxa"/>
            <w:shd w:val="clear" w:color="auto" w:fill="auto"/>
            <w:vAlign w:val="center"/>
          </w:tcPr>
          <w:p w14:paraId="7CE9E6BC">
            <w:pPr>
              <w:widowControl/>
              <w:jc w:val="left"/>
              <w:textAlignment w:val="center"/>
              <w:rPr>
                <w:rFonts w:hint="eastAsia"/>
              </w:rPr>
            </w:pPr>
            <w:r>
              <w:rPr>
                <w:rFonts w:hint="eastAsia"/>
              </w:rPr>
              <w:t>1、采用不低于400万1/3英寸CMOS图像传感器</w:t>
            </w:r>
          </w:p>
          <w:p w14:paraId="53E6870F">
            <w:pPr>
              <w:widowControl/>
              <w:jc w:val="left"/>
              <w:textAlignment w:val="center"/>
              <w:rPr>
                <w:rFonts w:hint="eastAsia"/>
              </w:rPr>
            </w:pPr>
            <w:r>
              <w:rPr>
                <w:rFonts w:hint="eastAsia"/>
              </w:rPr>
              <w:t>2、支持数字宽动态，3D降噪，强光抑制，背光补偿，数字水印，适用不同监控环境</w:t>
            </w:r>
          </w:p>
          <w:p w14:paraId="38F25A9B">
            <w:pPr>
              <w:widowControl/>
              <w:jc w:val="left"/>
              <w:textAlignment w:val="center"/>
              <w:rPr>
                <w:rFonts w:hint="eastAsia"/>
              </w:rPr>
            </w:pPr>
            <w:r>
              <w:rPr>
                <w:rFonts w:hint="eastAsia"/>
              </w:rPr>
              <w:t>3、★智能动态检测(SMD)功能检验:支持对人、机动车、全部(人或机动车)进行检测,当小狗、树叶等非人或车辆目标经过检测区域时,不会触发报警</w:t>
            </w:r>
          </w:p>
          <w:p w14:paraId="170730BB">
            <w:pPr>
              <w:widowControl/>
              <w:jc w:val="left"/>
              <w:textAlignment w:val="center"/>
              <w:rPr>
                <w:rFonts w:hint="eastAsia"/>
              </w:rPr>
            </w:pPr>
            <w:r>
              <w:rPr>
                <w:rFonts w:hint="eastAsia"/>
              </w:rPr>
              <w:t>4、★设备可同时采用DC12V电源与POE供电,当一路电源停止供电后,样机可正常工作</w:t>
            </w:r>
          </w:p>
          <w:p w14:paraId="1AF3DA66">
            <w:pPr>
              <w:widowControl/>
              <w:jc w:val="left"/>
              <w:textAlignment w:val="center"/>
              <w:rPr>
                <w:rFonts w:hint="eastAsia"/>
              </w:rPr>
            </w:pPr>
            <w:r>
              <w:rPr>
                <w:rFonts w:hint="eastAsia"/>
              </w:rPr>
              <w:t>5、★智能行为分析功能检验:</w:t>
            </w:r>
          </w:p>
          <w:p w14:paraId="6B8B5085">
            <w:pPr>
              <w:widowControl/>
              <w:jc w:val="left"/>
              <w:textAlignment w:val="center"/>
              <w:rPr>
                <w:rFonts w:hint="eastAsia"/>
              </w:rPr>
            </w:pPr>
            <w:r>
              <w:rPr>
                <w:rFonts w:hint="eastAsia"/>
              </w:rPr>
              <w:t>当以下的智能分析行为达到设定的阈值时,可通过客户端软件或IE浏览器给出报警提示;</w:t>
            </w:r>
          </w:p>
          <w:p w14:paraId="54782A95">
            <w:pPr>
              <w:widowControl/>
              <w:jc w:val="left"/>
              <w:textAlignment w:val="center"/>
              <w:rPr>
                <w:rFonts w:hint="eastAsia"/>
              </w:rPr>
            </w:pPr>
            <w:r>
              <w:rPr>
                <w:rFonts w:hint="eastAsia"/>
              </w:rPr>
              <w:t>a)绊线入侵;</w:t>
            </w:r>
          </w:p>
          <w:p w14:paraId="0C46C084">
            <w:pPr>
              <w:widowControl/>
              <w:jc w:val="left"/>
              <w:textAlignment w:val="center"/>
              <w:rPr>
                <w:rFonts w:hint="eastAsia"/>
              </w:rPr>
            </w:pPr>
            <w:r>
              <w:rPr>
                <w:rFonts w:hint="eastAsia"/>
              </w:rPr>
              <w:t>b)区域入侵;</w:t>
            </w:r>
          </w:p>
          <w:p w14:paraId="73783AC6">
            <w:pPr>
              <w:widowControl/>
              <w:jc w:val="left"/>
              <w:textAlignment w:val="center"/>
              <w:rPr>
                <w:rFonts w:hint="eastAsia"/>
              </w:rPr>
            </w:pPr>
            <w:r>
              <w:rPr>
                <w:rFonts w:hint="eastAsia"/>
              </w:rPr>
              <w:t>样机支持行为分析触发后联动抓图、录像、目标跟踪、报警上传、发送邮件等多种报警触发方式;样机支持设置6组智能周界规则并进行独立布防,每组的布撤防时间可单独设置,目标在布防区域和布防时间段内出现会触发报警,并联动相关操作;</w:t>
            </w:r>
          </w:p>
          <w:p w14:paraId="73879B80">
            <w:pPr>
              <w:widowControl/>
              <w:jc w:val="left"/>
              <w:textAlignment w:val="center"/>
              <w:rPr>
                <w:rFonts w:hint="eastAsia"/>
              </w:rPr>
            </w:pPr>
            <w:r>
              <w:rPr>
                <w:rFonts w:hint="eastAsia"/>
              </w:rPr>
              <w:t>可以对人、机动车、全部(人或机动车)进行检测;</w:t>
            </w:r>
          </w:p>
          <w:p w14:paraId="3D3BE535">
            <w:pPr>
              <w:widowControl/>
              <w:jc w:val="left"/>
              <w:textAlignment w:val="center"/>
              <w:rPr>
                <w:rFonts w:hint="eastAsia"/>
              </w:rPr>
            </w:pPr>
            <w:r>
              <w:rPr>
                <w:rFonts w:hint="eastAsia"/>
              </w:rPr>
              <w:t>支持对智能行为分析目标方向规则进行设置,可设置方向为A-&gt;B、B-&gt;A、A&lt;-&gt;B3种规则;</w:t>
            </w:r>
          </w:p>
          <w:p w14:paraId="1C4DD9D8">
            <w:pPr>
              <w:widowControl/>
              <w:jc w:val="left"/>
              <w:textAlignment w:val="center"/>
              <w:rPr>
                <w:rFonts w:hint="eastAsia"/>
              </w:rPr>
            </w:pPr>
            <w:r>
              <w:rPr>
                <w:rFonts w:hint="eastAsia"/>
              </w:rPr>
              <w:t>支持灵敏度设置0~10;</w:t>
            </w:r>
            <w:bookmarkStart w:id="0" w:name="_GoBack"/>
            <w:bookmarkEnd w:id="0"/>
          </w:p>
          <w:p w14:paraId="460CE07A">
            <w:pPr>
              <w:widowControl/>
              <w:jc w:val="left"/>
              <w:textAlignment w:val="center"/>
              <w:rPr>
                <w:rFonts w:hint="eastAsia"/>
              </w:rPr>
            </w:pPr>
            <w:r>
              <w:rPr>
                <w:rFonts w:hint="eastAsia"/>
              </w:rPr>
              <w:t>当小动物、灯光、树叶、气球等非人或机动车目标经过检测区域时,不会触发报警;可对目标大小(像素值)范围进行设置,使样机只对预设大小(像素值)范围内的人员及机动车辆进行检测</w:t>
            </w:r>
          </w:p>
          <w:p w14:paraId="1C92C15D">
            <w:pPr>
              <w:widowControl/>
              <w:jc w:val="left"/>
              <w:textAlignment w:val="center"/>
              <w:rPr>
                <w:rFonts w:hint="eastAsia"/>
              </w:rPr>
            </w:pPr>
            <w:r>
              <w:rPr>
                <w:rFonts w:hint="eastAsia"/>
              </w:rPr>
              <w:t>6、支持DC12V/PoE供电方式，方便工程安装</w:t>
            </w:r>
          </w:p>
          <w:p w14:paraId="51F0C281">
            <w:pPr>
              <w:widowControl/>
              <w:jc w:val="left"/>
              <w:textAlignment w:val="center"/>
              <w:rPr>
                <w:rFonts w:hint="eastAsia"/>
              </w:rPr>
            </w:pPr>
            <w:r>
              <w:rPr>
                <w:rFonts w:hint="eastAsia"/>
              </w:rPr>
              <w:t>7、支持IP67防护等级</w:t>
            </w:r>
          </w:p>
          <w:p w14:paraId="260A8238">
            <w:pPr>
              <w:widowControl/>
              <w:jc w:val="left"/>
              <w:textAlignment w:val="center"/>
              <w:rPr>
                <w:rFonts w:ascii="宋体" w:hAnsi="宋体" w:eastAsia="宋体" w:cs="宋体"/>
                <w:sz w:val="22"/>
                <w:szCs w:val="22"/>
              </w:rPr>
            </w:pPr>
            <w:r>
              <w:rPr>
                <w:rFonts w:hint="eastAsia"/>
              </w:rPr>
              <w:t>以上标★项需提供国家认监委认可的检测机构出具的检测报告复印件或扫描件</w:t>
            </w:r>
          </w:p>
        </w:tc>
        <w:tc>
          <w:tcPr>
            <w:tcW w:w="1181" w:type="dxa"/>
            <w:shd w:val="clear" w:color="auto" w:fill="auto"/>
            <w:vAlign w:val="center"/>
          </w:tcPr>
          <w:p w14:paraId="7F40442A">
            <w:pPr>
              <w:jc w:val="center"/>
              <w:rPr>
                <w:rFonts w:ascii="宋体" w:hAnsi="宋体" w:eastAsia="宋体" w:cs="宋体"/>
                <w:sz w:val="22"/>
                <w:szCs w:val="22"/>
              </w:rPr>
            </w:pPr>
            <w:r>
              <w:rPr>
                <w:rFonts w:hint="eastAsia" w:ascii="宋体" w:hAnsi="宋体" w:eastAsia="宋体" w:cs="宋体"/>
                <w:sz w:val="22"/>
                <w:szCs w:val="22"/>
                <w:lang w:val="en-US" w:eastAsia="zh-CN"/>
              </w:rPr>
              <w:t>92</w:t>
            </w:r>
            <w:r>
              <w:rPr>
                <w:rFonts w:hint="eastAsia" w:ascii="宋体" w:hAnsi="宋体" w:eastAsia="宋体" w:cs="宋体"/>
                <w:sz w:val="22"/>
                <w:szCs w:val="22"/>
              </w:rPr>
              <w:t>只</w:t>
            </w:r>
          </w:p>
        </w:tc>
        <w:tc>
          <w:tcPr>
            <w:tcW w:w="2640" w:type="dxa"/>
            <w:shd w:val="clear" w:color="auto" w:fill="auto"/>
            <w:vAlign w:val="center"/>
          </w:tcPr>
          <w:p w14:paraId="045B514E">
            <w:pPr>
              <w:widowControl/>
              <w:jc w:val="center"/>
              <w:textAlignment w:val="center"/>
              <w:rPr>
                <w:rFonts w:hint="default" w:ascii="宋体" w:hAnsi="宋体" w:eastAsia="宋体" w:cs="宋体"/>
                <w:color w:val="000000"/>
                <w:kern w:val="0"/>
                <w:sz w:val="22"/>
                <w:szCs w:val="22"/>
                <w:lang w:val="en-US" w:eastAsia="zh-CN" w:bidi="ar"/>
              </w:rPr>
            </w:pPr>
            <w:r>
              <w:rPr>
                <w:rFonts w:hint="eastAsia" w:ascii="宋体" w:hAnsi="宋体" w:eastAsia="宋体" w:cs="宋体"/>
                <w:color w:val="000000"/>
                <w:kern w:val="0"/>
                <w:sz w:val="22"/>
                <w:szCs w:val="22"/>
                <w:lang w:val="en-US" w:eastAsia="zh-CN" w:bidi="ar"/>
              </w:rPr>
              <w:t>大华、</w:t>
            </w:r>
            <w:r>
              <w:rPr>
                <w:rFonts w:hint="eastAsia" w:ascii="宋体" w:hAnsi="宋体" w:eastAsia="宋体" w:cs="宋体"/>
                <w:color w:val="000000"/>
                <w:kern w:val="0"/>
                <w:sz w:val="24"/>
                <w:szCs w:val="24"/>
                <w:lang w:val="en-US" w:eastAsia="zh-CN" w:bidi="ar"/>
              </w:rPr>
              <w:t>DH-IPC-HDW3XYZT3-ABD</w:t>
            </w:r>
          </w:p>
        </w:tc>
        <w:tc>
          <w:tcPr>
            <w:tcW w:w="862" w:type="dxa"/>
            <w:shd w:val="clear" w:color="auto" w:fill="auto"/>
            <w:vAlign w:val="center"/>
          </w:tcPr>
          <w:p w14:paraId="32544108">
            <w:pPr>
              <w:jc w:val="center"/>
              <w:rPr>
                <w:rFonts w:ascii="宋体" w:hAnsi="宋体" w:eastAsia="宋体" w:cs="宋体"/>
                <w:sz w:val="22"/>
                <w:szCs w:val="22"/>
              </w:rPr>
            </w:pPr>
          </w:p>
        </w:tc>
      </w:tr>
      <w:tr w14:paraId="0010E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vAlign w:val="center"/>
          </w:tcPr>
          <w:p w14:paraId="432A8783">
            <w:pPr>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w:t>
            </w:r>
          </w:p>
        </w:tc>
        <w:tc>
          <w:tcPr>
            <w:tcW w:w="1785" w:type="dxa"/>
            <w:shd w:val="clear" w:color="auto" w:fill="auto"/>
            <w:vAlign w:val="center"/>
          </w:tcPr>
          <w:p w14:paraId="55541FE0">
            <w:pPr>
              <w:widowControl/>
              <w:jc w:val="center"/>
              <w:textAlignment w:val="center"/>
              <w:rPr>
                <w:rFonts w:hint="eastAsia" w:ascii="宋体" w:hAnsi="宋体" w:eastAsia="宋体" w:cs="宋体"/>
                <w:color w:val="000000"/>
                <w:kern w:val="0"/>
                <w:sz w:val="22"/>
                <w:szCs w:val="22"/>
                <w:lang w:bidi="ar"/>
              </w:rPr>
            </w:pPr>
            <w:r>
              <w:rPr>
                <w:rFonts w:hint="eastAsia" w:ascii="宋体" w:hAnsi="宋体" w:eastAsia="宋体" w:cs="宋体"/>
                <w:sz w:val="22"/>
                <w:szCs w:val="22"/>
              </w:rPr>
              <w:t>综合管理平台</w:t>
            </w:r>
          </w:p>
        </w:tc>
        <w:tc>
          <w:tcPr>
            <w:tcW w:w="7421" w:type="dxa"/>
            <w:shd w:val="clear" w:color="auto" w:fill="auto"/>
            <w:vAlign w:val="center"/>
          </w:tcPr>
          <w:p w14:paraId="38ED61E2">
            <w:pPr>
              <w:rPr>
                <w:rFonts w:hint="eastAsia" w:ascii="宋体" w:hAnsi="宋体" w:eastAsia="宋体" w:cs="宋体"/>
                <w:sz w:val="22"/>
                <w:szCs w:val="22"/>
              </w:rPr>
            </w:pPr>
            <w:r>
              <w:rPr>
                <w:rFonts w:hint="eastAsia" w:ascii="宋体" w:hAnsi="宋体" w:eastAsia="宋体" w:cs="宋体"/>
                <w:sz w:val="22"/>
                <w:szCs w:val="22"/>
              </w:rPr>
              <w:t>一、软件参数</w:t>
            </w:r>
          </w:p>
          <w:p w14:paraId="47726EB0">
            <w:pPr>
              <w:rPr>
                <w:rFonts w:hint="eastAsia" w:ascii="宋体" w:hAnsi="宋体" w:eastAsia="宋体" w:cs="宋体"/>
                <w:sz w:val="22"/>
                <w:szCs w:val="22"/>
              </w:rPr>
            </w:pPr>
            <w:r>
              <w:rPr>
                <w:rFonts w:hint="eastAsia" w:ascii="宋体" w:hAnsi="宋体" w:eastAsia="宋体" w:cs="宋体"/>
                <w:sz w:val="22"/>
                <w:szCs w:val="22"/>
              </w:rPr>
              <w:t>1、支持视频≥1100路、卡口≥200路、报警主机≥500路，支持通过分布式部署扩展设备接入能力；</w:t>
            </w:r>
          </w:p>
          <w:p w14:paraId="22693661">
            <w:pPr>
              <w:rPr>
                <w:rFonts w:hint="eastAsia" w:ascii="宋体" w:hAnsi="宋体" w:eastAsia="宋体" w:cs="宋体"/>
                <w:sz w:val="22"/>
                <w:szCs w:val="22"/>
              </w:rPr>
            </w:pPr>
            <w:r>
              <w:rPr>
                <w:rFonts w:hint="eastAsia" w:ascii="宋体" w:hAnsi="宋体" w:eastAsia="宋体" w:cs="宋体"/>
                <w:sz w:val="22"/>
                <w:szCs w:val="22"/>
              </w:rPr>
              <w:t>2、支持平台开放兼容，支持提供对外接口满足各类三方系统对接需求；</w:t>
            </w:r>
          </w:p>
          <w:p w14:paraId="57A00B53">
            <w:pPr>
              <w:rPr>
                <w:rFonts w:hint="eastAsia" w:ascii="宋体" w:hAnsi="宋体" w:eastAsia="宋体" w:cs="宋体"/>
                <w:sz w:val="22"/>
                <w:szCs w:val="22"/>
              </w:rPr>
            </w:pPr>
            <w:r>
              <w:rPr>
                <w:rFonts w:hint="eastAsia" w:ascii="宋体" w:hAnsi="宋体" w:eastAsia="宋体" w:cs="宋体"/>
                <w:sz w:val="22"/>
                <w:szCs w:val="22"/>
              </w:rPr>
              <w:t>3、★支持在浏览器中进行多路无插件视 频预览；支持设备对讲、抓图、本地录像、 声音控制、窗口分割、全屏、自适应、云 台控制、预置点、点间巡航等功能；</w:t>
            </w:r>
          </w:p>
          <w:p w14:paraId="7AE67BFB">
            <w:pPr>
              <w:rPr>
                <w:rFonts w:hint="eastAsia" w:ascii="宋体" w:hAnsi="宋体" w:eastAsia="宋体" w:cs="宋体"/>
                <w:sz w:val="22"/>
                <w:szCs w:val="22"/>
              </w:rPr>
            </w:pPr>
            <w:r>
              <w:rPr>
                <w:rFonts w:hint="eastAsia" w:ascii="宋体" w:hAnsi="宋体" w:eastAsia="宋体" w:cs="宋体"/>
                <w:sz w:val="22"/>
                <w:szCs w:val="22"/>
              </w:rPr>
              <w:t>4、录像支持 1/2、1/4、1/8、1/16、1/32、 1/64、2、4、8、16、32、64 倍速快/慢放；</w:t>
            </w:r>
          </w:p>
          <w:p w14:paraId="0D2A222C">
            <w:pPr>
              <w:rPr>
                <w:rFonts w:hint="eastAsia" w:ascii="宋体" w:hAnsi="宋体" w:eastAsia="宋体" w:cs="宋体"/>
                <w:sz w:val="22"/>
                <w:szCs w:val="22"/>
              </w:rPr>
            </w:pPr>
            <w:r>
              <w:rPr>
                <w:rFonts w:hint="eastAsia" w:ascii="宋体" w:hAnsi="宋体" w:eastAsia="宋体" w:cs="宋体"/>
                <w:sz w:val="22"/>
                <w:szCs w:val="22"/>
              </w:rPr>
              <w:t>5、支持自动获取设备子系统名称、 防区类型、子系统和防区对应关系；支持防区布防、撤防、消警、 旁路、隔离、取消旁路操作；</w:t>
            </w:r>
          </w:p>
          <w:p w14:paraId="76285177">
            <w:pPr>
              <w:rPr>
                <w:rFonts w:hint="eastAsia" w:ascii="宋体" w:hAnsi="宋体" w:eastAsia="宋体" w:cs="宋体"/>
                <w:sz w:val="22"/>
                <w:szCs w:val="22"/>
              </w:rPr>
            </w:pPr>
            <w:r>
              <w:rPr>
                <w:rFonts w:hint="eastAsia" w:ascii="宋体" w:hAnsi="宋体" w:eastAsia="宋体" w:cs="宋体"/>
                <w:sz w:val="22"/>
                <w:szCs w:val="22"/>
              </w:rPr>
              <w:t>6、支持区域卡片展示，双向客流设备可展示区域名称、区域编号、标签、实时人数、当天进入人数、当天离开人数数据，支持批量导出数据；支持根据区域类别进行筛选列表展示区域进客流、出客流及占比数据，支持 按日、周、月、年、自定义维度统计；</w:t>
            </w:r>
          </w:p>
          <w:p w14:paraId="70D1909A">
            <w:pPr>
              <w:rPr>
                <w:rFonts w:hint="eastAsia" w:ascii="宋体" w:hAnsi="宋体" w:eastAsia="宋体" w:cs="宋体"/>
                <w:sz w:val="22"/>
                <w:szCs w:val="22"/>
              </w:rPr>
            </w:pPr>
            <w:r>
              <w:rPr>
                <w:rFonts w:hint="eastAsia" w:ascii="宋体" w:hAnsi="宋体" w:eastAsia="宋体" w:cs="宋体"/>
                <w:sz w:val="22"/>
                <w:szCs w:val="22"/>
              </w:rPr>
              <w:t>7、支持接收结构化相机抓拍上报的人体特征数据，包含：性别、是否戴口罩、是否有胡子、上衣颜色及类型、下衣颜色及类型、是否戴帽子、是否背包；支持接入人脸视频设备进行实时监控，支持预览画面中的检测框可跟踪人脸，支持内部人员和陌生人列表滚动显示；</w:t>
            </w:r>
          </w:p>
          <w:p w14:paraId="406167CE">
            <w:pPr>
              <w:rPr>
                <w:rFonts w:hint="eastAsia" w:ascii="宋体" w:hAnsi="宋体" w:eastAsia="宋体" w:cs="宋体"/>
                <w:sz w:val="22"/>
                <w:szCs w:val="22"/>
              </w:rPr>
            </w:pPr>
            <w:r>
              <w:rPr>
                <w:rFonts w:hint="eastAsia" w:ascii="宋体" w:hAnsi="宋体" w:eastAsia="宋体" w:cs="宋体"/>
                <w:sz w:val="22"/>
                <w:szCs w:val="22"/>
              </w:rPr>
              <w:t>8、★支持对导入、导出平台 excel 业务数 据进行密码加密；</w:t>
            </w:r>
          </w:p>
          <w:p w14:paraId="120098BE">
            <w:pPr>
              <w:rPr>
                <w:rFonts w:hint="eastAsia" w:ascii="宋体" w:hAnsi="宋体" w:eastAsia="宋体" w:cs="宋体"/>
                <w:sz w:val="22"/>
                <w:szCs w:val="22"/>
              </w:rPr>
            </w:pPr>
            <w:r>
              <w:rPr>
                <w:rFonts w:hint="eastAsia" w:ascii="宋体" w:hAnsi="宋体" w:eastAsia="宋体" w:cs="宋体"/>
                <w:sz w:val="22"/>
                <w:szCs w:val="22"/>
              </w:rPr>
              <w:t>9、★支持根据当前系统具备的业务组件，动态加载组织类型，可自动加载新增业务组件具备的业务组织类型；支持逻辑组织树的管理与配置，支持用户组织在基础组织和逻辑组织切换，并应用到客户端，管理端、移动端；</w:t>
            </w:r>
          </w:p>
          <w:p w14:paraId="0C7D8C4C">
            <w:pPr>
              <w:rPr>
                <w:rFonts w:hint="eastAsia" w:ascii="宋体" w:hAnsi="宋体" w:eastAsia="宋体" w:cs="宋体"/>
                <w:sz w:val="22"/>
                <w:szCs w:val="22"/>
              </w:rPr>
            </w:pPr>
            <w:r>
              <w:rPr>
                <w:rFonts w:hint="eastAsia" w:ascii="宋体" w:hAnsi="宋体" w:eastAsia="宋体" w:cs="宋体"/>
                <w:sz w:val="22"/>
                <w:szCs w:val="22"/>
              </w:rPr>
              <w:t>10、★支持自定义修改设备通道类型、通道数量；支持设置设备和通道的能力，通道能力包括目标抓拍、主从跟踪、人脸抓拍、人脸识别、人数统计、全景画面。</w:t>
            </w:r>
          </w:p>
          <w:p w14:paraId="3F548566">
            <w:pPr>
              <w:rPr>
                <w:rFonts w:hint="eastAsia" w:ascii="宋体" w:hAnsi="宋体" w:eastAsia="宋体" w:cs="宋体"/>
                <w:sz w:val="22"/>
                <w:szCs w:val="22"/>
              </w:rPr>
            </w:pPr>
            <w:r>
              <w:rPr>
                <w:rFonts w:hint="eastAsia" w:ascii="宋体" w:hAnsi="宋体" w:eastAsia="宋体" w:cs="宋体"/>
                <w:sz w:val="22"/>
                <w:szCs w:val="22"/>
              </w:rPr>
              <w:t>二、硬件参数</w:t>
            </w:r>
          </w:p>
          <w:p w14:paraId="1D5D6E9C">
            <w:pPr>
              <w:rPr>
                <w:rFonts w:hint="eastAsia" w:ascii="宋体" w:hAnsi="宋体" w:eastAsia="宋体" w:cs="宋体"/>
                <w:sz w:val="22"/>
                <w:szCs w:val="22"/>
              </w:rPr>
            </w:pPr>
            <w:r>
              <w:rPr>
                <w:rFonts w:hint="eastAsia" w:ascii="宋体" w:hAnsi="宋体" w:eastAsia="宋体" w:cs="宋体"/>
                <w:sz w:val="22"/>
                <w:szCs w:val="22"/>
              </w:rPr>
              <w:t>1、支持性能≥intel I3-12100 CPU，≥4.3GHz；</w:t>
            </w:r>
          </w:p>
          <w:p w14:paraId="1CA2828E">
            <w:pPr>
              <w:rPr>
                <w:rFonts w:hint="eastAsia" w:ascii="宋体" w:hAnsi="宋体" w:eastAsia="宋体" w:cs="宋体"/>
                <w:sz w:val="22"/>
                <w:szCs w:val="22"/>
              </w:rPr>
            </w:pPr>
            <w:r>
              <w:rPr>
                <w:rFonts w:hint="eastAsia" w:ascii="宋体" w:hAnsi="宋体" w:eastAsia="宋体" w:cs="宋体"/>
                <w:sz w:val="22"/>
                <w:szCs w:val="22"/>
              </w:rPr>
              <w:t>2、支持≥1块512G SSD固态硬盘，支持≥16块3.5吋SATA硬盘扩展；支持≥32G内存；</w:t>
            </w:r>
          </w:p>
          <w:p w14:paraId="14D183FF">
            <w:pPr>
              <w:rPr>
                <w:rFonts w:hint="eastAsia" w:ascii="宋体" w:hAnsi="宋体" w:eastAsia="宋体" w:cs="宋体"/>
                <w:sz w:val="22"/>
                <w:szCs w:val="22"/>
              </w:rPr>
            </w:pPr>
            <w:r>
              <w:rPr>
                <w:rFonts w:hint="eastAsia" w:ascii="宋体" w:hAnsi="宋体" w:eastAsia="宋体" w:cs="宋体"/>
                <w:sz w:val="22"/>
                <w:szCs w:val="22"/>
              </w:rPr>
              <w:t>3、支持≥2个USB2.0接口，支持≥2个USB3.0接口，≥1个RJ45调试串口，≥1个RS-232接口，≥1个RS-485接口，≥1个VGA接口，≥4个HDMI接口；</w:t>
            </w:r>
          </w:p>
          <w:p w14:paraId="0DF0A478">
            <w:pPr>
              <w:widowControl/>
              <w:jc w:val="left"/>
              <w:textAlignment w:val="center"/>
              <w:rPr>
                <w:rFonts w:hint="eastAsia" w:ascii="宋体" w:hAnsi="宋体" w:eastAsia="宋体" w:cs="宋体"/>
                <w:sz w:val="22"/>
                <w:szCs w:val="22"/>
                <w:lang w:val="en-US" w:eastAsia="zh-CN"/>
              </w:rPr>
            </w:pPr>
            <w:r>
              <w:rPr>
                <w:rFonts w:hint="eastAsia" w:ascii="宋体" w:hAnsi="宋体" w:eastAsia="宋体" w:cs="宋体"/>
                <w:sz w:val="22"/>
                <w:szCs w:val="22"/>
              </w:rPr>
              <w:t>以上标★项需提供国家认监委认可的检测机构出具的检测报告复印件或扫描件</w:t>
            </w:r>
          </w:p>
        </w:tc>
        <w:tc>
          <w:tcPr>
            <w:tcW w:w="1181" w:type="dxa"/>
            <w:shd w:val="clear" w:color="auto" w:fill="auto"/>
            <w:vAlign w:val="center"/>
          </w:tcPr>
          <w:p w14:paraId="553ED14B">
            <w:pPr>
              <w:jc w:val="center"/>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1台</w:t>
            </w:r>
          </w:p>
        </w:tc>
        <w:tc>
          <w:tcPr>
            <w:tcW w:w="2640" w:type="dxa"/>
            <w:shd w:val="clear" w:color="auto" w:fill="auto"/>
            <w:vAlign w:val="center"/>
          </w:tcPr>
          <w:p w14:paraId="74A53F7C">
            <w:pPr>
              <w:widowControl/>
              <w:jc w:val="center"/>
              <w:textAlignment w:val="center"/>
              <w:rPr>
                <w:rFonts w:ascii="微软雅黑" w:hAnsi="微软雅黑" w:eastAsia="微软雅黑" w:cs="微软雅黑"/>
                <w:i w:val="0"/>
                <w:iCs w:val="0"/>
                <w:caps w:val="0"/>
                <w:color w:val="404040"/>
                <w:spacing w:val="0"/>
                <w:sz w:val="18"/>
                <w:szCs w:val="18"/>
                <w:shd w:val="clear" w:fill="FFFFFF"/>
              </w:rPr>
            </w:pPr>
            <w:r>
              <w:rPr>
                <w:rFonts w:hint="eastAsia" w:ascii="宋体" w:hAnsi="宋体" w:eastAsia="宋体" w:cs="宋体"/>
                <w:sz w:val="22"/>
                <w:szCs w:val="22"/>
                <w:lang w:val="en-US" w:eastAsia="zh-CN"/>
              </w:rPr>
              <w:t>大华、</w:t>
            </w:r>
            <w:r>
              <w:rPr>
                <w:rFonts w:hint="eastAsia" w:ascii="宋体" w:hAnsi="宋体" w:eastAsia="宋体" w:cs="宋体"/>
                <w:sz w:val="22"/>
                <w:szCs w:val="22"/>
              </w:rPr>
              <w:t>DH-ICC7016S3-D</w:t>
            </w:r>
          </w:p>
        </w:tc>
        <w:tc>
          <w:tcPr>
            <w:tcW w:w="862" w:type="dxa"/>
            <w:shd w:val="clear" w:color="auto" w:fill="auto"/>
            <w:vAlign w:val="center"/>
          </w:tcPr>
          <w:p w14:paraId="54F2E8E1">
            <w:pPr>
              <w:jc w:val="center"/>
              <w:rPr>
                <w:rFonts w:ascii="宋体" w:hAnsi="宋体" w:eastAsia="宋体" w:cs="宋体"/>
                <w:sz w:val="22"/>
                <w:szCs w:val="22"/>
              </w:rPr>
            </w:pPr>
          </w:p>
        </w:tc>
      </w:tr>
      <w:tr w14:paraId="340E9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vAlign w:val="center"/>
          </w:tcPr>
          <w:p w14:paraId="73D1E3C2">
            <w:pPr>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w:t>
            </w:r>
          </w:p>
        </w:tc>
        <w:tc>
          <w:tcPr>
            <w:tcW w:w="1785" w:type="dxa"/>
            <w:shd w:val="clear" w:color="auto" w:fill="auto"/>
            <w:vAlign w:val="center"/>
          </w:tcPr>
          <w:p w14:paraId="7D5E073A">
            <w:pPr>
              <w:widowControl/>
              <w:jc w:val="center"/>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监控存储服务器</w:t>
            </w:r>
          </w:p>
        </w:tc>
        <w:tc>
          <w:tcPr>
            <w:tcW w:w="7421" w:type="dxa"/>
            <w:shd w:val="clear" w:color="auto" w:fill="auto"/>
            <w:vAlign w:val="center"/>
          </w:tcPr>
          <w:p w14:paraId="1BF9089B">
            <w:pPr>
              <w:rPr>
                <w:rFonts w:hint="eastAsia" w:ascii="宋体" w:hAnsi="宋体" w:eastAsia="宋体" w:cs="宋体"/>
                <w:sz w:val="22"/>
                <w:szCs w:val="22"/>
              </w:rPr>
            </w:pPr>
            <w:r>
              <w:rPr>
                <w:rFonts w:hint="eastAsia" w:ascii="宋体" w:hAnsi="宋体" w:eastAsia="宋体" w:cs="宋体"/>
                <w:sz w:val="22"/>
                <w:szCs w:val="22"/>
              </w:rPr>
              <w:t>1、支持≥64位多核高性能处理器，≥2个内存条，≥8GB内存，支持扩展至2个内存条，64GB内存；</w:t>
            </w:r>
          </w:p>
          <w:p w14:paraId="30E77161">
            <w:pPr>
              <w:rPr>
                <w:rFonts w:hint="eastAsia" w:ascii="宋体" w:hAnsi="宋体" w:eastAsia="宋体" w:cs="宋体"/>
                <w:sz w:val="22"/>
                <w:szCs w:val="22"/>
              </w:rPr>
            </w:pPr>
            <w:r>
              <w:rPr>
                <w:rFonts w:hint="eastAsia" w:ascii="宋体" w:hAnsi="宋体" w:eastAsia="宋体" w:cs="宋体"/>
                <w:sz w:val="22"/>
                <w:szCs w:val="22"/>
              </w:rPr>
              <w:t>2、支持≤6U机箱，≥48盘位，支持1+1冗余电源，支持对硬盘、电源、风扇、控制器模块热插拔维护；</w:t>
            </w:r>
          </w:p>
          <w:p w14:paraId="3C89D53D">
            <w:pPr>
              <w:rPr>
                <w:rFonts w:hint="eastAsia" w:ascii="宋体" w:hAnsi="宋体" w:eastAsia="宋体" w:cs="宋体"/>
                <w:sz w:val="22"/>
                <w:szCs w:val="22"/>
              </w:rPr>
            </w:pPr>
            <w:r>
              <w:rPr>
                <w:rFonts w:hint="eastAsia" w:ascii="宋体" w:hAnsi="宋体" w:eastAsia="宋体" w:cs="宋体"/>
                <w:sz w:val="22"/>
                <w:szCs w:val="22"/>
              </w:rPr>
              <w:t>3、支持≥4个10/100/1000Mbps自适应以太网电口，≥1个10/100Mbps自适用管理网口，支持选配2张PCIE标卡；</w:t>
            </w:r>
          </w:p>
          <w:p w14:paraId="045996B2">
            <w:pPr>
              <w:rPr>
                <w:rFonts w:hint="eastAsia" w:ascii="宋体" w:hAnsi="宋体" w:eastAsia="宋体" w:cs="宋体"/>
                <w:sz w:val="22"/>
                <w:szCs w:val="22"/>
              </w:rPr>
            </w:pPr>
            <w:r>
              <w:rPr>
                <w:rFonts w:hint="eastAsia" w:ascii="宋体" w:hAnsi="宋体" w:eastAsia="宋体" w:cs="宋体"/>
                <w:sz w:val="22"/>
                <w:szCs w:val="22"/>
              </w:rPr>
              <w:t>4、支持兼容CMR&amp;SMR硬盘，支持SATA硬盘，CMR单盘支持≥24TB硬盘，SMR单盘支持≥30TB；</w:t>
            </w:r>
          </w:p>
          <w:p w14:paraId="646D78CD">
            <w:pPr>
              <w:rPr>
                <w:rFonts w:hint="eastAsia" w:ascii="宋体" w:hAnsi="宋体" w:eastAsia="宋体" w:cs="宋体"/>
                <w:sz w:val="22"/>
                <w:szCs w:val="22"/>
              </w:rPr>
            </w:pPr>
            <w:r>
              <w:rPr>
                <w:rFonts w:hint="eastAsia" w:ascii="宋体" w:hAnsi="宋体" w:eastAsia="宋体" w:cs="宋体"/>
                <w:sz w:val="22"/>
                <w:szCs w:val="22"/>
              </w:rPr>
              <w:t>5、支持≥1个HDMI接口，≥4个USB接口，≥1个eSATA接口，≥1个RS232接口；</w:t>
            </w:r>
          </w:p>
          <w:p w14:paraId="09B8F5C6">
            <w:pPr>
              <w:rPr>
                <w:rFonts w:hint="eastAsia" w:ascii="宋体" w:hAnsi="宋体" w:eastAsia="宋体" w:cs="宋体"/>
                <w:sz w:val="22"/>
                <w:szCs w:val="22"/>
              </w:rPr>
            </w:pPr>
            <w:r>
              <w:rPr>
                <w:rFonts w:hint="eastAsia" w:ascii="宋体" w:hAnsi="宋体" w:eastAsia="宋体" w:cs="宋体"/>
                <w:sz w:val="22"/>
                <w:szCs w:val="22"/>
              </w:rPr>
              <w:t>6、★支持RAID0、RAID1、RAID3、RAID4、RAID5、RAID6、RAID10、RAID50、RAID60、超级RAID、JBOD、RAID5EE的RAID功能设置选项；支持同步优先、业务优先、I/O均衡及自适应四种RAID同步方式设置选项；支持全局热备和局部热备；支持RAID即建即用；支持通过浏览器在线扩展客户端逻辑卷的存储空间。</w:t>
            </w:r>
          </w:p>
          <w:p w14:paraId="2409C1FF">
            <w:pPr>
              <w:rPr>
                <w:rFonts w:hint="eastAsia" w:ascii="宋体" w:hAnsi="宋体" w:eastAsia="宋体" w:cs="宋体"/>
                <w:sz w:val="22"/>
                <w:szCs w:val="22"/>
              </w:rPr>
            </w:pPr>
            <w:r>
              <w:rPr>
                <w:rFonts w:hint="eastAsia" w:ascii="宋体" w:hAnsi="宋体" w:eastAsia="宋体" w:cs="宋体"/>
                <w:sz w:val="22"/>
                <w:szCs w:val="22"/>
              </w:rPr>
              <w:t>7、支持≥450路H.264/H.265混合接入，网络带宽1024Mbps接入，1024Mbps存储，1024Mbps转发；</w:t>
            </w:r>
          </w:p>
          <w:p w14:paraId="74FD111D">
            <w:pPr>
              <w:rPr>
                <w:rFonts w:hint="eastAsia" w:ascii="宋体" w:hAnsi="宋体" w:eastAsia="宋体" w:cs="宋体"/>
                <w:sz w:val="22"/>
                <w:szCs w:val="22"/>
              </w:rPr>
            </w:pPr>
            <w:r>
              <w:rPr>
                <w:rFonts w:hint="eastAsia" w:ascii="宋体" w:hAnsi="宋体" w:eastAsia="宋体" w:cs="宋体"/>
                <w:sz w:val="22"/>
                <w:szCs w:val="22"/>
              </w:rPr>
              <w:t>8、支持通过ONVIF、GB28181、RTSP、视图库、主动注册等协议管理不同厂家前端摄像头，实现视频存储；</w:t>
            </w:r>
          </w:p>
          <w:p w14:paraId="591A69CB">
            <w:pPr>
              <w:rPr>
                <w:rFonts w:hint="eastAsia" w:ascii="宋体" w:hAnsi="宋体" w:eastAsia="宋体" w:cs="宋体"/>
                <w:sz w:val="22"/>
                <w:szCs w:val="22"/>
              </w:rPr>
            </w:pPr>
            <w:r>
              <w:rPr>
                <w:rFonts w:hint="eastAsia" w:ascii="宋体" w:hAnsi="宋体" w:eastAsia="宋体" w:cs="宋体"/>
                <w:sz w:val="22"/>
                <w:szCs w:val="22"/>
              </w:rPr>
              <w:t>9、支持通过IPSAN、NAS（Samba、FTP、NFS）、视频直存模式访问存储资源；</w:t>
            </w:r>
          </w:p>
          <w:p w14:paraId="5283EB6B">
            <w:pPr>
              <w:rPr>
                <w:rFonts w:hint="eastAsia" w:ascii="宋体" w:hAnsi="宋体" w:eastAsia="宋体" w:cs="宋体"/>
                <w:sz w:val="22"/>
                <w:szCs w:val="22"/>
              </w:rPr>
            </w:pPr>
            <w:r>
              <w:rPr>
                <w:rFonts w:hint="eastAsia" w:ascii="宋体" w:hAnsi="宋体" w:eastAsia="宋体" w:cs="宋体"/>
                <w:sz w:val="22"/>
                <w:szCs w:val="22"/>
              </w:rPr>
              <w:t>10、支持iSCSI客户端模式，访问第三方存储资源，增加存储空间，延长存储周期；</w:t>
            </w:r>
          </w:p>
          <w:p w14:paraId="29AAAF4E">
            <w:pPr>
              <w:rPr>
                <w:rFonts w:hint="eastAsia" w:ascii="宋体" w:hAnsi="宋体" w:eastAsia="宋体" w:cs="宋体"/>
                <w:sz w:val="22"/>
                <w:szCs w:val="22"/>
              </w:rPr>
            </w:pPr>
            <w:r>
              <w:rPr>
                <w:rFonts w:hint="eastAsia" w:ascii="宋体" w:hAnsi="宋体" w:eastAsia="宋体" w:cs="宋体"/>
                <w:sz w:val="22"/>
                <w:szCs w:val="22"/>
              </w:rPr>
              <w:t>11、支持硬盘健康状态监测，定期巡检，针对异常硬盘风险预警，支持系统盘、风扇、电源等异常告警；</w:t>
            </w:r>
          </w:p>
          <w:p w14:paraId="469D794A">
            <w:pPr>
              <w:rPr>
                <w:rFonts w:hint="eastAsia" w:ascii="宋体" w:hAnsi="宋体" w:eastAsia="宋体" w:cs="宋体"/>
                <w:sz w:val="22"/>
                <w:szCs w:val="22"/>
              </w:rPr>
            </w:pPr>
            <w:r>
              <w:rPr>
                <w:rFonts w:hint="eastAsia" w:ascii="宋体" w:hAnsi="宋体" w:eastAsia="宋体" w:cs="宋体"/>
                <w:sz w:val="22"/>
                <w:szCs w:val="22"/>
              </w:rPr>
              <w:t>12、可结合硬盘状态、RAID配置、存储模式、网络状态、录像状态等信息，智能诊断用户配置合规性，保障整机可靠运行；</w:t>
            </w:r>
          </w:p>
          <w:p w14:paraId="53C08F06">
            <w:pPr>
              <w:rPr>
                <w:rFonts w:hint="eastAsia" w:ascii="宋体" w:hAnsi="宋体" w:eastAsia="宋体" w:cs="宋体"/>
                <w:sz w:val="22"/>
                <w:szCs w:val="22"/>
              </w:rPr>
            </w:pPr>
            <w:r>
              <w:rPr>
                <w:rFonts w:hint="eastAsia" w:ascii="宋体" w:hAnsi="宋体" w:eastAsia="宋体" w:cs="宋体"/>
                <w:sz w:val="22"/>
                <w:szCs w:val="22"/>
              </w:rPr>
              <w:t>13、可配合智能前端摄像头，实现结构化告警、周界告警、入户电梯告警等多种报警事件、图片透传平台；</w:t>
            </w:r>
          </w:p>
          <w:p w14:paraId="3194E3FB">
            <w:pPr>
              <w:rPr>
                <w:rFonts w:hint="eastAsia" w:ascii="宋体" w:hAnsi="宋体" w:eastAsia="宋体" w:cs="宋体"/>
                <w:sz w:val="22"/>
                <w:szCs w:val="22"/>
              </w:rPr>
            </w:pPr>
            <w:r>
              <w:rPr>
                <w:rFonts w:hint="eastAsia" w:ascii="宋体" w:hAnsi="宋体" w:eastAsia="宋体" w:cs="宋体"/>
                <w:sz w:val="22"/>
                <w:szCs w:val="22"/>
              </w:rPr>
              <w:t>14、★支持任意 N 台设备（N≥2） 通过 SAS数据线组成环状结构集群， 设备集群之间数据能够通过环状结构进行传递和通信， 其中任意 1 台设备都可以访问其下游设备中的数据</w:t>
            </w:r>
          </w:p>
          <w:p w14:paraId="0B8572C0">
            <w:pPr>
              <w:rPr>
                <w:rFonts w:hint="eastAsia" w:ascii="宋体" w:hAnsi="宋体" w:eastAsia="宋体" w:cs="宋体"/>
                <w:sz w:val="22"/>
                <w:szCs w:val="22"/>
              </w:rPr>
            </w:pPr>
            <w:r>
              <w:rPr>
                <w:rFonts w:hint="eastAsia" w:ascii="宋体" w:hAnsi="宋体" w:eastAsia="宋体" w:cs="宋体"/>
                <w:sz w:val="22"/>
                <w:szCs w:val="22"/>
              </w:rPr>
              <w:t>15、支持N+M集群模式，可实现单台或多台设备故障时，故障设备业务自动迁移到其它健康设备上，保障业务不中断；</w:t>
            </w:r>
          </w:p>
          <w:p w14:paraId="684ECC78">
            <w:pPr>
              <w:rPr>
                <w:rFonts w:hint="eastAsia" w:ascii="宋体" w:hAnsi="宋体" w:eastAsia="宋体" w:cs="宋体"/>
                <w:sz w:val="22"/>
                <w:szCs w:val="22"/>
              </w:rPr>
            </w:pPr>
            <w:r>
              <w:rPr>
                <w:rFonts w:hint="eastAsia" w:ascii="宋体" w:hAnsi="宋体" w:eastAsia="宋体" w:cs="宋体"/>
                <w:sz w:val="22"/>
                <w:szCs w:val="22"/>
              </w:rPr>
              <w:t>16、★支持通过IE 浏览器进行视频浏览、回放和下载；并支持多画面同时段录像同时回放，或不同时段录像同时回放；网络下载录像速度不低于150MB/s</w:t>
            </w:r>
          </w:p>
          <w:p w14:paraId="2D269D4A">
            <w:pPr>
              <w:rPr>
                <w:rFonts w:hint="eastAsia" w:ascii="宋体" w:hAnsi="宋体" w:eastAsia="宋体" w:cs="宋体"/>
                <w:sz w:val="22"/>
                <w:szCs w:val="22"/>
              </w:rPr>
            </w:pPr>
            <w:r>
              <w:rPr>
                <w:rFonts w:hint="eastAsia" w:ascii="宋体" w:hAnsi="宋体" w:eastAsia="宋体" w:cs="宋体"/>
                <w:sz w:val="22"/>
                <w:szCs w:val="22"/>
              </w:rPr>
              <w:t>17、★支持纠删码技术，最多可以支持16个盘掉线或者损坏，数据仍然有效，保留的硬盘中的数据可正常读出，且新数据可正常写入.创建RAID后即为同步完成状态</w:t>
            </w:r>
          </w:p>
          <w:p w14:paraId="02B8E7E0">
            <w:pPr>
              <w:widowControl/>
              <w:jc w:val="left"/>
              <w:textAlignment w:val="center"/>
              <w:rPr>
                <w:rFonts w:hint="eastAsia" w:ascii="宋体" w:hAnsi="宋体" w:eastAsia="宋体" w:cs="宋体"/>
                <w:sz w:val="22"/>
                <w:szCs w:val="22"/>
                <w:lang w:val="en-US" w:eastAsia="zh-CN"/>
              </w:rPr>
            </w:pPr>
            <w:r>
              <w:rPr>
                <w:rFonts w:hint="eastAsia" w:ascii="宋体" w:hAnsi="宋体" w:eastAsia="宋体" w:cs="宋体"/>
                <w:sz w:val="22"/>
                <w:szCs w:val="22"/>
              </w:rPr>
              <w:t>以上标★项需提供国家认监委认可的检测机构出具的检测报告复印件或扫描件</w:t>
            </w:r>
          </w:p>
        </w:tc>
        <w:tc>
          <w:tcPr>
            <w:tcW w:w="1181" w:type="dxa"/>
            <w:shd w:val="clear" w:color="auto" w:fill="auto"/>
            <w:vAlign w:val="center"/>
          </w:tcPr>
          <w:p w14:paraId="4D436BD2">
            <w:pPr>
              <w:jc w:val="center"/>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1台</w:t>
            </w:r>
          </w:p>
        </w:tc>
        <w:tc>
          <w:tcPr>
            <w:tcW w:w="2640" w:type="dxa"/>
            <w:shd w:val="clear" w:color="auto" w:fill="auto"/>
            <w:vAlign w:val="center"/>
          </w:tcPr>
          <w:p w14:paraId="36B695C7">
            <w:pPr>
              <w:widowControl/>
              <w:jc w:val="center"/>
              <w:textAlignment w:val="center"/>
              <w:rPr>
                <w:rFonts w:ascii="微软雅黑" w:hAnsi="微软雅黑" w:eastAsia="微软雅黑" w:cs="微软雅黑"/>
                <w:i w:val="0"/>
                <w:iCs w:val="0"/>
                <w:caps w:val="0"/>
                <w:color w:val="404040"/>
                <w:spacing w:val="0"/>
                <w:sz w:val="18"/>
                <w:szCs w:val="18"/>
                <w:shd w:val="clear" w:fill="FFFFFF"/>
              </w:rPr>
            </w:pPr>
            <w:r>
              <w:rPr>
                <w:rFonts w:hint="eastAsia" w:ascii="宋体" w:hAnsi="宋体" w:eastAsia="宋体" w:cs="宋体"/>
                <w:color w:val="000000"/>
                <w:kern w:val="0"/>
                <w:sz w:val="22"/>
                <w:szCs w:val="22"/>
                <w:lang w:val="en-US" w:eastAsia="zh-CN" w:bidi="ar"/>
              </w:rPr>
              <w:t>大华、</w:t>
            </w:r>
            <w:r>
              <w:rPr>
                <w:rFonts w:hint="eastAsia" w:ascii="宋体" w:hAnsi="宋体" w:eastAsia="宋体" w:cs="宋体"/>
                <w:color w:val="000000"/>
                <w:kern w:val="0"/>
                <w:sz w:val="22"/>
                <w:szCs w:val="22"/>
                <w:lang w:bidi="ar"/>
              </w:rPr>
              <w:t>DH-EVS5148S</w:t>
            </w:r>
          </w:p>
        </w:tc>
        <w:tc>
          <w:tcPr>
            <w:tcW w:w="862" w:type="dxa"/>
            <w:shd w:val="clear" w:color="auto" w:fill="auto"/>
            <w:vAlign w:val="center"/>
          </w:tcPr>
          <w:p w14:paraId="288CD3A0">
            <w:pPr>
              <w:jc w:val="center"/>
              <w:rPr>
                <w:rFonts w:ascii="宋体" w:hAnsi="宋体" w:eastAsia="宋体" w:cs="宋体"/>
                <w:sz w:val="22"/>
                <w:szCs w:val="22"/>
              </w:rPr>
            </w:pPr>
          </w:p>
        </w:tc>
      </w:tr>
      <w:tr w14:paraId="7F45D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vAlign w:val="center"/>
          </w:tcPr>
          <w:p w14:paraId="13E6369B">
            <w:pPr>
              <w:jc w:val="center"/>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5</w:t>
            </w:r>
          </w:p>
        </w:tc>
        <w:tc>
          <w:tcPr>
            <w:tcW w:w="1785" w:type="dxa"/>
            <w:shd w:val="clear" w:color="auto" w:fill="auto"/>
            <w:vAlign w:val="center"/>
          </w:tcPr>
          <w:p w14:paraId="12520E3C">
            <w:pPr>
              <w:widowControl/>
              <w:jc w:val="center"/>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8口千兆交换机</w:t>
            </w:r>
          </w:p>
        </w:tc>
        <w:tc>
          <w:tcPr>
            <w:tcW w:w="7421" w:type="dxa"/>
            <w:shd w:val="clear" w:color="auto" w:fill="auto"/>
            <w:vAlign w:val="center"/>
          </w:tcPr>
          <w:p w14:paraId="79D6D446">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1、★交换容量≥192Gbps，包转发率≥14.88Mpps，提供官网查询链接及官网截图；</w:t>
            </w:r>
          </w:p>
          <w:p w14:paraId="78823F66">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2、★端口类型≥8个10/100/1000 Base-T POE+端口，≥1个10/100/1000BASE-T 端口，≥1个1G SFP端口，提供官网查询链接及官网截图；</w:t>
            </w:r>
          </w:p>
          <w:p w14:paraId="5F61BBC5">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3、支持端口防雷等级≥6KV，提供官网查询链接及官网截图；</w:t>
            </w:r>
          </w:p>
          <w:p w14:paraId="6103856E">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4、POE供电125W；支持POE+，单端口最大功率输出功率30W；</w:t>
            </w:r>
          </w:p>
          <w:p w14:paraId="2AFE06F1">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5、支持基于端口的VLAN，支持DHCP Snooping，可防私接；</w:t>
            </w:r>
          </w:p>
          <w:p w14:paraId="74B0BDBD">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6、支持广播风暴抑制、未知单播抑制、多播风暴抑制、支持黑洞MAC；</w:t>
            </w:r>
          </w:p>
          <w:p w14:paraId="525D3EFC">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7、★支持端口镜像、端口自环检测、端口隔离，提供官网查询链接及官网截图；</w:t>
            </w:r>
          </w:p>
          <w:p w14:paraId="20552C25">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8、环境温度：-5℃～45℃ ；</w:t>
            </w:r>
          </w:p>
          <w:p w14:paraId="32955CE3">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9、★提供中国质量认证中心的中国节能证书，并且提供复印件。</w:t>
            </w:r>
          </w:p>
        </w:tc>
        <w:tc>
          <w:tcPr>
            <w:tcW w:w="1181" w:type="dxa"/>
            <w:shd w:val="clear" w:color="auto" w:fill="auto"/>
            <w:vAlign w:val="center"/>
          </w:tcPr>
          <w:p w14:paraId="5A0032A0">
            <w:pPr>
              <w:jc w:val="center"/>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8台</w:t>
            </w:r>
          </w:p>
        </w:tc>
        <w:tc>
          <w:tcPr>
            <w:tcW w:w="2640" w:type="dxa"/>
            <w:shd w:val="clear" w:color="auto" w:fill="auto"/>
            <w:vAlign w:val="center"/>
          </w:tcPr>
          <w:p w14:paraId="2C80D298">
            <w:pPr>
              <w:widowControl/>
              <w:jc w:val="center"/>
              <w:textAlignment w:val="center"/>
              <w:rPr>
                <w:rFonts w:hint="eastAsia" w:ascii="宋体" w:hAnsi="宋体" w:eastAsia="宋体" w:cs="宋体"/>
                <w:color w:val="000000"/>
                <w:kern w:val="0"/>
                <w:sz w:val="22"/>
                <w:szCs w:val="22"/>
                <w:lang w:val="en-US" w:eastAsia="zh-CN" w:bidi="ar"/>
              </w:rPr>
            </w:pPr>
            <w:r>
              <w:rPr>
                <w:rFonts w:hint="eastAsia" w:ascii="宋体" w:hAnsi="宋体" w:eastAsia="宋体" w:cs="宋体"/>
                <w:color w:val="000000"/>
                <w:kern w:val="0"/>
                <w:sz w:val="22"/>
                <w:szCs w:val="22"/>
                <w:lang w:val="en-US" w:eastAsia="zh-CN" w:bidi="ar"/>
              </w:rPr>
              <w:t>H3C、US210-HP</w:t>
            </w:r>
          </w:p>
        </w:tc>
        <w:tc>
          <w:tcPr>
            <w:tcW w:w="862" w:type="dxa"/>
            <w:shd w:val="clear" w:color="auto" w:fill="auto"/>
            <w:vAlign w:val="center"/>
          </w:tcPr>
          <w:p w14:paraId="34462F89">
            <w:pPr>
              <w:jc w:val="center"/>
              <w:rPr>
                <w:rFonts w:ascii="宋体" w:hAnsi="宋体" w:eastAsia="宋体" w:cs="宋体"/>
                <w:sz w:val="22"/>
                <w:szCs w:val="22"/>
              </w:rPr>
            </w:pPr>
          </w:p>
        </w:tc>
      </w:tr>
      <w:tr w14:paraId="42F5D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vAlign w:val="center"/>
          </w:tcPr>
          <w:p w14:paraId="62FED78D">
            <w:pPr>
              <w:jc w:val="center"/>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6</w:t>
            </w:r>
          </w:p>
        </w:tc>
        <w:tc>
          <w:tcPr>
            <w:tcW w:w="1785" w:type="dxa"/>
            <w:shd w:val="clear" w:color="auto" w:fill="auto"/>
            <w:vAlign w:val="center"/>
          </w:tcPr>
          <w:p w14:paraId="48D44DEA">
            <w:pPr>
              <w:widowControl/>
              <w:jc w:val="center"/>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val="en-US" w:eastAsia="zh-CN" w:bidi="ar"/>
              </w:rPr>
              <w:t>机房</w:t>
            </w:r>
            <w:r>
              <w:rPr>
                <w:rFonts w:hint="eastAsia" w:ascii="宋体" w:hAnsi="宋体" w:eastAsia="宋体" w:cs="宋体"/>
                <w:color w:val="000000"/>
                <w:kern w:val="0"/>
                <w:sz w:val="22"/>
                <w:szCs w:val="22"/>
                <w:lang w:bidi="ar"/>
              </w:rPr>
              <w:t>核心交换机</w:t>
            </w:r>
          </w:p>
        </w:tc>
        <w:tc>
          <w:tcPr>
            <w:tcW w:w="7421" w:type="dxa"/>
            <w:shd w:val="clear" w:color="auto" w:fill="auto"/>
            <w:vAlign w:val="center"/>
          </w:tcPr>
          <w:p w14:paraId="7221106C">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1、★交换容量≥1.36Tbps/13.6Tbps，包转发率≥171Mpps/256Mpp,提供官网查询链接及官网截图；</w:t>
            </w:r>
          </w:p>
          <w:p w14:paraId="503FA493">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2、端口类型≥24个10/100/1000Base-T电口，≥4个1000Base-X SFP+光口，≥1个Console口,；</w:t>
            </w:r>
          </w:p>
          <w:p w14:paraId="6902A79C">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3、支持环境工作温度-5~45℃，工作相对湿度5～95%RH，无冷凝；</w:t>
            </w:r>
          </w:p>
          <w:p w14:paraId="6B71FE15">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4、支持模块化双电源；</w:t>
            </w:r>
          </w:p>
          <w:p w14:paraId="677D41F9">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5、★支持MAC地址学习数目限制，MAC地址深度最深≥32K，提供官网查询链接及官网截图；</w:t>
            </w:r>
          </w:p>
          <w:p w14:paraId="7C3E354E">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6、★支持智能弹性架构的堆叠，持集群或堆叠多虚一技术，实现单一界面管理多台设备，堆叠台数≥9台，提供官网查询链接及官网截图；</w:t>
            </w:r>
          </w:p>
          <w:p w14:paraId="26D0DFD8">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7、可console管理，支持命令行调试、Telnet远程配置，支持SSH2.0等加密方式，支持SNMP网管功能；</w:t>
            </w:r>
          </w:p>
          <w:p w14:paraId="4D466EA0">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8、支持LACP/STP/RSTP/MSTP/PVST/Smart Link/RRPP快速环网保护机制等保护协议，提高容错能力，提升网络稳定性；</w:t>
            </w:r>
          </w:p>
          <w:p w14:paraId="5227035D">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9、支持丰富的IPv4和IPv6三层路由协议、组播技术以及策略路由机制，支持IPv4/IPv6静态路由，支持双栈，为用户提供完善的IPv4/IPv6解决方案；</w:t>
            </w:r>
          </w:p>
          <w:p w14:paraId="1AEC65B7">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10、支持集中式MAC地址认证、802.1x认证、PORTAL认证、RADIUS 认证、TACACS认证，支持用户帐号、IP、MAC、VLAN、端口等用户标识元素的动态或静态绑定，同时实现用户策略（VLAN、QoS、ACL）的动态下发；</w:t>
            </w:r>
          </w:p>
          <w:p w14:paraId="4F1B1060">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11、★支持用户访问控制和安全审计功能，要求提供权威机构第三方检测报告证明；</w:t>
            </w:r>
          </w:p>
          <w:p w14:paraId="05892801">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12、支持DLDP单向链路检测协议，支持LLDP，支持NTP，支持VCT电缆检测功能，支持电源的告警功能，风扇、温度告警；</w:t>
            </w:r>
          </w:p>
          <w:p w14:paraId="5E901570">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13、★支持TCP/IP、ARP、ICMP 协议；支持OSPFv2 路由协议；支持 IGMPv2 协议，提供第三方具有CNAS标志的检测报告；</w:t>
            </w:r>
          </w:p>
          <w:p w14:paraId="7C741B95">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14、供中国质量认证中心的中国节能证书，并且提供复印件。</w:t>
            </w:r>
          </w:p>
        </w:tc>
        <w:tc>
          <w:tcPr>
            <w:tcW w:w="1181" w:type="dxa"/>
            <w:shd w:val="clear" w:color="auto" w:fill="auto"/>
            <w:vAlign w:val="center"/>
          </w:tcPr>
          <w:p w14:paraId="1CB1944B">
            <w:pPr>
              <w:jc w:val="center"/>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1台</w:t>
            </w:r>
          </w:p>
        </w:tc>
        <w:tc>
          <w:tcPr>
            <w:tcW w:w="2640" w:type="dxa"/>
            <w:shd w:val="clear" w:color="auto" w:fill="auto"/>
            <w:vAlign w:val="center"/>
          </w:tcPr>
          <w:p w14:paraId="566E26CC">
            <w:pPr>
              <w:widowControl/>
              <w:jc w:val="center"/>
              <w:textAlignment w:val="center"/>
              <w:rPr>
                <w:rFonts w:hint="eastAsia" w:ascii="宋体" w:hAnsi="宋体" w:eastAsia="宋体" w:cs="宋体"/>
                <w:color w:val="000000"/>
                <w:kern w:val="0"/>
                <w:sz w:val="22"/>
                <w:szCs w:val="22"/>
                <w:lang w:val="en-US" w:eastAsia="zh-CN" w:bidi="ar"/>
              </w:rPr>
            </w:pPr>
            <w:r>
              <w:rPr>
                <w:rFonts w:hint="eastAsia" w:ascii="宋体" w:hAnsi="宋体" w:eastAsia="宋体" w:cs="宋体"/>
                <w:color w:val="000000"/>
                <w:kern w:val="0"/>
                <w:sz w:val="22"/>
                <w:szCs w:val="22"/>
                <w:lang w:val="en-US" w:eastAsia="zh-CN" w:bidi="ar"/>
              </w:rPr>
              <w:t>H3C、US628S-X</w:t>
            </w:r>
          </w:p>
        </w:tc>
        <w:tc>
          <w:tcPr>
            <w:tcW w:w="862" w:type="dxa"/>
            <w:shd w:val="clear" w:color="auto" w:fill="auto"/>
            <w:vAlign w:val="center"/>
          </w:tcPr>
          <w:p w14:paraId="45A713AB">
            <w:pPr>
              <w:jc w:val="center"/>
              <w:rPr>
                <w:rFonts w:ascii="宋体" w:hAnsi="宋体" w:eastAsia="宋体" w:cs="宋体"/>
                <w:sz w:val="22"/>
                <w:szCs w:val="22"/>
              </w:rPr>
            </w:pPr>
          </w:p>
        </w:tc>
      </w:tr>
      <w:tr w14:paraId="734ED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vAlign w:val="center"/>
          </w:tcPr>
          <w:p w14:paraId="6CB2D572">
            <w:pPr>
              <w:jc w:val="center"/>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7</w:t>
            </w:r>
          </w:p>
        </w:tc>
        <w:tc>
          <w:tcPr>
            <w:tcW w:w="1785" w:type="dxa"/>
            <w:shd w:val="clear" w:color="auto" w:fill="auto"/>
            <w:vAlign w:val="center"/>
          </w:tcPr>
          <w:p w14:paraId="1CCBC204">
            <w:pPr>
              <w:widowControl/>
              <w:jc w:val="center"/>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val="en-US" w:eastAsia="zh-CN" w:bidi="ar"/>
              </w:rPr>
              <w:t>24口POE供电交换机</w:t>
            </w:r>
          </w:p>
        </w:tc>
        <w:tc>
          <w:tcPr>
            <w:tcW w:w="7421" w:type="dxa"/>
            <w:shd w:val="clear" w:color="auto" w:fill="auto"/>
            <w:vAlign w:val="center"/>
          </w:tcPr>
          <w:p w14:paraId="67110CEB">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1、★交换容量≥56Gbps，包转发率≥42Mpps，提供官网查询链接力官网截图;</w:t>
            </w:r>
          </w:p>
          <w:p w14:paraId="0BC966A2">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2、★端口类型≥24个10/100/1000Base-T PoE+电口，2个10/100/1000Base-T电口(uplink口)，2个1000Base-X SFP光口(uplink口)，提供官网查询链接力官网截图;</w:t>
            </w:r>
          </w:p>
          <w:p w14:paraId="1C1388E5">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3、支持PoE供电，PoE整机功率≥225W，单端口最大供电功率30W;</w:t>
            </w:r>
          </w:p>
          <w:p w14:paraId="706F81BF">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4、★支持PoE看门狗和永久PoE功能，提供官网查询链接力官网截图;</w:t>
            </w:r>
          </w:p>
          <w:p w14:paraId="2681603C">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5、支持（满足至少一半的）PoE端口支持优先供电;</w:t>
            </w:r>
          </w:p>
          <w:p w14:paraId="338B56A1">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6、★支持标准交换、端口隔离、长距传输、汇聚上联四种模式切换，提供官网查询链接力官网截图;</w:t>
            </w:r>
          </w:p>
          <w:p w14:paraId="23F7394F">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7、支持端口防雷等级≥6KV;</w:t>
            </w:r>
          </w:p>
          <w:p w14:paraId="4D020659">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8、★MAC地址容量≥12K，提供官网查询链接力官网截图;</w:t>
            </w:r>
          </w:p>
          <w:p w14:paraId="60BCE8F3">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9、无风扇，自然散热;</w:t>
            </w:r>
          </w:p>
          <w:p w14:paraId="1CCB7A39">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10、支持环境工作温度0℃～45℃，工作相对湿度10%～90%RH，非冷凝。</w:t>
            </w:r>
          </w:p>
        </w:tc>
        <w:tc>
          <w:tcPr>
            <w:tcW w:w="1181" w:type="dxa"/>
            <w:shd w:val="clear" w:color="auto" w:fill="auto"/>
            <w:vAlign w:val="center"/>
          </w:tcPr>
          <w:p w14:paraId="2A0DBE06">
            <w:pPr>
              <w:jc w:val="center"/>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10台</w:t>
            </w:r>
          </w:p>
        </w:tc>
        <w:tc>
          <w:tcPr>
            <w:tcW w:w="2640" w:type="dxa"/>
            <w:shd w:val="clear" w:color="auto" w:fill="auto"/>
            <w:vAlign w:val="center"/>
          </w:tcPr>
          <w:p w14:paraId="51EB9233">
            <w:pPr>
              <w:widowControl/>
              <w:jc w:val="center"/>
              <w:textAlignment w:val="center"/>
              <w:rPr>
                <w:rFonts w:hint="eastAsia" w:ascii="宋体" w:hAnsi="宋体" w:eastAsia="宋体" w:cs="宋体"/>
                <w:color w:val="000000"/>
                <w:kern w:val="0"/>
                <w:sz w:val="22"/>
                <w:szCs w:val="22"/>
                <w:lang w:val="en-US" w:eastAsia="zh-CN" w:bidi="ar"/>
              </w:rPr>
            </w:pPr>
            <w:r>
              <w:rPr>
                <w:rFonts w:hint="eastAsia" w:ascii="宋体" w:hAnsi="宋体" w:eastAsia="宋体" w:cs="宋体"/>
                <w:color w:val="000000"/>
                <w:kern w:val="0"/>
                <w:sz w:val="22"/>
                <w:szCs w:val="22"/>
                <w:lang w:val="en-US" w:eastAsia="zh-CN" w:bidi="ar"/>
              </w:rPr>
              <w:t>H3C、US128GC-P</w:t>
            </w:r>
          </w:p>
        </w:tc>
        <w:tc>
          <w:tcPr>
            <w:tcW w:w="862" w:type="dxa"/>
            <w:shd w:val="clear" w:color="auto" w:fill="auto"/>
            <w:vAlign w:val="center"/>
          </w:tcPr>
          <w:p w14:paraId="331A8807">
            <w:pPr>
              <w:jc w:val="center"/>
              <w:rPr>
                <w:rFonts w:ascii="宋体" w:hAnsi="宋体" w:eastAsia="宋体" w:cs="宋体"/>
                <w:sz w:val="22"/>
                <w:szCs w:val="22"/>
              </w:rPr>
            </w:pPr>
          </w:p>
        </w:tc>
      </w:tr>
      <w:tr w14:paraId="3EC8C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vAlign w:val="center"/>
          </w:tcPr>
          <w:p w14:paraId="0F7CFD5E">
            <w:pPr>
              <w:jc w:val="center"/>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8</w:t>
            </w:r>
          </w:p>
        </w:tc>
        <w:tc>
          <w:tcPr>
            <w:tcW w:w="1785" w:type="dxa"/>
            <w:shd w:val="clear" w:color="auto" w:fill="auto"/>
            <w:vAlign w:val="center"/>
          </w:tcPr>
          <w:p w14:paraId="0C4B8BC2">
            <w:pPr>
              <w:widowControl/>
              <w:jc w:val="center"/>
              <w:textAlignment w:val="center"/>
              <w:rPr>
                <w:rFonts w:hint="eastAsia" w:ascii="宋体" w:hAnsi="宋体" w:eastAsia="宋体" w:cs="宋体"/>
                <w:color w:val="000000"/>
                <w:kern w:val="0"/>
                <w:sz w:val="22"/>
                <w:szCs w:val="22"/>
                <w:lang w:bidi="ar"/>
              </w:rPr>
            </w:pPr>
            <w:r>
              <w:rPr>
                <w:rFonts w:hint="eastAsia" w:ascii="宋体" w:hAnsi="宋体" w:eastAsia="宋体" w:cs="宋体"/>
                <w:sz w:val="22"/>
                <w:szCs w:val="22"/>
              </w:rPr>
              <w:t>光纤光模块</w:t>
            </w:r>
          </w:p>
        </w:tc>
        <w:tc>
          <w:tcPr>
            <w:tcW w:w="7421" w:type="dxa"/>
            <w:shd w:val="clear" w:color="auto" w:fill="auto"/>
            <w:vAlign w:val="center"/>
          </w:tcPr>
          <w:p w14:paraId="4D305B0A">
            <w:pPr>
              <w:widowControl/>
              <w:jc w:val="left"/>
              <w:textAlignment w:val="center"/>
              <w:rPr>
                <w:rFonts w:hint="eastAsia" w:ascii="宋体" w:hAnsi="宋体" w:eastAsia="宋体" w:cs="宋体"/>
                <w:sz w:val="22"/>
                <w:szCs w:val="22"/>
              </w:rPr>
            </w:pPr>
            <w:r>
              <w:rPr>
                <w:rFonts w:hint="eastAsia" w:ascii="宋体" w:hAnsi="宋体" w:eastAsia="宋体" w:cs="宋体"/>
                <w:sz w:val="22"/>
                <w:szCs w:val="22"/>
              </w:rPr>
              <w:t>SFP千兆光模块-(1310nm,10km,LX,LC)</w:t>
            </w:r>
          </w:p>
        </w:tc>
        <w:tc>
          <w:tcPr>
            <w:tcW w:w="1181" w:type="dxa"/>
            <w:shd w:val="clear" w:color="auto" w:fill="auto"/>
            <w:vAlign w:val="center"/>
          </w:tcPr>
          <w:p w14:paraId="5E6D0374">
            <w:pPr>
              <w:jc w:val="center"/>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8个</w:t>
            </w:r>
          </w:p>
        </w:tc>
        <w:tc>
          <w:tcPr>
            <w:tcW w:w="2640" w:type="dxa"/>
            <w:shd w:val="clear" w:color="auto" w:fill="auto"/>
            <w:vAlign w:val="center"/>
          </w:tcPr>
          <w:p w14:paraId="1660CFFF">
            <w:pPr>
              <w:widowControl/>
              <w:jc w:val="center"/>
              <w:textAlignment w:val="center"/>
              <w:rPr>
                <w:rFonts w:hint="eastAsia" w:ascii="宋体" w:hAnsi="宋体" w:eastAsia="宋体" w:cs="宋体"/>
                <w:color w:val="000000"/>
                <w:kern w:val="0"/>
                <w:sz w:val="22"/>
                <w:szCs w:val="22"/>
                <w:lang w:val="en-US" w:eastAsia="zh-CN" w:bidi="ar"/>
              </w:rPr>
            </w:pPr>
            <w:r>
              <w:rPr>
                <w:rFonts w:hint="eastAsia" w:ascii="宋体" w:hAnsi="宋体" w:eastAsia="宋体" w:cs="宋体"/>
                <w:color w:val="000000"/>
                <w:kern w:val="0"/>
                <w:sz w:val="22"/>
                <w:szCs w:val="22"/>
                <w:lang w:val="en-US" w:eastAsia="zh-CN" w:bidi="ar"/>
              </w:rPr>
              <w:t>H3C、SFP-GE-LX-SM1310-S</w:t>
            </w:r>
          </w:p>
        </w:tc>
        <w:tc>
          <w:tcPr>
            <w:tcW w:w="862" w:type="dxa"/>
            <w:shd w:val="clear" w:color="auto" w:fill="auto"/>
            <w:vAlign w:val="center"/>
          </w:tcPr>
          <w:p w14:paraId="344A12C8">
            <w:pPr>
              <w:jc w:val="center"/>
              <w:rPr>
                <w:rFonts w:ascii="宋体" w:hAnsi="宋体" w:eastAsia="宋体" w:cs="宋体"/>
                <w:sz w:val="22"/>
                <w:szCs w:val="22"/>
              </w:rPr>
            </w:pPr>
          </w:p>
        </w:tc>
      </w:tr>
      <w:tr w14:paraId="1F9AD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vAlign w:val="center"/>
          </w:tcPr>
          <w:p w14:paraId="480B2AD2">
            <w:pPr>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9</w:t>
            </w:r>
          </w:p>
        </w:tc>
        <w:tc>
          <w:tcPr>
            <w:tcW w:w="1785" w:type="dxa"/>
            <w:shd w:val="clear" w:color="auto" w:fill="auto"/>
            <w:vAlign w:val="center"/>
          </w:tcPr>
          <w:p w14:paraId="63BBF586">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室外光纤</w:t>
            </w:r>
          </w:p>
        </w:tc>
        <w:tc>
          <w:tcPr>
            <w:tcW w:w="7421" w:type="dxa"/>
            <w:shd w:val="clear" w:color="auto" w:fill="auto"/>
            <w:vAlign w:val="center"/>
          </w:tcPr>
          <w:p w14:paraId="21D44B63">
            <w:pPr>
              <w:widowControl/>
              <w:jc w:val="left"/>
              <w:textAlignment w:val="center"/>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室外8芯单模</w:t>
            </w:r>
          </w:p>
        </w:tc>
        <w:tc>
          <w:tcPr>
            <w:tcW w:w="1181" w:type="dxa"/>
            <w:shd w:val="clear" w:color="auto" w:fill="auto"/>
            <w:vAlign w:val="center"/>
          </w:tcPr>
          <w:p w14:paraId="4FDB9FF3">
            <w:pPr>
              <w:jc w:val="center"/>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2500米</w:t>
            </w:r>
          </w:p>
        </w:tc>
        <w:tc>
          <w:tcPr>
            <w:tcW w:w="2640" w:type="dxa"/>
            <w:shd w:val="clear" w:color="auto" w:fill="auto"/>
            <w:vAlign w:val="center"/>
          </w:tcPr>
          <w:p w14:paraId="2F506D87">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sz w:val="22"/>
                <w:szCs w:val="22"/>
                <w:lang w:val="en-US" w:eastAsia="zh-CN"/>
              </w:rPr>
              <w:t>亿通8芯</w:t>
            </w:r>
          </w:p>
        </w:tc>
        <w:tc>
          <w:tcPr>
            <w:tcW w:w="862" w:type="dxa"/>
            <w:shd w:val="clear" w:color="auto" w:fill="auto"/>
            <w:vAlign w:val="center"/>
          </w:tcPr>
          <w:p w14:paraId="45FCC5B2">
            <w:pPr>
              <w:jc w:val="center"/>
              <w:rPr>
                <w:rFonts w:ascii="宋体" w:hAnsi="宋体" w:eastAsia="宋体" w:cs="宋体"/>
                <w:sz w:val="22"/>
                <w:szCs w:val="22"/>
              </w:rPr>
            </w:pPr>
          </w:p>
        </w:tc>
      </w:tr>
      <w:tr w14:paraId="54166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vAlign w:val="center"/>
          </w:tcPr>
          <w:p w14:paraId="4661F03E">
            <w:pPr>
              <w:jc w:val="center"/>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10</w:t>
            </w:r>
          </w:p>
        </w:tc>
        <w:tc>
          <w:tcPr>
            <w:tcW w:w="1785" w:type="dxa"/>
            <w:shd w:val="clear" w:color="auto" w:fill="auto"/>
            <w:vAlign w:val="center"/>
          </w:tcPr>
          <w:p w14:paraId="477F7FF3">
            <w:pPr>
              <w:jc w:val="center"/>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超五类网线</w:t>
            </w:r>
          </w:p>
        </w:tc>
        <w:tc>
          <w:tcPr>
            <w:tcW w:w="7421" w:type="dxa"/>
            <w:shd w:val="clear" w:color="auto" w:fill="auto"/>
          </w:tcPr>
          <w:p w14:paraId="49455A74">
            <w:pPr>
              <w:tabs>
                <w:tab w:val="left" w:pos="948"/>
              </w:tabs>
              <w:adjustRightInd w:val="0"/>
              <w:snapToGrid w:val="0"/>
              <w:rPr>
                <w:rFonts w:hint="eastAsia" w:ascii="宋体" w:hAnsi="宋体" w:eastAsia="宋体" w:cs="宋体"/>
                <w:sz w:val="22"/>
                <w:szCs w:val="22"/>
                <w:lang w:eastAsia="zh-CN"/>
              </w:rPr>
            </w:pPr>
            <w:r>
              <w:rPr>
                <w:rFonts w:hint="eastAsia" w:ascii="宋体" w:hAnsi="宋体" w:eastAsia="宋体" w:cs="宋体"/>
                <w:sz w:val="22"/>
                <w:szCs w:val="22"/>
                <w:lang w:eastAsia="zh-CN"/>
              </w:rPr>
              <w:t>1、抗拉、抗扭、耐磨、防水、撕裂绳自剥皮线缆设计特性，减少线缆安装过程中的各种潜在风险。</w:t>
            </w:r>
          </w:p>
          <w:p w14:paraId="6429164B">
            <w:pPr>
              <w:tabs>
                <w:tab w:val="left" w:pos="948"/>
              </w:tabs>
              <w:adjustRightInd w:val="0"/>
              <w:snapToGrid w:val="0"/>
              <w:rPr>
                <w:rFonts w:hint="eastAsia" w:ascii="宋体" w:hAnsi="宋体" w:eastAsia="宋体" w:cs="宋体"/>
                <w:sz w:val="22"/>
                <w:szCs w:val="22"/>
                <w:lang w:eastAsia="zh-CN"/>
              </w:rPr>
            </w:pPr>
            <w:r>
              <w:rPr>
                <w:rFonts w:hint="eastAsia" w:ascii="宋体" w:hAnsi="宋体" w:eastAsia="宋体" w:cs="宋体"/>
                <w:sz w:val="22"/>
                <w:szCs w:val="22"/>
                <w:lang w:eastAsia="zh-CN"/>
              </w:rPr>
              <w:t>2、通过福禄克测试。</w:t>
            </w:r>
          </w:p>
          <w:p w14:paraId="059B0548">
            <w:pPr>
              <w:tabs>
                <w:tab w:val="left" w:pos="948"/>
              </w:tabs>
              <w:adjustRightInd w:val="0"/>
              <w:snapToGrid w:val="0"/>
              <w:rPr>
                <w:rFonts w:hint="eastAsia" w:ascii="宋体" w:hAnsi="宋体" w:eastAsia="宋体" w:cs="宋体"/>
                <w:sz w:val="22"/>
                <w:szCs w:val="22"/>
                <w:lang w:eastAsia="zh-CN"/>
              </w:rPr>
            </w:pPr>
            <w:r>
              <w:rPr>
                <w:rFonts w:hint="eastAsia" w:ascii="宋体" w:hAnsi="宋体" w:eastAsia="宋体" w:cs="宋体"/>
                <w:sz w:val="22"/>
                <w:szCs w:val="22"/>
                <w:lang w:eastAsia="zh-CN"/>
              </w:rPr>
              <w:t>3、CAT5E传输带宽100MHZ，推荐用于百兆传输。</w:t>
            </w:r>
          </w:p>
          <w:p w14:paraId="4774FE7B">
            <w:pPr>
              <w:tabs>
                <w:tab w:val="left" w:pos="948"/>
              </w:tabs>
              <w:adjustRightInd w:val="0"/>
              <w:snapToGrid w:val="0"/>
              <w:rPr>
                <w:rFonts w:hint="eastAsia" w:ascii="宋体" w:hAnsi="宋体" w:eastAsia="宋体" w:cs="宋体"/>
                <w:sz w:val="22"/>
                <w:szCs w:val="22"/>
                <w:lang w:eastAsia="zh-CN"/>
              </w:rPr>
            </w:pPr>
            <w:r>
              <w:rPr>
                <w:rFonts w:hint="eastAsia" w:ascii="宋体" w:hAnsi="宋体" w:eastAsia="宋体" w:cs="宋体"/>
                <w:sz w:val="22"/>
                <w:szCs w:val="22"/>
                <w:lang w:eastAsia="zh-CN"/>
              </w:rPr>
              <w:t>4、导体采用无氧铜，符合国家标准：GB/T3953，传输衰减小、延时低。</w:t>
            </w:r>
          </w:p>
          <w:p w14:paraId="1FE98C25">
            <w:pPr>
              <w:tabs>
                <w:tab w:val="left" w:pos="948"/>
              </w:tabs>
              <w:adjustRightInd w:val="0"/>
              <w:snapToGrid w:val="0"/>
              <w:rPr>
                <w:rFonts w:hint="eastAsia" w:ascii="宋体" w:hAnsi="宋体" w:eastAsia="宋体" w:cs="宋体"/>
                <w:sz w:val="22"/>
                <w:szCs w:val="22"/>
                <w:lang w:eastAsia="zh-CN"/>
              </w:rPr>
            </w:pPr>
            <w:r>
              <w:rPr>
                <w:rFonts w:hint="eastAsia" w:ascii="宋体" w:hAnsi="宋体" w:eastAsia="宋体" w:cs="宋体"/>
                <w:sz w:val="22"/>
                <w:szCs w:val="22"/>
                <w:lang w:eastAsia="zh-CN"/>
              </w:rPr>
              <w:t>5、阻燃性能符合国家标准：GB/T 18380.22。</w:t>
            </w:r>
          </w:p>
          <w:p w14:paraId="15753296">
            <w:pPr>
              <w:tabs>
                <w:tab w:val="left" w:pos="948"/>
              </w:tabs>
              <w:adjustRightInd w:val="0"/>
              <w:snapToGrid w:val="0"/>
              <w:rPr>
                <w:rFonts w:hint="eastAsia" w:ascii="宋体" w:hAnsi="宋体" w:eastAsia="宋体" w:cs="宋体"/>
                <w:sz w:val="22"/>
                <w:szCs w:val="22"/>
                <w:lang w:eastAsia="zh-CN"/>
              </w:rPr>
            </w:pPr>
            <w:r>
              <w:rPr>
                <w:rFonts w:hint="eastAsia" w:ascii="宋体" w:hAnsi="宋体" w:eastAsia="宋体" w:cs="宋体"/>
                <w:sz w:val="22"/>
                <w:szCs w:val="22"/>
                <w:lang w:eastAsia="zh-CN"/>
              </w:rPr>
              <w:t>6、绿色环保，所用材料均符合RoHS。</w:t>
            </w:r>
          </w:p>
          <w:p w14:paraId="6FDAC013">
            <w:pPr>
              <w:tabs>
                <w:tab w:val="left" w:pos="948"/>
              </w:tabs>
              <w:adjustRightInd w:val="0"/>
              <w:snapToGrid w:val="0"/>
              <w:rPr>
                <w:rFonts w:hint="eastAsia" w:ascii="宋体" w:hAnsi="宋体" w:eastAsia="宋体" w:cs="宋体"/>
                <w:sz w:val="22"/>
                <w:szCs w:val="22"/>
                <w:lang w:eastAsia="zh-CN"/>
              </w:rPr>
            </w:pPr>
            <w:r>
              <w:rPr>
                <w:rFonts w:hint="eastAsia" w:ascii="宋体" w:hAnsi="宋体" w:eastAsia="宋体" w:cs="宋体"/>
                <w:sz w:val="22"/>
                <w:szCs w:val="22"/>
                <w:lang w:eastAsia="zh-CN"/>
              </w:rPr>
              <w:t>7、线缆长度305米/箱。</w:t>
            </w:r>
          </w:p>
        </w:tc>
        <w:tc>
          <w:tcPr>
            <w:tcW w:w="1181" w:type="dxa"/>
            <w:shd w:val="clear" w:color="auto" w:fill="auto"/>
            <w:vAlign w:val="center"/>
          </w:tcPr>
          <w:p w14:paraId="53CD05A0">
            <w:pPr>
              <w:jc w:val="center"/>
              <w:rPr>
                <w:rFonts w:hint="default" w:ascii="宋体" w:hAnsi="宋体" w:eastAsia="宋体" w:cs="宋体"/>
                <w:sz w:val="22"/>
                <w:szCs w:val="22"/>
                <w:lang w:val="en-US"/>
              </w:rPr>
            </w:pPr>
            <w:r>
              <w:rPr>
                <w:rFonts w:hint="eastAsia" w:ascii="宋体" w:hAnsi="宋体" w:eastAsia="宋体" w:cs="宋体"/>
                <w:sz w:val="22"/>
                <w:szCs w:val="22"/>
                <w:lang w:val="en-US" w:eastAsia="zh-CN"/>
              </w:rPr>
              <w:t>35箱</w:t>
            </w:r>
          </w:p>
        </w:tc>
        <w:tc>
          <w:tcPr>
            <w:tcW w:w="2640" w:type="dxa"/>
            <w:shd w:val="clear" w:color="auto" w:fill="auto"/>
            <w:vAlign w:val="center"/>
          </w:tcPr>
          <w:p w14:paraId="4867741C">
            <w:pPr>
              <w:jc w:val="center"/>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大华、DH-PFM920I-5EUN</w:t>
            </w:r>
          </w:p>
        </w:tc>
        <w:tc>
          <w:tcPr>
            <w:tcW w:w="862" w:type="dxa"/>
            <w:shd w:val="clear" w:color="auto" w:fill="auto"/>
            <w:vAlign w:val="center"/>
          </w:tcPr>
          <w:p w14:paraId="5504072E">
            <w:pPr>
              <w:jc w:val="center"/>
              <w:rPr>
                <w:rFonts w:ascii="宋体" w:hAnsi="宋体" w:eastAsia="宋体" w:cs="宋体"/>
                <w:sz w:val="22"/>
                <w:szCs w:val="22"/>
              </w:rPr>
            </w:pPr>
          </w:p>
        </w:tc>
      </w:tr>
      <w:tr w14:paraId="47BCA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vAlign w:val="center"/>
          </w:tcPr>
          <w:p w14:paraId="106472B7">
            <w:pPr>
              <w:jc w:val="center"/>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11</w:t>
            </w:r>
          </w:p>
        </w:tc>
        <w:tc>
          <w:tcPr>
            <w:tcW w:w="1785" w:type="dxa"/>
            <w:shd w:val="clear" w:color="auto" w:fill="auto"/>
            <w:vAlign w:val="center"/>
          </w:tcPr>
          <w:p w14:paraId="61D23E6F">
            <w:pPr>
              <w:widowControl/>
              <w:jc w:val="center"/>
              <w:textAlignment w:val="center"/>
              <w:rPr>
                <w:rFonts w:ascii="宋体" w:hAnsi="宋体" w:eastAsia="宋体" w:cs="宋体"/>
                <w:sz w:val="22"/>
                <w:szCs w:val="22"/>
              </w:rPr>
            </w:pPr>
            <w:r>
              <w:rPr>
                <w:rFonts w:hint="eastAsia" w:ascii="宋体" w:hAnsi="宋体" w:eastAsia="宋体" w:cs="宋体"/>
                <w:color w:val="000000"/>
                <w:kern w:val="0"/>
                <w:sz w:val="22"/>
                <w:szCs w:val="22"/>
                <w:lang w:bidi="ar"/>
              </w:rPr>
              <w:t>电源线</w:t>
            </w:r>
          </w:p>
        </w:tc>
        <w:tc>
          <w:tcPr>
            <w:tcW w:w="7421" w:type="dxa"/>
            <w:shd w:val="clear" w:color="auto" w:fill="auto"/>
            <w:vAlign w:val="center"/>
          </w:tcPr>
          <w:p w14:paraId="63491B3A">
            <w:pPr>
              <w:widowControl/>
              <w:jc w:val="left"/>
              <w:textAlignment w:val="center"/>
              <w:rPr>
                <w:rFonts w:hint="eastAsia"/>
                <w:sz w:val="22"/>
                <w:szCs w:val="22"/>
              </w:rPr>
            </w:pPr>
            <w:r>
              <w:rPr>
                <w:rFonts w:hint="eastAsia"/>
                <w:sz w:val="22"/>
                <w:szCs w:val="22"/>
              </w:rPr>
              <w:t>材质: 无氧铜（99.95%）</w:t>
            </w:r>
          </w:p>
          <w:p w14:paraId="2A610C67">
            <w:pPr>
              <w:widowControl/>
              <w:jc w:val="left"/>
              <w:textAlignment w:val="center"/>
              <w:rPr>
                <w:rFonts w:ascii="宋体" w:hAnsi="宋体" w:eastAsia="宋体" w:cs="宋体"/>
                <w:sz w:val="22"/>
                <w:szCs w:val="22"/>
              </w:rPr>
            </w:pPr>
            <w:r>
              <w:rPr>
                <w:rFonts w:hint="eastAsia"/>
                <w:sz w:val="22"/>
                <w:szCs w:val="22"/>
              </w:rPr>
              <w:t>导体结构: 32/0.190mm±0.005mm标称截面积: 1mm²芯数: 2绝缘材质:PVC/D型执行标准: GB/T 5023.5-2008认证: CCC</w:t>
            </w:r>
          </w:p>
        </w:tc>
        <w:tc>
          <w:tcPr>
            <w:tcW w:w="1181" w:type="dxa"/>
            <w:shd w:val="clear" w:color="auto" w:fill="auto"/>
            <w:vAlign w:val="center"/>
          </w:tcPr>
          <w:p w14:paraId="2BA2E1FD">
            <w:pPr>
              <w:jc w:val="center"/>
              <w:rPr>
                <w:rFonts w:ascii="宋体" w:hAnsi="宋体" w:eastAsia="宋体" w:cs="宋体"/>
                <w:sz w:val="22"/>
                <w:szCs w:val="22"/>
              </w:rPr>
            </w:pPr>
            <w:r>
              <w:rPr>
                <w:rFonts w:hint="eastAsia" w:ascii="宋体" w:hAnsi="宋体" w:eastAsia="宋体" w:cs="宋体"/>
                <w:sz w:val="22"/>
                <w:szCs w:val="22"/>
                <w:lang w:val="en-US" w:eastAsia="zh-CN"/>
              </w:rPr>
              <w:t>1500米</w:t>
            </w:r>
          </w:p>
        </w:tc>
        <w:tc>
          <w:tcPr>
            <w:tcW w:w="2640" w:type="dxa"/>
            <w:shd w:val="clear" w:color="auto" w:fill="auto"/>
            <w:vAlign w:val="center"/>
          </w:tcPr>
          <w:p w14:paraId="58CEE205">
            <w:pPr>
              <w:widowControl/>
              <w:jc w:val="center"/>
              <w:textAlignment w:val="center"/>
              <w:rPr>
                <w:rFonts w:hint="default" w:ascii="宋体" w:hAnsi="宋体" w:eastAsia="宋体" w:cs="宋体"/>
                <w:sz w:val="22"/>
                <w:szCs w:val="22"/>
                <w:lang w:val="en-US" w:eastAsia="zh-CN"/>
              </w:rPr>
            </w:pPr>
            <w:r>
              <w:rPr>
                <w:rFonts w:hint="eastAsia" w:ascii="宋体" w:hAnsi="宋体" w:eastAsia="宋体" w:cs="宋体"/>
                <w:color w:val="000000"/>
                <w:kern w:val="0"/>
                <w:sz w:val="22"/>
                <w:szCs w:val="22"/>
                <w:lang w:eastAsia="zh-CN" w:bidi="ar"/>
              </w:rPr>
              <w:t>国产</w:t>
            </w:r>
            <w:r>
              <w:rPr>
                <w:rFonts w:hint="eastAsia" w:ascii="宋体" w:hAnsi="宋体" w:eastAsia="宋体" w:cs="宋体"/>
                <w:color w:val="000000"/>
                <w:kern w:val="0"/>
                <w:sz w:val="22"/>
                <w:szCs w:val="22"/>
                <w:lang w:val="en-US" w:eastAsia="zh-CN" w:bidi="ar"/>
              </w:rPr>
              <w:t>、RVV2*1.0</w:t>
            </w:r>
          </w:p>
        </w:tc>
        <w:tc>
          <w:tcPr>
            <w:tcW w:w="862" w:type="dxa"/>
            <w:shd w:val="clear" w:color="auto" w:fill="auto"/>
            <w:vAlign w:val="center"/>
          </w:tcPr>
          <w:p w14:paraId="2B7407C9">
            <w:pPr>
              <w:jc w:val="center"/>
              <w:rPr>
                <w:rFonts w:ascii="宋体" w:hAnsi="宋体" w:eastAsia="宋体" w:cs="宋体"/>
                <w:sz w:val="22"/>
                <w:szCs w:val="22"/>
              </w:rPr>
            </w:pPr>
          </w:p>
        </w:tc>
      </w:tr>
      <w:tr w14:paraId="4FF2A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vAlign w:val="center"/>
          </w:tcPr>
          <w:p w14:paraId="211331D1">
            <w:pPr>
              <w:jc w:val="center"/>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12</w:t>
            </w:r>
          </w:p>
        </w:tc>
        <w:tc>
          <w:tcPr>
            <w:tcW w:w="1785" w:type="dxa"/>
            <w:shd w:val="clear" w:color="auto" w:fill="auto"/>
            <w:vAlign w:val="center"/>
          </w:tcPr>
          <w:p w14:paraId="28275BC4">
            <w:pPr>
              <w:jc w:val="center"/>
              <w:rPr>
                <w:rFonts w:ascii="宋体" w:hAnsi="宋体" w:eastAsia="宋体" w:cs="宋体"/>
                <w:sz w:val="22"/>
                <w:szCs w:val="22"/>
              </w:rPr>
            </w:pPr>
            <w:r>
              <w:rPr>
                <w:rFonts w:hint="eastAsia" w:ascii="宋体" w:hAnsi="宋体" w:eastAsia="宋体" w:cs="宋体"/>
                <w:sz w:val="22"/>
                <w:szCs w:val="22"/>
              </w:rPr>
              <w:t>监控支架</w:t>
            </w:r>
          </w:p>
        </w:tc>
        <w:tc>
          <w:tcPr>
            <w:tcW w:w="7421" w:type="dxa"/>
            <w:shd w:val="clear" w:color="auto" w:fill="auto"/>
          </w:tcPr>
          <w:p w14:paraId="50655050">
            <w:pPr>
              <w:adjustRightInd w:val="0"/>
              <w:snapToGrid w:val="0"/>
              <w:rPr>
                <w:rFonts w:ascii="宋体" w:hAnsi="宋体" w:eastAsia="宋体" w:cs="宋体"/>
                <w:sz w:val="22"/>
                <w:szCs w:val="22"/>
              </w:rPr>
            </w:pPr>
            <w:r>
              <w:rPr>
                <w:rFonts w:hint="eastAsia" w:ascii="宋体" w:hAnsi="宋体" w:eastAsia="宋体" w:cs="宋体"/>
                <w:sz w:val="22"/>
                <w:szCs w:val="22"/>
              </w:rPr>
              <w:t>承重：1kg；  安装方式：壁装；  旋转角度：水平：0~360°，竖直：-30°~0°；  执行标准：Q/DXJ 064-2018；  材质：铝合金；  适用机型：M型/K型/B型/D型/F型枪机；  重量：0.38kg；  颜色：大华白</w:t>
            </w:r>
          </w:p>
        </w:tc>
        <w:tc>
          <w:tcPr>
            <w:tcW w:w="1181" w:type="dxa"/>
            <w:shd w:val="clear" w:color="auto" w:fill="auto"/>
            <w:vAlign w:val="center"/>
          </w:tcPr>
          <w:p w14:paraId="3F1BD010">
            <w:pPr>
              <w:jc w:val="center"/>
              <w:rPr>
                <w:rFonts w:ascii="宋体" w:hAnsi="宋体" w:eastAsia="宋体" w:cs="宋体"/>
                <w:sz w:val="22"/>
                <w:szCs w:val="22"/>
              </w:rPr>
            </w:pPr>
            <w:r>
              <w:rPr>
                <w:rFonts w:hint="eastAsia" w:ascii="宋体" w:hAnsi="宋体" w:eastAsia="宋体" w:cs="宋体"/>
                <w:sz w:val="22"/>
                <w:szCs w:val="22"/>
                <w:lang w:val="en-US" w:eastAsia="zh-CN"/>
              </w:rPr>
              <w:t>91个</w:t>
            </w:r>
          </w:p>
        </w:tc>
        <w:tc>
          <w:tcPr>
            <w:tcW w:w="2640" w:type="dxa"/>
            <w:shd w:val="clear" w:color="auto" w:fill="auto"/>
            <w:vAlign w:val="center"/>
          </w:tcPr>
          <w:p w14:paraId="58570C2A">
            <w:pPr>
              <w:jc w:val="center"/>
              <w:rPr>
                <w:rFonts w:ascii="宋体" w:hAnsi="宋体" w:eastAsia="宋体" w:cs="宋体"/>
                <w:sz w:val="22"/>
                <w:szCs w:val="22"/>
              </w:rPr>
            </w:pPr>
            <w:r>
              <w:rPr>
                <w:rFonts w:hint="eastAsia" w:ascii="宋体" w:hAnsi="宋体" w:eastAsia="宋体" w:cs="宋体"/>
                <w:sz w:val="22"/>
                <w:szCs w:val="22"/>
                <w:lang w:val="en-US" w:eastAsia="zh-CN"/>
              </w:rPr>
              <w:t>大华、</w:t>
            </w:r>
            <w:r>
              <w:rPr>
                <w:rFonts w:hint="eastAsia" w:ascii="宋体" w:hAnsi="宋体" w:eastAsia="宋体" w:cs="宋体"/>
                <w:sz w:val="22"/>
                <w:szCs w:val="22"/>
              </w:rPr>
              <w:t>DH-PFB120WS</w:t>
            </w:r>
          </w:p>
        </w:tc>
        <w:tc>
          <w:tcPr>
            <w:tcW w:w="862" w:type="dxa"/>
            <w:shd w:val="clear" w:color="auto" w:fill="auto"/>
            <w:vAlign w:val="center"/>
          </w:tcPr>
          <w:p w14:paraId="700E89E5">
            <w:pPr>
              <w:jc w:val="center"/>
              <w:rPr>
                <w:rFonts w:ascii="宋体" w:hAnsi="宋体" w:eastAsia="宋体" w:cs="宋体"/>
                <w:sz w:val="22"/>
                <w:szCs w:val="22"/>
              </w:rPr>
            </w:pPr>
          </w:p>
        </w:tc>
      </w:tr>
      <w:tr w14:paraId="7C0F1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792" w:type="dxa"/>
            <w:vAlign w:val="center"/>
          </w:tcPr>
          <w:p w14:paraId="347CD7E1">
            <w:pPr>
              <w:jc w:val="center"/>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13</w:t>
            </w:r>
          </w:p>
        </w:tc>
        <w:tc>
          <w:tcPr>
            <w:tcW w:w="1785" w:type="dxa"/>
            <w:shd w:val="clear" w:color="auto" w:fill="auto"/>
            <w:vAlign w:val="center"/>
          </w:tcPr>
          <w:p w14:paraId="4C0FB945">
            <w:pPr>
              <w:jc w:val="center"/>
              <w:rPr>
                <w:rFonts w:ascii="宋体" w:hAnsi="宋体" w:eastAsia="宋体" w:cs="宋体"/>
                <w:sz w:val="22"/>
                <w:szCs w:val="22"/>
              </w:rPr>
            </w:pPr>
            <w:r>
              <w:rPr>
                <w:rFonts w:hint="eastAsia" w:ascii="宋体" w:hAnsi="宋体" w:eastAsia="宋体" w:cs="宋体"/>
                <w:color w:val="000000"/>
                <w:kern w:val="0"/>
                <w:sz w:val="22"/>
                <w:szCs w:val="22"/>
                <w:lang w:bidi="ar"/>
              </w:rPr>
              <w:t>监控机柜</w:t>
            </w:r>
          </w:p>
        </w:tc>
        <w:tc>
          <w:tcPr>
            <w:tcW w:w="7421" w:type="dxa"/>
            <w:shd w:val="clear" w:color="auto" w:fill="auto"/>
            <w:vAlign w:val="center"/>
          </w:tcPr>
          <w:p w14:paraId="187E9FE9">
            <w:pPr>
              <w:rPr>
                <w:rFonts w:ascii="宋体" w:hAnsi="宋体" w:eastAsia="宋体" w:cs="宋体"/>
                <w:sz w:val="22"/>
                <w:szCs w:val="22"/>
              </w:rPr>
            </w:pPr>
            <w:r>
              <w:rPr>
                <w:rFonts w:hint="eastAsia" w:ascii="宋体" w:hAnsi="宋体" w:eastAsia="宋体" w:cs="宋体"/>
                <w:color w:val="000000"/>
                <w:kern w:val="0"/>
                <w:sz w:val="22"/>
                <w:szCs w:val="22"/>
                <w:lang w:bidi="ar"/>
              </w:rPr>
              <w:t>600*1000*1200</w:t>
            </w:r>
          </w:p>
        </w:tc>
        <w:tc>
          <w:tcPr>
            <w:tcW w:w="1181" w:type="dxa"/>
            <w:shd w:val="clear" w:color="auto" w:fill="auto"/>
            <w:vAlign w:val="center"/>
          </w:tcPr>
          <w:p w14:paraId="22227465">
            <w:pPr>
              <w:jc w:val="center"/>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1台</w:t>
            </w:r>
          </w:p>
        </w:tc>
        <w:tc>
          <w:tcPr>
            <w:tcW w:w="2640" w:type="dxa"/>
            <w:shd w:val="clear" w:color="auto" w:fill="auto"/>
            <w:vAlign w:val="center"/>
          </w:tcPr>
          <w:p w14:paraId="4854CD26">
            <w:pPr>
              <w:jc w:val="center"/>
              <w:rPr>
                <w:rFonts w:ascii="宋体" w:hAnsi="宋体" w:eastAsia="宋体" w:cs="宋体"/>
                <w:sz w:val="22"/>
                <w:szCs w:val="22"/>
              </w:rPr>
            </w:pPr>
            <w:r>
              <w:rPr>
                <w:rFonts w:hint="eastAsia" w:ascii="宋体" w:hAnsi="宋体" w:eastAsia="宋体" w:cs="宋体"/>
                <w:sz w:val="22"/>
                <w:szCs w:val="22"/>
              </w:rPr>
              <w:t>麦森特</w:t>
            </w:r>
            <w:r>
              <w:rPr>
                <w:rFonts w:hint="eastAsia" w:ascii="宋体" w:hAnsi="宋体" w:eastAsia="宋体" w:cs="宋体"/>
                <w:sz w:val="22"/>
                <w:szCs w:val="22"/>
                <w:lang w:eastAsia="zh-CN"/>
              </w:rPr>
              <w:t>、</w:t>
            </w:r>
            <w:r>
              <w:rPr>
                <w:rFonts w:hint="eastAsia" w:ascii="宋体" w:hAnsi="宋体" w:eastAsia="宋体" w:cs="宋体"/>
                <w:sz w:val="22"/>
                <w:szCs w:val="22"/>
              </w:rPr>
              <w:t>M</w:t>
            </w:r>
            <w:r>
              <w:rPr>
                <w:rFonts w:hint="eastAsia" w:ascii="宋体" w:hAnsi="宋体" w:eastAsia="宋体" w:cs="宋体"/>
                <w:color w:val="000000"/>
                <w:kern w:val="0"/>
                <w:sz w:val="22"/>
                <w:szCs w:val="22"/>
                <w:lang w:bidi="ar"/>
              </w:rPr>
              <w:t>X6022</w:t>
            </w:r>
          </w:p>
        </w:tc>
        <w:tc>
          <w:tcPr>
            <w:tcW w:w="862" w:type="dxa"/>
            <w:shd w:val="clear" w:color="auto" w:fill="auto"/>
            <w:vAlign w:val="center"/>
          </w:tcPr>
          <w:p w14:paraId="2CFE220A">
            <w:pPr>
              <w:jc w:val="center"/>
              <w:rPr>
                <w:rFonts w:ascii="宋体" w:hAnsi="宋体" w:eastAsia="宋体" w:cs="宋体"/>
                <w:sz w:val="22"/>
                <w:szCs w:val="22"/>
              </w:rPr>
            </w:pPr>
          </w:p>
        </w:tc>
      </w:tr>
      <w:tr w14:paraId="66AB1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vAlign w:val="center"/>
          </w:tcPr>
          <w:p w14:paraId="3C217C89">
            <w:pPr>
              <w:jc w:val="center"/>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14</w:t>
            </w:r>
          </w:p>
        </w:tc>
        <w:tc>
          <w:tcPr>
            <w:tcW w:w="1785" w:type="dxa"/>
            <w:shd w:val="clear" w:color="auto" w:fill="auto"/>
            <w:vAlign w:val="center"/>
          </w:tcPr>
          <w:p w14:paraId="4E905DB9">
            <w:pPr>
              <w:jc w:val="center"/>
              <w:rPr>
                <w:rFonts w:ascii="宋体" w:hAnsi="宋体" w:eastAsia="宋体" w:cs="宋体"/>
                <w:sz w:val="22"/>
                <w:szCs w:val="22"/>
              </w:rPr>
            </w:pPr>
            <w:r>
              <w:rPr>
                <w:rFonts w:hint="eastAsia" w:ascii="宋体" w:hAnsi="宋体" w:eastAsia="宋体" w:cs="宋体"/>
                <w:sz w:val="22"/>
                <w:szCs w:val="22"/>
              </w:rPr>
              <w:t>室外监控立杆3.5米</w:t>
            </w:r>
          </w:p>
        </w:tc>
        <w:tc>
          <w:tcPr>
            <w:tcW w:w="7421" w:type="dxa"/>
            <w:shd w:val="clear" w:color="auto" w:fill="auto"/>
          </w:tcPr>
          <w:p w14:paraId="513223B1">
            <w:pPr>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3.5米加厚组合立杆，含地笼</w:t>
            </w:r>
          </w:p>
        </w:tc>
        <w:tc>
          <w:tcPr>
            <w:tcW w:w="1181" w:type="dxa"/>
            <w:shd w:val="clear" w:color="auto" w:fill="auto"/>
            <w:vAlign w:val="center"/>
          </w:tcPr>
          <w:p w14:paraId="1128C474">
            <w:pPr>
              <w:jc w:val="center"/>
              <w:rPr>
                <w:rFonts w:hint="eastAsia" w:ascii="宋体" w:hAnsi="宋体" w:eastAsia="宋体" w:cs="宋体"/>
                <w:sz w:val="22"/>
                <w:szCs w:val="22"/>
                <w:lang w:eastAsia="zh-CN"/>
              </w:rPr>
            </w:pPr>
            <w:r>
              <w:rPr>
                <w:rFonts w:hint="eastAsia" w:ascii="宋体" w:hAnsi="宋体" w:eastAsia="宋体" w:cs="宋体"/>
                <w:sz w:val="22"/>
                <w:szCs w:val="22"/>
                <w:lang w:val="en-US" w:eastAsia="zh-CN"/>
              </w:rPr>
              <w:t>10根</w:t>
            </w:r>
          </w:p>
        </w:tc>
        <w:tc>
          <w:tcPr>
            <w:tcW w:w="2640" w:type="dxa"/>
            <w:shd w:val="clear" w:color="auto" w:fill="auto"/>
            <w:vAlign w:val="center"/>
          </w:tcPr>
          <w:p w14:paraId="30155DDD">
            <w:pPr>
              <w:jc w:val="center"/>
              <w:rPr>
                <w:rFonts w:hint="eastAsia" w:ascii="宋体" w:hAnsi="宋体" w:eastAsia="宋体" w:cs="宋体"/>
                <w:sz w:val="22"/>
                <w:szCs w:val="22"/>
              </w:rPr>
            </w:pPr>
            <w:r>
              <w:rPr>
                <w:rFonts w:hint="eastAsia" w:ascii="宋体" w:hAnsi="宋体" w:eastAsia="宋体" w:cs="宋体"/>
                <w:sz w:val="22"/>
                <w:szCs w:val="22"/>
              </w:rPr>
              <w:t>视明通</w:t>
            </w:r>
            <w:r>
              <w:rPr>
                <w:rFonts w:hint="eastAsia" w:ascii="宋体" w:hAnsi="宋体" w:eastAsia="宋体" w:cs="宋体"/>
                <w:sz w:val="22"/>
                <w:szCs w:val="22"/>
                <w:lang w:eastAsia="zh-CN"/>
              </w:rPr>
              <w:t>、</w:t>
            </w:r>
            <w:r>
              <w:rPr>
                <w:rFonts w:hint="eastAsia" w:ascii="宋体" w:hAnsi="宋体" w:eastAsia="宋体" w:cs="宋体"/>
                <w:sz w:val="22"/>
                <w:szCs w:val="22"/>
              </w:rPr>
              <w:t xml:space="preserve"> SMT-YT7635</w:t>
            </w:r>
          </w:p>
        </w:tc>
        <w:tc>
          <w:tcPr>
            <w:tcW w:w="862" w:type="dxa"/>
            <w:shd w:val="clear" w:color="auto" w:fill="auto"/>
            <w:vAlign w:val="center"/>
          </w:tcPr>
          <w:p w14:paraId="2E11524A">
            <w:pPr>
              <w:jc w:val="center"/>
              <w:rPr>
                <w:rFonts w:ascii="宋体" w:hAnsi="宋体" w:eastAsia="宋体" w:cs="宋体"/>
                <w:sz w:val="22"/>
                <w:szCs w:val="22"/>
              </w:rPr>
            </w:pPr>
          </w:p>
        </w:tc>
      </w:tr>
      <w:tr w14:paraId="5C7E7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vAlign w:val="center"/>
          </w:tcPr>
          <w:p w14:paraId="7FAFC810">
            <w:pPr>
              <w:jc w:val="center"/>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15</w:t>
            </w:r>
          </w:p>
        </w:tc>
        <w:tc>
          <w:tcPr>
            <w:tcW w:w="1785" w:type="dxa"/>
            <w:shd w:val="clear" w:color="auto" w:fill="auto"/>
            <w:vAlign w:val="center"/>
          </w:tcPr>
          <w:p w14:paraId="665A34B6">
            <w:pPr>
              <w:widowControl/>
              <w:jc w:val="center"/>
              <w:textAlignment w:val="center"/>
              <w:rPr>
                <w:rFonts w:ascii="宋体" w:hAnsi="宋体" w:eastAsia="宋体" w:cs="宋体"/>
                <w:color w:val="000000"/>
                <w:sz w:val="22"/>
                <w:szCs w:val="22"/>
              </w:rPr>
            </w:pPr>
            <w:r>
              <w:rPr>
                <w:rFonts w:hint="eastAsia" w:ascii="宋体" w:hAnsi="宋体" w:eastAsia="宋体" w:cs="宋体"/>
                <w:sz w:val="22"/>
                <w:szCs w:val="22"/>
              </w:rPr>
              <w:t>室外防水箱</w:t>
            </w:r>
          </w:p>
        </w:tc>
        <w:tc>
          <w:tcPr>
            <w:tcW w:w="7421" w:type="dxa"/>
            <w:shd w:val="clear" w:color="auto" w:fill="auto"/>
          </w:tcPr>
          <w:p w14:paraId="2DA81407">
            <w:pPr>
              <w:widowControl/>
              <w:jc w:val="left"/>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rPr>
              <w:t>30*40</w:t>
            </w:r>
            <w:r>
              <w:rPr>
                <w:rFonts w:hint="eastAsia" w:ascii="宋体" w:hAnsi="宋体" w:eastAsia="宋体" w:cs="宋体"/>
                <w:color w:val="000000"/>
                <w:sz w:val="22"/>
                <w:szCs w:val="22"/>
                <w:lang w:val="en-US" w:eastAsia="zh-CN"/>
              </w:rPr>
              <w:t>不锈钢防水箱</w:t>
            </w:r>
          </w:p>
        </w:tc>
        <w:tc>
          <w:tcPr>
            <w:tcW w:w="1181" w:type="dxa"/>
            <w:shd w:val="clear" w:color="auto" w:fill="auto"/>
            <w:vAlign w:val="center"/>
          </w:tcPr>
          <w:p w14:paraId="7CF87A73">
            <w:pPr>
              <w:jc w:val="center"/>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10个</w:t>
            </w:r>
          </w:p>
        </w:tc>
        <w:tc>
          <w:tcPr>
            <w:tcW w:w="2640" w:type="dxa"/>
            <w:shd w:val="clear" w:color="auto" w:fill="auto"/>
            <w:vAlign w:val="center"/>
          </w:tcPr>
          <w:p w14:paraId="77C106FD">
            <w:pPr>
              <w:widowControl/>
              <w:jc w:val="center"/>
              <w:textAlignment w:val="center"/>
              <w:rPr>
                <w:rFonts w:ascii="宋体" w:hAnsi="宋体" w:eastAsia="宋体" w:cs="宋体"/>
                <w:color w:val="000000"/>
                <w:sz w:val="22"/>
                <w:szCs w:val="22"/>
              </w:rPr>
            </w:pPr>
            <w:r>
              <w:rPr>
                <w:rFonts w:hint="eastAsia" w:ascii="宋体" w:hAnsi="宋体" w:eastAsia="宋体" w:cs="宋体"/>
                <w:sz w:val="22"/>
                <w:szCs w:val="22"/>
                <w:lang w:eastAsia="zh-CN"/>
              </w:rPr>
              <w:t>安普</w:t>
            </w:r>
            <w:r>
              <w:rPr>
                <w:rFonts w:hint="eastAsia" w:ascii="宋体" w:hAnsi="宋体" w:eastAsia="宋体" w:cs="宋体"/>
                <w:sz w:val="22"/>
                <w:szCs w:val="22"/>
                <w:lang w:val="en-US" w:eastAsia="zh-CN"/>
              </w:rPr>
              <w:t xml:space="preserve"> 、</w:t>
            </w:r>
            <w:r>
              <w:rPr>
                <w:rFonts w:hint="eastAsia" w:ascii="宋体" w:hAnsi="宋体" w:eastAsia="宋体" w:cs="宋体"/>
                <w:sz w:val="22"/>
                <w:szCs w:val="22"/>
                <w:lang w:eastAsia="zh-CN"/>
              </w:rPr>
              <w:t>400*300</w:t>
            </w:r>
          </w:p>
        </w:tc>
        <w:tc>
          <w:tcPr>
            <w:tcW w:w="862" w:type="dxa"/>
            <w:shd w:val="clear" w:color="auto" w:fill="auto"/>
            <w:vAlign w:val="center"/>
          </w:tcPr>
          <w:p w14:paraId="7FA3DE99">
            <w:pPr>
              <w:jc w:val="center"/>
              <w:rPr>
                <w:rFonts w:ascii="宋体" w:hAnsi="宋体" w:eastAsia="宋体" w:cs="宋体"/>
                <w:sz w:val="22"/>
                <w:szCs w:val="22"/>
              </w:rPr>
            </w:pPr>
          </w:p>
        </w:tc>
      </w:tr>
      <w:tr w14:paraId="2A601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vAlign w:val="center"/>
          </w:tcPr>
          <w:p w14:paraId="3A99CB96">
            <w:pPr>
              <w:jc w:val="center"/>
              <w:rPr>
                <w:rFonts w:ascii="宋体" w:hAnsi="宋体" w:eastAsia="宋体" w:cs="宋体"/>
                <w:sz w:val="22"/>
                <w:szCs w:val="22"/>
              </w:rPr>
            </w:pPr>
            <w:r>
              <w:rPr>
                <w:rFonts w:hint="eastAsia" w:ascii="宋体" w:hAnsi="宋体" w:eastAsia="宋体" w:cs="宋体"/>
                <w:sz w:val="22"/>
                <w:szCs w:val="22"/>
              </w:rPr>
              <w:t>16</w:t>
            </w:r>
          </w:p>
        </w:tc>
        <w:tc>
          <w:tcPr>
            <w:tcW w:w="1785" w:type="dxa"/>
            <w:shd w:val="clear" w:color="auto" w:fill="auto"/>
            <w:vAlign w:val="center"/>
          </w:tcPr>
          <w:p w14:paraId="54031205">
            <w:pPr>
              <w:jc w:val="center"/>
              <w:rPr>
                <w:rFonts w:ascii="宋体" w:hAnsi="宋体" w:eastAsia="宋体" w:cs="宋体"/>
                <w:sz w:val="22"/>
                <w:szCs w:val="22"/>
              </w:rPr>
            </w:pPr>
            <w:r>
              <w:rPr>
                <w:rFonts w:hint="eastAsia" w:ascii="宋体" w:hAnsi="宋体" w:eastAsia="宋体" w:cs="宋体"/>
                <w:sz w:val="22"/>
                <w:szCs w:val="22"/>
              </w:rPr>
              <w:t>监控专用硬盘</w:t>
            </w:r>
          </w:p>
        </w:tc>
        <w:tc>
          <w:tcPr>
            <w:tcW w:w="7421" w:type="dxa"/>
            <w:shd w:val="clear" w:color="auto" w:fill="auto"/>
          </w:tcPr>
          <w:p w14:paraId="4921019E">
            <w:pPr>
              <w:rPr>
                <w:rFonts w:hint="eastAsia" w:ascii="宋体" w:hAnsi="宋体" w:eastAsia="宋体" w:cs="宋体"/>
                <w:sz w:val="22"/>
                <w:szCs w:val="22"/>
              </w:rPr>
            </w:pPr>
            <w:r>
              <w:rPr>
                <w:rFonts w:hint="eastAsia" w:ascii="宋体" w:hAnsi="宋体" w:eastAsia="宋体" w:cs="宋体"/>
                <w:sz w:val="22"/>
                <w:szCs w:val="22"/>
                <w:lang w:val="en-US" w:eastAsia="zh-CN"/>
              </w:rPr>
              <w:t xml:space="preserve"> 8000G 监控存储专用硬盘，</w:t>
            </w:r>
            <w:r>
              <w:rPr>
                <w:rFonts w:hint="eastAsia" w:ascii="宋体" w:hAnsi="宋体" w:eastAsia="宋体" w:cs="宋体"/>
                <w:sz w:val="22"/>
                <w:szCs w:val="22"/>
              </w:rPr>
              <w:t>接口类型：SATA</w:t>
            </w:r>
            <w:r>
              <w:rPr>
                <w:rFonts w:hint="eastAsia" w:ascii="宋体" w:hAnsi="宋体" w:eastAsia="宋体" w:cs="宋体"/>
                <w:sz w:val="22"/>
                <w:szCs w:val="22"/>
                <w:lang w:eastAsia="zh-CN"/>
              </w:rPr>
              <w:t>，</w:t>
            </w:r>
            <w:r>
              <w:rPr>
                <w:rFonts w:hint="eastAsia" w:ascii="宋体" w:hAnsi="宋体" w:eastAsia="宋体" w:cs="宋体"/>
                <w:sz w:val="22"/>
                <w:szCs w:val="22"/>
              </w:rPr>
              <w:t>3.5英寸</w:t>
            </w:r>
            <w:r>
              <w:rPr>
                <w:rFonts w:hint="eastAsia" w:ascii="宋体" w:hAnsi="宋体" w:eastAsia="宋体" w:cs="宋体"/>
                <w:sz w:val="22"/>
                <w:szCs w:val="22"/>
                <w:lang w:eastAsia="zh-CN"/>
              </w:rPr>
              <w:t>，</w:t>
            </w:r>
            <w:r>
              <w:rPr>
                <w:rFonts w:hint="eastAsia" w:ascii="宋体" w:hAnsi="宋体" w:eastAsia="宋体" w:cs="宋体"/>
                <w:sz w:val="22"/>
                <w:szCs w:val="22"/>
              </w:rPr>
              <w:t>缓存：256MB</w:t>
            </w:r>
          </w:p>
          <w:p w14:paraId="3EB5DCCB">
            <w:pPr>
              <w:rPr>
                <w:rFonts w:ascii="宋体" w:hAnsi="宋体" w:eastAsia="宋体" w:cs="宋体"/>
                <w:sz w:val="22"/>
                <w:szCs w:val="22"/>
              </w:rPr>
            </w:pPr>
            <w:r>
              <w:rPr>
                <w:rFonts w:hint="eastAsia" w:ascii="宋体" w:hAnsi="宋体" w:eastAsia="宋体" w:cs="宋体"/>
                <w:sz w:val="22"/>
                <w:szCs w:val="22"/>
              </w:rPr>
              <w:t>转速 (r/s)：7200</w:t>
            </w:r>
          </w:p>
        </w:tc>
        <w:tc>
          <w:tcPr>
            <w:tcW w:w="1181" w:type="dxa"/>
            <w:shd w:val="clear" w:color="auto" w:fill="auto"/>
            <w:vAlign w:val="center"/>
          </w:tcPr>
          <w:p w14:paraId="17B530B0">
            <w:pPr>
              <w:jc w:val="center"/>
              <w:rPr>
                <w:rFonts w:ascii="宋体" w:hAnsi="宋体" w:eastAsia="宋体" w:cs="宋体"/>
                <w:sz w:val="22"/>
                <w:szCs w:val="22"/>
              </w:rPr>
            </w:pPr>
            <w:r>
              <w:rPr>
                <w:rFonts w:hint="eastAsia" w:ascii="宋体" w:hAnsi="宋体" w:eastAsia="宋体" w:cs="宋体"/>
                <w:sz w:val="22"/>
                <w:szCs w:val="22"/>
                <w:lang w:val="en-US" w:eastAsia="zh-CN"/>
              </w:rPr>
              <w:t>36块</w:t>
            </w:r>
          </w:p>
        </w:tc>
        <w:tc>
          <w:tcPr>
            <w:tcW w:w="2640" w:type="dxa"/>
            <w:shd w:val="clear" w:color="auto" w:fill="auto"/>
            <w:vAlign w:val="center"/>
          </w:tcPr>
          <w:p w14:paraId="5E641C9E">
            <w:pPr>
              <w:widowControl/>
              <w:jc w:val="center"/>
              <w:textAlignment w:val="center"/>
              <w:rPr>
                <w:rFonts w:hint="eastAsia" w:ascii="宋体" w:hAnsi="宋体" w:eastAsia="宋体" w:cs="宋体"/>
                <w:sz w:val="22"/>
                <w:szCs w:val="22"/>
              </w:rPr>
            </w:pPr>
            <w:r>
              <w:rPr>
                <w:rFonts w:hint="eastAsia" w:ascii="宋体" w:hAnsi="宋体" w:eastAsia="宋体" w:cs="宋体"/>
                <w:sz w:val="22"/>
                <w:szCs w:val="22"/>
                <w:lang w:val="en-US" w:eastAsia="zh-CN"/>
              </w:rPr>
              <w:t>希捷、</w:t>
            </w:r>
            <w:r>
              <w:rPr>
                <w:rFonts w:hint="eastAsia" w:ascii="宋体" w:hAnsi="宋体" w:eastAsia="宋体" w:cs="宋体"/>
                <w:sz w:val="22"/>
                <w:szCs w:val="22"/>
              </w:rPr>
              <w:t>ST8000VX009</w:t>
            </w:r>
          </w:p>
        </w:tc>
        <w:tc>
          <w:tcPr>
            <w:tcW w:w="862" w:type="dxa"/>
            <w:shd w:val="clear" w:color="auto" w:fill="auto"/>
            <w:vAlign w:val="center"/>
          </w:tcPr>
          <w:p w14:paraId="32FB8410">
            <w:pPr>
              <w:jc w:val="center"/>
              <w:rPr>
                <w:rFonts w:ascii="宋体" w:hAnsi="宋体" w:eastAsia="宋体" w:cs="宋体"/>
                <w:sz w:val="22"/>
                <w:szCs w:val="22"/>
              </w:rPr>
            </w:pPr>
          </w:p>
        </w:tc>
      </w:tr>
      <w:tr w14:paraId="1EB6B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792" w:type="dxa"/>
            <w:vAlign w:val="center"/>
          </w:tcPr>
          <w:p w14:paraId="2EC2A300">
            <w:pPr>
              <w:jc w:val="center"/>
              <w:rPr>
                <w:rFonts w:ascii="宋体" w:hAnsi="宋体" w:eastAsia="宋体" w:cs="宋体"/>
                <w:sz w:val="22"/>
                <w:szCs w:val="22"/>
              </w:rPr>
            </w:pPr>
            <w:r>
              <w:rPr>
                <w:rFonts w:hint="eastAsia" w:ascii="宋体" w:hAnsi="宋体" w:eastAsia="宋体" w:cs="宋体"/>
                <w:sz w:val="22"/>
                <w:szCs w:val="22"/>
              </w:rPr>
              <w:t>17</w:t>
            </w:r>
          </w:p>
        </w:tc>
        <w:tc>
          <w:tcPr>
            <w:tcW w:w="1785" w:type="dxa"/>
            <w:shd w:val="clear" w:color="auto" w:fill="auto"/>
            <w:vAlign w:val="center"/>
          </w:tcPr>
          <w:p w14:paraId="351B0590">
            <w:pPr>
              <w:widowControl/>
              <w:jc w:val="center"/>
              <w:textAlignment w:val="center"/>
              <w:rPr>
                <w:rFonts w:ascii="宋体" w:hAnsi="宋体" w:eastAsia="宋体" w:cs="宋体"/>
                <w:sz w:val="22"/>
                <w:szCs w:val="22"/>
              </w:rPr>
            </w:pPr>
            <w:r>
              <w:rPr>
                <w:rFonts w:hint="eastAsia" w:ascii="宋体" w:hAnsi="宋体" w:eastAsia="宋体" w:cs="宋体"/>
                <w:color w:val="000000"/>
                <w:kern w:val="0"/>
                <w:sz w:val="22"/>
                <w:szCs w:val="22"/>
                <w:lang w:bidi="ar"/>
              </w:rPr>
              <w:t>双联操作台</w:t>
            </w:r>
          </w:p>
        </w:tc>
        <w:tc>
          <w:tcPr>
            <w:tcW w:w="7421" w:type="dxa"/>
            <w:shd w:val="clear" w:color="auto" w:fill="auto"/>
            <w:vAlign w:val="center"/>
          </w:tcPr>
          <w:p w14:paraId="359B8005">
            <w:pP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高度950mm，宽度1200mm，材质厚度2.0mm，深度900mm，</w:t>
            </w:r>
          </w:p>
          <w:p w14:paraId="7EDF213E">
            <w:pPr>
              <w:rPr>
                <w:rFonts w:hint="default" w:ascii="宋体" w:hAnsi="宋体" w:eastAsia="微软雅黑" w:cs="宋体"/>
                <w:sz w:val="22"/>
                <w:szCs w:val="22"/>
                <w:lang w:val="en-US" w:eastAsia="zh-CN"/>
              </w:rPr>
            </w:pPr>
            <w:r>
              <w:rPr>
                <w:rFonts w:hint="eastAsia" w:ascii="宋体" w:hAnsi="宋体" w:eastAsia="宋体" w:cs="宋体"/>
                <w:sz w:val="22"/>
                <w:szCs w:val="22"/>
                <w:lang w:val="en-US" w:eastAsia="zh-CN"/>
              </w:rPr>
              <w:t>颜色：灰色；材质：冷轧钢。</w:t>
            </w:r>
          </w:p>
        </w:tc>
        <w:tc>
          <w:tcPr>
            <w:tcW w:w="1181" w:type="dxa"/>
            <w:shd w:val="clear" w:color="auto" w:fill="auto"/>
            <w:vAlign w:val="center"/>
          </w:tcPr>
          <w:p w14:paraId="0D252498">
            <w:pPr>
              <w:jc w:val="center"/>
              <w:rPr>
                <w:rFonts w:ascii="宋体" w:hAnsi="宋体" w:eastAsia="宋体" w:cs="宋体"/>
                <w:sz w:val="22"/>
                <w:szCs w:val="22"/>
              </w:rPr>
            </w:pPr>
            <w:r>
              <w:rPr>
                <w:rFonts w:hint="eastAsia" w:ascii="宋体" w:hAnsi="宋体" w:eastAsia="宋体" w:cs="宋体"/>
                <w:sz w:val="22"/>
                <w:szCs w:val="22"/>
                <w:lang w:val="en-US" w:eastAsia="zh-CN"/>
              </w:rPr>
              <w:t>1套</w:t>
            </w:r>
          </w:p>
        </w:tc>
        <w:tc>
          <w:tcPr>
            <w:tcW w:w="2640" w:type="dxa"/>
            <w:shd w:val="clear" w:color="auto" w:fill="auto"/>
            <w:vAlign w:val="center"/>
          </w:tcPr>
          <w:p w14:paraId="4A5CED7B">
            <w:pPr>
              <w:widowControl/>
              <w:jc w:val="center"/>
              <w:textAlignment w:val="center"/>
              <w:rPr>
                <w:rFonts w:hint="eastAsia" w:ascii="宋体" w:hAnsi="宋体" w:eastAsia="宋体" w:cs="宋体"/>
                <w:sz w:val="22"/>
                <w:szCs w:val="22"/>
              </w:rPr>
            </w:pPr>
            <w:r>
              <w:rPr>
                <w:rFonts w:hint="eastAsia" w:ascii="宋体" w:hAnsi="宋体" w:eastAsia="宋体" w:cs="宋体"/>
                <w:sz w:val="22"/>
                <w:szCs w:val="22"/>
                <w:lang w:val="en-US" w:eastAsia="zh-CN"/>
              </w:rPr>
              <w:t>慧好、双联操作台</w:t>
            </w:r>
          </w:p>
        </w:tc>
        <w:tc>
          <w:tcPr>
            <w:tcW w:w="862" w:type="dxa"/>
            <w:shd w:val="clear" w:color="auto" w:fill="auto"/>
            <w:vAlign w:val="center"/>
          </w:tcPr>
          <w:p w14:paraId="30360954">
            <w:pPr>
              <w:jc w:val="center"/>
              <w:rPr>
                <w:rFonts w:ascii="宋体" w:hAnsi="宋体" w:eastAsia="宋体" w:cs="宋体"/>
                <w:sz w:val="22"/>
                <w:szCs w:val="22"/>
              </w:rPr>
            </w:pPr>
          </w:p>
        </w:tc>
      </w:tr>
    </w:tbl>
    <w:p w14:paraId="1444559C">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textAlignment w:val="auto"/>
        <w:rPr>
          <w:rFonts w:hint="eastAsia"/>
          <w:b/>
          <w:bCs/>
          <w:color w:val="auto"/>
          <w:sz w:val="24"/>
          <w:szCs w:val="24"/>
        </w:rPr>
      </w:pPr>
      <w:r>
        <w:rPr>
          <w:rFonts w:hint="eastAsia"/>
          <w:b/>
          <w:bCs/>
          <w:color w:val="auto"/>
          <w:sz w:val="24"/>
          <w:szCs w:val="24"/>
        </w:rPr>
        <w:t>注：</w:t>
      </w:r>
      <w:r>
        <w:rPr>
          <w:rFonts w:hint="eastAsia"/>
          <w:b/>
          <w:bCs/>
          <w:color w:val="auto"/>
          <w:sz w:val="24"/>
          <w:szCs w:val="24"/>
          <w:lang w:val="en-US" w:eastAsia="zh-CN"/>
        </w:rPr>
        <w:t>1、</w:t>
      </w:r>
      <w:r>
        <w:rPr>
          <w:rFonts w:hint="eastAsia"/>
          <w:b/>
          <w:bCs/>
          <w:color w:val="auto"/>
          <w:sz w:val="24"/>
          <w:szCs w:val="24"/>
        </w:rPr>
        <w:t>报价包含所有设备的安装、运输及调试费用，采购人不再支付其他任何费用。</w:t>
      </w:r>
    </w:p>
    <w:p w14:paraId="2BFE7CDE">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eastAsia"/>
          <w:b/>
          <w:bCs/>
          <w:color w:val="auto"/>
          <w:sz w:val="24"/>
          <w:szCs w:val="24"/>
        </w:rPr>
      </w:pPr>
      <w:r>
        <w:rPr>
          <w:rFonts w:hint="eastAsia"/>
          <w:b/>
          <w:bCs/>
          <w:color w:val="auto"/>
          <w:sz w:val="24"/>
          <w:szCs w:val="24"/>
          <w:lang w:val="en-US" w:eastAsia="zh-CN"/>
        </w:rPr>
        <w:t>2、</w:t>
      </w:r>
      <w:r>
        <w:rPr>
          <w:rFonts w:hint="eastAsia"/>
          <w:b/>
          <w:bCs/>
          <w:color w:val="auto"/>
          <w:sz w:val="24"/>
          <w:szCs w:val="24"/>
        </w:rPr>
        <w:t>本次供货设备要求为原装出厂正品未拆封全新机器，要求铭牌条码清晰，所配耗材为原装正品，保修卡、合格证齐全，拆改一律不予验收。如有违反以上条例，我单位有保留追究责任的权利</w:t>
      </w:r>
      <w:r>
        <w:rPr>
          <w:rFonts w:hint="eastAsia"/>
          <w:b/>
          <w:bCs/>
          <w:color w:val="auto"/>
          <w:sz w:val="24"/>
          <w:szCs w:val="24"/>
          <w:lang w:eastAsia="zh-CN"/>
        </w:rPr>
        <w:t>。</w:t>
      </w:r>
    </w:p>
    <w:p w14:paraId="421EA161">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textAlignment w:val="auto"/>
        <w:rPr>
          <w:rFonts w:hint="eastAsia" w:eastAsia="微软雅黑"/>
          <w:b/>
          <w:bCs/>
          <w:color w:val="auto"/>
          <w:sz w:val="24"/>
          <w:szCs w:val="24"/>
          <w:lang w:eastAsia="zh-CN"/>
        </w:rPr>
      </w:pPr>
      <w:r>
        <w:rPr>
          <w:rFonts w:hint="eastAsia"/>
          <w:b/>
          <w:bCs/>
          <w:color w:val="auto"/>
          <w:sz w:val="24"/>
          <w:szCs w:val="24"/>
          <w:lang w:val="en-US" w:eastAsia="zh-CN"/>
        </w:rPr>
        <w:t>3、</w:t>
      </w:r>
      <w:r>
        <w:rPr>
          <w:rFonts w:hint="eastAsia"/>
          <w:b/>
          <w:bCs/>
          <w:color w:val="auto"/>
          <w:sz w:val="24"/>
          <w:szCs w:val="24"/>
        </w:rPr>
        <w:t>中标人在中标公示后2个工作日内，</w:t>
      </w:r>
      <w:r>
        <w:rPr>
          <w:rFonts w:hint="eastAsia"/>
          <w:b/>
          <w:bCs/>
          <w:color w:val="auto"/>
          <w:sz w:val="24"/>
          <w:szCs w:val="24"/>
          <w:lang w:eastAsia="zh-CN"/>
        </w:rPr>
        <w:t>提供</w:t>
      </w:r>
      <w:r>
        <w:rPr>
          <w:rFonts w:hint="eastAsia"/>
          <w:b/>
          <w:bCs/>
          <w:color w:val="auto"/>
          <w:sz w:val="24"/>
          <w:szCs w:val="24"/>
        </w:rPr>
        <w:t>相关证书</w:t>
      </w:r>
      <w:r>
        <w:rPr>
          <w:rFonts w:hint="eastAsia"/>
          <w:b/>
          <w:bCs/>
          <w:color w:val="auto"/>
          <w:sz w:val="24"/>
          <w:szCs w:val="24"/>
          <w:lang w:eastAsia="zh-CN"/>
        </w:rPr>
        <w:t>、采购需求表</w:t>
      </w:r>
      <w:r>
        <w:rPr>
          <w:rFonts w:hint="eastAsia"/>
          <w:b/>
          <w:bCs/>
          <w:color w:val="auto"/>
          <w:sz w:val="24"/>
          <w:szCs w:val="24"/>
          <w:lang w:val="en-US" w:eastAsia="zh-CN"/>
        </w:rPr>
        <w:t>1-8项</w:t>
      </w:r>
      <w:r>
        <w:rPr>
          <w:rFonts w:hint="eastAsia" w:ascii="微软雅黑" w:hAnsi="微软雅黑" w:eastAsia="微软雅黑" w:cs="微软雅黑"/>
          <w:b/>
          <w:bCs/>
          <w:i w:val="0"/>
          <w:iCs w:val="0"/>
          <w:caps w:val="0"/>
          <w:color w:val="auto"/>
          <w:spacing w:val="0"/>
          <w:sz w:val="24"/>
          <w:szCs w:val="24"/>
          <w:shd w:val="clear" w:fill="FFFFFF"/>
          <w:lang w:eastAsia="zh-CN"/>
        </w:rPr>
        <w:t>原厂售后服务承诺函加盖原厂公章(原件纸质版)</w:t>
      </w:r>
      <w:r>
        <w:rPr>
          <w:rFonts w:hint="eastAsia" w:eastAsia="微软雅黑"/>
          <w:b/>
          <w:bCs/>
          <w:color w:val="auto"/>
          <w:sz w:val="24"/>
          <w:szCs w:val="24"/>
          <w:lang w:eastAsia="zh-CN"/>
        </w:rPr>
        <w:t>。</w:t>
      </w:r>
    </w:p>
    <w:p w14:paraId="1C815B2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textAlignment w:val="auto"/>
        <w:rPr>
          <w:rFonts w:hint="eastAsia"/>
          <w:b/>
          <w:bCs/>
          <w:color w:val="auto"/>
          <w:sz w:val="24"/>
          <w:szCs w:val="24"/>
        </w:rPr>
      </w:pPr>
      <w:r>
        <w:rPr>
          <w:rFonts w:hint="eastAsia"/>
          <w:b/>
          <w:bCs/>
          <w:color w:val="auto"/>
          <w:sz w:val="24"/>
          <w:szCs w:val="24"/>
          <w:lang w:val="en-US" w:eastAsia="zh-CN"/>
        </w:rPr>
        <w:t>4、</w:t>
      </w:r>
      <w:r>
        <w:rPr>
          <w:rFonts w:hint="eastAsia"/>
          <w:b/>
          <w:bCs/>
          <w:color w:val="auto"/>
          <w:sz w:val="24"/>
          <w:szCs w:val="24"/>
        </w:rPr>
        <w:t>中标人在签订合同后在合同规定时间内完成送货上门、安装、调试以及集成学校现有监控摄像机和存储磁盘阵列等集成工作。</w:t>
      </w:r>
    </w:p>
    <w:p w14:paraId="27E7FC9C">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textAlignment w:val="auto"/>
        <w:rPr>
          <w:rFonts w:hint="eastAsia"/>
          <w:b/>
          <w:bCs/>
          <w:color w:val="auto"/>
          <w:sz w:val="24"/>
          <w:szCs w:val="24"/>
        </w:rPr>
      </w:pPr>
      <w:r>
        <w:rPr>
          <w:rFonts w:hint="eastAsia"/>
          <w:b/>
          <w:bCs/>
          <w:color w:val="auto"/>
          <w:sz w:val="24"/>
          <w:szCs w:val="24"/>
        </w:rPr>
        <w:t>5、若中标人提供虚假信息或产品，或不能履约供货，采购人将上报监管部门追究相应责任。</w:t>
      </w:r>
    </w:p>
    <w:p w14:paraId="68C2F77F">
      <w:pPr>
        <w:rPr>
          <w:rFonts w:hint="eastAsia"/>
          <w:b/>
          <w:bCs/>
          <w:color w:val="auto"/>
          <w:sz w:val="24"/>
          <w:szCs w:val="24"/>
          <w:lang w:val="en-US" w:eastAsia="zh-CN"/>
        </w:rPr>
      </w:pPr>
    </w:p>
    <w:p w14:paraId="5B7CEADB">
      <w:pPr>
        <w:rPr>
          <w:rFonts w:hint="eastAsia"/>
          <w:b/>
          <w:bCs/>
          <w:color w:val="auto"/>
          <w:sz w:val="24"/>
          <w:szCs w:val="24"/>
          <w:lang w:val="en-US" w:eastAsia="zh-CN"/>
        </w:rPr>
      </w:pPr>
      <w:r>
        <w:rPr>
          <w:rFonts w:hint="eastAsia"/>
          <w:b/>
          <w:bCs/>
          <w:color w:val="auto"/>
          <w:sz w:val="24"/>
          <w:szCs w:val="24"/>
          <w:lang w:val="en-US" w:eastAsia="zh-CN"/>
        </w:rPr>
        <w:t>商务要求：</w:t>
      </w:r>
    </w:p>
    <w:p w14:paraId="094FBFDB">
      <w:pPr>
        <w:rPr>
          <w:rFonts w:hint="eastAsia"/>
          <w:b/>
          <w:bCs/>
          <w:color w:val="auto"/>
          <w:sz w:val="24"/>
          <w:szCs w:val="24"/>
        </w:rPr>
      </w:pPr>
      <w:r>
        <w:rPr>
          <w:rFonts w:hint="eastAsia"/>
          <w:b/>
          <w:bCs/>
          <w:color w:val="auto"/>
          <w:sz w:val="24"/>
          <w:szCs w:val="24"/>
          <w:lang w:val="en-US" w:eastAsia="zh-CN"/>
        </w:rPr>
        <w:t>1、</w:t>
      </w:r>
      <w:r>
        <w:rPr>
          <w:rFonts w:hint="eastAsia"/>
          <w:b/>
          <w:bCs/>
          <w:color w:val="auto"/>
          <w:sz w:val="24"/>
          <w:szCs w:val="24"/>
        </w:rPr>
        <w:t>报价包含所有设备的安装、运输及调试费用，采购人不再支付其他任何费用。</w:t>
      </w:r>
    </w:p>
    <w:p w14:paraId="4CAD54F0">
      <w:pPr>
        <w:rPr>
          <w:rFonts w:hint="eastAsia"/>
          <w:b/>
          <w:bCs/>
          <w:color w:val="auto"/>
          <w:sz w:val="24"/>
          <w:szCs w:val="24"/>
        </w:rPr>
      </w:pPr>
      <w:r>
        <w:rPr>
          <w:rFonts w:hint="eastAsia"/>
          <w:b/>
          <w:bCs/>
          <w:color w:val="auto"/>
          <w:sz w:val="24"/>
          <w:szCs w:val="24"/>
        </w:rPr>
        <w:t>2、本次供货设备要求为原装出厂正品未拆封全新机器，要求铭牌条码清晰，所配耗材为原装正品，保修卡、合格证齐全，拆改一律不予验收。如有违反以上条例，我单位有保留追究责任的权利；</w:t>
      </w:r>
    </w:p>
    <w:p w14:paraId="5FAFAAC0">
      <w:pPr>
        <w:rPr>
          <w:rFonts w:hint="eastAsia"/>
          <w:b/>
          <w:bCs/>
          <w:color w:val="auto"/>
          <w:sz w:val="24"/>
          <w:szCs w:val="24"/>
        </w:rPr>
      </w:pPr>
      <w:r>
        <w:rPr>
          <w:rFonts w:hint="eastAsia"/>
          <w:b/>
          <w:bCs/>
          <w:color w:val="auto"/>
          <w:sz w:val="24"/>
          <w:szCs w:val="24"/>
        </w:rPr>
        <w:t>3、中标人在中标公示后2个工作日内，携带相关证书及</w:t>
      </w:r>
      <w:r>
        <w:rPr>
          <w:rFonts w:hint="eastAsia"/>
          <w:b/>
          <w:bCs/>
          <w:color w:val="auto"/>
          <w:sz w:val="24"/>
          <w:szCs w:val="24"/>
          <w:lang w:eastAsia="zh-CN"/>
        </w:rPr>
        <w:t>采购需求表</w:t>
      </w:r>
      <w:r>
        <w:rPr>
          <w:rFonts w:hint="eastAsia"/>
          <w:b/>
          <w:bCs/>
          <w:color w:val="auto"/>
          <w:sz w:val="24"/>
          <w:szCs w:val="24"/>
          <w:lang w:val="en-US" w:eastAsia="zh-CN"/>
        </w:rPr>
        <w:t>1-8项</w:t>
      </w:r>
      <w:r>
        <w:rPr>
          <w:rFonts w:hint="eastAsia" w:ascii="微软雅黑" w:hAnsi="微软雅黑" w:eastAsia="微软雅黑" w:cs="微软雅黑"/>
          <w:b/>
          <w:bCs/>
          <w:i w:val="0"/>
          <w:iCs w:val="0"/>
          <w:caps w:val="0"/>
          <w:color w:val="auto"/>
          <w:spacing w:val="0"/>
          <w:sz w:val="24"/>
          <w:szCs w:val="24"/>
          <w:shd w:val="clear" w:fill="FFFFFF"/>
          <w:lang w:eastAsia="zh-CN"/>
        </w:rPr>
        <w:t>原厂</w:t>
      </w:r>
      <w:r>
        <w:rPr>
          <w:rFonts w:hint="eastAsia"/>
          <w:b/>
          <w:bCs/>
          <w:color w:val="auto"/>
          <w:sz w:val="24"/>
          <w:szCs w:val="24"/>
        </w:rPr>
        <w:t>3年售后服务承诺函</w:t>
      </w:r>
      <w:r>
        <w:rPr>
          <w:rFonts w:hint="eastAsia"/>
          <w:b/>
          <w:bCs/>
          <w:color w:val="auto"/>
          <w:sz w:val="24"/>
          <w:szCs w:val="24"/>
          <w:lang w:eastAsia="zh-CN"/>
        </w:rPr>
        <w:t>加盖原厂公章(原件纸质版)</w:t>
      </w:r>
      <w:r>
        <w:rPr>
          <w:rFonts w:hint="eastAsia"/>
          <w:b/>
          <w:bCs/>
          <w:color w:val="auto"/>
          <w:sz w:val="24"/>
          <w:szCs w:val="24"/>
        </w:rPr>
        <w:t>签订合同，恶意拖延时间以及弃标等行为追责。</w:t>
      </w:r>
    </w:p>
    <w:p w14:paraId="4FED426C">
      <w:pPr>
        <w:rPr>
          <w:rFonts w:hint="eastAsia"/>
          <w:b/>
          <w:bCs/>
          <w:color w:val="auto"/>
          <w:sz w:val="24"/>
          <w:szCs w:val="24"/>
        </w:rPr>
      </w:pPr>
      <w:r>
        <w:rPr>
          <w:rFonts w:hint="eastAsia"/>
          <w:b/>
          <w:bCs/>
          <w:color w:val="auto"/>
          <w:sz w:val="24"/>
          <w:szCs w:val="24"/>
        </w:rPr>
        <w:t>4、中标人在签订合同后在合同规定时间内完成送货上门、安装、调试以及集成学校现有监控摄像机和存储磁盘阵列等集成工作。</w:t>
      </w:r>
    </w:p>
    <w:p w14:paraId="4DBA0A61">
      <w:pPr>
        <w:rPr>
          <w:rFonts w:hint="eastAsia"/>
          <w:b/>
          <w:bCs/>
          <w:color w:val="auto"/>
          <w:sz w:val="24"/>
          <w:szCs w:val="24"/>
        </w:rPr>
      </w:pPr>
      <w:r>
        <w:rPr>
          <w:rFonts w:hint="eastAsia"/>
          <w:b/>
          <w:bCs/>
          <w:color w:val="auto"/>
          <w:sz w:val="24"/>
          <w:szCs w:val="24"/>
        </w:rPr>
        <w:t>5、若中标人提供虚假信息或产品，或不能履约供货，中标人赔偿不低于预算总价的10%的违约金，采购人将上报监管部门追究相应责任。</w:t>
      </w:r>
    </w:p>
    <w:p w14:paraId="208C6483">
      <w:pPr>
        <w:rPr>
          <w:b/>
          <w:bCs/>
          <w:color w:val="auto"/>
          <w:sz w:val="24"/>
          <w:szCs w:val="24"/>
        </w:rPr>
      </w:pPr>
      <w:r>
        <w:rPr>
          <w:rFonts w:hint="eastAsia"/>
          <w:b/>
          <w:bCs/>
          <w:color w:val="auto"/>
          <w:sz w:val="24"/>
          <w:szCs w:val="24"/>
        </w:rPr>
        <w:t>6、验收合格后一次性付款。</w:t>
      </w:r>
    </w:p>
    <w:sectPr>
      <w:pgSz w:w="16838" w:h="11906" w:orient="landscape"/>
      <w:pgMar w:top="1440" w:right="1080" w:bottom="1440" w:left="1080" w:header="851" w:footer="992" w:gutter="0"/>
      <w:cols w:space="0" w:num="1"/>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0"/>
  <w:bordersDoNotSurroundFooter w:val="0"/>
  <w:documentProtection w:enforcement="0"/>
  <w:defaultTabStop w:val="420"/>
  <w:drawingGridHorizontalSpacing w:val="105"/>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RkMzQ1NmRmYTZlMjBlZTBhMDU2OGE3ZDdjYjU1ZTEifQ=="/>
  </w:docVars>
  <w:rsids>
    <w:rsidRoot w:val="000D3700"/>
    <w:rsid w:val="00017A9F"/>
    <w:rsid w:val="00035C0B"/>
    <w:rsid w:val="000D3700"/>
    <w:rsid w:val="000E5EC3"/>
    <w:rsid w:val="0018188B"/>
    <w:rsid w:val="002D07BE"/>
    <w:rsid w:val="002E100C"/>
    <w:rsid w:val="002F7E8F"/>
    <w:rsid w:val="003426B4"/>
    <w:rsid w:val="00480573"/>
    <w:rsid w:val="00481CD2"/>
    <w:rsid w:val="004A63CB"/>
    <w:rsid w:val="005238E6"/>
    <w:rsid w:val="005377E4"/>
    <w:rsid w:val="00562BF5"/>
    <w:rsid w:val="00583A87"/>
    <w:rsid w:val="00584E46"/>
    <w:rsid w:val="00724997"/>
    <w:rsid w:val="007437AE"/>
    <w:rsid w:val="007E21D7"/>
    <w:rsid w:val="00804522"/>
    <w:rsid w:val="00877A60"/>
    <w:rsid w:val="008A0C37"/>
    <w:rsid w:val="00AC4A98"/>
    <w:rsid w:val="00AE785F"/>
    <w:rsid w:val="00B24240"/>
    <w:rsid w:val="00B8381B"/>
    <w:rsid w:val="00B96342"/>
    <w:rsid w:val="00BB6214"/>
    <w:rsid w:val="00BD0E14"/>
    <w:rsid w:val="00CE4EDF"/>
    <w:rsid w:val="00D4630D"/>
    <w:rsid w:val="00D54118"/>
    <w:rsid w:val="00D67093"/>
    <w:rsid w:val="00D8193D"/>
    <w:rsid w:val="00DB378C"/>
    <w:rsid w:val="00DD36E0"/>
    <w:rsid w:val="00E975AA"/>
    <w:rsid w:val="00F262F7"/>
    <w:rsid w:val="00FB4594"/>
    <w:rsid w:val="01B6221C"/>
    <w:rsid w:val="02D90B32"/>
    <w:rsid w:val="05CB200E"/>
    <w:rsid w:val="0CB145DE"/>
    <w:rsid w:val="0CFF716D"/>
    <w:rsid w:val="0F704352"/>
    <w:rsid w:val="106D2708"/>
    <w:rsid w:val="1122319F"/>
    <w:rsid w:val="13E67483"/>
    <w:rsid w:val="14744221"/>
    <w:rsid w:val="1B1361C7"/>
    <w:rsid w:val="1BDA2690"/>
    <w:rsid w:val="1CA60C4E"/>
    <w:rsid w:val="231C4B94"/>
    <w:rsid w:val="289A563B"/>
    <w:rsid w:val="2A9A5D54"/>
    <w:rsid w:val="2AC232B5"/>
    <w:rsid w:val="31F61661"/>
    <w:rsid w:val="31FD161E"/>
    <w:rsid w:val="335F3C12"/>
    <w:rsid w:val="36DD31C1"/>
    <w:rsid w:val="37046A9C"/>
    <w:rsid w:val="374D7BB6"/>
    <w:rsid w:val="381670E0"/>
    <w:rsid w:val="38DB33AD"/>
    <w:rsid w:val="398001B2"/>
    <w:rsid w:val="39EE380A"/>
    <w:rsid w:val="3BB25BD8"/>
    <w:rsid w:val="3BED2ADE"/>
    <w:rsid w:val="3C8666B4"/>
    <w:rsid w:val="40282BED"/>
    <w:rsid w:val="4068328D"/>
    <w:rsid w:val="44567E97"/>
    <w:rsid w:val="445A46AE"/>
    <w:rsid w:val="47ED5AA3"/>
    <w:rsid w:val="48296C84"/>
    <w:rsid w:val="4A990BF2"/>
    <w:rsid w:val="4B677037"/>
    <w:rsid w:val="4D0C4529"/>
    <w:rsid w:val="525272EE"/>
    <w:rsid w:val="541A6D2C"/>
    <w:rsid w:val="541D3A51"/>
    <w:rsid w:val="567809C3"/>
    <w:rsid w:val="57E4037B"/>
    <w:rsid w:val="57F23908"/>
    <w:rsid w:val="5ADB20DE"/>
    <w:rsid w:val="5CF67877"/>
    <w:rsid w:val="5D7F1D13"/>
    <w:rsid w:val="614B6BD8"/>
    <w:rsid w:val="617565F6"/>
    <w:rsid w:val="62783551"/>
    <w:rsid w:val="65F227B6"/>
    <w:rsid w:val="66F82AA9"/>
    <w:rsid w:val="675834C0"/>
    <w:rsid w:val="6B8312D6"/>
    <w:rsid w:val="714D0F73"/>
    <w:rsid w:val="71CF337F"/>
    <w:rsid w:val="72C87C57"/>
    <w:rsid w:val="74E76FE8"/>
    <w:rsid w:val="763D3CCC"/>
    <w:rsid w:val="7937517C"/>
    <w:rsid w:val="7C7F1E54"/>
    <w:rsid w:val="7D3D1B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tabs>
        <w:tab w:val="center" w:pos="4153"/>
        <w:tab w:val="right" w:pos="8306"/>
      </w:tabs>
      <w:snapToGrid w:val="0"/>
      <w:jc w:val="center"/>
    </w:pPr>
    <w:rPr>
      <w:sz w:val="18"/>
      <w:szCs w:val="18"/>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semiHidden/>
    <w:unhideWhenUsed/>
    <w:qFormat/>
    <w:uiPriority w:val="99"/>
    <w:rPr>
      <w:color w:val="0000FF"/>
      <w:u w:val="single"/>
    </w:rPr>
  </w:style>
  <w:style w:type="character" w:customStyle="1" w:styleId="9">
    <w:name w:val="页眉 字符"/>
    <w:basedOn w:val="7"/>
    <w:link w:val="4"/>
    <w:qFormat/>
    <w:uiPriority w:val="99"/>
    <w:rPr>
      <w:sz w:val="18"/>
      <w:szCs w:val="18"/>
    </w:rPr>
  </w:style>
  <w:style w:type="character" w:customStyle="1" w:styleId="10">
    <w:name w:val="页脚 字符"/>
    <w:basedOn w:val="7"/>
    <w:link w:val="3"/>
    <w:qFormat/>
    <w:uiPriority w:val="99"/>
    <w:rPr>
      <w:sz w:val="18"/>
      <w:szCs w:val="18"/>
    </w:rPr>
  </w:style>
  <w:style w:type="character" w:customStyle="1" w:styleId="11">
    <w:name w:val="font31"/>
    <w:basedOn w:val="7"/>
    <w:qFormat/>
    <w:uiPriority w:val="0"/>
    <w:rPr>
      <w:rFonts w:ascii="宋体" w:hAnsi="宋体" w:eastAsia="宋体" w:cs="宋体"/>
      <w:color w:val="000000"/>
      <w:sz w:val="22"/>
      <w:szCs w:val="22"/>
      <w:u w:val="none"/>
    </w:rPr>
  </w:style>
  <w:style w:type="character" w:customStyle="1" w:styleId="12">
    <w:name w:val="批注框文本 字符"/>
    <w:basedOn w:val="7"/>
    <w:link w:val="2"/>
    <w:semiHidden/>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4432</Words>
  <Characters>5640</Characters>
  <Lines>65</Lines>
  <Paragraphs>18</Paragraphs>
  <TotalTime>4</TotalTime>
  <ScaleCrop>false</ScaleCrop>
  <LinksUpToDate>false</LinksUpToDate>
  <CharactersWithSpaces>5711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2025-07-15T08:52:00Z</dcterms:created>
  <dc:creator>LG</dc:creator>
  <cp:lastModifiedBy>我有孤独和烈酒</cp:lastModifiedBy>
  <cp:lastPrinted>2026-07-07T12:16:00Z</cp:lastPrinted>
  <dcterms:modified xsi:type="dcterms:W3CDTF">2026-07-20T02:14:32Z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556EA68F14934302BD340328840FB3BD_13</vt:lpwstr>
  </property>
  <property fmtid="{D5CDD505-2E9C-101B-9397-08002B2CF9AE}" pid="4" name="KSOTemplateDocerSaveRecord">
    <vt:lpwstr>eyJoZGlkIjoiMGE0N2YwODIyYjhlYjkyZGExM2Q1ZjVjYTUzOWVmYjYiLCJ1c2VySWQiOiIyMjY5MjA4NzUifQ==</vt:lpwstr>
  </property>
</Properties>
</file>