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AA894">
      <w:pPr>
        <w:keepNext w:val="0"/>
        <w:keepLines w:val="0"/>
        <w:pageBreakBefore w:val="0"/>
        <w:widowControl w:val="0"/>
        <w:kinsoku/>
        <w:wordWrap/>
        <w:overflowPunct/>
        <w:topLinePunct w:val="0"/>
        <w:autoSpaceDE/>
        <w:autoSpaceDN/>
        <w:bidi w:val="0"/>
        <w:adjustRightInd/>
        <w:snapToGrid/>
        <w:spacing w:line="360" w:lineRule="auto"/>
        <w:jc w:val="center"/>
        <w:rPr>
          <w:rFonts w:hint="default"/>
          <w:b/>
          <w:bCs/>
          <w:sz w:val="44"/>
          <w:szCs w:val="52"/>
          <w:lang w:val="en-US" w:eastAsia="zh-CN"/>
        </w:rPr>
      </w:pPr>
      <w:r>
        <w:rPr>
          <w:rFonts w:hint="eastAsia"/>
          <w:b/>
          <w:bCs/>
          <w:sz w:val="44"/>
          <w:szCs w:val="52"/>
          <w:lang w:val="en-US" w:eastAsia="zh-CN"/>
        </w:rPr>
        <w:t>亳州幼儿师范学校购买教学用希沃触控一体机参数和技术要求</w:t>
      </w:r>
      <w:bookmarkStart w:id="0" w:name="_GoBack"/>
      <w:bookmarkEnd w:id="0"/>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36"/>
        <w:gridCol w:w="1217"/>
        <w:gridCol w:w="12521"/>
      </w:tblGrid>
      <w:tr w14:paraId="187BC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E764D51">
            <w:pPr>
              <w:keepNext w:val="0"/>
              <w:keepLines w:val="0"/>
              <w:pageBreakBefore w:val="0"/>
              <w:widowControl w:val="0"/>
              <w:suppressLineNumbers w:val="0"/>
              <w:kinsoku/>
              <w:wordWrap/>
              <w:overflowPunct/>
              <w:topLinePunct w:val="0"/>
              <w:autoSpaceDE/>
              <w:autoSpaceDN/>
              <w:bidi w:val="0"/>
              <w:adjustRightInd/>
              <w:snapToGrid/>
              <w:spacing w:after="313" w:afterLines="100" w:line="360" w:lineRule="auto"/>
              <w:jc w:val="both"/>
              <w:textAlignment w:val="center"/>
              <w:rPr>
                <w:rFonts w:hint="eastAsia" w:ascii="宋体" w:hAnsi="宋体" w:eastAsia="宋体" w:cs="宋体"/>
                <w:b w:val="0"/>
                <w:i w:val="0"/>
                <w:iCs w:val="0"/>
                <w:color w:val="000000"/>
                <w:sz w:val="44"/>
                <w:szCs w:val="44"/>
                <w:u w:val="none"/>
              </w:rPr>
            </w:pPr>
            <w:r>
              <w:rPr>
                <w:rFonts w:hint="eastAsia" w:ascii="宋体" w:hAnsi="宋体" w:eastAsia="宋体" w:cs="宋体"/>
                <w:b w:val="0"/>
                <w:i w:val="0"/>
                <w:iCs w:val="0"/>
                <w:color w:val="000000"/>
                <w:kern w:val="0"/>
                <w:sz w:val="44"/>
                <w:szCs w:val="44"/>
                <w:u w:val="none"/>
                <w:lang w:val="en-US" w:eastAsia="zh-CN" w:bidi="ar"/>
              </w:rPr>
              <w:t>1</w:t>
            </w:r>
          </w:p>
        </w:tc>
        <w:tc>
          <w:tcPr>
            <w:tcW w:w="1217" w:type="dxa"/>
            <w:tcBorders>
              <w:top w:val="single" w:color="000000" w:sz="4" w:space="0"/>
              <w:left w:val="single" w:color="000000" w:sz="4" w:space="0"/>
              <w:right w:val="single" w:color="000000" w:sz="4" w:space="0"/>
            </w:tcBorders>
            <w:shd w:val="clear" w:color="auto" w:fill="FFFFFF"/>
            <w:vAlign w:val="center"/>
          </w:tcPr>
          <w:p w14:paraId="1DCD709F">
            <w:pPr>
              <w:keepNext w:val="0"/>
              <w:keepLines w:val="0"/>
              <w:pageBreakBefore w:val="0"/>
              <w:widowControl w:val="0"/>
              <w:suppressLineNumbers w:val="0"/>
              <w:kinsoku/>
              <w:wordWrap/>
              <w:overflowPunct/>
              <w:topLinePunct w:val="0"/>
              <w:autoSpaceDE/>
              <w:autoSpaceDN/>
              <w:bidi w:val="0"/>
              <w:adjustRightInd/>
              <w:snapToGrid/>
              <w:spacing w:after="313" w:afterLines="100" w:line="360" w:lineRule="auto"/>
              <w:jc w:val="both"/>
              <w:textAlignment w:val="center"/>
              <w:rPr>
                <w:rFonts w:hint="default" w:ascii="宋体" w:hAnsi="宋体" w:eastAsia="宋体" w:cs="宋体"/>
                <w:b w:val="0"/>
                <w:i w:val="0"/>
                <w:iCs w:val="0"/>
                <w:color w:val="000000"/>
                <w:sz w:val="44"/>
                <w:szCs w:val="44"/>
                <w:u w:val="none"/>
                <w:lang w:val="en-US"/>
              </w:rPr>
            </w:pPr>
            <w:r>
              <w:rPr>
                <w:rFonts w:hint="eastAsia" w:ascii="宋体" w:hAnsi="宋体" w:eastAsia="宋体" w:cs="宋体"/>
                <w:b w:val="0"/>
                <w:i w:val="0"/>
                <w:iCs w:val="0"/>
                <w:color w:val="000000"/>
                <w:kern w:val="0"/>
                <w:sz w:val="44"/>
                <w:szCs w:val="44"/>
                <w:u w:val="none"/>
                <w:lang w:val="en-US" w:eastAsia="zh-CN" w:bidi="ar"/>
              </w:rPr>
              <w:t>整机硬件相关要求</w:t>
            </w:r>
          </w:p>
        </w:tc>
        <w:tc>
          <w:tcPr>
            <w:tcW w:w="12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479C9">
            <w:pPr>
              <w:keepNext w:val="0"/>
              <w:keepLines w:val="0"/>
              <w:pageBreakBefore w:val="0"/>
              <w:widowControl w:val="0"/>
              <w:kinsoku/>
              <w:wordWrap/>
              <w:overflowPunct/>
              <w:topLinePunct w:val="0"/>
              <w:autoSpaceDE/>
              <w:autoSpaceDN/>
              <w:bidi w:val="0"/>
              <w:adjustRightInd/>
              <w:snapToGrid/>
              <w:spacing w:after="313" w:afterLines="100" w:line="360" w:lineRule="auto"/>
              <w:jc w:val="both"/>
              <w:rPr>
                <w:rFonts w:hint="default"/>
                <w:b w:val="0"/>
                <w:color w:val="000000"/>
                <w:sz w:val="44"/>
                <w:szCs w:val="44"/>
                <w:lang w:val="en-US"/>
              </w:rPr>
            </w:pPr>
            <w:r>
              <w:rPr>
                <w:rFonts w:hint="eastAsia" w:ascii="宋体" w:hAnsi="宋体" w:eastAsia="宋体" w:cs="宋体"/>
                <w:b w:val="0"/>
                <w:i w:val="0"/>
                <w:iCs w:val="0"/>
                <w:color w:val="000000"/>
                <w:kern w:val="0"/>
                <w:sz w:val="44"/>
                <w:szCs w:val="44"/>
                <w:u w:val="none"/>
                <w:lang w:val="en-US" w:eastAsia="zh-CN" w:bidi="ar"/>
              </w:rPr>
              <w:t>一、</w:t>
            </w:r>
            <w:r>
              <w:rPr>
                <w:rFonts w:hint="eastAsia"/>
                <w:b w:val="0"/>
                <w:color w:val="000000"/>
                <w:sz w:val="44"/>
                <w:szCs w:val="44"/>
                <w:lang w:val="en-US" w:eastAsia="zh-CN"/>
              </w:rPr>
              <w:t>技术要求</w:t>
            </w:r>
          </w:p>
          <w:p w14:paraId="665A1E90">
            <w:pPr>
              <w:keepNext w:val="0"/>
              <w:keepLines w:val="0"/>
              <w:pageBreakBefore w:val="0"/>
              <w:widowControl w:val="0"/>
              <w:suppressLineNumbers w:val="0"/>
              <w:kinsoku/>
              <w:wordWrap/>
              <w:overflowPunct/>
              <w:topLinePunct w:val="0"/>
              <w:autoSpaceDE/>
              <w:autoSpaceDN/>
              <w:bidi w:val="0"/>
              <w:adjustRightInd/>
              <w:snapToGrid/>
              <w:spacing w:after="313" w:afterLines="100" w:line="360" w:lineRule="auto"/>
              <w:jc w:val="both"/>
              <w:textAlignment w:val="top"/>
              <w:rPr>
                <w:rFonts w:hint="eastAsia" w:ascii="宋体" w:hAnsi="宋体" w:eastAsia="宋体" w:cs="宋体"/>
                <w:b w:val="0"/>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1.整机屏幕采用≥65英寸液晶显示器。整机采用超高清LED液晶显示屏，显示比例16:9，分辨率3840×2160。</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2.整机采用≥12核国产化嵌入式芯片，整机CPU芯片，WIFI与蓝牙芯片、摄像头图像处理芯片均采用国产自主芯片，整机嵌入式系统版本≥15.0，主频≥1.6GHz，内存≥2GB，实时可用运行内存可扩展至4GB，存储空间≥32GB，支持≥50点触控及书写划线。（提供第三方检测机构出具的带有CNAS或CMA标识的检测报告的扫描件或影印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3.整机内置≥2.2声道扬声器，位于设备上边框，顶置朝前发声，前朝向≥10W高音扬声器≥2个，上朝向≥30W中低音扬声器≥2个，额定总功率≥80W。整机全部扬声器均采用模块化设计，无需打开背板即可单独拆卸，便于维护；</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4.整机上边框内置非独立摄像头，采用一体化集成设计，⽀持输出4:3、16:9⽐例的图⽚和视频，支持拍摄≥1600 万像素数的照片和视频，支持输出 4k 分辨率的视频。</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5.整机听力模式下具备AI人声语言增强功能，支持三挡强弱调节，通过AI算法提取视频/音频中的语言进行效果增强，在不增加音量的情况下提升语言清晰度，扩声系统语言传输指数（STIPA）≥0.75。（提供第三方检测机构出具的带有CNAS或CMA标识的检测报告的扫描件或影印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6.整机支持在无任何外部设备的情况下，实时录制用户朗读内</w:t>
            </w:r>
            <w:r>
              <w:rPr>
                <w:rFonts w:hint="eastAsia" w:ascii="宋体" w:hAnsi="宋体" w:eastAsia="宋体" w:cs="宋体"/>
                <w:b w:val="0"/>
                <w:i w:val="0"/>
                <w:iCs w:val="0"/>
                <w:color w:val="000000"/>
                <w:kern w:val="0"/>
                <w:sz w:val="44"/>
                <w:szCs w:val="44"/>
                <w:u w:val="none"/>
                <w:lang w:val="en-US" w:eastAsia="zh-CN" w:bidi="ar"/>
              </w:rPr>
              <w:t>容，识别用户声纹并进行统一身份登录，登录后自动获取个人云端教学课件列表，打开教学白板软件时可跳过软件自带登录步骤。（提供第三方检测机构出具的带有CNAS或CMA标识的检测报告的扫描件或影印件）</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7.整机支持发出频率为18kHz-22kHz超声波信号，智能手机通过麦克风接收后，智能手机与整机无需在同一局域网内，可实现配对，一键投屏，用户无需手动输入投屏码或扫码获取投屏码。</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8.整机设备支持多种身份识别方式，支持通过账号登录、手机扫码登录、人脸识别登录、声纹识别登录、近场发现登录，并支持账号安全登录检测。（提供第三方检测机构出具的带有CNAS或CMA标识的检测报告的扫描件或影印件）</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9.整机支持文件传输应用，支持通过扫码、超声、wifi直连三种方式与手机进行握手连接，实现文件传输功能。</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10.整机内置双WiFi6无线网卡（不接受外接），在嵌入式系统和PC系统下，可实现Wi-Fi无线上网连接、AP无线热点发射。</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二、计算处理单元</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1.主板搭载8核12线程</w:t>
            </w:r>
            <w:r>
              <w:rPr>
                <w:rFonts w:hint="eastAsia" w:ascii="宋体" w:hAnsi="宋体" w:eastAsia="宋体" w:cs="宋体"/>
                <w:color w:val="000000"/>
                <w:kern w:val="0"/>
                <w:sz w:val="44"/>
                <w:szCs w:val="44"/>
              </w:rPr>
              <w:t>i5十三代或以上</w:t>
            </w:r>
            <w:r>
              <w:rPr>
                <w:rFonts w:hint="eastAsia" w:ascii="宋体" w:hAnsi="宋体" w:eastAsia="宋体" w:cs="宋体"/>
                <w:b w:val="0"/>
                <w:i w:val="0"/>
                <w:iCs w:val="0"/>
                <w:color w:val="000000"/>
                <w:kern w:val="0"/>
                <w:sz w:val="44"/>
                <w:szCs w:val="44"/>
                <w:u w:val="none"/>
                <w:lang w:val="en-US" w:eastAsia="zh-CN" w:bidi="ar"/>
              </w:rPr>
              <w:t>处理器，内存：8GB DDR4内存或以上配置。硬盘：256GB或以上SSD固态硬盘。</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2.机身采用热浸镀锌金属材质，采用智能风扇低噪音散热设计，以预留足够散热空间，确保封闭空间内有效散热。具有标准PC防盗锁孔。</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3.无需工具就可快速按压拆卸电脑模块。</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4.和整机的连接采用万兆级接口，传输速率≥10Gbps。</w:t>
            </w:r>
            <w:r>
              <w:rPr>
                <w:rFonts w:hint="eastAsia" w:ascii="宋体" w:hAnsi="宋体" w:eastAsia="宋体" w:cs="宋体"/>
                <w:b w:val="0"/>
                <w:i w:val="0"/>
                <w:iCs w:val="0"/>
                <w:color w:val="000000"/>
                <w:kern w:val="0"/>
                <w:sz w:val="44"/>
                <w:szCs w:val="44"/>
                <w:u w:val="none"/>
                <w:lang w:val="en-US" w:eastAsia="zh-CN" w:bidi="ar"/>
              </w:rPr>
              <w:br w:type="textWrapping"/>
            </w:r>
            <w:r>
              <w:rPr>
                <w:rFonts w:hint="eastAsia" w:ascii="宋体" w:hAnsi="宋体" w:eastAsia="宋体" w:cs="宋体"/>
                <w:b w:val="0"/>
                <w:i w:val="0"/>
                <w:iCs w:val="0"/>
                <w:color w:val="000000"/>
                <w:kern w:val="0"/>
                <w:sz w:val="44"/>
                <w:szCs w:val="44"/>
                <w:u w:val="none"/>
                <w:lang w:val="en-US" w:eastAsia="zh-CN" w:bidi="ar"/>
              </w:rPr>
              <w:t>5.PC模块支持不断电情况下热插拔，以便快速维护或替换模块。</w:t>
            </w:r>
          </w:p>
        </w:tc>
      </w:tr>
      <w:tr w14:paraId="469B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680" w:hRule="atLeast"/>
        </w:trPr>
        <w:tc>
          <w:tcPr>
            <w:tcW w:w="0" w:type="auto"/>
            <w:shd w:val="clear" w:color="auto" w:fill="FFFFFF" w:themeFill="background1"/>
            <w:vAlign w:val="center"/>
          </w:tcPr>
          <w:p w14:paraId="1019847D">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2</w:t>
            </w:r>
          </w:p>
        </w:tc>
        <w:tc>
          <w:tcPr>
            <w:tcW w:w="1217" w:type="dxa"/>
            <w:shd w:val="clear" w:color="auto" w:fill="FFFFFF" w:themeFill="background1"/>
            <w:vAlign w:val="center"/>
          </w:tcPr>
          <w:p w14:paraId="46DF4B03">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希沃白板</w:t>
            </w:r>
          </w:p>
        </w:tc>
        <w:tc>
          <w:tcPr>
            <w:tcW w:w="12521" w:type="dxa"/>
            <w:shd w:val="clear" w:color="auto" w:fill="FFFFFF" w:themeFill="background1"/>
            <w:vAlign w:val="top"/>
          </w:tcPr>
          <w:p w14:paraId="166C86A3">
            <w:pPr>
              <w:keepNext w:val="0"/>
              <w:keepLines w:val="0"/>
              <w:widowControl/>
              <w:suppressLineNumbers w:val="0"/>
              <w:jc w:val="left"/>
              <w:textAlignment w:val="top"/>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1.可为教师提供100TB的云存储空间，教师可在个人云空间中上传存储互动课件、云教案和其他教学资源。</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2.能使用方全体教师配备个人账号，形成一体的信息化教学账号体系。可根据教师账号信息将教师云空间匹配至对应学校、学科校本资源库。可通过数字账号、微信二维码、硬件密钥的方式登录教师个人账号。</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3.可定向分享互动课件，分享者可将互动课件、课件组推送至指定接收方账号的云空间，接收方可在云空间接收并打开分享课件。互动课件能够开放式云分享，分享者可将互动课件、课件组以公开或添加密码的web链接和二维码形式进行分享，分享链接可设置访问有效期。</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4.支持PPT原生解析，教师可将pptx格式的课件转化为互动教学课件。支持单份导入和批量文件夹导入两种导入方式。导入后保留PPT原文件中的文字、图片、表格对象及动画的可编辑性，并可为课件增加互动教学元素。</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5.云教案可自动同步至云空间。可以链接方式进行定向式分享和开放式分享。接收者可直接在桌面浏览器、微信内打开预览，可将云教案转存至个人云空间。云教案支持导出为PDF格式。</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6.无需安装部署直播软件，可实现语音直播、课件同步、互动工具远程教学功能。支持一键开课生成课程海报，学生扫描课程海报微信二维码可加入直播课堂，不需安装APP。</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7.支持云储存编辑完成的活动可一键存储至教师云空间，实现在不同课件中直接调用，无需反复编辑。（投标文件中提供带有CMA或CNAS标识的检测报告复印件作为证明材料）</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8.运用教学大模型自建的教学知识库，能够检索与创作主题相关的专业知识，并生成对应的课件目标。（投标文件中提供带有CMA或CNAS标识的检测报告复印件作为证明材料）</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9.根据已明确的课件目标，生成以思维导图形式呈现的至少三个层级主题的教学大纲，教学大纲内容可根据教学设计自动匹配课堂活动、思维导图和学科工具等互动工具。</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10.生成教学设计：生成的教学设计，涵盖教学目标、教学重难点、教学过程，在教学过程中，会提供教学设计示意图。教学设计会与课件授课内容对应。</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11.粘贴视频网页链接可一键解析视频，插入课件页后支持在线播放；支持本地上传视频插入课件页播放。（投标文件中提供带有CMA或CNAS标识的检测报告复印件作为证明材料）</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12.支持课件页自动排版，可一键更换布局或挑选更多的智能布局模板。</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13.管理者通过学校数据可视化看板，查看学校云课件教案数、累计校本研修次数等情况，掌握学校教研关键数据（云课件和教案数量，校本课件、校本教案的数据），了解关键数据环比上周的的具体情况。</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14.通过多维度分析学校的信息化教学应用情况，综合评估出信息化指数，并与全省均值进行对比，管理者可了解信息化教学进展。</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15.弹窗拦截：支持手动拦截、截图拦截、超级拦截三种不良窗口拦截方式。其中超级拦截支持设置指定时间段、白名单应用；设置完成后，可保证在指定时间段内，仅白名单应用可使用，非白名单应用无法打开。（投标文件中提供带有CMA或CNAS标识的检测报告复印件作为证明材料）</w:t>
            </w:r>
          </w:p>
        </w:tc>
      </w:tr>
      <w:tr w14:paraId="2160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680" w:hRule="atLeast"/>
        </w:trPr>
        <w:tc>
          <w:tcPr>
            <w:tcW w:w="0" w:type="auto"/>
            <w:shd w:val="clear" w:color="auto" w:fill="FFFFFF" w:themeFill="background1"/>
            <w:vAlign w:val="center"/>
          </w:tcPr>
          <w:p w14:paraId="31A95547">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3</w:t>
            </w:r>
          </w:p>
        </w:tc>
        <w:tc>
          <w:tcPr>
            <w:tcW w:w="1217" w:type="dxa"/>
            <w:shd w:val="clear" w:color="auto" w:fill="FFFFFF" w:themeFill="background1"/>
            <w:vAlign w:val="center"/>
          </w:tcPr>
          <w:p w14:paraId="112A39B8">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希沃信鸽</w:t>
            </w:r>
          </w:p>
        </w:tc>
        <w:tc>
          <w:tcPr>
            <w:tcW w:w="12521" w:type="dxa"/>
            <w:shd w:val="clear" w:color="auto" w:fill="FFFFFF" w:themeFill="background1"/>
            <w:vAlign w:val="top"/>
          </w:tcPr>
          <w:p w14:paraId="507BBA63">
            <w:pPr>
              <w:keepNext w:val="0"/>
              <w:keepLines w:val="0"/>
              <w:widowControl/>
              <w:suppressLineNumbers w:val="0"/>
              <w:jc w:val="left"/>
              <w:textAlignment w:val="top"/>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1.支持学校管理教学教研流程，包括教学计划、集体备课、听课评课、班级氛围、校本资源建设，同时收集数据反馈和评价。同时支持教师管理个人教学教研活动并进行数据采集分析。</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2.支持管理员及教师使用网页端和小程序端登录。通过教研数字化管理平台公众号可进入小程序端，支持查看数据信息和教师榜单等，并定期推送数据分析报表。</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3.管理者通过学校数据可视化看板，查看学校云课件教案数、累计校本研修次数等情况，掌握学校教研关键数据（云课件和教案数量，校本课件、校本教案的数据），了解关键数据环比上周的的具体情况。（提供具有CNAS或CMA标识的检测报告复印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4.将信息化教学数据分五个维度进行评估，分别为资源建设、校本研修、校影响力、学情分析及班级氛围，并与全省均值对比。</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5.展示本校最新教研动态，包括集体备课、听课评课、校本资源建设动态，了解学校的教研最新进展。</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6.支持管理者按照学段-学科-年级创建教师的教研组织结构，对教师做分组管理。支持设置教研组组长，并在教研组下设置多个备课组，添加对应的备课组成员，支持对教研组/备课组进行重命名和解散等操作。</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7.管理者在教学检查中可以掌握以教研组、备课组为单位的教学资源和集体备数据，了解老师的教学备课工作。支持查看各年级和学科的教研组的教学资源覆盖情况和集体备课数据。支持以时间、教材进行数据筛选，推动老师的备课进度。支持查看备课组下成员的课程资源和集体备课数据概览，支持查看每位成员在不同教材章节下的课程资源上传/获取情况和集体备课的研讨情况。支持以时间、老师、教材章节进行数据筛选。支持导出备课组下全部成员的课程资源和集体备课数据。（提供具有CNAS或CMA标识的检测报告复印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8.可查看集备的开展统计情况及老师参与集备的记录。支持以时间、学科进行筛选，支持输入集备名称或者主备人名称，进行搜索。支持查看集备名称，主备人、所属学科、年级、参备老师数、稿数、浏览数、评论数、批注数、评论点赞数、集备状态和创建时间等数据。管理员可随时查看学校集备详情，查看集备的详细内容并给予指导评论，同时支持管理员删除集备活动和导出集体备课记录数据表格。</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9.可查看课程的评价统计情况及教师对课程的评价记录。支持以时间、评课表、学科进行筛选，支持输入课程名称或者老师名称，进行全局搜索。支持查看评课报告，可以查看该课程的总分和各板块得分，支持导出为PDF文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10.支持查看全校教案总数、教师课件总数、校本教案及校本课件总数。同时支持按本周、本月、自定义时间段查看教案、课件等制作数量的排行，查看全校教师的教案、课件、校本教案/课件/微课，进行教案、课件及校本教案/课件/微课检查，让管理者总览全校教案、课件、微课编写制作情况，支持一键导出资源统计数据表格。</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11.支持查看不同时间段班级氛围数据的概况，数据包含全校课堂点评情况、班级总分榜、班级分数榜、教师榜（老师发送点评的总分）和累计分数前三名班级，了解全校班级管理情况。</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12.支持老师阅览学校计划、本学科组计划，并根据上级计划制定个人教学计划，同时支持实时查看、对比教研组计划及个人计划的进展。教师可以查看个人的听评课数据，包括个人平均分、累计听课节数、累计评课节数，同时可以分析评价维度的得分情况以及个人薄弱项。</w:t>
            </w:r>
          </w:p>
        </w:tc>
      </w:tr>
      <w:tr w14:paraId="45CD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0" w:type="auto"/>
            <w:shd w:val="clear" w:color="auto" w:fill="FFFFFF" w:themeFill="background1"/>
            <w:vAlign w:val="center"/>
          </w:tcPr>
          <w:p w14:paraId="34BFFFF3">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4</w:t>
            </w:r>
          </w:p>
        </w:tc>
        <w:tc>
          <w:tcPr>
            <w:tcW w:w="1217" w:type="dxa"/>
            <w:shd w:val="clear" w:color="auto" w:fill="FFFFFF" w:themeFill="background1"/>
            <w:vAlign w:val="center"/>
          </w:tcPr>
          <w:p w14:paraId="5221E551">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希沃电脑助手</w:t>
            </w:r>
          </w:p>
        </w:tc>
        <w:tc>
          <w:tcPr>
            <w:tcW w:w="12521" w:type="dxa"/>
            <w:shd w:val="clear" w:color="auto" w:fill="FFFFFF" w:themeFill="background1"/>
            <w:vAlign w:val="top"/>
          </w:tcPr>
          <w:p w14:paraId="36801811">
            <w:pPr>
              <w:keepNext w:val="0"/>
              <w:keepLines w:val="0"/>
              <w:widowControl/>
              <w:suppressLineNumbers w:val="0"/>
              <w:jc w:val="left"/>
              <w:textAlignment w:val="top"/>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1.登录方式多样性：支持帐号/密码和手机微信扫码两种登录方式。用户首次登录时绑定微信ID与帐号的对应关系，绑定后可通过微信扫码登录，无需再次输入帐号/密码。</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2.设备运行状态：能查看当前设备的内存、CPU、硬盘、系统盘、网速的实时占用状态信息。</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3.离线暂存：支持一次发送文件给多个接收端设备。接收端离线时文件能够暂存在云端，接收端设备在线后可进行自动下载。（提供带有CNAS和CMA标识的国家级检测报告扫描件）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4.自动下载：支持接收端设备在线状态下可自动接收发送端设备发送的文件。（提供带有CNAS和CMA标识的国家级检测报告扫描件）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5.预览：能够在线预览图片、音视频、文档；支持预览的格式，包括，图片：BMP、GIF、JPE、JPEG、JPG、PNG；音频：WAV、MP3、OGG；视频：3GP、F4V、M4V、MKV、MP4、OGV、MOV；文档：DOC、DOCX、PDF、PPT、XLS、XLSX。</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6.对话式生成：根据输入的文字生成文本，并通过类人类对话的形式表达，还支持根据上下文进行多轮连续对话。</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7.写作：支持输入主题一键生成活动感想、发言稿、活动策划；支持选择生成的文字数量。</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8.录屏：支持对全屏/区域的屏幕内容、电脑的声音、麦克风声音、摄像头内容进行录制；支持切换录制的分辨率。</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8.PDF格式转化：支持在线对PDF的文件进行转换格式，转换为XLSX、DOCX、PPT;转换后文件内容的排布与源PDF保持基本一致；支持对转换后的文件进行编辑，包括(编辑文本、编辑表格、编辑图片);转换后支持下载文件至电脑本地。</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10.图片转格式：支持对图片进行在线转换格式，图片原始格式为bmp、jpg、jpeg、png、tif、webp、heic;转换为jpg、png;转换后支持下载图片到电脑本地。</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1.文字快剪：支持提取视频的声音并转换成文字，自动识别出语气词，用户可选择删除，支持手动删除文字从而达到剪辑的目的。（提供带有CNAS和CMA标识的国家级检测报告扫描件）</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12.指令下发：支持对单个电脑或批量设备下发关机与重启指令、移动分组、移除设备。</w:t>
            </w:r>
            <w:r>
              <w:rPr>
                <w:rFonts w:hint="eastAsia" w:ascii="宋体" w:hAnsi="宋体" w:eastAsia="宋体" w:cs="宋体"/>
                <w:i w:val="0"/>
                <w:iCs w:val="0"/>
                <w:color w:val="000000"/>
                <w:kern w:val="0"/>
                <w:sz w:val="44"/>
                <w:szCs w:val="44"/>
                <w:u w:val="none"/>
                <w:lang w:val="en-US" w:eastAsia="zh-CN" w:bidi="ar"/>
              </w:rPr>
              <w:br w:type="textWrapping"/>
            </w:r>
            <w:r>
              <w:rPr>
                <w:rFonts w:hint="eastAsia" w:ascii="宋体" w:hAnsi="宋体" w:eastAsia="宋体" w:cs="宋体"/>
                <w:i w:val="0"/>
                <w:iCs w:val="0"/>
                <w:color w:val="000000"/>
                <w:kern w:val="0"/>
                <w:sz w:val="44"/>
                <w:szCs w:val="44"/>
                <w:u w:val="none"/>
                <w:lang w:val="en-US" w:eastAsia="zh-CN" w:bidi="ar"/>
              </w:rPr>
              <w:t>13.状态查看：支持展示电脑实时的数据信息，包括CPU、内存、系统盘、总存储、实时网速数据信息，离线的设备展示最后的数据信息。</w:t>
            </w:r>
          </w:p>
        </w:tc>
      </w:tr>
    </w:tbl>
    <w:p w14:paraId="2FB9D42E"/>
    <w:p w14:paraId="54AAB72C"/>
    <w:p w14:paraId="0CEFA788"/>
    <w:p w14:paraId="28847217"/>
    <w:p w14:paraId="6D8EFADA"/>
    <w:p w14:paraId="3CA9C8C1"/>
    <w:p w14:paraId="140E4E9D"/>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543C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00B6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900B6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D01DA"/>
    <w:rsid w:val="1CC94CAB"/>
    <w:rsid w:val="45AF1F85"/>
    <w:rsid w:val="69CD01DA"/>
    <w:rsid w:val="75AC5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4409</Words>
  <Characters>4757</Characters>
  <Lines>0</Lines>
  <Paragraphs>0</Paragraphs>
  <TotalTime>0</TotalTime>
  <ScaleCrop>false</ScaleCrop>
  <LinksUpToDate>false</LinksUpToDate>
  <CharactersWithSpaces>4761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2026-04-07T09:15:00Z</dcterms:created>
  <dc:creator>微信用户</dc:creator>
  <cp:lastModifiedBy>微信用户</cp:lastModifiedBy>
  <dcterms:modified xsi:type="dcterms:W3CDTF">2026-04-23T03:10:02Z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EB1695674E4141569FA7830D3D9CDF09_13</vt:lpwstr>
  </property>
  <property fmtid="{D5CDD505-2E9C-101B-9397-08002B2CF9AE}" pid="4" name="KSOTemplateDocerSaveRecord">
    <vt:lpwstr>eyJoZGlkIjoiYzU3N2RmMTc1ZGJhZWZlY2IyMDFjMzQzZTUzYTBiZTEiLCJ1c2VySWQiOiIxMzM0MDk1MzU0In0=</vt:lpwstr>
  </property>
</Properties>
</file>