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2E13E">
      <w:pPr>
        <w:autoSpaceDE w:val="0"/>
        <w:autoSpaceDN w:val="0"/>
        <w:adjustRightInd w:val="0"/>
        <w:jc w:val="center"/>
        <w:rPr>
          <w:rFonts w:hint="eastAsia" w:ascii="宋体" w:hAnsi="宋体" w:eastAsia="宋体" w:cs="宋体"/>
          <w:b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44"/>
          <w:szCs w:val="44"/>
          <w:lang w:val="en-US" w:eastAsia="zh-CN"/>
        </w:rPr>
        <w:t>安徽省地质博物馆甲级钢制防火门采购需求</w:t>
      </w:r>
    </w:p>
    <w:p w14:paraId="3FFA3E2B">
      <w:pPr>
        <w:pStyle w:val="3"/>
        <w:ind w:firstLine="0" w:firstLineChars="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一、技术标准要求</w:t>
      </w:r>
    </w:p>
    <w:p w14:paraId="4F46FCA8">
      <w:pPr>
        <w:pStyle w:val="3"/>
        <w:ind w:firstLine="480"/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（一）实施内容</w:t>
      </w:r>
    </w:p>
    <w:p w14:paraId="4CC7F172">
      <w:pPr>
        <w:pStyle w:val="3"/>
        <w:ind w:firstLine="48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拆除原破损消防门框、门板及相关配件及不符合防火要求的防水卷材，重点清理原材残留碎屑，尤其是燃芯材，需单独收集处理。采购安装防腐、防锈性能优越，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符合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国家标准、具有优异的隔热、阻燃性能的钢制防火门。</w:t>
      </w:r>
    </w:p>
    <w:p w14:paraId="0D1FDAE9">
      <w:pPr>
        <w:pStyle w:val="3"/>
        <w:ind w:firstLine="480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（二）施工目标</w:t>
      </w:r>
    </w:p>
    <w:p w14:paraId="492FFE39">
      <w:pPr>
        <w:pStyle w:val="3"/>
        <w:ind w:firstLine="480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严格按照既定的安装流程进行操作。首先，对安装现场进行清理和准备，确保安装环境符合要求。然后，将根据门的尺寸和安装位置进行精确的定位和安装。在安装过程中，使用专业的工具和设备，确保门的安装精度和稳定性。最后，将对安装好的门进行全面的检查和调试，确保门的各项性能指标符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要求。</w:t>
      </w:r>
    </w:p>
    <w:p w14:paraId="6955EEBC">
      <w:pPr>
        <w:pStyle w:val="3"/>
        <w:ind w:firstLine="480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（三）安全管理措施</w:t>
      </w:r>
    </w:p>
    <w:p w14:paraId="4CC691FB">
      <w:pPr>
        <w:pStyle w:val="3"/>
        <w:ind w:firstLine="48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高度重视项目中的安全问题，制定详细的安全操作规程，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确保场馆开放不受影响，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并为安装人员配备必要的安全防护用品。在安装现场，将设置明显的安全警示标志，确保施工过程中不会对人员和财产造成损害。同时，本馆将加强安全管理工作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1E6D229">
      <w:pPr>
        <w:pStyle w:val="3"/>
        <w:ind w:firstLine="480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（四）参数要求及清单，具体如下表: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18"/>
        <w:gridCol w:w="746"/>
        <w:gridCol w:w="1776"/>
        <w:gridCol w:w="3944"/>
      </w:tblGrid>
      <w:tr w14:paraId="35127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</w:tcPr>
          <w:p w14:paraId="5D81D041">
            <w:pPr>
              <w:snapToGrid w:val="0"/>
              <w:spacing w:before="165" w:beforeLines="50"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418" w:type="dxa"/>
          </w:tcPr>
          <w:p w14:paraId="6AA8C6F2">
            <w:pPr>
              <w:snapToGrid w:val="0"/>
              <w:spacing w:before="165" w:beforeLines="50"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名称</w:t>
            </w:r>
          </w:p>
        </w:tc>
        <w:tc>
          <w:tcPr>
            <w:tcW w:w="746" w:type="dxa"/>
          </w:tcPr>
          <w:p w14:paraId="7F33FBEC">
            <w:pPr>
              <w:snapToGrid w:val="0"/>
              <w:spacing w:before="165" w:beforeLines="50"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1776" w:type="dxa"/>
          </w:tcPr>
          <w:p w14:paraId="55904C9B">
            <w:pPr>
              <w:snapToGrid w:val="0"/>
              <w:spacing w:before="165" w:beforeLines="50"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尺寸（宽*高）</w:t>
            </w:r>
          </w:p>
        </w:tc>
        <w:tc>
          <w:tcPr>
            <w:tcW w:w="3944" w:type="dxa"/>
          </w:tcPr>
          <w:p w14:paraId="2FAEB4AF">
            <w:pPr>
              <w:snapToGrid w:val="0"/>
              <w:spacing w:before="165" w:beforeLines="50"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规格参数</w:t>
            </w:r>
          </w:p>
        </w:tc>
      </w:tr>
      <w:tr w14:paraId="5D7E9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638" w:type="dxa"/>
            <w:vAlign w:val="center"/>
          </w:tcPr>
          <w:p w14:paraId="54CEB07C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1FE95B40">
            <w:pPr>
              <w:snapToGrid w:val="0"/>
              <w:spacing w:before="165" w:beforeLines="50" w:line="360" w:lineRule="auto"/>
              <w:jc w:val="both"/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品牌：</w:t>
            </w:r>
          </w:p>
          <w:p w14:paraId="1E52818C">
            <w:pPr>
              <w:snapToGrid w:val="0"/>
              <w:spacing w:before="165" w:beforeLines="50" w:line="360" w:lineRule="auto"/>
              <w:jc w:val="both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霍曼甲级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钢质防火门</w:t>
            </w:r>
          </w:p>
        </w:tc>
        <w:tc>
          <w:tcPr>
            <w:tcW w:w="746" w:type="dxa"/>
            <w:vAlign w:val="center"/>
          </w:tcPr>
          <w:p w14:paraId="1BAF5F2D">
            <w:pPr>
              <w:snapToGrid w:val="0"/>
              <w:spacing w:before="165" w:beforeLines="50" w:line="360" w:lineRule="auto"/>
              <w:jc w:val="center"/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  <w:vAlign w:val="center"/>
          </w:tcPr>
          <w:p w14:paraId="504B9799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1460mm*2100mm</w:t>
            </w:r>
          </w:p>
        </w:tc>
        <w:tc>
          <w:tcPr>
            <w:tcW w:w="3944" w:type="dxa"/>
            <w:vMerge w:val="restart"/>
          </w:tcPr>
          <w:p w14:paraId="05DEA0B9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钢质防火门符合现行防火门标准；表面工艺根据选定款式与色卡。</w:t>
            </w:r>
          </w:p>
          <w:p w14:paraId="17BA01EF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钢质防火门符合现行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国家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防火门标准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满足消防验收要求，有完整的防火门标识、形式认可证书及检测报告。颜色由业主根据RAL国际标准色系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色卡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选定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。</w:t>
            </w:r>
          </w:p>
          <w:p w14:paraId="26F03A30">
            <w:pPr>
              <w:numPr>
                <w:ilvl w:val="0"/>
                <w:numId w:val="1"/>
              </w:numPr>
              <w:adjustRightInd w:val="0"/>
              <w:snapToGrid w:val="0"/>
              <w:jc w:val="left"/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主要技术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及结构要求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：</w:t>
            </w:r>
          </w:p>
          <w:p w14:paraId="01214258">
            <w:pPr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耐火等级为甲级，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耐火时限为1.5h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，门扇厚度62mm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门扇采用双层钢板，内部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采用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不含甲醛的膨胀蛭石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防火板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填充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门体表面采用静电粉末喷涂工艺。</w:t>
            </w:r>
          </w:p>
          <w:p w14:paraId="051BC0E7">
            <w:pPr>
              <w:numPr>
                <w:ilvl w:val="0"/>
                <w:numId w:val="1"/>
              </w:numPr>
              <w:adjustRightInd w:val="0"/>
              <w:snapToGrid w:val="0"/>
              <w:ind w:left="0" w:leftChars="0" w:firstLine="0" w:firstLineChars="0"/>
              <w:jc w:val="left"/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性能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：</w:t>
            </w:r>
          </w:p>
          <w:p w14:paraId="30C11B40"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门框：采用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宝钢汽车级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优质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无油热镀锌钢板，厚度为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mm；</w:t>
            </w:r>
          </w:p>
          <w:p w14:paraId="49418859">
            <w:pPr>
              <w:adjustRightInd w:val="0"/>
              <w:snapToGrid w:val="0"/>
              <w:jc w:val="left"/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门扇：采用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宝钢汽车级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优质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无油热镀锌钢板，厚度为0.8mm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；</w:t>
            </w:r>
          </w:p>
          <w:p w14:paraId="3DE975E9">
            <w:pPr>
              <w:adjustRightInd w:val="0"/>
              <w:snapToGrid w:val="0"/>
              <w:jc w:val="left"/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保温系数：U=1.9W（㎡·K）</w:t>
            </w:r>
          </w:p>
          <w:p w14:paraId="5B5C4BBE">
            <w:pPr>
              <w:adjustRightInd w:val="0"/>
              <w:snapToGrid w:val="0"/>
              <w:jc w:val="left"/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隔音系数：R=36dB</w:t>
            </w:r>
          </w:p>
          <w:p w14:paraId="4AF76BEC">
            <w:pPr>
              <w:adjustRightInd w:val="0"/>
              <w:snapToGrid w:val="0"/>
              <w:jc w:val="left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气密性：国标8级（GB/T7106-2019）</w:t>
            </w:r>
          </w:p>
          <w:p w14:paraId="19AC2AC9">
            <w:pPr>
              <w:adjustRightInd w:val="0"/>
              <w:snapToGrid w:val="0"/>
              <w:jc w:val="left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水密性：国标3级（GB/T7106-2019）</w:t>
            </w:r>
          </w:p>
          <w:p w14:paraId="2159B357">
            <w:pPr>
              <w:adjustRightInd w:val="0"/>
              <w:snapToGrid w:val="0"/>
              <w:jc w:val="left"/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抗风压性：国标7级（GB/T7106-2019）</w:t>
            </w:r>
          </w:p>
          <w:p w14:paraId="696341A3">
            <w:pPr>
              <w:adjustRightInd w:val="0"/>
              <w:snapToGrid w:val="0"/>
              <w:jc w:val="left"/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门框宽度：114mm</w:t>
            </w:r>
          </w:p>
          <w:p w14:paraId="7DB07B3C">
            <w:pPr>
              <w:adjustRightInd w:val="0"/>
              <w:snapToGrid w:val="0"/>
              <w:jc w:val="left"/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合页：不锈钢轴承合页</w:t>
            </w:r>
          </w:p>
          <w:p w14:paraId="06FAB1C4">
            <w:pPr>
              <w:adjustRightInd w:val="0"/>
              <w:snapToGrid w:val="0"/>
              <w:jc w:val="left"/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把手：不锈钢防火把手/把手</w:t>
            </w:r>
          </w:p>
          <w:p w14:paraId="1F3AC1C0">
            <w:pPr>
              <w:adjustRightInd w:val="0"/>
              <w:snapToGrid w:val="0"/>
              <w:jc w:val="left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锁体：联动插入式防火锁体</w:t>
            </w:r>
          </w:p>
          <w:p w14:paraId="0516FED9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质量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：门体牢固，表面光滑，漆层应均匀、平整、光滑、没有堆漆、麻点、气泡漏涂以及流淌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表面无明显凹凸、擦痕等缺陷。</w:t>
            </w:r>
          </w:p>
        </w:tc>
      </w:tr>
      <w:tr w14:paraId="7D4F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8" w:type="dxa"/>
            <w:vAlign w:val="center"/>
          </w:tcPr>
          <w:p w14:paraId="2A1BDEE0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8" w:type="dxa"/>
            <w:vMerge w:val="continue"/>
            <w:vAlign w:val="center"/>
          </w:tcPr>
          <w:p w14:paraId="73530621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5DAFE7B8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481A5103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1480mm*2410mm</w:t>
            </w:r>
          </w:p>
        </w:tc>
        <w:tc>
          <w:tcPr>
            <w:tcW w:w="3944" w:type="dxa"/>
            <w:vMerge w:val="continue"/>
          </w:tcPr>
          <w:p w14:paraId="2733A21A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7F37C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8" w:type="dxa"/>
            <w:vAlign w:val="center"/>
          </w:tcPr>
          <w:p w14:paraId="7B5822C8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8" w:type="dxa"/>
            <w:vMerge w:val="continue"/>
            <w:vAlign w:val="center"/>
          </w:tcPr>
          <w:p w14:paraId="2826307F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54DE3507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7CFD1ABA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1520mm*2120mm</w:t>
            </w:r>
          </w:p>
        </w:tc>
        <w:tc>
          <w:tcPr>
            <w:tcW w:w="3944" w:type="dxa"/>
            <w:vMerge w:val="continue"/>
          </w:tcPr>
          <w:p w14:paraId="5D952438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0C16A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8" w:type="dxa"/>
            <w:vAlign w:val="center"/>
          </w:tcPr>
          <w:p w14:paraId="4B448037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8" w:type="dxa"/>
            <w:vMerge w:val="continue"/>
            <w:vAlign w:val="center"/>
          </w:tcPr>
          <w:p w14:paraId="60CD0D74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74FF9A35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4080F912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1030mm*2110mm</w:t>
            </w:r>
          </w:p>
        </w:tc>
        <w:tc>
          <w:tcPr>
            <w:tcW w:w="3944" w:type="dxa"/>
            <w:vMerge w:val="continue"/>
          </w:tcPr>
          <w:p w14:paraId="547CCC55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175E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8" w:type="dxa"/>
            <w:vAlign w:val="center"/>
          </w:tcPr>
          <w:p w14:paraId="2D7BC608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8" w:type="dxa"/>
            <w:vMerge w:val="continue"/>
            <w:vAlign w:val="center"/>
          </w:tcPr>
          <w:p w14:paraId="365FBA3C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4CD62075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221FE09F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1520mm*2120mm</w:t>
            </w:r>
          </w:p>
        </w:tc>
        <w:tc>
          <w:tcPr>
            <w:tcW w:w="3944" w:type="dxa"/>
            <w:vMerge w:val="continue"/>
          </w:tcPr>
          <w:p w14:paraId="16CD82DB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19C7C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8" w:type="dxa"/>
            <w:vAlign w:val="center"/>
          </w:tcPr>
          <w:p w14:paraId="4EF25E44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8" w:type="dxa"/>
            <w:vMerge w:val="continue"/>
            <w:vAlign w:val="center"/>
          </w:tcPr>
          <w:p w14:paraId="5A2C9919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598D2C53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20C0D486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1440mm*2080mm</w:t>
            </w:r>
          </w:p>
        </w:tc>
        <w:tc>
          <w:tcPr>
            <w:tcW w:w="3944" w:type="dxa"/>
            <w:vMerge w:val="continue"/>
          </w:tcPr>
          <w:p w14:paraId="7D59B9BE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78A3C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8" w:type="dxa"/>
            <w:vAlign w:val="center"/>
          </w:tcPr>
          <w:p w14:paraId="59A68343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18" w:type="dxa"/>
            <w:vMerge w:val="continue"/>
            <w:vAlign w:val="center"/>
          </w:tcPr>
          <w:p w14:paraId="69AD9200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77FB1477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60D465C4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1450mm*2390mm</w:t>
            </w:r>
          </w:p>
        </w:tc>
        <w:tc>
          <w:tcPr>
            <w:tcW w:w="3944" w:type="dxa"/>
            <w:vMerge w:val="continue"/>
          </w:tcPr>
          <w:p w14:paraId="2BD42671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3D9B8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8" w:type="dxa"/>
            <w:vAlign w:val="center"/>
          </w:tcPr>
          <w:p w14:paraId="1F43569A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8" w:type="dxa"/>
            <w:vMerge w:val="continue"/>
            <w:vAlign w:val="center"/>
          </w:tcPr>
          <w:p w14:paraId="14F66CD3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01C896B8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6BFB0584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1460mm*2400mm</w:t>
            </w:r>
          </w:p>
        </w:tc>
        <w:tc>
          <w:tcPr>
            <w:tcW w:w="3944" w:type="dxa"/>
            <w:vMerge w:val="continue"/>
          </w:tcPr>
          <w:p w14:paraId="5A263C8C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4CD35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8" w:type="dxa"/>
            <w:vAlign w:val="center"/>
          </w:tcPr>
          <w:p w14:paraId="43CB862A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18" w:type="dxa"/>
            <w:vMerge w:val="continue"/>
            <w:vAlign w:val="center"/>
          </w:tcPr>
          <w:p w14:paraId="3C76054B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2C39447F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7481111F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1460mm*2070mm</w:t>
            </w:r>
          </w:p>
        </w:tc>
        <w:tc>
          <w:tcPr>
            <w:tcW w:w="3944" w:type="dxa"/>
            <w:vMerge w:val="continue"/>
          </w:tcPr>
          <w:p w14:paraId="28000E96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0AD2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8" w:type="dxa"/>
            <w:vAlign w:val="center"/>
          </w:tcPr>
          <w:p w14:paraId="1E623B55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18" w:type="dxa"/>
            <w:vMerge w:val="continue"/>
            <w:vAlign w:val="center"/>
          </w:tcPr>
          <w:p w14:paraId="68E31DBC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1F158CD0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52B087B2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1450mm*2400mm</w:t>
            </w:r>
          </w:p>
        </w:tc>
        <w:tc>
          <w:tcPr>
            <w:tcW w:w="3944" w:type="dxa"/>
            <w:vMerge w:val="continue"/>
          </w:tcPr>
          <w:p w14:paraId="0898555C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2AC6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8" w:type="dxa"/>
            <w:vAlign w:val="center"/>
          </w:tcPr>
          <w:p w14:paraId="41C89C9D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18" w:type="dxa"/>
            <w:vMerge w:val="continue"/>
            <w:vAlign w:val="center"/>
          </w:tcPr>
          <w:p w14:paraId="646163CD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44787095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22E8C215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1450mm*2390mm</w:t>
            </w:r>
          </w:p>
        </w:tc>
        <w:tc>
          <w:tcPr>
            <w:tcW w:w="3944" w:type="dxa"/>
            <w:vMerge w:val="continue"/>
          </w:tcPr>
          <w:p w14:paraId="368910E8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45E7A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8" w:type="dxa"/>
            <w:vAlign w:val="center"/>
          </w:tcPr>
          <w:p w14:paraId="4CD9AB3E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18" w:type="dxa"/>
            <w:vMerge w:val="continue"/>
            <w:vAlign w:val="center"/>
          </w:tcPr>
          <w:p w14:paraId="42945435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156EC771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4061EC5F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1520mm*2130mm</w:t>
            </w:r>
          </w:p>
        </w:tc>
        <w:tc>
          <w:tcPr>
            <w:tcW w:w="3944" w:type="dxa"/>
            <w:vMerge w:val="continue"/>
          </w:tcPr>
          <w:p w14:paraId="033A3673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32F09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8" w:type="dxa"/>
            <w:vAlign w:val="center"/>
          </w:tcPr>
          <w:p w14:paraId="432EEA7C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18" w:type="dxa"/>
            <w:vMerge w:val="continue"/>
            <w:vAlign w:val="center"/>
          </w:tcPr>
          <w:p w14:paraId="69473864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1EE8C2E6">
            <w:pPr>
              <w:snapToGrid w:val="0"/>
              <w:spacing w:before="165" w:beforeLines="50" w:line="360" w:lineRule="auto"/>
              <w:jc w:val="center"/>
              <w:rPr>
                <w:rFonts w:ascii="Cambria" w:hAnsi="Cambria" w:eastAsia="等线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3F7CEDF0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1430mm*2480mm</w:t>
            </w:r>
          </w:p>
        </w:tc>
        <w:tc>
          <w:tcPr>
            <w:tcW w:w="3944" w:type="dxa"/>
            <w:vMerge w:val="continue"/>
          </w:tcPr>
          <w:p w14:paraId="678ECC3F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39B40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8" w:type="dxa"/>
            <w:vAlign w:val="center"/>
          </w:tcPr>
          <w:p w14:paraId="0D67CFBA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18" w:type="dxa"/>
            <w:vMerge w:val="continue"/>
            <w:vAlign w:val="center"/>
          </w:tcPr>
          <w:p w14:paraId="67ED9B31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5A400853">
            <w:pPr>
              <w:snapToGrid w:val="0"/>
              <w:spacing w:before="165" w:beforeLines="50" w:line="360" w:lineRule="auto"/>
              <w:jc w:val="center"/>
              <w:rPr>
                <w:rFonts w:ascii="Cambria" w:hAnsi="Cambria" w:eastAsia="等线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2BADFBA9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1450mm*2110mm</w:t>
            </w:r>
          </w:p>
        </w:tc>
        <w:tc>
          <w:tcPr>
            <w:tcW w:w="3944" w:type="dxa"/>
            <w:vMerge w:val="continue"/>
          </w:tcPr>
          <w:p w14:paraId="260A4C25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3C96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8" w:type="dxa"/>
            <w:vAlign w:val="center"/>
          </w:tcPr>
          <w:p w14:paraId="55F9071C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18" w:type="dxa"/>
            <w:vMerge w:val="continue"/>
            <w:vAlign w:val="center"/>
          </w:tcPr>
          <w:p w14:paraId="5966974B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0EA2BF11">
            <w:pPr>
              <w:snapToGrid w:val="0"/>
              <w:spacing w:before="165" w:beforeLines="50" w:line="360" w:lineRule="auto"/>
              <w:jc w:val="center"/>
              <w:rPr>
                <w:rFonts w:ascii="Cambria" w:hAnsi="Cambria" w:eastAsia="等线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17C80D4B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1450mm*2070mm</w:t>
            </w:r>
          </w:p>
        </w:tc>
        <w:tc>
          <w:tcPr>
            <w:tcW w:w="3944" w:type="dxa"/>
            <w:vMerge w:val="continue"/>
          </w:tcPr>
          <w:p w14:paraId="1B57141F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60EA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8" w:type="dxa"/>
            <w:vAlign w:val="center"/>
          </w:tcPr>
          <w:p w14:paraId="5FD07503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418" w:type="dxa"/>
            <w:vMerge w:val="continue"/>
            <w:vAlign w:val="center"/>
          </w:tcPr>
          <w:p w14:paraId="4C2EAC73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5E1015C0">
            <w:pPr>
              <w:snapToGrid w:val="0"/>
              <w:spacing w:before="165" w:beforeLines="50" w:line="360" w:lineRule="auto"/>
              <w:jc w:val="center"/>
              <w:rPr>
                <w:rFonts w:ascii="Cambria" w:hAnsi="Cambria" w:eastAsia="等线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6569F7CA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1520mm*2420mm</w:t>
            </w:r>
          </w:p>
        </w:tc>
        <w:tc>
          <w:tcPr>
            <w:tcW w:w="3944" w:type="dxa"/>
            <w:vMerge w:val="continue"/>
          </w:tcPr>
          <w:p w14:paraId="7AB701A0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42DC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8" w:type="dxa"/>
            <w:vAlign w:val="center"/>
          </w:tcPr>
          <w:p w14:paraId="2C0E09F9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18" w:type="dxa"/>
            <w:vMerge w:val="continue"/>
            <w:vAlign w:val="center"/>
          </w:tcPr>
          <w:p w14:paraId="0080FECD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34AEDB1D">
            <w:pPr>
              <w:snapToGrid w:val="0"/>
              <w:spacing w:before="165" w:beforeLines="50" w:line="360" w:lineRule="auto"/>
              <w:jc w:val="center"/>
              <w:rPr>
                <w:rFonts w:ascii="Cambria" w:hAnsi="Cambria" w:eastAsia="等线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0E222388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950mm*2400mm</w:t>
            </w:r>
          </w:p>
        </w:tc>
        <w:tc>
          <w:tcPr>
            <w:tcW w:w="3944" w:type="dxa"/>
            <w:vMerge w:val="continue"/>
          </w:tcPr>
          <w:p w14:paraId="64C009BB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0DD0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8" w:type="dxa"/>
            <w:vAlign w:val="center"/>
          </w:tcPr>
          <w:p w14:paraId="04246329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18" w:type="dxa"/>
            <w:vMerge w:val="continue"/>
            <w:vAlign w:val="center"/>
          </w:tcPr>
          <w:p w14:paraId="73F5D811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39C21FF9">
            <w:pPr>
              <w:snapToGrid w:val="0"/>
              <w:spacing w:before="165" w:beforeLines="50" w:line="360" w:lineRule="auto"/>
              <w:jc w:val="center"/>
              <w:rPr>
                <w:rFonts w:ascii="Cambria" w:hAnsi="Cambria" w:eastAsia="等线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2DD676EF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950mm*2330mm</w:t>
            </w:r>
          </w:p>
        </w:tc>
        <w:tc>
          <w:tcPr>
            <w:tcW w:w="3944" w:type="dxa"/>
            <w:vMerge w:val="continue"/>
          </w:tcPr>
          <w:p w14:paraId="7218466C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5211C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38" w:type="dxa"/>
            <w:vAlign w:val="center"/>
          </w:tcPr>
          <w:p w14:paraId="01CD374B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418" w:type="dxa"/>
            <w:vMerge w:val="continue"/>
            <w:vAlign w:val="center"/>
          </w:tcPr>
          <w:p w14:paraId="6E8DA2D3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458F2A17">
            <w:pPr>
              <w:snapToGrid w:val="0"/>
              <w:spacing w:before="165" w:beforeLines="50" w:line="360" w:lineRule="auto"/>
              <w:jc w:val="center"/>
              <w:rPr>
                <w:rFonts w:ascii="Cambria" w:hAnsi="Cambria" w:eastAsia="等线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090DBD0D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1150mm*2390mm</w:t>
            </w:r>
          </w:p>
        </w:tc>
        <w:tc>
          <w:tcPr>
            <w:tcW w:w="3944" w:type="dxa"/>
            <w:vMerge w:val="continue"/>
          </w:tcPr>
          <w:p w14:paraId="3D921026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15A3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8" w:type="dxa"/>
            <w:vAlign w:val="center"/>
          </w:tcPr>
          <w:p w14:paraId="4B2DCEF9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418" w:type="dxa"/>
            <w:vMerge w:val="continue"/>
            <w:vAlign w:val="center"/>
          </w:tcPr>
          <w:p w14:paraId="20E07A4E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vAlign w:val="center"/>
          </w:tcPr>
          <w:p w14:paraId="62130A98">
            <w:pPr>
              <w:snapToGrid w:val="0"/>
              <w:spacing w:before="165" w:beforeLines="50" w:line="360" w:lineRule="auto"/>
              <w:jc w:val="center"/>
              <w:rPr>
                <w:rFonts w:ascii="Cambria" w:hAnsi="Cambria" w:eastAsia="等线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1樘</w:t>
            </w:r>
          </w:p>
        </w:tc>
        <w:tc>
          <w:tcPr>
            <w:tcW w:w="1776" w:type="dxa"/>
          </w:tcPr>
          <w:p w14:paraId="344A3791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1540mm*2120mm</w:t>
            </w:r>
          </w:p>
        </w:tc>
        <w:tc>
          <w:tcPr>
            <w:tcW w:w="3944" w:type="dxa"/>
            <w:vMerge w:val="continue"/>
          </w:tcPr>
          <w:p w14:paraId="761F126F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  <w:tr w14:paraId="1653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</w:tcPr>
          <w:p w14:paraId="0B211307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418" w:type="dxa"/>
          </w:tcPr>
          <w:p w14:paraId="3E6B4F8A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旧门拆除搬运</w:t>
            </w:r>
          </w:p>
        </w:tc>
        <w:tc>
          <w:tcPr>
            <w:tcW w:w="746" w:type="dxa"/>
          </w:tcPr>
          <w:p w14:paraId="0B77D5CB">
            <w:pPr>
              <w:snapToGrid w:val="0"/>
              <w:spacing w:before="165" w:beforeLines="50" w:line="360" w:lineRule="auto"/>
              <w:jc w:val="both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1776" w:type="dxa"/>
          </w:tcPr>
          <w:p w14:paraId="66C26A7B">
            <w:pPr>
              <w:snapToGrid w:val="0"/>
              <w:spacing w:before="165" w:beforeLines="50" w:line="360" w:lineRule="auto"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944" w:type="dxa"/>
          </w:tcPr>
          <w:p w14:paraId="45E254FF">
            <w:pPr>
              <w:snapToGrid w:val="0"/>
              <w:spacing w:before="165" w:beforeLines="50" w:line="360" w:lineRule="auto"/>
              <w:jc w:val="left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施工单位负责处理</w:t>
            </w:r>
          </w:p>
        </w:tc>
      </w:tr>
      <w:tr w14:paraId="67814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</w:tcPr>
          <w:p w14:paraId="59EC299A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418" w:type="dxa"/>
          </w:tcPr>
          <w:p w14:paraId="401055BC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另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加钢质门套</w:t>
            </w:r>
          </w:p>
        </w:tc>
        <w:tc>
          <w:tcPr>
            <w:tcW w:w="746" w:type="dxa"/>
          </w:tcPr>
          <w:p w14:paraId="21BDCCCC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1776" w:type="dxa"/>
          </w:tcPr>
          <w:p w14:paraId="570F1AF1">
            <w:pPr>
              <w:snapToGrid w:val="0"/>
              <w:spacing w:before="165" w:beforeLines="50" w:line="360" w:lineRule="auto"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944" w:type="dxa"/>
          </w:tcPr>
          <w:p w14:paraId="2E9AFB47">
            <w:pPr>
              <w:snapToGrid w:val="0"/>
              <w:spacing w:before="165" w:beforeLines="50" w:line="360" w:lineRule="auto"/>
              <w:jc w:val="left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  <w:lang w:val="en-US" w:eastAsia="zh-CN"/>
              </w:rPr>
              <w:t>根据现场实际情况加装门套</w:t>
            </w:r>
          </w:p>
        </w:tc>
      </w:tr>
      <w:tr w14:paraId="2BDB5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</w:tcPr>
          <w:p w14:paraId="275E7D46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418" w:type="dxa"/>
          </w:tcPr>
          <w:p w14:paraId="7641F27D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洞口处理漆）</w:t>
            </w:r>
          </w:p>
        </w:tc>
        <w:tc>
          <w:tcPr>
            <w:tcW w:w="746" w:type="dxa"/>
          </w:tcPr>
          <w:p w14:paraId="25CA2C02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1776" w:type="dxa"/>
          </w:tcPr>
          <w:p w14:paraId="6B353E69">
            <w:pPr>
              <w:snapToGrid w:val="0"/>
              <w:spacing w:before="165" w:beforeLines="50" w:line="360" w:lineRule="auto"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944" w:type="dxa"/>
          </w:tcPr>
          <w:p w14:paraId="635E24A6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DF6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5D99BFBD">
            <w:pPr>
              <w:snapToGrid w:val="0"/>
              <w:spacing w:before="165" w:beforeLines="50" w:line="360" w:lineRule="auto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418" w:type="dxa"/>
          </w:tcPr>
          <w:p w14:paraId="67995077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垃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圾清理、施工区域保洁</w:t>
            </w:r>
          </w:p>
        </w:tc>
        <w:tc>
          <w:tcPr>
            <w:tcW w:w="746" w:type="dxa"/>
            <w:vAlign w:val="center"/>
          </w:tcPr>
          <w:p w14:paraId="1B0F80A8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1776" w:type="dxa"/>
          </w:tcPr>
          <w:p w14:paraId="7E8F9162">
            <w:pPr>
              <w:snapToGrid w:val="0"/>
              <w:spacing w:before="165" w:beforeLines="50" w:line="360" w:lineRule="auto"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944" w:type="dxa"/>
          </w:tcPr>
          <w:p w14:paraId="40D9D55C">
            <w:pPr>
              <w:snapToGrid w:val="0"/>
              <w:spacing w:before="165" w:beforeLines="50"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18E71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</w:tcPr>
          <w:p w14:paraId="0B4D88D2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</w:tcPr>
          <w:p w14:paraId="2D324257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746" w:type="dxa"/>
          </w:tcPr>
          <w:p w14:paraId="68966B69">
            <w:pPr>
              <w:snapToGrid w:val="0"/>
              <w:spacing w:before="165" w:beforeLines="50"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</w:tcPr>
          <w:p w14:paraId="1E0C5089">
            <w:pPr>
              <w:snapToGrid w:val="0"/>
              <w:spacing w:before="165" w:beforeLines="50" w:line="360" w:lineRule="auto"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944" w:type="dxa"/>
          </w:tcPr>
          <w:p w14:paraId="18187300">
            <w:pPr>
              <w:snapToGrid w:val="0"/>
              <w:spacing w:before="165" w:beforeLines="50" w:line="360" w:lineRule="auto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7C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8522" w:type="dxa"/>
            <w:gridSpan w:val="5"/>
          </w:tcPr>
          <w:p w14:paraId="3CEF5C52">
            <w:pPr>
              <w:snapToGrid w:val="0"/>
              <w:spacing w:before="165" w:beforeLines="50" w:line="360" w:lineRule="auto"/>
              <w:jc w:val="left"/>
              <w:rPr>
                <w:rFonts w:ascii="宋体" w:hAnsi="宋体"/>
                <w:b/>
                <w:bCs/>
                <w:color w:val="FF0000"/>
              </w:rPr>
            </w:pPr>
            <w:r>
              <w:rPr>
                <w:rFonts w:ascii="宋体" w:hAnsi="宋体"/>
                <w:b/>
                <w:bCs/>
                <w:color w:val="FF0000"/>
              </w:rPr>
              <w:t>1.</w:t>
            </w:r>
            <w:r>
              <w:rPr>
                <w:rFonts w:hint="eastAsia" w:ascii="宋体" w:hAnsi="宋体"/>
                <w:b/>
                <w:bCs/>
                <w:color w:val="FF0000"/>
              </w:rPr>
              <w:t>以上尺寸仅供参考，投标人须自行踏勘现场，以实际勘察测量尺寸为准；</w:t>
            </w:r>
          </w:p>
        </w:tc>
      </w:tr>
    </w:tbl>
    <w:p w14:paraId="723BD075">
      <w:pPr>
        <w:spacing w:line="560" w:lineRule="exact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 xml:space="preserve"> 二、商务条款</w:t>
      </w:r>
    </w:p>
    <w:p w14:paraId="036A88B4">
      <w:pPr>
        <w:spacing w:line="560" w:lineRule="exact"/>
        <w:ind w:firstLine="640" w:firstLineChars="200"/>
        <w:rPr>
          <w:rFonts w:hint="default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1.产品需保证原厂正品，品牌为霍曼（</w:t>
      </w:r>
      <w:bookmarkStart w:id="0" w:name="OLE_LINK1"/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hoermann</w:t>
      </w:r>
      <w:bookmarkEnd w:id="0"/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），品牌型号不得更改。</w:t>
      </w:r>
    </w:p>
    <w:p w14:paraId="781068A1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2.竞价要求的品牌定义为国家知识产权局注册的商标名称，非公司名称或产品名称。</w:t>
      </w:r>
    </w:p>
    <w:p w14:paraId="58216F30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bookmarkStart w:id="1" w:name="_GoBack"/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中标人在中标后3日内需提供品牌方，针对该项目的销售授权书，供货时需提供品牌工厂盖章的供货证明，以确保产品为原厂正品，保障招标人的权益。</w:t>
      </w:r>
      <w:bookmarkEnd w:id="1"/>
    </w:p>
    <w:p w14:paraId="78055930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．供应商必须全部满足，否则竞价无效。报价供应商必须认真审核报价文件所有要求，如明知不能满足报价文件要求进行恶意竟争的，将根据《政采云平台电子卖场权益维护及纠纷处理规则》的规定报财政厅监管部门处理。</w:t>
      </w:r>
    </w:p>
    <w:p w14:paraId="5720ACEB">
      <w:pPr>
        <w:spacing w:line="560" w:lineRule="exact"/>
        <w:ind w:firstLine="643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★3.1 交货期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：40个工作日天内完成采购安装并验收合格（合同约定之日起算）。</w:t>
      </w:r>
    </w:p>
    <w:p w14:paraId="12C5BB40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3.2  交货方式：现场交货</w:t>
      </w:r>
    </w:p>
    <w:p w14:paraId="0210E196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3.3 交货地点：安徽省地质博物馆。</w:t>
      </w:r>
    </w:p>
    <w:p w14:paraId="2B9B9D34">
      <w:pPr>
        <w:spacing w:line="560" w:lineRule="exact"/>
        <w:ind w:firstLine="643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★3.4 免费质保期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：不少于2年。</w:t>
      </w:r>
    </w:p>
    <w:p w14:paraId="5383403B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免费质保期间，中标人免费包维修、保养、安检、调换等；因人为因素出现的故障不在免费保修范围内。超过保修期的损坏，终生维修，维修时只收部件成本费 。</w:t>
      </w:r>
    </w:p>
    <w:p w14:paraId="04163813">
      <w:pPr>
        <w:spacing w:line="360" w:lineRule="auto"/>
        <w:ind w:firstLine="643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★4.付款方式：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货物全部到场并安装调试验收合格后一次性付清合同价款（无息）。</w:t>
      </w:r>
    </w:p>
    <w:p w14:paraId="714AEA86">
      <w:pPr>
        <w:pStyle w:val="3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/>
          <w:sz w:val="24"/>
        </w:rPr>
        <w:t>5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.履约保证金</w:t>
      </w:r>
    </w:p>
    <w:p w14:paraId="3C6E26B8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本项目不收取履约保证金。</w:t>
      </w:r>
    </w:p>
    <w:p w14:paraId="205FF6E6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6.货币：本次采购文件所涉及货币币种均为人民币。</w:t>
      </w:r>
    </w:p>
    <w:p w14:paraId="1F77A74F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7.备品备件及耗材等要求：无。</w:t>
      </w:r>
    </w:p>
    <w:p w14:paraId="2A4D30BE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8.应急响应要求</w:t>
      </w:r>
    </w:p>
    <w:p w14:paraId="65948AD2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投标人承诺接到售后需求电话0.5小时内响应，2小时内到达维修现场并排除故障。</w:t>
      </w:r>
    </w:p>
    <w:p w14:paraId="3C5A71F8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9.竞价要求：包含但不限于原旧门拆除费、闭门器、防火铰链、拉手、顺序器外的防火门扇、门框、门框以内灌浆所有材料费及加工费、安装费、五金费、钢制防火门所使用的运输费、二次倒运、垂直运输上下力费、脚手架费、水电费、仓储费、油漆费、调试配合费及保修期内的维保费、现场保管费、运输保险费、成品保护费、消防验收所需的各项检验检测费（检测报告）、垃圾清理及外运、所有措施费、利润、各项有关规费和政策性规定费用及供应商确认为需要的其它费用等，直至交付至采购人使用时所需要的各种费用（包含所有隐含的内容），全费用综合单价不因各级门颜色和门把开启方向的不同而产生影响。</w:t>
      </w:r>
    </w:p>
    <w:p w14:paraId="3D34AB93">
      <w:pPr>
        <w:numPr>
          <w:ilvl w:val="0"/>
          <w:numId w:val="0"/>
        </w:numPr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三、其他</w:t>
      </w:r>
    </w:p>
    <w:p w14:paraId="16957726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1.工作中涉及的敏感资料、电子数据等相关信息，成交供应商应严格执行保密的相关规定，不得以任何方式向任何第三人披露、泄露或许可第三人使用，否则追究其相应法律责任</w:t>
      </w:r>
    </w:p>
    <w:p w14:paraId="4F5922B2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★2.施工过程中，人员的人身安全由供货商自行承担；造成甲方的公共物品损毁的，应由供货商修复或承担赔偿责任。</w:t>
      </w:r>
    </w:p>
    <w:p w14:paraId="0F04B73B">
      <w:pPr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</w:p>
    <w:p w14:paraId="6EF03E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金山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6C05C9"/>
    <w:multiLevelType w:val="singleLevel"/>
    <w:tmpl w:val="E36C05C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kZWIxNWY4YjRmNmE0MDEzOTU1NWY2ZTBmYTcyZGEifQ=="/>
  </w:docVars>
  <w:rsids>
    <w:rsidRoot w:val="476B2085"/>
    <w:rsid w:val="00C25D5A"/>
    <w:rsid w:val="01415CD2"/>
    <w:rsid w:val="0B1F20DB"/>
    <w:rsid w:val="0F876528"/>
    <w:rsid w:val="10374E70"/>
    <w:rsid w:val="17410C39"/>
    <w:rsid w:val="1B5C33C1"/>
    <w:rsid w:val="1B917360"/>
    <w:rsid w:val="22806203"/>
    <w:rsid w:val="2E5D6B1E"/>
    <w:rsid w:val="30B00646"/>
    <w:rsid w:val="33BA5B4C"/>
    <w:rsid w:val="344179F4"/>
    <w:rsid w:val="34C2305C"/>
    <w:rsid w:val="378F66A8"/>
    <w:rsid w:val="38BB7B3D"/>
    <w:rsid w:val="391F00CC"/>
    <w:rsid w:val="3A40759F"/>
    <w:rsid w:val="3A8C4B96"/>
    <w:rsid w:val="3E5A3954"/>
    <w:rsid w:val="411C2433"/>
    <w:rsid w:val="46F54B62"/>
    <w:rsid w:val="476B2085"/>
    <w:rsid w:val="4BCC4B62"/>
    <w:rsid w:val="4C8C11C2"/>
    <w:rsid w:val="51393AA5"/>
    <w:rsid w:val="52CF6267"/>
    <w:rsid w:val="579655A5"/>
    <w:rsid w:val="5ABB3CAA"/>
    <w:rsid w:val="5C4C6B7A"/>
    <w:rsid w:val="62341AA6"/>
    <w:rsid w:val="639B321F"/>
    <w:rsid w:val="6BC56001"/>
    <w:rsid w:val="71002F07"/>
    <w:rsid w:val="720C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ascii="金山简黑体" w:hAnsi="Courier New" w:eastAsia="金山简黑体" w:cs="Times New Roman"/>
      <w:b/>
      <w:spacing w:val="-8"/>
      <w:sz w:val="44"/>
      <w:szCs w:val="20"/>
    </w:rPr>
  </w:style>
  <w:style w:type="paragraph" w:styleId="3">
    <w:name w:val="Plain Text"/>
    <w:basedOn w:val="1"/>
    <w:autoRedefine/>
    <w:qFormat/>
    <w:uiPriority w:val="99"/>
    <w:pPr>
      <w:spacing w:line="360" w:lineRule="auto"/>
      <w:ind w:firstLine="922" w:firstLineChars="200"/>
    </w:pPr>
    <w:rPr>
      <w:rFonts w:ascii="宋体" w:hAnsi="Courier New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1910</Words>
  <Characters>2259</Characters>
  <Lines>0</Lines>
  <Paragraphs>0</Paragraphs>
  <TotalTime>7</TotalTime>
  <ScaleCrop>false</ScaleCrop>
  <LinksUpToDate>false</LinksUpToDate>
  <CharactersWithSpaces>2267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2026-01-05T03:25:00Z</dcterms:created>
  <dc:creator>王磊</dc:creator>
  <cp:lastModifiedBy>www</cp:lastModifiedBy>
  <cp:lastPrinted>2026-03-16T03:25:00Z</cp:lastPrinted>
  <dcterms:modified xsi:type="dcterms:W3CDTF">2026-03-31T01:42:26Z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60203B024004486DB5282FB3B2A4DA1F_13</vt:lpwstr>
  </property>
  <property fmtid="{D5CDD505-2E9C-101B-9397-08002B2CF9AE}" pid="4" name="KSOTemplateDocerSaveRecord">
    <vt:lpwstr>eyJoZGlkIjoiMDljM2JlZDkwYWMwYjUyNzg4MGI2NWMyMWVkMzkyZjciLCJ1c2VySWQiOiI1ODE0Nzg1MTUifQ==</vt:lpwstr>
  </property>
</Properties>
</file>