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shd w:val="clear" w:fill="FFFFFF"/>
        </w:rPr>
      </w:pPr>
      <w:r>
        <w:rPr>
          <w:rFonts w:ascii="微软雅黑" w:hAnsi="微软雅黑" w:eastAsia="微软雅黑" w:cs="微软雅黑"/>
          <w:i w:val="0"/>
          <w:caps w:val="0"/>
          <w:color w:val="404040"/>
          <w:spacing w:val="0"/>
          <w:sz w:val="24"/>
          <w:szCs w:val="24"/>
          <w:shd w:val="clear" w:fill="FFFFFF"/>
        </w:rPr>
        <w:t>深信服科技（SANGFOR）SIP-Logger-A600-LS日志分析管理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1.主机审计许可证书数量：50，每秒处理日志数（eps）性能：2500。标准机架式2U设备，内存大小：16G，硬盘容量：4TB，接口数量不少于6个千兆电口，2万兆光口SFP+，至少含三年软件升级和质保；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2.支持安全设备、网络设备、中间件、服务器、数据库、操作系统、业务系统等不少于800种日志对象的日志数据采集。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3.支持主动、被动相结合的数据采集方式，支持通过Agent采集日志数据，支持通过syslog、SNMP Trap、JDBC、WMI、webservice、FTP、SFTP、文件\文件夹读取、Kafka等多种方式完成日志收集。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4.内置大量日志处理模型，自动解析主流网络设备、安全设备和中间件的日志数据，标准化自动识别系统类型至少达到200种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5.支持通过正则、分隔符、json、xml的可视方式进行自定义规则解析，支持对解析结果字段的新增、合并、映射，；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6.支持对每个日志源设置过滤条件规则，自动过滤无用日志，满足根据实际业务需求减少采集对象发送到核心服务器的安全事件数，减少对网络带宽和数据库存储空间的占用。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7.支持解码小工具，按照不同的解码方式解码成不同的目标内容，编码格式包括base64、Unicode、GBK、HEX、UTF-8等，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8.★为保障日志传输安全性，支持TLS加密方式进行日志传输，支持日志传输状态、最近同步时间进行监控，可统计每个日志源的今日传输量和传输总量；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9.支持通配符、范围搜索、字段等多种输入方式、搜索框模糊搜索、支持语段进行语法搜索；可根据时间、严重等级等进行组合查询；可根据具体设备、来源/目的所属（可具体到外网、内网资产等）、IP地址、特征ID、URL进行具体条件搜索；支持可设置定时刷新频率，根据刷新时间显示实时接入日志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10.支持个性化定制，支持全系统更换logo与系统名称，支持一键恢复默认。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11.支持可视化展示，包括数据分布、安全事件趋势图、关联规则告警趋势图、接入设备概况等，可提供设备专项分析场景。如防火墙外部攻击场景分析、VPN账号异常场景分析、Windows服务器主机异常场景分析等，通过设备专项页面对每一台设备安全情况深度专业化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12.支持对单个/多个日志源批量转发，支持定时转发，可通过syslog和kafka方式转发到第三方平台，并且支持转发原始日志和已解析日志的两种日志。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13.支持拓扑管理，能够基于拓扑图的资产相关数据信息快速查看资产评分、安全事件分布、告警分布等，支持通过拓扑下钻查看对应资产的关联事件、审计事件、日志数量。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14.产品具有公安部《计算机信息系统专用产品销售许可证》。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15.产品的生产厂商具有中国网络安全审查技术与认证中心出具的信息安全服务资质认证证书软件安全开发一级服务资质，。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eastAsia="Arial" w:cs="Arial"/>
          <w:i w:val="0"/>
          <w:caps w:val="0"/>
          <w:color w:val="7C7070"/>
          <w:spacing w:val="0"/>
          <w:sz w:val="21"/>
          <w:szCs w:val="21"/>
        </w:rPr>
      </w:pPr>
      <w:r>
        <w:rPr>
          <w:rFonts w:hint="default" w:ascii="Arial" w:hAnsi="Arial" w:eastAsia="Arial" w:cs="Arial"/>
          <w:i w:val="0"/>
          <w:caps w:val="0"/>
          <w:color w:val="7C7070"/>
          <w:spacing w:val="0"/>
          <w:sz w:val="21"/>
          <w:szCs w:val="21"/>
          <w:shd w:val="clear" w:fill="FFFFFF"/>
        </w:rPr>
        <w:t>16.提供3年免费软件升级和硬件质保。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E6319"/>
    <w:rsid w:val="1BD62BB7"/>
    <w:rsid w:val="597C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2024-08-29T01:46:00Z</dcterms:created>
  <dc:creator>Administrator</dc:creator>
  <cp:lastModifiedBy>Administrator</cp:lastModifiedBy>
  <dcterms:modified xsi:type="dcterms:W3CDTF">2024-08-29T01:55:25Z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