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ind w:firstLine="883"/>
        <w:jc w:val="center"/>
        <w:rPr>
          <w:b/>
          <w:color w:val="000000"/>
          <w:sz w:val="44"/>
          <w:szCs w:val="44"/>
        </w:rPr>
      </w:pPr>
    </w:p>
    <w:p>
      <w:pPr>
        <w:spacing w:before="156"/>
        <w:ind w:firstLine="883"/>
        <w:jc w:val="center"/>
        <w:rPr>
          <w:b/>
          <w:color w:val="000000"/>
          <w:sz w:val="44"/>
          <w:szCs w:val="44"/>
        </w:rPr>
      </w:pPr>
    </w:p>
    <w:p>
      <w:pPr>
        <w:spacing w:before="156"/>
        <w:ind w:firstLine="883"/>
        <w:jc w:val="center"/>
        <w:rPr>
          <w:b/>
          <w:color w:val="000000"/>
          <w:sz w:val="44"/>
          <w:szCs w:val="44"/>
        </w:rPr>
      </w:pPr>
    </w:p>
    <w:p>
      <w:pPr>
        <w:spacing w:before="156"/>
        <w:ind w:firstLine="883"/>
        <w:jc w:val="center"/>
        <w:rPr>
          <w:b/>
          <w:color w:val="000000"/>
          <w:sz w:val="44"/>
          <w:szCs w:val="44"/>
        </w:rPr>
      </w:pPr>
    </w:p>
    <w:p>
      <w:pPr>
        <w:spacing w:before="156"/>
        <w:ind w:firstLine="1044"/>
        <w:jc w:val="center"/>
        <w:rPr>
          <w:b/>
          <w:color w:val="000000"/>
          <w:sz w:val="52"/>
          <w:szCs w:val="52"/>
        </w:rPr>
      </w:pPr>
    </w:p>
    <w:p>
      <w:pPr>
        <w:spacing w:before="156"/>
        <w:ind w:firstLine="1044"/>
        <w:jc w:val="center"/>
        <w:rPr>
          <w:b/>
          <w:color w:val="000000"/>
          <w:sz w:val="52"/>
          <w:szCs w:val="52"/>
        </w:rPr>
      </w:pPr>
      <w:r>
        <w:rPr>
          <w:rFonts w:hint="eastAsia"/>
          <w:b/>
          <w:color w:val="000000"/>
          <w:sz w:val="52"/>
          <w:szCs w:val="52"/>
        </w:rPr>
        <w:t>政府采购监管系统与交易中心平台接口规范</w:t>
      </w:r>
      <w:r>
        <w:rPr>
          <w:b/>
          <w:color w:val="000000"/>
          <w:sz w:val="52"/>
          <w:szCs w:val="52"/>
        </w:rPr>
        <w:t>V3</w:t>
      </w:r>
    </w:p>
    <w:p>
      <w:pPr>
        <w:spacing w:before="156"/>
        <w:ind w:firstLine="883"/>
        <w:jc w:val="center"/>
        <w:rPr>
          <w:b/>
          <w:color w:val="000000"/>
          <w:sz w:val="44"/>
          <w:szCs w:val="44"/>
        </w:rPr>
      </w:pPr>
    </w:p>
    <w:p>
      <w:pPr>
        <w:spacing w:before="156"/>
        <w:ind w:firstLine="883"/>
        <w:jc w:val="center"/>
        <w:rPr>
          <w:b/>
          <w:color w:val="000000"/>
          <w:sz w:val="44"/>
          <w:szCs w:val="44"/>
        </w:rPr>
      </w:pPr>
    </w:p>
    <w:p>
      <w:pPr>
        <w:spacing w:before="156"/>
        <w:ind w:firstLine="883"/>
        <w:jc w:val="center"/>
        <w:rPr>
          <w:b/>
          <w:color w:val="000000"/>
          <w:sz w:val="44"/>
          <w:szCs w:val="44"/>
        </w:rPr>
      </w:pPr>
    </w:p>
    <w:p>
      <w:pPr>
        <w:spacing w:before="156"/>
        <w:ind w:firstLine="883"/>
        <w:jc w:val="center"/>
        <w:rPr>
          <w:b/>
          <w:color w:val="000000"/>
          <w:sz w:val="44"/>
          <w:szCs w:val="44"/>
        </w:rPr>
      </w:pPr>
    </w:p>
    <w:p>
      <w:pPr>
        <w:spacing w:before="156"/>
        <w:ind w:firstLine="883"/>
        <w:jc w:val="center"/>
        <w:rPr>
          <w:b/>
          <w:color w:val="000000"/>
          <w:sz w:val="44"/>
          <w:szCs w:val="44"/>
        </w:rPr>
      </w:pPr>
    </w:p>
    <w:p>
      <w:pPr>
        <w:spacing w:before="156"/>
        <w:ind w:firstLine="562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21</w:t>
      </w:r>
      <w:r>
        <w:rPr>
          <w:rFonts w:hint="eastAsia"/>
          <w:b/>
          <w:color w:val="000000"/>
          <w:sz w:val="28"/>
          <w:szCs w:val="28"/>
        </w:rPr>
        <w:t>年</w:t>
      </w:r>
      <w:r>
        <w:rPr>
          <w:b/>
          <w:color w:val="000000"/>
          <w:sz w:val="28"/>
          <w:szCs w:val="28"/>
        </w:rPr>
        <w:t>1</w:t>
      </w:r>
      <w:r>
        <w:rPr>
          <w:rFonts w:hint="eastAsia"/>
          <w:b/>
          <w:color w:val="000000"/>
          <w:sz w:val="28"/>
          <w:szCs w:val="28"/>
        </w:rPr>
        <w:t>2月</w:t>
      </w:r>
    </w:p>
    <w:p>
      <w:pPr>
        <w:spacing w:before="156"/>
        <w:ind w:firstLine="560"/>
        <w:jc w:val="center"/>
        <w:rPr>
          <w:color w:val="000000"/>
          <w:sz w:val="28"/>
          <w:szCs w:val="28"/>
        </w:rPr>
      </w:pPr>
    </w:p>
    <w:p>
      <w:pPr>
        <w:spacing w:before="156"/>
        <w:ind w:firstLine="560"/>
        <w:jc w:val="center"/>
        <w:rPr>
          <w:color w:val="000000"/>
          <w:sz w:val="28"/>
          <w:szCs w:val="28"/>
        </w:rPr>
      </w:pPr>
    </w:p>
    <w:p>
      <w:pPr>
        <w:spacing w:before="156"/>
        <w:ind w:firstLine="560"/>
        <w:jc w:val="center"/>
        <w:rPr>
          <w:color w:val="000000"/>
          <w:sz w:val="28"/>
          <w:szCs w:val="28"/>
        </w:rPr>
      </w:pPr>
    </w:p>
    <w:p>
      <w:pPr>
        <w:spacing w:before="120" w:after="120"/>
        <w:ind w:firstLine="640" w:firstLineChars="200"/>
        <w:jc w:val="center"/>
        <w:rPr>
          <w:rFonts w:ascii="微软雅黑" w:hAnsi="微软雅黑" w:eastAsia="微软雅黑"/>
          <w:b/>
          <w:bCs/>
          <w:color w:val="000000"/>
          <w:sz w:val="32"/>
          <w:szCs w:val="32"/>
        </w:rPr>
      </w:pPr>
      <w:r>
        <w:rPr>
          <w:rFonts w:ascii="微软雅黑" w:hAnsi="微软雅黑" w:eastAsia="微软雅黑"/>
          <w:b/>
          <w:bCs/>
          <w:color w:val="000000"/>
          <w:sz w:val="32"/>
          <w:szCs w:val="32"/>
        </w:rPr>
        <w:t>文档修订记录</w:t>
      </w:r>
    </w:p>
    <w:tbl>
      <w:tblPr>
        <w:tblStyle w:val="18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485"/>
        <w:gridCol w:w="960"/>
        <w:gridCol w:w="5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color w:val="000000"/>
              </w:rPr>
            </w:pPr>
            <w:r>
              <w:rPr>
                <w:rFonts w:ascii="微软雅黑" w:hAnsi="微软雅黑" w:eastAsia="微软雅黑"/>
                <w:b/>
                <w:bCs/>
                <w:color w:val="000000"/>
              </w:rPr>
              <w:t>日期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color w:val="000000"/>
              </w:rPr>
            </w:pPr>
            <w:r>
              <w:rPr>
                <w:rFonts w:ascii="微软雅黑" w:hAnsi="微软雅黑" w:eastAsia="微软雅黑"/>
                <w:b/>
                <w:bCs/>
                <w:color w:val="000000"/>
              </w:rPr>
              <w:t>版本</w:t>
            </w:r>
          </w:p>
        </w:tc>
        <w:tc>
          <w:tcPr>
            <w:tcW w:w="5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color w:val="000000"/>
              </w:rPr>
            </w:pPr>
            <w:r>
              <w:rPr>
                <w:rFonts w:ascii="微软雅黑" w:hAnsi="微软雅黑" w:eastAsia="微软雅黑"/>
                <w:b/>
                <w:bCs/>
                <w:color w:val="00000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2022-01-14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V1.1</w:t>
            </w:r>
          </w:p>
        </w:tc>
        <w:tc>
          <w:tcPr>
            <w:tcW w:w="5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 w:val="0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增加组织形式枚举值说明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增加采购方式枚举值说明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增加资金性质枚举值说明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增加数量-1值说明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2022-03-17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V</w:t>
            </w:r>
            <w:r>
              <w:rPr>
                <w:color w:val="000000"/>
              </w:rPr>
              <w:t>2.0</w:t>
            </w:r>
          </w:p>
        </w:tc>
        <w:tc>
          <w:tcPr>
            <w:tcW w:w="5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任务书下达中的任务书条目里增加采购意向公告发布日期、采购意向公告Id、采购意向公告省网Url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2022-03-17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V</w:t>
            </w:r>
            <w:r>
              <w:rPr>
                <w:color w:val="000000"/>
              </w:rPr>
              <w:t>3.0</w:t>
            </w:r>
          </w:p>
        </w:tc>
        <w:tc>
          <w:tcPr>
            <w:tcW w:w="5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任务书下达中的任务书条目里增加</w:t>
            </w:r>
            <w:r>
              <w:rPr>
                <w:rFonts w:hint="eastAsia" w:asciiTheme="minorEastAsia" w:hAnsiTheme="minorEastAsia" w:eastAsiaTheme="minorEastAsia"/>
              </w:rPr>
              <w:t>是否进口设备采购、是否专门面向中小企业、中小企业预留金额、是否协议或定点采购、附件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color w:val="000000"/>
                <w:sz w:val="22"/>
              </w:rPr>
            </w:pPr>
          </w:p>
        </w:tc>
      </w:tr>
    </w:tbl>
    <w:p>
      <w:pPr>
        <w:spacing w:line="480" w:lineRule="exact"/>
        <w:ind w:firstLine="560" w:firstLineChars="200"/>
        <w:rPr>
          <w:color w:val="000000"/>
          <w:sz w:val="28"/>
          <w:szCs w:val="28"/>
        </w:rPr>
      </w:pPr>
    </w:p>
    <w:p>
      <w:pPr>
        <w:spacing w:line="480" w:lineRule="exact"/>
        <w:ind w:firstLine="560" w:firstLineChars="200"/>
        <w:rPr>
          <w:color w:val="000000"/>
          <w:sz w:val="28"/>
          <w:szCs w:val="28"/>
        </w:rPr>
      </w:pPr>
    </w:p>
    <w:p>
      <w:pPr>
        <w:spacing w:line="480" w:lineRule="exact"/>
        <w:ind w:firstLine="560" w:firstLineChars="200"/>
        <w:rPr>
          <w:color w:val="000000"/>
          <w:sz w:val="28"/>
          <w:szCs w:val="28"/>
        </w:rPr>
      </w:pPr>
    </w:p>
    <w:p>
      <w:pPr>
        <w:spacing w:before="156"/>
        <w:ind w:firstLine="560"/>
        <w:jc w:val="center"/>
        <w:rPr>
          <w:color w:val="000000"/>
          <w:sz w:val="28"/>
          <w:szCs w:val="28"/>
        </w:rPr>
      </w:pPr>
    </w:p>
    <w:p>
      <w:pPr>
        <w:spacing w:before="156"/>
        <w:ind w:firstLine="560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427736612"/>
    </w:p>
    <w:sdt>
      <w:sdtPr>
        <w:rPr>
          <w:rFonts w:eastAsia="微软雅黑" w:asciiTheme="minorHAnsi" w:hAnsiTheme="minorHAnsi" w:cstheme="minorBidi"/>
          <w:color w:val="auto"/>
          <w:kern w:val="2"/>
          <w:sz w:val="21"/>
          <w:szCs w:val="21"/>
          <w:lang w:val="zh-CN"/>
        </w:rPr>
        <w:id w:val="-441147792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lang w:val="zh-CN"/>
        </w:rPr>
      </w:sdtEndPr>
      <w:sdtContent>
        <w:p>
          <w:pPr>
            <w:pStyle w:val="40"/>
            <w:spacing w:before="156"/>
            <w:ind w:firstLine="420"/>
            <w:jc w:val="center"/>
          </w:pPr>
          <w:r>
            <w:rPr>
              <w:lang w:val="zh-CN"/>
            </w:rPr>
            <w:t>目录</w:t>
          </w:r>
        </w:p>
        <w:p>
          <w:pPr>
            <w:pStyle w:val="15"/>
            <w:tabs>
              <w:tab w:val="right" w:leader="dot" w:pos="8296"/>
            </w:tabs>
            <w:rPr>
              <w:rFonts w:eastAsiaTheme="minorEastAsia"/>
              <w:bCs w:val="0"/>
              <w:kern w:val="2"/>
              <w:szCs w:val="22"/>
            </w:rPr>
          </w:pPr>
          <w:r>
            <w:rPr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Cs w:val="0"/>
            </w:rPr>
            <w:fldChar w:fldCharType="separate"/>
          </w:r>
          <w:r>
            <w:fldChar w:fldCharType="begin"/>
          </w:r>
          <w:r>
            <w:instrText xml:space="preserve"> HYPERLINK \l "_Toc93342281" </w:instrText>
          </w:r>
          <w:r>
            <w:fldChar w:fldCharType="separate"/>
          </w:r>
          <w:r>
            <w:rPr>
              <w:rStyle w:val="21"/>
            </w:rPr>
            <w:t>1. 适用范围</w:t>
          </w:r>
          <w:r>
            <w:tab/>
          </w:r>
          <w:r>
            <w:fldChar w:fldCharType="begin"/>
          </w:r>
          <w:r>
            <w:instrText xml:space="preserve"> PAGEREF _Toc93342281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296"/>
            </w:tabs>
            <w:rPr>
              <w:rFonts w:eastAsiaTheme="minorEastAsia"/>
              <w:bCs w:val="0"/>
              <w:kern w:val="2"/>
              <w:szCs w:val="22"/>
            </w:rPr>
          </w:pPr>
          <w:r>
            <w:fldChar w:fldCharType="begin"/>
          </w:r>
          <w:r>
            <w:instrText xml:space="preserve"> HYPERLINK \l "_Toc93342282" </w:instrText>
          </w:r>
          <w:r>
            <w:fldChar w:fldCharType="separate"/>
          </w:r>
          <w:r>
            <w:rPr>
              <w:rStyle w:val="21"/>
            </w:rPr>
            <w:t>2. 术语和定义、符号、缩略语</w:t>
          </w:r>
          <w:r>
            <w:tab/>
          </w:r>
          <w:r>
            <w:fldChar w:fldCharType="begin"/>
          </w:r>
          <w:r>
            <w:instrText xml:space="preserve"> PAGEREF _Toc93342282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296"/>
            </w:tabs>
            <w:rPr>
              <w:rFonts w:eastAsiaTheme="minorEastAsia"/>
              <w:bCs w:val="0"/>
              <w:kern w:val="2"/>
              <w:szCs w:val="22"/>
            </w:rPr>
          </w:pPr>
          <w:r>
            <w:fldChar w:fldCharType="begin"/>
          </w:r>
          <w:r>
            <w:instrText xml:space="preserve"> HYPERLINK \l "_Toc93342283" </w:instrText>
          </w:r>
          <w:r>
            <w:fldChar w:fldCharType="separate"/>
          </w:r>
          <w:r>
            <w:rPr>
              <w:rStyle w:val="21"/>
            </w:rPr>
            <w:t>3. 业务流程</w:t>
          </w:r>
          <w:r>
            <w:tab/>
          </w:r>
          <w:r>
            <w:fldChar w:fldCharType="begin"/>
          </w:r>
          <w:r>
            <w:instrText xml:space="preserve"> PAGEREF _Toc93342283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5"/>
            <w:tabs>
              <w:tab w:val="right" w:leader="dot" w:pos="8296"/>
            </w:tabs>
            <w:rPr>
              <w:rFonts w:eastAsiaTheme="minorEastAsia"/>
              <w:bCs w:val="0"/>
              <w:kern w:val="2"/>
              <w:szCs w:val="22"/>
            </w:rPr>
          </w:pPr>
          <w:r>
            <w:fldChar w:fldCharType="begin"/>
          </w:r>
          <w:r>
            <w:instrText xml:space="preserve"> HYPERLINK \l "_Toc93342284" </w:instrText>
          </w:r>
          <w:r>
            <w:fldChar w:fldCharType="separate"/>
          </w:r>
          <w:r>
            <w:rPr>
              <w:rStyle w:val="21"/>
            </w:rPr>
            <w:t>4. 接口描述</w:t>
          </w:r>
          <w:r>
            <w:tab/>
          </w:r>
          <w:r>
            <w:fldChar w:fldCharType="begin"/>
          </w:r>
          <w:r>
            <w:instrText xml:space="preserve"> PAGEREF _Toc93342284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296"/>
            </w:tabs>
            <w:ind w:left="480"/>
            <w:rPr>
              <w:rFonts w:eastAsiaTheme="minorEastAsia"/>
              <w:bCs w:val="0"/>
              <w:kern w:val="2"/>
              <w:szCs w:val="22"/>
            </w:rPr>
          </w:pPr>
          <w:r>
            <w:fldChar w:fldCharType="begin"/>
          </w:r>
          <w:r>
            <w:instrText xml:space="preserve"> HYPERLINK \l "_Toc93342285" </w:instrText>
          </w:r>
          <w:r>
            <w:fldChar w:fldCharType="separate"/>
          </w:r>
          <w:r>
            <w:rPr>
              <w:rStyle w:val="21"/>
            </w:rPr>
            <w:t>4.1任务书下达（交易中心提供）</w:t>
          </w:r>
          <w:r>
            <w:tab/>
          </w:r>
          <w:r>
            <w:fldChar w:fldCharType="begin"/>
          </w:r>
          <w:r>
            <w:instrText xml:space="preserve"> PAGEREF _Toc93342285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296"/>
            </w:tabs>
            <w:ind w:left="480"/>
            <w:rPr>
              <w:rFonts w:eastAsiaTheme="minorEastAsia"/>
              <w:bCs w:val="0"/>
              <w:kern w:val="2"/>
              <w:szCs w:val="22"/>
            </w:rPr>
          </w:pPr>
          <w:r>
            <w:fldChar w:fldCharType="begin"/>
          </w:r>
          <w:r>
            <w:instrText xml:space="preserve"> HYPERLINK \l "_Toc93342286" </w:instrText>
          </w:r>
          <w:r>
            <w:fldChar w:fldCharType="separate"/>
          </w:r>
          <w:r>
            <w:rPr>
              <w:rStyle w:val="21"/>
            </w:rPr>
            <w:t>4.2财政任务书退回接口（监管平台提供）</w:t>
          </w:r>
          <w:r>
            <w:tab/>
          </w:r>
          <w:r>
            <w:fldChar w:fldCharType="begin"/>
          </w:r>
          <w:r>
            <w:instrText xml:space="preserve"> PAGEREF _Toc93342286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296"/>
            </w:tabs>
            <w:ind w:left="480"/>
            <w:rPr>
              <w:rFonts w:eastAsiaTheme="minorEastAsia"/>
              <w:bCs w:val="0"/>
              <w:kern w:val="2"/>
              <w:szCs w:val="22"/>
            </w:rPr>
          </w:pPr>
          <w:r>
            <w:fldChar w:fldCharType="begin"/>
          </w:r>
          <w:r>
            <w:instrText xml:space="preserve"> HYPERLINK \l "_Toc93342287" </w:instrText>
          </w:r>
          <w:r>
            <w:fldChar w:fldCharType="separate"/>
          </w:r>
          <w:r>
            <w:rPr>
              <w:rStyle w:val="21"/>
            </w:rPr>
            <w:t>4.3安徽省政府采购网公告（监管平台提供）</w:t>
          </w:r>
          <w:r>
            <w:tab/>
          </w:r>
          <w:r>
            <w:fldChar w:fldCharType="begin"/>
          </w:r>
          <w:r>
            <w:instrText xml:space="preserve"> PAGEREF _Toc93342287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296"/>
            </w:tabs>
            <w:ind w:left="480"/>
            <w:rPr>
              <w:rFonts w:eastAsiaTheme="minorEastAsia"/>
              <w:bCs w:val="0"/>
              <w:kern w:val="2"/>
              <w:szCs w:val="22"/>
            </w:rPr>
          </w:pPr>
          <w:r>
            <w:fldChar w:fldCharType="begin"/>
          </w:r>
          <w:r>
            <w:instrText xml:space="preserve"> HYPERLINK \l "_Toc93342288" </w:instrText>
          </w:r>
          <w:r>
            <w:fldChar w:fldCharType="separate"/>
          </w:r>
          <w:r>
            <w:rPr>
              <w:rStyle w:val="21"/>
            </w:rPr>
            <w:t>4.4响应反馈</w:t>
          </w:r>
          <w:r>
            <w:tab/>
          </w:r>
          <w:r>
            <w:fldChar w:fldCharType="begin"/>
          </w:r>
          <w:r>
            <w:instrText xml:space="preserve"> PAGEREF _Toc93342288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6"/>
            <w:tabs>
              <w:tab w:val="right" w:leader="dot" w:pos="8296"/>
            </w:tabs>
            <w:ind w:left="480"/>
            <w:rPr>
              <w:rFonts w:eastAsiaTheme="minorEastAsia"/>
              <w:bCs w:val="0"/>
              <w:kern w:val="2"/>
              <w:szCs w:val="22"/>
            </w:rPr>
          </w:pPr>
          <w:r>
            <w:fldChar w:fldCharType="begin"/>
          </w:r>
          <w:r>
            <w:instrText xml:space="preserve"> HYPERLINK \l "_Toc93342289" </w:instrText>
          </w:r>
          <w:r>
            <w:fldChar w:fldCharType="separate"/>
          </w:r>
          <w:r>
            <w:rPr>
              <w:rStyle w:val="21"/>
            </w:rPr>
            <w:t>4.5资金性质说明</w:t>
          </w:r>
          <w:r>
            <w:tab/>
          </w:r>
          <w:r>
            <w:fldChar w:fldCharType="begin"/>
          </w:r>
          <w:r>
            <w:instrText xml:space="preserve"> PAGEREF _Toc93342289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spacing w:before="156"/>
            <w:ind w:firstLine="482"/>
          </w:pPr>
          <w:r>
            <w:rPr>
              <w:bCs/>
              <w:lang w:val="zh-CN"/>
            </w:rPr>
            <w:fldChar w:fldCharType="end"/>
          </w:r>
        </w:p>
      </w:sdtContent>
    </w:sdt>
    <w:p>
      <w:pPr>
        <w:spacing w:before="156"/>
        <w:ind w:firstLine="560"/>
        <w:jc w:val="center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pageBreakBefore w:val="0"/>
        <w:widowControl w:val="0"/>
        <w:spacing w:before="360" w:line="240" w:lineRule="auto"/>
        <w:ind w:left="425"/>
        <w:jc w:val="both"/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bookmarkEnd w:id="0"/>
    <w:p>
      <w:pPr>
        <w:pStyle w:val="2"/>
        <w:pageBreakBefore w:val="0"/>
        <w:widowControl w:val="0"/>
        <w:numPr>
          <w:ilvl w:val="0"/>
          <w:numId w:val="2"/>
        </w:numPr>
        <w:spacing w:before="360" w:line="240" w:lineRule="auto"/>
        <w:jc w:val="both"/>
        <w:rPr>
          <w:color w:val="000000"/>
        </w:rPr>
      </w:pPr>
      <w:bookmarkStart w:id="1" w:name="_Toc93342281"/>
      <w:bookmarkStart w:id="2" w:name="_Toc427736613"/>
      <w:r>
        <w:rPr>
          <w:rFonts w:hint="eastAsia"/>
          <w:color w:val="000000"/>
        </w:rPr>
        <w:t>适用范围</w:t>
      </w:r>
      <w:bookmarkEnd w:id="1"/>
      <w:bookmarkEnd w:id="2"/>
    </w:p>
    <w:p>
      <w:pPr>
        <w:pStyle w:val="32"/>
        <w:spacing w:before="93" w:line="480" w:lineRule="auto"/>
        <w:ind w:firstLine="48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</w:t>
      </w:r>
      <w:r>
        <w:rPr>
          <w:rFonts w:ascii="仿宋" w:hAnsi="仿宋" w:eastAsia="仿宋"/>
          <w:color w:val="000000"/>
          <w:sz w:val="24"/>
        </w:rPr>
        <w:t>规范文档</w:t>
      </w:r>
      <w:r>
        <w:rPr>
          <w:rFonts w:hint="eastAsia" w:ascii="仿宋" w:hAnsi="仿宋" w:eastAsia="仿宋"/>
          <w:color w:val="000000"/>
          <w:sz w:val="24"/>
        </w:rPr>
        <w:t>适用</w:t>
      </w:r>
      <w:r>
        <w:rPr>
          <w:rFonts w:ascii="仿宋" w:hAnsi="仿宋" w:eastAsia="仿宋"/>
          <w:color w:val="000000"/>
          <w:sz w:val="24"/>
        </w:rPr>
        <w:t>于</w:t>
      </w:r>
      <w:r>
        <w:rPr>
          <w:rFonts w:hint="eastAsia" w:ascii="仿宋" w:hAnsi="仿宋" w:eastAsia="仿宋"/>
          <w:color w:val="000000"/>
          <w:sz w:val="24"/>
        </w:rPr>
        <w:t>政府采购监管平台与交易中心任务书推送接口、任务书退回接口、公告同步接口。</w:t>
      </w:r>
    </w:p>
    <w:p>
      <w:pPr>
        <w:pStyle w:val="2"/>
        <w:pageBreakBefore w:val="0"/>
        <w:widowControl w:val="0"/>
        <w:numPr>
          <w:ilvl w:val="0"/>
          <w:numId w:val="2"/>
        </w:numPr>
        <w:spacing w:before="360" w:line="240" w:lineRule="auto"/>
        <w:jc w:val="both"/>
        <w:rPr>
          <w:color w:val="000000"/>
        </w:rPr>
      </w:pPr>
      <w:bookmarkStart w:id="3" w:name="_Toc93342282"/>
      <w:bookmarkStart w:id="4" w:name="_Toc427736614"/>
      <w:r>
        <w:rPr>
          <w:rFonts w:hint="eastAsia"/>
          <w:color w:val="000000"/>
        </w:rPr>
        <w:t>术语和定义、符号、缩略语</w:t>
      </w:r>
      <w:bookmarkEnd w:id="3"/>
      <w:bookmarkEnd w:id="4"/>
    </w:p>
    <w:p>
      <w:pPr>
        <w:pStyle w:val="32"/>
        <w:numPr>
          <w:ilvl w:val="0"/>
          <w:numId w:val="3"/>
        </w:numPr>
        <w:spacing w:before="93" w:line="36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Web Service：Web Service也叫XML Web Service WebService是一种可以接收从Internet或者Intranet上的其它系统中传递过来的请求，轻量级的独立的通讯技术。Web Service的主要目标是跨平台的可互操作性。为了实现这一目标，Web Service 完全基于XML（可扩展标记语言）、XSD（XML Schema）等独立于平台、独立于软件供应商的标准，是创建可互操作的、分布式应用程序的新平台。</w:t>
      </w:r>
    </w:p>
    <w:p>
      <w:pPr>
        <w:pStyle w:val="32"/>
        <w:numPr>
          <w:ilvl w:val="0"/>
          <w:numId w:val="3"/>
        </w:numPr>
        <w:spacing w:before="93" w:line="360" w:lineRule="auto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接口</w:t>
      </w:r>
      <w:r>
        <w:rPr>
          <w:rFonts w:hint="eastAsia" w:ascii="仿宋" w:hAnsi="仿宋" w:eastAsia="仿宋"/>
          <w:color w:val="000000"/>
          <w:sz w:val="24"/>
        </w:rPr>
        <w:t>：</w:t>
      </w:r>
      <w:r>
        <w:rPr>
          <w:rFonts w:ascii="仿宋" w:hAnsi="仿宋" w:eastAsia="仿宋"/>
          <w:color w:val="000000"/>
          <w:sz w:val="24"/>
        </w:rPr>
        <w:t>指通过Webservice请求向安庆市政府采购监管平台推送或接收任务书、合同信息数据</w:t>
      </w:r>
      <w:r>
        <w:rPr>
          <w:rFonts w:hint="eastAsia" w:ascii="仿宋" w:hAnsi="仿宋" w:eastAsia="仿宋"/>
          <w:color w:val="000000"/>
          <w:sz w:val="24"/>
        </w:rPr>
        <w:t>。</w:t>
      </w:r>
    </w:p>
    <w:p>
      <w:pPr>
        <w:pStyle w:val="32"/>
        <w:numPr>
          <w:ilvl w:val="0"/>
          <w:numId w:val="3"/>
        </w:numPr>
        <w:spacing w:before="93" w:line="360" w:lineRule="auto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字符</w:t>
      </w:r>
      <w:r>
        <w:rPr>
          <w:rFonts w:hint="eastAsia" w:ascii="仿宋" w:hAnsi="仿宋" w:eastAsia="仿宋"/>
          <w:color w:val="000000"/>
          <w:sz w:val="24"/>
        </w:rPr>
        <w:t>：</w:t>
      </w:r>
      <w:r>
        <w:rPr>
          <w:rFonts w:ascii="仿宋" w:hAnsi="仿宋" w:eastAsia="仿宋"/>
          <w:color w:val="000000"/>
          <w:sz w:val="24"/>
        </w:rPr>
        <w:t>本文档所有的字符均指汉字或中文标点</w:t>
      </w:r>
      <w:r>
        <w:rPr>
          <w:rFonts w:hint="eastAsia" w:ascii="仿宋" w:hAnsi="仿宋" w:eastAsia="仿宋"/>
          <w:color w:val="000000"/>
          <w:sz w:val="24"/>
        </w:rPr>
        <w:t>。</w:t>
      </w:r>
      <w:r>
        <w:rPr>
          <w:rFonts w:ascii="仿宋" w:hAnsi="仿宋" w:eastAsia="仿宋"/>
          <w:color w:val="000000"/>
          <w:sz w:val="24"/>
        </w:rPr>
        <w:t>如涉及到换算规则</w:t>
      </w:r>
      <w:r>
        <w:rPr>
          <w:rFonts w:hint="eastAsia" w:ascii="仿宋" w:hAnsi="仿宋" w:eastAsia="仿宋"/>
          <w:color w:val="000000"/>
          <w:sz w:val="24"/>
        </w:rPr>
        <w:t>，</w:t>
      </w:r>
      <w:r>
        <w:rPr>
          <w:rFonts w:ascii="仿宋" w:hAnsi="仿宋" w:eastAsia="仿宋"/>
          <w:color w:val="000000"/>
          <w:sz w:val="24"/>
        </w:rPr>
        <w:t>请按照</w:t>
      </w:r>
      <w:r>
        <w:rPr>
          <w:rFonts w:hint="eastAsia" w:ascii="仿宋" w:hAnsi="仿宋" w:eastAsia="仿宋"/>
          <w:color w:val="000000"/>
          <w:sz w:val="24"/>
        </w:rPr>
        <w:t>1个汉字等于2个英文字符或数字、英文标点的规则来进行换算。对超出规则中要求的数据长度，将予以拒绝。</w:t>
      </w:r>
    </w:p>
    <w:p>
      <w:pPr>
        <w:pStyle w:val="32"/>
        <w:numPr>
          <w:ilvl w:val="0"/>
          <w:numId w:val="3"/>
        </w:numPr>
        <w:spacing w:before="93" w:line="360" w:lineRule="auto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空字符串</w:t>
      </w:r>
      <w:r>
        <w:rPr>
          <w:rFonts w:hint="eastAsia" w:ascii="仿宋" w:hAnsi="仿宋" w:eastAsia="仿宋"/>
          <w:color w:val="000000"/>
          <w:sz w:val="24"/>
        </w:rPr>
        <w:t>：</w:t>
      </w:r>
      <w:r>
        <w:rPr>
          <w:rFonts w:ascii="仿宋" w:hAnsi="仿宋" w:eastAsia="仿宋"/>
          <w:color w:val="000000"/>
          <w:sz w:val="24"/>
        </w:rPr>
        <w:t>大部分接口字段不允许为空</w:t>
      </w:r>
      <w:r>
        <w:rPr>
          <w:rFonts w:hint="eastAsia" w:ascii="仿宋" w:hAnsi="仿宋" w:eastAsia="仿宋"/>
          <w:color w:val="000000"/>
          <w:sz w:val="24"/>
        </w:rPr>
        <w:t>，</w:t>
      </w:r>
      <w:r>
        <w:rPr>
          <w:rFonts w:ascii="仿宋" w:hAnsi="仿宋" w:eastAsia="仿宋"/>
          <w:color w:val="000000"/>
          <w:sz w:val="24"/>
        </w:rPr>
        <w:t>即该字段必须有值</w:t>
      </w:r>
      <w:r>
        <w:rPr>
          <w:rFonts w:hint="eastAsia" w:ascii="仿宋" w:hAnsi="仿宋" w:eastAsia="仿宋"/>
          <w:color w:val="000000"/>
          <w:sz w:val="24"/>
        </w:rPr>
        <w:t>，</w:t>
      </w:r>
      <w:r>
        <w:rPr>
          <w:rFonts w:ascii="仿宋" w:hAnsi="仿宋" w:eastAsia="仿宋"/>
          <w:color w:val="000000"/>
          <w:sz w:val="24"/>
        </w:rPr>
        <w:t>不可从技术</w:t>
      </w:r>
      <w:r>
        <w:rPr>
          <w:rFonts w:hint="eastAsia" w:ascii="仿宋" w:hAnsi="仿宋" w:eastAsia="仿宋"/>
          <w:color w:val="000000"/>
          <w:sz w:val="24"/>
        </w:rPr>
        <w:t>上</w:t>
      </w:r>
      <w:r>
        <w:rPr>
          <w:rFonts w:ascii="仿宋" w:hAnsi="仿宋" w:eastAsia="仿宋"/>
          <w:color w:val="000000"/>
          <w:sz w:val="24"/>
        </w:rPr>
        <w:t>对字段不赋值或者赋值为null</w:t>
      </w:r>
      <w:r>
        <w:rPr>
          <w:rFonts w:hint="eastAsia" w:ascii="仿宋" w:hAnsi="仿宋" w:eastAsia="仿宋"/>
          <w:color w:val="000000"/>
          <w:sz w:val="24"/>
        </w:rPr>
        <w:t>，</w:t>
      </w:r>
      <w:r>
        <w:rPr>
          <w:rFonts w:ascii="仿宋" w:hAnsi="仿宋" w:eastAsia="仿宋"/>
          <w:color w:val="000000"/>
          <w:sz w:val="24"/>
        </w:rPr>
        <w:t>请根据字段说明按要求填写合适的值</w:t>
      </w:r>
      <w:r>
        <w:rPr>
          <w:rFonts w:hint="eastAsia" w:ascii="仿宋" w:hAnsi="仿宋" w:eastAsia="仿宋"/>
          <w:color w:val="000000"/>
          <w:sz w:val="24"/>
        </w:rPr>
        <w:t>。</w:t>
      </w:r>
    </w:p>
    <w:p>
      <w:pPr>
        <w:pStyle w:val="32"/>
        <w:numPr>
          <w:ilvl w:val="0"/>
          <w:numId w:val="3"/>
        </w:numPr>
        <w:spacing w:before="93" w:line="360" w:lineRule="auto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时间格式</w:t>
      </w:r>
      <w:r>
        <w:rPr>
          <w:rFonts w:hint="eastAsia" w:ascii="仿宋" w:hAnsi="仿宋" w:eastAsia="仿宋"/>
          <w:color w:val="000000"/>
          <w:sz w:val="24"/>
        </w:rPr>
        <w:t>：</w:t>
      </w:r>
      <w:r>
        <w:rPr>
          <w:rFonts w:ascii="仿宋" w:hAnsi="仿宋" w:eastAsia="仿宋"/>
          <w:color w:val="000000"/>
          <w:sz w:val="24"/>
        </w:rPr>
        <w:t>约定统一的时间格式精确到秒</w:t>
      </w:r>
      <w:r>
        <w:rPr>
          <w:rFonts w:hint="eastAsia" w:ascii="仿宋" w:hAnsi="仿宋" w:eastAsia="仿宋"/>
          <w:color w:val="000000"/>
          <w:sz w:val="24"/>
        </w:rPr>
        <w:t>，</w:t>
      </w:r>
      <w:r>
        <w:rPr>
          <w:rFonts w:ascii="仿宋" w:hAnsi="仿宋" w:eastAsia="仿宋"/>
          <w:color w:val="000000"/>
          <w:sz w:val="24"/>
        </w:rPr>
        <w:t>如未精确到秒</w:t>
      </w:r>
      <w:r>
        <w:rPr>
          <w:rFonts w:hint="eastAsia" w:ascii="仿宋" w:hAnsi="仿宋" w:eastAsia="仿宋"/>
          <w:color w:val="000000"/>
          <w:sz w:val="24"/>
        </w:rPr>
        <w:t>，</w:t>
      </w:r>
      <w:r>
        <w:rPr>
          <w:rFonts w:ascii="仿宋" w:hAnsi="仿宋" w:eastAsia="仿宋"/>
          <w:color w:val="000000"/>
          <w:sz w:val="24"/>
        </w:rPr>
        <w:t>请使用</w:t>
      </w:r>
      <w:r>
        <w:rPr>
          <w:rFonts w:hint="eastAsia" w:ascii="仿宋" w:hAnsi="仿宋" w:eastAsia="仿宋"/>
          <w:color w:val="000000"/>
          <w:sz w:val="24"/>
        </w:rPr>
        <w:t>0代替。其中各项均为2位。统一的格式为yyyy</w:t>
      </w:r>
      <w:r>
        <w:rPr>
          <w:rFonts w:ascii="仿宋" w:hAnsi="仿宋" w:eastAsia="仿宋"/>
          <w:color w:val="000000"/>
          <w:sz w:val="24"/>
        </w:rPr>
        <w:t>-MM-dd hh:mm:ss</w:t>
      </w:r>
      <w:r>
        <w:rPr>
          <w:rFonts w:hint="eastAsia" w:ascii="仿宋" w:hAnsi="仿宋" w:eastAsia="仿宋"/>
          <w:color w:val="000000"/>
          <w:sz w:val="24"/>
        </w:rPr>
        <w:t>，2</w:t>
      </w:r>
      <w:r>
        <w:rPr>
          <w:rFonts w:ascii="仿宋" w:hAnsi="仿宋" w:eastAsia="仿宋"/>
          <w:color w:val="000000"/>
          <w:sz w:val="24"/>
        </w:rPr>
        <w:t>4小时制</w:t>
      </w:r>
      <w:r>
        <w:rPr>
          <w:rFonts w:hint="eastAsia" w:ascii="仿宋" w:hAnsi="仿宋" w:eastAsia="仿宋"/>
          <w:color w:val="000000"/>
          <w:sz w:val="24"/>
        </w:rPr>
        <w:t>。</w:t>
      </w:r>
      <w:r>
        <w:rPr>
          <w:rFonts w:ascii="仿宋" w:hAnsi="仿宋" w:eastAsia="仿宋"/>
          <w:color w:val="000000"/>
          <w:sz w:val="24"/>
        </w:rPr>
        <w:t>如</w:t>
      </w:r>
      <w:r>
        <w:rPr>
          <w:rFonts w:hint="eastAsia" w:ascii="仿宋" w:hAnsi="仿宋" w:eastAsia="仿宋"/>
          <w:color w:val="000000"/>
          <w:sz w:val="24"/>
        </w:rPr>
        <w:t xml:space="preserve"> </w:t>
      </w:r>
      <w:r>
        <w:rPr>
          <w:rFonts w:ascii="仿宋" w:hAnsi="仿宋" w:eastAsia="仿宋"/>
          <w:color w:val="000000"/>
          <w:sz w:val="24"/>
        </w:rPr>
        <w:t>2015</w:t>
      </w:r>
      <w:r>
        <w:rPr>
          <w:rFonts w:hint="eastAsia" w:ascii="仿宋" w:hAnsi="仿宋" w:eastAsia="仿宋"/>
          <w:color w:val="000000"/>
          <w:sz w:val="24"/>
        </w:rPr>
        <w:t>-</w:t>
      </w:r>
      <w:r>
        <w:rPr>
          <w:rFonts w:ascii="仿宋" w:hAnsi="仿宋" w:eastAsia="仿宋"/>
          <w:color w:val="000000"/>
          <w:sz w:val="24"/>
        </w:rPr>
        <w:t>07</w:t>
      </w:r>
      <w:r>
        <w:rPr>
          <w:rFonts w:hint="eastAsia" w:ascii="仿宋" w:hAnsi="仿宋" w:eastAsia="仿宋"/>
          <w:color w:val="000000"/>
          <w:sz w:val="24"/>
        </w:rPr>
        <w:t>-</w:t>
      </w:r>
      <w:r>
        <w:rPr>
          <w:rFonts w:ascii="仿宋" w:hAnsi="仿宋" w:eastAsia="仿宋"/>
          <w:color w:val="000000"/>
          <w:sz w:val="24"/>
        </w:rPr>
        <w:t>26 18</w:t>
      </w:r>
      <w:r>
        <w:rPr>
          <w:rFonts w:hint="eastAsia" w:ascii="仿宋" w:hAnsi="仿宋" w:eastAsia="仿宋"/>
          <w:color w:val="000000"/>
          <w:sz w:val="24"/>
        </w:rPr>
        <w:t>:</w:t>
      </w:r>
      <w:r>
        <w:rPr>
          <w:rFonts w:ascii="仿宋" w:hAnsi="仿宋" w:eastAsia="仿宋"/>
          <w:color w:val="000000"/>
          <w:sz w:val="24"/>
        </w:rPr>
        <w:t>20</w:t>
      </w:r>
      <w:r>
        <w:rPr>
          <w:rFonts w:hint="eastAsia" w:ascii="仿宋" w:hAnsi="仿宋" w:eastAsia="仿宋"/>
          <w:color w:val="000000"/>
          <w:sz w:val="24"/>
        </w:rPr>
        <w:t>:</w:t>
      </w:r>
      <w:r>
        <w:rPr>
          <w:rFonts w:ascii="仿宋" w:hAnsi="仿宋" w:eastAsia="仿宋"/>
          <w:color w:val="000000"/>
          <w:sz w:val="24"/>
        </w:rPr>
        <w:t>21</w:t>
      </w:r>
      <w:r>
        <w:rPr>
          <w:rFonts w:hint="eastAsia" w:ascii="仿宋" w:hAnsi="仿宋" w:eastAsia="仿宋"/>
          <w:color w:val="000000"/>
          <w:sz w:val="24"/>
        </w:rPr>
        <w:t>。</w:t>
      </w:r>
    </w:p>
    <w:p>
      <w:pPr>
        <w:pStyle w:val="32"/>
        <w:numPr>
          <w:ilvl w:val="0"/>
          <w:numId w:val="3"/>
        </w:numPr>
        <w:spacing w:before="93" w:line="360" w:lineRule="auto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金额单位</w:t>
      </w:r>
      <w:r>
        <w:rPr>
          <w:rFonts w:hint="eastAsia" w:ascii="仿宋" w:hAnsi="仿宋" w:eastAsia="仿宋"/>
          <w:color w:val="000000"/>
          <w:sz w:val="24"/>
        </w:rPr>
        <w:t>：</w:t>
      </w:r>
      <w:r>
        <w:rPr>
          <w:rFonts w:ascii="仿宋" w:hAnsi="仿宋" w:eastAsia="仿宋"/>
          <w:color w:val="000000"/>
          <w:sz w:val="24"/>
        </w:rPr>
        <w:t>请按照接口规范表格中的说明要求填写</w:t>
      </w:r>
      <w:r>
        <w:rPr>
          <w:rFonts w:hint="eastAsia" w:ascii="仿宋" w:hAnsi="仿宋" w:eastAsia="仿宋"/>
          <w:color w:val="000000"/>
          <w:sz w:val="24"/>
        </w:rPr>
        <w:t>，</w:t>
      </w:r>
      <w:r>
        <w:rPr>
          <w:rFonts w:ascii="仿宋" w:hAnsi="仿宋" w:eastAsia="仿宋"/>
          <w:color w:val="000000"/>
          <w:sz w:val="24"/>
        </w:rPr>
        <w:t>均精确到角分</w:t>
      </w:r>
      <w:r>
        <w:rPr>
          <w:rFonts w:hint="eastAsia" w:ascii="仿宋" w:hAnsi="仿宋" w:eastAsia="仿宋"/>
          <w:color w:val="000000"/>
          <w:sz w:val="24"/>
        </w:rPr>
        <w:t>。</w:t>
      </w:r>
    </w:p>
    <w:p>
      <w:pPr>
        <w:pStyle w:val="2"/>
        <w:pageBreakBefore w:val="0"/>
        <w:widowControl w:val="0"/>
        <w:numPr>
          <w:ilvl w:val="0"/>
          <w:numId w:val="2"/>
        </w:numPr>
        <w:spacing w:before="360" w:line="240" w:lineRule="auto"/>
        <w:jc w:val="both"/>
        <w:rPr>
          <w:color w:val="000000"/>
        </w:rPr>
      </w:pPr>
      <w:bookmarkStart w:id="5" w:name="_Toc93342283"/>
      <w:bookmarkStart w:id="6" w:name="_Toc427736616"/>
      <w:r>
        <w:rPr>
          <w:rFonts w:hint="eastAsia"/>
          <w:color w:val="000000"/>
        </w:rPr>
        <w:t>业务流程</w:t>
      </w:r>
      <w:bookmarkEnd w:id="5"/>
    </w:p>
    <w:p>
      <w:pPr>
        <w:spacing w:before="156"/>
      </w:pPr>
      <w:r>
        <w:rPr>
          <w:rFonts w:hint="eastAsia"/>
        </w:rPr>
        <w:drawing>
          <wp:inline distT="0" distB="0" distL="114300" distR="114300">
            <wp:extent cx="5271135" cy="6174105"/>
            <wp:effectExtent l="0" t="0" r="5715" b="7620"/>
            <wp:docPr id="1" name="图片 1" descr="1639038085796_f3953e6c704bf44877db76081ce7f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39038085796_f3953e6c704bf44877db76081ce7f9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7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line="360" w:lineRule="auto"/>
        <w:ind w:firstLine="42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1.预算管理一体化系统下达采购计划到政府采购监管平台。</w:t>
      </w:r>
    </w:p>
    <w:p>
      <w:pPr>
        <w:pStyle w:val="41"/>
        <w:spacing w:before="156" w:line="360" w:lineRule="auto"/>
        <w:ind w:left="420" w:firstLine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2.政府采购监管平台将采购计划形成采购任务书分配到各预算单位。</w:t>
      </w:r>
    </w:p>
    <w:p>
      <w:pPr>
        <w:pStyle w:val="41"/>
        <w:spacing w:before="156" w:line="360" w:lineRule="auto"/>
        <w:ind w:left="420" w:firstLine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3.各预算单位自行选择不同的交易中心，将采购任务书下达到交易中心系统。</w:t>
      </w:r>
    </w:p>
    <w:p>
      <w:pPr>
        <w:pStyle w:val="41"/>
        <w:spacing w:before="156" w:line="360" w:lineRule="auto"/>
        <w:ind w:left="420" w:firstLine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4.采购的执行过程在交易中心进行。</w:t>
      </w:r>
    </w:p>
    <w:p>
      <w:pPr>
        <w:pStyle w:val="41"/>
        <w:spacing w:before="156" w:line="360" w:lineRule="auto"/>
        <w:ind w:left="420" w:firstLine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5.采购公告信息按照财政部要求需要信息公开，发送到安徽省政府采购网站（www.ccgp-anhui.gov.cn）.</w:t>
      </w:r>
    </w:p>
    <w:p>
      <w:pPr>
        <w:pStyle w:val="41"/>
        <w:spacing w:before="156" w:line="360" w:lineRule="auto"/>
        <w:ind w:left="420" w:firstLine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6.政府采购监管平台根据交易中心推送的采购公告和合同公告，生成项目信息、中标信息和基础的合同公告信息，采购单位在采购监管平台确认合同后，自动发送合同公告至安徽省政府采购网。</w:t>
      </w:r>
    </w:p>
    <w:p>
      <w:pPr>
        <w:pStyle w:val="2"/>
        <w:pageBreakBefore w:val="0"/>
        <w:widowControl w:val="0"/>
        <w:numPr>
          <w:ilvl w:val="0"/>
          <w:numId w:val="2"/>
        </w:numPr>
        <w:spacing w:before="360" w:line="240" w:lineRule="auto"/>
        <w:jc w:val="both"/>
        <w:rPr>
          <w:color w:val="000000"/>
        </w:rPr>
      </w:pPr>
      <w:bookmarkStart w:id="7" w:name="_Toc93342284"/>
      <w:r>
        <w:rPr>
          <w:rFonts w:hint="eastAsia"/>
          <w:color w:val="000000"/>
        </w:rPr>
        <w:t>接口</w:t>
      </w:r>
      <w:bookmarkEnd w:id="6"/>
      <w:r>
        <w:rPr>
          <w:rFonts w:hint="eastAsia"/>
          <w:color w:val="000000"/>
        </w:rPr>
        <w:t>描述</w:t>
      </w:r>
      <w:bookmarkEnd w:id="7"/>
      <w:r>
        <w:rPr>
          <w:rFonts w:hint="eastAsia"/>
          <w:color w:val="000000"/>
        </w:rPr>
        <w:t xml:space="preserve"> </w:t>
      </w:r>
    </w:p>
    <w:p>
      <w:pPr>
        <w:pStyle w:val="3"/>
        <w:spacing w:before="156"/>
        <w:rPr>
          <w:color w:val="auto"/>
        </w:rPr>
      </w:pPr>
      <w:bookmarkStart w:id="8" w:name="_Toc88505213"/>
      <w:bookmarkStart w:id="9" w:name="_Toc93342285"/>
      <w:r>
        <w:rPr>
          <w:color w:val="auto"/>
        </w:rPr>
        <w:t>4.1任务书</w:t>
      </w:r>
      <w:r>
        <w:rPr>
          <w:rFonts w:hint="eastAsia"/>
          <w:color w:val="auto"/>
        </w:rPr>
        <w:t>下达（交易中心提供）</w:t>
      </w:r>
      <w:bookmarkEnd w:id="8"/>
      <w:bookmarkEnd w:id="9"/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接口地址：/AHCommonInterface/services/ProvincialTaskBookWebService?wsdl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服务名：ProvincialTaskBookWebService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方法名: ReceiveProjectService</w:t>
      </w:r>
    </w:p>
    <w:p>
      <w:pPr>
        <w:pStyle w:val="32"/>
        <w:spacing w:before="93" w:line="360" w:lineRule="auto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由交易系统实现，按以下参数实现接口</w:t>
      </w:r>
    </w:p>
    <w:tbl>
      <w:tblPr>
        <w:tblStyle w:val="18"/>
        <w:tblW w:w="8349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465"/>
        <w:gridCol w:w="1508"/>
        <w:gridCol w:w="3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参数名称</w:t>
            </w:r>
          </w:p>
        </w:tc>
        <w:tc>
          <w:tcPr>
            <w:tcW w:w="1465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参数类型</w:t>
            </w:r>
          </w:p>
        </w:tc>
        <w:tc>
          <w:tcPr>
            <w:tcW w:w="1508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描述</w:t>
            </w:r>
          </w:p>
        </w:tc>
        <w:tc>
          <w:tcPr>
            <w:tcW w:w="3275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OperateDate</w:t>
            </w:r>
          </w:p>
        </w:tc>
        <w:tc>
          <w:tcPr>
            <w:tcW w:w="146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字符串</w:t>
            </w:r>
          </w:p>
        </w:tc>
        <w:tc>
          <w:tcPr>
            <w:tcW w:w="150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操作时间</w:t>
            </w:r>
          </w:p>
        </w:tc>
        <w:tc>
          <w:tcPr>
            <w:tcW w:w="3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OperateName</w:t>
            </w:r>
          </w:p>
        </w:tc>
        <w:tc>
          <w:tcPr>
            <w:tcW w:w="146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字符串</w:t>
            </w:r>
          </w:p>
        </w:tc>
        <w:tc>
          <w:tcPr>
            <w:tcW w:w="150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用户名</w:t>
            </w:r>
          </w:p>
        </w:tc>
        <w:tc>
          <w:tcPr>
            <w:tcW w:w="3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XMLContent</w:t>
            </w:r>
          </w:p>
        </w:tc>
        <w:tc>
          <w:tcPr>
            <w:tcW w:w="146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字符串</w:t>
            </w:r>
          </w:p>
        </w:tc>
        <w:tc>
          <w:tcPr>
            <w:tcW w:w="150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任务书报文</w:t>
            </w:r>
          </w:p>
        </w:tc>
        <w:tc>
          <w:tcPr>
            <w:tcW w:w="3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ml格式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UnitCode</w:t>
            </w:r>
          </w:p>
        </w:tc>
        <w:tc>
          <w:tcPr>
            <w:tcW w:w="146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字符串</w:t>
            </w:r>
          </w:p>
        </w:tc>
        <w:tc>
          <w:tcPr>
            <w:tcW w:w="150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密码</w:t>
            </w:r>
          </w:p>
        </w:tc>
        <w:tc>
          <w:tcPr>
            <w:tcW w:w="3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XiaQuCode</w:t>
            </w:r>
          </w:p>
        </w:tc>
        <w:tc>
          <w:tcPr>
            <w:tcW w:w="146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字符串</w:t>
            </w:r>
          </w:p>
        </w:tc>
        <w:tc>
          <w:tcPr>
            <w:tcW w:w="150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6位区划编码</w:t>
            </w:r>
          </w:p>
        </w:tc>
        <w:tc>
          <w:tcPr>
            <w:tcW w:w="3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按照《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安徽区划码表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》提供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spacing w:before="156"/>
        <w:ind w:firstLine="42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XMLcontent内容，按以下参数实现接口</w:t>
      </w:r>
    </w:p>
    <w:tbl>
      <w:tblPr>
        <w:tblStyle w:val="1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2341"/>
        <w:gridCol w:w="226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字段名称</w:t>
            </w:r>
          </w:p>
        </w:tc>
        <w:tc>
          <w:tcPr>
            <w:tcW w:w="2341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描述</w:t>
            </w:r>
          </w:p>
        </w:tc>
        <w:tc>
          <w:tcPr>
            <w:tcW w:w="2268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规则说明</w:t>
            </w:r>
          </w:p>
        </w:tc>
        <w:tc>
          <w:tcPr>
            <w:tcW w:w="1275" w:type="dxa"/>
            <w:shd w:val="clear" w:color="auto" w:fill="BEBEBE" w:themeFill="background1" w:themeFillShade="BF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是否必填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TaskCode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计划编号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格式统一为：SCCG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2017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-XXXX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TaskType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任务书类型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任务书类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型：</w:t>
            </w:r>
          </w:p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新增任务书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TaskStatus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任务书执行状态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1：下达</w:t>
            </w:r>
          </w:p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2：退回</w:t>
            </w:r>
          </w:p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3：执行中；</w:t>
            </w:r>
          </w:p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执行完成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AcctYear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年度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4位年份数字（2017）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Department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主管部门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主管部门编码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AgencY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预算单位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预算单位名称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CgrCode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预算单位编码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预算单位机构编码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CgrAddr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预算单位地址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500字符内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LinkMan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预算单位联系人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LinkTel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预算单位联系电话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ApplyDate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申请日期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格式：yyyyMMdd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FinishDate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期望完工日期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格式：yyyyMMdd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Amt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金额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小数点后两位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OrganizeType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组织形式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0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集中采购</w:t>
            </w:r>
          </w:p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1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分散采购</w:t>
            </w:r>
          </w:p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9 其他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PurchaseMethod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采购方式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公开招标</w:t>
            </w:r>
          </w:p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邀请招标</w:t>
            </w:r>
          </w:p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竞争性谈判</w:t>
            </w:r>
          </w:p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 单一来源采购</w:t>
            </w:r>
          </w:p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 询价</w:t>
            </w:r>
          </w:p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 竞争性磋商</w:t>
            </w:r>
          </w:p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9 其他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PurchaseDepartment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采购执行机构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执行机构编码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LinkDdpartmentMan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主管部门联系人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LinkDepartmentManTel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主管部门联系人电话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LinkGovMan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业务处室联系人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LinkGovTel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业务处室联系电话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SendTime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任务书发送日期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格式：yyyyMMdd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IsLeaderCheck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是否主管部门审核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LastContractCode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原合同编号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ProgramName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项目名称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BatchNo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批次号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SumCount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批量任务书数目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整数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SumAmt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批量任务书总金额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小数点后两位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ReMark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退回原由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SupervisionName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专管员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SupervisionTel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专管员联系电话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</w:tbl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任务书条目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2441"/>
        <w:gridCol w:w="1854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字段名称</w:t>
            </w:r>
          </w:p>
        </w:tc>
        <w:tc>
          <w:tcPr>
            <w:tcW w:w="2441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描述</w:t>
            </w:r>
          </w:p>
        </w:tc>
        <w:tc>
          <w:tcPr>
            <w:tcW w:w="1854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规则说明</w:t>
            </w:r>
          </w:p>
        </w:tc>
        <w:tc>
          <w:tcPr>
            <w:tcW w:w="1457" w:type="dxa"/>
            <w:shd w:val="clear" w:color="auto" w:fill="BEBEBE" w:themeFill="background1" w:themeFillShade="BF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是否必填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ListNo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目录序号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内网目录序号</w:t>
            </w: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PurchaseListId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采购目录编码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ListStatus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品目执行状态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默认取值：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Pub</w:t>
            </w:r>
            <w:r>
              <w:rPr>
                <w:sz w:val="21"/>
                <w:szCs w:val="21"/>
              </w:rPr>
              <w:t>Date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采购意向公告发布日期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yyyyMMdd</w:t>
            </w: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Id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采购意向公告I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d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Url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采购意向公告省网Url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Is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Jksb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是否进口设备采购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I</w:t>
            </w:r>
            <w:r>
              <w:rPr>
                <w:rFonts w:hint="eastAsia"/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>Zx</w:t>
            </w:r>
            <w:r>
              <w:rPr>
                <w:rFonts w:hint="eastAsia"/>
                <w:color w:val="000000"/>
                <w:sz w:val="22"/>
                <w:szCs w:val="22"/>
              </w:rPr>
              <w:t>qy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是否专门面向中小企业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sz w:val="22"/>
              </w:rPr>
              <w:t>I</w:t>
            </w:r>
            <w:r>
              <w:rPr>
                <w:rFonts w:hint="eastAsia"/>
                <w:sz w:val="22"/>
              </w:rPr>
              <w:t>s</w:t>
            </w:r>
            <w:r>
              <w:rPr>
                <w:sz w:val="22"/>
              </w:rPr>
              <w:t>ZxPrice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中小企业预留金额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sz w:val="22"/>
              </w:rPr>
            </w:pPr>
            <w:r>
              <w:rPr>
                <w:rFonts w:hint="eastAsia"/>
                <w:sz w:val="22"/>
              </w:rPr>
              <w:t>IsXyDd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是否协议或定点采购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File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Url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是否进口设备采购附件信息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File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2Url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需求调查报告附件信息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File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3Url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采购需求附件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>
            <w:pPr>
              <w:pStyle w:val="43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PurchaseModel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规格型号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00字符内</w:t>
            </w: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Num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数量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小数点后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一位，-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为数量不限</w:t>
            </w: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Unit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计量单位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UnitPrice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单价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小数点后两位</w:t>
            </w: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TotalPrice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总价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小数点后两位</w:t>
            </w: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ReMark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备注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</w:tbl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任务书资金明细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2424"/>
        <w:gridCol w:w="1858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字段名称</w:t>
            </w:r>
          </w:p>
        </w:tc>
        <w:tc>
          <w:tcPr>
            <w:tcW w:w="2424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描述</w:t>
            </w:r>
          </w:p>
        </w:tc>
        <w:tc>
          <w:tcPr>
            <w:tcW w:w="1858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规则说明</w:t>
            </w:r>
          </w:p>
        </w:tc>
        <w:tc>
          <w:tcPr>
            <w:tcW w:w="1453" w:type="dxa"/>
            <w:shd w:val="clear" w:color="auto" w:fill="BEBEBE" w:themeFill="background1" w:themeFillShade="BF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是否必填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FundType</w:t>
            </w:r>
          </w:p>
        </w:tc>
        <w:tc>
          <w:tcPr>
            <w:tcW w:w="242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资金性质</w:t>
            </w:r>
          </w:p>
        </w:tc>
        <w:tc>
          <w:tcPr>
            <w:tcW w:w="185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详情见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4.5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资金性质说明</w:t>
            </w:r>
          </w:p>
        </w:tc>
        <w:tc>
          <w:tcPr>
            <w:tcW w:w="1453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IndSource</w:t>
            </w:r>
          </w:p>
        </w:tc>
        <w:tc>
          <w:tcPr>
            <w:tcW w:w="242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预算来源</w:t>
            </w:r>
          </w:p>
        </w:tc>
        <w:tc>
          <w:tcPr>
            <w:tcW w:w="185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PayType</w:t>
            </w:r>
          </w:p>
        </w:tc>
        <w:tc>
          <w:tcPr>
            <w:tcW w:w="242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支付方式</w:t>
            </w:r>
          </w:p>
        </w:tc>
        <w:tc>
          <w:tcPr>
            <w:tcW w:w="185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BdgManaDivision</w:t>
            </w:r>
          </w:p>
        </w:tc>
        <w:tc>
          <w:tcPr>
            <w:tcW w:w="242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指标归口处室</w:t>
            </w:r>
          </w:p>
        </w:tc>
        <w:tc>
          <w:tcPr>
            <w:tcW w:w="185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ExpEconormic</w:t>
            </w:r>
          </w:p>
        </w:tc>
        <w:tc>
          <w:tcPr>
            <w:tcW w:w="242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支出经济分类</w:t>
            </w:r>
          </w:p>
        </w:tc>
        <w:tc>
          <w:tcPr>
            <w:tcW w:w="185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ExpFunc</w:t>
            </w:r>
          </w:p>
        </w:tc>
        <w:tc>
          <w:tcPr>
            <w:tcW w:w="242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支出功能分类</w:t>
            </w:r>
          </w:p>
        </w:tc>
        <w:tc>
          <w:tcPr>
            <w:tcW w:w="185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UnitAmt</w:t>
            </w:r>
          </w:p>
        </w:tc>
        <w:tc>
          <w:tcPr>
            <w:tcW w:w="242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资金金额</w:t>
            </w:r>
          </w:p>
        </w:tc>
        <w:tc>
          <w:tcPr>
            <w:tcW w:w="185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小数点后两位</w:t>
            </w:r>
          </w:p>
        </w:tc>
        <w:tc>
          <w:tcPr>
            <w:tcW w:w="1453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ReMark</w:t>
            </w:r>
          </w:p>
        </w:tc>
        <w:tc>
          <w:tcPr>
            <w:tcW w:w="242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备注</w:t>
            </w:r>
          </w:p>
        </w:tc>
        <w:tc>
          <w:tcPr>
            <w:tcW w:w="185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</w:tbl>
    <w:p>
      <w:pPr>
        <w:spacing w:before="156"/>
        <w:ind w:firstLine="42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Xml格式：</w:t>
      </w:r>
      <w:r>
        <w:rPr>
          <w:rFonts w:ascii="仿宋" w:hAnsi="仿宋" w:eastAsia="仿宋"/>
          <w:color w:val="000000"/>
        </w:rPr>
        <w:object>
          <v:shape id="_x0000_i1025" o:spt="75" type="#_x0000_t75" style="height:41.9pt;width:191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11">
            <o:LockedField>false</o:LockedField>
          </o:OLEObject>
        </w:object>
      </w:r>
    </w:p>
    <w:p>
      <w:pPr>
        <w:spacing w:before="156"/>
        <w:ind w:firstLine="420"/>
        <w:rPr>
          <w:rFonts w:asciiTheme="minorEastAsia" w:hAnsiTheme="minorEastAsia" w:eastAsiaTheme="minorEastAsia"/>
          <w:sz w:val="21"/>
          <w:szCs w:val="21"/>
        </w:rPr>
      </w:pPr>
    </w:p>
    <w:p>
      <w:pPr>
        <w:pStyle w:val="3"/>
        <w:spacing w:before="156"/>
        <w:rPr>
          <w:color w:val="auto"/>
        </w:rPr>
      </w:pPr>
      <w:bookmarkStart w:id="10" w:name="_Toc93342286"/>
      <w:r>
        <w:rPr>
          <w:color w:val="auto"/>
        </w:rPr>
        <w:t>4.2</w:t>
      </w:r>
      <w:r>
        <w:rPr>
          <w:rFonts w:hint="eastAsia"/>
          <w:color w:val="auto"/>
        </w:rPr>
        <w:t>财政任务书退回接口（监管平台提供）</w:t>
      </w:r>
      <w:bookmarkEnd w:id="10"/>
    </w:p>
    <w:p>
      <w:pPr>
        <w:pStyle w:val="32"/>
        <w:spacing w:before="93" w:line="360" w:lineRule="auto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t>地址：</w:t>
      </w:r>
      <w:r>
        <w:rPr>
          <w:rFonts w:hint="eastAsia" w:ascii="仿宋" w:hAnsi="仿宋" w:eastAsia="仿宋"/>
          <w:color w:val="000000"/>
          <w:sz w:val="24"/>
        </w:rPr>
        <w:t>http://ip:port/services/</w:t>
      </w:r>
      <w:r>
        <w:rPr>
          <w:rFonts w:ascii="仿宋" w:hAnsi="仿宋" w:eastAsia="仿宋"/>
          <w:color w:val="000000"/>
          <w:sz w:val="24"/>
        </w:rPr>
        <w:t>ReceiveTaskService</w:t>
      </w:r>
      <w:r>
        <w:rPr>
          <w:rFonts w:hint="eastAsia" w:ascii="仿宋" w:hAnsi="仿宋" w:eastAsia="仿宋"/>
          <w:color w:val="000000"/>
          <w:sz w:val="24"/>
        </w:rPr>
        <w:t>?wsdl</w:t>
      </w:r>
    </w:p>
    <w:p>
      <w:pPr>
        <w:pStyle w:val="32"/>
        <w:spacing w:before="93" w:line="36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描述：适用于任务书退回、任务书完成功能，字段与任务书下达一样</w:t>
      </w:r>
    </w:p>
    <w:p>
      <w:pPr>
        <w:pStyle w:val="32"/>
        <w:spacing w:before="93" w:line="36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方法名称：</w:t>
      </w:r>
      <w:r>
        <w:rPr>
          <w:rFonts w:ascii="仿宋" w:hAnsi="仿宋" w:eastAsia="仿宋"/>
          <w:color w:val="000000"/>
          <w:sz w:val="24"/>
        </w:rPr>
        <w:t>receiveTaskPlan</w:t>
      </w:r>
    </w:p>
    <w:p>
      <w:pPr>
        <w:pStyle w:val="32"/>
        <w:spacing w:before="93" w:line="36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方法参数：</w:t>
      </w:r>
    </w:p>
    <w:tbl>
      <w:tblPr>
        <w:tblStyle w:val="18"/>
        <w:tblW w:w="0" w:type="auto"/>
        <w:tblInd w:w="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984"/>
        <w:gridCol w:w="3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pStyle w:val="32"/>
              <w:spacing w:before="93"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参数名称</w:t>
            </w:r>
          </w:p>
        </w:tc>
        <w:tc>
          <w:tcPr>
            <w:tcW w:w="1984" w:type="dxa"/>
          </w:tcPr>
          <w:p>
            <w:pPr>
              <w:pStyle w:val="32"/>
              <w:spacing w:before="93"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参数类型</w:t>
            </w:r>
          </w:p>
        </w:tc>
        <w:tc>
          <w:tcPr>
            <w:tcW w:w="3878" w:type="dxa"/>
          </w:tcPr>
          <w:p>
            <w:pPr>
              <w:pStyle w:val="32"/>
              <w:spacing w:before="93"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参数说明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pStyle w:val="32"/>
              <w:spacing w:before="93"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xml</w:t>
            </w:r>
          </w:p>
        </w:tc>
        <w:tc>
          <w:tcPr>
            <w:tcW w:w="1984" w:type="dxa"/>
          </w:tcPr>
          <w:p>
            <w:pPr>
              <w:pStyle w:val="32"/>
              <w:spacing w:before="93"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字符串</w:t>
            </w:r>
          </w:p>
        </w:tc>
        <w:tc>
          <w:tcPr>
            <w:tcW w:w="3878" w:type="dxa"/>
          </w:tcPr>
          <w:p>
            <w:pPr>
              <w:pStyle w:val="32"/>
              <w:spacing w:before="93"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任务书xml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pStyle w:val="32"/>
              <w:spacing w:before="93"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userName</w:t>
            </w:r>
          </w:p>
        </w:tc>
        <w:tc>
          <w:tcPr>
            <w:tcW w:w="1984" w:type="dxa"/>
          </w:tcPr>
          <w:p>
            <w:pPr>
              <w:pStyle w:val="32"/>
              <w:spacing w:before="93"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字符串</w:t>
            </w:r>
          </w:p>
        </w:tc>
        <w:tc>
          <w:tcPr>
            <w:tcW w:w="3878" w:type="dxa"/>
          </w:tcPr>
          <w:p>
            <w:pPr>
              <w:pStyle w:val="32"/>
              <w:spacing w:before="93"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接口授权用户名称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pStyle w:val="32"/>
              <w:spacing w:before="93"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Password</w:t>
            </w:r>
          </w:p>
        </w:tc>
        <w:tc>
          <w:tcPr>
            <w:tcW w:w="1984" w:type="dxa"/>
          </w:tcPr>
          <w:p>
            <w:pPr>
              <w:pStyle w:val="32"/>
              <w:spacing w:before="93"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字符串</w:t>
            </w:r>
          </w:p>
        </w:tc>
        <w:tc>
          <w:tcPr>
            <w:tcW w:w="3878" w:type="dxa"/>
          </w:tcPr>
          <w:p>
            <w:pPr>
              <w:pStyle w:val="32"/>
              <w:spacing w:before="93" w:line="360" w:lineRule="auto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接口授权用户密码</w:t>
            </w:r>
          </w:p>
        </w:tc>
      </w:tr>
    </w:tbl>
    <w:p>
      <w:pPr>
        <w:pStyle w:val="32"/>
        <w:spacing w:before="93" w:line="36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任务书XML说明：</w:t>
      </w:r>
    </w:p>
    <w:tbl>
      <w:tblPr>
        <w:tblStyle w:val="1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2341"/>
        <w:gridCol w:w="226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字段名称</w:t>
            </w:r>
          </w:p>
        </w:tc>
        <w:tc>
          <w:tcPr>
            <w:tcW w:w="2341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描述</w:t>
            </w:r>
          </w:p>
        </w:tc>
        <w:tc>
          <w:tcPr>
            <w:tcW w:w="2268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规则说明</w:t>
            </w:r>
          </w:p>
        </w:tc>
        <w:tc>
          <w:tcPr>
            <w:tcW w:w="1275" w:type="dxa"/>
            <w:shd w:val="clear" w:color="auto" w:fill="BEBEBE" w:themeFill="background1" w:themeFillShade="BF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是否必填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TaskCode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计划编号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格式统一为：SCCG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2017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-XXXX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TaskType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任务书类型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任务书类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型：</w:t>
            </w:r>
          </w:p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新增任务书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TaskStatus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任务书执行状态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2：退回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AcctYear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年度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4位年份数字（2017）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Department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主管部门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主管部门编码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AgencY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预算单位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预算单位名称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CgrCode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预算单位编码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预算单位机构编码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CgrAddr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预算单位地址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500字符内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LinkMan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预算单位联系人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LinkTel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预算单位联系电话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ApplyDate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申请日期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格式：yyyyMMdd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FinishDate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期望完工日期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格式：yyyyMMdd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Amt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金额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小数点后两位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OrganizeType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组织形式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默认取值：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PurchaseMethod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采购方式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默认取值：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</w:p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0直购，</w:t>
            </w:r>
          </w:p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6竞价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PurchaseDepartment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采购执行机构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执行机构编码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LinkDdpartmentMan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主管部门联系人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LinkDepartmentManTel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主管部门联系人电话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LinkGovMan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业务处室联系人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LinkGovTel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业务处室联系电话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SendTime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任务书发送日期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格式：yyyyMMdd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IsLeaderCheck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是否主管部门审核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LastContractCode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原合同编号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ProgramName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项目名称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BatchNo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批次号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SumCount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批量任务书数目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整数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SumAmt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批量任务书总金额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小数点后两位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ReMark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退回原由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SupervisionName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专管员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SupervisionTel</w:t>
            </w:r>
          </w:p>
        </w:tc>
        <w:tc>
          <w:tcPr>
            <w:tcW w:w="23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专管员联系电话</w:t>
            </w:r>
          </w:p>
        </w:tc>
        <w:tc>
          <w:tcPr>
            <w:tcW w:w="226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30字符内</w:t>
            </w:r>
          </w:p>
        </w:tc>
        <w:tc>
          <w:tcPr>
            <w:tcW w:w="1275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</w:tbl>
    <w:p>
      <w:pPr>
        <w:spacing w:before="156"/>
        <w:ind w:firstLine="42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任务书条目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2441"/>
        <w:gridCol w:w="1854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字段名称</w:t>
            </w:r>
          </w:p>
        </w:tc>
        <w:tc>
          <w:tcPr>
            <w:tcW w:w="2441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描述</w:t>
            </w:r>
          </w:p>
        </w:tc>
        <w:tc>
          <w:tcPr>
            <w:tcW w:w="1854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规则说明</w:t>
            </w:r>
          </w:p>
        </w:tc>
        <w:tc>
          <w:tcPr>
            <w:tcW w:w="1457" w:type="dxa"/>
            <w:shd w:val="clear" w:color="auto" w:fill="BEBEBE" w:themeFill="background1" w:themeFillShade="BF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是否必填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ListNo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目录序号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内网目录序号</w:t>
            </w: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PurchaseListId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采购目录编码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ListStatus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品目执行状态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默认取值：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PurchaseModel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规格型号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200字符内</w:t>
            </w: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Num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数量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小数点后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一位</w:t>
            </w: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Unit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计量单位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UnitPrice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单价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小数点后两位</w:t>
            </w: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TotalPrice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总价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小数点后两位</w:t>
            </w: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ReMark</w:t>
            </w:r>
          </w:p>
        </w:tc>
        <w:tc>
          <w:tcPr>
            <w:tcW w:w="2441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备注</w:t>
            </w:r>
          </w:p>
        </w:tc>
        <w:tc>
          <w:tcPr>
            <w:tcW w:w="185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</w:tbl>
    <w:p>
      <w:pPr>
        <w:spacing w:before="156"/>
        <w:ind w:firstLine="42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任务书资金明细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7"/>
        <w:gridCol w:w="2424"/>
        <w:gridCol w:w="1858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字段名称</w:t>
            </w:r>
          </w:p>
        </w:tc>
        <w:tc>
          <w:tcPr>
            <w:tcW w:w="2424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描述</w:t>
            </w:r>
          </w:p>
        </w:tc>
        <w:tc>
          <w:tcPr>
            <w:tcW w:w="1858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规则说明</w:t>
            </w:r>
          </w:p>
        </w:tc>
        <w:tc>
          <w:tcPr>
            <w:tcW w:w="1453" w:type="dxa"/>
            <w:shd w:val="clear" w:color="auto" w:fill="BEBEBE" w:themeFill="background1" w:themeFillShade="BF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是否必填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FundType</w:t>
            </w:r>
          </w:p>
        </w:tc>
        <w:tc>
          <w:tcPr>
            <w:tcW w:w="242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资金性质</w:t>
            </w:r>
          </w:p>
        </w:tc>
        <w:tc>
          <w:tcPr>
            <w:tcW w:w="185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IndSource</w:t>
            </w:r>
          </w:p>
        </w:tc>
        <w:tc>
          <w:tcPr>
            <w:tcW w:w="242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预算来源</w:t>
            </w:r>
          </w:p>
        </w:tc>
        <w:tc>
          <w:tcPr>
            <w:tcW w:w="185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PayType</w:t>
            </w:r>
          </w:p>
        </w:tc>
        <w:tc>
          <w:tcPr>
            <w:tcW w:w="242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支付方式</w:t>
            </w:r>
          </w:p>
        </w:tc>
        <w:tc>
          <w:tcPr>
            <w:tcW w:w="185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BdgManaDivision</w:t>
            </w:r>
          </w:p>
        </w:tc>
        <w:tc>
          <w:tcPr>
            <w:tcW w:w="242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指标归口处室</w:t>
            </w:r>
          </w:p>
        </w:tc>
        <w:tc>
          <w:tcPr>
            <w:tcW w:w="185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ExpEconormic</w:t>
            </w:r>
          </w:p>
        </w:tc>
        <w:tc>
          <w:tcPr>
            <w:tcW w:w="242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支出经济分类</w:t>
            </w:r>
          </w:p>
        </w:tc>
        <w:tc>
          <w:tcPr>
            <w:tcW w:w="185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ExpFunc</w:t>
            </w:r>
          </w:p>
        </w:tc>
        <w:tc>
          <w:tcPr>
            <w:tcW w:w="242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支出功能分类</w:t>
            </w:r>
          </w:p>
        </w:tc>
        <w:tc>
          <w:tcPr>
            <w:tcW w:w="185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UnitAmt</w:t>
            </w:r>
          </w:p>
        </w:tc>
        <w:tc>
          <w:tcPr>
            <w:tcW w:w="242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资金金额</w:t>
            </w:r>
          </w:p>
        </w:tc>
        <w:tc>
          <w:tcPr>
            <w:tcW w:w="185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小数点后两位</w:t>
            </w:r>
          </w:p>
        </w:tc>
        <w:tc>
          <w:tcPr>
            <w:tcW w:w="1453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7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ReMark</w:t>
            </w:r>
          </w:p>
        </w:tc>
        <w:tc>
          <w:tcPr>
            <w:tcW w:w="242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备注</w:t>
            </w:r>
          </w:p>
        </w:tc>
        <w:tc>
          <w:tcPr>
            <w:tcW w:w="1858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453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</w:tbl>
    <w:p>
      <w:pPr>
        <w:spacing w:before="156"/>
        <w:ind w:firstLine="42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Xml格式：</w:t>
      </w:r>
      <w:r>
        <w:rPr>
          <w:rFonts w:ascii="仿宋" w:hAnsi="仿宋" w:eastAsia="仿宋"/>
          <w:color w:val="000000"/>
        </w:rPr>
        <w:object>
          <v:shape id="_x0000_i1026" o:spt="75" alt="" type="#_x0000_t75" style="height:36.2pt;width:175.85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Package" ShapeID="_x0000_i1026" DrawAspect="Content" ObjectID="_1468075726" r:id="rId13">
            <o:LockedField>false</o:LockedField>
          </o:OLEObject>
        </w:object>
      </w:r>
      <w:r>
        <w:rPr>
          <w:rFonts w:asciiTheme="minorEastAsia" w:hAnsiTheme="minorEastAsia" w:eastAsiaTheme="minorEastAsia"/>
          <w:sz w:val="21"/>
          <w:szCs w:val="21"/>
        </w:rPr>
        <w:t xml:space="preserve"> </w:t>
      </w:r>
    </w:p>
    <w:p>
      <w:pPr>
        <w:rPr>
          <w:rFonts w:ascii="仿宋" w:hAnsi="仿宋" w:eastAsia="仿宋"/>
          <w:color w:val="000000"/>
        </w:rPr>
      </w:pPr>
    </w:p>
    <w:p/>
    <w:p>
      <w:pPr>
        <w:pStyle w:val="3"/>
        <w:spacing w:before="156"/>
        <w:rPr>
          <w:color w:val="auto"/>
        </w:rPr>
      </w:pPr>
      <w:bookmarkStart w:id="11" w:name="_Toc93342287"/>
      <w:r>
        <w:rPr>
          <w:color w:val="auto"/>
        </w:rPr>
        <w:t>4.3</w:t>
      </w:r>
      <w:r>
        <w:rPr>
          <w:rFonts w:hint="eastAsia"/>
          <w:color w:val="auto"/>
        </w:rPr>
        <w:t>安徽省政府采购网公告（监管平台提供）</w:t>
      </w:r>
      <w:bookmarkEnd w:id="11"/>
    </w:p>
    <w:p>
      <w:pPr>
        <w:rPr>
          <w:rFonts w:asciiTheme="minorEastAsia" w:hAnsiTheme="minorEastAsia" w:eastAsiaTheme="minorEastAsia"/>
          <w:sz w:val="21"/>
          <w:szCs w:val="21"/>
        </w:rPr>
      </w:pPr>
      <w:bookmarkStart w:id="12" w:name="_Toc88505226"/>
    </w:p>
    <w:p>
      <w:pPr>
        <w:pStyle w:val="32"/>
        <w:widowControl w:val="0"/>
        <w:adjustRightInd w:val="0"/>
        <w:snapToGrid w:val="0"/>
        <w:spacing w:beforeLines="0" w:line="360" w:lineRule="auto"/>
        <w:ind w:firstLine="480" w:firstLineChars="200"/>
        <w:jc w:val="both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参考</w:t>
      </w:r>
      <w:r>
        <w:rPr>
          <w:rFonts w:ascii="仿宋" w:hAnsi="仿宋" w:eastAsia="仿宋"/>
          <w:color w:val="000000"/>
          <w:sz w:val="24"/>
        </w:rPr>
        <w:t>《</w:t>
      </w:r>
      <w:r>
        <w:rPr>
          <w:rFonts w:hint="eastAsia" w:ascii="仿宋" w:hAnsi="仿宋" w:eastAsia="仿宋"/>
          <w:color w:val="000000"/>
          <w:sz w:val="24"/>
        </w:rPr>
        <w:t>安徽省政府采购网公告接口规范V1.0</w:t>
      </w:r>
      <w:r>
        <w:rPr>
          <w:rFonts w:ascii="仿宋" w:hAnsi="仿宋" w:eastAsia="仿宋"/>
          <w:color w:val="000000"/>
          <w:sz w:val="24"/>
        </w:rPr>
        <w:t>》</w:t>
      </w:r>
      <w:r>
        <w:rPr>
          <w:rFonts w:hint="eastAsia" w:ascii="仿宋" w:hAnsi="仿宋" w:eastAsia="仿宋"/>
          <w:color w:val="000000"/>
          <w:sz w:val="24"/>
        </w:rPr>
        <w:t>文档的1</w:t>
      </w:r>
      <w:r>
        <w:rPr>
          <w:rFonts w:ascii="仿宋" w:hAnsi="仿宋" w:eastAsia="仿宋"/>
          <w:color w:val="000000"/>
          <w:sz w:val="24"/>
        </w:rPr>
        <w:t>3</w:t>
      </w:r>
      <w:r>
        <w:rPr>
          <w:rFonts w:hint="eastAsia" w:ascii="仿宋" w:hAnsi="仿宋" w:eastAsia="仿宋"/>
          <w:color w:val="000000"/>
          <w:sz w:val="24"/>
        </w:rPr>
        <w:t>类项目采购公告：</w:t>
      </w:r>
      <w:r>
        <w:rPr>
          <w:rFonts w:ascii="仿宋" w:hAnsi="仿宋" w:eastAsia="仿宋"/>
          <w:color w:val="000000"/>
          <w:sz w:val="24"/>
        </w:rPr>
        <w:t>包括</w:t>
      </w:r>
      <w:r>
        <w:rPr>
          <w:rFonts w:hint="eastAsia" w:ascii="仿宋" w:hAnsi="仿宋" w:eastAsia="仿宋"/>
          <w:color w:val="000000"/>
          <w:sz w:val="24"/>
        </w:rPr>
        <w:t>采购</w:t>
      </w:r>
      <w:r>
        <w:rPr>
          <w:rFonts w:ascii="仿宋" w:hAnsi="仿宋" w:eastAsia="仿宋"/>
          <w:color w:val="000000"/>
          <w:sz w:val="24"/>
        </w:rPr>
        <w:t>公告（</w:t>
      </w:r>
      <w:r>
        <w:rPr>
          <w:rFonts w:hint="eastAsia" w:ascii="仿宋" w:hAnsi="仿宋" w:eastAsia="仿宋"/>
          <w:color w:val="000000"/>
          <w:sz w:val="24"/>
        </w:rPr>
        <w:t>公开招标公告</w:t>
      </w:r>
      <w:r>
        <w:rPr>
          <w:rFonts w:ascii="仿宋" w:hAnsi="仿宋" w:eastAsia="仿宋"/>
          <w:color w:val="000000"/>
          <w:sz w:val="24"/>
        </w:rPr>
        <w:t>、</w:t>
      </w:r>
      <w:r>
        <w:rPr>
          <w:rFonts w:hint="eastAsia" w:ascii="仿宋" w:hAnsi="仿宋" w:eastAsia="仿宋"/>
          <w:color w:val="000000"/>
          <w:sz w:val="24"/>
        </w:rPr>
        <w:t>邀请</w:t>
      </w:r>
      <w:r>
        <w:rPr>
          <w:rFonts w:ascii="仿宋" w:hAnsi="仿宋" w:eastAsia="仿宋"/>
          <w:color w:val="000000"/>
          <w:sz w:val="24"/>
        </w:rPr>
        <w:t>招标公告、</w:t>
      </w:r>
      <w:r>
        <w:rPr>
          <w:rFonts w:hint="eastAsia" w:ascii="仿宋" w:hAnsi="仿宋" w:eastAsia="仿宋"/>
          <w:color w:val="000000"/>
          <w:sz w:val="24"/>
        </w:rPr>
        <w:t>询价</w:t>
      </w:r>
      <w:r>
        <w:rPr>
          <w:rFonts w:ascii="仿宋" w:hAnsi="仿宋" w:eastAsia="仿宋"/>
          <w:color w:val="000000"/>
          <w:sz w:val="24"/>
        </w:rPr>
        <w:t>公告、</w:t>
      </w:r>
      <w:bookmarkStart w:id="15" w:name="_GoBack"/>
      <w:bookmarkEnd w:id="15"/>
      <w:r>
        <w:rPr>
          <w:rFonts w:hint="eastAsia" w:ascii="仿宋" w:hAnsi="仿宋" w:eastAsia="仿宋"/>
          <w:color w:val="000000"/>
          <w:sz w:val="24"/>
        </w:rPr>
        <w:t>单一来源</w:t>
      </w:r>
      <w:r>
        <w:rPr>
          <w:rFonts w:ascii="仿宋" w:hAnsi="仿宋" w:eastAsia="仿宋"/>
          <w:color w:val="000000"/>
          <w:sz w:val="24"/>
        </w:rPr>
        <w:t>公告、</w:t>
      </w:r>
      <w:r>
        <w:rPr>
          <w:rFonts w:hint="eastAsia" w:ascii="仿宋" w:hAnsi="仿宋" w:eastAsia="仿宋"/>
          <w:color w:val="000000"/>
          <w:sz w:val="24"/>
        </w:rPr>
        <w:t>竞争</w:t>
      </w:r>
      <w:r>
        <w:rPr>
          <w:rFonts w:ascii="仿宋" w:hAnsi="仿宋" w:eastAsia="仿宋"/>
          <w:color w:val="000000"/>
          <w:sz w:val="24"/>
        </w:rPr>
        <w:t>性谈判、竞争性磋商）</w:t>
      </w:r>
      <w:r>
        <w:rPr>
          <w:rFonts w:hint="eastAsia" w:ascii="仿宋" w:hAnsi="仿宋" w:eastAsia="仿宋"/>
          <w:color w:val="000000"/>
          <w:sz w:val="24"/>
        </w:rPr>
        <w:t>、资格</w:t>
      </w:r>
      <w:r>
        <w:rPr>
          <w:rFonts w:ascii="仿宋" w:hAnsi="仿宋" w:eastAsia="仿宋"/>
          <w:color w:val="000000"/>
          <w:sz w:val="24"/>
        </w:rPr>
        <w:t>预审</w:t>
      </w:r>
      <w:r>
        <w:rPr>
          <w:rFonts w:hint="eastAsia" w:ascii="仿宋" w:hAnsi="仿宋" w:eastAsia="仿宋"/>
          <w:color w:val="000000"/>
          <w:sz w:val="24"/>
        </w:rPr>
        <w:t>公告</w:t>
      </w:r>
      <w:r>
        <w:rPr>
          <w:rFonts w:ascii="仿宋" w:hAnsi="仿宋" w:eastAsia="仿宋"/>
          <w:color w:val="000000"/>
          <w:sz w:val="24"/>
        </w:rPr>
        <w:t>、</w:t>
      </w:r>
      <w:r>
        <w:rPr>
          <w:rFonts w:hint="eastAsia" w:ascii="仿宋" w:hAnsi="仿宋" w:eastAsia="仿宋"/>
          <w:color w:val="000000"/>
          <w:sz w:val="24"/>
        </w:rPr>
        <w:t>更正</w:t>
      </w:r>
      <w:r>
        <w:rPr>
          <w:rFonts w:ascii="仿宋" w:hAnsi="仿宋" w:eastAsia="仿宋"/>
          <w:color w:val="000000"/>
          <w:sz w:val="24"/>
        </w:rPr>
        <w:t>公告、中标公告、</w:t>
      </w:r>
      <w:r>
        <w:rPr>
          <w:rFonts w:hint="eastAsia" w:ascii="仿宋" w:hAnsi="仿宋" w:eastAsia="仿宋"/>
          <w:color w:val="000000"/>
          <w:sz w:val="24"/>
        </w:rPr>
        <w:t>废标</w:t>
      </w:r>
      <w:r>
        <w:rPr>
          <w:rFonts w:ascii="仿宋" w:hAnsi="仿宋" w:eastAsia="仿宋"/>
          <w:color w:val="000000"/>
          <w:sz w:val="24"/>
        </w:rPr>
        <w:t>流标公告、成交公告、合同公告、其他公告</w:t>
      </w:r>
      <w:r>
        <w:rPr>
          <w:rFonts w:hint="eastAsia" w:ascii="仿宋" w:hAnsi="仿宋" w:eastAsia="仿宋"/>
          <w:color w:val="000000"/>
          <w:sz w:val="24"/>
        </w:rPr>
        <w:t>。</w:t>
      </w:r>
    </w:p>
    <w:p>
      <w:pPr>
        <w:ind w:firstLine="420" w:firstLineChars="200"/>
        <w:rPr>
          <w:rFonts w:asciiTheme="minorEastAsia" w:hAnsiTheme="minorEastAsia" w:eastAsiaTheme="minorEastAsia"/>
          <w:sz w:val="21"/>
          <w:szCs w:val="21"/>
        </w:rPr>
      </w:pPr>
    </w:p>
    <w:p>
      <w:pPr>
        <w:pStyle w:val="3"/>
        <w:spacing w:before="156"/>
        <w:rPr>
          <w:color w:val="auto"/>
        </w:rPr>
      </w:pPr>
      <w:bookmarkStart w:id="13" w:name="_Toc93342288"/>
      <w:r>
        <w:rPr>
          <w:color w:val="auto"/>
        </w:rPr>
        <w:t>4.4</w:t>
      </w:r>
      <w:r>
        <w:rPr>
          <w:rFonts w:hint="eastAsia"/>
          <w:color w:val="auto"/>
        </w:rPr>
        <w:t>响应反馈</w:t>
      </w:r>
      <w:bookmarkEnd w:id="12"/>
      <w:bookmarkEnd w:id="13"/>
    </w:p>
    <w:tbl>
      <w:tblPr>
        <w:tblStyle w:val="1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4"/>
        <w:gridCol w:w="2724"/>
        <w:gridCol w:w="172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4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字段名称</w:t>
            </w:r>
          </w:p>
        </w:tc>
        <w:tc>
          <w:tcPr>
            <w:tcW w:w="2724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描述</w:t>
            </w:r>
          </w:p>
        </w:tc>
        <w:tc>
          <w:tcPr>
            <w:tcW w:w="1720" w:type="dxa"/>
            <w:shd w:val="clear" w:color="auto" w:fill="BEBEBE" w:themeFill="background1" w:themeFillShade="BF"/>
            <w:vAlign w:val="bottom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规则说明</w:t>
            </w:r>
          </w:p>
        </w:tc>
        <w:tc>
          <w:tcPr>
            <w:tcW w:w="1559" w:type="dxa"/>
            <w:shd w:val="clear" w:color="auto" w:fill="BEBEBE" w:themeFill="background1" w:themeFillShade="BF"/>
          </w:tcPr>
          <w:p>
            <w:pPr>
              <w:pStyle w:val="42"/>
              <w:spacing w:before="156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是否必填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acceptstate</w:t>
            </w:r>
          </w:p>
        </w:tc>
        <w:tc>
          <w:tcPr>
            <w:tcW w:w="272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处理结果</w:t>
            </w:r>
          </w:p>
        </w:tc>
        <w:tc>
          <w:tcPr>
            <w:tcW w:w="1720" w:type="dxa"/>
            <w:vAlign w:val="center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取值为：S或F，S成功，F失败</w:t>
            </w:r>
          </w:p>
        </w:tc>
        <w:tc>
          <w:tcPr>
            <w:tcW w:w="1559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4" w:type="dxa"/>
          </w:tcPr>
          <w:p>
            <w:r>
              <w:rPr>
                <w:rFonts w:ascii="Monaco" w:hAnsi="Monaco"/>
                <w:color w:val="0048AB"/>
                <w:sz w:val="18"/>
                <w:szCs w:val="18"/>
                <w:shd w:val="clear" w:color="auto" w:fill="EFFFFF"/>
              </w:rPr>
              <w:t>filename</w:t>
            </w:r>
          </w:p>
        </w:tc>
        <w:tc>
          <w:tcPr>
            <w:tcW w:w="272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接收文件名</w:t>
            </w:r>
          </w:p>
        </w:tc>
        <w:tc>
          <w:tcPr>
            <w:tcW w:w="1720" w:type="dxa"/>
            <w:vAlign w:val="center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默认参数可为空</w:t>
            </w:r>
          </w:p>
        </w:tc>
        <w:tc>
          <w:tcPr>
            <w:tcW w:w="1559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failreason</w:t>
            </w:r>
          </w:p>
        </w:tc>
        <w:tc>
          <w:tcPr>
            <w:tcW w:w="2724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处理失败原因</w:t>
            </w:r>
          </w:p>
        </w:tc>
        <w:tc>
          <w:tcPr>
            <w:tcW w:w="1720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pStyle w:val="43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否</w:t>
            </w:r>
          </w:p>
        </w:tc>
      </w:tr>
    </w:tbl>
    <w:p>
      <w:pPr>
        <w:spacing w:before="156"/>
        <w:ind w:firstLine="42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X</w:t>
      </w:r>
      <w:r>
        <w:rPr>
          <w:rFonts w:hint="eastAsia" w:asciiTheme="minorEastAsia" w:hAnsiTheme="minorEastAsia" w:eastAsiaTheme="minorEastAsia"/>
          <w:sz w:val="21"/>
          <w:szCs w:val="21"/>
        </w:rPr>
        <w:t>ml格式：</w:t>
      </w:r>
    </w:p>
    <w:p>
      <w:pPr>
        <w:spacing w:before="156"/>
        <w:ind w:firstLine="48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="仿宋" w:hAnsi="仿宋" w:eastAsia="仿宋"/>
          <w:color w:val="000000"/>
        </w:rPr>
        <w:object>
          <v:shape id="_x0000_i1027" o:spt="75" type="#_x0000_t75" style="height:41.9pt;width:8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Package" ShapeID="_x0000_i1027" DrawAspect="Content" ObjectID="_1468075727" r:id="rId15">
            <o:LockedField>false</o:LockedField>
          </o:OLEObject>
        </w:object>
      </w:r>
    </w:p>
    <w:p>
      <w:pPr>
        <w:pStyle w:val="3"/>
        <w:spacing w:before="156"/>
        <w:rPr>
          <w:color w:val="auto"/>
        </w:rPr>
      </w:pPr>
      <w:bookmarkStart w:id="14" w:name="_Toc93342289"/>
      <w:r>
        <w:rPr>
          <w:color w:val="auto"/>
        </w:rPr>
        <w:t>4.5</w:t>
      </w:r>
      <w:r>
        <w:rPr>
          <w:rFonts w:hint="eastAsia"/>
          <w:color w:val="auto"/>
        </w:rPr>
        <w:t>资金性质说明</w:t>
      </w:r>
      <w:bookmarkEnd w:id="14"/>
    </w:p>
    <w:p>
      <w:pPr>
        <w:pStyle w:val="32"/>
        <w:spacing w:before="93" w:line="360" w:lineRule="auto"/>
        <w:ind w:left="780"/>
        <w:rPr>
          <w:rFonts w:ascii="仿宋" w:hAnsi="仿宋" w:eastAsia="仿宋"/>
          <w:color w:val="000000"/>
          <w:sz w:val="24"/>
        </w:rPr>
      </w:pPr>
      <w:r>
        <w:rPr>
          <w:rFonts w:ascii="仿宋" w:hAnsi="仿宋" w:eastAsia="仿宋"/>
          <w:color w:val="000000"/>
          <w:sz w:val="24"/>
        </w:rPr>
        <w:object>
          <v:shape id="_x0000_i1028" o:spt="75" type="#_x0000_t75" style="height:556.15pt;width:382.0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xcel.Sheet.12" ShapeID="_x0000_i1028" DrawAspect="Content" ObjectID="_1468075728" r:id="rId17">
            <o:LockedField>false</o:LockedField>
          </o:OLEObject>
        </w:objec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spacing w:before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spacing w:before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spacing w:before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spacing w:before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D60A22"/>
    <w:multiLevelType w:val="multilevel"/>
    <w:tmpl w:val="2AD60A22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8380CAD"/>
    <w:multiLevelType w:val="multilevel"/>
    <w:tmpl w:val="38380CAD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  <w:lvl w:ilvl="8" w:tentative="0">
      <w:start w:val="0"/>
      <w:numFmt w:val="decimal"/>
      <w:lvlText w:val=""/>
      <w:lvlJc w:val="left"/>
    </w:lvl>
  </w:abstractNum>
  <w:abstractNum w:abstractNumId="2">
    <w:nsid w:val="62CA1A4B"/>
    <w:multiLevelType w:val="multilevel"/>
    <w:tmpl w:val="62CA1A4B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NzQwMzBhMGFhZDNmMTcxNTI0OTU2NmI4ZmE4YjcifQ=="/>
  </w:docVars>
  <w:rsids>
    <w:rsidRoot w:val="0004592F"/>
    <w:rsid w:val="000125A5"/>
    <w:rsid w:val="00016D35"/>
    <w:rsid w:val="00025CAB"/>
    <w:rsid w:val="00032E28"/>
    <w:rsid w:val="00044765"/>
    <w:rsid w:val="0004592F"/>
    <w:rsid w:val="0005763D"/>
    <w:rsid w:val="00061F1E"/>
    <w:rsid w:val="000665BA"/>
    <w:rsid w:val="00083157"/>
    <w:rsid w:val="000A7F4F"/>
    <w:rsid w:val="000D343E"/>
    <w:rsid w:val="000E3872"/>
    <w:rsid w:val="000E4417"/>
    <w:rsid w:val="000F16A9"/>
    <w:rsid w:val="000F5645"/>
    <w:rsid w:val="0010413E"/>
    <w:rsid w:val="00106CF0"/>
    <w:rsid w:val="00114514"/>
    <w:rsid w:val="001412B0"/>
    <w:rsid w:val="001A4C86"/>
    <w:rsid w:val="001B6751"/>
    <w:rsid w:val="001D04B5"/>
    <w:rsid w:val="001D46B1"/>
    <w:rsid w:val="00223E1C"/>
    <w:rsid w:val="00225394"/>
    <w:rsid w:val="00235B77"/>
    <w:rsid w:val="00253D1A"/>
    <w:rsid w:val="002649A5"/>
    <w:rsid w:val="00297650"/>
    <w:rsid w:val="002A3652"/>
    <w:rsid w:val="002C28E6"/>
    <w:rsid w:val="002E5C12"/>
    <w:rsid w:val="00302C9D"/>
    <w:rsid w:val="00317229"/>
    <w:rsid w:val="00327C74"/>
    <w:rsid w:val="0036008E"/>
    <w:rsid w:val="00370352"/>
    <w:rsid w:val="0038020F"/>
    <w:rsid w:val="00394A7A"/>
    <w:rsid w:val="003C0ADD"/>
    <w:rsid w:val="003F68A3"/>
    <w:rsid w:val="004332EE"/>
    <w:rsid w:val="00492C6F"/>
    <w:rsid w:val="004A5596"/>
    <w:rsid w:val="004B567A"/>
    <w:rsid w:val="004C6BC9"/>
    <w:rsid w:val="004E0991"/>
    <w:rsid w:val="00546525"/>
    <w:rsid w:val="0056083C"/>
    <w:rsid w:val="00563BA1"/>
    <w:rsid w:val="00570F27"/>
    <w:rsid w:val="005D0B08"/>
    <w:rsid w:val="00623B30"/>
    <w:rsid w:val="006308DF"/>
    <w:rsid w:val="00655F38"/>
    <w:rsid w:val="006712A4"/>
    <w:rsid w:val="00680620"/>
    <w:rsid w:val="0068390C"/>
    <w:rsid w:val="00691C56"/>
    <w:rsid w:val="006C7057"/>
    <w:rsid w:val="006D05CE"/>
    <w:rsid w:val="006D5428"/>
    <w:rsid w:val="00710A4B"/>
    <w:rsid w:val="00747BFE"/>
    <w:rsid w:val="00755A49"/>
    <w:rsid w:val="007675F2"/>
    <w:rsid w:val="007D0DB2"/>
    <w:rsid w:val="007F53DE"/>
    <w:rsid w:val="007F62FA"/>
    <w:rsid w:val="00811244"/>
    <w:rsid w:val="00820068"/>
    <w:rsid w:val="00821965"/>
    <w:rsid w:val="008A5E60"/>
    <w:rsid w:val="008D1A6B"/>
    <w:rsid w:val="0092403A"/>
    <w:rsid w:val="00946786"/>
    <w:rsid w:val="009678C5"/>
    <w:rsid w:val="009862CD"/>
    <w:rsid w:val="00996E02"/>
    <w:rsid w:val="009B114C"/>
    <w:rsid w:val="009C5282"/>
    <w:rsid w:val="009C64A1"/>
    <w:rsid w:val="009E33F6"/>
    <w:rsid w:val="00A11E95"/>
    <w:rsid w:val="00A41A6A"/>
    <w:rsid w:val="00A651AA"/>
    <w:rsid w:val="00A67F91"/>
    <w:rsid w:val="00A86D05"/>
    <w:rsid w:val="00A97C3D"/>
    <w:rsid w:val="00AA6156"/>
    <w:rsid w:val="00AC03D6"/>
    <w:rsid w:val="00AC2B66"/>
    <w:rsid w:val="00AC4ADA"/>
    <w:rsid w:val="00B12D34"/>
    <w:rsid w:val="00B446DE"/>
    <w:rsid w:val="00B77EBE"/>
    <w:rsid w:val="00B851E6"/>
    <w:rsid w:val="00B9129C"/>
    <w:rsid w:val="00BA7013"/>
    <w:rsid w:val="00C04017"/>
    <w:rsid w:val="00C06708"/>
    <w:rsid w:val="00C16B92"/>
    <w:rsid w:val="00C17E34"/>
    <w:rsid w:val="00C207E9"/>
    <w:rsid w:val="00C425DB"/>
    <w:rsid w:val="00C45465"/>
    <w:rsid w:val="00C61440"/>
    <w:rsid w:val="00C66F20"/>
    <w:rsid w:val="00C97AD8"/>
    <w:rsid w:val="00CB3F6C"/>
    <w:rsid w:val="00CC4E57"/>
    <w:rsid w:val="00CC6FF1"/>
    <w:rsid w:val="00CD35A7"/>
    <w:rsid w:val="00CD5E3D"/>
    <w:rsid w:val="00CF6656"/>
    <w:rsid w:val="00D310BC"/>
    <w:rsid w:val="00D31495"/>
    <w:rsid w:val="00D33168"/>
    <w:rsid w:val="00D91F27"/>
    <w:rsid w:val="00DC36EA"/>
    <w:rsid w:val="00DE0B15"/>
    <w:rsid w:val="00E14846"/>
    <w:rsid w:val="00E1487B"/>
    <w:rsid w:val="00E26D8A"/>
    <w:rsid w:val="00E456E6"/>
    <w:rsid w:val="00E73AD4"/>
    <w:rsid w:val="00EA13CD"/>
    <w:rsid w:val="00EA357D"/>
    <w:rsid w:val="00EB060C"/>
    <w:rsid w:val="00EC3383"/>
    <w:rsid w:val="00EC7FD7"/>
    <w:rsid w:val="00ED2641"/>
    <w:rsid w:val="00ED5C01"/>
    <w:rsid w:val="00EE1372"/>
    <w:rsid w:val="00F049EE"/>
    <w:rsid w:val="00F24A44"/>
    <w:rsid w:val="00F33010"/>
    <w:rsid w:val="00F4032B"/>
    <w:rsid w:val="00F72043"/>
    <w:rsid w:val="00F83FC8"/>
    <w:rsid w:val="00F95088"/>
    <w:rsid w:val="00FC221D"/>
    <w:rsid w:val="08E57ED7"/>
    <w:rsid w:val="0CA610DF"/>
    <w:rsid w:val="16A64631"/>
    <w:rsid w:val="1B827506"/>
    <w:rsid w:val="1F6E172C"/>
    <w:rsid w:val="218525F9"/>
    <w:rsid w:val="27E53D4F"/>
    <w:rsid w:val="3BEC3074"/>
    <w:rsid w:val="4F8A703E"/>
    <w:rsid w:val="55F7300F"/>
    <w:rsid w:val="57C22CC3"/>
    <w:rsid w:val="6086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next w:val="1"/>
    <w:link w:val="22"/>
    <w:qFormat/>
    <w:uiPriority w:val="0"/>
    <w:pPr>
      <w:keepNext/>
      <w:keepLines/>
      <w:pageBreakBefore/>
      <w:adjustRightInd w:val="0"/>
      <w:snapToGrid w:val="0"/>
      <w:spacing w:line="360" w:lineRule="auto"/>
      <w:outlineLvl w:val="0"/>
    </w:pPr>
    <w:rPr>
      <w:rFonts w:ascii="Times New Roman" w:hAnsi="Times New Roman" w:eastAsia="宋体" w:cs="Times New Roman"/>
      <w:b/>
      <w:snapToGrid w:val="0"/>
      <w:kern w:val="44"/>
      <w:sz w:val="28"/>
      <w:lang w:val="en-US" w:eastAsia="zh-CN" w:bidi="ar-SA"/>
    </w:rPr>
  </w:style>
  <w:style w:type="paragraph" w:styleId="3">
    <w:name w:val="heading 2"/>
    <w:next w:val="1"/>
    <w:link w:val="23"/>
    <w:qFormat/>
    <w:uiPriority w:val="0"/>
    <w:pPr>
      <w:keepNext/>
      <w:keepLines/>
      <w:adjustRightInd w:val="0"/>
      <w:snapToGrid w:val="0"/>
      <w:spacing w:before="50" w:beforeLines="50"/>
      <w:outlineLvl w:val="1"/>
    </w:pPr>
    <w:rPr>
      <w:rFonts w:ascii="Times New Roman" w:hAnsi="Times New Roman" w:eastAsia="宋体" w:cs="Times New Roman"/>
      <w:b/>
      <w:snapToGrid w:val="0"/>
      <w:color w:val="993300"/>
      <w:kern w:val="24"/>
      <w:sz w:val="24"/>
      <w:lang w:val="en-US" w:eastAsia="zh-CN" w:bidi="ar-SA"/>
    </w:rPr>
  </w:style>
  <w:style w:type="paragraph" w:styleId="4">
    <w:name w:val="heading 3"/>
    <w:next w:val="1"/>
    <w:link w:val="24"/>
    <w:qFormat/>
    <w:uiPriority w:val="0"/>
    <w:pPr>
      <w:keepNext/>
      <w:keepLines/>
      <w:adjustRightInd w:val="0"/>
      <w:snapToGrid w:val="0"/>
      <w:spacing w:before="50" w:beforeLines="50"/>
      <w:outlineLvl w:val="2"/>
    </w:pPr>
    <w:rPr>
      <w:rFonts w:ascii="Times New Roman" w:hAnsi="Times New Roman" w:eastAsia="宋体" w:cs="Times New Roman"/>
      <w:b/>
      <w:snapToGrid w:val="0"/>
      <w:color w:val="0000FF"/>
      <w:kern w:val="24"/>
      <w:sz w:val="24"/>
      <w:lang w:val="en-US" w:eastAsia="zh-CN" w:bidi="ar-SA"/>
    </w:rPr>
  </w:style>
  <w:style w:type="paragraph" w:styleId="5">
    <w:name w:val="heading 4"/>
    <w:next w:val="1"/>
    <w:link w:val="25"/>
    <w:qFormat/>
    <w:uiPriority w:val="0"/>
    <w:pPr>
      <w:keepNext/>
      <w:keepLines/>
      <w:adjustRightInd w:val="0"/>
      <w:snapToGrid w:val="0"/>
      <w:spacing w:before="50" w:beforeLines="50"/>
      <w:outlineLvl w:val="3"/>
    </w:pPr>
    <w:rPr>
      <w:rFonts w:ascii="Arial" w:hAnsi="Arial" w:eastAsia="宋体" w:cs="Times New Roman"/>
      <w:b/>
      <w:snapToGrid w:val="0"/>
      <w:color w:val="008080"/>
      <w:kern w:val="24"/>
      <w:sz w:val="24"/>
      <w:lang w:val="en-US" w:eastAsia="zh-CN" w:bidi="ar-SA"/>
    </w:rPr>
  </w:style>
  <w:style w:type="paragraph" w:styleId="6">
    <w:name w:val="heading 5"/>
    <w:basedOn w:val="1"/>
    <w:next w:val="1"/>
    <w:link w:val="26"/>
    <w:qFormat/>
    <w:uiPriority w:val="0"/>
    <w:pPr>
      <w:keepNext/>
      <w:keepLines/>
      <w:outlineLvl w:val="4"/>
    </w:pPr>
    <w:rPr>
      <w:b/>
      <w:snapToGrid w:val="0"/>
      <w:color w:val="800000"/>
      <w:kern w:val="24"/>
      <w:lang w:val="zh-CN"/>
    </w:rPr>
  </w:style>
  <w:style w:type="paragraph" w:styleId="7">
    <w:name w:val="heading 6"/>
    <w:next w:val="1"/>
    <w:link w:val="27"/>
    <w:qFormat/>
    <w:uiPriority w:val="0"/>
    <w:pPr>
      <w:keepNext/>
      <w:keepLines/>
      <w:adjustRightInd w:val="0"/>
      <w:snapToGrid w:val="0"/>
      <w:spacing w:line="360" w:lineRule="auto"/>
      <w:outlineLvl w:val="5"/>
    </w:pPr>
    <w:rPr>
      <w:rFonts w:ascii="Arial" w:hAnsi="Arial" w:eastAsia="宋体" w:cs="Times New Roman"/>
      <w:b/>
      <w:snapToGrid w:val="0"/>
      <w:color w:val="008080"/>
      <w:kern w:val="24"/>
      <w:sz w:val="24"/>
      <w:lang w:val="en-US" w:eastAsia="zh-CN" w:bidi="ar-SA"/>
    </w:rPr>
  </w:style>
  <w:style w:type="paragraph" w:styleId="8">
    <w:name w:val="heading 7"/>
    <w:basedOn w:val="1"/>
    <w:next w:val="1"/>
    <w:link w:val="28"/>
    <w:qFormat/>
    <w:uiPriority w:val="0"/>
    <w:pPr>
      <w:keepNext/>
      <w:keepLines/>
      <w:outlineLvl w:val="6"/>
    </w:pPr>
    <w:rPr>
      <w:b/>
      <w:lang w:val="zh-CN"/>
    </w:rPr>
  </w:style>
  <w:style w:type="paragraph" w:styleId="9">
    <w:name w:val="heading 8"/>
    <w:basedOn w:val="1"/>
    <w:next w:val="1"/>
    <w:link w:val="29"/>
    <w:qFormat/>
    <w:uiPriority w:val="0"/>
    <w:pPr>
      <w:keepNext/>
      <w:keepLines/>
      <w:outlineLvl w:val="7"/>
    </w:pPr>
    <w:rPr>
      <w:rFonts w:ascii="Arial" w:hAnsi="Arial"/>
      <w:b/>
      <w:lang w:val="zh-CN"/>
    </w:rPr>
  </w:style>
  <w:style w:type="paragraph" w:styleId="10">
    <w:name w:val="heading 9"/>
    <w:basedOn w:val="1"/>
    <w:next w:val="1"/>
    <w:link w:val="30"/>
    <w:qFormat/>
    <w:uiPriority w:val="0"/>
    <w:pPr>
      <w:keepNext/>
      <w:keepLines/>
      <w:outlineLvl w:val="8"/>
    </w:pPr>
    <w:rPr>
      <w:rFonts w:ascii="Arial" w:hAnsi="Arial"/>
      <w:b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9"/>
    <w:semiHidden/>
    <w:unhideWhenUsed/>
    <w:qFormat/>
    <w:uiPriority w:val="99"/>
    <w:pPr>
      <w:spacing w:after="120"/>
    </w:pPr>
  </w:style>
  <w:style w:type="paragraph" w:styleId="12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4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rPr>
      <w:rFonts w:eastAsia="微软雅黑" w:asciiTheme="minorHAnsi" w:hAnsiTheme="minorHAnsi" w:cstheme="minorBidi"/>
      <w:bCs/>
      <w:sz w:val="21"/>
      <w:szCs w:val="21"/>
    </w:rPr>
  </w:style>
  <w:style w:type="paragraph" w:styleId="16">
    <w:name w:val="toc 2"/>
    <w:basedOn w:val="1"/>
    <w:next w:val="1"/>
    <w:unhideWhenUsed/>
    <w:qFormat/>
    <w:uiPriority w:val="39"/>
    <w:pPr>
      <w:ind w:left="420" w:leftChars="200"/>
    </w:pPr>
    <w:rPr>
      <w:rFonts w:eastAsia="微软雅黑" w:asciiTheme="minorHAnsi" w:hAnsiTheme="minorHAnsi" w:cstheme="minorBidi"/>
      <w:bCs/>
      <w:sz w:val="21"/>
      <w:szCs w:val="21"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字符"/>
    <w:basedOn w:val="19"/>
    <w:link w:val="2"/>
    <w:qFormat/>
    <w:uiPriority w:val="0"/>
    <w:rPr>
      <w:rFonts w:ascii="Times New Roman" w:hAnsi="Times New Roman" w:eastAsia="宋体" w:cs="Times New Roman"/>
      <w:b/>
      <w:snapToGrid w:val="0"/>
      <w:kern w:val="44"/>
      <w:sz w:val="28"/>
      <w:szCs w:val="20"/>
    </w:rPr>
  </w:style>
  <w:style w:type="character" w:customStyle="1" w:styleId="23">
    <w:name w:val="标题 2 字符"/>
    <w:basedOn w:val="19"/>
    <w:link w:val="3"/>
    <w:qFormat/>
    <w:uiPriority w:val="0"/>
    <w:rPr>
      <w:rFonts w:ascii="Times New Roman" w:hAnsi="Times New Roman" w:eastAsia="宋体" w:cs="Times New Roman"/>
      <w:b/>
      <w:snapToGrid w:val="0"/>
      <w:color w:val="993300"/>
      <w:kern w:val="24"/>
      <w:sz w:val="24"/>
      <w:szCs w:val="20"/>
    </w:rPr>
  </w:style>
  <w:style w:type="character" w:customStyle="1" w:styleId="24">
    <w:name w:val="标题 3 字符"/>
    <w:basedOn w:val="19"/>
    <w:link w:val="4"/>
    <w:qFormat/>
    <w:uiPriority w:val="0"/>
    <w:rPr>
      <w:rFonts w:ascii="Times New Roman" w:hAnsi="Times New Roman" w:eastAsia="宋体" w:cs="Times New Roman"/>
      <w:b/>
      <w:snapToGrid w:val="0"/>
      <w:color w:val="0000FF"/>
      <w:kern w:val="24"/>
      <w:sz w:val="24"/>
      <w:szCs w:val="20"/>
    </w:rPr>
  </w:style>
  <w:style w:type="character" w:customStyle="1" w:styleId="25">
    <w:name w:val="标题 4 字符"/>
    <w:basedOn w:val="19"/>
    <w:link w:val="5"/>
    <w:qFormat/>
    <w:uiPriority w:val="0"/>
    <w:rPr>
      <w:rFonts w:ascii="Arial" w:hAnsi="Arial" w:eastAsia="宋体" w:cs="Times New Roman"/>
      <w:b/>
      <w:snapToGrid w:val="0"/>
      <w:color w:val="008080"/>
      <w:kern w:val="24"/>
      <w:sz w:val="24"/>
      <w:szCs w:val="20"/>
    </w:rPr>
  </w:style>
  <w:style w:type="character" w:customStyle="1" w:styleId="26">
    <w:name w:val="标题 5 字符"/>
    <w:basedOn w:val="19"/>
    <w:link w:val="6"/>
    <w:qFormat/>
    <w:uiPriority w:val="0"/>
    <w:rPr>
      <w:rFonts w:ascii="Times New Roman" w:hAnsi="Times New Roman" w:eastAsia="宋体" w:cs="Times New Roman"/>
      <w:b/>
      <w:bCs/>
      <w:snapToGrid w:val="0"/>
      <w:color w:val="800000"/>
      <w:kern w:val="24"/>
      <w:sz w:val="24"/>
      <w:szCs w:val="20"/>
      <w:lang w:val="zh-CN" w:eastAsia="zh-CN"/>
    </w:rPr>
  </w:style>
  <w:style w:type="character" w:customStyle="1" w:styleId="27">
    <w:name w:val="标题 6 字符"/>
    <w:basedOn w:val="19"/>
    <w:link w:val="7"/>
    <w:qFormat/>
    <w:uiPriority w:val="0"/>
    <w:rPr>
      <w:rFonts w:ascii="Arial" w:hAnsi="Arial" w:eastAsia="宋体" w:cs="Times New Roman"/>
      <w:b/>
      <w:snapToGrid w:val="0"/>
      <w:color w:val="008080"/>
      <w:kern w:val="24"/>
      <w:sz w:val="24"/>
      <w:szCs w:val="20"/>
    </w:rPr>
  </w:style>
  <w:style w:type="character" w:customStyle="1" w:styleId="28">
    <w:name w:val="标题 7 字符"/>
    <w:basedOn w:val="19"/>
    <w:link w:val="8"/>
    <w:qFormat/>
    <w:uiPriority w:val="0"/>
    <w:rPr>
      <w:rFonts w:ascii="Times New Roman" w:hAnsi="Times New Roman" w:eastAsia="宋体" w:cs="Times New Roman"/>
      <w:b/>
      <w:bCs/>
      <w:sz w:val="24"/>
      <w:szCs w:val="20"/>
      <w:lang w:val="zh-CN" w:eastAsia="zh-CN"/>
    </w:rPr>
  </w:style>
  <w:style w:type="character" w:customStyle="1" w:styleId="29">
    <w:name w:val="标题 8 字符"/>
    <w:basedOn w:val="19"/>
    <w:link w:val="9"/>
    <w:qFormat/>
    <w:uiPriority w:val="0"/>
    <w:rPr>
      <w:rFonts w:ascii="Arial" w:hAnsi="Arial" w:eastAsia="宋体" w:cs="Times New Roman"/>
      <w:b/>
      <w:bCs/>
      <w:sz w:val="24"/>
      <w:szCs w:val="20"/>
      <w:lang w:val="zh-CN" w:eastAsia="zh-CN"/>
    </w:rPr>
  </w:style>
  <w:style w:type="character" w:customStyle="1" w:styleId="30">
    <w:name w:val="标题 9 字符"/>
    <w:basedOn w:val="19"/>
    <w:link w:val="10"/>
    <w:qFormat/>
    <w:uiPriority w:val="0"/>
    <w:rPr>
      <w:rFonts w:ascii="Arial" w:hAnsi="Arial" w:eastAsia="宋体" w:cs="Times New Roman"/>
      <w:b/>
      <w:bCs/>
      <w:sz w:val="24"/>
      <w:szCs w:val="20"/>
      <w:lang w:val="zh-CN" w:eastAsia="zh-CN"/>
    </w:rPr>
  </w:style>
  <w:style w:type="paragraph" w:customStyle="1" w:styleId="31">
    <w:name w:val="GP（表格）"/>
    <w:basedOn w:val="1"/>
    <w:qFormat/>
    <w:uiPriority w:val="0"/>
    <w:rPr>
      <w:rFonts w:ascii="Arial" w:hAnsi="Arial" w:eastAsia="微软雅黑"/>
      <w:bCs/>
      <w:sz w:val="18"/>
    </w:rPr>
  </w:style>
  <w:style w:type="paragraph" w:customStyle="1" w:styleId="32">
    <w:name w:val="GP（正文）"/>
    <w:basedOn w:val="1"/>
    <w:qFormat/>
    <w:uiPriority w:val="0"/>
    <w:pPr>
      <w:spacing w:beforeLines="30"/>
    </w:pPr>
    <w:rPr>
      <w:rFonts w:ascii="Arial" w:hAnsi="Arial" w:eastAsia="微软雅黑"/>
      <w:bCs/>
      <w:sz w:val="21"/>
    </w:rPr>
  </w:style>
  <w:style w:type="character" w:customStyle="1" w:styleId="33">
    <w:name w:val="页眉 字符"/>
    <w:basedOn w:val="19"/>
    <w:link w:val="14"/>
    <w:qFormat/>
    <w:uiPriority w:val="99"/>
    <w:rPr>
      <w:rFonts w:ascii="Times New Roman" w:hAnsi="Times New Roman" w:eastAsia="宋体" w:cs="Times New Roman"/>
      <w:bCs/>
      <w:sz w:val="18"/>
      <w:szCs w:val="18"/>
    </w:rPr>
  </w:style>
  <w:style w:type="character" w:customStyle="1" w:styleId="34">
    <w:name w:val="页脚 字符"/>
    <w:basedOn w:val="19"/>
    <w:link w:val="13"/>
    <w:qFormat/>
    <w:uiPriority w:val="99"/>
    <w:rPr>
      <w:rFonts w:ascii="Times New Roman" w:hAnsi="Times New Roman" w:eastAsia="宋体" w:cs="Times New Roman"/>
      <w:bCs/>
      <w:sz w:val="18"/>
      <w:szCs w:val="18"/>
    </w:rPr>
  </w:style>
  <w:style w:type="character" w:customStyle="1" w:styleId="35">
    <w:name w:val="批注框文本 字符"/>
    <w:basedOn w:val="19"/>
    <w:link w:val="12"/>
    <w:semiHidden/>
    <w:qFormat/>
    <w:uiPriority w:val="99"/>
    <w:rPr>
      <w:rFonts w:ascii="Times New Roman" w:hAnsi="Times New Roman" w:eastAsia="宋体" w:cs="Times New Roman"/>
      <w:bCs/>
      <w:sz w:val="18"/>
      <w:szCs w:val="18"/>
    </w:rPr>
  </w:style>
  <w:style w:type="paragraph" w:customStyle="1" w:styleId="36">
    <w:name w:val="XML"/>
    <w:basedOn w:val="1"/>
    <w:next w:val="11"/>
    <w:qFormat/>
    <w:uiPriority w:val="0"/>
    <w:pPr>
      <w:spacing w:line="240" w:lineRule="atLeast"/>
    </w:pPr>
    <w:rPr>
      <w:rFonts w:ascii="Arial Unicode MS" w:hAnsi="Arial Unicode MS" w:eastAsia="Arial Unicode MS" w:cs="Arial Unicode MS"/>
      <w:bCs/>
      <w:sz w:val="21"/>
    </w:rPr>
  </w:style>
  <w:style w:type="paragraph" w:customStyle="1" w:styleId="37">
    <w:name w:val="正文加粗"/>
    <w:basedOn w:val="1"/>
    <w:link w:val="38"/>
    <w:qFormat/>
    <w:uiPriority w:val="0"/>
    <w:pPr>
      <w:spacing w:before="163"/>
      <w:ind w:firstLine="482"/>
    </w:pPr>
    <w:rPr>
      <w:b/>
    </w:rPr>
  </w:style>
  <w:style w:type="character" w:customStyle="1" w:styleId="38">
    <w:name w:val="正文加粗 Char"/>
    <w:basedOn w:val="19"/>
    <w:link w:val="37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39">
    <w:name w:val="正文文本 字符"/>
    <w:basedOn w:val="19"/>
    <w:link w:val="11"/>
    <w:semiHidden/>
    <w:qFormat/>
    <w:uiPriority w:val="99"/>
    <w:rPr>
      <w:rFonts w:ascii="Times New Roman" w:hAnsi="Times New Roman" w:eastAsia="宋体" w:cs="Times New Roman"/>
      <w:bCs/>
      <w:sz w:val="24"/>
      <w:szCs w:val="20"/>
    </w:rPr>
  </w:style>
  <w:style w:type="paragraph" w:customStyle="1" w:styleId="40">
    <w:name w:val="TOC 标题1"/>
    <w:basedOn w:val="2"/>
    <w:next w:val="1"/>
    <w:unhideWhenUsed/>
    <w:qFormat/>
    <w:uiPriority w:val="39"/>
    <w:pPr>
      <w:pageBreakBefore w:val="0"/>
      <w:adjustRightInd/>
      <w:snapToGrid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snapToGrid/>
      <w:color w:val="376092" w:themeColor="accent1" w:themeShade="BF"/>
      <w:kern w:val="0"/>
      <w:sz w:val="32"/>
      <w:szCs w:val="32"/>
    </w:rPr>
  </w:style>
  <w:style w:type="paragraph" w:styleId="41">
    <w:name w:val="List Paragraph"/>
    <w:basedOn w:val="1"/>
    <w:qFormat/>
    <w:uiPriority w:val="34"/>
    <w:pPr>
      <w:ind w:firstLine="420"/>
    </w:pPr>
  </w:style>
  <w:style w:type="paragraph" w:customStyle="1" w:styleId="42">
    <w:name w:val="表格标题"/>
    <w:basedOn w:val="1"/>
    <w:link w:val="44"/>
    <w:qFormat/>
    <w:uiPriority w:val="0"/>
    <w:pPr>
      <w:jc w:val="center"/>
    </w:pPr>
    <w:rPr>
      <w:rFonts w:cs="微软雅黑"/>
      <w:b/>
      <w:bCs/>
      <w:color w:val="000000"/>
      <w:szCs w:val="22"/>
    </w:rPr>
  </w:style>
  <w:style w:type="paragraph" w:customStyle="1" w:styleId="43">
    <w:name w:val="表格正文"/>
    <w:basedOn w:val="1"/>
    <w:link w:val="45"/>
    <w:qFormat/>
    <w:uiPriority w:val="0"/>
    <w:rPr>
      <w:rFonts w:cs="微软雅黑"/>
      <w:bCs/>
      <w:color w:val="000000"/>
      <w:szCs w:val="22"/>
    </w:rPr>
  </w:style>
  <w:style w:type="character" w:customStyle="1" w:styleId="44">
    <w:name w:val="表格标题 字符"/>
    <w:basedOn w:val="19"/>
    <w:link w:val="42"/>
    <w:qFormat/>
    <w:uiPriority w:val="0"/>
    <w:rPr>
      <w:rFonts w:ascii="宋体" w:hAnsi="宋体" w:eastAsia="宋体" w:cs="微软雅黑"/>
      <w:b/>
      <w:color w:val="000000"/>
      <w:kern w:val="2"/>
      <w:sz w:val="24"/>
      <w:szCs w:val="22"/>
    </w:rPr>
  </w:style>
  <w:style w:type="character" w:customStyle="1" w:styleId="45">
    <w:name w:val="表格正文 字符"/>
    <w:basedOn w:val="19"/>
    <w:link w:val="43"/>
    <w:qFormat/>
    <w:uiPriority w:val="0"/>
    <w:rPr>
      <w:rFonts w:ascii="宋体" w:hAnsi="宋体" w:eastAsia="宋体" w:cs="微软雅黑"/>
      <w:color w:val="000000"/>
      <w:kern w:val="2"/>
      <w:sz w:val="24"/>
      <w:szCs w:val="22"/>
    </w:rPr>
  </w:style>
  <w:style w:type="character" w:customStyle="1" w:styleId="46">
    <w:name w:val="未处理的提及1"/>
    <w:basedOn w:val="19"/>
    <w:semiHidden/>
    <w:unhideWhenUsed/>
    <w:uiPriority w:val="99"/>
    <w:rPr>
      <w:color w:val="605E5C"/>
      <w:shd w:val="clear" w:color="auto" w:fill="E1DFDD"/>
    </w:rPr>
  </w:style>
  <w:style w:type="paragraph" w:customStyle="1" w:styleId="47">
    <w:name w:val="paragraph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5.emf"/><Relationship Id="rId17" Type="http://schemas.openxmlformats.org/officeDocument/2006/relationships/package" Target="embeddings/Workbook1.xlsx"/><Relationship Id="rId16" Type="http://schemas.openxmlformats.org/officeDocument/2006/relationships/image" Target="media/image4.emf"/><Relationship Id="rId15" Type="http://schemas.openxmlformats.org/officeDocument/2006/relationships/oleObject" Target="embeddings/oleObject3.bin"/><Relationship Id="rId14" Type="http://schemas.openxmlformats.org/officeDocument/2006/relationships/image" Target="media/image3.emf"/><Relationship Id="rId13" Type="http://schemas.openxmlformats.org/officeDocument/2006/relationships/oleObject" Target="embeddings/oleObject2.bin"/><Relationship Id="rId12" Type="http://schemas.openxmlformats.org/officeDocument/2006/relationships/image" Target="media/image2.emf"/><Relationship Id="rId11" Type="http://schemas.openxmlformats.org/officeDocument/2006/relationships/oleObject" Target="embeddings/oleObject1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73094A-04C1-3E4D-B6D1-75787612DF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Win10com.com</Company>
  <Pages>11</Pages>
  <Words>853</Words>
  <Characters>4865</Characters>
  <Lines>40</Lines>
  <Paragraphs>11</Paragraphs>
  <TotalTime>143</TotalTime>
  <ScaleCrop>false</ScaleCrop>
  <LinksUpToDate>false</LinksUpToDate>
  <CharactersWithSpaces>5707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2022-01-17T12:03:00Z</dcterms:created>
  <dc:creator>王涛</dc:creator>
  <cp:lastModifiedBy>yeung</cp:lastModifiedBy>
  <dcterms:modified xsi:type="dcterms:W3CDTF">2022-05-05T02:33:17Z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86EDFE7F461740219AB2CD1D7A74830F</vt:lpwstr>
  </property>
</Properties>
</file>