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val="en-US"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rPr>
        <w:t>公开招标文件示范文本</w:t>
      </w:r>
      <w:bookmarkEnd w:id="0"/>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服务类</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2024年版</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r>
        <w:rPr>
          <w:rFonts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99301417"/>
      <w:bookmarkStart w:id="2" w:name="_Toc27576"/>
      <w:bookmarkStart w:id="3" w:name="_Toc74227630"/>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政府采购营商环境，提高招标文件编制质量和采购工作效率，根据政府采购有关法律法规及政策要求，制定《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w:t>
      </w:r>
      <w:r>
        <w:rPr>
          <w:rFonts w:hint="eastAsia" w:ascii="Times New Roman" w:hAnsi="Times New Roman" w:eastAsia="宋体" w:cs="Times New Roman"/>
          <w:kern w:val="0"/>
          <w:sz w:val="24"/>
          <w:szCs w:val="24"/>
          <w:highlight w:val="none"/>
          <w:lang w:eastAsia="zh-CN"/>
        </w:rPr>
        <w:t>投标人</w:t>
      </w:r>
      <w:r>
        <w:rPr>
          <w:rFonts w:hint="eastAsia" w:ascii="Times New Roman" w:hAnsi="Times New Roman" w:eastAsia="宋体" w:cs="Times New Roman"/>
          <w:kern w:val="0"/>
          <w:sz w:val="24"/>
          <w:szCs w:val="24"/>
          <w:highlight w:val="none"/>
        </w:rPr>
        <w:t>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lang w:eastAsia="zh-CN"/>
        </w:rPr>
        <w:t>投标人</w:t>
      </w:r>
      <w:r>
        <w:rPr>
          <w:rFonts w:hint="eastAsia" w:ascii="Times New Roman" w:hAnsi="Times New Roman" w:eastAsia="宋体" w:cs="Times New Roman"/>
          <w:kern w:val="0"/>
          <w:sz w:val="24"/>
          <w:szCs w:val="24"/>
          <w:highlight w:val="none"/>
        </w:rPr>
        <w:t>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4.《示范文本》在政府采购合同中明确约定双方的违约责任。对于因采购人原因导致中止或者终止政府采购合同的，采购人应当依照合同约定对投标人受到的损失予以赔偿或者补偿。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5.《示范文本》提供《政府采购供应商询问函和质疑函范本》，便于投标人通过网上询问、质疑等多种途径反馈诉求，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bookmarkStart w:id="251" w:name="_GoBack"/>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bookmarkEnd w:id="251"/>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2.条款中以“□”形式标记的内容，为采购人或采购代理机构需要确定的选项。编制招标文件时，适用于本项目的选项标记为“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rPr>
        <w:t>投标</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w:t>
      </w:r>
      <w:r>
        <w:rPr>
          <w:rFonts w:hint="eastAsia" w:ascii="Times New Roman" w:hAnsi="Times New Roman" w:eastAsia="宋体" w:cs="Times New Roman"/>
          <w:kern w:val="0"/>
          <w:sz w:val="24"/>
          <w:szCs w:val="24"/>
          <w:highlight w:val="none"/>
          <w:lang w:eastAsia="zh-CN"/>
        </w:rPr>
        <w:t>投标人</w:t>
      </w:r>
      <w:r>
        <w:rPr>
          <w:rFonts w:ascii="Times New Roman" w:hAnsi="Times New Roman" w:eastAsia="宋体" w:cs="Times New Roman"/>
          <w:kern w:val="0"/>
          <w:sz w:val="24"/>
          <w:szCs w:val="24"/>
          <w:highlight w:val="none"/>
        </w:rPr>
        <w:t>制作</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rPr>
        <w:t>评标委员会</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hint="default"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第二章中“投标人须知前附表”所列条款号与“投标人须知正文”的序号一一对应。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hint="eastAsia" w:ascii="宋体" w:hAnsi="宋体" w:eastAsia="宋体"/>
          <w:b/>
          <w:color w:val="auto"/>
          <w:sz w:val="28"/>
          <w:highlight w:val="none"/>
        </w:rPr>
      </w:pPr>
    </w:p>
    <w:p>
      <w:pPr>
        <w:rPr>
          <w:rFonts w:hint="eastAsia" w:ascii="宋体" w:hAnsi="宋体" w:eastAsia="宋体"/>
          <w:b/>
          <w:color w:val="auto"/>
          <w:sz w:val="28"/>
          <w:highlight w:val="none"/>
        </w:rPr>
      </w:pPr>
      <w:r>
        <w:rPr>
          <w:rFonts w:hint="eastAsia" w:ascii="宋体" w:hAnsi="宋体" w:eastAsia="宋体"/>
          <w:b/>
          <w:color w:val="auto"/>
          <w:sz w:val="28"/>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5"/>
        <w:tabs>
          <w:tab w:val="right" w:leader="dot" w:pos="8306"/>
        </w:tabs>
      </w:pPr>
      <w:r>
        <w:rPr>
          <w:rFonts w:asciiTheme="minorEastAsia" w:hAnsiTheme="minorEastAsia"/>
          <w:b/>
          <w:color w:val="auto"/>
          <w:sz w:val="24"/>
          <w:szCs w:val="24"/>
          <w:highlight w:val="none"/>
        </w:rPr>
        <w:fldChar w:fldCharType="begin"/>
      </w:r>
      <w:r>
        <w:rPr>
          <w:rFonts w:asciiTheme="minorEastAsia" w:hAnsiTheme="minorEastAsia"/>
          <w:b/>
          <w:color w:val="auto"/>
          <w:sz w:val="24"/>
          <w:szCs w:val="24"/>
          <w:highlight w:val="none"/>
        </w:rPr>
        <w:instrText xml:space="preserve"> </w:instrText>
      </w:r>
      <w:r>
        <w:rPr>
          <w:rFonts w:hint="eastAsia" w:asciiTheme="minorEastAsia" w:hAnsiTheme="minorEastAsia"/>
          <w:b/>
          <w:color w:val="auto"/>
          <w:sz w:val="24"/>
          <w:szCs w:val="24"/>
          <w:highlight w:val="none"/>
        </w:rPr>
        <w:instrText xml:space="preserve">TOC \o "1-2" \h \z \u</w:instrText>
      </w:r>
      <w:r>
        <w:rPr>
          <w:rFonts w:asciiTheme="minorEastAsia" w:hAnsiTheme="minorEastAsia"/>
          <w:b/>
          <w:color w:val="auto"/>
          <w:sz w:val="24"/>
          <w:szCs w:val="24"/>
          <w:highlight w:val="none"/>
        </w:rPr>
        <w:instrText xml:space="preserve"> </w:instrText>
      </w:r>
      <w:r>
        <w:rPr>
          <w:rFonts w:asciiTheme="minorEastAsia" w:hAnsiTheme="minorEastAsia"/>
          <w:b/>
          <w:color w:val="auto"/>
          <w:sz w:val="24"/>
          <w:szCs w:val="24"/>
          <w:highlight w:val="none"/>
        </w:rPr>
        <w:fldChar w:fldCharType="separate"/>
      </w: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_Toc32331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投标邀请</w:t>
      </w:r>
      <w:r>
        <w:tab/>
      </w:r>
      <w:r>
        <w:fldChar w:fldCharType="begin"/>
      </w:r>
      <w:r>
        <w:instrText xml:space="preserve"> PAGEREF _Toc32331 \h </w:instrText>
      </w:r>
      <w:r>
        <w:fldChar w:fldCharType="separate"/>
      </w:r>
      <w:r>
        <w:t>1</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_Toc8888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投标人须知</w:t>
      </w:r>
      <w:r>
        <w:tab/>
      </w:r>
      <w:r>
        <w:fldChar w:fldCharType="begin"/>
      </w:r>
      <w:r>
        <w:instrText xml:space="preserve"> PAGEREF _Toc8888 \h </w:instrText>
      </w:r>
      <w:r>
        <w:fldChar w:fldCharType="separate"/>
      </w:r>
      <w:r>
        <w:t>3</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_Toc22605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lang w:eastAsia="zh-CN"/>
        </w:rPr>
        <w:t xml:space="preserve">第三章 </w:t>
      </w:r>
      <w:r>
        <w:rPr>
          <w:rFonts w:hint="eastAsia" w:asciiTheme="minorEastAsia" w:hAnsiTheme="minorEastAsia"/>
          <w:lang w:val="en-US" w:eastAsia="zh-CN"/>
        </w:rPr>
        <w:t xml:space="preserve"> </w:t>
      </w:r>
      <w:r>
        <w:rPr>
          <w:rFonts w:hint="eastAsia" w:asciiTheme="minorEastAsia" w:hAnsiTheme="minorEastAsia" w:eastAsiaTheme="minorEastAsia"/>
          <w:highlight w:val="none"/>
        </w:rPr>
        <w:t>采购需求</w:t>
      </w:r>
      <w:r>
        <w:tab/>
      </w:r>
      <w:r>
        <w:fldChar w:fldCharType="begin"/>
      </w:r>
      <w:r>
        <w:instrText xml:space="preserve"> PAGEREF _Toc22605 \h </w:instrText>
      </w:r>
      <w:r>
        <w:fldChar w:fldCharType="separate"/>
      </w:r>
      <w:r>
        <w:t>17</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_Toc3538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评标方法和标准（最低评标价法）</w:t>
      </w:r>
      <w:r>
        <w:tab/>
      </w:r>
      <w:r>
        <w:fldChar w:fldCharType="begin"/>
      </w:r>
      <w:r>
        <w:instrText xml:space="preserve"> PAGEREF _Toc3538 \h </w:instrText>
      </w:r>
      <w:r>
        <w:fldChar w:fldCharType="separate"/>
      </w:r>
      <w:r>
        <w:t>19</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_Toc30824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评标方法和标准（综合评分法）</w:t>
      </w:r>
      <w:r>
        <w:tab/>
      </w:r>
      <w:r>
        <w:fldChar w:fldCharType="begin"/>
      </w:r>
      <w:r>
        <w:instrText xml:space="preserve"> PAGEREF _Toc30824 \h </w:instrText>
      </w:r>
      <w:r>
        <w:fldChar w:fldCharType="separate"/>
      </w:r>
      <w:r>
        <w:t>22</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_Toc20405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_Toc20405 \h </w:instrText>
      </w:r>
      <w:r>
        <w:fldChar w:fldCharType="separate"/>
      </w:r>
      <w:r>
        <w:t>26</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_Toc13555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第六章  投标文件格式</w:t>
      </w:r>
      <w:r>
        <w:tab/>
      </w:r>
      <w:r>
        <w:fldChar w:fldCharType="begin"/>
      </w:r>
      <w:r>
        <w:instrText xml:space="preserve"> PAGEREF _Toc13555 \h </w:instrText>
      </w:r>
      <w:r>
        <w:fldChar w:fldCharType="separate"/>
      </w:r>
      <w:r>
        <w:t>35</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_Toc20819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w:t>
      </w:r>
      <w:r>
        <w:rPr>
          <w:rFonts w:hint="eastAsia" w:asciiTheme="minorEastAsia" w:hAnsiTheme="minorEastAsia" w:eastAsiaTheme="minorEastAsia"/>
          <w:highlight w:val="none"/>
          <w:lang w:val="en-US" w:eastAsia="zh-CN"/>
        </w:rPr>
        <w:t>七</w:t>
      </w:r>
      <w:r>
        <w:rPr>
          <w:rFonts w:hint="eastAsia" w:asciiTheme="minorEastAsia" w:hAnsiTheme="minorEastAsia" w:eastAsiaTheme="minorEastAsia"/>
          <w:highlight w:val="none"/>
        </w:rPr>
        <w:t>章</w:t>
      </w:r>
      <w:r>
        <w:rPr>
          <w:rFonts w:hint="eastAsia" w:ascii="宋体" w:hAnsi="宋体" w:eastAsia="宋体"/>
          <w:bCs/>
          <w:highlight w:val="none"/>
        </w:rPr>
        <w:t xml:space="preserve">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_Toc20819 \h </w:instrText>
      </w:r>
      <w:r>
        <w:fldChar w:fldCharType="separate"/>
      </w:r>
      <w:r>
        <w:t>51</w:t>
      </w:r>
      <w:r>
        <w:fldChar w:fldCharType="end"/>
      </w:r>
      <w:r>
        <w:rPr>
          <w:rFonts w:asciiTheme="minorEastAsia" w:hAnsiTheme="minorEastAsia" w:eastAsiaTheme="minorEastAsia"/>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color w:val="auto"/>
          <w:szCs w:val="24"/>
          <w:highlight w:val="none"/>
        </w:rPr>
        <w:fldChar w:fldCharType="end"/>
      </w:r>
      <w:r>
        <w:rPr>
          <w:rFonts w:hint="eastAsia" w:ascii="宋体" w:hAnsi="宋体" w:eastAsia="宋体" w:cs="@仿宋_GB2312"/>
          <w:b w:val="0"/>
          <w:bCs w:val="0"/>
          <w:i/>
          <w:iCs/>
          <w:color w:val="FF0000"/>
          <w:kern w:val="2"/>
          <w:sz w:val="24"/>
          <w:szCs w:val="18"/>
          <w:highlight w:val="none"/>
          <w:lang w:val="en-US" w:eastAsia="zh-CN" w:bidi="ar-SA"/>
        </w:rPr>
        <w:t>（根据项目需要选择对应的评标方法和标准，不使用的评标方法和标准请删去）</w:t>
      </w:r>
    </w:p>
    <w:p>
      <w:pPr>
        <w:spacing w:line="360" w:lineRule="auto"/>
        <w:rPr>
          <w:rFonts w:asciiTheme="minorEastAsia" w:hAnsiTheme="minorEastAsia" w:eastAsiaTheme="minorEastAsia"/>
          <w:b/>
          <w:color w:val="auto"/>
          <w:sz w:val="32"/>
          <w:highlight w:val="none"/>
        </w:rPr>
      </w:pPr>
    </w:p>
    <w:p>
      <w:pPr>
        <w:spacing w:line="360" w:lineRule="auto"/>
        <w:jc w:val="center"/>
        <w:outlineLvl w:val="1"/>
        <w:rPr>
          <w:rFonts w:asciiTheme="minorEastAsia" w:hAnsiTheme="minorEastAsia" w:eastAsiaTheme="minorEastAsia"/>
          <w:b/>
          <w:color w:val="auto"/>
          <w:sz w:val="28"/>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32331"/>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投标邀请</w:t>
      </w:r>
      <w:bookmarkEnd w:id="4"/>
    </w:p>
    <w:p>
      <w:pPr>
        <w:spacing w:line="360" w:lineRule="auto"/>
        <w:ind w:firstLine="437"/>
        <w:outlineLvl w:val="1"/>
        <w:rPr>
          <w:rFonts w:hint="eastAsia" w:ascii="宋体" w:hAnsi="宋体" w:eastAsia="宋体"/>
          <w:b/>
          <w:bCs/>
          <w:color w:val="auto"/>
          <w:sz w:val="24"/>
          <w:szCs w:val="18"/>
          <w:highlight w:val="none"/>
        </w:rPr>
      </w:pPr>
      <w:bookmarkStart w:id="5" w:name="_Toc1381"/>
      <w:bookmarkStart w:id="6" w:name="_Toc31518"/>
      <w:r>
        <w:rPr>
          <w:rFonts w:hint="eastAsia" w:ascii="宋体" w:hAnsi="宋体" w:eastAsia="宋体"/>
          <w:b/>
          <w:bCs/>
          <w:color w:val="auto"/>
          <w:sz w:val="24"/>
          <w:szCs w:val="18"/>
          <w:highlight w:val="none"/>
        </w:rPr>
        <w:t>一、</w:t>
      </w:r>
      <w:bookmarkEnd w:id="5"/>
      <w:r>
        <w:rPr>
          <w:rFonts w:hint="eastAsia" w:ascii="宋体" w:hAnsi="宋体" w:eastAsia="宋体"/>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7.本项目（是/否）接受联合体投标。</w:t>
      </w:r>
    </w:p>
    <w:p>
      <w:pPr>
        <w:spacing w:line="360" w:lineRule="auto"/>
        <w:ind w:firstLine="437"/>
        <w:outlineLvl w:val="1"/>
        <w:rPr>
          <w:rFonts w:hint="eastAsia" w:ascii="宋体" w:hAnsi="宋体" w:eastAsia="宋体"/>
          <w:b/>
          <w:bCs/>
          <w:color w:val="auto"/>
          <w:sz w:val="24"/>
          <w:szCs w:val="18"/>
          <w:highlight w:val="none"/>
        </w:rPr>
      </w:pPr>
      <w:bookmarkStart w:id="7" w:name="_Toc13530"/>
      <w:bookmarkStart w:id="8" w:name="_Toc9204"/>
      <w:r>
        <w:rPr>
          <w:rFonts w:hint="eastAsia" w:ascii="宋体" w:hAnsi="宋体" w:eastAsia="宋体"/>
          <w:b/>
          <w:bCs/>
          <w:color w:val="auto"/>
          <w:sz w:val="24"/>
          <w:szCs w:val="18"/>
          <w:highlight w:val="none"/>
        </w:rPr>
        <w:t>二、</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bookmarkStart w:id="9" w:name="_Toc30110"/>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outlineLvl w:val="9"/>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i/>
          <w:iCs/>
          <w:color w:val="auto"/>
          <w:sz w:val="24"/>
          <w:highlight w:val="none"/>
          <w:lang w:val="en-US" w:eastAsia="zh-CN"/>
        </w:rPr>
        <w:t>由采购人根据项目专门面向中小企业采购情形填写</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其它落实政府采购政策的资格要求（如有）：</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7"/>
        <w:outlineLvl w:val="1"/>
        <w:rPr>
          <w:rFonts w:hint="eastAsia" w:ascii="宋体" w:hAnsi="宋体" w:eastAsia="宋体"/>
          <w:b/>
          <w:bCs/>
          <w:color w:val="auto"/>
          <w:sz w:val="24"/>
          <w:szCs w:val="18"/>
          <w:highlight w:val="none"/>
        </w:rPr>
      </w:pPr>
      <w:bookmarkStart w:id="10" w:name="_Toc21681"/>
      <w:r>
        <w:rPr>
          <w:rFonts w:hint="eastAsia" w:ascii="宋体" w:hAnsi="宋体" w:eastAsia="宋体"/>
          <w:b/>
          <w:bCs/>
          <w:color w:val="auto"/>
          <w:sz w:val="24"/>
          <w:szCs w:val="18"/>
          <w:highlight w:val="none"/>
        </w:rPr>
        <w:t>三、</w:t>
      </w:r>
      <w:bookmarkEnd w:id="9"/>
      <w:r>
        <w:rPr>
          <w:rFonts w:hint="eastAsia" w:ascii="宋体" w:hAnsi="宋体" w:eastAsia="宋体"/>
          <w:b/>
          <w:bCs/>
          <w:color w:val="auto"/>
          <w:sz w:val="24"/>
          <w:szCs w:val="18"/>
          <w:highlight w:val="none"/>
        </w:rPr>
        <w:t>获取招标文件</w:t>
      </w:r>
      <w:bookmarkEnd w:id="10"/>
    </w:p>
    <w:p>
      <w:pPr>
        <w:spacing w:line="360" w:lineRule="auto"/>
        <w:ind w:firstLine="540"/>
        <w:rPr>
          <w:rFonts w:hint="eastAsia" w:asciiTheme="minorEastAsia" w:hAnsiTheme="minorEastAsia" w:eastAsiaTheme="minorEastAsia" w:cstheme="minorEastAsia"/>
          <w:i/>
          <w:iCs/>
          <w:sz w:val="24"/>
          <w:szCs w:val="24"/>
        </w:rPr>
      </w:pPr>
      <w:bookmarkStart w:id="11" w:name="_Toc7957"/>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2" w:name="_Toc25902"/>
      <w:r>
        <w:rPr>
          <w:rFonts w:hint="eastAsia" w:ascii="宋体" w:hAnsi="宋体" w:eastAsia="宋体"/>
          <w:b/>
          <w:bCs/>
          <w:color w:val="auto"/>
          <w:sz w:val="24"/>
          <w:szCs w:val="18"/>
          <w:highlight w:val="none"/>
        </w:rPr>
        <w:t>四、</w:t>
      </w:r>
      <w:bookmarkEnd w:id="11"/>
      <w:r>
        <w:rPr>
          <w:rFonts w:hint="eastAsia" w:ascii="宋体" w:hAnsi="宋体" w:eastAsia="宋体"/>
          <w:b/>
          <w:bCs/>
          <w:color w:val="auto"/>
          <w:sz w:val="24"/>
          <w:szCs w:val="18"/>
          <w:highlight w:val="none"/>
        </w:rPr>
        <w:t>提交投标文件截止时间、开标时间和地点</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bookmarkStart w:id="13" w:name="_Toc5082"/>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i/>
          <w:iCs/>
          <w:sz w:val="24"/>
          <w:szCs w:val="24"/>
        </w:rPr>
        <w:t>（北京时间）</w:t>
      </w:r>
      <w:r>
        <w:rPr>
          <w:rFonts w:hint="eastAsia" w:asciiTheme="minorEastAsia" w:hAnsiTheme="minorEastAsia" w:eastAsiaTheme="minorEastAsia" w:cstheme="minorEastAsia"/>
          <w:i/>
          <w:iCs/>
          <w:sz w:val="24"/>
          <w:szCs w:val="24"/>
          <w:u w:val="none"/>
        </w:rPr>
        <w:t>（</w:t>
      </w:r>
      <w:r>
        <w:rPr>
          <w:rFonts w:hint="eastAsia" w:asciiTheme="minorEastAsia" w:hAnsiTheme="minorEastAsia" w:eastAsiaTheme="minorEastAsia" w:cstheme="minorEastAsia"/>
          <w:i/>
          <w:sz w:val="24"/>
          <w:szCs w:val="24"/>
          <w:u w:val="none"/>
        </w:rPr>
        <w:t>自招标文件开始发出之日起至投标人提交投标文件截止之日止，不得少于20日</w:t>
      </w:r>
      <w:r>
        <w:rPr>
          <w:rFonts w:hint="eastAsia" w:asciiTheme="minorEastAsia" w:hAnsiTheme="minorEastAsia" w:eastAsiaTheme="minorEastAsia" w:cstheme="minorEastAsia"/>
          <w:iCs/>
          <w:sz w:val="24"/>
          <w:szCs w:val="24"/>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4" w:name="_Toc7753"/>
      <w:r>
        <w:rPr>
          <w:rFonts w:hint="eastAsia" w:ascii="宋体" w:hAnsi="宋体" w:eastAsia="宋体"/>
          <w:b/>
          <w:bCs/>
          <w:color w:val="auto"/>
          <w:sz w:val="24"/>
          <w:szCs w:val="18"/>
          <w:highlight w:val="none"/>
        </w:rPr>
        <w:t>五、</w:t>
      </w:r>
      <w:bookmarkEnd w:id="13"/>
      <w:r>
        <w:rPr>
          <w:rFonts w:hint="eastAsia" w:ascii="宋体" w:hAnsi="宋体" w:eastAsia="宋体"/>
          <w:b/>
          <w:bCs/>
          <w:color w:val="auto"/>
          <w:sz w:val="24"/>
          <w:szCs w:val="18"/>
          <w:highlight w:val="none"/>
        </w:rPr>
        <w:t>公告期限</w:t>
      </w:r>
      <w:bookmarkEnd w:id="14"/>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color w:val="auto"/>
          <w:sz w:val="24"/>
          <w:szCs w:val="18"/>
          <w:highlight w:val="none"/>
        </w:rPr>
      </w:pPr>
      <w:bookmarkStart w:id="15" w:name="_Toc1215"/>
      <w:r>
        <w:rPr>
          <w:rFonts w:hint="eastAsia" w:ascii="宋体" w:hAnsi="宋体" w:eastAsia="宋体"/>
          <w:b w:val="0"/>
          <w:bCs w:val="0"/>
          <w:color w:val="auto"/>
          <w:sz w:val="24"/>
          <w:szCs w:val="18"/>
          <w:highlight w:val="none"/>
        </w:rPr>
        <w:t>自本公告发布之日起5个工作日。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6" w:name="_Toc35393795"/>
      <w:bookmarkStart w:id="17" w:name="_Toc31539"/>
      <w:bookmarkStart w:id="18" w:name="_Toc35393626"/>
      <w:r>
        <w:rPr>
          <w:rFonts w:hint="eastAsia" w:ascii="宋体" w:hAnsi="宋体" w:eastAsia="宋体"/>
          <w:b/>
          <w:bCs/>
          <w:color w:val="auto"/>
          <w:sz w:val="24"/>
          <w:szCs w:val="18"/>
          <w:highlight w:val="none"/>
        </w:rPr>
        <w:t>六、其他补充事宜</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bookmarkEnd w:id="15"/>
    <w:p>
      <w:pPr>
        <w:spacing w:line="360" w:lineRule="auto"/>
        <w:ind w:firstLine="437"/>
        <w:outlineLvl w:val="1"/>
        <w:rPr>
          <w:rFonts w:hint="eastAsia" w:ascii="宋体" w:hAnsi="宋体" w:eastAsia="宋体"/>
          <w:b/>
          <w:bCs/>
          <w:color w:val="auto"/>
          <w:sz w:val="24"/>
          <w:szCs w:val="18"/>
          <w:highlight w:val="none"/>
        </w:rPr>
      </w:pPr>
      <w:bookmarkStart w:id="19" w:name="_Toc7265"/>
      <w:bookmarkStart w:id="20" w:name="_Toc13296"/>
      <w:r>
        <w:rPr>
          <w:rFonts w:hint="eastAsia" w:ascii="宋体" w:hAnsi="宋体" w:eastAsia="宋体"/>
          <w:b/>
          <w:bCs/>
          <w:color w:val="auto"/>
          <w:sz w:val="24"/>
          <w:szCs w:val="18"/>
          <w:highlight w:val="none"/>
        </w:rPr>
        <w:t>七、</w:t>
      </w:r>
      <w:bookmarkEnd w:id="19"/>
      <w:r>
        <w:rPr>
          <w:rFonts w:hint="eastAsia" w:ascii="宋体" w:hAnsi="宋体" w:eastAsia="宋体"/>
          <w:b/>
          <w:bCs/>
          <w:color w:val="auto"/>
          <w:sz w:val="24"/>
          <w:szCs w:val="18"/>
          <w:highlight w:val="none"/>
        </w:rPr>
        <w:t>对本次招标提出询问，请按以下方式联系</w:t>
      </w:r>
      <w:bookmarkEnd w:id="20"/>
    </w:p>
    <w:p>
      <w:pPr>
        <w:spacing w:line="360" w:lineRule="auto"/>
        <w:ind w:firstLine="437"/>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widowControl/>
        <w:jc w:val="left"/>
        <w:rPr>
          <w:rFonts w:ascii="宋体" w:hAnsi="宋体" w:eastAsia="宋体"/>
          <w:color w:val="auto"/>
          <w:sz w:val="24"/>
          <w:szCs w:val="18"/>
          <w:highlight w:val="none"/>
        </w:rPr>
      </w:pP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8888"/>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w:t>
      </w:r>
      <w:r>
        <w:rPr>
          <w:rFonts w:asciiTheme="minorEastAsia" w:hAnsiTheme="minorEastAsia" w:eastAsiaTheme="minorEastAsia"/>
          <w:b/>
          <w:color w:val="auto"/>
          <w:sz w:val="28"/>
          <w:highlight w:val="none"/>
        </w:rPr>
        <w:t>投标人须知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7178"/>
      <w:bookmarkStart w:id="23" w:name="_Toc13589"/>
      <w:r>
        <w:rPr>
          <w:rFonts w:hint="eastAsia" w:asciiTheme="minorEastAsia" w:hAnsiTheme="minorEastAsia" w:eastAsiaTheme="minorEastAsia"/>
          <w:b/>
          <w:color w:val="auto"/>
          <w:sz w:val="24"/>
          <w:highlight w:val="none"/>
        </w:rPr>
        <w:t>一、</w:t>
      </w:r>
      <w:r>
        <w:rPr>
          <w:rFonts w:asciiTheme="minorEastAsia" w:hAnsiTheme="minorEastAsia" w:eastAsiaTheme="minorEastAsia"/>
          <w:b/>
          <w:color w:val="auto"/>
          <w:sz w:val="24"/>
          <w:highlight w:val="none"/>
        </w:rPr>
        <w:t>投标人须知前附表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本表是本项目的具体要求，是对投标人须知的具体补充和修改，如有不一致，以本表为准。</w:t>
      </w:r>
    </w:p>
    <w:tbl>
      <w:tblPr>
        <w:tblStyle w:val="21"/>
        <w:tblW w:w="50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74"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44"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1174" w:type="pct"/>
            <w:vAlign w:val="center"/>
          </w:tcPr>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left"/>
              <w:textAlignment w:val="auto"/>
              <w:rPr>
                <w:rFonts w:hint="eastAsia" w:ascii="宋体" w:hAnsi="宋体" w:eastAsia="宋体"/>
                <w:b w:val="0"/>
                <w:color w:val="auto"/>
                <w:sz w:val="24"/>
                <w:highlight w:val="none"/>
                <w:lang w:eastAsia="zh-CN"/>
              </w:rPr>
            </w:pPr>
            <w:r>
              <w:rPr>
                <w:rFonts w:hint="eastAsia" w:ascii="宋体" w:hAnsi="宋体" w:eastAsia="宋体" w:cs="@仿宋_GB2312"/>
                <w:b w:val="0"/>
                <w:bCs/>
                <w:color w:val="auto"/>
                <w:kern w:val="2"/>
                <w:sz w:val="24"/>
                <w:szCs w:val="22"/>
                <w:highlight w:val="none"/>
                <w:lang w:val="en-US" w:eastAsia="zh-CN" w:bidi="ar-SA"/>
              </w:rPr>
              <w:t>现场考察或标前答疑会</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bCs/>
                <w:color w:val="auto"/>
                <w:sz w:val="24"/>
                <w:highlight w:val="none"/>
                <w:lang w:val="en-US" w:eastAsia="zh-CN"/>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bCs/>
                <w:color w:val="auto"/>
                <w:sz w:val="24"/>
                <w:highlight w:val="none"/>
                <w:lang w:val="en-US"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如投标人未参加采购人统一组织的现场考察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44" w:type="pct"/>
            <w:vAlign w:val="center"/>
          </w:tcPr>
          <w:p>
            <w:pPr>
              <w:pStyle w:val="29"/>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29"/>
              <w:widowControl w:val="0"/>
              <w:spacing w:before="0" w:beforeAutospacing="0" w:after="0" w:afterAutospacing="0"/>
              <w:jc w:val="both"/>
              <w:rPr>
                <w:rFonts w:ascii="宋体" w:hAnsi="宋体" w:eastAsia="宋体"/>
                <w:b w:val="0"/>
                <w:color w:val="auto"/>
                <w:sz w:val="24"/>
                <w:highlight w:val="none"/>
                <w:u w:val="single"/>
              </w:rPr>
            </w:pPr>
            <w:r>
              <w:rPr>
                <w:rFonts w:hint="eastAsia" w:ascii="宋体" w:hAnsi="宋体" w:eastAsia="宋体"/>
                <w:b w:val="0"/>
                <w:color w:val="auto"/>
                <w:sz w:val="24"/>
                <w:highlight w:val="none"/>
              </w:rPr>
              <w:t>投标人对多个包进行投标的中标</w:t>
            </w:r>
            <w:r>
              <w:rPr>
                <w:rFonts w:ascii="宋体" w:hAnsi="宋体" w:eastAsia="宋体"/>
                <w:b w:val="0"/>
                <w:color w:val="auto"/>
                <w:sz w:val="24"/>
                <w:highlight w:val="none"/>
              </w:rPr>
              <w:t>包</w:t>
            </w:r>
            <w:r>
              <w:rPr>
                <w:rFonts w:hint="eastAsia" w:ascii="宋体" w:hAnsi="宋体" w:eastAsia="宋体"/>
                <w:b w:val="0"/>
                <w:color w:val="auto"/>
                <w:sz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0</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投标保证金</w:t>
            </w:r>
          </w:p>
        </w:tc>
        <w:tc>
          <w:tcPr>
            <w:tcW w:w="3244" w:type="pct"/>
            <w:vAlign w:val="center"/>
          </w:tcPr>
          <w:p>
            <w:pPr>
              <w:spacing w:line="360" w:lineRule="auto"/>
              <w:rPr>
                <w:color w:val="auto"/>
                <w:highlight w:val="none"/>
              </w:rPr>
            </w:pPr>
            <w:r>
              <w:rPr>
                <w:rFonts w:hint="eastAsia" w:ascii="宋体" w:hAnsi="宋体" w:eastAsia="宋体"/>
                <w:bCs/>
                <w:color w:val="auto"/>
                <w:kern w:val="0"/>
                <w:sz w:val="24"/>
                <w:szCs w:val="28"/>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投标有效期</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投标文件解密时间</w:t>
            </w:r>
          </w:p>
        </w:tc>
        <w:tc>
          <w:tcPr>
            <w:tcW w:w="3244"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u w:val="single"/>
                <w:lang w:val="en-US" w:eastAsia="zh-CN"/>
              </w:rPr>
            </w:pPr>
            <w:r>
              <w:rPr>
                <w:rFonts w:hint="eastAsia" w:ascii="宋体" w:hAnsi="宋体" w:eastAsia="宋体"/>
                <w:b w:val="0"/>
                <w:color w:val="auto"/>
                <w:sz w:val="24"/>
                <w:highlight w:val="none"/>
                <w:u w:val="none"/>
              </w:rPr>
              <w:t>投标截止时间后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4</w:t>
            </w:r>
            <w:r>
              <w:rPr>
                <w:rFonts w:hint="eastAsia"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资格审查</w:t>
            </w:r>
          </w:p>
        </w:tc>
        <w:tc>
          <w:tcPr>
            <w:tcW w:w="3244" w:type="pct"/>
            <w:vAlign w:val="center"/>
          </w:tcPr>
          <w:p>
            <w:pPr>
              <w:pStyle w:val="29"/>
              <w:widowControl w:val="0"/>
              <w:spacing w:before="0" w:beforeAutospacing="0" w:after="0" w:afterAutospacing="0" w:line="360" w:lineRule="auto"/>
              <w:jc w:val="both"/>
              <w:rPr>
                <w:rFonts w:hint="eastAsia" w:ascii="宋体" w:hAnsi="宋体" w:eastAsia="宋体"/>
                <w:b w:val="0"/>
                <w:bCs w:val="0"/>
                <w:color w:val="auto"/>
                <w:sz w:val="24"/>
                <w:highlight w:val="non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采购人审查</w:t>
            </w:r>
          </w:p>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采购人出具委托函委托采购代理机构进行审查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.2</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评标方法</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ascii="宋体" w:hAnsi="宋体" w:eastAsia="宋体"/>
                <w:b w:val="0"/>
                <w:bCs w:val="0"/>
                <w:color w:val="auto"/>
                <w:sz w:val="24"/>
                <w:szCs w:val="24"/>
                <w:highlight w:val="none"/>
              </w:rPr>
              <w:t>□</w:t>
            </w:r>
            <w:r>
              <w:rPr>
                <w:rFonts w:hint="eastAsia" w:ascii="宋体" w:hAnsi="宋体" w:eastAsia="宋体"/>
                <w:b w:val="0"/>
                <w:color w:val="auto"/>
                <w:sz w:val="24"/>
                <w:highlight w:val="none"/>
                <w:u w:val="none"/>
              </w:rPr>
              <w:t>最低评标价法</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w:t>
            </w: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报价扣除</w:t>
            </w:r>
          </w:p>
          <w:p>
            <w:pPr>
              <w:pStyle w:val="29"/>
              <w:widowControl w:val="0"/>
              <w:spacing w:before="0" w:beforeAutospacing="0" w:after="0" w:afterAutospacing="0" w:line="360" w:lineRule="auto"/>
              <w:jc w:val="both"/>
              <w:rPr>
                <w:rFonts w:ascii="宋体" w:hAnsi="宋体" w:eastAsia="宋体"/>
                <w:b w:val="0"/>
                <w:i/>
                <w:color w:val="auto"/>
                <w:sz w:val="24"/>
                <w:highlight w:val="none"/>
              </w:rPr>
            </w:pPr>
            <w:r>
              <w:rPr>
                <w:rFonts w:hint="eastAsia" w:ascii="宋体" w:hAnsi="宋体" w:eastAsia="宋体"/>
                <w:b w:val="0"/>
                <w:i/>
                <w:color w:val="auto"/>
                <w:sz w:val="24"/>
                <w:highlight w:val="none"/>
              </w:rPr>
              <w:t>（非专门面向中小企业采购项目适用）</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评标委员会推荐</w:t>
            </w:r>
            <w:r>
              <w:rPr>
                <w:rFonts w:ascii="宋体" w:hAnsi="宋体" w:eastAsia="宋体"/>
                <w:b w:val="0"/>
                <w:color w:val="auto"/>
                <w:sz w:val="24"/>
                <w:highlight w:val="none"/>
              </w:rPr>
              <w:t>中标候选</w:t>
            </w:r>
            <w:r>
              <w:rPr>
                <w:rFonts w:hint="eastAsia" w:ascii="宋体" w:hAnsi="宋体" w:eastAsia="宋体"/>
                <w:b w:val="0"/>
                <w:color w:val="auto"/>
                <w:sz w:val="24"/>
                <w:highlight w:val="none"/>
              </w:rPr>
              <w:t>人的</w:t>
            </w:r>
            <w:r>
              <w:rPr>
                <w:rFonts w:ascii="宋体" w:hAnsi="宋体" w:eastAsia="宋体"/>
                <w:b w:val="0"/>
                <w:color w:val="auto"/>
                <w:sz w:val="24"/>
                <w:highlight w:val="none"/>
              </w:rPr>
              <w:t>数量</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确定中标人</w:t>
            </w:r>
          </w:p>
        </w:tc>
        <w:tc>
          <w:tcPr>
            <w:tcW w:w="3244" w:type="pct"/>
            <w:vAlign w:val="center"/>
          </w:tcPr>
          <w:p>
            <w:pPr>
              <w:spacing w:line="360" w:lineRule="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采购人委托评标委员会确定</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Theme="minorEastAsia" w:hAnsiTheme="minorEastAsia" w:eastAsiaTheme="minorEastAsia"/>
                <w:b w:val="0"/>
                <w:bCs w:val="0"/>
                <w:color w:val="auto"/>
                <w:kern w:val="2"/>
                <w:sz w:val="24"/>
                <w:szCs w:val="24"/>
                <w:highlight w:val="none"/>
              </w:rPr>
              <w:t>□采购人确定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随中标结果公告同时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29"/>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29"/>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适用最低评标价法</w:t>
            </w:r>
            <w:r>
              <w:rPr>
                <w:rFonts w:hint="eastAsia" w:ascii="宋体" w:hAnsi="宋体" w:eastAsia="宋体"/>
                <w:b w:val="0"/>
                <w:i/>
                <w:iCs/>
                <w:color w:val="auto"/>
                <w:sz w:val="24"/>
                <w:highlight w:val="none"/>
                <w:u w:val="none"/>
                <w:lang w:eastAsia="zh-CN"/>
              </w:rPr>
              <w:t>）</w:t>
            </w:r>
          </w:p>
          <w:p>
            <w:pPr>
              <w:pStyle w:val="29"/>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适用综合评分法</w:t>
            </w:r>
            <w:r>
              <w:rPr>
                <w:rFonts w:hint="eastAsia" w:ascii="宋体" w:hAnsi="宋体" w:eastAsia="宋体"/>
                <w:b w:val="0"/>
                <w:i/>
                <w:iCs/>
                <w:color w:val="auto"/>
                <w:sz w:val="24"/>
                <w:highlight w:val="none"/>
                <w:u w:val="none"/>
                <w:lang w:eastAsia="zh-CN"/>
              </w:rPr>
              <w:t>）</w:t>
            </w:r>
          </w:p>
          <w:p>
            <w:pPr>
              <w:pStyle w:val="29"/>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5</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4</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中标通知书发出的形式</w:t>
            </w:r>
          </w:p>
        </w:tc>
        <w:tc>
          <w:tcPr>
            <w:tcW w:w="3244" w:type="pct"/>
            <w:vAlign w:val="center"/>
          </w:tcPr>
          <w:p>
            <w:pPr>
              <w:pStyle w:val="29"/>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t xml:space="preserve">□书面 </w:t>
            </w:r>
            <w:r>
              <w:rPr>
                <w:rFonts w:ascii="宋体" w:hAnsi="宋体" w:eastAsia="宋体"/>
                <w:b w:val="0"/>
                <w:bCs w:val="0"/>
                <w:color w:val="auto"/>
                <w:sz w:val="24"/>
                <w:szCs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告知招标结果的形式</w:t>
            </w:r>
          </w:p>
        </w:tc>
        <w:tc>
          <w:tcPr>
            <w:tcW w:w="3244" w:type="pct"/>
            <w:vAlign w:val="center"/>
          </w:tcPr>
          <w:p>
            <w:pPr>
              <w:spacing w:line="360" w:lineRule="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b w:val="0"/>
                <w:bCs w:val="0"/>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投标人自行登录电子</w:t>
            </w:r>
            <w:r>
              <w:rPr>
                <w:rFonts w:hint="eastAsia" w:ascii="宋体" w:hAnsi="宋体" w:eastAsia="宋体" w:cs="宋体"/>
                <w:b w:val="0"/>
                <w:bCs w:val="0"/>
                <w:color w:val="auto"/>
                <w:sz w:val="24"/>
                <w:szCs w:val="24"/>
                <w:highlight w:val="none"/>
                <w:lang w:val="en-US" w:eastAsia="zh-CN"/>
              </w:rPr>
              <w:t>交易</w:t>
            </w:r>
            <w:r>
              <w:rPr>
                <w:rFonts w:hint="eastAsia" w:asciiTheme="minorEastAsia" w:hAnsiTheme="minorEastAsia" w:eastAsiaTheme="minorEastAsia"/>
                <w:color w:val="auto"/>
                <w:kern w:val="0"/>
                <w:sz w:val="24"/>
                <w:szCs w:val="24"/>
                <w:highlight w:val="none"/>
              </w:rPr>
              <w:t>系统查看</w:t>
            </w:r>
          </w:p>
          <w:p>
            <w:pPr>
              <w:pStyle w:val="29"/>
              <w:widowControl w:val="0"/>
              <w:spacing w:before="0" w:beforeAutospacing="0" w:after="0" w:afterAutospacing="0" w:line="360" w:lineRule="auto"/>
              <w:jc w:val="both"/>
              <w:rPr>
                <w:rFonts w:hint="eastAsia" w:asciiTheme="minorEastAsia" w:hAnsiTheme="minorEastAsia" w:eastAsiaTheme="minorEastAsia"/>
                <w:b w:val="0"/>
                <w:bCs w:val="0"/>
                <w:color w:val="auto"/>
                <w:kern w:val="2"/>
                <w:sz w:val="24"/>
                <w:szCs w:val="24"/>
                <w:highlight w:val="none"/>
              </w:rPr>
            </w:pPr>
            <w:r>
              <w:rPr>
                <w:rFonts w:hint="eastAsia" w:asciiTheme="minorEastAsia" w:hAnsiTheme="minorEastAsia" w:eastAsiaTheme="minorEastAsia"/>
                <w:b w:val="0"/>
                <w:bCs w:val="0"/>
                <w:color w:val="auto"/>
                <w:kern w:val="2"/>
                <w:sz w:val="24"/>
                <w:szCs w:val="24"/>
                <w:highlight w:val="none"/>
              </w:rPr>
              <w:t>□评标现场告知</w:t>
            </w:r>
          </w:p>
          <w:p>
            <w:pPr>
              <w:pStyle w:val="29"/>
              <w:widowControl w:val="0"/>
              <w:spacing w:before="0" w:beforeAutospacing="0" w:after="0" w:afterAutospacing="0" w:line="360" w:lineRule="auto"/>
              <w:jc w:val="both"/>
              <w:rPr>
                <w:rFonts w:hint="default" w:asciiTheme="minorEastAsia" w:hAnsiTheme="minorEastAsia" w:eastAsiaTheme="minorEastAsia"/>
                <w:b w:val="0"/>
                <w:bCs w:val="0"/>
                <w:color w:val="auto"/>
                <w:kern w:val="2"/>
                <w:sz w:val="24"/>
                <w:szCs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7"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44"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27</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签订合同和合同公告时间</w:t>
            </w:r>
          </w:p>
        </w:tc>
        <w:tc>
          <w:tcPr>
            <w:tcW w:w="3244" w:type="pct"/>
          </w:tcPr>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宋体"/>
                <w:sz w:val="24"/>
                <w:szCs w:val="24"/>
              </w:rPr>
            </w:pPr>
            <w:r>
              <w:rPr>
                <w:rFonts w:ascii="宋体" w:hAnsi="宋体" w:eastAsia="宋体" w:cs="宋体"/>
                <w:sz w:val="24"/>
                <w:szCs w:val="24"/>
              </w:rPr>
              <w:t>（1）采购人与中标人应当自发出中标通知书之日起7个工作日内签订合同，采购合同签订之日起2个工作日内完成政府采购合同公开。</w:t>
            </w: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宋体" w:hAnsi="宋体" w:eastAsia="宋体"/>
                <w:b/>
                <w:bCs/>
                <w:color w:val="auto"/>
                <w:kern w:val="0"/>
                <w:sz w:val="24"/>
                <w:szCs w:val="24"/>
                <w:highlight w:val="none"/>
                <w:lang w:val="en-US"/>
              </w:rPr>
            </w:pPr>
            <w:r>
              <w:rPr>
                <w:rFonts w:ascii="宋体" w:hAnsi="宋体" w:eastAsia="宋体" w:cs="宋体"/>
                <w:sz w:val="24"/>
                <w:szCs w:val="24"/>
              </w:rPr>
              <w:t>（2）采购人与中标人不得擅自变更合同，依照政府采购法确需变更政府采购合同内容的，采购人应当自合同变更之日起2个工作日内在安徽省政府采购网发布政府采购合同变更公告，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28</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lang w:eastAsia="zh-CN"/>
              </w:rPr>
            </w:pPr>
            <w:r>
              <w:rPr>
                <w:rFonts w:hint="eastAsia" w:ascii="宋体" w:hAnsi="宋体" w:eastAsia="宋体"/>
                <w:b w:val="0"/>
                <w:color w:val="auto"/>
                <w:sz w:val="24"/>
                <w:highlight w:val="none"/>
                <w:lang w:val="en-US" w:eastAsia="zh-CN"/>
              </w:rPr>
              <w:t>代理费用</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中标人</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yellow"/>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3</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32</w:t>
            </w:r>
          </w:p>
        </w:tc>
        <w:tc>
          <w:tcPr>
            <w:tcW w:w="1174" w:type="pct"/>
            <w:vAlign w:val="center"/>
          </w:tcPr>
          <w:p>
            <w:pPr>
              <w:pStyle w:val="29"/>
              <w:widowControl w:val="0"/>
              <w:spacing w:before="0" w:beforeAutospacing="0" w:after="0" w:afterAutospacing="0" w:line="360" w:lineRule="auto"/>
              <w:jc w:val="both"/>
              <w:rPr>
                <w:rFonts w:hint="default"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其他内容</w:t>
            </w:r>
          </w:p>
        </w:tc>
        <w:tc>
          <w:tcPr>
            <w:tcW w:w="3244" w:type="pct"/>
            <w:vAlign w:val="center"/>
          </w:tcPr>
          <w:p>
            <w:pPr>
              <w:pStyle w:val="29"/>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构成本招标文件的各个组成文件应互为解释，互为说明；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除招标文件中有特别规定外，仅适用于招标投标阶段的规定，按招标公告、</w:t>
            </w:r>
            <w:r>
              <w:rPr>
                <w:rFonts w:hint="eastAsia" w:asciiTheme="minorEastAsia" w:hAnsiTheme="minorEastAsia" w:eastAsiaTheme="minorEastAsia"/>
                <w:bCs/>
                <w:color w:val="auto"/>
                <w:sz w:val="24"/>
                <w:szCs w:val="24"/>
                <w:highlight w:val="none"/>
              </w:rPr>
              <w:t>投标邀请、</w:t>
            </w:r>
            <w:r>
              <w:rPr>
                <w:rFonts w:asciiTheme="minorEastAsia" w:hAnsiTheme="minorEastAsia" w:eastAsiaTheme="minorEastAsia"/>
                <w:bCs/>
                <w:color w:val="auto"/>
                <w:sz w:val="24"/>
                <w:szCs w:val="24"/>
                <w:highlight w:val="none"/>
              </w:rPr>
              <w:t>投标人须知、评标</w:t>
            </w:r>
            <w:r>
              <w:rPr>
                <w:rFonts w:hint="eastAsia" w:asciiTheme="minorEastAsia" w:hAnsiTheme="minorEastAsia" w:eastAsiaTheme="minorEastAsia"/>
                <w:bCs/>
                <w:color w:val="auto"/>
                <w:sz w:val="24"/>
                <w:szCs w:val="24"/>
                <w:highlight w:val="none"/>
              </w:rPr>
              <w:t>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、投标文件格式的先后顺序解释；</w:t>
            </w:r>
          </w:p>
          <w:p>
            <w:pPr>
              <w:pStyle w:val="29"/>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融资申请信息推送第三方平台、意向金融机构。</w:t>
            </w:r>
          </w:p>
          <w:p>
            <w:pPr>
              <w:pStyle w:val="29"/>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3、电子保函指引：中标人可访问安徽省政府采购网“融资/保函”栏目，申请办理电子保函（包括：履约保函、预付款保函）。</w:t>
            </w:r>
          </w:p>
          <w:p>
            <w:pPr>
              <w:pStyle w:val="29"/>
              <w:widowControl w:val="0"/>
              <w:numPr>
                <w:ilvl w:val="0"/>
                <w:numId w:val="0"/>
              </w:numPr>
              <w:spacing w:before="0" w:beforeAutospacing="0" w:after="0" w:afterAutospacing="0" w:line="360" w:lineRule="auto"/>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4" w:name="_Toc24882"/>
      <w:bookmarkStart w:id="25" w:name="_Toc9427"/>
      <w:r>
        <w:rPr>
          <w:rFonts w:hint="eastAsia" w:asciiTheme="minorEastAsia" w:hAnsiTheme="minorEastAsia" w:eastAsiaTheme="minorEastAsia"/>
          <w:b/>
          <w:color w:val="auto"/>
          <w:sz w:val="24"/>
          <w:highlight w:val="none"/>
        </w:rPr>
        <w:t>二、</w:t>
      </w:r>
      <w:r>
        <w:rPr>
          <w:rFonts w:asciiTheme="minorEastAsia" w:hAnsiTheme="minorEastAsia" w:eastAsiaTheme="minorEastAsia"/>
          <w:b/>
          <w:color w:val="auto"/>
          <w:sz w:val="24"/>
          <w:highlight w:val="none"/>
        </w:rPr>
        <w:t>投标人须知</w:t>
      </w:r>
      <w:r>
        <w:rPr>
          <w:rFonts w:hint="eastAsia" w:asciiTheme="minorEastAsia" w:hAnsiTheme="minorEastAsia" w:eastAsiaTheme="minorEastAsia"/>
          <w:b/>
          <w:color w:val="auto"/>
          <w:sz w:val="24"/>
          <w:highlight w:val="none"/>
        </w:rPr>
        <w:t>正文</w:t>
      </w:r>
      <w:bookmarkEnd w:id="24"/>
      <w:bookmarkEnd w:id="25"/>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1.采购人、采购代理机构及投标人</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.4投标人：是指向采购人提供货物、工程或者服务的法人、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本项目的投标人须满足以下条件：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以采购代理机构认可的方式获得了本项目的招标文件。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中写明允许采购进口产品，投标人应保证所投产品可履行合法报通关手续进入中国关境内。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中未写明允许采购进口产品，如投标人所投产品为进口产品，其投标将被认定为</w:t>
      </w:r>
      <w:r>
        <w:rPr>
          <w:rFonts w:hint="eastAsia" w:ascii="宋体" w:hAnsi="宋体" w:eastAsia="宋体"/>
          <w:b/>
          <w:color w:val="auto"/>
          <w:sz w:val="24"/>
          <w:highlight w:val="none"/>
        </w:rPr>
        <w:t>投标无效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w:t>
      </w:r>
      <w:r>
        <w:rPr>
          <w:rFonts w:hint="eastAsia" w:ascii="宋体" w:hAnsi="宋体" w:eastAsia="宋体"/>
          <w:color w:val="auto"/>
          <w:sz w:val="24"/>
          <w:highlight w:val="none"/>
        </w:rPr>
        <w:t>若招标公告</w:t>
      </w:r>
      <w:r>
        <w:rPr>
          <w:rFonts w:ascii="宋体" w:hAnsi="宋体" w:eastAsia="宋体"/>
          <w:color w:val="auto"/>
          <w:sz w:val="24"/>
          <w:highlight w:val="none"/>
        </w:rPr>
        <w:t>中允许联合体投标，对联合体规定如下：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5.1两个以上供应商可以组成一个投标联合体，以一个投标人的身份投标。</w:t>
      </w:r>
      <w:r>
        <w:rPr>
          <w:rFonts w:ascii="宋体" w:hAnsi="宋体" w:eastAsia="宋体"/>
          <w:b w:val="0"/>
          <w:color w:val="auto"/>
          <w:sz w:val="24"/>
          <w:highlight w:val="none"/>
        </w:rPr>
        <w:t>联合体投标的，</w:t>
      </w:r>
      <w:r>
        <w:rPr>
          <w:rFonts w:hint="eastAsia" w:ascii="宋体" w:hAnsi="宋体" w:eastAsia="宋体"/>
          <w:b w:val="0"/>
          <w:color w:val="auto"/>
          <w:sz w:val="24"/>
          <w:highlight w:val="none"/>
        </w:rPr>
        <w:t>招标文件获取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w:t>
      </w:r>
      <w:r>
        <w:rPr>
          <w:rFonts w:hint="eastAsia" w:ascii="宋体" w:hAnsi="宋体" w:eastAsia="宋体"/>
          <w:b w:val="0"/>
          <w:color w:val="auto"/>
          <w:sz w:val="24"/>
          <w:highlight w:val="none"/>
        </w:rPr>
        <w:t>一成员单位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5.3采购人根据采购项目对投标人的特殊要求，联合体中至少应当有一方符合相关规定。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作为投标文件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5.5大中型企业、其他自然人、法人或者非法人组织与小型、微型企业组成联合体共同参加投标，</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w:t>
      </w:r>
      <w:r>
        <w:rPr>
          <w:rFonts w:ascii="宋体" w:hAnsi="宋体" w:eastAsia="宋体"/>
          <w:color w:val="auto"/>
          <w:sz w:val="24"/>
          <w:highlight w:val="none"/>
        </w:rPr>
        <w:t>投标总金额的比例。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5.7以联合体形式参加政府采购活动的，联合体各方不得再单独参加或者与其他供应商另外组成联合体参加本项目投标，否则相关投标将被认定为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5.8对联合体投标的其他资格要求见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2.资金落实情况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w:t>
      </w:r>
      <w:r>
        <w:rPr>
          <w:rFonts w:hint="eastAsia" w:ascii="宋体" w:hAnsi="宋体" w:eastAsia="宋体"/>
          <w:color w:val="auto"/>
          <w:sz w:val="24"/>
          <w:highlight w:val="none"/>
        </w:rPr>
        <w:t>项目</w:t>
      </w:r>
      <w:r>
        <w:rPr>
          <w:rFonts w:hint="eastAsia" w:asciiTheme="minorEastAsia" w:hAnsiTheme="minorEastAsia" w:eastAsiaTheme="minorEastAsia"/>
          <w:color w:val="auto"/>
          <w:sz w:val="24"/>
          <w:highlight w:val="none"/>
        </w:rPr>
        <w:t>的采购人已获得足以支付本次招标后所签订的合同项下的资金。</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3.投标费用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不论投标的结果如何，投标人应承担所有与准备和参加投标有关的费用。</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4.适用法律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本项目采购人、采购代理机构、投标人、评标委员会的相关行为均受《中华人民共和国政府采购法》、《中</w:t>
      </w:r>
      <w:r>
        <w:rPr>
          <w:rFonts w:hint="eastAsia" w:ascii="宋体" w:hAnsi="宋体" w:eastAsia="宋体"/>
          <w:color w:val="auto"/>
          <w:sz w:val="24"/>
          <w:szCs w:val="22"/>
          <w:highlight w:val="none"/>
        </w:rPr>
        <w:t>华人民共和国政府采购法实施条例》</w:t>
      </w:r>
      <w:r>
        <w:rPr>
          <w:rFonts w:hint="eastAsia" w:ascii="宋体" w:hAnsi="宋体" w:eastAsia="宋体"/>
          <w:color w:val="auto"/>
          <w:sz w:val="24"/>
          <w:szCs w:val="22"/>
          <w:highlight w:val="none"/>
          <w:lang w:val="en-US" w:eastAsia="zh-CN"/>
        </w:rPr>
        <w:t>及</w:t>
      </w:r>
      <w:r>
        <w:rPr>
          <w:rFonts w:hint="eastAsia" w:ascii="宋体" w:hAnsi="宋体" w:eastAsia="宋体"/>
          <w:color w:val="auto"/>
          <w:sz w:val="24"/>
          <w:szCs w:val="22"/>
          <w:highlight w:val="none"/>
        </w:rPr>
        <w:t>本项目本级和上级财政部门、政府采购监督管理部门的政府采购有关规定的约束，其权利受到上述法律法规的保护。</w:t>
      </w:r>
    </w:p>
    <w:p>
      <w:pPr>
        <w:spacing w:line="360" w:lineRule="auto"/>
        <w:ind w:firstLine="437"/>
        <w:outlineLvl w:val="2"/>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hint="eastAsia" w:asciiTheme="minorEastAsia" w:hAnsiTheme="minorEastAsia" w:eastAsiaTheme="minorEastAsia"/>
          <w:b/>
          <w:color w:val="auto"/>
          <w:sz w:val="24"/>
          <w:highlight w:val="none"/>
        </w:rPr>
        <w:t>.招标文件构成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.1招标文件包括下列内容：</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投标邀请</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投标人须知</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评标</w:t>
      </w:r>
      <w:r>
        <w:rPr>
          <w:rFonts w:hint="eastAsia" w:asciiTheme="minorEastAsia" w:hAnsiTheme="minorEastAsia" w:eastAsiaTheme="minorEastAsia"/>
          <w:color w:val="auto"/>
          <w:sz w:val="24"/>
          <w:highlight w:val="none"/>
        </w:rPr>
        <w:t>方法</w:t>
      </w:r>
      <w:r>
        <w:rPr>
          <w:rFonts w:asciiTheme="minorEastAsia" w:hAnsiTheme="minorEastAsia" w:eastAsiaTheme="minorEastAsia"/>
          <w:color w:val="auto"/>
          <w:sz w:val="24"/>
          <w:highlight w:val="none"/>
        </w:rPr>
        <w:t>和标准</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投标文件格式</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宋体" w:hAnsi="宋体" w:eastAsia="宋体" w:cs="@仿宋_GB2312"/>
          <w:b w:val="0"/>
          <w:bCs/>
          <w:color w:val="auto"/>
          <w:kern w:val="2"/>
          <w:sz w:val="24"/>
          <w:szCs w:val="22"/>
          <w:highlight w:val="none"/>
          <w:lang w:val="en-US" w:eastAsia="zh-CN" w:bidi="ar-SA"/>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投标人应认真阅读招标文件所有的事项、格式、条款和技术规范等。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招标文件的澄清与修改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投标人如对招标文件内容有疑问，必须在</w:t>
      </w:r>
      <w:r>
        <w:rPr>
          <w:rFonts w:ascii="宋体" w:hAnsi="宋体" w:eastAsia="宋体"/>
          <w:color w:val="auto"/>
          <w:sz w:val="24"/>
          <w:highlight w:val="none"/>
          <w:u w:val="single"/>
        </w:rPr>
        <w:t>投标人须知前附表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w:t>
      </w:r>
      <w:r>
        <w:rPr>
          <w:rFonts w:hint="eastAsia" w:asciiTheme="minorEastAsia" w:hAnsiTheme="minorEastAsia" w:eastAsiaTheme="minorEastAsia"/>
          <w:color w:val="auto"/>
          <w:sz w:val="24"/>
          <w:highlight w:val="none"/>
        </w:rPr>
        <w:t>投标人提出的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时对招标文件进行澄清与修改。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在安徽省政府采购网以发布更正公告的方式</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澄清或修改招标文件，更正公告的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为招标文件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组成部分，对投标人起约束作用</w:t>
      </w:r>
      <w:r>
        <w:rPr>
          <w:rFonts w:hint="eastAsia" w:asciiTheme="minorEastAsia" w:hAnsiTheme="minorEastAsia" w:eastAsiaTheme="minorEastAsia"/>
          <w:color w:val="auto"/>
          <w:sz w:val="24"/>
          <w:highlight w:val="none"/>
        </w:rPr>
        <w:t>。投标人应主动上网查询。采购代理机构不承担投标人未及时关注相关信息引发的相关责任。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投标人提供的任何书面或口头资料，未经采购代理机构在网上发布或书面通知，均作无效处理，不得作为招标文件的组成部分。采购代理机构对投标人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项目投标的</w:t>
      </w:r>
      <w:r>
        <w:rPr>
          <w:rFonts w:hint="eastAsia" w:asciiTheme="minorEastAsia" w:hAnsiTheme="minorEastAsia" w:eastAsiaTheme="minorEastAsia"/>
          <w:color w:val="auto"/>
          <w:sz w:val="24"/>
          <w:highlight w:val="none"/>
        </w:rPr>
        <w:t>投标人</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招标文件（含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投标范围及投标文件中标准和计量单位的使用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w:t>
      </w:r>
      <w:r>
        <w:rPr>
          <w:rFonts w:ascii="宋体" w:hAnsi="宋体" w:eastAsia="宋体"/>
          <w:color w:val="auto"/>
          <w:sz w:val="24"/>
          <w:highlight w:val="none"/>
        </w:rPr>
        <w:t>项目</w:t>
      </w:r>
      <w:r>
        <w:rPr>
          <w:rFonts w:asciiTheme="minorEastAsia" w:hAnsiTheme="minorEastAsia" w:eastAsiaTheme="minorEastAsia"/>
          <w:color w:val="auto"/>
          <w:sz w:val="24"/>
          <w:highlight w:val="none"/>
        </w:rPr>
        <w:t>有分包的，投标人可对招标文件其中某一个或几个分包进行投标，除非在</w:t>
      </w:r>
      <w:r>
        <w:rPr>
          <w:rFonts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中另有规定。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.2投标人应当对所投分包招标文件中“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需求”所列的所有内容进行投标，如仅响应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asciiTheme="minorEastAsia" w:hAnsiTheme="minorEastAsia" w:eastAsiaTheme="minorEastAsia"/>
          <w:color w:val="auto"/>
          <w:sz w:val="24"/>
          <w:highlight w:val="none"/>
        </w:rPr>
        <w:t>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26"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.3无论招标文件中是否要求，</w:t>
      </w:r>
      <w:r>
        <w:rPr>
          <w:rFonts w:hint="eastAsia" w:asciiTheme="minorEastAsia" w:hAnsiTheme="minorEastAsia" w:eastAsiaTheme="minorEastAsia"/>
          <w:color w:val="auto"/>
          <w:sz w:val="24"/>
          <w:highlight w:val="none"/>
        </w:rPr>
        <w:t>投标人所投货物</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服务</w:t>
      </w:r>
      <w:r>
        <w:rPr>
          <w:rFonts w:hint="eastAsia" w:asciiTheme="minorEastAsia" w:hAnsiTheme="minorEastAsia" w:eastAsiaTheme="minorEastAsia"/>
          <w:color w:val="auto"/>
          <w:sz w:val="24"/>
          <w:highlight w:val="none"/>
          <w:lang w:val="en-US" w:eastAsia="zh-CN"/>
        </w:rPr>
        <w:t>及</w:t>
      </w:r>
      <w:r>
        <w:rPr>
          <w:rFonts w:hint="eastAsia" w:asciiTheme="minorEastAsia" w:hAnsiTheme="minorEastAsia" w:eastAsiaTheme="minorEastAsia"/>
          <w:color w:val="auto"/>
          <w:sz w:val="24"/>
          <w:highlight w:val="none"/>
        </w:rPr>
        <w:t>工程</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i w:val="0"/>
          <w:iCs w:val="0"/>
          <w:color w:val="auto"/>
          <w:sz w:val="24"/>
          <w:highlight w:val="none"/>
          <w:u w:val="none"/>
          <w:lang w:val="en-US" w:eastAsia="zh-CN"/>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均应符合国家强制性标准。</w:t>
      </w:r>
    </w:p>
    <w:bookmarkEnd w:id="26"/>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投标人与采购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机构之间与投标有关的所有往来通知、函件和投标文件均用中文表述。投标人随投标文件提供的证明文件和资料可以为其它语言，但必须附中文译文。翻译的中文资料与外文资料出现差异时，以中文为准。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除</w:t>
      </w:r>
      <w:r>
        <w:rPr>
          <w:rFonts w:ascii="宋体" w:hAnsi="宋体" w:eastAsia="宋体"/>
          <w:color w:val="auto"/>
          <w:sz w:val="24"/>
          <w:highlight w:val="none"/>
        </w:rPr>
        <w:t>招标文件</w:t>
      </w:r>
      <w:r>
        <w:rPr>
          <w:rFonts w:asciiTheme="minorEastAsia" w:hAnsiTheme="minorEastAsia" w:eastAsiaTheme="minorEastAsia"/>
          <w:color w:val="auto"/>
          <w:sz w:val="24"/>
          <w:highlight w:val="none"/>
        </w:rPr>
        <w:t>中有特殊要求外，投标文件中所使用的计量单位，应采用中华人民共和国法定计量单位。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应完整地按招标文件提供的投标文件格式及要求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写投标文件，</w:t>
      </w:r>
      <w:r>
        <w:rPr>
          <w:rFonts w:hint="eastAsia" w:asciiTheme="minorEastAsia" w:hAnsiTheme="minorEastAsia" w:eastAsiaTheme="minorEastAsia"/>
          <w:color w:val="auto"/>
          <w:sz w:val="24"/>
          <w:highlight w:val="none"/>
        </w:rPr>
        <w:t>具体内容详见本项目投标文件格式的相关内容。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rPr>
        <w:t>招标文件要求的</w:t>
      </w:r>
      <w:r>
        <w:rPr>
          <w:rFonts w:asciiTheme="minorEastAsia" w:hAnsiTheme="minorEastAsia" w:eastAsiaTheme="minorEastAsia"/>
          <w:color w:val="auto"/>
          <w:sz w:val="24"/>
          <w:highlight w:val="none"/>
        </w:rPr>
        <w:t>证明文件，证明其投标内容符合招标文件规定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该证明文件是投标文件的一部分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7" w:name="_Hlk11703583"/>
      <w:r>
        <w:rPr>
          <w:rFonts w:hint="eastAsia" w:asciiTheme="minorEastAsia" w:hAnsiTheme="minorEastAsia" w:eastAsiaTheme="minorEastAsia"/>
          <w:color w:val="auto"/>
          <w:sz w:val="24"/>
          <w:highlight w:val="none"/>
          <w:lang w:val="en-US" w:eastAsia="zh-CN"/>
        </w:rPr>
        <w:t>等。</w:t>
      </w:r>
    </w:p>
    <w:bookmarkEnd w:id="27"/>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公正，除非另有规定或说明，投标人对同一项目投标时，不得同时提供</w:t>
      </w:r>
      <w:r>
        <w:rPr>
          <w:rFonts w:hint="eastAsia" w:asciiTheme="minorEastAsia" w:hAnsiTheme="minorEastAsia" w:eastAsiaTheme="minorEastAsia"/>
          <w:color w:val="auto"/>
          <w:sz w:val="24"/>
          <w:highlight w:val="none"/>
        </w:rPr>
        <w:t>备选</w:t>
      </w:r>
      <w:r>
        <w:rPr>
          <w:rFonts w:asciiTheme="minorEastAsia" w:hAnsiTheme="minorEastAsia" w:eastAsiaTheme="minorEastAsia"/>
          <w:color w:val="auto"/>
          <w:sz w:val="24"/>
          <w:highlight w:val="none"/>
        </w:rPr>
        <w:t>投标方案。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2.1投标人的报价应当包括满足本次招标全部采购需求</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除招标文件另有规定外，</w:t>
      </w:r>
      <w:r>
        <w:rPr>
          <w:rFonts w:hint="eastAsia" w:asciiTheme="minorEastAsia" w:hAnsiTheme="minorEastAsia" w:eastAsiaTheme="minorEastAsia"/>
          <w:color w:val="auto"/>
          <w:sz w:val="24"/>
          <w:highlight w:val="none"/>
        </w:rPr>
        <w:t>所有投标均应以人民币报价。投标人的投标报价应遵守《中华人民共和国价格法》。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.2投标人报价超过招标文件规定的预算金额或者分项、分包最高限价，其投标将被认定为</w:t>
      </w:r>
      <w:r>
        <w:rPr>
          <w:rFonts w:asciiTheme="minorEastAsia" w:hAnsiTheme="minorEastAsia" w:eastAsiaTheme="minorEastAsia"/>
          <w:b/>
          <w:bCs/>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投标报价</w:t>
      </w:r>
      <w:r>
        <w:rPr>
          <w:rFonts w:asciiTheme="minorEastAsia" w:hAnsiTheme="minorEastAsia" w:eastAsiaTheme="minorEastAsia"/>
          <w:color w:val="auto"/>
          <w:sz w:val="24"/>
          <w:highlight w:val="none"/>
        </w:rPr>
        <w:t>在合同履行过程中是固定不变的，不得以任何理由予以变更。任何包含价格调整要求的投标，其投标将被认定为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评标委员会认为投标人的报价明显低于其他通过符合性审查投标人的报价，有可能影响产品质量或者不能诚信履约的，应当要求其在合理的时间内提供书面说明，</w:t>
      </w:r>
      <w:r>
        <w:rPr>
          <w:rFonts w:asciiTheme="minorEastAsia" w:hAnsiTheme="minorEastAsia" w:eastAsiaTheme="minorEastAsia"/>
          <w:color w:val="auto"/>
          <w:sz w:val="24"/>
          <w:highlight w:val="none"/>
        </w:rPr>
        <w:t>必要时提交相关证明材料；投标人不能证明其报价合理性的，其投标将被认定为</w:t>
      </w:r>
      <w:r>
        <w:rPr>
          <w:rFonts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.1本项目不收取投标保证金。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.1投标有效期为从投标截止之日算起的日历天数，投标有效期详见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.2在投标有效期内，投标人的投标保持有效，投标人不得要求撤销或修改其投标文件。投标有效期不满足要求的投标，其投标将被认定为</w:t>
      </w:r>
      <w:r>
        <w:rPr>
          <w:rFonts w:hint="eastAsia"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投标有效期截止之前，要求投标人延长投标文件的有效期。接受该要求的投标人将不会被要求和允许修正其投标。投标人也可以拒绝延长投标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投标文件的递交、修改与撤回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.1投标人应当在</w:t>
      </w:r>
      <w:r>
        <w:rPr>
          <w:rFonts w:hint="eastAsia" w:asciiTheme="minorEastAsia" w:hAnsiTheme="minorEastAsia" w:eastAsiaTheme="minorEastAsia"/>
          <w:color w:val="auto"/>
          <w:sz w:val="24"/>
          <w:highlight w:val="none"/>
          <w:lang w:val="en-US" w:eastAsia="zh-CN"/>
        </w:rPr>
        <w:t>招标公告</w:t>
      </w:r>
      <w:r>
        <w:rPr>
          <w:rFonts w:hint="eastAsia" w:asciiTheme="minorEastAsia" w:hAnsiTheme="minorEastAsia" w:eastAsiaTheme="minorEastAsia"/>
          <w:color w:val="auto"/>
          <w:sz w:val="24"/>
          <w:highlight w:val="none"/>
        </w:rPr>
        <w:t>规定的投标截止时间前</w:t>
      </w:r>
      <w:r>
        <w:rPr>
          <w:rFonts w:asciiTheme="minorEastAsia" w:hAnsiTheme="minorEastAsia" w:eastAsiaTheme="minorEastAsia"/>
          <w:color w:val="auto"/>
          <w:sz w:val="24"/>
          <w:highlight w:val="none"/>
        </w:rPr>
        <w:t>，将加密的投标文件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投标人应当在投标截止时间前完成投标文件的传输递交（以接收到电子签收凭证为准），并可以补充、修改或者撤回投标文件。投标截止时间前未完成投标文件传输的，视为撤回投标文件。未按规定加密或投标截止时间后送达的投标文件，电子交易系统应当拒收。</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开标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开标时，</w:t>
      </w:r>
      <w:r>
        <w:rPr>
          <w:rFonts w:ascii="宋体" w:hAnsi="宋体" w:eastAsia="宋体" w:cs="宋体"/>
          <w:sz w:val="24"/>
          <w:szCs w:val="24"/>
        </w:rPr>
        <w:t>各投标人应在</w:t>
      </w:r>
      <w:r>
        <w:rPr>
          <w:rFonts w:ascii="宋体" w:hAnsi="宋体" w:eastAsia="宋体" w:cs="宋体"/>
          <w:sz w:val="24"/>
          <w:szCs w:val="24"/>
          <w:u w:val="single"/>
        </w:rPr>
        <w:t>投标人须知前附表</w:t>
      </w:r>
      <w:r>
        <w:rPr>
          <w:rFonts w:ascii="宋体" w:hAnsi="宋体" w:eastAsia="宋体" w:cs="宋体"/>
          <w:sz w:val="24"/>
          <w:szCs w:val="24"/>
        </w:rPr>
        <w:t>规定的解密时间前</w:t>
      </w:r>
      <w:r>
        <w:rPr>
          <w:rFonts w:asciiTheme="minorEastAsia" w:hAnsiTheme="minorEastAsia" w:eastAsiaTheme="minorEastAsia"/>
          <w:color w:val="auto"/>
          <w:sz w:val="24"/>
          <w:highlight w:val="none"/>
        </w:rPr>
        <w:t>对</w:t>
      </w:r>
      <w:r>
        <w:rPr>
          <w:rFonts w:hint="eastAsia" w:ascii="宋体" w:hAnsi="宋体" w:eastAsia="宋体" w:cs="宋体"/>
          <w:color w:val="auto"/>
          <w:sz w:val="24"/>
          <w:szCs w:val="24"/>
          <w:highlight w:val="none"/>
          <w:lang w:val="en-US" w:eastAsia="zh-CN"/>
        </w:rPr>
        <w:t>其</w:t>
      </w:r>
      <w:r>
        <w:rPr>
          <w:rFonts w:asciiTheme="minorEastAsia" w:hAnsiTheme="minorEastAsia" w:eastAsiaTheme="minorEastAsia"/>
          <w:color w:val="auto"/>
          <w:sz w:val="24"/>
          <w:highlight w:val="none"/>
        </w:rPr>
        <w:t>投标文件</w:t>
      </w:r>
      <w:r>
        <w:rPr>
          <w:rFonts w:hint="eastAsia" w:asciiTheme="minorEastAsia" w:hAnsiTheme="minorEastAsia" w:eastAsiaTheme="minorEastAsia"/>
          <w:color w:val="auto"/>
          <w:sz w:val="24"/>
          <w:highlight w:val="none"/>
        </w:rPr>
        <w:t>进行</w:t>
      </w:r>
      <w:r>
        <w:rPr>
          <w:rFonts w:asciiTheme="minorEastAsia" w:hAnsiTheme="minorEastAsia" w:eastAsiaTheme="minorEastAsia"/>
          <w:color w:val="auto"/>
          <w:sz w:val="24"/>
          <w:highlight w:val="none"/>
        </w:rPr>
        <w:t>解密。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开标时，采购代理机构将通过网上开标系统公布</w:t>
      </w:r>
      <w:r>
        <w:rPr>
          <w:rFonts w:hint="eastAsia" w:asciiTheme="minorEastAsia" w:hAnsiTheme="minorEastAsia" w:eastAsiaTheme="minorEastAsia"/>
          <w:color w:val="auto"/>
          <w:sz w:val="24"/>
          <w:highlight w:val="none"/>
        </w:rPr>
        <w:t>开标结果，公布内容包括投标人名称、投标价格及招标文件规定的内容。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采购人或采购代理机构将对开标过程进行记录，由参加开标的各投标人代表和相关工作人员签字确认，并存档备查。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投标人未派代表参加开标的，视同投标人认可开标结果。</w:t>
      </w:r>
    </w:p>
    <w:p>
      <w:pPr>
        <w:spacing w:line="360" w:lineRule="auto"/>
        <w:ind w:firstLine="435"/>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投标人代表对开标过程和开标记录有疑义，以及认为采购人、采购代理机构相关工作人员有需要回避的情形的，应当场提出询问或者回避申请。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资格审查及组建评标委员会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.1采购人或采购代理机构依据法律法规和招标文件中规定的内</w:t>
      </w:r>
      <w:r>
        <w:rPr>
          <w:rFonts w:asciiTheme="minorEastAsia" w:hAnsiTheme="minorEastAsia" w:eastAsiaTheme="minorEastAsia"/>
          <w:color w:val="auto"/>
          <w:sz w:val="24"/>
          <w:highlight w:val="none"/>
        </w:rPr>
        <w:t>容</w:t>
      </w:r>
      <w:r>
        <w:rPr>
          <w:rFonts w:hint="eastAsia" w:asciiTheme="minorEastAsia" w:hAnsiTheme="minorEastAsia" w:eastAsiaTheme="minorEastAsia"/>
          <w:color w:val="auto"/>
          <w:sz w:val="24"/>
          <w:highlight w:val="none"/>
        </w:rPr>
        <w:t>，对投标人资格进行审查，未</w:t>
      </w:r>
      <w:r>
        <w:rPr>
          <w:rFonts w:asciiTheme="minorEastAsia" w:hAnsiTheme="minorEastAsia" w:eastAsiaTheme="minorEastAsia"/>
          <w:color w:val="auto"/>
          <w:sz w:val="24"/>
          <w:highlight w:val="none"/>
        </w:rPr>
        <w:t>通过资格审查的投标人</w:t>
      </w:r>
      <w:r>
        <w:rPr>
          <w:rFonts w:hint="eastAsia" w:asciiTheme="minorEastAsia" w:hAnsiTheme="minorEastAsia" w:eastAsiaTheme="minorEastAsia"/>
          <w:color w:val="auto"/>
          <w:sz w:val="24"/>
          <w:highlight w:val="none"/>
        </w:rPr>
        <w:t>不</w:t>
      </w:r>
      <w:r>
        <w:rPr>
          <w:rFonts w:asciiTheme="minorEastAsia" w:hAnsiTheme="minorEastAsia" w:eastAsiaTheme="minorEastAsia"/>
          <w:color w:val="auto"/>
          <w:sz w:val="24"/>
          <w:highlight w:val="none"/>
        </w:rPr>
        <w:t>进入评标</w:t>
      </w:r>
      <w:r>
        <w:rPr>
          <w:rFonts w:hint="eastAsia" w:asciiTheme="minorEastAsia" w:hAnsiTheme="minorEastAsia" w:eastAsiaTheme="minorEastAsia"/>
          <w:color w:val="auto"/>
          <w:sz w:val="24"/>
          <w:highlight w:val="none"/>
        </w:rPr>
        <w:t>。</w:t>
      </w:r>
    </w:p>
    <w:p>
      <w:pPr>
        <w:spacing w:line="360" w:lineRule="auto"/>
        <w:ind w:firstLine="435"/>
        <w:rPr>
          <w:rFonts w:hint="eastAsia" w:ascii="宋体" w:hAnsi="宋体" w:eastAsia="宋体" w:cs="宋体"/>
          <w:color w:val="auto"/>
          <w:sz w:val="24"/>
          <w:szCs w:val="24"/>
          <w:highlight w:val="none"/>
        </w:rPr>
      </w:pPr>
      <w:bookmarkStart w:id="28" w:name="_Hlk24663244"/>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.2采购人或采购代理机构将在投标截止时间后至评审结束前通过“信用中国”网站(www.creditchina.gov.cn)、中国政府采购网(www.ccgp.gov.cn)查询相关投标人信用记录，并对</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以联合体形式参加投标的，联合体成员存在以上不良信用记录的，联合体投标将被认定为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投标人不良信用记录以采购人或采购代理机构查询结果为准。在本招标文件规定的查询时间之外，网站信息发生的任何变更均不作为资格审查依据。投标人自行提供的与网站信息不一致的其他证明材料亦不作为资格审查依据。</w:t>
      </w:r>
    </w:p>
    <w:bookmarkEnd w:id="28"/>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.3按照</w:t>
      </w:r>
      <w:r>
        <w:rPr>
          <w:rFonts w:hint="eastAsia" w:ascii="宋体" w:hAnsi="宋体" w:eastAsia="宋体"/>
          <w:color w:val="auto"/>
          <w:sz w:val="24"/>
          <w:highlight w:val="none"/>
        </w:rPr>
        <w:t>《</w:t>
      </w:r>
      <w:r>
        <w:rPr>
          <w:rFonts w:ascii="宋体" w:hAnsi="宋体" w:eastAsia="宋体"/>
          <w:color w:val="auto"/>
          <w:sz w:val="24"/>
          <w:highlight w:val="none"/>
        </w:rPr>
        <w:t>中华人民共和国政府采购法》</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《中华人民共和国政府采购</w:t>
      </w:r>
      <w:r>
        <w:rPr>
          <w:rFonts w:hint="eastAsia" w:asciiTheme="minorEastAsia" w:hAnsiTheme="minorEastAsia" w:eastAsiaTheme="minorEastAsia"/>
          <w:color w:val="auto"/>
          <w:sz w:val="24"/>
          <w:highlight w:val="none"/>
        </w:rPr>
        <w:t>法</w:t>
      </w:r>
      <w:r>
        <w:rPr>
          <w:rFonts w:asciiTheme="minorEastAsia" w:hAnsiTheme="minorEastAsia" w:eastAsiaTheme="minorEastAsia"/>
          <w:color w:val="auto"/>
          <w:sz w:val="24"/>
          <w:highlight w:val="none"/>
        </w:rPr>
        <w:t>实施条例》</w:t>
      </w:r>
      <w:r>
        <w:rPr>
          <w:rFonts w:hint="eastAsia" w:asciiTheme="minorEastAsia" w:hAnsiTheme="minorEastAsia" w:eastAsiaTheme="minorEastAsia"/>
          <w:color w:val="auto"/>
          <w:sz w:val="24"/>
          <w:highlight w:val="none"/>
        </w:rPr>
        <w:t>及本项目本级</w:t>
      </w:r>
      <w:r>
        <w:rPr>
          <w:rFonts w:asciiTheme="minorEastAsia" w:hAnsiTheme="minorEastAsia" w:eastAsiaTheme="minorEastAsia"/>
          <w:color w:val="auto"/>
          <w:sz w:val="24"/>
          <w:highlight w:val="none"/>
        </w:rPr>
        <w:t>和上级财政部门</w:t>
      </w:r>
      <w:r>
        <w:rPr>
          <w:rFonts w:hint="eastAsia" w:asciiTheme="minorEastAsia" w:hAnsiTheme="minorEastAsia" w:eastAsiaTheme="minorEastAsia"/>
          <w:color w:val="auto"/>
          <w:sz w:val="24"/>
          <w:highlight w:val="none"/>
        </w:rPr>
        <w:t>、政府采购监督管理部门的有关规定依法组建的</w:t>
      </w:r>
      <w:r>
        <w:rPr>
          <w:rFonts w:asciiTheme="minorEastAsia" w:hAnsiTheme="minorEastAsia" w:eastAsiaTheme="minorEastAsia"/>
          <w:color w:val="auto"/>
          <w:sz w:val="24"/>
          <w:highlight w:val="none"/>
        </w:rPr>
        <w:t>评标委员会</w:t>
      </w:r>
      <w:r>
        <w:rPr>
          <w:rFonts w:hint="eastAsia" w:asciiTheme="minorEastAsia" w:hAnsiTheme="minorEastAsia" w:eastAsiaTheme="minorEastAsia"/>
          <w:color w:val="auto"/>
          <w:sz w:val="24"/>
          <w:highlight w:val="none"/>
        </w:rPr>
        <w:t>，负责本项目评标工作。</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投标文件符合性审查与澄清</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.1符合性审查是指依据招标文件的规定，从投标文件的有效性和完整性对招标文件的响应程度</w:t>
      </w:r>
      <w:r>
        <w:rPr>
          <w:rFonts w:ascii="宋体" w:hAnsi="宋体" w:eastAsia="宋体"/>
          <w:color w:val="auto"/>
          <w:sz w:val="24"/>
          <w:highlight w:val="none"/>
        </w:rPr>
        <w:t>进行</w:t>
      </w:r>
      <w:r>
        <w:rPr>
          <w:rFonts w:asciiTheme="minorEastAsia" w:hAnsiTheme="minorEastAsia" w:eastAsiaTheme="minorEastAsia"/>
          <w:color w:val="auto"/>
          <w:sz w:val="24"/>
          <w:highlight w:val="none"/>
        </w:rPr>
        <w:t>审查，以确定是否对招标文件的实质性要求做出响应。</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投标文件的澄清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.1为有助于投标</w:t>
      </w:r>
      <w:r>
        <w:rPr>
          <w:rFonts w:hint="eastAsia" w:ascii="宋体" w:hAnsi="宋体" w:eastAsia="宋体"/>
          <w:color w:val="auto"/>
          <w:sz w:val="24"/>
          <w:highlight w:val="none"/>
        </w:rPr>
        <w:t>文件</w:t>
      </w:r>
      <w:r>
        <w:rPr>
          <w:rFonts w:ascii="宋体" w:hAnsi="宋体" w:eastAsia="宋体"/>
          <w:color w:val="auto"/>
          <w:sz w:val="24"/>
          <w:highlight w:val="none"/>
        </w:rPr>
        <w:t>的审查、评价和比较，在评标期间，评标委员会将以书面</w:t>
      </w:r>
      <w:r>
        <w:rPr>
          <w:rFonts w:hint="eastAsia" w:ascii="宋体" w:hAnsi="宋体" w:eastAsia="宋体"/>
          <w:color w:val="auto"/>
          <w:sz w:val="24"/>
          <w:highlight w:val="none"/>
        </w:rPr>
        <w:t>方式（询标）</w:t>
      </w:r>
      <w:r>
        <w:rPr>
          <w:rFonts w:ascii="宋体" w:hAnsi="宋体" w:eastAsia="宋体"/>
          <w:color w:val="auto"/>
          <w:sz w:val="24"/>
          <w:highlight w:val="none"/>
        </w:rPr>
        <w:t>要求投标人对其投标文件中含义不明确、对同类问题表述不一致或者有明显文字和计算错误的内容，以及评标委员会认为投标人的报价明显低于其他通过符合性</w:t>
      </w:r>
      <w:r>
        <w:rPr>
          <w:rFonts w:hint="eastAsia" w:ascii="宋体" w:hAnsi="宋体" w:eastAsia="宋体"/>
          <w:color w:val="auto"/>
          <w:sz w:val="24"/>
          <w:highlight w:val="none"/>
        </w:rPr>
        <w:t>审</w:t>
      </w:r>
      <w:r>
        <w:rPr>
          <w:rFonts w:ascii="宋体" w:hAnsi="宋体" w:eastAsia="宋体"/>
          <w:color w:val="auto"/>
          <w:sz w:val="24"/>
          <w:highlight w:val="none"/>
        </w:rPr>
        <w:t>查投标人的报价，有可能影响履约的情况作必要的澄清、说明或补正。投标人的澄清、说明或补正应在评标委员会规定的时间内以书面</w:t>
      </w:r>
      <w:r>
        <w:rPr>
          <w:rFonts w:hint="eastAsia" w:ascii="宋体" w:hAnsi="宋体" w:eastAsia="宋体"/>
          <w:color w:val="auto"/>
          <w:sz w:val="24"/>
          <w:highlight w:val="none"/>
        </w:rPr>
        <w:t>方式</w:t>
      </w:r>
      <w:r>
        <w:rPr>
          <w:rFonts w:ascii="宋体" w:hAnsi="宋体" w:eastAsia="宋体"/>
          <w:color w:val="auto"/>
          <w:sz w:val="24"/>
          <w:highlight w:val="none"/>
        </w:rPr>
        <w:t>进行，并不得超出投标文件范围或者改变投标文件的实质性内容。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如有询标，投标人授权代表（或法定代表人）可通过远程登录的方式接受网上询标，也可凭本人有效身份证明参加询标。因投标人授权代表联系不上、没有及时登录系统等情形而无法接受评标委员会询标的，投标人自行承担相关风险。</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15.</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投标人的澄清、说明或补正将作为投标文件的一部分。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.3评标委员会对投标人提交的澄清、说明或补正有疑问的，可以要求投标人进一步澄清、说明或补正，直至满足评标委员会的要求。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投标文件报价出现前后不一致的，按照下列规定修正：</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1</w:t>
      </w:r>
      <w:r>
        <w:rPr>
          <w:rFonts w:ascii="宋体" w:hAnsi="宋体" w:eastAsia="宋体"/>
          <w:color w:val="auto"/>
          <w:sz w:val="24"/>
          <w:highlight w:val="none"/>
        </w:rPr>
        <w:t>）投标文件中开标一览表内容与投标文件中相应内容不一致的，以开标一览表为准；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）大写金额和小写金额不一致的，以大写金额为准；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3</w:t>
      </w:r>
      <w:r>
        <w:rPr>
          <w:rFonts w:ascii="宋体" w:hAnsi="宋体" w:eastAsia="宋体"/>
          <w:color w:val="auto"/>
          <w:sz w:val="24"/>
          <w:highlight w:val="none"/>
        </w:rPr>
        <w:t>）单价金额小数点或者百分比有明显错位的，以开标一览表的总价为准，并修改单价；</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4</w:t>
      </w:r>
      <w:r>
        <w:rPr>
          <w:rFonts w:ascii="宋体" w:hAnsi="宋体" w:eastAsia="宋体"/>
          <w:color w:val="auto"/>
          <w:sz w:val="24"/>
          <w:highlight w:val="none"/>
        </w:rPr>
        <w:t>）总价金额与按单价汇总金额不一致的，以单价金额计算结果为准。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同时出现两种以上不一致的，按照前款规定的顺序修正。修正后的报价按照第</w:t>
      </w:r>
      <w:r>
        <w:rPr>
          <w:rFonts w:hint="eastAsia" w:ascii="宋体" w:hAnsi="宋体" w:eastAsia="宋体"/>
          <w:color w:val="auto"/>
          <w:sz w:val="24"/>
          <w:highlight w:val="none"/>
          <w:lang w:eastAsia="zh-CN"/>
        </w:rPr>
        <w:t>15.</w:t>
      </w:r>
      <w:r>
        <w:rPr>
          <w:rFonts w:ascii="宋体" w:hAnsi="宋体" w:eastAsia="宋体"/>
          <w:color w:val="auto"/>
          <w:sz w:val="24"/>
          <w:highlight w:val="none"/>
        </w:rPr>
        <w:t>4条的规定经投标人确认后产生约束力，投标人不确认的，其投标将被认定为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对不同文字文本投标文件的解释发生异议的，以中文文本为准。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16.</w:t>
      </w:r>
      <w:r>
        <w:rPr>
          <w:rFonts w:hint="eastAsia" w:asciiTheme="minorEastAsia" w:hAnsiTheme="minorEastAsia" w:eastAsiaTheme="minorEastAsia"/>
          <w:b/>
          <w:color w:val="auto"/>
          <w:sz w:val="24"/>
          <w:highlight w:val="none"/>
        </w:rPr>
        <w:t>投标无效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1根据本</w:t>
      </w:r>
      <w:r>
        <w:rPr>
          <w:rFonts w:hint="eastAsia" w:asciiTheme="minorEastAsia" w:hAnsiTheme="minorEastAsia" w:eastAsiaTheme="minorEastAsia"/>
          <w:color w:val="auto"/>
          <w:sz w:val="24"/>
          <w:highlight w:val="none"/>
        </w:rPr>
        <w:t>招标文件</w:t>
      </w:r>
      <w:r>
        <w:rPr>
          <w:rFonts w:asciiTheme="minorEastAsia" w:hAnsiTheme="minorEastAsia" w:eastAsiaTheme="minorEastAsia"/>
          <w:color w:val="auto"/>
          <w:sz w:val="24"/>
          <w:highlight w:val="none"/>
        </w:rPr>
        <w:t>的规定，评标委员会要审查每份投标文件是否实质上响应了招标文件的要求。投标人不得通过修正或撤销不符合要求的偏离，从而使其投标成为实质上响应的投标。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评标委员会决定投标的响应性只根据招标文件要求和投标文件内容。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无论何种原因，即使投标人投标时携带了证书材料的原件，但投标文件中未提供与之内容完全一致的扫描件的，评标委员会视同其未提供。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2如发现下列情况之一的，其投标将被认定为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1）投标文件未按照招标文件规定要求签署、盖章的；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2）不具备招标文件中规定的资格要求的；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3）报价超过招标文件中规定的预算金额或者最高限价的；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4）投标文件含有采购人不能接受的附加条件的；</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5）法律、法规和招标文件规定的其他无效情形。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17.</w:t>
      </w:r>
      <w:r>
        <w:rPr>
          <w:rFonts w:hint="eastAsia" w:asciiTheme="minorEastAsia" w:hAnsiTheme="minorEastAsia" w:eastAsiaTheme="minorEastAsia"/>
          <w:b/>
          <w:color w:val="auto"/>
          <w:sz w:val="24"/>
          <w:highlight w:val="none"/>
        </w:rPr>
        <w:t>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1经符合性审查合格的投标文件，评标委员会将根据招标文件确定的评标方法和标准，对其投标文件作进一步的比较与评价。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2评标严格按照</w:t>
      </w:r>
      <w:r>
        <w:rPr>
          <w:rFonts w:hint="eastAsia" w:ascii="宋体" w:hAnsi="宋体" w:eastAsia="宋体"/>
          <w:color w:val="auto"/>
          <w:sz w:val="24"/>
          <w:highlight w:val="none"/>
        </w:rPr>
        <w:t>招标文件</w:t>
      </w:r>
      <w:r>
        <w:rPr>
          <w:rFonts w:hint="eastAsia" w:asciiTheme="minorEastAsia" w:hAnsiTheme="minorEastAsia" w:eastAsiaTheme="minorEastAsia"/>
          <w:color w:val="auto"/>
          <w:sz w:val="24"/>
          <w:highlight w:val="none"/>
        </w:rPr>
        <w:t>的要求和条件进行。根据实际情况，在</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中规定采用下列一种评标方法，详细评标方法和标准见招标文件第四章：</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1）最低评标价法，是指</w:t>
      </w:r>
      <w:r>
        <w:rPr>
          <w:rFonts w:ascii="宋体" w:hAnsi="宋体" w:eastAsia="宋体"/>
          <w:color w:val="auto"/>
          <w:sz w:val="24"/>
          <w:highlight w:val="none"/>
        </w:rPr>
        <w:t>投标文件满足招标文件全部实质性要求</w:t>
      </w:r>
      <w:r>
        <w:rPr>
          <w:rFonts w:hint="eastAsia" w:ascii="宋体" w:hAnsi="宋体" w:eastAsia="宋体"/>
          <w:color w:val="auto"/>
          <w:sz w:val="24"/>
          <w:highlight w:val="none"/>
        </w:rPr>
        <w:t>，</w:t>
      </w:r>
      <w:r>
        <w:rPr>
          <w:rFonts w:ascii="宋体" w:hAnsi="宋体" w:eastAsia="宋体"/>
          <w:color w:val="auto"/>
          <w:sz w:val="24"/>
          <w:highlight w:val="none"/>
        </w:rPr>
        <w:t>且投标报价最低的</w:t>
      </w:r>
      <w:r>
        <w:rPr>
          <w:rFonts w:hint="eastAsia" w:ascii="宋体" w:hAnsi="宋体" w:eastAsia="宋体"/>
          <w:color w:val="auto"/>
          <w:sz w:val="24"/>
          <w:highlight w:val="none"/>
        </w:rPr>
        <w:t>投标人</w:t>
      </w:r>
      <w:r>
        <w:rPr>
          <w:rFonts w:ascii="宋体" w:hAnsi="宋体" w:eastAsia="宋体"/>
          <w:color w:val="auto"/>
          <w:sz w:val="24"/>
          <w:highlight w:val="none"/>
        </w:rPr>
        <w:t>为中标</w:t>
      </w:r>
      <w:r>
        <w:rPr>
          <w:rFonts w:hint="eastAsia" w:ascii="宋体" w:hAnsi="宋体" w:eastAsia="宋体"/>
          <w:color w:val="auto"/>
          <w:sz w:val="24"/>
          <w:highlight w:val="none"/>
        </w:rPr>
        <w:t>候选</w:t>
      </w:r>
      <w:r>
        <w:rPr>
          <w:rFonts w:ascii="宋体" w:hAnsi="宋体" w:eastAsia="宋体"/>
          <w:color w:val="auto"/>
          <w:sz w:val="24"/>
          <w:highlight w:val="none"/>
        </w:rPr>
        <w:t>人的评标方法</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（2）综合评分法，是</w:t>
      </w:r>
      <w:r>
        <w:rPr>
          <w:rFonts w:ascii="宋体" w:hAnsi="宋体" w:eastAsia="宋体"/>
          <w:color w:val="auto"/>
          <w:sz w:val="24"/>
          <w:highlight w:val="none"/>
        </w:rPr>
        <w:t>指投标文件满足招标</w:t>
      </w:r>
      <w:r>
        <w:rPr>
          <w:rFonts w:hint="eastAsia" w:ascii="宋体" w:hAnsi="宋体" w:eastAsia="宋体"/>
          <w:color w:val="auto"/>
          <w:sz w:val="24"/>
          <w:highlight w:val="none"/>
        </w:rPr>
        <w:t>文件</w:t>
      </w:r>
      <w:r>
        <w:rPr>
          <w:rFonts w:ascii="宋体" w:hAnsi="宋体" w:eastAsia="宋体"/>
          <w:color w:val="auto"/>
          <w:sz w:val="24"/>
          <w:highlight w:val="none"/>
        </w:rPr>
        <w:t>全部实质性要求</w:t>
      </w:r>
      <w:r>
        <w:rPr>
          <w:rFonts w:hint="eastAsia" w:ascii="宋体" w:hAnsi="宋体" w:eastAsia="宋体"/>
          <w:color w:val="auto"/>
          <w:sz w:val="24"/>
          <w:highlight w:val="none"/>
        </w:rPr>
        <w:t>，</w:t>
      </w:r>
      <w:r>
        <w:rPr>
          <w:rFonts w:ascii="宋体" w:hAnsi="宋体" w:eastAsia="宋体"/>
          <w:color w:val="auto"/>
          <w:sz w:val="24"/>
          <w:highlight w:val="none"/>
        </w:rPr>
        <w:t>且按照评审因素的</w:t>
      </w:r>
      <w:r>
        <w:rPr>
          <w:rFonts w:hint="eastAsia" w:ascii="宋体" w:hAnsi="宋体" w:eastAsia="宋体"/>
          <w:color w:val="auto"/>
          <w:sz w:val="24"/>
          <w:highlight w:val="none"/>
        </w:rPr>
        <w:t>量化</w:t>
      </w:r>
      <w:r>
        <w:rPr>
          <w:rFonts w:ascii="宋体" w:hAnsi="宋体" w:eastAsia="宋体"/>
          <w:color w:val="auto"/>
          <w:sz w:val="24"/>
          <w:highlight w:val="none"/>
        </w:rPr>
        <w:t>指标评审得分最高的</w:t>
      </w:r>
      <w:r>
        <w:rPr>
          <w:rFonts w:hint="eastAsia" w:ascii="宋体" w:hAnsi="宋体" w:eastAsia="宋体"/>
          <w:color w:val="auto"/>
          <w:sz w:val="24"/>
          <w:highlight w:val="none"/>
        </w:rPr>
        <w:t>投标人</w:t>
      </w:r>
      <w:r>
        <w:rPr>
          <w:rFonts w:ascii="宋体" w:hAnsi="宋体" w:eastAsia="宋体"/>
          <w:color w:val="auto"/>
          <w:sz w:val="24"/>
          <w:highlight w:val="none"/>
        </w:rPr>
        <w:t>为中标候选人的评标方法。</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17.</w:t>
      </w:r>
      <w:r>
        <w:rPr>
          <w:rFonts w:ascii="宋体" w:hAnsi="宋体" w:eastAsia="宋体"/>
          <w:color w:val="auto"/>
          <w:sz w:val="24"/>
          <w:highlight w:val="none"/>
        </w:rPr>
        <w:t>3根据《政府采购促进中小企业发展管理办法》（财库〔2020〕46号）、《三部门联合发布关于促进残疾人就业政府采购政策的通知》（财库〔2017〕141号）</w:t>
      </w:r>
      <w:r>
        <w:rPr>
          <w:rFonts w:hint="eastAsia" w:ascii="宋体" w:hAnsi="宋体" w:eastAsia="宋体"/>
          <w:color w:val="auto"/>
          <w:sz w:val="24"/>
          <w:highlight w:val="none"/>
          <w:lang w:val="en-US" w:eastAsia="zh-CN"/>
        </w:rPr>
        <w:t>和</w:t>
      </w:r>
      <w:r>
        <w:rPr>
          <w:rFonts w:ascii="宋体" w:hAnsi="宋体" w:eastAsia="宋体"/>
          <w:color w:val="auto"/>
          <w:sz w:val="24"/>
          <w:highlight w:val="none"/>
        </w:rPr>
        <w:t>《财政部 司法部关于政府采购支持监狱企业发展有关问题的通知》（财库〔2014〕68号）的规定，对满足价格扣除条件且在投标文件中提交了《中小企业声明函》、《残疾人福利性单位声明函》或省级以上监狱管理局、戒毒管理局（含新疆生产建设兵团）出具的属于监狱企业的证明文件的投标人，其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中规定的标准扣除后的价格参与评审。对于同时属于小微企</w:t>
      </w:r>
      <w:r>
        <w:rPr>
          <w:rFonts w:hint="eastAsia" w:ascii="宋体" w:hAnsi="宋体" w:eastAsia="宋体"/>
          <w:color w:val="auto"/>
          <w:sz w:val="24"/>
          <w:highlight w:val="none"/>
        </w:rPr>
        <w:t>业、监狱企业或残疾人福利性单位的，不重复进行投标报价扣除。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宋体" w:hAnsi="宋体" w:eastAsia="宋体"/>
          <w:color w:val="auto"/>
          <w:sz w:val="24"/>
          <w:highlight w:val="none"/>
        </w:rPr>
        <w:t>30%以上的，可给予联合体或者大中型企业的投标报价按照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中规定的标准扣除后的价格参与评审。组成联合体或者接受分包的小微企业与联合体内其他企业、分包企业之间存在直接控股、管理关系的，不享受价格扣除优惠政策。</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废标、重新招标与变更采购方式</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.1出现下列情形之一，将导致项目废标：</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1）符合专业条件的供应商或者对招标文件做实质性响应的供应商不足规定数量的；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（2）出现影响采购公正的违法、违规行为的；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（3）投标人的报价均超过了采购预算，采购人不能支付的；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.2公开招标数额标准以上的采购项目，投标截止后投标人不足</w:t>
      </w:r>
      <w:r>
        <w:rPr>
          <w:rFonts w:asciiTheme="minorEastAsia" w:hAnsiTheme="minorEastAsia" w:eastAsiaTheme="minorEastAsia"/>
          <w:color w:val="auto"/>
          <w:sz w:val="24"/>
          <w:highlight w:val="none"/>
        </w:rPr>
        <w:t>3家或者通过</w:t>
      </w:r>
      <w:r>
        <w:rPr>
          <w:rFonts w:hint="eastAsia" w:asciiTheme="minorEastAsia" w:hAnsiTheme="minorEastAsia" w:eastAsiaTheme="minorEastAsia"/>
          <w:color w:val="auto"/>
          <w:sz w:val="24"/>
          <w:highlight w:val="none"/>
        </w:rPr>
        <w:t>资格审查或符合性审查的投标人不足</w:t>
      </w:r>
      <w:r>
        <w:rPr>
          <w:rFonts w:asciiTheme="minorEastAsia" w:hAnsiTheme="minorEastAsia" w:eastAsiaTheme="minorEastAsia"/>
          <w:color w:val="auto"/>
          <w:sz w:val="24"/>
          <w:highlight w:val="none"/>
        </w:rPr>
        <w:t>3家的，除采购任务取消情形外，按照以下方式处理：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（1）招标文件存在不合理条款或者招标程序不符合规定的，采购人、采购代理机构改正后依法重新招标；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（2）招标文件没有不合理条款、招标程序符合规定，需要采用其他采购方式采购的，采购人应当依法报</w:t>
      </w:r>
      <w:r>
        <w:rPr>
          <w:rFonts w:hint="eastAsia" w:ascii="宋体" w:hAnsi="宋体" w:eastAsia="宋体" w:cs="宋体"/>
          <w:b w:val="0"/>
          <w:bCs w:val="0"/>
          <w:color w:val="000000"/>
          <w:kern w:val="2"/>
          <w:sz w:val="24"/>
          <w:szCs w:val="24"/>
          <w:highlight w:val="none"/>
          <w:u w:val="none"/>
          <w:lang w:val="en-US" w:eastAsia="zh-CN" w:bidi="ar-SA"/>
        </w:rPr>
        <w:t>政府采购监督管理部门</w:t>
      </w:r>
      <w:r>
        <w:rPr>
          <w:rFonts w:hint="eastAsia" w:asciiTheme="minorEastAsia" w:hAnsiTheme="minorEastAsia" w:eastAsiaTheme="minorEastAsia"/>
          <w:color w:val="auto"/>
          <w:sz w:val="24"/>
          <w:highlight w:val="none"/>
        </w:rPr>
        <w:t>批准。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.1评标将在严格保密的情况下进行。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守评</w:t>
      </w:r>
      <w:r>
        <w:rPr>
          <w:rFonts w:hint="eastAsia" w:ascii="宋体" w:hAnsi="宋体" w:eastAsia="宋体"/>
          <w:color w:val="auto"/>
          <w:sz w:val="24"/>
          <w:highlight w:val="none"/>
        </w:rPr>
        <w:t>标</w:t>
      </w:r>
      <w:r>
        <w:rPr>
          <w:rFonts w:ascii="宋体" w:hAnsi="宋体" w:eastAsia="宋体"/>
          <w:color w:val="auto"/>
          <w:sz w:val="24"/>
          <w:highlight w:val="none"/>
        </w:rPr>
        <w:t>工作纪律，不得</w:t>
      </w:r>
      <w:r>
        <w:rPr>
          <w:rFonts w:hint="eastAsia" w:ascii="宋体" w:hAnsi="宋体" w:eastAsia="宋体"/>
          <w:color w:val="auto"/>
          <w:sz w:val="24"/>
          <w:highlight w:val="none"/>
        </w:rPr>
        <w:t>泄露</w:t>
      </w:r>
      <w:r>
        <w:rPr>
          <w:rFonts w:ascii="宋体" w:hAnsi="宋体" w:eastAsia="宋体"/>
          <w:color w:val="auto"/>
          <w:sz w:val="24"/>
          <w:highlight w:val="none"/>
        </w:rPr>
        <w:t>评</w:t>
      </w:r>
      <w:r>
        <w:rPr>
          <w:rFonts w:hint="eastAsia" w:ascii="宋体" w:hAnsi="宋体" w:eastAsia="宋体"/>
          <w:color w:val="auto"/>
          <w:sz w:val="24"/>
          <w:highlight w:val="none"/>
        </w:rPr>
        <w:t>标文件</w:t>
      </w:r>
      <w:r>
        <w:rPr>
          <w:rFonts w:ascii="宋体" w:hAnsi="宋体" w:eastAsia="宋体"/>
          <w:color w:val="auto"/>
          <w:sz w:val="24"/>
          <w:highlight w:val="none"/>
        </w:rPr>
        <w:t>、评</w:t>
      </w:r>
      <w:r>
        <w:rPr>
          <w:rFonts w:hint="eastAsia" w:ascii="宋体" w:hAnsi="宋体" w:eastAsia="宋体"/>
          <w:color w:val="auto"/>
          <w:sz w:val="24"/>
          <w:highlight w:val="none"/>
        </w:rPr>
        <w:t>标</w:t>
      </w:r>
      <w:r>
        <w:rPr>
          <w:rFonts w:ascii="宋体" w:hAnsi="宋体" w:eastAsia="宋体"/>
          <w:color w:val="auto"/>
          <w:sz w:val="24"/>
          <w:highlight w:val="none"/>
        </w:rPr>
        <w:t>情况和评</w:t>
      </w:r>
      <w:r>
        <w:rPr>
          <w:rFonts w:hint="eastAsia" w:ascii="宋体" w:hAnsi="宋体" w:eastAsia="宋体"/>
          <w:color w:val="auto"/>
          <w:sz w:val="24"/>
          <w:highlight w:val="none"/>
        </w:rPr>
        <w:t>标</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中标候选人的确定原则及标准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20.1</w:t>
      </w:r>
      <w:r>
        <w:rPr>
          <w:rFonts w:asciiTheme="minorEastAsia" w:hAnsiTheme="minorEastAsia" w:eastAsiaTheme="minorEastAsia"/>
          <w:color w:val="auto"/>
          <w:sz w:val="24"/>
          <w:highlight w:val="none"/>
        </w:rPr>
        <w:t>评</w:t>
      </w:r>
      <w:r>
        <w:rPr>
          <w:rFonts w:hint="eastAsia" w:asciiTheme="minorEastAsia" w:hAnsiTheme="minorEastAsia" w:eastAsiaTheme="minorEastAsia"/>
          <w:color w:val="auto"/>
          <w:sz w:val="24"/>
          <w:highlight w:val="none"/>
        </w:rPr>
        <w:t>标</w:t>
      </w:r>
      <w:r>
        <w:rPr>
          <w:rFonts w:asciiTheme="minorEastAsia" w:hAnsiTheme="minorEastAsia" w:eastAsiaTheme="minorEastAsia"/>
          <w:color w:val="auto"/>
          <w:sz w:val="24"/>
          <w:highlight w:val="none"/>
        </w:rPr>
        <w:t>委员会依据本项目招标文件所约定的评标方法，对实质上响应招标文件的投标人按下列方法进行排序</w:t>
      </w:r>
      <w:r>
        <w:rPr>
          <w:rFonts w:hint="eastAsia" w:asciiTheme="minorEastAsia" w:hAnsiTheme="minorEastAsia" w:eastAsiaTheme="minorEastAsia"/>
          <w:color w:val="auto"/>
          <w:sz w:val="24"/>
          <w:highlight w:val="none"/>
        </w:rPr>
        <w:t>，确定中标候选人</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1）采用最低评标价法的，除了算术修正和落实政府采购政策需进行的价格扣除外，不对投标人的投标价格进行任何调整。评标结果按修正和扣除后的投标报价由低到高顺序排列。修正和扣除后的投标报价</w:t>
      </w:r>
      <w:r>
        <w:rPr>
          <w:rFonts w:hint="eastAsia" w:asciiTheme="minorEastAsia" w:hAnsiTheme="minorEastAsia" w:eastAsiaTheme="minorEastAsia"/>
          <w:color w:val="auto"/>
          <w:sz w:val="24"/>
          <w:highlight w:val="none"/>
        </w:rPr>
        <w:t>出现两家或两家以上相同者，采取评标委员会随机抽取的方式确定中标候选顺序。</w:t>
      </w:r>
    </w:p>
    <w:p>
      <w:pPr>
        <w:spacing w:line="360" w:lineRule="auto"/>
        <w:ind w:firstLine="435"/>
        <w:rPr>
          <w:rFonts w:hint="default" w:eastAsiaTheme="minorEastAsia"/>
          <w:lang w:val="en-US" w:eastAsia="zh-CN"/>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2）采用综合评分法的，评标结果按评审后得分由高到低顺序排列。得分相同的，</w:t>
      </w:r>
      <w:r>
        <w:rPr>
          <w:rFonts w:hint="eastAsia" w:asciiTheme="minorEastAsia" w:hAnsiTheme="minorEastAsia" w:eastAsiaTheme="minorEastAsia"/>
          <w:color w:val="auto"/>
          <w:sz w:val="24"/>
          <w:highlight w:val="none"/>
        </w:rPr>
        <w:t>按投标报价由低到高顺序排列。</w:t>
      </w:r>
      <w:r>
        <w:rPr>
          <w:rFonts w:asciiTheme="minorEastAsia" w:hAnsiTheme="minorEastAsia" w:eastAsiaTheme="minorEastAsia"/>
          <w:color w:val="auto"/>
          <w:sz w:val="24"/>
          <w:highlight w:val="none"/>
        </w:rPr>
        <w:t>得分与投标报价均相同的</w:t>
      </w:r>
      <w:r>
        <w:rPr>
          <w:rFonts w:hint="eastAsia" w:asciiTheme="minorEastAsia" w:hAnsiTheme="minorEastAsia" w:eastAsiaTheme="minorEastAsia"/>
          <w:color w:val="auto"/>
          <w:sz w:val="24"/>
          <w:highlight w:val="none"/>
        </w:rPr>
        <w:t>，则采取评标委员会随机抽取的方式确定中标候选顺序。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确定中标候选人和中标人</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.1评标委员会将根据评标标准，按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中规定数量推荐中标候选人。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由评标委员会或采购人确定中标人。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因重大变故采购任务取消时，采购人有权拒绝任何投标人中标，且对受影响的投标人不承担任何责任。</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编写评标报告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报告是根据全体评标委员会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除</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规定由评标委员会直接确定中标</w:t>
      </w:r>
      <w:r>
        <w:rPr>
          <w:rFonts w:hint="eastAsia" w:asciiTheme="minorEastAsia" w:hAnsiTheme="minorEastAsia" w:eastAsiaTheme="minorEastAsia"/>
          <w:color w:val="auto"/>
          <w:sz w:val="24"/>
          <w:highlight w:val="none"/>
        </w:rPr>
        <w:t>人外，</w:t>
      </w:r>
      <w:r>
        <w:rPr>
          <w:rFonts w:asciiTheme="minorEastAsia" w:hAnsiTheme="minorEastAsia" w:eastAsiaTheme="minorEastAsia"/>
          <w:color w:val="auto"/>
          <w:sz w:val="24"/>
          <w:highlight w:val="none"/>
        </w:rPr>
        <w:t>在评标结束后2个工作日内</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采购代理机构将评标报告送采购人。采购人应当自收到评标报告之日起</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个工作日内，在评标报告确定的中标候选人名单中按顺序确定中标人。中标候选人并列的，由采购人或者采购人委托评标委员会按照招标文件规定的方式确定中标人；招标文件未规定的，采取随机抽取的方式确定。</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宋体" w:hAnsi="宋体" w:eastAsia="宋体"/>
          <w:color w:val="auto"/>
          <w:sz w:val="24"/>
          <w:szCs w:val="18"/>
          <w:highlight w:val="none"/>
        </w:rPr>
        <w:t>自中标人确定之日起2个工作日内，采购代理机构将在安徽省政府采购网（www.ccgp-anhui.gov.cn）上发布中标结果公告。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中标结果公告内容应当包括采购人及其委托的采购代理机构的名称、地址、联系方式，项目名称和项目编号，中标人名称、地址和中标金额，主要中标标的的名称、规格型号、数量、单价、服务要求，中标公告期限、评审专家名单以及</w:t>
      </w:r>
      <w:r>
        <w:rPr>
          <w:rFonts w:hint="eastAsia"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中约定进行公告的内容。中标公告期限为1个工作日。</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.1采购代理机构</w:t>
      </w:r>
      <w:r>
        <w:rPr>
          <w:rFonts w:ascii="宋体" w:hAnsi="宋体" w:eastAsia="宋体"/>
          <w:color w:val="auto"/>
          <w:sz w:val="24"/>
          <w:highlight w:val="none"/>
        </w:rPr>
        <w:t>发布</w:t>
      </w:r>
      <w:r>
        <w:rPr>
          <w:rFonts w:asciiTheme="minorEastAsia" w:hAnsiTheme="minorEastAsia" w:eastAsiaTheme="minorEastAsia"/>
          <w:color w:val="auto"/>
          <w:sz w:val="24"/>
          <w:highlight w:val="none"/>
        </w:rPr>
        <w:t>中标结果公告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形式向中标人发出中标通知书。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.2中标通知书对采购人和中标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具有同等法律效力。中标通知书发出以后，采购人改变中标结果或者中标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放弃中标，应当承担相应的法律责任。</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.3中标通知书是</w:t>
      </w:r>
      <w:r>
        <w:rPr>
          <w:rFonts w:ascii="宋体" w:hAnsi="宋体" w:eastAsia="宋体"/>
          <w:color w:val="auto"/>
          <w:sz w:val="24"/>
          <w:highlight w:val="none"/>
        </w:rPr>
        <w:t>合同</w:t>
      </w:r>
      <w:r>
        <w:rPr>
          <w:rFonts w:asciiTheme="minorEastAsia" w:hAnsiTheme="minorEastAsia" w:eastAsiaTheme="minorEastAsia"/>
          <w:color w:val="auto"/>
          <w:sz w:val="24"/>
          <w:highlight w:val="none"/>
        </w:rPr>
        <w:t>的组成部分。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告知招标结果</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在公告</w:t>
      </w:r>
      <w:r>
        <w:rPr>
          <w:rFonts w:asciiTheme="minorEastAsia" w:hAnsiTheme="minorEastAsia" w:eastAsiaTheme="minorEastAsia"/>
          <w:color w:val="auto"/>
          <w:sz w:val="24"/>
          <w:highlight w:val="none"/>
        </w:rPr>
        <w:t>中标结果的同时，采购代理机构同时以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hint="eastAsia" w:asciiTheme="minorEastAsia" w:hAnsiTheme="minorEastAsia" w:eastAsiaTheme="minorEastAsia"/>
          <w:color w:val="auto"/>
          <w:sz w:val="24"/>
          <w:highlight w:val="none"/>
        </w:rPr>
        <w:t>告知未通过资格审查的投标人未通过的原因；采用综合评分法评审的，还将告知未中标人本人的评审得分和排序。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.1中标人应按照</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宋体" w:hAnsi="宋体" w:eastAsia="宋体"/>
          <w:color w:val="auto"/>
          <w:sz w:val="24"/>
          <w:highlight w:val="none"/>
        </w:rPr>
        <w:t>如果</w:t>
      </w:r>
      <w:r>
        <w:rPr>
          <w:rFonts w:hint="eastAsia" w:asciiTheme="minorEastAsia" w:hAnsiTheme="minorEastAsia" w:eastAsiaTheme="minorEastAsia"/>
          <w:color w:val="auto"/>
          <w:sz w:val="24"/>
          <w:highlight w:val="none"/>
        </w:rPr>
        <w:t>中标人没有按照上述履约保证金的规定执行，将视为放弃中标资格。在此情况下，采购人可</w:t>
      </w:r>
      <w:r>
        <w:rPr>
          <w:rFonts w:asciiTheme="minorEastAsia" w:hAnsiTheme="minorEastAsia" w:eastAsiaTheme="minorEastAsia"/>
          <w:color w:val="auto"/>
          <w:sz w:val="24"/>
          <w:highlight w:val="none"/>
        </w:rPr>
        <w:t>确定下一</w:t>
      </w:r>
      <w:r>
        <w:rPr>
          <w:rFonts w:hint="eastAsia" w:ascii="宋体" w:hAnsi="宋体" w:eastAsia="宋体"/>
          <w:color w:val="auto"/>
          <w:sz w:val="24"/>
          <w:highlight w:val="none"/>
        </w:rPr>
        <w:t>中标</w:t>
      </w:r>
      <w:r>
        <w:rPr>
          <w:rFonts w:hint="eastAsia" w:asciiTheme="minorEastAsia" w:hAnsiTheme="minorEastAsia" w:eastAsiaTheme="minorEastAsia"/>
          <w:color w:val="auto"/>
          <w:sz w:val="24"/>
          <w:highlight w:val="none"/>
        </w:rPr>
        <w:t>候选</w:t>
      </w:r>
      <w:r>
        <w:rPr>
          <w:rFonts w:asciiTheme="minorEastAsia" w:hAnsiTheme="minorEastAsia" w:eastAsiaTheme="minorEastAsia"/>
          <w:color w:val="auto"/>
          <w:sz w:val="24"/>
          <w:highlight w:val="none"/>
        </w:rPr>
        <w:t>人为中标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，也可以重新开展采购活动。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采购人与中标人应当按照</w:t>
      </w:r>
      <w:r>
        <w:rPr>
          <w:rFonts w:hint="eastAsia" w:ascii="宋体" w:hAnsi="宋体" w:eastAsia="宋体" w:cs="宋体"/>
          <w:color w:val="auto"/>
          <w:sz w:val="24"/>
          <w:szCs w:val="24"/>
          <w:highlight w:val="none"/>
          <w:u w:val="single"/>
        </w:rPr>
        <w:t>投标人须知前附表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.2招标文件、中标人的投标文件及其澄清文件等，均为签订合同的依据。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3中</w:t>
      </w:r>
      <w:r>
        <w:rPr>
          <w:rFonts w:ascii="宋体" w:hAnsi="宋体" w:eastAsia="宋体"/>
          <w:color w:val="auto"/>
          <w:sz w:val="24"/>
          <w:highlight w:val="none"/>
        </w:rPr>
        <w:t>标</w:t>
      </w:r>
      <w:r>
        <w:rPr>
          <w:rFonts w:hint="eastAsia" w:ascii="宋体" w:hAnsi="宋体" w:eastAsia="宋体"/>
          <w:color w:val="auto"/>
          <w:sz w:val="24"/>
          <w:highlight w:val="none"/>
        </w:rPr>
        <w:t>人</w:t>
      </w:r>
      <w:r>
        <w:rPr>
          <w:rFonts w:ascii="宋体" w:hAnsi="宋体" w:eastAsia="宋体"/>
          <w:color w:val="auto"/>
          <w:sz w:val="24"/>
          <w:highlight w:val="none"/>
        </w:rPr>
        <w:t>拒绝与采购人签订合同的，采购人可以按照评审报告推荐的中标候选人</w:t>
      </w:r>
      <w:r>
        <w:rPr>
          <w:rFonts w:hint="eastAsia" w:ascii="宋体" w:hAnsi="宋体" w:eastAsia="宋体"/>
          <w:color w:val="auto"/>
          <w:sz w:val="24"/>
          <w:highlight w:val="none"/>
        </w:rPr>
        <w:t>名单</w:t>
      </w:r>
      <w:r>
        <w:rPr>
          <w:rFonts w:ascii="宋体" w:hAnsi="宋体" w:eastAsia="宋体"/>
          <w:color w:val="auto"/>
          <w:sz w:val="24"/>
          <w:highlight w:val="none"/>
        </w:rPr>
        <w:t>排序</w:t>
      </w:r>
      <w:r>
        <w:rPr>
          <w:rFonts w:hint="eastAsia" w:ascii="宋体" w:hAnsi="宋体" w:eastAsia="宋体"/>
          <w:color w:val="auto"/>
          <w:sz w:val="24"/>
          <w:highlight w:val="none"/>
        </w:rPr>
        <w:t>，</w:t>
      </w:r>
      <w:r>
        <w:rPr>
          <w:rFonts w:ascii="宋体" w:hAnsi="宋体" w:eastAsia="宋体"/>
          <w:color w:val="auto"/>
          <w:sz w:val="24"/>
          <w:highlight w:val="none"/>
        </w:rPr>
        <w:t>确定下一</w:t>
      </w:r>
      <w:r>
        <w:rPr>
          <w:rFonts w:hint="eastAsia" w:ascii="宋体" w:hAnsi="宋体" w:eastAsia="宋体"/>
          <w:color w:val="auto"/>
          <w:sz w:val="24"/>
          <w:highlight w:val="none"/>
        </w:rPr>
        <w:t>中标候选</w:t>
      </w:r>
      <w:r>
        <w:rPr>
          <w:rFonts w:ascii="宋体" w:hAnsi="宋体" w:eastAsia="宋体"/>
          <w:color w:val="auto"/>
          <w:sz w:val="24"/>
          <w:highlight w:val="none"/>
        </w:rPr>
        <w:t>人为中标</w:t>
      </w:r>
      <w:r>
        <w:rPr>
          <w:rFonts w:hint="eastAsia" w:ascii="宋体" w:hAnsi="宋体" w:eastAsia="宋体"/>
          <w:color w:val="auto"/>
          <w:sz w:val="24"/>
          <w:highlight w:val="none"/>
        </w:rPr>
        <w:t>人</w:t>
      </w:r>
      <w:r>
        <w:rPr>
          <w:rFonts w:ascii="宋体" w:hAnsi="宋体" w:eastAsia="宋体"/>
          <w:color w:val="auto"/>
          <w:sz w:val="24"/>
          <w:highlight w:val="none"/>
        </w:rPr>
        <w:t>，也可以重新开展政府采购活动。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w:t>
      </w:r>
      <w:r>
        <w:rPr>
          <w:rFonts w:hint="eastAsia" w:ascii="宋体" w:hAnsi="宋体" w:eastAsia="宋体"/>
          <w:color w:val="auto"/>
          <w:sz w:val="24"/>
          <w:highlight w:val="none"/>
        </w:rPr>
        <w:t>本项目</w:t>
      </w:r>
      <w:r>
        <w:rPr>
          <w:rFonts w:hint="eastAsia" w:ascii="宋体" w:hAnsi="宋体" w:eastAsia="宋体"/>
          <w:color w:val="auto"/>
          <w:sz w:val="24"/>
          <w:highlight w:val="none"/>
          <w:lang w:val="en-US" w:eastAsia="zh-CN"/>
        </w:rPr>
        <w:t>代理费用</w:t>
      </w:r>
      <w:r>
        <w:rPr>
          <w:rFonts w:hint="eastAsia" w:ascii="宋体" w:hAnsi="宋体" w:eastAsia="宋体"/>
          <w:color w:val="auto"/>
          <w:sz w:val="24"/>
          <w:highlight w:val="none"/>
        </w:rPr>
        <w:t>的收取按</w:t>
      </w:r>
      <w:r>
        <w:rPr>
          <w:rFonts w:hint="eastAsia" w:asciiTheme="minorEastAsia" w:hAnsiTheme="minorEastAsia" w:eastAsiaTheme="minorEastAsia"/>
          <w:color w:val="auto"/>
          <w:sz w:val="24"/>
          <w:highlight w:val="none"/>
          <w:u w:val="single"/>
        </w:rPr>
        <w:t>投标人须知前附表的</w:t>
      </w:r>
      <w:r>
        <w:rPr>
          <w:rFonts w:hint="eastAsia" w:ascii="宋体" w:hAnsi="宋体" w:eastAsia="宋体"/>
          <w:color w:val="auto"/>
          <w:sz w:val="24"/>
          <w:highlight w:val="none"/>
        </w:rPr>
        <w:t>规定执行</w:t>
      </w:r>
      <w:r>
        <w:rPr>
          <w:rFonts w:hint="eastAsia"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bookmarkStart w:id="29" w:name="_Toc2583661"/>
      <w:bookmarkStart w:id="30" w:name="_Toc518923100"/>
      <w:r>
        <w:rPr>
          <w:rFonts w:hint="eastAsia" w:asciiTheme="minorEastAsia" w:hAnsiTheme="minorEastAsia" w:eastAsiaTheme="minorEastAsia"/>
          <w:b/>
          <w:color w:val="auto"/>
          <w:sz w:val="24"/>
          <w:highlight w:val="none"/>
          <w:lang w:eastAsia="zh-CN"/>
        </w:rPr>
        <w:t>29.</w:t>
      </w:r>
      <w:r>
        <w:rPr>
          <w:rFonts w:hint="eastAsia" w:asciiTheme="minorEastAsia" w:hAnsiTheme="minorEastAsia" w:eastAsiaTheme="minorEastAsia"/>
          <w:b/>
          <w:color w:val="auto"/>
          <w:sz w:val="24"/>
          <w:highlight w:val="none"/>
        </w:rPr>
        <w:t>廉洁自律</w:t>
      </w:r>
      <w:r>
        <w:rPr>
          <w:rFonts w:asciiTheme="minorEastAsia" w:hAnsiTheme="minorEastAsia" w:eastAsiaTheme="minorEastAsia"/>
          <w:b/>
          <w:color w:val="auto"/>
          <w:sz w:val="24"/>
          <w:highlight w:val="none"/>
        </w:rPr>
        <w:t>规定</w:t>
      </w:r>
      <w:bookmarkEnd w:id="29"/>
      <w:bookmarkEnd w:id="30"/>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hint="eastAsia" w:ascii="宋体" w:hAnsi="宋体" w:eastAsia="宋体"/>
          <w:color w:val="auto"/>
          <w:sz w:val="24"/>
          <w:highlight w:val="none"/>
        </w:rPr>
        <w:t>1采购代理机构</w:t>
      </w:r>
      <w:r>
        <w:rPr>
          <w:rFonts w:ascii="宋体" w:hAnsi="宋体" w:eastAsia="宋体"/>
          <w:color w:val="auto"/>
          <w:sz w:val="24"/>
          <w:highlight w:val="none"/>
        </w:rPr>
        <w:t>工作人员</w:t>
      </w:r>
      <w:r>
        <w:rPr>
          <w:rFonts w:hint="eastAsia" w:ascii="宋体" w:hAnsi="宋体" w:eastAsia="宋体"/>
          <w:color w:val="auto"/>
          <w:sz w:val="24"/>
          <w:highlight w:val="none"/>
        </w:rPr>
        <w:t>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ascii="宋体" w:hAnsi="宋体" w:eastAsia="宋体"/>
          <w:color w:val="auto"/>
          <w:sz w:val="24"/>
          <w:highlight w:val="none"/>
        </w:rPr>
        <w:t>2</w:t>
      </w:r>
      <w:r>
        <w:rPr>
          <w:rFonts w:hint="eastAsia" w:ascii="宋体" w:hAnsi="宋体" w:eastAsia="宋体"/>
          <w:color w:val="auto"/>
          <w:sz w:val="24"/>
          <w:highlight w:val="none"/>
        </w:rPr>
        <w:t>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Theme="minorEastAsia" w:hAnsiTheme="minorEastAsia" w:eastAsiaTheme="minorEastAsia"/>
          <w:b/>
          <w:color w:val="auto"/>
          <w:sz w:val="24"/>
          <w:highlight w:val="none"/>
        </w:rPr>
      </w:pPr>
      <w:bookmarkStart w:id="31" w:name="_Toc2583662"/>
      <w:bookmarkStart w:id="32" w:name="_Toc518923101"/>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0</w:t>
      </w:r>
      <w:r>
        <w:rPr>
          <w:rFonts w:hint="eastAsia" w:asciiTheme="minorEastAsia" w:hAnsiTheme="minorEastAsia" w:eastAsiaTheme="minorEastAsia"/>
          <w:b/>
          <w:color w:val="auto"/>
          <w:sz w:val="24"/>
          <w:highlight w:val="none"/>
        </w:rPr>
        <w:t>.人员回避</w:t>
      </w:r>
      <w:bookmarkEnd w:id="31"/>
      <w:bookmarkEnd w:id="32"/>
    </w:p>
    <w:p>
      <w:pPr>
        <w:spacing w:line="360" w:lineRule="auto"/>
        <w:ind w:firstLine="435"/>
        <w:rPr>
          <w:rFonts w:ascii="仿宋_GB2312" w:hAnsi="宋体" w:eastAsia="仿宋_GB2312"/>
          <w:color w:val="auto"/>
          <w:sz w:val="24"/>
          <w:highlight w:val="none"/>
        </w:rPr>
      </w:pPr>
      <w:r>
        <w:rPr>
          <w:rFonts w:hint="eastAsia" w:ascii="宋体" w:hAnsi="宋体" w:eastAsia="宋体"/>
          <w:color w:val="auto"/>
          <w:sz w:val="24"/>
          <w:highlight w:val="none"/>
        </w:rPr>
        <w:t>投标人</w:t>
      </w:r>
      <w:r>
        <w:rPr>
          <w:rFonts w:ascii="宋体" w:hAnsi="宋体" w:eastAsia="宋体"/>
          <w:color w:val="auto"/>
          <w:sz w:val="24"/>
          <w:highlight w:val="none"/>
        </w:rPr>
        <w:t>认为采购人员</w:t>
      </w:r>
      <w:r>
        <w:rPr>
          <w:rFonts w:hint="eastAsia" w:ascii="宋体" w:hAnsi="宋体" w:eastAsia="宋体"/>
          <w:color w:val="auto"/>
          <w:sz w:val="24"/>
          <w:highlight w:val="none"/>
        </w:rPr>
        <w:t>及其</w:t>
      </w:r>
      <w:r>
        <w:rPr>
          <w:rFonts w:ascii="宋体" w:hAnsi="宋体" w:eastAsia="宋体"/>
          <w:color w:val="auto"/>
          <w:sz w:val="24"/>
          <w:highlight w:val="none"/>
        </w:rPr>
        <w:t>相关人员有</w:t>
      </w:r>
      <w:r>
        <w:rPr>
          <w:rFonts w:hint="eastAsia" w:ascii="宋体" w:hAnsi="宋体" w:eastAsia="宋体"/>
          <w:color w:val="auto"/>
          <w:sz w:val="24"/>
          <w:highlight w:val="none"/>
        </w:rPr>
        <w:t>法律</w:t>
      </w:r>
      <w:r>
        <w:rPr>
          <w:rFonts w:ascii="宋体" w:hAnsi="宋体" w:eastAsia="宋体"/>
          <w:color w:val="auto"/>
          <w:sz w:val="24"/>
          <w:highlight w:val="none"/>
        </w:rPr>
        <w:t>法规所列与其他供应商</w:t>
      </w:r>
      <w:r>
        <w:rPr>
          <w:rFonts w:hint="eastAsia" w:ascii="宋体" w:hAnsi="宋体" w:eastAsia="宋体"/>
          <w:color w:val="auto"/>
          <w:sz w:val="24"/>
          <w:highlight w:val="none"/>
        </w:rPr>
        <w:t>有</w:t>
      </w:r>
      <w:r>
        <w:rPr>
          <w:rFonts w:ascii="宋体" w:hAnsi="宋体" w:eastAsia="宋体"/>
          <w:color w:val="auto"/>
          <w:sz w:val="24"/>
          <w:highlight w:val="none"/>
        </w:rPr>
        <w:t>利害关系的，可以向</w:t>
      </w:r>
      <w:r>
        <w:rPr>
          <w:rFonts w:hint="eastAsia" w:ascii="宋体" w:hAnsi="宋体" w:eastAsia="宋体"/>
          <w:color w:val="auto"/>
          <w:sz w:val="24"/>
          <w:highlight w:val="none"/>
        </w:rPr>
        <w:t>采购人或</w:t>
      </w:r>
      <w:r>
        <w:rPr>
          <w:rFonts w:ascii="宋体" w:hAnsi="宋体" w:eastAsia="宋体"/>
          <w:color w:val="auto"/>
          <w:sz w:val="24"/>
          <w:highlight w:val="none"/>
        </w:rPr>
        <w:t>采购代理机构书面提出回避申请，并说明理由。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质疑的提出与接收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.1投标人认为招标文件、招标过程和中标结果使自己的权益受到损害的，可以在知道或者应知其权益受到损害之日起七个工作日内，以书面形式向采购人或其委托的采购代理机构提出质疑。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供应商质疑函范本》格式（详见招标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投标人须知前附表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numPr>
          <w:ilvl w:val="0"/>
          <w:numId w:val="1"/>
        </w:numPr>
        <w:spacing w:line="360" w:lineRule="auto"/>
        <w:jc w:val="center"/>
        <w:outlineLvl w:val="0"/>
        <w:rPr>
          <w:rFonts w:hint="eastAsia" w:asciiTheme="minorEastAsia" w:hAnsiTheme="minorEastAsia" w:eastAsiaTheme="minorEastAsia"/>
          <w:b/>
          <w:color w:val="auto"/>
          <w:sz w:val="28"/>
          <w:highlight w:val="none"/>
          <w:lang w:eastAsia="zh-CN"/>
        </w:rPr>
      </w:pPr>
      <w:r>
        <w:rPr>
          <w:rFonts w:hint="eastAsia" w:asciiTheme="minorEastAsia" w:hAnsiTheme="minorEastAsia" w:eastAsiaTheme="minorEastAsia"/>
          <w:b/>
          <w:color w:val="auto"/>
          <w:sz w:val="28"/>
          <w:highlight w:val="none"/>
        </w:rPr>
        <w:t xml:space="preserve"> </w:t>
      </w:r>
      <w:bookmarkStart w:id="33" w:name="_Toc22605"/>
      <w:r>
        <w:rPr>
          <w:rFonts w:hint="eastAsia" w:asciiTheme="minorEastAsia" w:hAnsiTheme="minorEastAsia" w:eastAsiaTheme="minorEastAsia"/>
          <w:b/>
          <w:color w:val="auto"/>
          <w:sz w:val="28"/>
          <w:highlight w:val="none"/>
        </w:rPr>
        <w:t>采购需求</w:t>
      </w:r>
      <w:bookmarkEnd w:id="33"/>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本采购需求中提出的服务方案仅为参考，如无明确限制，投标人可以进行优化，提供满足采购人实际需要的更优（或者性能实质上不低于的）服务方案，且此方案须经评标委员会评审认可。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bCs/>
          <w:color w:val="auto"/>
          <w:sz w:val="24"/>
          <w:szCs w:val="18"/>
          <w:highlight w:val="none"/>
        </w:rPr>
      </w:pPr>
      <w:r>
        <w:rPr>
          <w:rFonts w:hint="eastAsia" w:ascii="宋体" w:hAnsi="宋体" w:eastAsia="宋体" w:cs="宋体"/>
          <w:color w:val="auto"/>
          <w:sz w:val="24"/>
          <w:szCs w:val="24"/>
          <w:highlight w:val="none"/>
        </w:rPr>
        <w:t>3.如采购人允许采用分包方式履行合同的，应当明确可以分包履行的相关内容。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4" w:name="_Toc4148"/>
      <w:bookmarkStart w:id="35" w:name="_Toc21798"/>
      <w:bookmarkStart w:id="36" w:name="_Hlk23621890"/>
      <w:r>
        <w:rPr>
          <w:rFonts w:hint="eastAsia" w:ascii="宋体" w:hAnsi="宋体" w:eastAsia="宋体"/>
          <w:b/>
          <w:color w:val="auto"/>
          <w:sz w:val="24"/>
          <w:szCs w:val="18"/>
          <w:highlight w:val="none"/>
        </w:rPr>
        <w:t>一、采购需求前附表</w:t>
      </w:r>
      <w:bookmarkEnd w:id="34"/>
      <w:bookmarkEnd w:id="35"/>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29"/>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29"/>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服务地点</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服务期限</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4</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本项目采购标的名称及所属行业</w:t>
            </w:r>
          </w:p>
        </w:tc>
        <w:tc>
          <w:tcPr>
            <w:tcW w:w="3216" w:type="pct"/>
            <w:vAlign w:val="center"/>
          </w:tcPr>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包：</w:t>
            </w:r>
            <w:r>
              <w:rPr>
                <w:rFonts w:hint="eastAsia" w:asciiTheme="minorEastAsia" w:hAnsiTheme="minorEastAsia" w:eastAsiaTheme="minorEastAsia"/>
                <w:color w:val="FF0000"/>
                <w:sz w:val="24"/>
                <w:highlight w:val="none"/>
              </w:rPr>
              <w:t>（</w:t>
            </w:r>
            <w:r>
              <w:rPr>
                <w:rFonts w:hint="eastAsia" w:asciiTheme="minorEastAsia" w:hAnsiTheme="minorEastAsia" w:eastAsiaTheme="minorEastAsia"/>
                <w:i/>
                <w:iCs/>
                <w:color w:val="FF0000"/>
                <w:sz w:val="24"/>
                <w:highlight w:val="none"/>
              </w:rPr>
              <w:t>不分包项目</w:t>
            </w:r>
            <w:r>
              <w:rPr>
                <w:rFonts w:hint="eastAsia" w:asciiTheme="minorEastAsia" w:hAnsiTheme="minorEastAsia" w:eastAsiaTheme="minorEastAsia"/>
                <w:i/>
                <w:iCs/>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请删去本行</w:t>
            </w:r>
            <w:r>
              <w:rPr>
                <w:rFonts w:hint="eastAsia" w:asciiTheme="minorEastAsia" w:hAnsiTheme="minorEastAsia" w:eastAsiaTheme="minorEastAsia"/>
                <w:i/>
                <w:iCs/>
                <w:color w:val="FF0000"/>
                <w:sz w:val="24"/>
                <w:highlight w:val="none"/>
              </w:rPr>
              <w:t>）</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标的名称：</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w:t>
            </w:r>
          </w:p>
        </w:tc>
      </w:tr>
    </w:tbl>
    <w:p>
      <w:pPr>
        <w:numPr>
          <w:ilvl w:val="0"/>
          <w:numId w:val="0"/>
        </w:numPr>
        <w:spacing w:line="360" w:lineRule="auto"/>
        <w:outlineLvl w:val="9"/>
        <w:rPr>
          <w:rFonts w:hint="eastAsia" w:ascii="宋体" w:hAnsi="宋体" w:eastAsia="宋体"/>
          <w:b/>
          <w:color w:val="auto"/>
          <w:sz w:val="24"/>
          <w:szCs w:val="18"/>
          <w:highlight w:val="none"/>
          <w:lang w:val="en-US" w:eastAsia="zh-CN"/>
        </w:rPr>
      </w:pPr>
      <w:bookmarkStart w:id="37" w:name="_Toc16543"/>
      <w:bookmarkStart w:id="38" w:name="_Hlk16461016"/>
    </w:p>
    <w:p>
      <w:pPr>
        <w:numPr>
          <w:ilvl w:val="0"/>
          <w:numId w:val="0"/>
        </w:numPr>
        <w:spacing w:line="360" w:lineRule="auto"/>
        <w:ind w:firstLine="482" w:firstLineChars="200"/>
        <w:outlineLvl w:val="1"/>
        <w:rPr>
          <w:rFonts w:hint="eastAsia" w:ascii="宋体" w:hAnsi="宋体" w:eastAsia="宋体"/>
          <w:b/>
          <w:color w:val="auto"/>
          <w:sz w:val="24"/>
          <w:szCs w:val="18"/>
          <w:highlight w:val="none"/>
        </w:rPr>
      </w:pPr>
      <w:bookmarkStart w:id="39" w:name="_Toc8753"/>
      <w:r>
        <w:rPr>
          <w:rFonts w:hint="eastAsia" w:ascii="宋体" w:hAnsi="宋体" w:eastAsia="宋体"/>
          <w:b/>
          <w:color w:val="auto"/>
          <w:sz w:val="24"/>
          <w:szCs w:val="18"/>
          <w:highlight w:val="none"/>
          <w:lang w:val="en-US" w:eastAsia="zh-CN"/>
        </w:rPr>
        <w:t>二、</w:t>
      </w:r>
      <w:r>
        <w:rPr>
          <w:rFonts w:hint="eastAsia" w:ascii="宋体" w:hAnsi="宋体" w:eastAsia="宋体"/>
          <w:b/>
          <w:color w:val="auto"/>
          <w:sz w:val="24"/>
          <w:szCs w:val="18"/>
          <w:highlight w:val="none"/>
        </w:rPr>
        <w:t>项目概况</w:t>
      </w:r>
      <w:bookmarkEnd w:id="37"/>
      <w:bookmarkEnd w:id="39"/>
    </w:p>
    <w:p>
      <w:pPr>
        <w:pStyle w:val="2"/>
        <w:numPr>
          <w:ilvl w:val="0"/>
          <w:numId w:val="0"/>
        </w:numPr>
        <w:rPr>
          <w:rFonts w:hint="eastAsia"/>
        </w:rPr>
      </w:pPr>
    </w:p>
    <w:p>
      <w:pPr>
        <w:numPr>
          <w:ilvl w:val="0"/>
          <w:numId w:val="0"/>
        </w:numPr>
        <w:spacing w:line="360" w:lineRule="auto"/>
        <w:ind w:left="437" w:leftChars="0"/>
        <w:outlineLvl w:val="1"/>
        <w:rPr>
          <w:rFonts w:hint="eastAsia" w:ascii="宋体" w:hAnsi="宋体" w:eastAsia="宋体"/>
          <w:b/>
          <w:color w:val="auto"/>
          <w:sz w:val="24"/>
          <w:szCs w:val="18"/>
          <w:highlight w:val="none"/>
        </w:rPr>
      </w:pPr>
      <w:bookmarkStart w:id="40" w:name="_Toc13016"/>
      <w:bookmarkStart w:id="41" w:name="_Toc27920"/>
      <w:r>
        <w:rPr>
          <w:rFonts w:hint="eastAsia" w:ascii="宋体" w:hAnsi="宋体" w:eastAsia="宋体"/>
          <w:b/>
          <w:color w:val="auto"/>
          <w:sz w:val="24"/>
          <w:szCs w:val="18"/>
          <w:highlight w:val="none"/>
          <w:lang w:val="en-US" w:eastAsia="zh-CN"/>
        </w:rPr>
        <w:t>三、</w:t>
      </w:r>
      <w:r>
        <w:rPr>
          <w:rFonts w:hint="eastAsia" w:ascii="宋体" w:hAnsi="宋体" w:eastAsia="宋体"/>
          <w:b/>
          <w:color w:val="auto"/>
          <w:sz w:val="24"/>
          <w:szCs w:val="18"/>
          <w:highlight w:val="none"/>
        </w:rPr>
        <w:t>服务需求</w:t>
      </w:r>
      <w:bookmarkEnd w:id="40"/>
      <w:bookmarkEnd w:id="41"/>
    </w:p>
    <w:p>
      <w:pPr>
        <w:pStyle w:val="2"/>
        <w:numPr>
          <w:ilvl w:val="0"/>
          <w:numId w:val="0"/>
        </w:numPr>
        <w:ind w:left="437" w:leftChars="0"/>
        <w:rPr>
          <w:rFonts w:hint="eastAsia"/>
        </w:rPr>
      </w:pPr>
    </w:p>
    <w:p>
      <w:pPr>
        <w:numPr>
          <w:ilvl w:val="0"/>
          <w:numId w:val="0"/>
        </w:numPr>
        <w:spacing w:line="360" w:lineRule="auto"/>
        <w:ind w:left="437" w:leftChars="0"/>
        <w:outlineLvl w:val="1"/>
        <w:rPr>
          <w:rFonts w:hint="eastAsia" w:ascii="宋体" w:hAnsi="宋体" w:eastAsia="宋体"/>
          <w:b/>
          <w:color w:val="auto"/>
          <w:sz w:val="24"/>
          <w:szCs w:val="18"/>
          <w:highlight w:val="none"/>
        </w:rPr>
      </w:pPr>
      <w:bookmarkStart w:id="42" w:name="_Toc20717"/>
      <w:bookmarkStart w:id="43" w:name="_Toc16414"/>
      <w:r>
        <w:rPr>
          <w:rFonts w:hint="eastAsia" w:ascii="宋体" w:hAnsi="宋体" w:eastAsia="宋体"/>
          <w:b/>
          <w:color w:val="auto"/>
          <w:sz w:val="24"/>
          <w:szCs w:val="18"/>
          <w:highlight w:val="none"/>
          <w:lang w:val="en-US" w:eastAsia="zh-CN"/>
        </w:rPr>
        <w:br w:type="textWrapping"/>
      </w:r>
      <w:r>
        <w:rPr>
          <w:rFonts w:hint="eastAsia" w:ascii="宋体" w:hAnsi="宋体" w:eastAsia="宋体"/>
          <w:b/>
          <w:color w:val="auto"/>
          <w:sz w:val="24"/>
          <w:szCs w:val="18"/>
          <w:highlight w:val="none"/>
          <w:lang w:val="en-US" w:eastAsia="zh-CN"/>
        </w:rPr>
        <w:t>四、</w:t>
      </w:r>
      <w:r>
        <w:rPr>
          <w:rFonts w:hint="eastAsia" w:ascii="宋体" w:hAnsi="宋体" w:eastAsia="宋体"/>
          <w:b/>
          <w:color w:val="auto"/>
          <w:sz w:val="24"/>
          <w:szCs w:val="18"/>
          <w:highlight w:val="none"/>
        </w:rPr>
        <w:t>报价要求</w:t>
      </w:r>
      <w:bookmarkEnd w:id="42"/>
      <w:bookmarkEnd w:id="43"/>
    </w:p>
    <w:p>
      <w:pPr>
        <w:pStyle w:val="2"/>
        <w:numPr>
          <w:ilvl w:val="0"/>
          <w:numId w:val="0"/>
        </w:numPr>
        <w:ind w:left="437" w:leftChars="0"/>
        <w:rPr>
          <w:rFonts w:hint="eastAsia"/>
        </w:rPr>
      </w:pPr>
    </w:p>
    <w:p>
      <w:pPr>
        <w:spacing w:line="360" w:lineRule="auto"/>
        <w:ind w:firstLine="437"/>
        <w:outlineLvl w:val="1"/>
        <w:rPr>
          <w:rFonts w:hint="eastAsia" w:ascii="宋体" w:hAnsi="宋体" w:eastAsia="宋体"/>
          <w:b/>
          <w:color w:val="auto"/>
          <w:sz w:val="24"/>
          <w:szCs w:val="18"/>
          <w:highlight w:val="none"/>
        </w:rPr>
      </w:pPr>
      <w:bookmarkStart w:id="44" w:name="_Toc18794"/>
      <w:bookmarkStart w:id="45" w:name="_Toc8283"/>
      <w:r>
        <w:rPr>
          <w:rFonts w:hint="eastAsia" w:ascii="宋体" w:hAnsi="宋体" w:eastAsia="宋体"/>
          <w:b/>
          <w:color w:val="auto"/>
          <w:sz w:val="24"/>
          <w:szCs w:val="18"/>
          <w:highlight w:val="none"/>
        </w:rPr>
        <w:t>五、其他要求</w:t>
      </w:r>
      <w:bookmarkEnd w:id="44"/>
      <w:bookmarkEnd w:id="45"/>
    </w:p>
    <w:bookmarkEnd w:id="36"/>
    <w:bookmarkEnd w:id="38"/>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6" w:name="_Toc3538"/>
      <w:r>
        <w:rPr>
          <w:rFonts w:hint="eastAsia" w:asciiTheme="minorEastAsia" w:hAnsiTheme="minorEastAsia" w:eastAsiaTheme="minorEastAsia"/>
          <w:b/>
          <w:color w:val="auto"/>
          <w:sz w:val="28"/>
          <w:highlight w:val="none"/>
        </w:rPr>
        <w:t>第四章  评标方法和标准（最低评标价法）</w:t>
      </w:r>
      <w:bookmarkEnd w:id="46"/>
    </w:p>
    <w:p>
      <w:pPr>
        <w:spacing w:line="360" w:lineRule="auto"/>
        <w:ind w:firstLine="437"/>
        <w:outlineLvl w:val="1"/>
        <w:rPr>
          <w:rFonts w:asciiTheme="minorEastAsia" w:hAnsiTheme="minorEastAsia" w:eastAsiaTheme="minorEastAsia"/>
          <w:b/>
          <w:color w:val="auto"/>
          <w:sz w:val="24"/>
          <w:highlight w:val="none"/>
        </w:rPr>
      </w:pPr>
      <w:bookmarkStart w:id="47" w:name="_Toc6560"/>
      <w:bookmarkStart w:id="48" w:name="_Toc10401"/>
      <w:r>
        <w:rPr>
          <w:rFonts w:hint="eastAsia" w:asciiTheme="minorEastAsia" w:hAnsiTheme="minorEastAsia" w:eastAsiaTheme="minorEastAsia"/>
          <w:b/>
          <w:color w:val="auto"/>
          <w:sz w:val="24"/>
          <w:highlight w:val="none"/>
        </w:rPr>
        <w:t>一、总则</w:t>
      </w:r>
      <w:bookmarkEnd w:id="47"/>
      <w:bookmarkEnd w:id="48"/>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49" w:name="_Toc17743"/>
      <w:bookmarkStart w:id="50" w:name="_Toc28533"/>
      <w:r>
        <w:rPr>
          <w:rFonts w:hint="eastAsia" w:asciiTheme="minorEastAsia" w:hAnsiTheme="minorEastAsia" w:eastAsiaTheme="minorEastAsia"/>
          <w:b/>
          <w:color w:val="auto"/>
          <w:sz w:val="24"/>
          <w:highlight w:val="none"/>
        </w:rPr>
        <w:t>二、评标方法</w:t>
      </w:r>
      <w:bookmarkEnd w:id="49"/>
      <w:bookmarkEnd w:id="50"/>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1"/>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810"/>
        <w:gridCol w:w="5001"/>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810" w:type="dxa"/>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rightChars="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5001" w:type="dxa"/>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2066" w:type="dxa"/>
            <w:tcBorders>
              <w:bottom w:val="single" w:color="auto" w:sz="4" w:space="0"/>
            </w:tcBorders>
            <w:vAlign w:val="center"/>
          </w:tcPr>
          <w:p>
            <w:pPr>
              <w:adjustRightInd w:val="0"/>
              <w:snapToGrid w:val="0"/>
              <w:spacing w:line="360" w:lineRule="auto"/>
              <w:ind w:right="-10" w:rightChars="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after="50" w:line="360" w:lineRule="auto"/>
              <w:ind w:right="-10" w:rightChars="0"/>
              <w:jc w:val="left"/>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r>
              <w:rPr>
                <w:rFonts w:hint="eastAsia" w:ascii="宋体" w:hAnsi="宋体" w:eastAsia="宋体" w:cs="宋体"/>
                <w:sz w:val="24"/>
                <w:szCs w:val="24"/>
                <w:lang w:val="en-US" w:eastAsia="zh-CN"/>
              </w:rPr>
              <w:t xml:space="preserve"> </w:t>
            </w:r>
          </w:p>
        </w:tc>
        <w:tc>
          <w:tcPr>
            <w:tcW w:w="1074"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4"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4"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4"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4"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bookmarkStart w:id="51" w:name="_Hlk16461707"/>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bookmarkEnd w:id="51"/>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321"/>
        <w:gridCol w:w="3430"/>
        <w:gridCol w:w="2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地点、</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期限</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2321" w:type="dxa"/>
            <w:vAlign w:val="center"/>
          </w:tcPr>
          <w:p>
            <w:pPr>
              <w:spacing w:line="360" w:lineRule="auto"/>
              <w:outlineLvl w:val="2"/>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技术</w:t>
            </w:r>
            <w:r>
              <w:rPr>
                <w:rFonts w:hint="eastAsia" w:asciiTheme="minorEastAsia" w:hAnsiTheme="minorEastAsia" w:eastAsiaTheme="minorEastAsia"/>
                <w:color w:val="auto"/>
                <w:sz w:val="24"/>
                <w:szCs w:val="28"/>
                <w:highlight w:val="none"/>
              </w:rPr>
              <w:t>响应情况</w:t>
            </w:r>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p>
        </w:tc>
        <w:tc>
          <w:tcPr>
            <w:tcW w:w="3430"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符合招标文件采购需求中货物技术参数</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符合法律、行政法规规定的其他条件或招标文件列明的其他</w:t>
            </w:r>
            <w:r>
              <w:rPr>
                <w:rFonts w:hint="eastAsia" w:asciiTheme="minorEastAsia" w:hAnsiTheme="minorEastAsia" w:eastAsiaTheme="minorEastAsia"/>
                <w:color w:val="auto"/>
                <w:sz w:val="24"/>
                <w:szCs w:val="28"/>
                <w:highlight w:val="none"/>
                <w:lang w:val="en-US" w:eastAsia="zh-CN"/>
              </w:rPr>
              <w:t>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widowControl/>
        <w:jc w:val="left"/>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2" w:name="_Toc30824"/>
      <w:r>
        <w:rPr>
          <w:rFonts w:hint="eastAsia" w:asciiTheme="minorEastAsia" w:hAnsiTheme="minorEastAsia" w:eastAsiaTheme="minorEastAsia"/>
          <w:b/>
          <w:color w:val="auto"/>
          <w:sz w:val="28"/>
          <w:highlight w:val="none"/>
        </w:rPr>
        <w:t>第四章  评标方法和标准（综合评分法）</w:t>
      </w:r>
      <w:bookmarkEnd w:id="52"/>
    </w:p>
    <w:p>
      <w:pPr>
        <w:spacing w:line="360" w:lineRule="auto"/>
        <w:ind w:firstLine="437"/>
        <w:outlineLvl w:val="1"/>
        <w:rPr>
          <w:rFonts w:asciiTheme="minorEastAsia" w:hAnsiTheme="minorEastAsia" w:eastAsiaTheme="minorEastAsia"/>
          <w:b/>
          <w:color w:val="auto"/>
          <w:sz w:val="24"/>
          <w:highlight w:val="none"/>
        </w:rPr>
      </w:pPr>
      <w:bookmarkStart w:id="53" w:name="_Toc11823"/>
      <w:bookmarkStart w:id="54" w:name="_Toc4705"/>
      <w:r>
        <w:rPr>
          <w:rFonts w:hint="eastAsia" w:asciiTheme="minorEastAsia" w:hAnsiTheme="minorEastAsia" w:eastAsiaTheme="minorEastAsia"/>
          <w:b/>
          <w:color w:val="auto"/>
          <w:sz w:val="24"/>
          <w:highlight w:val="none"/>
        </w:rPr>
        <w:t>一、总则</w:t>
      </w:r>
      <w:bookmarkEnd w:id="53"/>
      <w:bookmarkEnd w:id="54"/>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 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55" w:name="_Toc32410"/>
      <w:bookmarkStart w:id="56" w:name="_Toc31871"/>
      <w:r>
        <w:rPr>
          <w:rFonts w:hint="eastAsia" w:asciiTheme="minorEastAsia" w:hAnsiTheme="minorEastAsia" w:eastAsiaTheme="minorEastAsia"/>
          <w:b/>
          <w:color w:val="auto"/>
          <w:sz w:val="24"/>
          <w:highlight w:val="none"/>
        </w:rPr>
        <w:t>二、评标方法</w:t>
      </w:r>
      <w:bookmarkEnd w:id="55"/>
      <w:bookmarkEnd w:id="56"/>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1"/>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810"/>
        <w:gridCol w:w="5001"/>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审查因素</w:t>
            </w:r>
          </w:p>
        </w:tc>
        <w:tc>
          <w:tcPr>
            <w:tcW w:w="2603"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审查内容</w:t>
            </w:r>
          </w:p>
        </w:tc>
        <w:tc>
          <w:tcPr>
            <w:tcW w:w="107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4"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4"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4"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4"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4"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321"/>
        <w:gridCol w:w="3430"/>
        <w:gridCol w:w="2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地点、</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期限</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line="360" w:lineRule="auto"/>
              <w:outlineLvl w:val="2"/>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技术</w:t>
            </w:r>
            <w:r>
              <w:rPr>
                <w:rFonts w:hint="eastAsia" w:asciiTheme="minorEastAsia" w:hAnsiTheme="minorEastAsia" w:eastAsiaTheme="minorEastAsia"/>
                <w:color w:val="auto"/>
                <w:sz w:val="24"/>
                <w:szCs w:val="28"/>
                <w:highlight w:val="none"/>
              </w:rPr>
              <w:t>响应情况</w:t>
            </w:r>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符合招标文件采购需求中货物技术参数</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符合法律、行政法规规定的其他条件或招标文件列明的其他</w:t>
            </w:r>
            <w:r>
              <w:rPr>
                <w:rFonts w:hint="eastAsia" w:asciiTheme="minorEastAsia" w:hAnsiTheme="minorEastAsia" w:eastAsiaTheme="minorEastAsia"/>
                <w:color w:val="auto"/>
                <w:sz w:val="24"/>
                <w:szCs w:val="28"/>
                <w:highlight w:val="none"/>
                <w:lang w:val="en-US" w:eastAsia="zh-CN"/>
              </w:rPr>
              <w:t>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2.3详细审查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.3.1</w:t>
      </w:r>
      <w:r>
        <w:rPr>
          <w:rFonts w:hint="eastAsia" w:asciiTheme="minorEastAsia" w:hAnsiTheme="minorEastAsia" w:eastAsiaTheme="minorEastAsia"/>
          <w:color w:val="auto"/>
          <w:sz w:val="24"/>
          <w:highlight w:val="none"/>
        </w:rPr>
        <w:t>评标委员会按照下表对投标文件进行详细审查和评分。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9"/>
        <w:gridCol w:w="1886"/>
        <w:gridCol w:w="4107"/>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价格分统一采用低价优先法，即满足招标文件要求且投标价格最低的投标报价为评标基准价，其价格分为满分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分。其他投标人的价格分统一按照下列公式计算：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投标报价得分＝（评标基准价/投标报价）×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评标委员会各成员应当独立对每个</w:t>
      </w:r>
      <w:r>
        <w:rPr>
          <w:rFonts w:hint="eastAsia" w:asciiTheme="minorEastAsia" w:hAnsiTheme="minorEastAsia" w:eastAsiaTheme="minorEastAsia"/>
          <w:color w:val="auto"/>
          <w:sz w:val="24"/>
          <w:highlight w:val="none"/>
        </w:rPr>
        <w:t>有效</w:t>
      </w:r>
      <w:r>
        <w:rPr>
          <w:rFonts w:asciiTheme="minorEastAsia" w:hAnsiTheme="minorEastAsia" w:eastAsiaTheme="minorEastAsia"/>
          <w:color w:val="auto"/>
          <w:sz w:val="24"/>
          <w:highlight w:val="none"/>
        </w:rPr>
        <w:t>投标人的投标文件进行评</w:t>
      </w:r>
      <w:r>
        <w:rPr>
          <w:rFonts w:hint="eastAsia" w:asciiTheme="minorEastAsia" w:hAnsiTheme="minorEastAsia" w:eastAsiaTheme="minorEastAsia"/>
          <w:color w:val="auto"/>
          <w:sz w:val="24"/>
          <w:highlight w:val="none"/>
        </w:rPr>
        <w:t>分</w:t>
      </w:r>
      <w:r>
        <w:rPr>
          <w:rFonts w:asciiTheme="minorEastAsia" w:hAnsiTheme="minorEastAsia" w:eastAsiaTheme="minorEastAsia"/>
          <w:color w:val="auto"/>
          <w:sz w:val="24"/>
          <w:highlight w:val="none"/>
        </w:rPr>
        <w:t>，并汇总每个投</w:t>
      </w:r>
      <w:r>
        <w:rPr>
          <w:rFonts w:hint="eastAsia" w:asciiTheme="minorEastAsia" w:hAnsiTheme="minorEastAsia" w:eastAsiaTheme="minorEastAsia"/>
          <w:color w:val="auto"/>
          <w:sz w:val="24"/>
          <w:highlight w:val="none"/>
        </w:rPr>
        <w:t>标人的得分。取各位评委评分之平均值，四舍五入保留至小数点后两位数，</w:t>
      </w:r>
      <w:r>
        <w:rPr>
          <w:rFonts w:asciiTheme="minorEastAsia" w:hAnsiTheme="minorEastAsia" w:eastAsiaTheme="minorEastAsia"/>
          <w:color w:val="auto"/>
          <w:sz w:val="24"/>
          <w:highlight w:val="none"/>
        </w:rPr>
        <w:t>得到该投标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将投标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的技术资信分加上根据上述标准计算出的价格分，即为该投标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的综合总得分。</w:t>
      </w: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57" w:name="_Toc20405"/>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57"/>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bookmarkStart w:id="58" w:name="_Toc331685784"/>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p>
    <w:p>
      <w:pPr>
        <w:pStyle w:val="2"/>
      </w:pPr>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59" w:name="_Toc3714"/>
      <w:r>
        <w:rPr>
          <w:rFonts w:cs="Times New Roman" w:asciiTheme="minorEastAsia" w:hAnsiTheme="minorEastAsia" w:eastAsiaTheme="minorEastAsia"/>
          <w:b/>
          <w:color w:val="000000" w:themeColor="text1"/>
          <w:sz w:val="28"/>
          <w:szCs w:val="28"/>
          <w14:textFill>
            <w14:solidFill>
              <w14:schemeClr w14:val="tx1"/>
            </w14:solidFill>
          </w14:textFill>
        </w:rPr>
        <w:t>政府采购合同</w:t>
      </w:r>
      <w:r>
        <w:rPr>
          <w:rFonts w:hint="eastAsia" w:cs="Times New Roman" w:asciiTheme="minorEastAsia" w:hAnsiTheme="minorEastAsia" w:eastAsiaTheme="minorEastAsia"/>
          <w:b/>
          <w:color w:val="000000" w:themeColor="text1"/>
          <w:sz w:val="28"/>
          <w:szCs w:val="28"/>
          <w14:textFill>
            <w14:solidFill>
              <w14:schemeClr w14:val="tx1"/>
            </w14:solidFill>
          </w14:textFill>
        </w:rPr>
        <w:t>参考范本</w:t>
      </w:r>
      <w:bookmarkEnd w:id="59"/>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60" w:name="_Toc8560"/>
      <w:r>
        <w:rPr>
          <w:rFonts w:hint="eastAsia" w:cs="Times New Roman" w:asciiTheme="minorEastAsia" w:hAnsiTheme="minorEastAsia" w:eastAsiaTheme="minorEastAsia"/>
          <w:b/>
          <w:color w:val="000000" w:themeColor="text1"/>
          <w:sz w:val="28"/>
          <w:szCs w:val="28"/>
          <w14:textFill>
            <w14:solidFill>
              <w14:schemeClr w14:val="tx1"/>
            </w14:solidFill>
          </w14:textFill>
        </w:rPr>
        <w:t>（服务类）</w:t>
      </w:r>
      <w:bookmarkEnd w:id="60"/>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bookmarkStart w:id="61" w:name="_Toc2449"/>
      <w:r>
        <w:rPr>
          <w:rFonts w:hint="eastAsia" w:asciiTheme="minorEastAsia" w:hAnsiTheme="minorEastAsia" w:eastAsiaTheme="minorEastAsia"/>
          <w:b/>
          <w:color w:val="000000" w:themeColor="text1"/>
          <w:sz w:val="24"/>
          <w14:textFill>
            <w14:solidFill>
              <w14:schemeClr w14:val="tx1"/>
            </w14:solidFill>
          </w14:textFill>
        </w:rPr>
        <w:t>第一部分 合同书</w:t>
      </w:r>
      <w:bookmarkEnd w:id="61"/>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pStyle w:val="2"/>
      </w:pPr>
    </w:p>
    <w:p>
      <w:pPr>
        <w:pStyle w:val="2"/>
      </w:pP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项目名称：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某项目</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spacing w:before="120" w:line="480" w:lineRule="auto"/>
        <w:ind w:left="96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项目编号：</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某编号</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签订日期：</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年</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月</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日</w:t>
      </w:r>
    </w:p>
    <w:p>
      <w:pPr>
        <w:widowControl/>
        <w:jc w:val="left"/>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br w:type="page"/>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以下简称：甲方</w:t>
      </w:r>
      <w:r>
        <w:rPr>
          <w:rFonts w:hint="eastAsia" w:asciiTheme="minorEastAsia" w:hAnsiTheme="minorEastAsia" w:eastAsiaTheme="minorEastAsia"/>
          <w:color w:val="000000" w:themeColor="text1"/>
          <w:sz w:val="24"/>
          <w14:textFill>
            <w14:solidFill>
              <w14:schemeClr w14:val="tx1"/>
            </w14:solidFill>
          </w14:textFill>
        </w:rPr>
        <w:t>）通过</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组织的</w:t>
      </w:r>
      <w:r>
        <w:rPr>
          <w:rFonts w:hint="eastAsia" w:asciiTheme="minorEastAsia" w:hAnsiTheme="minorEastAsia" w:eastAsiaTheme="minorEastAsia"/>
          <w:color w:val="000000" w:themeColor="text1"/>
          <w:sz w:val="24"/>
          <w:u w:val="single"/>
          <w14:textFill>
            <w14:solidFill>
              <w14:schemeClr w14:val="tx1"/>
            </w14:solidFill>
          </w14:textFill>
        </w:rPr>
        <w:t>公开招标</w:t>
      </w:r>
      <w:r>
        <w:rPr>
          <w:rFonts w:hint="eastAsia" w:asciiTheme="minorEastAsia" w:hAnsiTheme="minorEastAsia" w:eastAsiaTheme="minorEastAsia"/>
          <w:color w:val="000000" w:themeColor="text1"/>
          <w:sz w:val="24"/>
          <w14:textFill>
            <w14:solidFill>
              <w14:schemeClr w14:val="tx1"/>
            </w14:solidFill>
          </w14:textFill>
        </w:rPr>
        <w:t>方式采购活动，经</w:t>
      </w:r>
      <w:r>
        <w:rPr>
          <w:rFonts w:hint="eastAsia" w:asciiTheme="minorEastAsia" w:hAnsiTheme="minorEastAsia" w:eastAsiaTheme="minorEastAsia"/>
          <w:color w:val="000000" w:themeColor="text1"/>
          <w:sz w:val="24"/>
          <w:u w:val="single"/>
          <w14:textFill>
            <w14:solidFill>
              <w14:schemeClr w14:val="tx1"/>
            </w14:solidFill>
          </w14:textFill>
        </w:rPr>
        <w:t>评标委员会</w:t>
      </w:r>
      <w:r>
        <w:rPr>
          <w:rFonts w:hint="eastAsia" w:asciiTheme="minorEastAsia" w:hAnsiTheme="minorEastAsia" w:eastAsiaTheme="minorEastAsia"/>
          <w:color w:val="000000" w:themeColor="text1"/>
          <w:sz w:val="24"/>
          <w14:textFill>
            <w14:solidFill>
              <w14:schemeClr w14:val="tx1"/>
            </w14:solidFill>
          </w14:textFill>
        </w:rPr>
        <w:t>评定，</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以下简称：乙方</w:t>
      </w:r>
      <w:r>
        <w:rPr>
          <w:rFonts w:hint="eastAsia" w:asciiTheme="minorEastAsia" w:hAnsiTheme="minorEastAsia" w:eastAsiaTheme="minorEastAsia"/>
          <w:color w:val="000000" w:themeColor="text1"/>
          <w:sz w:val="24"/>
          <w14:textFill>
            <w14:solidFill>
              <w14:schemeClr w14:val="tx1"/>
            </w14:solidFill>
          </w14:textFill>
        </w:rPr>
        <w:t>）为本项目中标人，现</w:t>
      </w:r>
      <w:r>
        <w:rPr>
          <w:rFonts w:hint="eastAsia" w:cs="Times New Roman" w:asciiTheme="minorEastAsia" w:hAnsiTheme="minorEastAsia" w:eastAsiaTheme="minorEastAsia"/>
          <w:color w:val="000000" w:themeColor="text1"/>
          <w:sz w:val="24"/>
          <w:szCs w:val="24"/>
          <w14:textFill>
            <w14:solidFill>
              <w14:schemeClr w14:val="tx1"/>
            </w14:solidFill>
          </w14:textFill>
        </w:rPr>
        <w:t>按照采购文件确定的事项签订本合同。</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62" w:name="_Toc2232"/>
      <w:bookmarkStart w:id="63" w:name="_Toc3029"/>
      <w:bookmarkStart w:id="64" w:name="_Toc2405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合同组成部分</w:t>
      </w:r>
      <w:bookmarkEnd w:id="62"/>
      <w:bookmarkEnd w:id="63"/>
      <w:bookmarkEnd w:id="64"/>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1.1.1本合同及其补充合同、变更协议；</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1.1.2中标通知书；</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1.1.3投标文件（含澄清或者说明文件）；</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1.1.4招标文件（含澄清或者修改文件）；</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1.1.5其他相关采购文件。</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65" w:name="_Toc6311"/>
      <w:bookmarkStart w:id="66" w:name="_Toc2918"/>
      <w:bookmarkStart w:id="67" w:name="_Toc22185"/>
      <w:bookmarkStart w:id="68" w:name="_Toc18585"/>
      <w:bookmarkStart w:id="69" w:name="_Toc6773"/>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1.2 </w:t>
      </w:r>
      <w:bookmarkEnd w:id="65"/>
      <w:bookmarkEnd w:id="66"/>
      <w:bookmarkEnd w:id="67"/>
      <w:bookmarkEnd w:id="68"/>
      <w:bookmarkEnd w:id="6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服务</w:t>
      </w:r>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1.2.1服务</w:t>
      </w:r>
      <w:r>
        <w:rPr>
          <w:rFonts w:cs="Times New Roman" w:asciiTheme="minorEastAsia" w:hAnsiTheme="minorEastAsia" w:eastAsiaTheme="minorEastAsia"/>
          <w:color w:val="000000" w:themeColor="text1"/>
          <w:sz w:val="24"/>
          <w:szCs w:val="24"/>
          <w14:textFill>
            <w14:solidFill>
              <w14:schemeClr w14:val="tx1"/>
            </w14:solidFill>
          </w14:textFill>
        </w:rPr>
        <w:t>名称：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1.2.2服务内容</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1.2.3服务质量：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0" w:name="_Toc21551"/>
      <w:bookmarkStart w:id="71" w:name="_Toc21631"/>
      <w:bookmarkStart w:id="72" w:name="_Toc23292"/>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3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价款</w:t>
      </w:r>
      <w:bookmarkEnd w:id="70"/>
      <w:bookmarkEnd w:id="71"/>
      <w:bookmarkEnd w:id="7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本合同总价为</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元</w:t>
      </w:r>
      <w:r>
        <w:rPr>
          <w:rFonts w:hint="eastAsia" w:cs="Times New Roman" w:asciiTheme="minorEastAsia" w:hAnsiTheme="minorEastAsia" w:eastAsiaTheme="minorEastAsia"/>
          <w:color w:val="000000" w:themeColor="text1"/>
          <w:sz w:val="24"/>
          <w:szCs w:val="24"/>
          <w14:textFill>
            <w14:solidFill>
              <w14:schemeClr w14:val="tx1"/>
            </w14:solidFill>
          </w14:textFill>
        </w:rPr>
        <w:t>（大写：人民币</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元）</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分项价格：</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4316"/>
        <w:gridCol w:w="12"/>
        <w:gridCol w:w="3225"/>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cs="Times New Roman" w:asciiTheme="minorEastAsia" w:hAnsiTheme="minorEastAsia" w:eastAsiaTheme="minorEastAsia"/>
                <w:color w:val="000000" w:themeColor="text1"/>
                <w:sz w:val="24"/>
                <w:szCs w:val="24"/>
                <w:lang w:val="zh-CN"/>
                <w14:textFill>
                  <w14:solidFill>
                    <w14:schemeClr w14:val="tx1"/>
                  </w14:solidFill>
                </w14:textFill>
              </w:rPr>
              <w:t>序号</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分项名称</w:t>
            </w:r>
          </w:p>
        </w:tc>
        <w:tc>
          <w:tcPr>
            <w:tcW w:w="3237" w:type="dxa"/>
            <w:gridSpan w:val="2"/>
            <w:vAlign w:val="center"/>
          </w:tcPr>
          <w:p>
            <w:pPr>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2</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cs="Times New Roman" w:asciiTheme="minorEastAsia" w:hAnsiTheme="minorEastAsia" w:eastAsiaTheme="minorEastAsia"/>
                <w:color w:val="000000" w:themeColor="text1"/>
                <w:sz w:val="24"/>
                <w:szCs w:val="24"/>
                <w:lang w:val="zh-CN"/>
                <w14:textFill>
                  <w14:solidFill>
                    <w14:schemeClr w14:val="tx1"/>
                  </w14:solidFill>
                </w14:textFill>
              </w:rPr>
              <w:t>3</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85" w:type="dxa"/>
            <w:gridSpan w:val="3"/>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总价</w:t>
            </w: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bl>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3" w:name="_Toc10340"/>
      <w:bookmarkStart w:id="74" w:name="_Toc22618"/>
      <w:bookmarkStart w:id="75" w:name="_Toc181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4 付款方式和发票开具方式</w:t>
      </w:r>
      <w:bookmarkEnd w:id="73"/>
      <w:bookmarkEnd w:id="74"/>
      <w:bookmarkEnd w:id="7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1.4.1</w:t>
      </w:r>
      <w:r>
        <w:rPr>
          <w:rFonts w:cs="Times New Roman" w:asciiTheme="minorEastAsia" w:hAnsiTheme="minorEastAsia" w:eastAsiaTheme="minorEastAsia"/>
          <w:color w:val="000000" w:themeColor="text1"/>
          <w:sz w:val="24"/>
          <w:szCs w:val="24"/>
          <w14:textFill>
            <w14:solidFill>
              <w14:schemeClr w14:val="tx1"/>
            </w14:solidFill>
          </w14:textFill>
        </w:rPr>
        <w:t>付款方式：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1.4.2发票开具方式：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6" w:name="_Toc2846"/>
      <w:bookmarkStart w:id="77" w:name="_Toc19304"/>
      <w:bookmarkStart w:id="78" w:name="_Toc32071"/>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5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服务</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期限</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、地点和方式</w:t>
      </w:r>
      <w:bookmarkEnd w:id="76"/>
      <w:bookmarkEnd w:id="77"/>
      <w:bookmarkEnd w:id="78"/>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1.5.1服务期限</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1.5.2服务地点</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1.5.3服务方式：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9" w:name="_Toc27250"/>
      <w:bookmarkStart w:id="80" w:name="_Toc21423"/>
      <w:bookmarkStart w:id="81" w:name="_Toc1955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1.6 违约责任</w:t>
      </w:r>
      <w:bookmarkEnd w:id="79"/>
      <w:bookmarkEnd w:id="80"/>
      <w:bookmarkEnd w:id="8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1.6.1</w:t>
      </w:r>
      <w:r>
        <w:rPr>
          <w:rFonts w:cs="Times New Roman" w:asciiTheme="minorEastAsia" w:hAnsiTheme="minorEastAsia" w:eastAsiaTheme="minorEastAsia"/>
          <w:color w:val="000000" w:themeColor="text1"/>
          <w:sz w:val="24"/>
          <w:szCs w:val="24"/>
          <w14:textFill>
            <w14:solidFill>
              <w14:schemeClr w14:val="tx1"/>
            </w14:solidFill>
          </w14:textFill>
        </w:rPr>
        <w:t>除不可抗力外，如果乙方没有按照本合同约定的期限</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地点和方式</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，那么甲方可要求乙方支付违约金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违约金按每迟延</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一日的应提供而未</w:t>
      </w:r>
      <w:r>
        <w:rPr>
          <w:rFonts w:hint="eastAsia" w:cs="Times New Roman" w:asciiTheme="minorEastAsia" w:hAnsiTheme="minorEastAsia" w:eastAsiaTheme="minorEastAsia"/>
          <w:color w:val="000000" w:themeColor="text1"/>
          <w:sz w:val="24"/>
          <w:szCs w:val="24"/>
          <w14:textFill>
            <w14:solidFill>
              <w14:schemeClr w14:val="tx1"/>
            </w14:solidFill>
          </w14:textFill>
        </w:rPr>
        <w:t>提供</w:t>
      </w:r>
      <w:r>
        <w:rPr>
          <w:rFonts w:cs="Times New Roman" w:asciiTheme="minorEastAsia" w:hAnsiTheme="minorEastAsia" w:eastAsiaTheme="minorEastAsia"/>
          <w:color w:val="000000" w:themeColor="text1"/>
          <w:sz w:val="24"/>
          <w:szCs w:val="24"/>
          <w14:textFill>
            <w14:solidFill>
              <w14:schemeClr w14:val="tx1"/>
            </w14:solidFill>
          </w14:textFill>
        </w:rPr>
        <w:t>服务价格的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%计算</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最高限额为</w:t>
      </w:r>
      <w:r>
        <w:rPr>
          <w:rFonts w:hint="eastAsia" w:cs="Times New Roman" w:asciiTheme="minorEastAsia" w:hAnsiTheme="minorEastAsia" w:eastAsiaTheme="minorEastAsia"/>
          <w:color w:val="000000" w:themeColor="text1"/>
          <w:sz w:val="24"/>
          <w:szCs w:val="24"/>
          <w14:textFill>
            <w14:solidFill>
              <w14:schemeClr w14:val="tx1"/>
            </w14:solidFill>
          </w14:textFill>
        </w:rPr>
        <w:t>本</w:t>
      </w:r>
      <w:r>
        <w:rPr>
          <w:rFonts w:cs="Times New Roman" w:asciiTheme="minorEastAsia" w:hAnsiTheme="minorEastAsia" w:eastAsiaTheme="minorEastAsia"/>
          <w:color w:val="000000" w:themeColor="text1"/>
          <w:sz w:val="24"/>
          <w:szCs w:val="24"/>
          <w14:textFill>
            <w14:solidFill>
              <w14:schemeClr w14:val="tx1"/>
            </w14:solidFill>
          </w14:textFill>
        </w:rPr>
        <w:t>合同总价的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迟延</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的违约金计算数额达到前述最高限额之日起</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甲方有权在要求乙方支付违约金的同时</w:t>
      </w:r>
      <w:r>
        <w:rPr>
          <w:rFonts w:hint="eastAsia" w:cs="Times New Roman" w:asciiTheme="minorEastAsia" w:hAnsiTheme="minorEastAsia" w:eastAsiaTheme="minorEastAsia"/>
          <w:color w:val="000000" w:themeColor="text1"/>
          <w:sz w:val="24"/>
          <w:szCs w:val="24"/>
          <w14:textFill>
            <w14:solidFill>
              <w14:schemeClr w14:val="tx1"/>
            </w14:solidFill>
          </w14:textFill>
        </w:rPr>
        <w:t>，书面通知乙方</w:t>
      </w:r>
      <w:r>
        <w:rPr>
          <w:rFonts w:cs="Times New Roman" w:asciiTheme="minorEastAsia" w:hAnsiTheme="minorEastAsia" w:eastAsiaTheme="minorEastAsia"/>
          <w:color w:val="000000" w:themeColor="text1"/>
          <w:sz w:val="24"/>
          <w:szCs w:val="24"/>
          <w14:textFill>
            <w14:solidFill>
              <w14:schemeClr w14:val="tx1"/>
            </w14:solidFill>
          </w14:textFill>
        </w:rPr>
        <w:t>解除本合同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1.6.2</w:t>
      </w:r>
      <w:r>
        <w:rPr>
          <w:rFonts w:cs="Times New Roman" w:asciiTheme="minorEastAsia" w:hAnsiTheme="minorEastAsia" w:eastAsiaTheme="minorEastAsia"/>
          <w:color w:val="000000" w:themeColor="text1"/>
          <w:sz w:val="24"/>
          <w:szCs w:val="24"/>
          <w14:textFill>
            <w14:solidFill>
              <w14:schemeClr w14:val="tx1"/>
            </w14:solidFill>
          </w14:textFill>
        </w:rPr>
        <w:t>除不可抗力外，如果甲方没有按照本合同约定的付款方式付款，那么乙方可要求甲方支付违约金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违约金按每迟延</w:t>
      </w:r>
      <w:r>
        <w:rPr>
          <w:rFonts w:hint="eastAsia" w:cs="Times New Roman" w:asciiTheme="minorEastAsia" w:hAnsiTheme="minorEastAsia" w:eastAsiaTheme="minorEastAsia"/>
          <w:color w:val="000000" w:themeColor="text1"/>
          <w:sz w:val="24"/>
          <w:szCs w:val="24"/>
          <w14:textFill>
            <w14:solidFill>
              <w14:schemeClr w14:val="tx1"/>
            </w14:solidFill>
          </w14:textFill>
        </w:rPr>
        <w:t>付款</w:t>
      </w:r>
      <w:r>
        <w:rPr>
          <w:rFonts w:cs="Times New Roman" w:asciiTheme="minorEastAsia" w:hAnsiTheme="minorEastAsia" w:eastAsiaTheme="minorEastAsia"/>
          <w:color w:val="000000" w:themeColor="text1"/>
          <w:sz w:val="24"/>
          <w:szCs w:val="24"/>
          <w14:textFill>
            <w14:solidFill>
              <w14:schemeClr w14:val="tx1"/>
            </w14:solidFill>
          </w14:textFill>
        </w:rPr>
        <w:t>一日的应付而未付款的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%计算</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最高限额为</w:t>
      </w:r>
      <w:r>
        <w:rPr>
          <w:rFonts w:hint="eastAsia" w:cs="Times New Roman" w:asciiTheme="minorEastAsia" w:hAnsiTheme="minorEastAsia" w:eastAsiaTheme="minorEastAsia"/>
          <w:color w:val="000000" w:themeColor="text1"/>
          <w:sz w:val="24"/>
          <w:szCs w:val="24"/>
          <w14:textFill>
            <w14:solidFill>
              <w14:schemeClr w14:val="tx1"/>
            </w14:solidFill>
          </w14:textFill>
        </w:rPr>
        <w:t>本</w:t>
      </w:r>
      <w:r>
        <w:rPr>
          <w:rFonts w:cs="Times New Roman" w:asciiTheme="minorEastAsia" w:hAnsiTheme="minorEastAsia" w:eastAsiaTheme="minorEastAsia"/>
          <w:color w:val="000000" w:themeColor="text1"/>
          <w:sz w:val="24"/>
          <w:szCs w:val="24"/>
          <w14:textFill>
            <w14:solidFill>
              <w14:schemeClr w14:val="tx1"/>
            </w14:solidFill>
          </w14:textFill>
        </w:rPr>
        <w:t>合同总价的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迟延</w:t>
      </w:r>
      <w:r>
        <w:rPr>
          <w:rFonts w:hint="eastAsia" w:cs="Times New Roman" w:asciiTheme="minorEastAsia" w:hAnsiTheme="minorEastAsia" w:eastAsiaTheme="minorEastAsia"/>
          <w:color w:val="000000" w:themeColor="text1"/>
          <w:sz w:val="24"/>
          <w:szCs w:val="24"/>
          <w14:textFill>
            <w14:solidFill>
              <w14:schemeClr w14:val="tx1"/>
            </w14:solidFill>
          </w14:textFill>
        </w:rPr>
        <w:t>付款</w:t>
      </w:r>
      <w:r>
        <w:rPr>
          <w:rFonts w:cs="Times New Roman" w:asciiTheme="minorEastAsia" w:hAnsiTheme="minorEastAsia" w:eastAsiaTheme="minorEastAsia"/>
          <w:color w:val="000000" w:themeColor="text1"/>
          <w:sz w:val="24"/>
          <w:szCs w:val="24"/>
          <w14:textFill>
            <w14:solidFill>
              <w14:schemeClr w14:val="tx1"/>
            </w14:solidFill>
          </w14:textFill>
        </w:rPr>
        <w:t>的违约金计算数额达到前述最高限额之日起</w:t>
      </w:r>
      <w:r>
        <w:rPr>
          <w:rFonts w:hint="eastAsia" w:cs="Times New Roman" w:asciiTheme="minorEastAsia" w:hAnsiTheme="minorEastAsia" w:eastAsiaTheme="minorEastAsia"/>
          <w:color w:val="000000" w:themeColor="text1"/>
          <w:sz w:val="24"/>
          <w:szCs w:val="24"/>
          <w14:textFill>
            <w14:solidFill>
              <w14:schemeClr w14:val="tx1"/>
            </w14:solidFill>
          </w14:textFill>
        </w:rPr>
        <w:t>，乙</w:t>
      </w:r>
      <w:r>
        <w:rPr>
          <w:rFonts w:cs="Times New Roman" w:asciiTheme="minorEastAsia" w:hAnsiTheme="minorEastAsia" w:eastAsiaTheme="minorEastAsia"/>
          <w:color w:val="000000" w:themeColor="text1"/>
          <w:sz w:val="24"/>
          <w:szCs w:val="24"/>
          <w14:textFill>
            <w14:solidFill>
              <w14:schemeClr w14:val="tx1"/>
            </w14:solidFill>
          </w14:textFill>
        </w:rPr>
        <w:t>方有权在要求甲方支付违约金的同时</w:t>
      </w:r>
      <w:r>
        <w:rPr>
          <w:rFonts w:hint="eastAsia" w:cs="Times New Roman" w:asciiTheme="minorEastAsia" w:hAnsiTheme="minorEastAsia" w:eastAsiaTheme="minorEastAsia"/>
          <w:color w:val="000000" w:themeColor="text1"/>
          <w:sz w:val="24"/>
          <w:szCs w:val="24"/>
          <w14:textFill>
            <w14:solidFill>
              <w14:schemeClr w14:val="tx1"/>
            </w14:solidFill>
          </w14:textFill>
        </w:rPr>
        <w:t>，书面通知甲方</w:t>
      </w:r>
      <w:r>
        <w:rPr>
          <w:rFonts w:cs="Times New Roman" w:asciiTheme="minorEastAsia" w:hAnsiTheme="minorEastAsia" w:eastAsiaTheme="minorEastAsia"/>
          <w:color w:val="000000" w:themeColor="text1"/>
          <w:sz w:val="24"/>
          <w:szCs w:val="24"/>
          <w14:textFill>
            <w14:solidFill>
              <w14:schemeClr w14:val="tx1"/>
            </w14:solidFill>
          </w14:textFill>
        </w:rPr>
        <w:t>解除本合同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1.6.6如果出现政府采购监督管理部门在处理投诉事项期间，书面通知甲方暂停采购活动的情形，或者询问或质疑事项可能影响中标结果的，导致甲方中止履行合同的情</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形，均不视为甲方违约。</w:t>
      </w:r>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cs="Times New Roman" w:asciiTheme="minorEastAsia" w:hAnsiTheme="minorEastAsia" w:eastAsiaTheme="minorEastAsia"/>
          <w:color w:val="000000" w:themeColor="text1"/>
          <w:sz w:val="24"/>
          <w:szCs w:val="24"/>
          <w:highlight w:val="none"/>
          <w14:textFill>
            <w14:solidFill>
              <w14:schemeClr w14:val="tx1"/>
            </w14:solidFill>
          </w14:textFill>
        </w:rPr>
        <w:t>1.6.7因甲方未按合同约定支付价款、未按合同约定受领标的物、擅自解除合同</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cs="Times New Roman" w:asciiTheme="minorEastAsia" w:hAnsiTheme="minorEastAsia" w:eastAsiaTheme="minorEastAsia"/>
          <w:color w:val="000000" w:themeColor="text1"/>
          <w:sz w:val="24"/>
          <w:szCs w:val="24"/>
          <w:highlight w:val="none"/>
          <w14:textFill>
            <w14:solidFill>
              <w14:schemeClr w14:val="tx1"/>
            </w14:solidFill>
          </w14:textFill>
        </w:rPr>
        <w:t>导致乙方遭受的直接损失，乙方可向甲方申请赔偿，赔偿金额由双方协商一致；</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pPr>
      <w:bookmarkStart w:id="82" w:name="_Toc15583"/>
      <w:bookmarkStart w:id="83" w:name="_Toc28375"/>
      <w:bookmarkStart w:id="84" w:name="_Toc16021"/>
      <w:r>
        <w:rPr>
          <w:rFonts w:hint="eastAsia"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1.7</w:t>
      </w:r>
      <w:r>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合同</w:t>
      </w:r>
      <w:r>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争议的解决</w:t>
      </w:r>
      <w:bookmarkEnd w:id="82"/>
      <w:bookmarkEnd w:id="83"/>
      <w:bookmarkEnd w:id="84"/>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本合</w:t>
      </w:r>
      <w:r>
        <w:rPr>
          <w:rFonts w:cs="Times New Roman" w:asciiTheme="minorEastAsia" w:hAnsiTheme="minorEastAsia" w:eastAsiaTheme="minorEastAsia"/>
          <w:color w:val="000000" w:themeColor="text1"/>
          <w:sz w:val="24"/>
          <w:szCs w:val="24"/>
          <w14:textFill>
            <w14:solidFill>
              <w14:schemeClr w14:val="tx1"/>
            </w14:solidFill>
          </w14:textFill>
        </w:rPr>
        <w:t>同履行过程中发生的任何争议，双方当事人均可</w:t>
      </w:r>
      <w:r>
        <w:rPr>
          <w:rFonts w:hint="eastAsia" w:cs="Times New Roman" w:asciiTheme="minorEastAsia" w:hAnsiTheme="minorEastAsia" w:eastAsiaTheme="minorEastAsia"/>
          <w:color w:val="000000" w:themeColor="text1"/>
          <w:sz w:val="24"/>
          <w:szCs w:val="24"/>
          <w14:textFill>
            <w14:solidFill>
              <w14:schemeClr w14:val="tx1"/>
            </w14:solidFill>
          </w14:textFill>
        </w:rPr>
        <w:t>通过和解或者调解解决；不愿和解、调解或者和解、调解不成的，可以选择下列第</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种方式解决：</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1.7.1将争议提交</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仲裁委员会依申请仲裁时其现行有效的仲裁规则裁决；</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1.7.2向</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人民法院起诉。</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85" w:name="_Toc11173"/>
      <w:bookmarkStart w:id="86" w:name="_Toc15322"/>
      <w:bookmarkStart w:id="87" w:name="_Toc7245"/>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1.8</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合同生效</w:t>
      </w:r>
      <w:bookmarkEnd w:id="85"/>
      <w:bookmarkEnd w:id="86"/>
      <w:bookmarkEnd w:id="87"/>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本合同自</w:t>
      </w:r>
      <w:r>
        <w:rPr>
          <w:rFonts w:hint="eastAsia" w:cs="Times New Roman" w:asciiTheme="minorEastAsia" w:hAnsiTheme="minorEastAsia" w:eastAsiaTheme="minorEastAsia"/>
          <w:color w:val="000000" w:themeColor="text1"/>
          <w:sz w:val="24"/>
          <w:szCs w:val="24"/>
          <w14:textFill>
            <w14:solidFill>
              <w14:schemeClr w14:val="tx1"/>
            </w14:solidFill>
          </w14:textFill>
        </w:rPr>
        <w:t>双方当事人盖章时</w:t>
      </w:r>
      <w:r>
        <w:rPr>
          <w:rFonts w:cs="Times New Roman" w:asciiTheme="minorEastAsia" w:hAnsiTheme="minorEastAsia" w:eastAsiaTheme="minorEastAsia"/>
          <w:color w:val="000000" w:themeColor="text1"/>
          <w:sz w:val="24"/>
          <w:szCs w:val="24"/>
          <w14:textFill>
            <w14:solidFill>
              <w14:schemeClr w14:val="tx1"/>
            </w14:solidFill>
          </w14:textFill>
        </w:rPr>
        <w:t>生效。</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p>
    <w:p>
      <w:pPr>
        <w:autoSpaceDE w:val="0"/>
        <w:autoSpaceDN w:val="0"/>
        <w:adjustRightInd w:val="0"/>
        <w:spacing w:line="560" w:lineRule="exact"/>
        <w:rPr>
          <w:rFonts w:cs="Times New Roman" w:asciiTheme="minorEastAsia" w:hAnsiTheme="minorEastAsia" w:eastAsiaTheme="minorEastAsia"/>
          <w:bCs/>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 xml:space="preserve">甲 </w:t>
      </w:r>
      <w:r>
        <w:rPr>
          <w:rFonts w:cs="Times New Roman" w:asciiTheme="minorEastAsia" w:hAnsiTheme="minorEastAsia" w:eastAsiaTheme="minorEastAsia"/>
          <w:bCs/>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方：</w:t>
      </w:r>
      <w:r>
        <w:rPr>
          <w:rFonts w:hint="eastAsia" w:cs="Times New Roman" w:asciiTheme="minorEastAsia" w:hAnsiTheme="minorEastAsia" w:eastAsiaTheme="minorEastAsia"/>
          <w:bCs/>
          <w:color w:val="000000" w:themeColor="text1"/>
          <w:sz w:val="24"/>
          <w:szCs w:val="24"/>
          <w:u w:val="single"/>
          <w:lang w:val="zh-CN"/>
          <w14:textFill>
            <w14:solidFill>
              <w14:schemeClr w14:val="tx1"/>
            </w14:solidFill>
          </w14:textFill>
        </w:rPr>
        <w:t xml:space="preserve">    （单位盖章）     </w:t>
      </w: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 xml:space="preserve">          乙方：</w:t>
      </w:r>
      <w:r>
        <w:rPr>
          <w:rFonts w:hint="eastAsia" w:cs="Times New Roman" w:asciiTheme="minorEastAsia" w:hAnsiTheme="minorEastAsia" w:eastAsiaTheme="minorEastAsia"/>
          <w:bCs/>
          <w:color w:val="000000" w:themeColor="text1"/>
          <w:sz w:val="24"/>
          <w:szCs w:val="24"/>
          <w:u w:val="single"/>
          <w:lang w:val="zh-CN"/>
          <w14:textFill>
            <w14:solidFill>
              <w14:schemeClr w14:val="tx1"/>
            </w14:solidFill>
          </w14:textFill>
        </w:rPr>
        <w:t xml:space="preserve">    （单位盖章）     </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 xml:space="preserve">法定代表人                             </w:t>
      </w:r>
      <w:r>
        <w:rPr>
          <w:rFonts w:cs="Times New Roman" w:asciiTheme="minorEastAsia" w:hAnsiTheme="minorEastAsia" w:eastAsiaTheme="minorEastAsia"/>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法定代表人</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或授权代表（签字）：                      或授权代表（签字）：</w:t>
      </w:r>
    </w:p>
    <w:p>
      <w:pPr>
        <w:widowControl/>
        <w:spacing w:line="560" w:lineRule="exact"/>
        <w:jc w:val="left"/>
        <w:rPr>
          <w:rFonts w:cs="Times New Roman" w:asciiTheme="minorEastAsia" w:hAnsiTheme="minorEastAsia" w:eastAsiaTheme="minorEastAsia"/>
          <w:bCs/>
          <w:color w:val="000000" w:themeColor="text1"/>
          <w:sz w:val="24"/>
          <w:szCs w:val="24"/>
          <w14:textFill>
            <w14:solidFill>
              <w14:schemeClr w14:val="tx1"/>
            </w14:solidFill>
          </w14:textFill>
        </w:rPr>
      </w:pPr>
      <w:bookmarkStart w:id="88" w:name="_Toc331685783"/>
      <w:r>
        <w:rPr>
          <w:rFonts w:hint="eastAsia" w:cs="Times New Roman" w:asciiTheme="minorEastAsia" w:hAnsiTheme="minorEastAsia" w:eastAsiaTheme="minorEastAsia"/>
          <w:bCs/>
          <w:color w:val="000000" w:themeColor="text1"/>
          <w:sz w:val="24"/>
          <w:szCs w:val="24"/>
          <w14:textFill>
            <w14:solidFill>
              <w14:schemeClr w14:val="tx1"/>
            </w14:solidFill>
          </w14:textFill>
        </w:rPr>
        <w:t>时间：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月</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日               时间：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月</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日</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 xml:space="preserve"> </w:t>
      </w:r>
      <w:bookmarkStart w:id="89" w:name="_Hlk110099149"/>
      <w:r>
        <w:rPr>
          <w:rFonts w:hint="eastAsia" w:ascii="宋体" w:hAnsi="宋体" w:eastAsia="宋体"/>
          <w:color w:val="000000" w:themeColor="text1"/>
          <w:sz w:val="24"/>
          <w:szCs w:val="24"/>
          <w14:textFill>
            <w14:solidFill>
              <w14:schemeClr w14:val="tx1"/>
            </w14:solidFill>
          </w14:textFill>
        </w:rPr>
        <w:t>乙方账户信息</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 xml:space="preserve"> 户名：</w:t>
      </w:r>
      <w:r>
        <w:rPr>
          <w:rFonts w:hint="eastAsia" w:ascii="宋体" w:hAnsi="宋体" w:eastAsia="宋体"/>
          <w:color w:val="000000" w:themeColor="text1"/>
          <w:sz w:val="24"/>
          <w:szCs w:val="24"/>
          <w:u w:val="single"/>
          <w14:textFill>
            <w14:solidFill>
              <w14:schemeClr w14:val="tx1"/>
            </w14:solidFill>
          </w14:textFill>
        </w:rPr>
        <w:t xml:space="preserve">            </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账号：</w:t>
      </w:r>
      <w:r>
        <w:rPr>
          <w:rFonts w:hint="eastAsia" w:ascii="宋体" w:hAnsi="宋体" w:eastAsia="宋体"/>
          <w:color w:val="000000" w:themeColor="text1"/>
          <w:sz w:val="24"/>
          <w:szCs w:val="24"/>
          <w:u w:val="single"/>
          <w14:textFill>
            <w14:solidFill>
              <w14:schemeClr w14:val="tx1"/>
            </w14:solidFill>
          </w14:textFill>
        </w:rPr>
        <w:t xml:space="preserve">            </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开户银行：</w:t>
      </w:r>
      <w:r>
        <w:rPr>
          <w:rFonts w:hint="eastAsia" w:ascii="宋体" w:hAnsi="宋体" w:eastAsia="宋体"/>
          <w:color w:val="000000" w:themeColor="text1"/>
          <w:sz w:val="24"/>
          <w:szCs w:val="24"/>
          <w:u w:val="single"/>
          <w14:textFill>
            <w14:solidFill>
              <w14:schemeClr w14:val="tx1"/>
            </w14:solidFill>
          </w14:textFill>
        </w:rPr>
        <w:t xml:space="preserve">        </w:t>
      </w:r>
    </w:p>
    <w:bookmarkEnd w:id="89"/>
    <w:p>
      <w:pPr>
        <w:widowControl/>
        <w:jc w:val="left"/>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br w:type="page"/>
      </w: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bookmarkStart w:id="90" w:name="_Toc415"/>
      <w:r>
        <w:rPr>
          <w:rFonts w:hint="eastAsia" w:asciiTheme="minorEastAsia" w:hAnsiTheme="minorEastAsia" w:eastAsiaTheme="minorEastAsia"/>
          <w:b/>
          <w:color w:val="000000" w:themeColor="text1"/>
          <w:sz w:val="24"/>
          <w14:textFill>
            <w14:solidFill>
              <w14:schemeClr w14:val="tx1"/>
            </w14:solidFill>
          </w14:textFill>
        </w:rPr>
        <w:t>第二部分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合同一般条款</w:t>
      </w:r>
      <w:bookmarkEnd w:id="88"/>
      <w:bookmarkEnd w:id="90"/>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91" w:name="_Ref467379094"/>
      <w:bookmarkStart w:id="92" w:name="_Toc28763"/>
      <w:bookmarkStart w:id="93" w:name="_Ref467379205"/>
      <w:bookmarkStart w:id="94" w:name="_Ref467379195"/>
      <w:bookmarkStart w:id="95" w:name="_Ref467378404"/>
      <w:bookmarkStart w:id="96" w:name="_Toc259093669"/>
      <w:bookmarkStart w:id="97" w:name="_Ref467379214"/>
      <w:bookmarkStart w:id="98" w:name="_Ref467378463"/>
      <w:bookmarkStart w:id="99" w:name="_Ref467379101"/>
      <w:bookmarkStart w:id="100" w:name="_Ref467379225"/>
      <w:bookmarkStart w:id="101" w:name="_Toc19614"/>
      <w:bookmarkStart w:id="102" w:name="_Toc16917"/>
      <w:bookmarkStart w:id="103" w:name="_Toc487900349"/>
      <w:bookmarkStart w:id="104" w:name="_Ref467379109"/>
      <w:bookmarkStart w:id="105" w:name="_Toc279701240"/>
      <w:bookmarkStart w:id="106" w:name="_Ref46737849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定义</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本合同中的下列</w:t>
      </w:r>
      <w:r>
        <w:rPr>
          <w:rFonts w:hint="eastAsia" w:cs="Times New Roman" w:asciiTheme="minorEastAsia" w:hAnsiTheme="minorEastAsia" w:eastAsiaTheme="minorEastAsia"/>
          <w:color w:val="000000" w:themeColor="text1"/>
          <w:sz w:val="24"/>
          <w:szCs w:val="24"/>
          <w14:textFill>
            <w14:solidFill>
              <w14:schemeClr w14:val="tx1"/>
            </w14:solidFill>
          </w14:textFill>
        </w:rPr>
        <w:t>词</w:t>
      </w:r>
      <w:r>
        <w:rPr>
          <w:rFonts w:cs="Times New Roman" w:asciiTheme="minorEastAsia" w:hAnsiTheme="minorEastAsia" w:eastAsiaTheme="minorEastAsia"/>
          <w:color w:val="000000" w:themeColor="text1"/>
          <w:sz w:val="24"/>
          <w:szCs w:val="24"/>
          <w14:textFill>
            <w14:solidFill>
              <w14:schemeClr w14:val="tx1"/>
            </w14:solidFill>
          </w14:textFill>
        </w:rPr>
        <w:t>语应</w:t>
      </w:r>
      <w:r>
        <w:rPr>
          <w:rFonts w:hint="eastAsia" w:cs="Times New Roman" w:asciiTheme="minorEastAsia" w:hAnsiTheme="minorEastAsia" w:eastAsiaTheme="minorEastAsia"/>
          <w:color w:val="000000" w:themeColor="text1"/>
          <w:sz w:val="24"/>
          <w:szCs w:val="24"/>
          <w14:textFill>
            <w14:solidFill>
              <w14:schemeClr w14:val="tx1"/>
            </w14:solidFill>
          </w14:textFill>
        </w:rPr>
        <w:t>按以下内容进行</w:t>
      </w:r>
      <w:r>
        <w:rPr>
          <w:rFonts w:cs="Times New Roman" w:asciiTheme="minorEastAsia" w:hAnsiTheme="minorEastAsia" w:eastAsiaTheme="minorEastAsia"/>
          <w:color w:val="000000" w:themeColor="text1"/>
          <w:sz w:val="24"/>
          <w:szCs w:val="24"/>
          <w14:textFill>
            <w14:solidFill>
              <w14:schemeClr w14:val="tx1"/>
            </w14:solidFill>
          </w14:textFill>
        </w:rPr>
        <w:t>解释：</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.1</w:t>
      </w:r>
      <w:r>
        <w:rPr>
          <w:rFonts w:cs="Times New Roman" w:asciiTheme="minorEastAsia" w:hAnsiTheme="minorEastAsia" w:eastAsiaTheme="minorEastAsia"/>
          <w:color w:val="000000" w:themeColor="text1"/>
          <w:sz w:val="24"/>
          <w:szCs w:val="24"/>
          <w14:textFill>
            <w14:solidFill>
              <w14:schemeClr w14:val="tx1"/>
            </w14:solidFill>
          </w14:textFill>
        </w:rPr>
        <w:t>“合同”系指采购人和中标人签订的载明双方当事人所达成的协议，并包括所有的附件、附录和构成合同的其他文件。</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1.2“合同价”系指根据合同约定，中标人在完全履行合同义务后</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采购人应支付给中标人的价格。</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1.3“</w:t>
      </w:r>
      <w:r>
        <w:rPr>
          <w:rFonts w:hint="eastAsia" w:cs="Times New Roman" w:asciiTheme="minorEastAsia" w:hAnsiTheme="minorEastAsia" w:eastAsiaTheme="minorEastAsia"/>
          <w:color w:val="000000" w:themeColor="text1"/>
          <w:sz w:val="24"/>
          <w:szCs w:val="24"/>
          <w14:textFill>
            <w14:solidFill>
              <w14:schemeClr w14:val="tx1"/>
            </w14:solidFill>
          </w14:textFill>
        </w:rPr>
        <w:t>服务</w:t>
      </w:r>
      <w:r>
        <w:rPr>
          <w:rFonts w:cs="Times New Roman" w:asciiTheme="minorEastAsia" w:hAnsiTheme="minorEastAsia" w:eastAsiaTheme="minorEastAsia"/>
          <w:color w:val="000000" w:themeColor="text1"/>
          <w:sz w:val="24"/>
          <w:szCs w:val="24"/>
          <w14:textFill>
            <w14:solidFill>
              <w14:schemeClr w14:val="tx1"/>
            </w14:solidFill>
          </w14:textFill>
        </w:rPr>
        <w:t>”系指</w:t>
      </w:r>
      <w:r>
        <w:rPr>
          <w:rFonts w:hint="eastAsia" w:cs="Times New Roman" w:asciiTheme="minorEastAsia" w:hAnsiTheme="minorEastAsia" w:eastAsiaTheme="minorEastAsia"/>
          <w:color w:val="000000" w:themeColor="text1"/>
          <w:sz w:val="24"/>
          <w:szCs w:val="24"/>
          <w14:textFill>
            <w14:solidFill>
              <w14:schemeClr w14:val="tx1"/>
            </w14:solidFill>
          </w14:textFill>
        </w:rPr>
        <w:t>中标人</w:t>
      </w:r>
      <w:r>
        <w:rPr>
          <w:rFonts w:cs="Times New Roman" w:asciiTheme="minorEastAsia" w:hAnsiTheme="minorEastAsia" w:eastAsiaTheme="minorEastAsia"/>
          <w:color w:val="000000" w:themeColor="text1"/>
          <w:sz w:val="24"/>
          <w:szCs w:val="24"/>
          <w14:textFill>
            <w14:solidFill>
              <w14:schemeClr w14:val="tx1"/>
            </w14:solidFill>
          </w14:textFill>
        </w:rPr>
        <w:t>根据合同约定应向采购人</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的</w:t>
      </w:r>
      <w:r>
        <w:rPr>
          <w:rFonts w:hint="eastAsia" w:cs="Times New Roman" w:asciiTheme="minorEastAsia" w:hAnsiTheme="minorEastAsia" w:eastAsiaTheme="minorEastAsia"/>
          <w:color w:val="000000" w:themeColor="text1"/>
          <w:sz w:val="24"/>
          <w:szCs w:val="24"/>
          <w14:textFill>
            <w14:solidFill>
              <w14:schemeClr w14:val="tx1"/>
            </w14:solidFill>
          </w14:textFill>
        </w:rPr>
        <w:t>除货物和工程以外的其他政府采购对象，包括采购人自身需要的服务和向社会公众提供的公共服务。</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7" w:name="_Ref467378840"/>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4</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甲方</w:t>
      </w:r>
      <w:r>
        <w:rPr>
          <w:rFonts w:cs="Times New Roman" w:asciiTheme="minorEastAsia" w:hAnsiTheme="minorEastAsia" w:eastAsiaTheme="minorEastAsia"/>
          <w:color w:val="000000" w:themeColor="text1"/>
          <w:sz w:val="24"/>
          <w:szCs w:val="24"/>
          <w14:textFill>
            <w14:solidFill>
              <w14:schemeClr w14:val="tx1"/>
            </w14:solidFill>
          </w14:textFill>
        </w:rPr>
        <w:t>”系指与</w:t>
      </w:r>
      <w:r>
        <w:rPr>
          <w:rFonts w:hint="eastAsia" w:cs="Times New Roman" w:asciiTheme="minorEastAsia" w:hAnsiTheme="minorEastAsia" w:eastAsiaTheme="minorEastAsia"/>
          <w:color w:val="000000" w:themeColor="text1"/>
          <w:sz w:val="24"/>
          <w:szCs w:val="24"/>
          <w14:textFill>
            <w14:solidFill>
              <w14:schemeClr w14:val="tx1"/>
            </w14:solidFill>
          </w14:textFill>
        </w:rPr>
        <w:t>中标人</w:t>
      </w:r>
      <w:r>
        <w:rPr>
          <w:rFonts w:cs="Times New Roman" w:asciiTheme="minorEastAsia" w:hAnsiTheme="minorEastAsia" w:eastAsiaTheme="minorEastAsia"/>
          <w:color w:val="000000" w:themeColor="text1"/>
          <w:sz w:val="24"/>
          <w:szCs w:val="24"/>
          <w14:textFill>
            <w14:solidFill>
              <w14:schemeClr w14:val="tx1"/>
            </w14:solidFill>
          </w14:textFill>
        </w:rPr>
        <w:t>签署合同的采购人</w:t>
      </w:r>
      <w:bookmarkEnd w:id="107"/>
      <w:r>
        <w:rPr>
          <w:rFonts w:hint="eastAsia" w:cs="Times New Roman" w:asciiTheme="minorEastAsia" w:hAnsiTheme="minorEastAsia" w:eastAsiaTheme="minorEastAsia"/>
          <w:color w:val="000000" w:themeColor="text1"/>
          <w:sz w:val="24"/>
          <w:szCs w:val="24"/>
          <w14:textFill>
            <w14:solidFill>
              <w14:schemeClr w14:val="tx1"/>
            </w14:solidFill>
          </w14:textFill>
        </w:rPr>
        <w:t>；采购人委托采购代理机构代表其与乙方签订合同的，采购人的授权委托书作为合同附件。</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8" w:name="_Ref467379400"/>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5</w:t>
      </w:r>
      <w:r>
        <w:rPr>
          <w:rFonts w:cs="Times New Roman" w:asciiTheme="minorEastAsia" w:hAnsiTheme="minorEastAsia" w:eastAsiaTheme="minorEastAsia"/>
          <w:color w:val="000000" w:themeColor="text1"/>
          <w:sz w:val="24"/>
          <w:szCs w:val="24"/>
          <w14:textFill>
            <w14:solidFill>
              <w14:schemeClr w14:val="tx1"/>
            </w14:solidFill>
          </w14:textFill>
        </w:rPr>
        <w:t>“乙方”系指根据合同约定</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的中标人</w:t>
      </w:r>
      <w:bookmarkEnd w:id="108"/>
      <w:r>
        <w:rPr>
          <w:rFonts w:hint="eastAsia" w:cs="Times New Roman" w:asciiTheme="minorEastAsia" w:hAnsiTheme="minorEastAsia" w:eastAsiaTheme="minorEastAsia"/>
          <w:color w:val="000000" w:themeColor="text1"/>
          <w:sz w:val="24"/>
          <w:szCs w:val="24"/>
          <w14:textFill>
            <w14:solidFill>
              <w14:schemeClr w14:val="tx1"/>
            </w14:solidFill>
          </w14:textFill>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9" w:name="_Ref467379436"/>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6</w:t>
      </w:r>
      <w:r>
        <w:rPr>
          <w:rFonts w:cs="Times New Roman" w:asciiTheme="minorEastAsia" w:hAnsiTheme="minorEastAsia" w:eastAsiaTheme="minorEastAsia"/>
          <w:color w:val="000000" w:themeColor="text1"/>
          <w:sz w:val="24"/>
          <w:szCs w:val="24"/>
          <w14:textFill>
            <w14:solidFill>
              <w14:schemeClr w14:val="tx1"/>
            </w14:solidFill>
          </w14:textFill>
        </w:rPr>
        <w:t>“现场”系指合同约定</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的地点。</w:t>
      </w:r>
      <w:bookmarkEnd w:id="109"/>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10" w:name="_Toc487900350"/>
      <w:bookmarkStart w:id="111" w:name="_Toc259093670"/>
      <w:bookmarkStart w:id="112" w:name="_Toc279701241"/>
      <w:bookmarkStart w:id="113" w:name="_Toc13336"/>
      <w:bookmarkStart w:id="114" w:name="_Toc32504"/>
      <w:bookmarkStart w:id="115" w:name="_Toc27635"/>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2 技术规范</w:t>
      </w:r>
      <w:bookmarkEnd w:id="110"/>
      <w:bookmarkEnd w:id="111"/>
      <w:bookmarkEnd w:id="112"/>
      <w:bookmarkEnd w:id="113"/>
      <w:bookmarkEnd w:id="114"/>
      <w:bookmarkEnd w:id="11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货物所应遵守的技术规范应与采购文件规定的技术规范和技术规范附件(如果有的话)及其技术规范偏差表(如果被甲方接受的话)相一致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如果采购文件中没有技术规范的相应说明，那么应以国家有关部门最新颁布的相应标准</w:t>
      </w:r>
      <w:r>
        <w:rPr>
          <w:rFonts w:hint="eastAsia" w:cs="Times New Roman" w:asciiTheme="minorEastAsia" w:hAnsiTheme="minorEastAsia" w:eastAsiaTheme="minorEastAsia"/>
          <w:color w:val="000000" w:themeColor="text1"/>
          <w:sz w:val="24"/>
          <w:szCs w:val="24"/>
          <w14:textFill>
            <w14:solidFill>
              <w14:schemeClr w14:val="tx1"/>
            </w14:solidFill>
          </w14:textFill>
        </w:rPr>
        <w:t>和</w:t>
      </w:r>
      <w:r>
        <w:rPr>
          <w:rFonts w:cs="Times New Roman" w:asciiTheme="minorEastAsia" w:hAnsiTheme="minorEastAsia" w:eastAsiaTheme="minorEastAsia"/>
          <w:color w:val="000000" w:themeColor="text1"/>
          <w:sz w:val="24"/>
          <w:szCs w:val="24"/>
          <w14:textFill>
            <w14:solidFill>
              <w14:schemeClr w14:val="tx1"/>
            </w14:solidFill>
          </w14:textFill>
        </w:rPr>
        <w:t>规范为准。</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16" w:name="_Toc487900351"/>
      <w:bookmarkStart w:id="117" w:name="_Toc9829"/>
      <w:bookmarkStart w:id="118" w:name="_Toc27853"/>
      <w:bookmarkStart w:id="119" w:name="_Toc31634"/>
      <w:bookmarkStart w:id="120" w:name="_Toc279701242"/>
      <w:bookmarkStart w:id="121" w:name="_Toc259093671"/>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3 知识产权</w:t>
      </w:r>
      <w:bookmarkEnd w:id="116"/>
      <w:bookmarkEnd w:id="117"/>
      <w:bookmarkEnd w:id="118"/>
      <w:bookmarkEnd w:id="119"/>
      <w:bookmarkEnd w:id="120"/>
      <w:bookmarkEnd w:id="12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2.3.1乙</w:t>
      </w:r>
      <w:r>
        <w:rPr>
          <w:rFonts w:cs="Times New Roman" w:asciiTheme="minorEastAsia" w:hAnsiTheme="minorEastAsia" w:eastAsiaTheme="minorEastAsia"/>
          <w:color w:val="000000" w:themeColor="text1"/>
          <w:sz w:val="24"/>
          <w:szCs w:val="24"/>
          <w14:textFill>
            <w14:solidFill>
              <w14:schemeClr w14:val="tx1"/>
            </w14:solidFill>
          </w14:textFill>
        </w:rPr>
        <w:t>方应保证</w:t>
      </w:r>
      <w:r>
        <w:rPr>
          <w:rFonts w:hint="eastAsia" w:cs="Times New Roman" w:asciiTheme="minorEastAsia" w:hAnsiTheme="minorEastAsia" w:eastAsiaTheme="minorEastAsia"/>
          <w:color w:val="000000" w:themeColor="text1"/>
          <w:sz w:val="24"/>
          <w:szCs w:val="24"/>
          <w14:textFill>
            <w14:solidFill>
              <w14:schemeClr w14:val="tx1"/>
            </w14:solidFill>
          </w14:textFill>
        </w:rPr>
        <w:t>其提供的服务</w:t>
      </w:r>
      <w:r>
        <w:rPr>
          <w:rFonts w:cs="Times New Roman" w:asciiTheme="minorEastAsia" w:hAnsiTheme="minorEastAsia" w:eastAsiaTheme="minorEastAsia"/>
          <w:color w:val="000000" w:themeColor="text1"/>
          <w:sz w:val="24"/>
          <w:szCs w:val="24"/>
          <w14:textFill>
            <w14:solidFill>
              <w14:schemeClr w14:val="tx1"/>
            </w14:solidFill>
          </w14:textFill>
        </w:rPr>
        <w:t>不受任何第三方提出的侵犯其著作权、商标权、专利权等知识产权方面的起诉</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如果任何第三方提出侵权</w:t>
      </w:r>
      <w:r>
        <w:rPr>
          <w:rFonts w:hint="eastAsia" w:cs="Times New Roman" w:asciiTheme="minorEastAsia" w:hAnsiTheme="minorEastAsia" w:eastAsiaTheme="minorEastAsia"/>
          <w:color w:val="000000" w:themeColor="text1"/>
          <w:sz w:val="24"/>
          <w:szCs w:val="24"/>
          <w14:textFill>
            <w14:solidFill>
              <w14:schemeClr w14:val="tx1"/>
            </w14:solidFill>
          </w14:textFill>
        </w:rPr>
        <w:t>指控</w:t>
      </w:r>
      <w:r>
        <w:rPr>
          <w:rFonts w:cs="Times New Roman" w:asciiTheme="minorEastAsia" w:hAnsiTheme="minorEastAsia" w:eastAsiaTheme="minorEastAsia"/>
          <w:color w:val="000000" w:themeColor="text1"/>
          <w:sz w:val="24"/>
          <w:szCs w:val="24"/>
          <w14:textFill>
            <w14:solidFill>
              <w14:schemeClr w14:val="tx1"/>
            </w14:solidFill>
          </w14:textFill>
        </w:rPr>
        <w:t>，那么乙方须与该第三方交涉并承担由此发生的一切责任、费用和赔偿</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2.3.2具有知识产权的计算机软件等货物的知识产权归属，</w:t>
      </w:r>
      <w:r>
        <w:rPr>
          <w:rFonts w:cs="Times New Roman" w:asciiTheme="minorEastAsia" w:hAnsiTheme="minorEastAsia" w:eastAsiaTheme="minorEastAsia"/>
          <w:color w:val="000000" w:themeColor="text1"/>
          <w:sz w:val="24"/>
          <w:szCs w:val="24"/>
          <w14:textFill>
            <w14:solidFill>
              <w14:schemeClr w14:val="tx1"/>
            </w14:solidFill>
          </w14:textFill>
        </w:rPr>
        <w:t>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22" w:name="_Toc487900354"/>
      <w:bookmarkStart w:id="123" w:name="_Ref467378591"/>
      <w:bookmarkStart w:id="124" w:name="_Ref467379542"/>
      <w:bookmarkStart w:id="125" w:name="_Toc259093674"/>
      <w:bookmarkStart w:id="126" w:name="_Ref467379527"/>
      <w:bookmarkStart w:id="127" w:name="_Ref467379536"/>
      <w:bookmarkStart w:id="128" w:name="_Toc279701245"/>
      <w:bookmarkStart w:id="129" w:name="_Ref467378541"/>
      <w:bookmarkStart w:id="130" w:name="_Toc30272"/>
      <w:bookmarkStart w:id="131" w:name="_Toc19074"/>
      <w:bookmarkStart w:id="132" w:name="_Toc26182"/>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bookmarkEnd w:id="122"/>
      <w:bookmarkEnd w:id="123"/>
      <w:bookmarkEnd w:id="124"/>
      <w:bookmarkEnd w:id="125"/>
      <w:bookmarkEnd w:id="126"/>
      <w:bookmarkEnd w:id="127"/>
      <w:bookmarkEnd w:id="128"/>
      <w:bookmarkEnd w:id="129"/>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4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履约检查和问题反馈</w:t>
      </w:r>
      <w:bookmarkEnd w:id="130"/>
      <w:bookmarkEnd w:id="131"/>
      <w:bookmarkEnd w:id="13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33" w:name="_Toc186431854"/>
      <w:bookmarkStart w:id="134" w:name="_Ref467379807"/>
      <w:bookmarkStart w:id="135" w:name="_Toc259093676"/>
      <w:bookmarkStart w:id="136" w:name="_Ref467379793"/>
      <w:bookmarkStart w:id="137" w:name="_Toc487900357"/>
      <w:bookmarkStart w:id="138" w:name="_Toc279701247"/>
      <w:r>
        <w:rPr>
          <w:rFonts w:hint="eastAsia" w:cs="Times New Roman" w:asciiTheme="minorEastAsia" w:hAnsiTheme="minorEastAsia" w:eastAsiaTheme="minorEastAsia"/>
          <w:color w:val="000000" w:themeColor="text1"/>
          <w:sz w:val="24"/>
          <w:szCs w:val="24"/>
          <w14:textFill>
            <w14:solidFill>
              <w14:schemeClr w14:val="tx1"/>
            </w14:solidFill>
          </w14:textFill>
        </w:rPr>
        <w:t>2.4</w:t>
      </w:r>
      <w:r>
        <w:rPr>
          <w:rFonts w:cs="Times New Roman" w:asciiTheme="minorEastAsia" w:hAnsiTheme="minorEastAsia" w:eastAsiaTheme="minorEastAsia"/>
          <w:color w:val="000000" w:themeColor="text1"/>
          <w:sz w:val="24"/>
          <w:szCs w:val="24"/>
          <w14:textFill>
            <w14:solidFill>
              <w14:schemeClr w14:val="tx1"/>
            </w14:solidFill>
          </w14:textFill>
        </w:rPr>
        <w:t>.1甲方</w:t>
      </w:r>
      <w:r>
        <w:rPr>
          <w:rFonts w:hint="eastAsia" w:cs="Times New Roman" w:asciiTheme="minorEastAsia" w:hAnsiTheme="minorEastAsia" w:eastAsiaTheme="minorEastAsia"/>
          <w:color w:val="000000" w:themeColor="text1"/>
          <w:sz w:val="24"/>
          <w:szCs w:val="24"/>
          <w14:textFill>
            <w14:solidFill>
              <w14:schemeClr w14:val="tx1"/>
            </w14:solidFill>
          </w14:textFill>
        </w:rPr>
        <w:t>有权</w:t>
      </w:r>
      <w:r>
        <w:rPr>
          <w:rFonts w:cs="Times New Roman" w:asciiTheme="minorEastAsia" w:hAnsiTheme="minorEastAsia" w:eastAsiaTheme="minorEastAsia"/>
          <w:color w:val="000000" w:themeColor="text1"/>
          <w:sz w:val="24"/>
          <w:szCs w:val="24"/>
          <w14:textFill>
            <w14:solidFill>
              <w14:schemeClr w14:val="tx1"/>
            </w14:solidFill>
          </w14:textFill>
        </w:rPr>
        <w:t>在其认为必要时</w:t>
      </w:r>
      <w:r>
        <w:rPr>
          <w:rFonts w:hint="eastAsia" w:cs="Times New Roman" w:asciiTheme="minorEastAsia" w:hAnsiTheme="minorEastAsia" w:eastAsiaTheme="minorEastAsia"/>
          <w:color w:val="000000" w:themeColor="text1"/>
          <w:sz w:val="24"/>
          <w:szCs w:val="24"/>
          <w14:textFill>
            <w14:solidFill>
              <w14:schemeClr w14:val="tx1"/>
            </w14:solidFill>
          </w14:textFill>
        </w:rPr>
        <w:t>，对乙方是否能够按照合同约定提供服务进行履约检查，以确保乙方所提供的服务能够依约满足甲方项目需求，但不得因履约检查妨碍乙方的正常工作，乙方应予积极配合；</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4</w:t>
      </w:r>
      <w:r>
        <w:rPr>
          <w:rFonts w:hint="eastAsia" w:cs="Times New Roman" w:asciiTheme="minorEastAsia" w:hAnsiTheme="minorEastAsia" w:eastAsiaTheme="minorEastAsia"/>
          <w:color w:val="000000" w:themeColor="text1"/>
          <w:sz w:val="24"/>
          <w:szCs w:val="24"/>
          <w14:textFill>
            <w14:solidFill>
              <w14:schemeClr w14:val="tx1"/>
            </w14:solidFill>
          </w14:textFill>
        </w:rPr>
        <w:t>.2合同履行期间，甲方有权将履行过程中出现的问题反馈给乙方，双方当事人应以书面形式约定需要完善和改进的内容</w:t>
      </w:r>
      <w:bookmarkEnd w:id="133"/>
      <w:bookmarkStart w:id="139" w:name="_Toc186431855"/>
      <w:r>
        <w:rPr>
          <w:rFonts w:hint="eastAsia" w:cs="Times New Roman" w:asciiTheme="minorEastAsia" w:hAnsiTheme="minorEastAsia" w:eastAsiaTheme="minorEastAsia"/>
          <w:color w:val="000000" w:themeColor="text1"/>
          <w:sz w:val="24"/>
          <w:szCs w:val="24"/>
          <w14:textFill>
            <w14:solidFill>
              <w14:schemeClr w14:val="tx1"/>
            </w14:solidFill>
          </w14:textFill>
        </w:rPr>
        <w:t>。</w:t>
      </w:r>
    </w:p>
    <w:bookmarkEnd w:id="139"/>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40" w:name="_Toc28451"/>
      <w:bookmarkStart w:id="141" w:name="_Toc7836"/>
      <w:bookmarkStart w:id="142" w:name="_Toc1921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5</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结算方式和付款条件</w:t>
      </w:r>
      <w:bookmarkEnd w:id="134"/>
      <w:bookmarkEnd w:id="135"/>
      <w:bookmarkEnd w:id="136"/>
      <w:bookmarkEnd w:id="137"/>
      <w:bookmarkEnd w:id="138"/>
      <w:bookmarkEnd w:id="140"/>
      <w:bookmarkEnd w:id="141"/>
      <w:bookmarkEnd w:id="14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43" w:name="_Toc487900358"/>
      <w:bookmarkStart w:id="144" w:name="_Ref467379852"/>
      <w:bookmarkStart w:id="145" w:name="_Ref467379923"/>
      <w:bookmarkStart w:id="146" w:name="_Toc279701248"/>
      <w:bookmarkStart w:id="147" w:name="_Ref467379863"/>
      <w:bookmarkStart w:id="148" w:name="_Toc259093677"/>
      <w:bookmarkStart w:id="149" w:name="_Toc3225"/>
      <w:bookmarkStart w:id="150" w:name="_Toc16110"/>
      <w:bookmarkStart w:id="151" w:name="_Toc77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6</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技术资料</w:t>
      </w:r>
      <w:bookmarkEnd w:id="143"/>
      <w:bookmarkEnd w:id="144"/>
      <w:bookmarkEnd w:id="145"/>
      <w:bookmarkEnd w:id="146"/>
      <w:bookmarkEnd w:id="147"/>
      <w:bookmarkEnd w:id="148"/>
      <w:r>
        <w:rPr>
          <w:rFonts w:cs="Times New Roman" w:asciiTheme="minorEastAsia" w:hAnsiTheme="minorEastAsia" w:eastAsiaTheme="minorEastAsia"/>
          <w:b/>
          <w:bCs/>
          <w:color w:val="000000" w:themeColor="text1"/>
          <w:sz w:val="24"/>
          <w:szCs w:val="24"/>
          <w:lang w:val="zh-CN"/>
          <w14:textFill>
            <w14:solidFill>
              <w14:schemeClr w14:val="tx1"/>
            </w14:solidFill>
          </w14:textFill>
        </w:rPr>
        <w:t>和保密义务</w:t>
      </w:r>
      <w:bookmarkEnd w:id="149"/>
      <w:bookmarkEnd w:id="150"/>
      <w:bookmarkEnd w:id="15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6.1</w:t>
      </w:r>
      <w:r>
        <w:rPr>
          <w:rFonts w:hint="eastAsia" w:cs="Times New Roman" w:asciiTheme="minorEastAsia" w:hAnsiTheme="minorEastAsia" w:eastAsiaTheme="minorEastAsia"/>
          <w:color w:val="000000" w:themeColor="text1"/>
          <w:sz w:val="24"/>
          <w:szCs w:val="24"/>
          <w14:textFill>
            <w14:solidFill>
              <w14:schemeClr w14:val="tx1"/>
            </w14:solidFill>
          </w14:textFill>
        </w:rPr>
        <w:t>乙方有权依据合同约定和项目需要，向甲方了解有关情况，调阅有关资料等，甲方应予积极配合；</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6</w:t>
      </w:r>
      <w:r>
        <w:rPr>
          <w:rFonts w:hint="eastAsia" w:cs="Times New Roman" w:asciiTheme="minorEastAsia" w:hAnsiTheme="minorEastAsia" w:eastAsiaTheme="minorEastAsia"/>
          <w:color w:val="000000" w:themeColor="text1"/>
          <w:sz w:val="24"/>
          <w:szCs w:val="24"/>
          <w14:textFill>
            <w14:solidFill>
              <w14:schemeClr w14:val="tx1"/>
            </w14:solidFill>
          </w14:textFill>
        </w:rPr>
        <w:t>.2乙方有义务妥善保管和保护由甲方提供的前款信息和资料等；</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6.</w:t>
      </w:r>
      <w:r>
        <w:rPr>
          <w:rFonts w:hint="eastAsia" w:cs="Times New Roman" w:asciiTheme="minorEastAsia" w:hAnsiTheme="minorEastAsia" w:eastAsiaTheme="minorEastAsia"/>
          <w:color w:val="000000" w:themeColor="text1"/>
          <w:sz w:val="24"/>
          <w:szCs w:val="24"/>
          <w14:textFill>
            <w14:solidFill>
              <w14:schemeClr w14:val="tx1"/>
            </w14:solidFill>
          </w14:textFill>
        </w:rPr>
        <w:t>3除非依照法律规定或者对方当事人的书面同意，任何一方均应保证不向任何第三方提供或披露有关合同的或者履行合同过程中知悉的对方当事人任何未公开的信息和资料，包括但不限于</w:t>
      </w:r>
      <w:r>
        <w:rPr>
          <w:rFonts w:cs="Times New Roman" w:asciiTheme="minorEastAsia" w:hAnsiTheme="minorEastAsia" w:eastAsiaTheme="minorEastAsia"/>
          <w:color w:val="000000" w:themeColor="text1"/>
          <w:sz w:val="24"/>
          <w:szCs w:val="24"/>
          <w14:textFill>
            <w14:solidFill>
              <w14:schemeClr w14:val="tx1"/>
            </w14:solidFill>
          </w14:textFill>
        </w:rPr>
        <w:t>技术情报</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技术资料</w:t>
      </w:r>
      <w:r>
        <w:rPr>
          <w:rFonts w:hint="eastAsia" w:cs="Times New Roman" w:asciiTheme="minorEastAsia" w:hAnsiTheme="minorEastAsia" w:eastAsiaTheme="minorEastAsia"/>
          <w:color w:val="000000" w:themeColor="text1"/>
          <w:sz w:val="24"/>
          <w:szCs w:val="24"/>
          <w14:textFill>
            <w14:solidFill>
              <w14:schemeClr w14:val="tx1"/>
            </w14:solidFill>
          </w14:textFill>
        </w:rPr>
        <w:t>、商业秘密和商业信息等，并采取一切合理和必要措施和方式防止任何第三方接触到对方当事人的上述保密信息和资料。</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52" w:name="_Toc7860"/>
      <w:r>
        <w:rPr>
          <w:rFonts w:cs="Times New Roman" w:asciiTheme="minorEastAsia" w:hAnsiTheme="minorEastAsia" w:eastAsiaTheme="minorEastAsia"/>
          <w:b/>
          <w:bCs/>
          <w:color w:val="000000" w:themeColor="text1"/>
          <w:sz w:val="24"/>
          <w:szCs w:val="24"/>
          <w:lang w:val="zh-CN"/>
          <w14:textFill>
            <w14:solidFill>
              <w14:schemeClr w14:val="tx1"/>
            </w14:solidFill>
          </w14:textFill>
        </w:rPr>
        <w:t>2.7 质量保证</w:t>
      </w:r>
      <w:bookmarkEnd w:id="15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7</w:t>
      </w:r>
      <w:r>
        <w:rPr>
          <w:rFonts w:hint="eastAsia" w:cs="Times New Roman" w:asciiTheme="minorEastAsia" w:hAnsiTheme="minorEastAsia" w:eastAsiaTheme="minorEastAsia"/>
          <w:color w:val="000000" w:themeColor="text1"/>
          <w:sz w:val="24"/>
          <w:szCs w:val="24"/>
          <w14:textFill>
            <w14:solidFill>
              <w14:schemeClr w14:val="tx1"/>
            </w14:solidFill>
          </w14:textFill>
        </w:rPr>
        <w:t>.1乙方应建立和完善履行合同的内部质量保证体系，并提供相关内部规章制度给甲方，以便甲方进行监督检查；</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7</w:t>
      </w:r>
      <w:r>
        <w:rPr>
          <w:rFonts w:hint="eastAsia" w:cs="Times New Roman" w:asciiTheme="minorEastAsia" w:hAnsiTheme="minorEastAsia" w:eastAsiaTheme="minorEastAsia"/>
          <w:color w:val="000000" w:themeColor="text1"/>
          <w:sz w:val="24"/>
          <w:szCs w:val="24"/>
          <w14:textFill>
            <w14:solidFill>
              <w14:schemeClr w14:val="tx1"/>
            </w14:solidFill>
          </w14:textFill>
        </w:rPr>
        <w:t>.2乙方应保证履行合同的人员数量和素质、软件和硬件设备的配置、场地、环境和设施等满足全面履行合同的要求，并应接受甲方的监督检查。</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53" w:name="_Toc22267"/>
      <w:r>
        <w:rPr>
          <w:rFonts w:hint="eastAsia" w:cs="Times New Roman" w:asciiTheme="minorEastAsia" w:hAnsiTheme="minorEastAsia" w:eastAsiaTheme="minorEastAsia"/>
          <w:b/>
          <w:color w:val="000000" w:themeColor="text1"/>
          <w:sz w:val="24"/>
          <w:szCs w:val="24"/>
          <w14:textFill>
            <w14:solidFill>
              <w14:schemeClr w14:val="tx1"/>
            </w14:solidFill>
          </w14:textFill>
        </w:rPr>
        <w:t>2.8 延迟履行</w:t>
      </w:r>
      <w:bookmarkEnd w:id="153"/>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在合同履行过程中，如果乙方遇到不能按时</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的情况，应及时以书面形式将不能按时</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的理由、预期延误时间通知甲方</w:t>
      </w:r>
      <w:r>
        <w:rPr>
          <w:rFonts w:hint="eastAsia" w:cs="Times New Roman" w:asciiTheme="minorEastAsia" w:hAnsiTheme="minorEastAsia" w:eastAsiaTheme="minorEastAsia"/>
          <w:color w:val="000000" w:themeColor="text1"/>
          <w:sz w:val="24"/>
          <w:szCs w:val="24"/>
          <w14:textFill>
            <w14:solidFill>
              <w14:schemeClr w14:val="tx1"/>
            </w14:solidFill>
          </w14:textFill>
        </w:rPr>
        <w:t>；甲</w:t>
      </w:r>
      <w:r>
        <w:rPr>
          <w:rFonts w:cs="Times New Roman" w:asciiTheme="minorEastAsia" w:hAnsiTheme="minorEastAsia" w:eastAsiaTheme="minorEastAsia"/>
          <w:color w:val="000000" w:themeColor="text1"/>
          <w:sz w:val="24"/>
          <w:szCs w:val="24"/>
          <w14:textFill>
            <w14:solidFill>
              <w14:schemeClr w14:val="tx1"/>
            </w14:solidFill>
          </w14:textFill>
        </w:rPr>
        <w:t>方收到乙方通知后，认为其理由正当的，可以书面形式酌情同意乙方可以延长</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的具体时间。</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54" w:name="_Toc7502"/>
      <w:bookmarkStart w:id="155" w:name="_Toc487900364"/>
      <w:bookmarkStart w:id="156" w:name="_Toc259093683"/>
      <w:bookmarkStart w:id="157" w:name="_Toc279701254"/>
      <w:bookmarkStart w:id="158" w:name="_Ref467378121"/>
      <w:r>
        <w:rPr>
          <w:rFonts w:cs="Times New Roman" w:asciiTheme="minorEastAsia" w:hAnsiTheme="minorEastAsia" w:eastAsiaTheme="minorEastAsia"/>
          <w:b/>
          <w:bCs/>
          <w:color w:val="000000" w:themeColor="text1"/>
          <w:sz w:val="24"/>
          <w:szCs w:val="24"/>
          <w:lang w:val="zh-CN"/>
          <w14:textFill>
            <w14:solidFill>
              <w14:schemeClr w14:val="tx1"/>
            </w14:solidFill>
          </w14:textFill>
        </w:rPr>
        <w:t>2.9 合同变更</w:t>
      </w:r>
      <w:bookmarkEnd w:id="154"/>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9</w:t>
      </w:r>
      <w:r>
        <w:rPr>
          <w:rFonts w:hint="eastAsia" w:cs="Times New Roman" w:asciiTheme="minorEastAsia" w:hAnsiTheme="minorEastAsia" w:eastAsiaTheme="minorEastAsia"/>
          <w:color w:val="000000" w:themeColor="text1"/>
          <w:sz w:val="24"/>
          <w:szCs w:val="24"/>
          <w14:textFill>
            <w14:solidFill>
              <w14:schemeClr w14:val="tx1"/>
            </w14:solidFill>
          </w14:textFill>
        </w:rPr>
        <w:t>.1双方当事人协商一致，可以签订书面补充合同的形式变更合同，但不得违背采购文件确定的事项；</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9</w:t>
      </w:r>
      <w:r>
        <w:rPr>
          <w:rFonts w:hint="eastAsia" w:cs="Times New Roman" w:asciiTheme="minorEastAsia" w:hAnsiTheme="minorEastAsia" w:eastAsiaTheme="minorEastAsia"/>
          <w:color w:val="000000" w:themeColor="text1"/>
          <w:sz w:val="24"/>
          <w:szCs w:val="24"/>
          <w14:textFill>
            <w14:solidFill>
              <w14:schemeClr w14:val="tx1"/>
            </w14:solidFill>
          </w14:textFill>
        </w:rPr>
        <w:t>.2合同继续履行将损害国家利益和社会公共利益的，双方当事人应当以书面形式变更合同。有过错的一方应当承担赔偿责任，双方当事人都有过错的，各自承担相应的责任。</w:t>
      </w:r>
      <w:bookmarkStart w:id="159" w:name="_Toc279701259"/>
      <w:bookmarkStart w:id="160" w:name="_Toc487900369"/>
      <w:bookmarkStart w:id="161" w:name="_Toc259093688"/>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62" w:name="_Toc22955"/>
      <w:bookmarkStart w:id="163" w:name="_Toc15237"/>
      <w:bookmarkStart w:id="164" w:name="_Toc1036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0</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合同转让</w:t>
      </w:r>
      <w:bookmarkEnd w:id="159"/>
      <w:bookmarkEnd w:id="160"/>
      <w:bookmarkEnd w:id="161"/>
      <w:r>
        <w:rPr>
          <w:rFonts w:cs="Times New Roman" w:asciiTheme="minorEastAsia" w:hAnsiTheme="minorEastAsia" w:eastAsiaTheme="minorEastAsia"/>
          <w:b/>
          <w:bCs/>
          <w:color w:val="000000" w:themeColor="text1"/>
          <w:sz w:val="24"/>
          <w:szCs w:val="24"/>
          <w:lang w:val="zh-CN"/>
          <w14:textFill>
            <w14:solidFill>
              <w14:schemeClr w14:val="tx1"/>
            </w14:solidFill>
          </w14:textFill>
        </w:rPr>
        <w:t>和分包</w:t>
      </w:r>
      <w:bookmarkEnd w:id="162"/>
      <w:bookmarkEnd w:id="163"/>
      <w:bookmarkEnd w:id="164"/>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合同的权利义务依法不</w:t>
      </w:r>
      <w:r>
        <w:rPr>
          <w:rFonts w:hint="eastAsia" w:cs="Times New Roman" w:asciiTheme="minorEastAsia" w:hAnsiTheme="minorEastAsia" w:eastAsiaTheme="minorEastAsia"/>
          <w:color w:val="000000" w:themeColor="text1"/>
          <w:sz w:val="24"/>
          <w:szCs w:val="24"/>
          <w14:textFill>
            <w14:solidFill>
              <w14:schemeClr w14:val="tx1"/>
            </w14:solidFill>
          </w14:textFill>
        </w:rPr>
        <w:t>得</w:t>
      </w:r>
      <w:r>
        <w:rPr>
          <w:rFonts w:cs="Times New Roman" w:asciiTheme="minorEastAsia" w:hAnsiTheme="minorEastAsia" w:eastAsiaTheme="minorEastAsia"/>
          <w:color w:val="000000" w:themeColor="text1"/>
          <w:sz w:val="24"/>
          <w:szCs w:val="24"/>
          <w14:textFill>
            <w14:solidFill>
              <w14:schemeClr w14:val="tx1"/>
            </w14:solidFill>
          </w14:textFill>
        </w:rPr>
        <w:t>转让</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但经甲方</w:t>
      </w:r>
      <w:r>
        <w:rPr>
          <w:rFonts w:hint="eastAsia" w:cs="Times New Roman" w:asciiTheme="minorEastAsia" w:hAnsiTheme="minorEastAsia" w:eastAsiaTheme="minorEastAsia"/>
          <w:color w:val="000000" w:themeColor="text1"/>
          <w:sz w:val="24"/>
          <w:szCs w:val="24"/>
          <w14:textFill>
            <w14:solidFill>
              <w14:schemeClr w14:val="tx1"/>
            </w14:solidFill>
          </w14:textFill>
        </w:rPr>
        <w:t>同意，乙方可以依法采取分包方式履行合同，即：依法可以</w:t>
      </w:r>
      <w:r>
        <w:rPr>
          <w:rFonts w:cs="Times New Roman" w:asciiTheme="minorEastAsia" w:hAnsiTheme="minorEastAsia" w:eastAsiaTheme="minorEastAsia"/>
          <w:color w:val="000000" w:themeColor="text1"/>
          <w:sz w:val="24"/>
          <w:szCs w:val="24"/>
          <w14:textFill>
            <w14:solidFill>
              <w14:schemeClr w14:val="tx1"/>
            </w14:solidFill>
          </w14:textFill>
        </w:rPr>
        <w:t>将合同项下的部分非主体、非关键性工作分包给他人完成</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接受分包的人应当具备相应的资格条件，并不得再次分包</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且乙方应就分包项目向甲方负责</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并</w:t>
      </w:r>
      <w:r>
        <w:rPr>
          <w:rFonts w:hint="eastAsia" w:cs="Times New Roman" w:asciiTheme="minorEastAsia" w:hAnsiTheme="minorEastAsia" w:eastAsiaTheme="minorEastAsia"/>
          <w:color w:val="000000" w:themeColor="text1"/>
          <w:sz w:val="24"/>
          <w:szCs w:val="24"/>
          <w14:textFill>
            <w14:solidFill>
              <w14:schemeClr w14:val="tx1"/>
            </w14:solidFill>
          </w14:textFill>
        </w:rPr>
        <w:t>与分包供应商就分包项目向甲方承担连带责任。</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65" w:name="_Toc16508"/>
      <w:bookmarkStart w:id="166" w:name="_Toc14066"/>
      <w:bookmarkStart w:id="167" w:name="_Toc1356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 不可抗力</w:t>
      </w:r>
      <w:bookmarkEnd w:id="165"/>
      <w:bookmarkEnd w:id="166"/>
      <w:bookmarkEnd w:id="167"/>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1.1如果任何一方遭遇法律规定的不可抗力，致使合同履行受阻时，履行合同的期限应予延长，延长的期限应相当于不可抗力所影响的时间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.2因不可抗力致使不能实现合同目的的，当事人可以解除合同；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.3因</w:t>
      </w:r>
      <w:r>
        <w:rPr>
          <w:rFonts w:cs="Times New Roman" w:asciiTheme="minorEastAsia" w:hAnsiTheme="minorEastAsia" w:eastAsiaTheme="minorEastAsia"/>
          <w:color w:val="000000" w:themeColor="text1"/>
          <w:sz w:val="24"/>
          <w:szCs w:val="24"/>
          <w14:textFill>
            <w14:solidFill>
              <w14:schemeClr w14:val="tx1"/>
            </w14:solidFill>
          </w14:textFill>
        </w:rPr>
        <w:t>不可抗力致使合同有变更必要的，双方当事人应在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约定时间内以书面形式变更合同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4</w:t>
      </w:r>
      <w:r>
        <w:rPr>
          <w:rFonts w:cs="Times New Roman" w:asciiTheme="minorEastAsia" w:hAnsiTheme="minorEastAsia" w:eastAsiaTheme="minorEastAsia"/>
          <w:color w:val="000000" w:themeColor="text1"/>
          <w:sz w:val="24"/>
          <w:szCs w:val="24"/>
          <w14:textFill>
            <w14:solidFill>
              <w14:schemeClr w14:val="tx1"/>
            </w14:solidFill>
          </w14:textFill>
        </w:rPr>
        <w:t>受</w:t>
      </w:r>
      <w:r>
        <w:rPr>
          <w:rFonts w:hint="eastAsia" w:cs="Times New Roman" w:asciiTheme="minorEastAsia" w:hAnsiTheme="minorEastAsia" w:eastAsiaTheme="minorEastAsia"/>
          <w:color w:val="000000" w:themeColor="text1"/>
          <w:sz w:val="24"/>
          <w:szCs w:val="24"/>
          <w14:textFill>
            <w14:solidFill>
              <w14:schemeClr w14:val="tx1"/>
            </w14:solidFill>
          </w14:textFill>
        </w:rPr>
        <w:t>不可抗力</w:t>
      </w:r>
      <w:r>
        <w:rPr>
          <w:rFonts w:cs="Times New Roman" w:asciiTheme="minorEastAsia" w:hAnsiTheme="minorEastAsia" w:eastAsiaTheme="minorEastAsia"/>
          <w:color w:val="000000" w:themeColor="text1"/>
          <w:sz w:val="24"/>
          <w:szCs w:val="24"/>
          <w14:textFill>
            <w14:solidFill>
              <w14:schemeClr w14:val="tx1"/>
            </w14:solidFill>
          </w14:textFill>
        </w:rPr>
        <w:t>影响的一方在不可抗力发生后</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应在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约定时间内以书面形式通知</w:t>
      </w:r>
      <w:r>
        <w:rPr>
          <w:rFonts w:hint="eastAsia" w:cs="Times New Roman" w:asciiTheme="minorEastAsia" w:hAnsiTheme="minorEastAsia" w:eastAsiaTheme="minorEastAsia"/>
          <w:color w:val="000000" w:themeColor="text1"/>
          <w:sz w:val="24"/>
          <w:szCs w:val="24"/>
          <w14:textFill>
            <w14:solidFill>
              <w14:schemeClr w14:val="tx1"/>
            </w14:solidFill>
          </w14:textFill>
        </w:rPr>
        <w:t>对</w:t>
      </w:r>
      <w:r>
        <w:rPr>
          <w:rFonts w:cs="Times New Roman" w:asciiTheme="minorEastAsia" w:hAnsiTheme="minorEastAsia" w:eastAsiaTheme="minorEastAsia"/>
          <w:color w:val="000000" w:themeColor="text1"/>
          <w:sz w:val="24"/>
          <w:szCs w:val="24"/>
          <w14:textFill>
            <w14:solidFill>
              <w14:schemeClr w14:val="tx1"/>
            </w14:solidFill>
          </w14:textFill>
        </w:rPr>
        <w:t>方当事人，并在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约定时间内，将有关部门出具的证明文件送达</w:t>
      </w:r>
      <w:r>
        <w:rPr>
          <w:rFonts w:hint="eastAsia" w:cs="Times New Roman" w:asciiTheme="minorEastAsia" w:hAnsiTheme="minorEastAsia" w:eastAsiaTheme="minorEastAsia"/>
          <w:color w:val="000000" w:themeColor="text1"/>
          <w:sz w:val="24"/>
          <w:szCs w:val="24"/>
          <w14:textFill>
            <w14:solidFill>
              <w14:schemeClr w14:val="tx1"/>
            </w14:solidFill>
          </w14:textFill>
        </w:rPr>
        <w:t>对方当事人</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68" w:name="_Toc689"/>
      <w:bookmarkStart w:id="169" w:name="_Toc487900365"/>
      <w:bookmarkStart w:id="170" w:name="_Toc6969"/>
      <w:bookmarkStart w:id="171" w:name="_Toc30676"/>
      <w:bookmarkStart w:id="172" w:name="_Toc259093684"/>
      <w:bookmarkStart w:id="173" w:name="_Toc279701255"/>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12</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税费</w:t>
      </w:r>
      <w:bookmarkEnd w:id="168"/>
      <w:bookmarkEnd w:id="169"/>
      <w:bookmarkEnd w:id="170"/>
      <w:bookmarkEnd w:id="171"/>
      <w:bookmarkEnd w:id="172"/>
      <w:bookmarkEnd w:id="173"/>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与合同有关的一切税费</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均按照中华人民共和国法律的相关规定</w:t>
      </w:r>
      <w:r>
        <w:rPr>
          <w:rFonts w:hint="eastAsia" w:cs="Times New Roman" w:asciiTheme="minorEastAsia" w:hAnsiTheme="minorEastAsia" w:eastAsiaTheme="minorEastAsia"/>
          <w:color w:val="000000" w:themeColor="text1"/>
          <w:sz w:val="24"/>
          <w:szCs w:val="24"/>
          <w14:textFill>
            <w14:solidFill>
              <w14:schemeClr w14:val="tx1"/>
            </w14:solidFill>
          </w14:textFill>
        </w:rPr>
        <w:t>缴纳</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74" w:name="_Toc259093687"/>
      <w:bookmarkStart w:id="175" w:name="_Toc7102"/>
      <w:bookmarkStart w:id="176" w:name="_Toc487900368"/>
      <w:bookmarkStart w:id="177" w:name="_Toc16959"/>
      <w:bookmarkStart w:id="178" w:name="_Toc279701258"/>
      <w:bookmarkStart w:id="179" w:name="_Toc8298"/>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13</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乙方破产</w:t>
      </w:r>
      <w:bookmarkEnd w:id="174"/>
      <w:bookmarkEnd w:id="175"/>
      <w:bookmarkEnd w:id="176"/>
      <w:bookmarkEnd w:id="177"/>
      <w:bookmarkEnd w:id="178"/>
      <w:bookmarkEnd w:id="179"/>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如果乙方破产导致合同无法履行时，甲方可以书面形式通知乙方终止合同且不给予乙方任何补偿和赔偿</w:t>
      </w:r>
      <w:r>
        <w:rPr>
          <w:rFonts w:hint="eastAsia" w:cs="Times New Roman" w:asciiTheme="minorEastAsia" w:hAnsiTheme="minorEastAsia" w:eastAsiaTheme="minorEastAsia"/>
          <w:color w:val="000000" w:themeColor="text1"/>
          <w:sz w:val="24"/>
          <w:szCs w:val="24"/>
          <w14:textFill>
            <w14:solidFill>
              <w14:schemeClr w14:val="tx1"/>
            </w14:solidFill>
          </w14:textFill>
        </w:rPr>
        <w:t>，但合同的</w:t>
      </w:r>
      <w:r>
        <w:rPr>
          <w:rFonts w:cs="Times New Roman" w:asciiTheme="minorEastAsia" w:hAnsiTheme="minorEastAsia" w:eastAsiaTheme="minorEastAsia"/>
          <w:color w:val="000000" w:themeColor="text1"/>
          <w:sz w:val="24"/>
          <w:szCs w:val="24"/>
          <w14:textFill>
            <w14:solidFill>
              <w14:schemeClr w14:val="tx1"/>
            </w14:solidFill>
          </w14:textFill>
        </w:rPr>
        <w:t>终止不损害或不影响甲方已经采取或将要采取的任何要求乙方支付违约金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赔偿损失等的行动或补救措施的权利</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80" w:name="_Toc29333"/>
      <w:bookmarkStart w:id="181" w:name="_Toc15387"/>
      <w:bookmarkStart w:id="182" w:name="_Toc613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4</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合同中止、终止</w:t>
      </w:r>
      <w:bookmarkEnd w:id="180"/>
      <w:bookmarkEnd w:id="181"/>
      <w:bookmarkEnd w:id="18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4</w:t>
      </w:r>
      <w:r>
        <w:rPr>
          <w:rFonts w:hint="eastAsia" w:cs="Times New Roman" w:asciiTheme="minorEastAsia" w:hAnsiTheme="minorEastAsia" w:eastAsiaTheme="minorEastAsia"/>
          <w:color w:val="000000" w:themeColor="text1"/>
          <w:sz w:val="24"/>
          <w:szCs w:val="24"/>
          <w14:textFill>
            <w14:solidFill>
              <w14:schemeClr w14:val="tx1"/>
            </w14:solidFill>
          </w14:textFill>
        </w:rPr>
        <w:t>.1双方当事人不得擅自中止或者终止合同；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4</w:t>
      </w:r>
      <w:r>
        <w:rPr>
          <w:rFonts w:hint="eastAsia" w:cs="Times New Roman" w:asciiTheme="minorEastAsia" w:hAnsiTheme="minorEastAsia" w:eastAsiaTheme="minorEastAsia"/>
          <w:color w:val="000000" w:themeColor="text1"/>
          <w:sz w:val="24"/>
          <w:szCs w:val="24"/>
          <w14:textFill>
            <w14:solidFill>
              <w14:schemeClr w14:val="tx1"/>
            </w14:solidFill>
          </w14:textFill>
        </w:rPr>
        <w:t>.2合同继续履行将损害国家利益和社会公共利益的，双方当事人应当中止或者终止合同。有过错的一方应当承担赔偿责任，双方当事人都有过错的，各自承担相应的责任。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83" w:name="_Toc14563"/>
      <w:bookmarkStart w:id="184" w:name="_Toc1125"/>
      <w:bookmarkStart w:id="185" w:name="_Toc659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5</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检验和验收</w:t>
      </w:r>
      <w:bookmarkEnd w:id="183"/>
      <w:bookmarkEnd w:id="184"/>
      <w:bookmarkEnd w:id="18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5</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1乙方按照</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的约定</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定期提交服务报告</w:t>
      </w:r>
      <w:r>
        <w:rPr>
          <w:rFonts w:hint="eastAsia" w:cs="Times New Roman" w:asciiTheme="minorEastAsia" w:hAnsiTheme="minorEastAsia" w:eastAsiaTheme="minorEastAsia"/>
          <w:color w:val="000000" w:themeColor="text1"/>
          <w:sz w:val="24"/>
          <w:szCs w:val="24"/>
          <w14:textFill>
            <w14:solidFill>
              <w14:schemeClr w14:val="tx1"/>
            </w14:solidFill>
          </w14:textFill>
        </w:rPr>
        <w:t>，甲方按照</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的约定进行定期验收</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2.15.3检验和验收标准、程序等具体内容以及前述验收书的效力详见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hint="eastAsia" w:cs="Times New Roman" w:asciiTheme="minorEastAsia" w:hAnsiTheme="minorEastAsia" w:eastAsiaTheme="minorEastAsia"/>
          <w:i/>
          <w:color w:val="000000" w:themeColor="text1"/>
          <w:sz w:val="24"/>
          <w:szCs w:val="24"/>
          <w14:textFill>
            <w14:solidFill>
              <w14:schemeClr w14:val="tx1"/>
            </w14:solidFill>
          </w14:textFill>
        </w:rPr>
        <w:t>。</w:t>
      </w:r>
    </w:p>
    <w:bookmarkEnd w:id="155"/>
    <w:bookmarkEnd w:id="156"/>
    <w:bookmarkEnd w:id="157"/>
    <w:bookmarkEnd w:id="158"/>
    <w:p>
      <w:pPr>
        <w:spacing w:line="360" w:lineRule="auto"/>
        <w:ind w:firstLine="437"/>
        <w:outlineLvl w:val="2"/>
        <w:rPr>
          <w:rFonts w:cs="Times New Roman" w:asciiTheme="minorEastAsia" w:hAnsiTheme="minorEastAsia" w:eastAsiaTheme="minorEastAsia"/>
          <w:b/>
          <w:bCs/>
          <w:color w:val="000000" w:themeColor="text1"/>
          <w:sz w:val="24"/>
          <w:szCs w:val="24"/>
          <w14:textFill>
            <w14:solidFill>
              <w14:schemeClr w14:val="tx1"/>
            </w14:solidFill>
          </w14:textFill>
        </w:rPr>
      </w:pPr>
      <w:bookmarkStart w:id="186" w:name="_Toc487900373"/>
      <w:bookmarkStart w:id="187" w:name="_Toc18567"/>
      <w:bookmarkStart w:id="188" w:name="_Toc259093692"/>
      <w:bookmarkStart w:id="189" w:name="_Toc12773"/>
      <w:bookmarkStart w:id="190" w:name="_Toc10330"/>
      <w:bookmarkStart w:id="191" w:name="_Toc279701263"/>
      <w:r>
        <w:rPr>
          <w:rFonts w:hint="eastAsia" w:cs="Times New Roman" w:asciiTheme="minorEastAsia" w:hAnsiTheme="minorEastAsia" w:eastAsiaTheme="minorEastAsia"/>
          <w:b/>
          <w:bCs/>
          <w:color w:val="000000" w:themeColor="text1"/>
          <w:sz w:val="24"/>
          <w:szCs w:val="24"/>
          <w14:textFill>
            <w14:solidFill>
              <w14:schemeClr w14:val="tx1"/>
            </w14:solidFill>
          </w14:textFill>
        </w:rPr>
        <w:t>2.</w:t>
      </w:r>
      <w:r>
        <w:rPr>
          <w:rFonts w:cs="Times New Roman" w:asciiTheme="minorEastAsia" w:hAnsiTheme="minorEastAsia" w:eastAsiaTheme="minorEastAsia"/>
          <w:b/>
          <w:bCs/>
          <w:color w:val="000000" w:themeColor="text1"/>
          <w:sz w:val="24"/>
          <w:szCs w:val="24"/>
          <w14:textFill>
            <w14:solidFill>
              <w14:schemeClr w14:val="tx1"/>
            </w14:solidFill>
          </w14:textFill>
        </w:rPr>
        <w:t>16</w:t>
      </w:r>
      <w:r>
        <w:rPr>
          <w:rFonts w:hint="eastAsia" w:cs="Times New Roman" w:asciiTheme="minorEastAsia" w:hAnsiTheme="minorEastAsia" w:eastAsiaTheme="minorEastAsia"/>
          <w:b/>
          <w:bCs/>
          <w:color w:val="000000" w:themeColor="text1"/>
          <w:sz w:val="24"/>
          <w:szCs w:val="24"/>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合同使用的文字和</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适用的法律</w:t>
      </w:r>
      <w:bookmarkEnd w:id="186"/>
      <w:bookmarkEnd w:id="187"/>
      <w:bookmarkEnd w:id="188"/>
      <w:bookmarkEnd w:id="189"/>
      <w:bookmarkEnd w:id="190"/>
      <w:bookmarkEnd w:id="19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16.1合同使用汉语书就</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变更和解释</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16</w:t>
      </w:r>
      <w:r>
        <w:rPr>
          <w:rFonts w:hint="eastAsia" w:cs="Times New Roman" w:asciiTheme="minorEastAsia" w:hAnsiTheme="minorEastAsia" w:eastAsiaTheme="minorEastAsia"/>
          <w:color w:val="000000" w:themeColor="text1"/>
          <w:sz w:val="24"/>
          <w:szCs w:val="24"/>
          <w14:textFill>
            <w14:solidFill>
              <w14:schemeClr w14:val="tx1"/>
            </w14:solidFill>
          </w14:textFill>
        </w:rPr>
        <w:t>.2合同适用</w:t>
      </w:r>
      <w:r>
        <w:rPr>
          <w:rFonts w:cs="Times New Roman" w:asciiTheme="minorEastAsia" w:hAnsiTheme="minorEastAsia" w:eastAsiaTheme="minorEastAsia"/>
          <w:color w:val="000000" w:themeColor="text1"/>
          <w:sz w:val="24"/>
          <w:szCs w:val="24"/>
          <w14:textFill>
            <w14:solidFill>
              <w14:schemeClr w14:val="tx1"/>
            </w14:solidFill>
          </w14:textFill>
        </w:rPr>
        <w:t>中华人民共和国法律。</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92" w:name="_Toc12004"/>
      <w:bookmarkStart w:id="193" w:name="_Toc16673"/>
      <w:bookmarkStart w:id="194" w:name="_Toc3148"/>
      <w:bookmarkStart w:id="195" w:name="_Toc259093693"/>
      <w:bookmarkStart w:id="196" w:name="_Toc279701264"/>
      <w:bookmarkStart w:id="197" w:name="_Toc48790037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17</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履约保证金</w:t>
      </w:r>
      <w:bookmarkEnd w:id="192"/>
      <w:bookmarkEnd w:id="193"/>
      <w:bookmarkEnd w:id="194"/>
      <w:bookmarkEnd w:id="195"/>
      <w:bookmarkEnd w:id="196"/>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17</w:t>
      </w:r>
      <w:r>
        <w:rPr>
          <w:rFonts w:hint="eastAsia" w:cs="Times New Roman" w:asciiTheme="minorEastAsia" w:hAnsiTheme="minorEastAsia" w:eastAsiaTheme="minorEastAsia"/>
          <w:color w:val="000000" w:themeColor="text1"/>
          <w:sz w:val="24"/>
          <w:szCs w:val="24"/>
          <w14:textFill>
            <w14:solidFill>
              <w14:schemeClr w14:val="tx1"/>
            </w14:solidFill>
          </w14:textFill>
        </w:rPr>
        <w:t>.1采购文件要求乙方提交履约保证金的，乙方</w:t>
      </w:r>
      <w:r>
        <w:rPr>
          <w:rFonts w:cs="Times New Roman" w:asciiTheme="minorEastAsia" w:hAnsiTheme="minorEastAsia" w:eastAsiaTheme="minorEastAsia"/>
          <w:color w:val="000000" w:themeColor="text1"/>
          <w:sz w:val="24"/>
          <w:szCs w:val="24"/>
          <w14:textFill>
            <w14:solidFill>
              <w14:schemeClr w14:val="tx1"/>
            </w14:solidFill>
          </w14:textFill>
        </w:rPr>
        <w:t>应按</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约定的方式</w:t>
      </w:r>
      <w:r>
        <w:rPr>
          <w:rFonts w:hint="eastAsia" w:cs="Times New Roman" w:asciiTheme="minorEastAsia" w:hAnsiTheme="minorEastAsia" w:eastAsiaTheme="minorEastAsia"/>
          <w:color w:val="000000" w:themeColor="text1"/>
          <w:sz w:val="24"/>
          <w:szCs w:val="24"/>
          <w14:textFill>
            <w14:solidFill>
              <w14:schemeClr w14:val="tx1"/>
            </w14:solidFill>
          </w14:textFill>
        </w:rPr>
        <w:t>，以支票、汇票、本票或者金融机构、担保机构出具的保函等非现金形式提交；</w:t>
      </w:r>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w:t>
      </w:r>
      <w:r>
        <w:rPr>
          <w:rFonts w:cs="Times New Roman" w:asciiTheme="minorEastAsia" w:hAnsiTheme="minorEastAsia" w:eastAsiaTheme="minorEastAsia"/>
          <w:color w:val="000000" w:themeColor="text1"/>
          <w:sz w:val="24"/>
          <w:szCs w:val="24"/>
          <w:highlight w:val="none"/>
          <w14:textFill>
            <w14:solidFill>
              <w14:schemeClr w14:val="tx1"/>
            </w14:solidFill>
          </w14:textFill>
        </w:rPr>
        <w:t>17.2履约保证金在</w:t>
      </w:r>
      <w:r>
        <w:rPr>
          <w:rFonts w:cs="Times New Roman" w:asciiTheme="minorEastAsia" w:hAnsiTheme="minorEastAsia" w:eastAsiaTheme="minorEastAsia"/>
          <w:b/>
          <w:i/>
          <w:color w:val="000000" w:themeColor="text1"/>
          <w:sz w:val="24"/>
          <w:szCs w:val="24"/>
          <w:highlight w:val="none"/>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highlight w:val="none"/>
          <w14:textFill>
            <w14:solidFill>
              <w14:schemeClr w14:val="tx1"/>
            </w14:solidFill>
          </w14:textFill>
        </w:rPr>
        <w:t>约定期间内不予退还或者应完全有效</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，前述约定期间届满</w:t>
      </w:r>
      <w:r>
        <w:rPr>
          <w:rFonts w:cs="Times New Roman" w:asciiTheme="minorEastAsia" w:hAnsiTheme="minorEastAsia" w:eastAsiaTheme="minorEastAsia"/>
          <w:color w:val="000000" w:themeColor="text1"/>
          <w:sz w:val="24"/>
          <w:szCs w:val="24"/>
          <w:highlight w:val="none"/>
          <w14:textFill>
            <w14:solidFill>
              <w14:schemeClr w14:val="tx1"/>
            </w14:solidFill>
          </w14:textFill>
        </w:rPr>
        <w:t>之日起</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个</w:t>
      </w:r>
      <w:r>
        <w:rPr>
          <w:rFonts w:cs="Times New Roman" w:asciiTheme="minorEastAsia" w:hAnsiTheme="minorEastAsia" w:eastAsiaTheme="minorEastAsia"/>
          <w:color w:val="000000" w:themeColor="text1"/>
          <w:sz w:val="24"/>
          <w:szCs w:val="24"/>
          <w:highlight w:val="none"/>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w:t>
      </w:r>
      <w:r>
        <w:rPr>
          <w:rFonts w:cs="Times New Roman" w:asciiTheme="minorEastAsia" w:hAnsiTheme="minorEastAsia" w:eastAsiaTheme="minorEastAsia"/>
          <w:color w:val="000000" w:themeColor="text1"/>
          <w:sz w:val="24"/>
          <w:szCs w:val="24"/>
          <w:highlight w:val="none"/>
          <w14:textFill>
            <w14:solidFill>
              <w14:schemeClr w14:val="tx1"/>
            </w14:solidFill>
          </w14:textFill>
        </w:rPr>
        <w:t>17</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.3</w:t>
      </w:r>
      <w:r>
        <w:rPr>
          <w:rFonts w:cs="Times New Roman" w:asciiTheme="minorEastAsia" w:hAnsiTheme="minorEastAsia" w:eastAsiaTheme="minorEastAsia"/>
          <w:color w:val="000000" w:themeColor="text1"/>
          <w:sz w:val="24"/>
          <w:szCs w:val="24"/>
          <w:highlight w:val="none"/>
          <w14:textFill>
            <w14:solidFill>
              <w14:schemeClr w14:val="tx1"/>
            </w14:solidFill>
          </w14:textFill>
        </w:rPr>
        <w:t>如果乙方不履行合同</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，履约保证金不予退还；如果乙方</w:t>
      </w:r>
      <w:r>
        <w:rPr>
          <w:rFonts w:cs="Times New Roman" w:asciiTheme="minorEastAsia" w:hAnsiTheme="minorEastAsia" w:eastAsiaTheme="minorEastAsia"/>
          <w:color w:val="000000" w:themeColor="text1"/>
          <w:sz w:val="24"/>
          <w:szCs w:val="24"/>
          <w:highlight w:val="none"/>
          <w14:textFill>
            <w14:solidFill>
              <w14:schemeClr w14:val="tx1"/>
            </w14:solidFill>
          </w14:textFill>
        </w:rPr>
        <w:t>未能按合同</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约</w:t>
      </w:r>
      <w:r>
        <w:rPr>
          <w:rFonts w:cs="Times New Roman" w:asciiTheme="minorEastAsia" w:hAnsiTheme="minorEastAsia" w:eastAsiaTheme="minorEastAsia"/>
          <w:color w:val="000000" w:themeColor="text1"/>
          <w:sz w:val="24"/>
          <w:szCs w:val="24"/>
          <w:highlight w:val="none"/>
          <w14:textFill>
            <w14:solidFill>
              <w14:schemeClr w14:val="tx1"/>
            </w14:solidFill>
          </w14:textFill>
        </w:rPr>
        <w:t>定全面履行义务，那么甲方有权从履约保证金中取得补偿</w:t>
      </w:r>
      <w:r>
        <w:rPr>
          <w:rFonts w:cs="Times New Roman" w:asciiTheme="minorEastAsia" w:hAnsiTheme="minorEastAsia" w:eastAsiaTheme="minorEastAsia"/>
          <w:color w:val="000000" w:themeColor="text1"/>
          <w:sz w:val="24"/>
          <w:szCs w:val="24"/>
          <w14:textFill>
            <w14:solidFill>
              <w14:schemeClr w14:val="tx1"/>
            </w14:solidFill>
          </w14:textFill>
        </w:rPr>
        <w:t>或赔偿</w:t>
      </w:r>
      <w:r>
        <w:rPr>
          <w:rFonts w:hint="eastAsia" w:cs="Times New Roman" w:asciiTheme="minorEastAsia" w:hAnsiTheme="minorEastAsia" w:eastAsiaTheme="minorEastAsia"/>
          <w:color w:val="000000" w:themeColor="text1"/>
          <w:sz w:val="24"/>
          <w:szCs w:val="24"/>
          <w14:textFill>
            <w14:solidFill>
              <w14:schemeClr w14:val="tx1"/>
            </w14:solidFill>
          </w14:textFill>
        </w:rPr>
        <w:t>，同时不影响甲方要求乙方承担合同约定的超过履约保证金的违约责任的权利。</w:t>
      </w:r>
    </w:p>
    <w:bookmarkEnd w:id="197"/>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98" w:name="_Toc14001"/>
      <w:bookmarkStart w:id="199" w:name="_Toc6885"/>
      <w:bookmarkStart w:id="200" w:name="_Toc19890"/>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18</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合同份数</w:t>
      </w:r>
      <w:bookmarkEnd w:id="198"/>
      <w:bookmarkEnd w:id="199"/>
      <w:bookmarkEnd w:id="200"/>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合同份数按</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规定</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每份均具有同等法律效力</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br w:type="page"/>
      </w:r>
      <w:bookmarkStart w:id="201" w:name="_Toc3736"/>
      <w:r>
        <w:rPr>
          <w:rFonts w:hint="eastAsia" w:asciiTheme="minorEastAsia" w:hAnsiTheme="minorEastAsia" w:eastAsiaTheme="minorEastAsia"/>
          <w:b/>
          <w:color w:val="000000" w:themeColor="text1"/>
          <w:sz w:val="24"/>
          <w14:textFill>
            <w14:solidFill>
              <w14:schemeClr w14:val="tx1"/>
            </w14:solidFill>
          </w14:textFill>
        </w:rPr>
        <w:t>第三部分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合同专用条款</w:t>
      </w:r>
      <w:bookmarkEnd w:id="20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本部分</w:t>
      </w:r>
      <w:r>
        <w:rPr>
          <w:rFonts w:cs="Times New Roman" w:asciiTheme="minorEastAsia" w:hAnsiTheme="minorEastAsia" w:eastAsiaTheme="minorEastAsia"/>
          <w:color w:val="000000" w:themeColor="text1"/>
          <w:sz w:val="24"/>
          <w:szCs w:val="24"/>
          <w14:textFill>
            <w14:solidFill>
              <w14:schemeClr w14:val="tx1"/>
            </w14:solidFill>
          </w14:textFill>
        </w:rPr>
        <w:t>是对</w:t>
      </w:r>
      <w:r>
        <w:rPr>
          <w:rFonts w:hint="eastAsia" w:cs="Times New Roman" w:asciiTheme="minorEastAsia" w:hAnsiTheme="minorEastAsia" w:eastAsiaTheme="minorEastAsia"/>
          <w:color w:val="000000" w:themeColor="text1"/>
          <w:sz w:val="24"/>
          <w:szCs w:val="24"/>
          <w14:textFill>
            <w14:solidFill>
              <w14:schemeClr w14:val="tx1"/>
            </w14:solidFill>
          </w14:textFill>
        </w:rPr>
        <w:t>前两</w:t>
      </w:r>
      <w:r>
        <w:rPr>
          <w:rFonts w:cs="Times New Roman" w:asciiTheme="minorEastAsia" w:hAnsiTheme="minorEastAsia" w:eastAsiaTheme="minorEastAsia"/>
          <w:color w:val="000000" w:themeColor="text1"/>
          <w:sz w:val="24"/>
          <w:szCs w:val="24"/>
          <w14:textFill>
            <w14:solidFill>
              <w14:schemeClr w14:val="tx1"/>
            </w14:solidFill>
          </w14:textFill>
        </w:rPr>
        <w:t>部分的补充和修改</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w:t>
      </w:r>
      <w:r>
        <w:rPr>
          <w:rFonts w:hint="eastAsia" w:cs="Times New Roman" w:asciiTheme="minorEastAsia" w:hAnsiTheme="minorEastAsia" w:eastAsiaTheme="minorEastAsia"/>
          <w:color w:val="000000" w:themeColor="text1"/>
          <w:sz w:val="24"/>
          <w:szCs w:val="24"/>
          <w14:textFill>
            <w14:solidFill>
              <w14:schemeClr w14:val="tx1"/>
            </w14:solidFill>
          </w14:textFill>
        </w:rPr>
        <w:t>前两</w:t>
      </w:r>
      <w:r>
        <w:rPr>
          <w:rFonts w:cs="Times New Roman" w:asciiTheme="minorEastAsia" w:hAnsiTheme="minorEastAsia" w:eastAsiaTheme="minorEastAsia"/>
          <w:color w:val="000000" w:themeColor="text1"/>
          <w:sz w:val="24"/>
          <w:szCs w:val="24"/>
          <w14:textFill>
            <w14:solidFill>
              <w14:schemeClr w14:val="tx1"/>
            </w14:solidFill>
          </w14:textFill>
        </w:rPr>
        <w:t>部分和本部分的约定不一致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应以本部分的约定为准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本部分的条款号应与</w:t>
      </w:r>
      <w:r>
        <w:rPr>
          <w:rFonts w:hint="eastAsia" w:cs="Times New Roman" w:asciiTheme="minorEastAsia" w:hAnsiTheme="minorEastAsia" w:eastAsiaTheme="minorEastAsia"/>
          <w:color w:val="000000" w:themeColor="text1"/>
          <w:sz w:val="24"/>
          <w:szCs w:val="24"/>
          <w14:textFill>
            <w14:solidFill>
              <w14:schemeClr w14:val="tx1"/>
            </w14:solidFill>
          </w14:textFill>
        </w:rPr>
        <w:t>前两部分</w:t>
      </w:r>
      <w:r>
        <w:rPr>
          <w:rFonts w:cs="Times New Roman" w:asciiTheme="minorEastAsia" w:hAnsiTheme="minorEastAsia" w:eastAsiaTheme="minorEastAsia"/>
          <w:color w:val="000000" w:themeColor="text1"/>
          <w:sz w:val="24"/>
          <w:szCs w:val="24"/>
          <w14:textFill>
            <w14:solidFill>
              <w14:schemeClr w14:val="tx1"/>
            </w14:solidFill>
          </w14:textFill>
        </w:rPr>
        <w:t>的条款号保持对应</w:t>
      </w:r>
      <w:r>
        <w:rPr>
          <w:rFonts w:hint="eastAsia" w:cs="Times New Roman" w:asciiTheme="minorEastAsia" w:hAnsiTheme="minorEastAsia" w:eastAsiaTheme="minorEastAsia"/>
          <w:color w:val="000000" w:themeColor="text1"/>
          <w:sz w:val="24"/>
          <w:szCs w:val="24"/>
          <w14:textFill>
            <w14:solidFill>
              <w14:schemeClr w14:val="tx1"/>
            </w14:solidFill>
          </w14:textFill>
        </w:rPr>
        <w:t>；与前两部分</w:t>
      </w:r>
      <w:r>
        <w:rPr>
          <w:rFonts w:cs="Times New Roman" w:asciiTheme="minorEastAsia" w:hAnsiTheme="minorEastAsia" w:eastAsiaTheme="minorEastAsia"/>
          <w:color w:val="000000" w:themeColor="text1"/>
          <w:sz w:val="24"/>
          <w:szCs w:val="24"/>
          <w14:textFill>
            <w14:solidFill>
              <w14:schemeClr w14:val="tx1"/>
            </w14:solidFill>
          </w14:textFill>
        </w:rPr>
        <w:t>无对应关系的内容可另行编制条款号</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tbl>
      <w:tblPr>
        <w:tblStyle w:val="21"/>
        <w:tblW w:w="836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94"/>
        <w:gridCol w:w="756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794" w:type="dxa"/>
            <w:tcBorders>
              <w:left w:val="single" w:color="auto" w:sz="4" w:space="0"/>
            </w:tcBorders>
            <w:vAlign w:val="center"/>
          </w:tcPr>
          <w:p>
            <w:pPr>
              <w:jc w:val="center"/>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t>条款号</w:t>
            </w:r>
          </w:p>
        </w:tc>
        <w:tc>
          <w:tcPr>
            <w:tcW w:w="7568" w:type="dxa"/>
            <w:vAlign w:val="center"/>
          </w:tcPr>
          <w:p>
            <w:pPr>
              <w:jc w:val="center"/>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top w:val="single" w:color="auto" w:sz="6" w:space="0"/>
              <w:left w:val="single" w:color="auto" w:sz="4"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tcBorders>
              <w:top w:val="single" w:color="auto" w:sz="6" w:space="0"/>
              <w:left w:val="single" w:color="auto" w:sz="6"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top w:val="single" w:color="auto" w:sz="6" w:space="0"/>
              <w:left w:val="single" w:color="auto" w:sz="4"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tcBorders>
              <w:top w:val="single" w:color="auto" w:sz="6" w:space="0"/>
              <w:left w:val="single" w:color="auto" w:sz="6"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bl>
    <w:p>
      <w:pPr>
        <w:spacing w:line="360" w:lineRule="auto"/>
        <w:rPr>
          <w:rFonts w:asciiTheme="minorEastAsia" w:hAnsiTheme="minorEastAsia" w:eastAsiaTheme="minorEastAsia"/>
          <w:color w:val="000000" w:themeColor="text1"/>
          <w:sz w:val="24"/>
          <w14:textFill>
            <w14:solidFill>
              <w14:schemeClr w14:val="tx1"/>
            </w14:solidFill>
          </w14:textFill>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bookmarkEnd w:id="58"/>
    <w:p>
      <w:pPr>
        <w:spacing w:line="360" w:lineRule="auto"/>
        <w:jc w:val="center"/>
        <w:outlineLvl w:val="0"/>
        <w:rPr>
          <w:rFonts w:asciiTheme="minorEastAsia" w:hAnsiTheme="minorEastAsia" w:eastAsiaTheme="minorEastAsia"/>
          <w:b/>
          <w:color w:val="auto"/>
          <w:sz w:val="28"/>
          <w:highlight w:val="none"/>
        </w:rPr>
      </w:pPr>
      <w:bookmarkStart w:id="202" w:name="_Toc13555"/>
      <w:r>
        <w:rPr>
          <w:rFonts w:hint="eastAsia" w:asciiTheme="minorEastAsia" w:hAnsiTheme="minorEastAsia" w:eastAsiaTheme="minorEastAsia"/>
          <w:b/>
          <w:color w:val="auto"/>
          <w:sz w:val="28"/>
          <w:highlight w:val="none"/>
        </w:rPr>
        <w:t>第六章  投标文件格式</w:t>
      </w:r>
      <w:bookmarkEnd w:id="202"/>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03" w:name="_Toc5119"/>
      <w:r>
        <w:rPr>
          <w:rFonts w:hint="eastAsia" w:asciiTheme="minorEastAsia" w:hAnsiTheme="minorEastAsia" w:eastAsiaTheme="minorEastAsia"/>
          <w:b/>
          <w:color w:val="auto"/>
          <w:sz w:val="72"/>
          <w:highlight w:val="none"/>
        </w:rPr>
        <w:t>投</w:t>
      </w:r>
      <w:bookmarkEnd w:id="203"/>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04" w:name="_Toc4782"/>
      <w:r>
        <w:rPr>
          <w:rFonts w:hint="eastAsia" w:asciiTheme="minorEastAsia" w:hAnsiTheme="minorEastAsia" w:eastAsiaTheme="minorEastAsia"/>
          <w:b/>
          <w:color w:val="auto"/>
          <w:sz w:val="72"/>
          <w:highlight w:val="none"/>
        </w:rPr>
        <w:t>标</w:t>
      </w:r>
      <w:bookmarkEnd w:id="204"/>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05" w:name="_Toc19607"/>
      <w:r>
        <w:rPr>
          <w:rFonts w:hint="eastAsia" w:asciiTheme="minorEastAsia" w:hAnsiTheme="minorEastAsia" w:eastAsiaTheme="minorEastAsia"/>
          <w:b/>
          <w:color w:val="auto"/>
          <w:sz w:val="72"/>
          <w:highlight w:val="none"/>
        </w:rPr>
        <w:t>文</w:t>
      </w:r>
      <w:bookmarkEnd w:id="205"/>
    </w:p>
    <w:p>
      <w:pPr>
        <w:spacing w:line="900" w:lineRule="exact"/>
        <w:jc w:val="center"/>
        <w:rPr>
          <w:rFonts w:asciiTheme="minorEastAsia" w:hAnsiTheme="minorEastAsia" w:eastAsiaTheme="minorEastAsia"/>
          <w:b/>
          <w:color w:val="auto"/>
          <w:sz w:val="72"/>
          <w:highlight w:val="none"/>
        </w:rPr>
      </w:pPr>
    </w:p>
    <w:p>
      <w:pPr>
        <w:jc w:val="center"/>
        <w:outlineLvl w:val="1"/>
        <w:rPr>
          <w:rFonts w:asciiTheme="minorEastAsia" w:hAnsiTheme="minorEastAsia" w:eastAsiaTheme="minorEastAsia"/>
          <w:b/>
          <w:color w:val="auto"/>
          <w:sz w:val="72"/>
          <w:highlight w:val="none"/>
        </w:rPr>
      </w:pPr>
      <w:bookmarkStart w:id="206" w:name="_Toc8365"/>
      <w:r>
        <w:rPr>
          <w:rFonts w:hint="eastAsia" w:asciiTheme="minorEastAsia" w:hAnsiTheme="minorEastAsia" w:eastAsiaTheme="minorEastAsia"/>
          <w:b/>
          <w:color w:val="auto"/>
          <w:sz w:val="72"/>
          <w:highlight w:val="none"/>
        </w:rPr>
        <w:t>件</w:t>
      </w:r>
      <w:bookmarkEnd w:id="206"/>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207" w:name="_Toc32506"/>
      <w:bookmarkStart w:id="208" w:name="_Toc29674"/>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207"/>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208"/>
    </w:p>
    <w:p>
      <w:pPr>
        <w:spacing w:before="156" w:beforeLines="50" w:after="156" w:afterLines="50"/>
        <w:jc w:val="center"/>
        <w:outlineLvl w:val="9"/>
        <w:rPr>
          <w:rFonts w:asciiTheme="minorEastAsia" w:hAnsiTheme="minorEastAsia" w:eastAsiaTheme="minorEastAsia"/>
          <w:b/>
          <w:color w:val="auto"/>
          <w:sz w:val="32"/>
          <w:szCs w:val="32"/>
          <w:highlight w:val="none"/>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1928" w:firstLineChars="6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928" w:firstLineChars="6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928" w:firstLineChars="6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 xml:space="preserve">投 </w:t>
      </w:r>
      <w:r>
        <w:rPr>
          <w:rFonts w:hint="eastAsia" w:asciiTheme="minorEastAsia" w:hAnsiTheme="minorEastAsia" w:eastAsiaTheme="minorEastAsia"/>
          <w:b/>
          <w:color w:val="auto"/>
          <w:sz w:val="32"/>
          <w:highlight w:val="none"/>
        </w:rPr>
        <w:t>标</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人：</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209" w:name="_Toc19687"/>
      <w:bookmarkStart w:id="210" w:name="_Toc803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209"/>
      <w:bookmarkEnd w:id="210"/>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1" w:name="_Toc17986"/>
      <w:bookmarkStart w:id="212" w:name="_Toc28960"/>
      <w:r>
        <w:rPr>
          <w:rFonts w:hint="eastAsia" w:asciiTheme="minorEastAsia" w:hAnsiTheme="minorEastAsia" w:eastAsiaTheme="minorEastAsia"/>
          <w:b/>
          <w:color w:val="auto"/>
          <w:sz w:val="24"/>
          <w:highlight w:val="none"/>
        </w:rPr>
        <w:t>一、开标一览表</w:t>
      </w:r>
      <w:bookmarkEnd w:id="211"/>
      <w:bookmarkEnd w:id="212"/>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7"/>
        <w:gridCol w:w="6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0" w:hRule="atLeast"/>
          <w:jc w:val="center"/>
        </w:trPr>
        <w:tc>
          <w:tcPr>
            <w:tcW w:w="1352" w:type="pct"/>
            <w:tcBorders>
              <w:top w:val="single" w:color="auto" w:sz="4" w:space="0"/>
              <w:bottom w:val="single" w:color="auto" w:sz="4" w:space="0"/>
              <w:right w:val="single" w:color="auto" w:sz="4" w:space="0"/>
            </w:tcBorders>
            <w:vAlign w:val="center"/>
          </w:tcPr>
          <w:p>
            <w:pPr>
              <w:widowControl/>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项目名称</w:t>
            </w:r>
          </w:p>
        </w:tc>
        <w:tc>
          <w:tcPr>
            <w:tcW w:w="3648" w:type="pct"/>
            <w:tcBorders>
              <w:top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Cs/>
                <w:color w:val="auto"/>
                <w:sz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投标人全称</w:t>
            </w:r>
          </w:p>
        </w:tc>
        <w:tc>
          <w:tcPr>
            <w:tcW w:w="3648" w:type="pct"/>
            <w:tcBorders>
              <w:top w:val="nil"/>
            </w:tcBorders>
            <w:vAlign w:val="center"/>
          </w:tcPr>
          <w:p>
            <w:pPr>
              <w:spacing w:line="360" w:lineRule="auto"/>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投标范围</w:t>
            </w:r>
          </w:p>
        </w:tc>
        <w:tc>
          <w:tcPr>
            <w:tcW w:w="3648" w:type="pct"/>
            <w:tcBorders>
              <w:top w:val="nil"/>
            </w:tcBorders>
            <w:vAlign w:val="center"/>
          </w:tcPr>
          <w:p>
            <w:pPr>
              <w:keepNext w:val="0"/>
              <w:keepLines w:val="0"/>
              <w:pageBreakBefore w:val="0"/>
              <w:widowControl/>
              <w:kinsoku/>
              <w:wordWrap/>
              <w:overflowPunct/>
              <w:topLinePunct w:val="0"/>
              <w:autoSpaceDE/>
              <w:autoSpaceDN/>
              <w:bidi w:val="0"/>
              <w:adjustRightInd/>
              <w:spacing w:line="360" w:lineRule="auto"/>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全部/第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投标报价</w:t>
            </w:r>
          </w:p>
        </w:tc>
        <w:tc>
          <w:tcPr>
            <w:tcW w:w="3648" w:type="pct"/>
            <w:tcBorders>
              <w:top w:val="nil"/>
            </w:tcBorders>
            <w:vAlign w:val="center"/>
          </w:tcPr>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keepNext w:val="0"/>
              <w:keepLines w:val="0"/>
              <w:pageBreakBefore w:val="0"/>
              <w:kinsoku/>
              <w:wordWrap/>
              <w:overflowPunct/>
              <w:topLinePunct w:val="0"/>
              <w:autoSpaceDE/>
              <w:autoSpaceDN/>
              <w:bidi w:val="0"/>
              <w:adjustRightInd/>
              <w:spacing w:line="360" w:lineRule="auto"/>
              <w:ind w:right="-670"/>
              <w:textAlignment w:val="auto"/>
              <w:rPr>
                <w:rFonts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0" w:hRule="atLeast"/>
          <w:jc w:val="center"/>
        </w:trPr>
        <w:tc>
          <w:tcPr>
            <w:tcW w:w="1352" w:type="pct"/>
            <w:tcBorders>
              <w:top w:val="nil"/>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其他</w:t>
            </w:r>
          </w:p>
        </w:tc>
        <w:tc>
          <w:tcPr>
            <w:tcW w:w="3648" w:type="pct"/>
            <w:tcBorders>
              <w:top w:val="nil"/>
            </w:tcBorders>
            <w:vAlign w:val="center"/>
          </w:tcPr>
          <w:p>
            <w:pPr>
              <w:spacing w:line="360" w:lineRule="auto"/>
              <w:jc w:val="left"/>
              <w:rPr>
                <w:rFonts w:asciiTheme="minorEastAsia" w:hAnsiTheme="minorEastAsia" w:eastAsiaTheme="minorEastAsia"/>
                <w:color w:val="auto"/>
                <w:sz w:val="24"/>
                <w:szCs w:val="28"/>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Theme="minorEastAsia" w:hAnsiTheme="minorEastAsia" w:eastAsiaTheme="minorEastAsia"/>
          <w:color w:val="auto"/>
          <w:sz w:val="24"/>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360" w:lineRule="auto"/>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此表用于开标唱标之用。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表中投标报价即为优惠后报价，并作为评审及定标依据。任何有选择或有条件的投标报价，或者表中某一包别填写多个报价，均为无效报价。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.表中大写金额与小写金额不一致的，以大写金额为准。</w:t>
      </w: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3" w:name="_Toc6120"/>
      <w:bookmarkStart w:id="214" w:name="_Toc6441"/>
      <w:r>
        <w:rPr>
          <w:rFonts w:hint="eastAsia" w:asciiTheme="minorEastAsia" w:hAnsiTheme="minorEastAsia" w:eastAsiaTheme="minorEastAsia"/>
          <w:b/>
          <w:color w:val="auto"/>
          <w:sz w:val="24"/>
          <w:highlight w:val="none"/>
        </w:rPr>
        <w:t>二、投标函</w:t>
      </w:r>
      <w:bookmarkEnd w:id="213"/>
      <w:bookmarkEnd w:id="214"/>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根据贵方的招标公告和投标邀请，我方兹宣布同意如下：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我方根据招标文件的规定，严格履行合同的责任和义务,并保证于买方要求的日期内完成，并通过买方验收。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.我方已详细审核全部招标文件，包括招标文件</w:t>
      </w:r>
      <w:r>
        <w:rPr>
          <w:rFonts w:hint="eastAsia" w:asciiTheme="minorEastAsia" w:hAnsiTheme="minorEastAsia" w:eastAsiaTheme="minorEastAsia"/>
          <w:color w:val="auto"/>
          <w:sz w:val="24"/>
          <w:highlight w:val="none"/>
          <w:lang w:val="en-US" w:eastAsia="zh-CN"/>
        </w:rPr>
        <w:t>附件及更正公告（如有）</w:t>
      </w:r>
      <w:r>
        <w:rPr>
          <w:rFonts w:hint="eastAsia" w:asciiTheme="minorEastAsia" w:hAnsiTheme="minorEastAsia" w:eastAsiaTheme="minorEastAsia"/>
          <w:color w:val="auto"/>
          <w:sz w:val="24"/>
          <w:highlight w:val="none"/>
        </w:rPr>
        <w:t>，我方正式认可并遵守本次招标文件，并对招标文件各项条款、规定及要求均无异议。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.我方同意从招标文件规定的开标日期起遵循本招标文件，并在招标文件规定的投标有效期之前均具有约束力。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投标文件所提供的一切资料均真实无误、及时、有效，企业运营正常。由于我方提供资料不实而造成的责任和后果由我方承担。我方同意按照贵方提出的要求，提供与投标有关的任何证据、数据或资料。</w:t>
      </w:r>
    </w:p>
    <w:p>
      <w:pPr>
        <w:spacing w:line="360" w:lineRule="auto"/>
        <w:ind w:firstLine="4800" w:firstLineChars="20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15" w:name="_Toc18881"/>
      <w:r>
        <w:rPr>
          <w:rFonts w:hint="eastAsia" w:asciiTheme="minorEastAsia" w:hAnsiTheme="minorEastAsia" w:eastAsiaTheme="minorEastAsia"/>
          <w:b/>
          <w:color w:val="auto"/>
          <w:sz w:val="24"/>
          <w:highlight w:val="none"/>
          <w:lang w:val="en-US" w:eastAsia="zh-CN"/>
        </w:rPr>
        <w:t>三．投标人资格声明书</w:t>
      </w:r>
      <w:bookmarkEnd w:id="215"/>
      <w:r>
        <w:rPr>
          <w:rFonts w:hint="eastAsia" w:asciiTheme="minorEastAsia" w:hAnsiTheme="minorEastAsia" w:eastAsiaTheme="minorEastAsia"/>
          <w:b/>
          <w:color w:val="auto"/>
          <w:sz w:val="24"/>
          <w:highlight w:val="none"/>
          <w:lang w:val="en-US" w:eastAsia="zh-CN"/>
        </w:rPr>
        <w:t xml:space="preserve"> </w:t>
      </w:r>
    </w:p>
    <w:p>
      <w:pPr>
        <w:pStyle w:val="11"/>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在参与本次项目投标中，我单位承诺：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 xml:space="preserve">（五）我单位不属于政府采购法律、行政法规规定的公益一类事业单位、或使用事业编制且由财政拨款保障的群团组织（仅适用于政府购买服务项目）；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（六）我单位不存在为采购项目提供整体设计、规范编制或者项目管理、监理、检测等服务后，再参加该采购项目的其他采购活动的情形（单一来源采购项目除外）；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（七）与我单位存在单位负责人为同一人或者存在直接控股、管理关系的其他法人单位信息如下（如有，不论其是否参加同一合同项下的政府采购活动均须填写）：</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suppressLineNumbers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rPr>
          <w:rFonts w:hint="eastAsia" w:asciiTheme="minorEastAsia" w:hAnsiTheme="minorEastAsia" w:eastAsiaTheme="minorEastAsia"/>
          <w:b/>
          <w:color w:val="auto"/>
          <w:sz w:val="24"/>
          <w:highlight w:val="none"/>
        </w:rPr>
      </w:pPr>
      <w:bookmarkStart w:id="216" w:name="_Toc11607"/>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7" w:name="_Toc24583"/>
      <w:r>
        <w:rPr>
          <w:rFonts w:hint="eastAsia" w:asciiTheme="minorEastAsia" w:hAnsiTheme="minorEastAsia" w:eastAsiaTheme="minorEastAsia"/>
          <w:b/>
          <w:color w:val="auto"/>
          <w:sz w:val="24"/>
          <w:highlight w:val="none"/>
        </w:rPr>
        <w:t>四、授权书</w:t>
      </w:r>
      <w:bookmarkEnd w:id="216"/>
      <w:bookmarkEnd w:id="217"/>
    </w:p>
    <w:p>
      <w:pPr>
        <w:pStyle w:val="10"/>
        <w:snapToGrid w:val="0"/>
        <w:spacing w:line="360" w:lineRule="auto"/>
        <w:ind w:firstLine="480" w:firstLineChars="200"/>
        <w:jc w:val="left"/>
        <w:rPr>
          <w:rFonts w:hAnsi="宋体" w:eastAsia="宋体"/>
          <w:color w:val="auto"/>
          <w:sz w:val="24"/>
          <w:szCs w:val="28"/>
          <w:highlight w:val="none"/>
        </w:rPr>
      </w:pP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hAnsi="宋体" w:eastAsia="宋体"/>
          <w:color w:val="auto"/>
          <w:sz w:val="24"/>
          <w:szCs w:val="28"/>
          <w:highlight w:val="none"/>
        </w:rPr>
        <w:t>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投标过程的一切事宜，包括但不限于：投标、参与开标、谈判、签约等。投标人授权代表在投标过程中所签署的一切文件和处理与之有关的一切事务，我方均予以认可并对此承担责任。投标人授权代表无转委托权。特此授权。</w:t>
      </w: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spacing w:line="360" w:lineRule="auto"/>
        <w:ind w:firstLine="435"/>
        <w:rPr>
          <w:rFonts w:hAnsi="宋体" w:eastAsia="宋体"/>
          <w:color w:val="auto"/>
          <w:sz w:val="24"/>
          <w:highlight w:val="none"/>
        </w:rPr>
      </w:pPr>
      <w:r>
        <w:rPr>
          <w:rFonts w:hint="eastAsia" w:hAnsi="宋体" w:eastAsia="宋体"/>
          <w:color w:val="auto"/>
          <w:sz w:val="24"/>
          <w:szCs w:val="28"/>
          <w:highlight w:val="none"/>
        </w:rPr>
        <w:t>授权</w:t>
      </w:r>
      <w:r>
        <w:rPr>
          <w:rFonts w:hint="eastAsia" w:asciiTheme="minorEastAsia" w:hAnsiTheme="minorEastAsia" w:eastAsiaTheme="minorEastAsia"/>
          <w:color w:val="auto"/>
          <w:sz w:val="24"/>
          <w:highlight w:val="none"/>
        </w:rPr>
        <w:t>代表</w:t>
      </w:r>
      <w:r>
        <w:rPr>
          <w:rFonts w:hint="eastAsia" w:hAnsi="宋体" w:eastAsia="宋体"/>
          <w:color w:val="auto"/>
          <w:sz w:val="24"/>
          <w:highlight w:val="none"/>
        </w:rPr>
        <w:t>身份证明扫描件：</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hAnsi="宋体" w:eastAsia="宋体"/>
          <w:color w:val="auto"/>
          <w:sz w:val="24"/>
          <w:szCs w:val="28"/>
          <w:highlight w:val="none"/>
          <w:u w:val="single"/>
          <w:lang w:val="zh-CN"/>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spacing w:line="360" w:lineRule="auto"/>
        <w:ind w:firstLine="435"/>
        <w:rPr>
          <w:rFonts w:hAnsi="宋体" w:eastAsia="宋体"/>
          <w:color w:val="auto"/>
          <w:sz w:val="24"/>
          <w:szCs w:val="28"/>
          <w:highlight w:val="none"/>
          <w:lang w:val="zh-CN"/>
        </w:rPr>
      </w:pPr>
    </w:p>
    <w:p>
      <w:pPr>
        <w:spacing w:line="360" w:lineRule="auto"/>
        <w:ind w:firstLine="435"/>
        <w:rPr>
          <w:rFonts w:ascii="宋体" w:hAnsi="宋体" w:eastAsia="宋体"/>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宋体" w:hAnsi="宋体" w:eastAsia="宋体"/>
          <w:color w:val="auto"/>
          <w:sz w:val="24"/>
          <w:szCs w:val="28"/>
          <w:highlight w:val="none"/>
        </w:rPr>
        <w:t>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1.本项目只允许有唯一的投标人授权代表，提供身份证明扫描件；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2.法定代表人参加投标的无需提供授权书，提供身份证明扫描件。</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18" w:name="_Toc32226"/>
      <w:bookmarkStart w:id="219" w:name="_Toc31027"/>
      <w:r>
        <w:rPr>
          <w:rFonts w:hint="eastAsia" w:asciiTheme="minorEastAsia" w:hAnsiTheme="minorEastAsia" w:eastAsiaTheme="minorEastAsia"/>
          <w:b/>
          <w:color w:val="auto"/>
          <w:sz w:val="24"/>
          <w:highlight w:val="none"/>
        </w:rPr>
        <w:t>五、投标分项报价表</w:t>
      </w:r>
      <w:bookmarkEnd w:id="218"/>
      <w:bookmarkEnd w:id="219"/>
    </w:p>
    <w:p>
      <w:pPr>
        <w:spacing w:line="360" w:lineRule="auto"/>
        <w:ind w:firstLine="435"/>
        <w:jc w:val="center"/>
        <w:rPr>
          <w:rFonts w:asciiTheme="minorEastAsia" w:hAnsiTheme="minorEastAsia" w:eastAsiaTheme="minorEastAsia"/>
          <w:b/>
          <w:color w:val="auto"/>
          <w:sz w:val="24"/>
          <w:highlight w:val="none"/>
        </w:rPr>
      </w:pPr>
      <w:r>
        <w:rPr>
          <w:rFonts w:hint="eastAsia" w:asciiTheme="minorEastAsia" w:hAnsiTheme="minorEastAsia" w:eastAsiaTheme="minorEastAsia"/>
          <w:i/>
          <w:color w:val="auto"/>
          <w:sz w:val="24"/>
          <w:highlight w:val="none"/>
        </w:rPr>
        <w:t>（仅供参考，投标人可自行制作格式）</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3409"/>
        <w:gridCol w:w="1488"/>
        <w:gridCol w:w="1862"/>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46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序号</w:t>
            </w:r>
          </w:p>
        </w:tc>
        <w:tc>
          <w:tcPr>
            <w:tcW w:w="182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服务内容</w:t>
            </w:r>
          </w:p>
        </w:tc>
        <w:tc>
          <w:tcPr>
            <w:tcW w:w="79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项</w:t>
            </w:r>
          </w:p>
        </w:tc>
        <w:tc>
          <w:tcPr>
            <w:tcW w:w="995"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tc>
        <w:tc>
          <w:tcPr>
            <w:tcW w:w="920"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tcBorders>
              <w:bottom w:val="single" w:color="auto" w:sz="4" w:space="0"/>
            </w:tcBorders>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p>
        </w:tc>
        <w:tc>
          <w:tcPr>
            <w:tcW w:w="1824" w:type="pct"/>
            <w:vAlign w:val="center"/>
          </w:tcPr>
          <w:p>
            <w:pPr>
              <w:pStyle w:val="37"/>
              <w:ind w:left="-108"/>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p>
        </w:tc>
        <w:tc>
          <w:tcPr>
            <w:tcW w:w="18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080" w:type="pct"/>
            <w:gridSpan w:val="4"/>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b/>
                <w:color w:val="auto"/>
                <w:sz w:val="24"/>
                <w:highlight w:val="none"/>
              </w:rPr>
              <w:t>合计金额（元）</w:t>
            </w:r>
          </w:p>
        </w:tc>
        <w:tc>
          <w:tcPr>
            <w:tcW w:w="920"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Theme="minorEastAsia" w:hAnsiTheme="minorEastAsia" w:eastAsiaTheme="minorEastAsia"/>
          <w:b/>
          <w:bCs/>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所列服务为对应本项目需求的全部服务内容。如有漏项或缺项，投标人承担全部责任。</w:t>
      </w:r>
    </w:p>
    <w:p>
      <w:pPr>
        <w:pStyle w:val="2"/>
        <w:rPr>
          <w:rFonts w:hint="eastAsia" w:asciiTheme="minorEastAsia" w:hAnsiTheme="minorEastAsia" w:eastAsiaTheme="minorEastAsia"/>
          <w:color w:val="auto"/>
          <w:sz w:val="24"/>
          <w:highlight w:val="none"/>
        </w:rPr>
      </w:pPr>
    </w:p>
    <w:p>
      <w:pPr>
        <w:rPr>
          <w:rFonts w:hint="eastAsia" w:asciiTheme="minorEastAsia" w:hAnsiTheme="minorEastAsia" w:eastAsiaTheme="minorEastAsia"/>
          <w:b/>
          <w:color w:val="auto"/>
          <w:sz w:val="24"/>
          <w:highlight w:val="none"/>
        </w:rPr>
      </w:pPr>
      <w:bookmarkStart w:id="220" w:name="_Toc20329"/>
      <w:r>
        <w:rPr>
          <w:rFonts w:hint="eastAsia" w:asciiTheme="minorEastAsia" w:hAnsiTheme="minorEastAsia" w:eastAsiaTheme="minorEastAsia"/>
          <w:b/>
          <w:color w:val="auto"/>
          <w:sz w:val="24"/>
          <w:highlight w:val="none"/>
        </w:rPr>
        <w:br w:type="page"/>
      </w:r>
    </w:p>
    <w:p>
      <w:pPr>
        <w:spacing w:line="360" w:lineRule="auto"/>
        <w:jc w:val="center"/>
        <w:outlineLvl w:val="1"/>
        <w:rPr>
          <w:rFonts w:hint="default" w:asciiTheme="minorEastAsia" w:hAnsiTheme="minorEastAsia" w:eastAsiaTheme="minorEastAsia"/>
          <w:b/>
          <w:color w:val="auto"/>
          <w:sz w:val="24"/>
          <w:highlight w:val="none"/>
          <w:lang w:val="en-US" w:eastAsia="zh-CN"/>
        </w:rPr>
      </w:pPr>
      <w:bookmarkStart w:id="221" w:name="_Toc15209"/>
      <w:r>
        <w:rPr>
          <w:rFonts w:hint="eastAsia" w:asciiTheme="minorEastAsia" w:hAnsiTheme="minorEastAsia" w:eastAsiaTheme="minorEastAsia"/>
          <w:b/>
          <w:color w:val="auto"/>
          <w:sz w:val="24"/>
          <w:highlight w:val="none"/>
        </w:rPr>
        <w:t>六、投标响应表</w:t>
      </w:r>
      <w:bookmarkEnd w:id="220"/>
      <w:bookmarkEnd w:id="221"/>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02"/>
        <w:gridCol w:w="2739"/>
        <w:gridCol w:w="2823"/>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4"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招标文件要求</w:t>
            </w:r>
          </w:p>
        </w:tc>
        <w:tc>
          <w:tcPr>
            <w:tcW w:w="1510"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投标人承诺</w:t>
            </w:r>
          </w:p>
        </w:tc>
        <w:tc>
          <w:tcPr>
            <w:tcW w:w="47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服务地点</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服务期限</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pStyle w:val="37"/>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Cs/>
          <w:i/>
          <w:iCs/>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bookmarkStart w:id="222" w:name="_Hlk23622474"/>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bookmarkEnd w:id="222"/>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招标文件规定的技术参数要求</w:t>
            </w:r>
          </w:p>
        </w:tc>
        <w:tc>
          <w:tcPr>
            <w:tcW w:w="145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7"/>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7"/>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11"/>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23" w:name="_Toc9864"/>
      <w:bookmarkStart w:id="224" w:name="_Toc11594"/>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223"/>
      <w:bookmarkEnd w:id="224"/>
    </w:p>
    <w:p>
      <w:pPr>
        <w:pStyle w:val="18"/>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（不允许联合体投标或未组成联合体投标，不需此件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；允许联合体投标且投标人为联合体投标的，请将此件制成扫描件上传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本项目的投标，</w:t>
      </w:r>
      <w:r>
        <w:rPr>
          <w:rFonts w:asciiTheme="minorEastAsia" w:hAnsiTheme="minorEastAsia" w:eastAsiaTheme="minorEastAsia"/>
          <w:color w:val="auto"/>
          <w:sz w:val="24"/>
          <w:highlight w:val="none"/>
        </w:rPr>
        <w:t>现就联合体投标事宜订立如下协议：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投标阶段，联合体牵头人负责投标项目的一切组织、协调工作，并授权代理人以联合体的名义参加项目的投标，代理人在投标、开标、评标、合同签订过程中所签署的一切文件和处理与本次招标有关的一切事务，联合体各方均予以承认并承担法律责任。联合体中标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4．投标工作和联合体在中标后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5．联合体中标后，本联合协议是合同的附件，对联合体各成员单位有合同约束力。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6．本协议书自签署之日起生效，联合体未中标或者合同履行完毕后自动失效。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5" w:name="_Toc32534"/>
      <w:r>
        <w:rPr>
          <w:rFonts w:hint="eastAsia" w:asciiTheme="minorEastAsia" w:hAnsiTheme="minorEastAsia" w:eastAsiaTheme="minorEastAsia"/>
          <w:b/>
          <w:color w:val="auto"/>
          <w:sz w:val="24"/>
          <w:highlight w:val="none"/>
          <w:lang w:val="en-US" w:eastAsia="zh-CN"/>
        </w:rPr>
        <w:t>八．拟分包情况说明及分包意向协议</w:t>
      </w:r>
      <w:bookmarkEnd w:id="225"/>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允许合同分包且投标人采用合同分包的，请将此件制成扫描件上传，同时删去本提示内容）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投标，拟签订分包合同的单位情况如下表所示，我单位承诺一旦在该项目中获得采购合同将按下表所列情况进行分包，同时承诺分包承担主体不再次分包。</w:t>
      </w:r>
    </w:p>
    <w:tbl>
      <w:tblPr>
        <w:tblStyle w:val="55"/>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6"/>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6"/>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6"/>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6"/>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6"/>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6"/>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6"/>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jc w:val="both"/>
              <w:rPr>
                <w:rFonts w:hint="eastAsia" w:ascii="宋体" w:hAnsi="宋体" w:eastAsia="宋体" w:cs="宋体"/>
              </w:rPr>
            </w:pP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1.拟分包情况说明仅需加盖投标人电子签章。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如招标文件载明本项目分包承担主体应具备的相应资质条件，则投标人须在本表中列明分包承担主体的资质等级，并后附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5" w:type="default"/>
          <w:footerReference r:id="rId6" w:type="default"/>
          <w:pgSz w:w="11907" w:h="16840"/>
          <w:pgMar w:top="1117" w:right="1078" w:bottom="1060" w:left="1700" w:header="510" w:footer="886" w:gutter="0"/>
          <w:pgNumType w:fmt="decimal" w:start="1"/>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1.本项目投标人</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在本项目投标阶段，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负责投标项目的一切组织、协调工作，并授权代理人参加项目的投标，代理人在投标、开标、评标、合同签订过程中所签署的一切文件和处理与本次招标有关的一切事务，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w:t>
      </w:r>
      <w:r>
        <w:rPr>
          <w:rFonts w:asciiTheme="minorEastAsia" w:hAnsiTheme="minorEastAsia" w:eastAsiaTheme="minorEastAsia"/>
          <w:sz w:val="24"/>
        </w:rPr>
        <w:t>中标后，本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sz w:val="24"/>
          <w:lang w:eastAsia="zh-CN"/>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6" w:name="_Toc23068"/>
      <w:r>
        <w:rPr>
          <w:rFonts w:hint="eastAsia" w:asciiTheme="minorEastAsia" w:hAnsiTheme="minorEastAsia" w:eastAsiaTheme="minorEastAsia"/>
          <w:b/>
          <w:color w:val="auto"/>
          <w:sz w:val="24"/>
          <w:highlight w:val="none"/>
          <w:lang w:val="en-US" w:eastAsia="zh-CN"/>
        </w:rPr>
        <w:t>九、中小企业声明函</w:t>
      </w:r>
      <w:bookmarkEnd w:id="226"/>
    </w:p>
    <w:p>
      <w:pPr>
        <w:pStyle w:val="2"/>
        <w:jc w:val="center"/>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非中小企业投标</w:t>
      </w:r>
      <w:r>
        <w:rPr>
          <w:rFonts w:hint="eastAsia" w:ascii="宋体" w:hAnsi="宋体" w:eastAsia="宋体"/>
          <w:b w:val="0"/>
          <w:i/>
          <w:color w:val="auto"/>
          <w:sz w:val="24"/>
          <w:highlight w:val="none"/>
          <w:lang w:val="en-US" w:eastAsia="zh-CN"/>
        </w:rPr>
        <w:t>，不需此件，请删去“中小企业声明函”）</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单位</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 xml:space="preserve">）采购活动，服务全部由符合政策要求的中小企业承接。相关企业（含联合体中的中小企业、签订分包意向协议的中小企业）的具体情况如下：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outlineLvl w:val="9"/>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2．投标人应根据《政府采购促进中小企业发展管理办法》（财库﹝2020﹞46号）和《关于印发中小企业划型标准规定的通知》(工信部联企业〔2011〕300号)相关规定，如实填写中小企业声明函。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投标人自行登录工业和信息化部官网进行中小企业规模类型自测（查询网址https://www.miit.gov.cn/）。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”，详见第三章采购需求前附表中明确的“标的名称”。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”，详见第三章采购需求前附表中明确的“所属行业”。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rPr>
        <w:t>某标的名称</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u w:val="single"/>
        </w:rPr>
        <w:t>填写第三章采购需求前附表中明确的“标的名称”</w:t>
      </w:r>
      <w:r>
        <w:rPr>
          <w:rFonts w:hint="eastAsia" w:ascii="宋体" w:hAnsi="宋体" w:eastAsia="宋体" w:cs="宋体"/>
          <w:b/>
          <w:bCs/>
          <w:color w:val="auto"/>
          <w:szCs w:val="21"/>
          <w:highlight w:val="none"/>
        </w:rPr>
        <w:t>），属于</w:t>
      </w:r>
      <w:r>
        <w:rPr>
          <w:rFonts w:hint="eastAsia" w:ascii="宋体" w:hAnsi="宋体" w:eastAsia="宋体" w:cs="宋体"/>
          <w:b/>
          <w:bCs/>
          <w:color w:val="auto"/>
          <w:szCs w:val="21"/>
          <w:highlight w:val="none"/>
          <w:u w:val="single"/>
        </w:rPr>
        <w:t>（填写第三章采购需求前附表中明确的“所属行业”，如软件和信息技术服务业）</w:t>
      </w:r>
      <w:r>
        <w:rPr>
          <w:rFonts w:hint="eastAsia" w:ascii="宋体" w:hAnsi="宋体" w:eastAsia="宋体" w:cs="宋体"/>
          <w:b/>
          <w:bCs/>
          <w:color w:val="auto"/>
          <w:szCs w:val="21"/>
          <w:highlight w:val="none"/>
        </w:rPr>
        <w:t>行业；承接企业为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rPr>
        <w:t>中</w:t>
      </w:r>
      <w:r>
        <w:rPr>
          <w:rFonts w:hint="eastAsia" w:ascii="宋体" w:hAnsi="宋体" w:eastAsia="宋体" w:cs="宋体"/>
          <w:b/>
          <w:bCs/>
          <w:color w:val="auto"/>
          <w:szCs w:val="21"/>
          <w:highlight w:val="none"/>
          <w:u w:val="single"/>
          <w:lang w:val="zh-CN"/>
        </w:rPr>
        <w:t>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[投标人自行登录工业和信息化部官网进行中小企业规模类型自测（查询网址https://www.miit.gov.cn/）]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pStyle w:val="2"/>
        <w:rPr>
          <w:rFonts w:hint="eastAsia" w:asciiTheme="minorEastAsia" w:hAnsiTheme="minorEastAsia" w:eastAsiaTheme="minorEastAsia"/>
          <w:b/>
          <w:bCs/>
          <w:color w:val="auto"/>
          <w:szCs w:val="24"/>
          <w:highlight w:val="none"/>
        </w:rPr>
      </w:pPr>
    </w:p>
    <w:p>
      <w:pPr>
        <w:rPr>
          <w:rFonts w:hint="eastAsia" w:asciiTheme="minorEastAsia" w:hAnsiTheme="minorEastAsia" w:eastAsiaTheme="minorEastAsia"/>
          <w:b/>
          <w:color w:val="auto"/>
          <w:sz w:val="24"/>
          <w:highlight w:val="none"/>
        </w:rPr>
      </w:pPr>
      <w:bookmarkStart w:id="227" w:name="_Toc16713"/>
      <w:r>
        <w:rPr>
          <w:rFonts w:hint="eastAsia"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8" w:name="_Toc17315"/>
      <w:r>
        <w:rPr>
          <w:rFonts w:hint="eastAsia" w:asciiTheme="minorEastAsia" w:hAnsiTheme="minorEastAsia" w:eastAsiaTheme="minorEastAsia"/>
          <w:b/>
          <w:color w:val="auto"/>
          <w:sz w:val="24"/>
          <w:highlight w:val="none"/>
          <w:lang w:val="en-US" w:eastAsia="zh-CN"/>
        </w:rPr>
        <w:t>十、残疾人福利性单位声明函</w:t>
      </w:r>
      <w:bookmarkEnd w:id="227"/>
      <w:bookmarkEnd w:id="228"/>
    </w:p>
    <w:p>
      <w:pPr>
        <w:pStyle w:val="2"/>
        <w:jc w:val="center"/>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（非残疾人福利性单位投标，请删去“残疾人福利性单位声明函”）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9" w:name="_Toc300210382"/>
      <w:bookmarkStart w:id="230" w:name="_Toc520299348"/>
      <w:bookmarkStart w:id="231" w:name="_Toc457768004"/>
      <w:bookmarkStart w:id="232" w:name="_Toc23860"/>
      <w:bookmarkStart w:id="233" w:name="_Toc26536"/>
      <w:bookmarkStart w:id="234" w:name="_Hlk11701496"/>
      <w:r>
        <w:rPr>
          <w:rFonts w:hint="eastAsia" w:asciiTheme="minorEastAsia" w:hAnsiTheme="minorEastAsia" w:eastAsiaTheme="minorEastAsia"/>
          <w:b/>
          <w:color w:val="auto"/>
          <w:sz w:val="24"/>
          <w:highlight w:val="none"/>
          <w:lang w:val="en-US" w:eastAsia="zh-CN"/>
        </w:rPr>
        <w:t>十一、</w:t>
      </w:r>
      <w:bookmarkEnd w:id="229"/>
      <w:bookmarkEnd w:id="230"/>
      <w:bookmarkEnd w:id="231"/>
      <w:r>
        <w:rPr>
          <w:rFonts w:hint="eastAsia" w:asciiTheme="minorEastAsia" w:hAnsiTheme="minorEastAsia" w:eastAsiaTheme="minorEastAsia"/>
          <w:b/>
          <w:color w:val="auto"/>
          <w:sz w:val="24"/>
          <w:highlight w:val="none"/>
          <w:lang w:val="en-US" w:eastAsia="zh-CN"/>
        </w:rPr>
        <w:t>诚信履约承诺函</w:t>
      </w:r>
      <w:bookmarkEnd w:id="232"/>
      <w:bookmarkEnd w:id="233"/>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中标人，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投标人电子签章：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宋体" w:hAnsi="宋体" w:eastAsia="宋体" w:cs="Arial"/>
          <w:color w:val="auto"/>
          <w:sz w:val="24"/>
          <w:highlight w:val="none"/>
        </w:rPr>
      </w:pPr>
      <w:r>
        <w:rPr>
          <w:rFonts w:ascii="宋体" w:hAnsi="宋体" w:eastAsia="宋体" w:cs="Arial"/>
          <w:color w:val="auto"/>
          <w:sz w:val="24"/>
          <w:highlight w:val="none"/>
        </w:rPr>
        <w:br w:type="page"/>
      </w:r>
    </w:p>
    <w:bookmarkEnd w:id="234"/>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35" w:name="_Toc32633"/>
      <w:bookmarkStart w:id="236" w:name="_Toc31807"/>
      <w:r>
        <w:rPr>
          <w:rFonts w:hint="eastAsia" w:asciiTheme="minorEastAsia" w:hAnsiTheme="minorEastAsia" w:eastAsiaTheme="minorEastAsia"/>
          <w:b/>
          <w:color w:val="auto"/>
          <w:sz w:val="24"/>
          <w:highlight w:val="none"/>
          <w:lang w:val="en-US" w:eastAsia="zh-CN"/>
        </w:rPr>
        <w:t>十二、其他相关证明材料</w:t>
      </w:r>
      <w:bookmarkEnd w:id="235"/>
      <w:bookmarkEnd w:id="23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提供符合投标邀请、采购需求及评标方法和标准规定的相关证明文件。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投标人在投标文件制作时可在此栏内上传</w:t>
      </w:r>
      <w:r>
        <w:rPr>
          <w:rFonts w:asciiTheme="minorEastAsia" w:hAnsiTheme="minorEastAsia" w:eastAsiaTheme="minorEastAsia"/>
          <w:color w:val="auto"/>
          <w:sz w:val="24"/>
          <w:highlight w:val="none"/>
        </w:rPr>
        <w:t>招标文件要求上传的证明资料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37" w:name="_Toc6435"/>
      <w:bookmarkStart w:id="238" w:name="_Toc20819"/>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val="en-US" w:eastAsia="zh-CN"/>
        </w:rPr>
        <w:t>七</w:t>
      </w:r>
      <w:r>
        <w:rPr>
          <w:rFonts w:hint="eastAsia" w:asciiTheme="minorEastAsia" w:hAnsiTheme="minorEastAsia" w:eastAsiaTheme="minorEastAsia"/>
          <w:b/>
          <w:color w:val="auto"/>
          <w:sz w:val="28"/>
          <w:highlight w:val="none"/>
        </w:rPr>
        <w:t>章</w:t>
      </w:r>
      <w:r>
        <w:rPr>
          <w:rFonts w:hint="eastAsia" w:ascii="宋体" w:hAnsi="宋体" w:eastAsia="宋体"/>
          <w:b/>
          <w:bCs/>
          <w:color w:val="auto"/>
          <w:sz w:val="28"/>
          <w:highlight w:val="none"/>
        </w:rPr>
        <w:t xml:space="preserve">  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37"/>
      <w:bookmarkEnd w:id="238"/>
    </w:p>
    <w:p>
      <w:pPr>
        <w:spacing w:line="360" w:lineRule="auto"/>
        <w:jc w:val="center"/>
        <w:outlineLvl w:val="1"/>
        <w:rPr>
          <w:rFonts w:ascii="仿宋" w:hAnsi="仿宋" w:eastAsia="仿宋" w:cs="仿宋"/>
          <w:b/>
          <w:bCs/>
          <w:color w:val="auto"/>
          <w:sz w:val="32"/>
          <w:szCs w:val="44"/>
          <w:highlight w:val="none"/>
        </w:rPr>
      </w:pPr>
      <w:bookmarkStart w:id="239" w:name="_Toc27159"/>
      <w:bookmarkStart w:id="240" w:name="_Toc6955"/>
      <w:r>
        <w:rPr>
          <w:rFonts w:hint="eastAsia" w:ascii="仿宋" w:hAnsi="仿宋" w:eastAsia="仿宋" w:cs="仿宋"/>
          <w:b/>
          <w:bCs/>
          <w:color w:val="auto"/>
          <w:sz w:val="32"/>
          <w:szCs w:val="44"/>
          <w:highlight w:val="none"/>
        </w:rPr>
        <w:t>询问函范本</w:t>
      </w:r>
      <w:bookmarkEnd w:id="239"/>
      <w:bookmarkEnd w:id="24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u w:val="singl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highlight w:val="none"/>
        </w:rPr>
        <w:t>的采购活动，现有以下内容(或条款)存在疑问(或无法理解)，特提出询问。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241" w:name="_Toc13899"/>
      <w:r>
        <w:rPr>
          <w:rFonts w:hint="eastAsia" w:cs="仿宋" w:asciiTheme="minorEastAsia" w:hAnsiTheme="minorEastAsia" w:eastAsiaTheme="minorEastAsia"/>
          <w:color w:val="auto"/>
          <w:sz w:val="24"/>
          <w:szCs w:val="24"/>
          <w:highlight w:val="none"/>
        </w:rPr>
        <w:t>一、(事项一)</w:t>
      </w:r>
      <w:bookmarkEnd w:id="24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242" w:name="_Toc3352"/>
      <w:r>
        <w:rPr>
          <w:rFonts w:hint="eastAsia" w:cs="仿宋" w:asciiTheme="minorEastAsia" w:hAnsiTheme="minorEastAsia" w:eastAsiaTheme="minorEastAsia"/>
          <w:color w:val="auto"/>
          <w:sz w:val="24"/>
          <w:szCs w:val="24"/>
          <w:highlight w:val="none"/>
        </w:rPr>
        <w:t>二、(事项二)</w:t>
      </w:r>
      <w:bookmarkEnd w:id="24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仿宋" w:hAnsi="仿宋" w:eastAsia="仿宋" w:cs="仿宋"/>
          <w:b/>
          <w:bCs/>
          <w:color w:val="auto"/>
          <w:sz w:val="32"/>
          <w:szCs w:val="44"/>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243" w:name="_Toc1575"/>
      <w:bookmarkStart w:id="244" w:name="_Toc857"/>
      <w:r>
        <w:rPr>
          <w:rFonts w:hint="eastAsia" w:ascii="仿宋" w:hAnsi="仿宋" w:eastAsia="仿宋" w:cs="仿宋"/>
          <w:b/>
          <w:bCs/>
          <w:color w:val="auto"/>
          <w:sz w:val="32"/>
          <w:szCs w:val="44"/>
          <w:highlight w:val="none"/>
        </w:rPr>
        <w:t>质疑函范本</w:t>
      </w:r>
      <w:bookmarkEnd w:id="243"/>
      <w:bookmarkEnd w:id="244"/>
    </w:p>
    <w:p>
      <w:pPr>
        <w:adjustRightInd w:val="0"/>
        <w:snapToGrid w:val="0"/>
        <w:spacing w:before="312" w:beforeLines="100" w:line="360" w:lineRule="auto"/>
        <w:outlineLvl w:val="9"/>
        <w:rPr>
          <w:rFonts w:cs="仿宋" w:asciiTheme="minorEastAsia" w:hAnsiTheme="minorEastAsia" w:eastAsiaTheme="minorEastAsia"/>
          <w:b/>
          <w:bCs/>
          <w:color w:val="auto"/>
          <w:sz w:val="24"/>
          <w:szCs w:val="24"/>
          <w:highlight w:val="none"/>
        </w:rPr>
      </w:pPr>
      <w:bookmarkStart w:id="245" w:name="_Toc21381"/>
      <w:r>
        <w:rPr>
          <w:rFonts w:hint="eastAsia" w:cs="仿宋" w:asciiTheme="minorEastAsia" w:hAnsiTheme="minorEastAsia" w:eastAsiaTheme="minorEastAsia"/>
          <w:b/>
          <w:bCs/>
          <w:color w:val="auto"/>
          <w:sz w:val="24"/>
          <w:szCs w:val="24"/>
          <w:highlight w:val="none"/>
        </w:rPr>
        <w:t>一、质疑供应商基本信息</w:t>
      </w:r>
      <w:bookmarkEnd w:id="24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46" w:name="_Toc28415"/>
      <w:r>
        <w:rPr>
          <w:rFonts w:hint="eastAsia" w:cs="仿宋" w:asciiTheme="minorEastAsia" w:hAnsiTheme="minorEastAsia" w:eastAsiaTheme="minorEastAsia"/>
          <w:b/>
          <w:bCs/>
          <w:color w:val="auto"/>
          <w:sz w:val="24"/>
          <w:szCs w:val="24"/>
          <w:highlight w:val="none"/>
        </w:rPr>
        <w:t>二、质疑项目基本情况</w:t>
      </w:r>
      <w:bookmarkEnd w:id="246"/>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47" w:name="_Toc19014"/>
      <w:r>
        <w:rPr>
          <w:rFonts w:hint="eastAsia" w:cs="仿宋" w:asciiTheme="minorEastAsia" w:hAnsiTheme="minorEastAsia" w:eastAsiaTheme="minorEastAsia"/>
          <w:b/>
          <w:bCs/>
          <w:color w:val="auto"/>
          <w:sz w:val="24"/>
          <w:szCs w:val="24"/>
          <w:highlight w:val="none"/>
        </w:rPr>
        <w:t>三、质疑事项具体内容</w:t>
      </w:r>
      <w:bookmarkEnd w:id="247"/>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48" w:name="_Toc17919"/>
      <w:r>
        <w:rPr>
          <w:rFonts w:hint="eastAsia" w:cs="仿宋" w:asciiTheme="minorEastAsia" w:hAnsiTheme="minorEastAsia" w:eastAsiaTheme="minorEastAsia"/>
          <w:b/>
          <w:bCs/>
          <w:color w:val="auto"/>
          <w:sz w:val="24"/>
          <w:szCs w:val="24"/>
          <w:highlight w:val="none"/>
        </w:rPr>
        <w:t>四、与质疑事项相关的质疑请求</w:t>
      </w:r>
      <w:bookmarkEnd w:id="24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249" w:name="_Toc22239"/>
      <w:bookmarkStart w:id="250" w:name="_Toc9754"/>
      <w:r>
        <w:rPr>
          <w:rFonts w:hint="eastAsia" w:asciiTheme="minorEastAsia" w:hAnsiTheme="minorEastAsia" w:eastAsiaTheme="minorEastAsia"/>
          <w:b/>
          <w:color w:val="auto"/>
          <w:sz w:val="28"/>
          <w:szCs w:val="32"/>
          <w:highlight w:val="none"/>
        </w:rPr>
        <w:t>质疑函制作说明：</w:t>
      </w:r>
      <w:bookmarkEnd w:id="249"/>
      <w:bookmarkEnd w:id="250"/>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asciiTheme="minorEastAsia" w:hAnsiTheme="minorEastAsia" w:eastAsiaTheme="minor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服务类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示范文本（服务类）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064A37"/>
    <w:multiLevelType w:val="singleLevel"/>
    <w:tmpl w:val="2A064A37"/>
    <w:lvl w:ilvl="0" w:tentative="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F56"/>
    <w:rsid w:val="000049DA"/>
    <w:rsid w:val="00004F40"/>
    <w:rsid w:val="000056B7"/>
    <w:rsid w:val="00012A13"/>
    <w:rsid w:val="000131F7"/>
    <w:rsid w:val="00016B6C"/>
    <w:rsid w:val="00017EC7"/>
    <w:rsid w:val="00020B57"/>
    <w:rsid w:val="00033B5B"/>
    <w:rsid w:val="00037DBE"/>
    <w:rsid w:val="00042139"/>
    <w:rsid w:val="00042B14"/>
    <w:rsid w:val="00044347"/>
    <w:rsid w:val="00044F49"/>
    <w:rsid w:val="000450C3"/>
    <w:rsid w:val="00046AFF"/>
    <w:rsid w:val="00050A3F"/>
    <w:rsid w:val="000530EC"/>
    <w:rsid w:val="000544DE"/>
    <w:rsid w:val="000648D2"/>
    <w:rsid w:val="00070E0E"/>
    <w:rsid w:val="00076DB7"/>
    <w:rsid w:val="00080B7B"/>
    <w:rsid w:val="00080FEB"/>
    <w:rsid w:val="00081B81"/>
    <w:rsid w:val="000868D6"/>
    <w:rsid w:val="000942BA"/>
    <w:rsid w:val="00094D41"/>
    <w:rsid w:val="00097CB9"/>
    <w:rsid w:val="000A3569"/>
    <w:rsid w:val="000A4640"/>
    <w:rsid w:val="000A6345"/>
    <w:rsid w:val="000A6693"/>
    <w:rsid w:val="000A6B73"/>
    <w:rsid w:val="000A7D94"/>
    <w:rsid w:val="000B1511"/>
    <w:rsid w:val="000B54F4"/>
    <w:rsid w:val="000C1DB1"/>
    <w:rsid w:val="000D3F37"/>
    <w:rsid w:val="000D431F"/>
    <w:rsid w:val="000E2208"/>
    <w:rsid w:val="000E3C74"/>
    <w:rsid w:val="000E3F9B"/>
    <w:rsid w:val="000E6689"/>
    <w:rsid w:val="000F00A3"/>
    <w:rsid w:val="000F014C"/>
    <w:rsid w:val="000F172B"/>
    <w:rsid w:val="000F1C24"/>
    <w:rsid w:val="000F2198"/>
    <w:rsid w:val="000F39B6"/>
    <w:rsid w:val="000F6B7B"/>
    <w:rsid w:val="00100B0F"/>
    <w:rsid w:val="0010187C"/>
    <w:rsid w:val="001037E3"/>
    <w:rsid w:val="00110911"/>
    <w:rsid w:val="00116A70"/>
    <w:rsid w:val="0012143A"/>
    <w:rsid w:val="001222C6"/>
    <w:rsid w:val="00136D80"/>
    <w:rsid w:val="00137C7C"/>
    <w:rsid w:val="00140687"/>
    <w:rsid w:val="00141707"/>
    <w:rsid w:val="00142AAF"/>
    <w:rsid w:val="00146421"/>
    <w:rsid w:val="001467FF"/>
    <w:rsid w:val="001479CF"/>
    <w:rsid w:val="00150567"/>
    <w:rsid w:val="00155F64"/>
    <w:rsid w:val="00157148"/>
    <w:rsid w:val="00157856"/>
    <w:rsid w:val="00160729"/>
    <w:rsid w:val="00160D83"/>
    <w:rsid w:val="001644D1"/>
    <w:rsid w:val="00164D27"/>
    <w:rsid w:val="00166ED8"/>
    <w:rsid w:val="001714C9"/>
    <w:rsid w:val="001754E2"/>
    <w:rsid w:val="00177DAF"/>
    <w:rsid w:val="0018119B"/>
    <w:rsid w:val="001812B3"/>
    <w:rsid w:val="00181D07"/>
    <w:rsid w:val="001826D0"/>
    <w:rsid w:val="00183344"/>
    <w:rsid w:val="00183897"/>
    <w:rsid w:val="001844AB"/>
    <w:rsid w:val="00190F1F"/>
    <w:rsid w:val="001944B8"/>
    <w:rsid w:val="00195399"/>
    <w:rsid w:val="00196DA3"/>
    <w:rsid w:val="00197AC4"/>
    <w:rsid w:val="001A0DCD"/>
    <w:rsid w:val="001A5D34"/>
    <w:rsid w:val="001A68E5"/>
    <w:rsid w:val="001B21DF"/>
    <w:rsid w:val="001B2A54"/>
    <w:rsid w:val="001B5014"/>
    <w:rsid w:val="001B7327"/>
    <w:rsid w:val="001C1409"/>
    <w:rsid w:val="001C67F2"/>
    <w:rsid w:val="001D53B4"/>
    <w:rsid w:val="001E744D"/>
    <w:rsid w:val="001F28D2"/>
    <w:rsid w:val="001F2F45"/>
    <w:rsid w:val="001F3023"/>
    <w:rsid w:val="001F35F6"/>
    <w:rsid w:val="001F74CA"/>
    <w:rsid w:val="002003B6"/>
    <w:rsid w:val="002020CB"/>
    <w:rsid w:val="002049B4"/>
    <w:rsid w:val="0020520B"/>
    <w:rsid w:val="00213C55"/>
    <w:rsid w:val="002163CF"/>
    <w:rsid w:val="002168C4"/>
    <w:rsid w:val="002178B1"/>
    <w:rsid w:val="00223CF4"/>
    <w:rsid w:val="00224C4A"/>
    <w:rsid w:val="002338E2"/>
    <w:rsid w:val="0023407E"/>
    <w:rsid w:val="00240B40"/>
    <w:rsid w:val="002440D8"/>
    <w:rsid w:val="00244182"/>
    <w:rsid w:val="00246810"/>
    <w:rsid w:val="00260860"/>
    <w:rsid w:val="00260B94"/>
    <w:rsid w:val="00264F2E"/>
    <w:rsid w:val="00271245"/>
    <w:rsid w:val="00272E6E"/>
    <w:rsid w:val="00274A9E"/>
    <w:rsid w:val="00276292"/>
    <w:rsid w:val="00276BA1"/>
    <w:rsid w:val="00277094"/>
    <w:rsid w:val="00286BB6"/>
    <w:rsid w:val="002A1A1D"/>
    <w:rsid w:val="002A28AD"/>
    <w:rsid w:val="002A3AEE"/>
    <w:rsid w:val="002A400A"/>
    <w:rsid w:val="002B08E7"/>
    <w:rsid w:val="002B0C18"/>
    <w:rsid w:val="002B5318"/>
    <w:rsid w:val="002B5373"/>
    <w:rsid w:val="002B6D27"/>
    <w:rsid w:val="002C3776"/>
    <w:rsid w:val="002C4BA9"/>
    <w:rsid w:val="002D1258"/>
    <w:rsid w:val="002D128A"/>
    <w:rsid w:val="002D2965"/>
    <w:rsid w:val="002D3D02"/>
    <w:rsid w:val="002D4CB5"/>
    <w:rsid w:val="002D684B"/>
    <w:rsid w:val="002E3B26"/>
    <w:rsid w:val="002E4AB8"/>
    <w:rsid w:val="002F092B"/>
    <w:rsid w:val="002F5981"/>
    <w:rsid w:val="002F72EE"/>
    <w:rsid w:val="00310070"/>
    <w:rsid w:val="003110EC"/>
    <w:rsid w:val="00313029"/>
    <w:rsid w:val="00324D38"/>
    <w:rsid w:val="00327C92"/>
    <w:rsid w:val="0033245B"/>
    <w:rsid w:val="00333292"/>
    <w:rsid w:val="003344E7"/>
    <w:rsid w:val="0033580B"/>
    <w:rsid w:val="0033628B"/>
    <w:rsid w:val="003365E7"/>
    <w:rsid w:val="003378D5"/>
    <w:rsid w:val="003419E9"/>
    <w:rsid w:val="003447AE"/>
    <w:rsid w:val="003473D7"/>
    <w:rsid w:val="00351AC8"/>
    <w:rsid w:val="00353075"/>
    <w:rsid w:val="00363E02"/>
    <w:rsid w:val="00373A96"/>
    <w:rsid w:val="003826C2"/>
    <w:rsid w:val="00383728"/>
    <w:rsid w:val="00383B8D"/>
    <w:rsid w:val="00391586"/>
    <w:rsid w:val="00394128"/>
    <w:rsid w:val="003947A4"/>
    <w:rsid w:val="00395235"/>
    <w:rsid w:val="0039561A"/>
    <w:rsid w:val="00397C7D"/>
    <w:rsid w:val="003A004F"/>
    <w:rsid w:val="003B4130"/>
    <w:rsid w:val="003B67D3"/>
    <w:rsid w:val="003B6C76"/>
    <w:rsid w:val="003B715B"/>
    <w:rsid w:val="003C4630"/>
    <w:rsid w:val="003D1D14"/>
    <w:rsid w:val="003D6C7C"/>
    <w:rsid w:val="003D6EFB"/>
    <w:rsid w:val="003D7E52"/>
    <w:rsid w:val="003E25C6"/>
    <w:rsid w:val="003E6BEB"/>
    <w:rsid w:val="003F145B"/>
    <w:rsid w:val="003F2122"/>
    <w:rsid w:val="003F326A"/>
    <w:rsid w:val="004011AA"/>
    <w:rsid w:val="0040202C"/>
    <w:rsid w:val="00406508"/>
    <w:rsid w:val="0041456E"/>
    <w:rsid w:val="00414F7E"/>
    <w:rsid w:val="004164F8"/>
    <w:rsid w:val="00417FD0"/>
    <w:rsid w:val="00420B7F"/>
    <w:rsid w:val="004234BA"/>
    <w:rsid w:val="0042488B"/>
    <w:rsid w:val="004427B7"/>
    <w:rsid w:val="0044349F"/>
    <w:rsid w:val="00445F1F"/>
    <w:rsid w:val="00451F60"/>
    <w:rsid w:val="00452BB2"/>
    <w:rsid w:val="00455467"/>
    <w:rsid w:val="0045656D"/>
    <w:rsid w:val="00462D98"/>
    <w:rsid w:val="00472A44"/>
    <w:rsid w:val="00473A89"/>
    <w:rsid w:val="00474D3B"/>
    <w:rsid w:val="00475899"/>
    <w:rsid w:val="004802A8"/>
    <w:rsid w:val="00482C78"/>
    <w:rsid w:val="004874AE"/>
    <w:rsid w:val="00492E2B"/>
    <w:rsid w:val="00494D24"/>
    <w:rsid w:val="004951D1"/>
    <w:rsid w:val="004A27D0"/>
    <w:rsid w:val="004A4D67"/>
    <w:rsid w:val="004A6FD2"/>
    <w:rsid w:val="004B2D4C"/>
    <w:rsid w:val="004C7378"/>
    <w:rsid w:val="004D1030"/>
    <w:rsid w:val="004D3D4B"/>
    <w:rsid w:val="004D5498"/>
    <w:rsid w:val="004D66A5"/>
    <w:rsid w:val="004D6B00"/>
    <w:rsid w:val="004D7951"/>
    <w:rsid w:val="004E0AE0"/>
    <w:rsid w:val="004E1D50"/>
    <w:rsid w:val="004E502F"/>
    <w:rsid w:val="004F0396"/>
    <w:rsid w:val="00501382"/>
    <w:rsid w:val="00503E2F"/>
    <w:rsid w:val="005054B9"/>
    <w:rsid w:val="00506E4F"/>
    <w:rsid w:val="00510798"/>
    <w:rsid w:val="00514ED8"/>
    <w:rsid w:val="00515F12"/>
    <w:rsid w:val="00522B2E"/>
    <w:rsid w:val="00524A11"/>
    <w:rsid w:val="00527768"/>
    <w:rsid w:val="005327FB"/>
    <w:rsid w:val="00533FCA"/>
    <w:rsid w:val="00541C0B"/>
    <w:rsid w:val="0054317E"/>
    <w:rsid w:val="00544C2A"/>
    <w:rsid w:val="00546D49"/>
    <w:rsid w:val="00556D4C"/>
    <w:rsid w:val="005614B4"/>
    <w:rsid w:val="005616B5"/>
    <w:rsid w:val="00571315"/>
    <w:rsid w:val="00582075"/>
    <w:rsid w:val="00584A63"/>
    <w:rsid w:val="00585EB3"/>
    <w:rsid w:val="00591688"/>
    <w:rsid w:val="00592509"/>
    <w:rsid w:val="00594986"/>
    <w:rsid w:val="00597B15"/>
    <w:rsid w:val="005A044C"/>
    <w:rsid w:val="005B5C95"/>
    <w:rsid w:val="005B6740"/>
    <w:rsid w:val="005D0200"/>
    <w:rsid w:val="005D44EF"/>
    <w:rsid w:val="005D4814"/>
    <w:rsid w:val="005D5112"/>
    <w:rsid w:val="005F03E3"/>
    <w:rsid w:val="005F3914"/>
    <w:rsid w:val="005F3B5A"/>
    <w:rsid w:val="005F6AB4"/>
    <w:rsid w:val="00610A66"/>
    <w:rsid w:val="00613177"/>
    <w:rsid w:val="00613F7C"/>
    <w:rsid w:val="00614BF2"/>
    <w:rsid w:val="0061618E"/>
    <w:rsid w:val="00620560"/>
    <w:rsid w:val="006208CB"/>
    <w:rsid w:val="00623DE2"/>
    <w:rsid w:val="00627601"/>
    <w:rsid w:val="006300D0"/>
    <w:rsid w:val="00632012"/>
    <w:rsid w:val="00634694"/>
    <w:rsid w:val="00635F9D"/>
    <w:rsid w:val="00636517"/>
    <w:rsid w:val="00637690"/>
    <w:rsid w:val="00640E1E"/>
    <w:rsid w:val="0064389A"/>
    <w:rsid w:val="00645442"/>
    <w:rsid w:val="006525CD"/>
    <w:rsid w:val="00653353"/>
    <w:rsid w:val="00653F7F"/>
    <w:rsid w:val="00662EE8"/>
    <w:rsid w:val="00663813"/>
    <w:rsid w:val="00663C3B"/>
    <w:rsid w:val="00664AFD"/>
    <w:rsid w:val="00667567"/>
    <w:rsid w:val="0067391A"/>
    <w:rsid w:val="00674173"/>
    <w:rsid w:val="00674602"/>
    <w:rsid w:val="0067535A"/>
    <w:rsid w:val="00683CA0"/>
    <w:rsid w:val="00690DB1"/>
    <w:rsid w:val="00693404"/>
    <w:rsid w:val="006953D9"/>
    <w:rsid w:val="00697FE9"/>
    <w:rsid w:val="006A5FEE"/>
    <w:rsid w:val="006B1242"/>
    <w:rsid w:val="006B1DBC"/>
    <w:rsid w:val="006B63B7"/>
    <w:rsid w:val="006B7D9A"/>
    <w:rsid w:val="006C06D9"/>
    <w:rsid w:val="006C464F"/>
    <w:rsid w:val="006C5716"/>
    <w:rsid w:val="006C74A9"/>
    <w:rsid w:val="006D07DE"/>
    <w:rsid w:val="006D394E"/>
    <w:rsid w:val="006E06D9"/>
    <w:rsid w:val="006E1D40"/>
    <w:rsid w:val="006E2E1F"/>
    <w:rsid w:val="006E4BE8"/>
    <w:rsid w:val="006F5FFF"/>
    <w:rsid w:val="006F6E33"/>
    <w:rsid w:val="006F7AF3"/>
    <w:rsid w:val="00702CF1"/>
    <w:rsid w:val="00703635"/>
    <w:rsid w:val="007054AA"/>
    <w:rsid w:val="00706D4B"/>
    <w:rsid w:val="00707B8C"/>
    <w:rsid w:val="00710804"/>
    <w:rsid w:val="00711FC6"/>
    <w:rsid w:val="007130B1"/>
    <w:rsid w:val="00715071"/>
    <w:rsid w:val="0072140F"/>
    <w:rsid w:val="007231E9"/>
    <w:rsid w:val="00727C59"/>
    <w:rsid w:val="00734E5D"/>
    <w:rsid w:val="00735AF1"/>
    <w:rsid w:val="00736013"/>
    <w:rsid w:val="00737661"/>
    <w:rsid w:val="00755D75"/>
    <w:rsid w:val="00756245"/>
    <w:rsid w:val="0076130F"/>
    <w:rsid w:val="00761662"/>
    <w:rsid w:val="00764043"/>
    <w:rsid w:val="007757CF"/>
    <w:rsid w:val="00776FFC"/>
    <w:rsid w:val="0078128F"/>
    <w:rsid w:val="0078683C"/>
    <w:rsid w:val="00790EDB"/>
    <w:rsid w:val="00791538"/>
    <w:rsid w:val="007918F0"/>
    <w:rsid w:val="0079326E"/>
    <w:rsid w:val="00796EDE"/>
    <w:rsid w:val="00797A02"/>
    <w:rsid w:val="007A27A9"/>
    <w:rsid w:val="007A5A58"/>
    <w:rsid w:val="007A6740"/>
    <w:rsid w:val="007B1C56"/>
    <w:rsid w:val="007B4996"/>
    <w:rsid w:val="007C3CD5"/>
    <w:rsid w:val="007C61EF"/>
    <w:rsid w:val="007D1C0D"/>
    <w:rsid w:val="007D2D23"/>
    <w:rsid w:val="007D7644"/>
    <w:rsid w:val="007E27D6"/>
    <w:rsid w:val="007E3921"/>
    <w:rsid w:val="007E5DDE"/>
    <w:rsid w:val="00801028"/>
    <w:rsid w:val="00802CE2"/>
    <w:rsid w:val="00803793"/>
    <w:rsid w:val="0080643F"/>
    <w:rsid w:val="00814052"/>
    <w:rsid w:val="008149FD"/>
    <w:rsid w:val="00817A01"/>
    <w:rsid w:val="00824F21"/>
    <w:rsid w:val="0082500C"/>
    <w:rsid w:val="00825E35"/>
    <w:rsid w:val="008334F8"/>
    <w:rsid w:val="008341AA"/>
    <w:rsid w:val="00835D8E"/>
    <w:rsid w:val="008372F6"/>
    <w:rsid w:val="008377CA"/>
    <w:rsid w:val="00844D03"/>
    <w:rsid w:val="00847B0F"/>
    <w:rsid w:val="00852994"/>
    <w:rsid w:val="00873D89"/>
    <w:rsid w:val="00876659"/>
    <w:rsid w:val="00876677"/>
    <w:rsid w:val="0087734C"/>
    <w:rsid w:val="00882141"/>
    <w:rsid w:val="00887E3B"/>
    <w:rsid w:val="008922A8"/>
    <w:rsid w:val="00895728"/>
    <w:rsid w:val="00895BD5"/>
    <w:rsid w:val="0089742B"/>
    <w:rsid w:val="008A16C4"/>
    <w:rsid w:val="008A6FED"/>
    <w:rsid w:val="008B39C5"/>
    <w:rsid w:val="008B51AA"/>
    <w:rsid w:val="008B7932"/>
    <w:rsid w:val="008C4704"/>
    <w:rsid w:val="008C67F2"/>
    <w:rsid w:val="008D064A"/>
    <w:rsid w:val="008D0FDB"/>
    <w:rsid w:val="008D2B0F"/>
    <w:rsid w:val="008D30BC"/>
    <w:rsid w:val="008D4BC4"/>
    <w:rsid w:val="008E449E"/>
    <w:rsid w:val="008E7062"/>
    <w:rsid w:val="008F187F"/>
    <w:rsid w:val="008F402F"/>
    <w:rsid w:val="008F55FA"/>
    <w:rsid w:val="008F76E8"/>
    <w:rsid w:val="008F7CD0"/>
    <w:rsid w:val="00902902"/>
    <w:rsid w:val="00902A4B"/>
    <w:rsid w:val="009078A1"/>
    <w:rsid w:val="00911E9C"/>
    <w:rsid w:val="00915083"/>
    <w:rsid w:val="00917405"/>
    <w:rsid w:val="00920035"/>
    <w:rsid w:val="00920F7C"/>
    <w:rsid w:val="00934CAE"/>
    <w:rsid w:val="0094257D"/>
    <w:rsid w:val="00942F60"/>
    <w:rsid w:val="0095211B"/>
    <w:rsid w:val="0095467C"/>
    <w:rsid w:val="00954A61"/>
    <w:rsid w:val="00955C6F"/>
    <w:rsid w:val="00966C7B"/>
    <w:rsid w:val="009701DC"/>
    <w:rsid w:val="009715D8"/>
    <w:rsid w:val="00980D0D"/>
    <w:rsid w:val="00985C4B"/>
    <w:rsid w:val="00995BF9"/>
    <w:rsid w:val="00997C3C"/>
    <w:rsid w:val="009A0CAF"/>
    <w:rsid w:val="009A1474"/>
    <w:rsid w:val="009A2207"/>
    <w:rsid w:val="009A5147"/>
    <w:rsid w:val="009A74C4"/>
    <w:rsid w:val="009B02D2"/>
    <w:rsid w:val="009B6C42"/>
    <w:rsid w:val="009D31F7"/>
    <w:rsid w:val="009D32C2"/>
    <w:rsid w:val="009D50DB"/>
    <w:rsid w:val="009E3A0A"/>
    <w:rsid w:val="009F26D4"/>
    <w:rsid w:val="009F3E91"/>
    <w:rsid w:val="009F6CE7"/>
    <w:rsid w:val="009F7D7D"/>
    <w:rsid w:val="00A01670"/>
    <w:rsid w:val="00A1499B"/>
    <w:rsid w:val="00A20879"/>
    <w:rsid w:val="00A20AFC"/>
    <w:rsid w:val="00A23E47"/>
    <w:rsid w:val="00A314C2"/>
    <w:rsid w:val="00A43B9C"/>
    <w:rsid w:val="00A53155"/>
    <w:rsid w:val="00A56FFA"/>
    <w:rsid w:val="00A63E86"/>
    <w:rsid w:val="00A65A1C"/>
    <w:rsid w:val="00A757C3"/>
    <w:rsid w:val="00A75E5B"/>
    <w:rsid w:val="00A7684A"/>
    <w:rsid w:val="00A82AED"/>
    <w:rsid w:val="00A83B69"/>
    <w:rsid w:val="00A86533"/>
    <w:rsid w:val="00A9176A"/>
    <w:rsid w:val="00A91CA2"/>
    <w:rsid w:val="00A92FB8"/>
    <w:rsid w:val="00A948F1"/>
    <w:rsid w:val="00AA1D7D"/>
    <w:rsid w:val="00AA7525"/>
    <w:rsid w:val="00AB0EA9"/>
    <w:rsid w:val="00AB139D"/>
    <w:rsid w:val="00AB2C46"/>
    <w:rsid w:val="00AB3EFB"/>
    <w:rsid w:val="00AB5EF7"/>
    <w:rsid w:val="00AC0B05"/>
    <w:rsid w:val="00AC763F"/>
    <w:rsid w:val="00AD079A"/>
    <w:rsid w:val="00AD1890"/>
    <w:rsid w:val="00AE2149"/>
    <w:rsid w:val="00AE33AE"/>
    <w:rsid w:val="00AE3785"/>
    <w:rsid w:val="00AE3F91"/>
    <w:rsid w:val="00AE452F"/>
    <w:rsid w:val="00AE76E6"/>
    <w:rsid w:val="00B00ACC"/>
    <w:rsid w:val="00B039E3"/>
    <w:rsid w:val="00B043C1"/>
    <w:rsid w:val="00B22838"/>
    <w:rsid w:val="00B27D52"/>
    <w:rsid w:val="00B32BC1"/>
    <w:rsid w:val="00B33E95"/>
    <w:rsid w:val="00B34EE1"/>
    <w:rsid w:val="00B35B5E"/>
    <w:rsid w:val="00B3720B"/>
    <w:rsid w:val="00B40EE3"/>
    <w:rsid w:val="00B4535A"/>
    <w:rsid w:val="00B55271"/>
    <w:rsid w:val="00B5558A"/>
    <w:rsid w:val="00B56513"/>
    <w:rsid w:val="00B56B2E"/>
    <w:rsid w:val="00B64376"/>
    <w:rsid w:val="00B71533"/>
    <w:rsid w:val="00B7401F"/>
    <w:rsid w:val="00B806C3"/>
    <w:rsid w:val="00B838F5"/>
    <w:rsid w:val="00B84FCA"/>
    <w:rsid w:val="00B9089F"/>
    <w:rsid w:val="00B91AEE"/>
    <w:rsid w:val="00B94F71"/>
    <w:rsid w:val="00B95F5A"/>
    <w:rsid w:val="00B96EAD"/>
    <w:rsid w:val="00BA22AF"/>
    <w:rsid w:val="00BA4B42"/>
    <w:rsid w:val="00BA79F5"/>
    <w:rsid w:val="00BB02E8"/>
    <w:rsid w:val="00BB3AB6"/>
    <w:rsid w:val="00BB766D"/>
    <w:rsid w:val="00BC007B"/>
    <w:rsid w:val="00BC15E7"/>
    <w:rsid w:val="00BC26BA"/>
    <w:rsid w:val="00BC35F8"/>
    <w:rsid w:val="00BC49BF"/>
    <w:rsid w:val="00BC5043"/>
    <w:rsid w:val="00BC7140"/>
    <w:rsid w:val="00BD1B89"/>
    <w:rsid w:val="00BD3944"/>
    <w:rsid w:val="00BF376F"/>
    <w:rsid w:val="00BF46A6"/>
    <w:rsid w:val="00BF62CF"/>
    <w:rsid w:val="00BF6B98"/>
    <w:rsid w:val="00BF73D6"/>
    <w:rsid w:val="00C06545"/>
    <w:rsid w:val="00C1161C"/>
    <w:rsid w:val="00C17F66"/>
    <w:rsid w:val="00C220FC"/>
    <w:rsid w:val="00C23C86"/>
    <w:rsid w:val="00C24DFA"/>
    <w:rsid w:val="00C35561"/>
    <w:rsid w:val="00C4202A"/>
    <w:rsid w:val="00C4211F"/>
    <w:rsid w:val="00C46A36"/>
    <w:rsid w:val="00C47037"/>
    <w:rsid w:val="00C53625"/>
    <w:rsid w:val="00C602C1"/>
    <w:rsid w:val="00C61C98"/>
    <w:rsid w:val="00C63FC0"/>
    <w:rsid w:val="00C66392"/>
    <w:rsid w:val="00C74C5E"/>
    <w:rsid w:val="00C77487"/>
    <w:rsid w:val="00C827A2"/>
    <w:rsid w:val="00C82B69"/>
    <w:rsid w:val="00C85394"/>
    <w:rsid w:val="00C8657D"/>
    <w:rsid w:val="00C91B28"/>
    <w:rsid w:val="00C91F3A"/>
    <w:rsid w:val="00C94A6F"/>
    <w:rsid w:val="00CA06E3"/>
    <w:rsid w:val="00CB328B"/>
    <w:rsid w:val="00CB5797"/>
    <w:rsid w:val="00CB6050"/>
    <w:rsid w:val="00CC1202"/>
    <w:rsid w:val="00CC4099"/>
    <w:rsid w:val="00CC45C1"/>
    <w:rsid w:val="00CD09E1"/>
    <w:rsid w:val="00CD5078"/>
    <w:rsid w:val="00CD6202"/>
    <w:rsid w:val="00CE2486"/>
    <w:rsid w:val="00CE4913"/>
    <w:rsid w:val="00CE66BD"/>
    <w:rsid w:val="00CF0671"/>
    <w:rsid w:val="00CF44AD"/>
    <w:rsid w:val="00CF4FC0"/>
    <w:rsid w:val="00CF7642"/>
    <w:rsid w:val="00D03909"/>
    <w:rsid w:val="00D1072F"/>
    <w:rsid w:val="00D108A5"/>
    <w:rsid w:val="00D14585"/>
    <w:rsid w:val="00D20EFF"/>
    <w:rsid w:val="00D30F1B"/>
    <w:rsid w:val="00D30FC0"/>
    <w:rsid w:val="00D34F0D"/>
    <w:rsid w:val="00D3516E"/>
    <w:rsid w:val="00D4064C"/>
    <w:rsid w:val="00D47F9F"/>
    <w:rsid w:val="00D53ED8"/>
    <w:rsid w:val="00D56380"/>
    <w:rsid w:val="00D56A47"/>
    <w:rsid w:val="00D64857"/>
    <w:rsid w:val="00D6493A"/>
    <w:rsid w:val="00D64EE2"/>
    <w:rsid w:val="00D67875"/>
    <w:rsid w:val="00D71CBD"/>
    <w:rsid w:val="00D71E86"/>
    <w:rsid w:val="00D731C6"/>
    <w:rsid w:val="00D745C5"/>
    <w:rsid w:val="00D75327"/>
    <w:rsid w:val="00D76473"/>
    <w:rsid w:val="00D80C36"/>
    <w:rsid w:val="00D86779"/>
    <w:rsid w:val="00D86EE1"/>
    <w:rsid w:val="00D9120E"/>
    <w:rsid w:val="00D913B1"/>
    <w:rsid w:val="00D93793"/>
    <w:rsid w:val="00D96126"/>
    <w:rsid w:val="00DB4B1C"/>
    <w:rsid w:val="00DB5085"/>
    <w:rsid w:val="00DB7706"/>
    <w:rsid w:val="00DC1062"/>
    <w:rsid w:val="00DC132C"/>
    <w:rsid w:val="00DC774B"/>
    <w:rsid w:val="00DD43F0"/>
    <w:rsid w:val="00DD44DE"/>
    <w:rsid w:val="00DE09AB"/>
    <w:rsid w:val="00DE4A3F"/>
    <w:rsid w:val="00DE4E53"/>
    <w:rsid w:val="00DE7AE9"/>
    <w:rsid w:val="00DF4367"/>
    <w:rsid w:val="00E0574A"/>
    <w:rsid w:val="00E1243D"/>
    <w:rsid w:val="00E12742"/>
    <w:rsid w:val="00E12E4A"/>
    <w:rsid w:val="00E146D4"/>
    <w:rsid w:val="00E20976"/>
    <w:rsid w:val="00E22079"/>
    <w:rsid w:val="00E22B44"/>
    <w:rsid w:val="00E236D8"/>
    <w:rsid w:val="00E30ACD"/>
    <w:rsid w:val="00E3184B"/>
    <w:rsid w:val="00E32735"/>
    <w:rsid w:val="00E5391D"/>
    <w:rsid w:val="00E544E5"/>
    <w:rsid w:val="00E66E36"/>
    <w:rsid w:val="00E6781E"/>
    <w:rsid w:val="00E702ED"/>
    <w:rsid w:val="00E705CC"/>
    <w:rsid w:val="00E709A4"/>
    <w:rsid w:val="00E73822"/>
    <w:rsid w:val="00E772DB"/>
    <w:rsid w:val="00E86012"/>
    <w:rsid w:val="00E86BAB"/>
    <w:rsid w:val="00E901A1"/>
    <w:rsid w:val="00E94E10"/>
    <w:rsid w:val="00E954BD"/>
    <w:rsid w:val="00E96743"/>
    <w:rsid w:val="00E96A42"/>
    <w:rsid w:val="00EA0A36"/>
    <w:rsid w:val="00EA49C5"/>
    <w:rsid w:val="00EB1C1C"/>
    <w:rsid w:val="00EB5027"/>
    <w:rsid w:val="00EC1836"/>
    <w:rsid w:val="00EC3990"/>
    <w:rsid w:val="00EC484B"/>
    <w:rsid w:val="00ED15FA"/>
    <w:rsid w:val="00ED1E00"/>
    <w:rsid w:val="00EE228F"/>
    <w:rsid w:val="00EE238D"/>
    <w:rsid w:val="00EE6E9A"/>
    <w:rsid w:val="00EF0BF1"/>
    <w:rsid w:val="00EF27DA"/>
    <w:rsid w:val="00EF2AC4"/>
    <w:rsid w:val="00EF397E"/>
    <w:rsid w:val="00F06F68"/>
    <w:rsid w:val="00F1332D"/>
    <w:rsid w:val="00F1534B"/>
    <w:rsid w:val="00F1713B"/>
    <w:rsid w:val="00F212CB"/>
    <w:rsid w:val="00F23C7D"/>
    <w:rsid w:val="00F243DB"/>
    <w:rsid w:val="00F24C2D"/>
    <w:rsid w:val="00F24F1B"/>
    <w:rsid w:val="00F27356"/>
    <w:rsid w:val="00F32A81"/>
    <w:rsid w:val="00F46998"/>
    <w:rsid w:val="00F47100"/>
    <w:rsid w:val="00F5382D"/>
    <w:rsid w:val="00F53D9C"/>
    <w:rsid w:val="00F5462B"/>
    <w:rsid w:val="00F634AD"/>
    <w:rsid w:val="00F63677"/>
    <w:rsid w:val="00F63ABE"/>
    <w:rsid w:val="00F75B81"/>
    <w:rsid w:val="00F804C4"/>
    <w:rsid w:val="00F82F83"/>
    <w:rsid w:val="00F832E5"/>
    <w:rsid w:val="00F90F40"/>
    <w:rsid w:val="00F92B30"/>
    <w:rsid w:val="00F933B9"/>
    <w:rsid w:val="00F94674"/>
    <w:rsid w:val="00F94919"/>
    <w:rsid w:val="00F94A59"/>
    <w:rsid w:val="00FA25B6"/>
    <w:rsid w:val="00FA2FAF"/>
    <w:rsid w:val="00FA5CCF"/>
    <w:rsid w:val="00FA64B1"/>
    <w:rsid w:val="00FA70F3"/>
    <w:rsid w:val="00FA71CD"/>
    <w:rsid w:val="00FB0453"/>
    <w:rsid w:val="00FB0C07"/>
    <w:rsid w:val="00FB298D"/>
    <w:rsid w:val="00FC1439"/>
    <w:rsid w:val="00FC58BE"/>
    <w:rsid w:val="00FC7225"/>
    <w:rsid w:val="00FC724B"/>
    <w:rsid w:val="00FC767C"/>
    <w:rsid w:val="00FC7910"/>
    <w:rsid w:val="00FD0834"/>
    <w:rsid w:val="00FD6EA4"/>
    <w:rsid w:val="00FE13AD"/>
    <w:rsid w:val="00FE348D"/>
    <w:rsid w:val="00FE51C8"/>
    <w:rsid w:val="00FE53B6"/>
    <w:rsid w:val="00FE72A6"/>
    <w:rsid w:val="00FF0ABF"/>
    <w:rsid w:val="00FF0DA7"/>
    <w:rsid w:val="00FF44E0"/>
    <w:rsid w:val="00FF4CB6"/>
    <w:rsid w:val="00FF5834"/>
    <w:rsid w:val="00FF6C72"/>
    <w:rsid w:val="0214602E"/>
    <w:rsid w:val="03486B27"/>
    <w:rsid w:val="040A094E"/>
    <w:rsid w:val="04E36C96"/>
    <w:rsid w:val="056800F4"/>
    <w:rsid w:val="056F201D"/>
    <w:rsid w:val="05B664D4"/>
    <w:rsid w:val="07076C01"/>
    <w:rsid w:val="071C12AC"/>
    <w:rsid w:val="074E231E"/>
    <w:rsid w:val="07A934B3"/>
    <w:rsid w:val="08B15E54"/>
    <w:rsid w:val="0980799C"/>
    <w:rsid w:val="0A0F6376"/>
    <w:rsid w:val="0A353CEA"/>
    <w:rsid w:val="0A6A18DB"/>
    <w:rsid w:val="0AEF3828"/>
    <w:rsid w:val="0BBB665B"/>
    <w:rsid w:val="0CB7664E"/>
    <w:rsid w:val="0E816EC5"/>
    <w:rsid w:val="0EEA6FC1"/>
    <w:rsid w:val="0F954485"/>
    <w:rsid w:val="0FBF344F"/>
    <w:rsid w:val="10505F32"/>
    <w:rsid w:val="105A27E6"/>
    <w:rsid w:val="119B0711"/>
    <w:rsid w:val="12197477"/>
    <w:rsid w:val="13587E2C"/>
    <w:rsid w:val="1466407E"/>
    <w:rsid w:val="14834E28"/>
    <w:rsid w:val="148E7D65"/>
    <w:rsid w:val="151D4243"/>
    <w:rsid w:val="15231BF9"/>
    <w:rsid w:val="179F5278"/>
    <w:rsid w:val="1A3B68AA"/>
    <w:rsid w:val="1A3E1C1E"/>
    <w:rsid w:val="1C141836"/>
    <w:rsid w:val="1E6B6A14"/>
    <w:rsid w:val="20550D9A"/>
    <w:rsid w:val="21714B53"/>
    <w:rsid w:val="218E2416"/>
    <w:rsid w:val="226915FE"/>
    <w:rsid w:val="22E14C32"/>
    <w:rsid w:val="24B97929"/>
    <w:rsid w:val="2520252D"/>
    <w:rsid w:val="26163BC1"/>
    <w:rsid w:val="285F40CA"/>
    <w:rsid w:val="28C01ECB"/>
    <w:rsid w:val="28EC3ECC"/>
    <w:rsid w:val="29BF71E3"/>
    <w:rsid w:val="2A127B63"/>
    <w:rsid w:val="2AAA4765"/>
    <w:rsid w:val="2AC21606"/>
    <w:rsid w:val="2AF63C5E"/>
    <w:rsid w:val="2B7E7608"/>
    <w:rsid w:val="2B7F04E9"/>
    <w:rsid w:val="2C305555"/>
    <w:rsid w:val="2C9A21B9"/>
    <w:rsid w:val="2CE20523"/>
    <w:rsid w:val="2D496D68"/>
    <w:rsid w:val="2E6672CB"/>
    <w:rsid w:val="2E7A48DE"/>
    <w:rsid w:val="2EDC3ED8"/>
    <w:rsid w:val="2F2D046C"/>
    <w:rsid w:val="2F6351B4"/>
    <w:rsid w:val="2FCF199E"/>
    <w:rsid w:val="30483E83"/>
    <w:rsid w:val="30AA0E97"/>
    <w:rsid w:val="334E4CD8"/>
    <w:rsid w:val="343C0775"/>
    <w:rsid w:val="34AA76A9"/>
    <w:rsid w:val="356C50EC"/>
    <w:rsid w:val="361108CD"/>
    <w:rsid w:val="3700166C"/>
    <w:rsid w:val="3727617F"/>
    <w:rsid w:val="375969FE"/>
    <w:rsid w:val="38694EE9"/>
    <w:rsid w:val="3B365CC9"/>
    <w:rsid w:val="3B9A7B88"/>
    <w:rsid w:val="3BC114FF"/>
    <w:rsid w:val="3C2660C6"/>
    <w:rsid w:val="3D2C7AC8"/>
    <w:rsid w:val="3D855D12"/>
    <w:rsid w:val="3D8B42FF"/>
    <w:rsid w:val="3D8C02DD"/>
    <w:rsid w:val="3DC20089"/>
    <w:rsid w:val="3DF36A6E"/>
    <w:rsid w:val="3F1138E1"/>
    <w:rsid w:val="3F792F1E"/>
    <w:rsid w:val="40824826"/>
    <w:rsid w:val="40E63923"/>
    <w:rsid w:val="42B443F4"/>
    <w:rsid w:val="42F43FD4"/>
    <w:rsid w:val="43A91E5B"/>
    <w:rsid w:val="44BC3308"/>
    <w:rsid w:val="45BA48DB"/>
    <w:rsid w:val="463A3650"/>
    <w:rsid w:val="469F0116"/>
    <w:rsid w:val="475259B7"/>
    <w:rsid w:val="48831CF9"/>
    <w:rsid w:val="49A165B8"/>
    <w:rsid w:val="49B1408D"/>
    <w:rsid w:val="4A7D4FD2"/>
    <w:rsid w:val="4A913C9A"/>
    <w:rsid w:val="4AE22D2F"/>
    <w:rsid w:val="4B1F70AC"/>
    <w:rsid w:val="4B240F94"/>
    <w:rsid w:val="4B386AE5"/>
    <w:rsid w:val="4BA75287"/>
    <w:rsid w:val="4BED70D6"/>
    <w:rsid w:val="4C3C565C"/>
    <w:rsid w:val="4CCC79C7"/>
    <w:rsid w:val="4D7555C7"/>
    <w:rsid w:val="4EAE6DA0"/>
    <w:rsid w:val="4FD037EF"/>
    <w:rsid w:val="5016514B"/>
    <w:rsid w:val="502857C7"/>
    <w:rsid w:val="50476D3D"/>
    <w:rsid w:val="51CB1C78"/>
    <w:rsid w:val="51FD6A51"/>
    <w:rsid w:val="526B680A"/>
    <w:rsid w:val="53150D15"/>
    <w:rsid w:val="5352083E"/>
    <w:rsid w:val="541A5D30"/>
    <w:rsid w:val="553E632F"/>
    <w:rsid w:val="55F068CD"/>
    <w:rsid w:val="566C3136"/>
    <w:rsid w:val="568D04F2"/>
    <w:rsid w:val="588D6DD7"/>
    <w:rsid w:val="5A526582"/>
    <w:rsid w:val="5A5F5C77"/>
    <w:rsid w:val="5BBE39CD"/>
    <w:rsid w:val="5BC11A60"/>
    <w:rsid w:val="5C7A4D54"/>
    <w:rsid w:val="5CD23B73"/>
    <w:rsid w:val="5F127819"/>
    <w:rsid w:val="5F63752A"/>
    <w:rsid w:val="60F1503F"/>
    <w:rsid w:val="61025188"/>
    <w:rsid w:val="61057D5F"/>
    <w:rsid w:val="614D4977"/>
    <w:rsid w:val="63C60FC0"/>
    <w:rsid w:val="64BA3D7A"/>
    <w:rsid w:val="64F179BC"/>
    <w:rsid w:val="65C94C55"/>
    <w:rsid w:val="665704D3"/>
    <w:rsid w:val="673148E2"/>
    <w:rsid w:val="675445CD"/>
    <w:rsid w:val="67C065A4"/>
    <w:rsid w:val="67D359C9"/>
    <w:rsid w:val="68FE36DD"/>
    <w:rsid w:val="694E60FC"/>
    <w:rsid w:val="69EF4042"/>
    <w:rsid w:val="6C410A63"/>
    <w:rsid w:val="6C675CE6"/>
    <w:rsid w:val="6CEF35AF"/>
    <w:rsid w:val="6D4F4321"/>
    <w:rsid w:val="6DFF7360"/>
    <w:rsid w:val="6E7A5F73"/>
    <w:rsid w:val="6F2E3798"/>
    <w:rsid w:val="6FD74228"/>
    <w:rsid w:val="70FE5EDF"/>
    <w:rsid w:val="71633091"/>
    <w:rsid w:val="73081CA5"/>
    <w:rsid w:val="74545B7C"/>
    <w:rsid w:val="7487762D"/>
    <w:rsid w:val="75385498"/>
    <w:rsid w:val="769962BD"/>
    <w:rsid w:val="76BC207F"/>
    <w:rsid w:val="76EB4904"/>
    <w:rsid w:val="777378F5"/>
    <w:rsid w:val="777A2D3C"/>
    <w:rsid w:val="78537BEA"/>
    <w:rsid w:val="79074B81"/>
    <w:rsid w:val="794F0939"/>
    <w:rsid w:val="79AF0FCA"/>
    <w:rsid w:val="79EF2560"/>
    <w:rsid w:val="7AF9279C"/>
    <w:rsid w:val="7CC51958"/>
    <w:rsid w:val="7CEC40B6"/>
    <w:rsid w:val="7E2936C3"/>
    <w:rsid w:val="7E2E365C"/>
    <w:rsid w:val="7E641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6"/>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autoRedefine/>
    <w:qFormat/>
    <w:uiPriority w:val="0"/>
    <w:pPr>
      <w:keepNext/>
      <w:keepLines/>
      <w:spacing w:before="280" w:after="290" w:line="376" w:lineRule="auto"/>
      <w:outlineLvl w:val="3"/>
    </w:pPr>
    <w:rPr>
      <w:b/>
      <w:bCs/>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3"/>
    <w:autoRedefine/>
    <w:qFormat/>
    <w:uiPriority w:val="0"/>
    <w:pPr>
      <w:jc w:val="left"/>
    </w:pPr>
    <w:rPr>
      <w:rFonts w:ascii="Arial" w:hAnsi="Arial" w:eastAsia="黑体" w:cs="Arial"/>
    </w:rPr>
  </w:style>
  <w:style w:type="paragraph" w:styleId="9">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Plain Text"/>
    <w:basedOn w:val="1"/>
    <w:link w:val="33"/>
    <w:autoRedefine/>
    <w:qFormat/>
    <w:uiPriority w:val="99"/>
    <w:rPr>
      <w:rFonts w:ascii="宋体" w:hAnsi="Courier New" w:eastAsiaTheme="minorEastAsia" w:cstheme="minorBidi"/>
      <w:szCs w:val="22"/>
    </w:rPr>
  </w:style>
  <w:style w:type="paragraph" w:styleId="11">
    <w:name w:val="Date"/>
    <w:basedOn w:val="1"/>
    <w:next w:val="1"/>
    <w:link w:val="40"/>
    <w:autoRedefine/>
    <w:qFormat/>
    <w:uiPriority w:val="0"/>
    <w:rPr>
      <w:rFonts w:ascii="Arial" w:hAnsi="Arial" w:eastAsia="宋体" w:cs="Arial"/>
      <w:b/>
      <w:sz w:val="28"/>
    </w:rPr>
  </w:style>
  <w:style w:type="paragraph" w:styleId="12">
    <w:name w:val="Balloon Text"/>
    <w:basedOn w:val="1"/>
    <w:link w:val="27"/>
    <w:autoRedefine/>
    <w:semiHidden/>
    <w:unhideWhenUsed/>
    <w:qFormat/>
    <w:uiPriority w:val="99"/>
    <w:rPr>
      <w:sz w:val="18"/>
      <w:szCs w:val="18"/>
    </w:rPr>
  </w:style>
  <w:style w:type="paragraph" w:styleId="13">
    <w:name w:val="footer"/>
    <w:basedOn w:val="1"/>
    <w:link w:val="32"/>
    <w:autoRedefine/>
    <w:unhideWhenUsed/>
    <w:qFormat/>
    <w:uiPriority w:val="99"/>
    <w:pPr>
      <w:tabs>
        <w:tab w:val="center" w:pos="4153"/>
        <w:tab w:val="right" w:pos="8306"/>
      </w:tabs>
      <w:snapToGrid w:val="0"/>
      <w:jc w:val="left"/>
    </w:pPr>
    <w:rPr>
      <w:sz w:val="18"/>
      <w:szCs w:val="18"/>
    </w:rPr>
  </w:style>
  <w:style w:type="paragraph" w:styleId="14">
    <w:name w:val="header"/>
    <w:basedOn w:val="1"/>
    <w:link w:val="3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6">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7">
    <w:name w:val="Normal (Web)"/>
    <w:basedOn w:val="1"/>
    <w:autoRedefine/>
    <w:qFormat/>
    <w:uiPriority w:val="0"/>
    <w:pPr>
      <w:spacing w:before="100" w:beforeAutospacing="1" w:after="100" w:afterAutospacing="1"/>
      <w:jc w:val="left"/>
    </w:pPr>
    <w:rPr>
      <w:rFonts w:cs="Times New Roman"/>
      <w:kern w:val="0"/>
      <w:sz w:val="24"/>
    </w:rPr>
  </w:style>
  <w:style w:type="paragraph" w:styleId="18">
    <w:name w:val="index 1"/>
    <w:basedOn w:val="1"/>
    <w:next w:val="1"/>
    <w:autoRedefine/>
    <w:qFormat/>
    <w:uiPriority w:val="0"/>
    <w:pPr>
      <w:jc w:val="center"/>
    </w:pPr>
    <w:rPr>
      <w:rFonts w:ascii="Arial" w:hAnsi="Arial" w:eastAsia="Arial" w:cs="Arial"/>
      <w:b/>
      <w:bCs/>
      <w:sz w:val="28"/>
    </w:rPr>
  </w:style>
  <w:style w:type="paragraph" w:styleId="19">
    <w:name w:val="annotation subject"/>
    <w:basedOn w:val="8"/>
    <w:next w:val="8"/>
    <w:link w:val="54"/>
    <w:autoRedefine/>
    <w:semiHidden/>
    <w:unhideWhenUsed/>
    <w:qFormat/>
    <w:uiPriority w:val="99"/>
    <w:rPr>
      <w:rFonts w:ascii="@仿宋_GB2312" w:hAnsi="@仿宋_GB2312" w:eastAsia="@仿宋_GB2312" w:cs="@仿宋_GB2312"/>
      <w:b/>
      <w:bCs/>
    </w:rPr>
  </w:style>
  <w:style w:type="paragraph" w:styleId="20">
    <w:name w:val="Body Text First Indent"/>
    <w:basedOn w:val="2"/>
    <w:autoRedefine/>
    <w:unhideWhenUsed/>
    <w:qFormat/>
    <w:uiPriority w:val="99"/>
    <w:pPr>
      <w:ind w:firstLine="420" w:firstLineChars="100"/>
    </w:pPr>
  </w:style>
  <w:style w:type="table" w:styleId="22">
    <w:name w:val="Table Grid"/>
    <w:basedOn w:val="21"/>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autoRedefine/>
    <w:qFormat/>
    <w:uiPriority w:val="0"/>
    <w:rPr>
      <w:b/>
      <w:bCs/>
    </w:rPr>
  </w:style>
  <w:style w:type="character" w:styleId="25">
    <w:name w:val="Hyperlink"/>
    <w:basedOn w:val="23"/>
    <w:autoRedefine/>
    <w:unhideWhenUsed/>
    <w:qFormat/>
    <w:uiPriority w:val="99"/>
    <w:rPr>
      <w:color w:val="0000FF" w:themeColor="hyperlink"/>
      <w:u w:val="single"/>
      <w14:textFill>
        <w14:solidFill>
          <w14:schemeClr w14:val="hlink"/>
        </w14:solidFill>
      </w14:textFill>
    </w:rPr>
  </w:style>
  <w:style w:type="character" w:styleId="26">
    <w:name w:val="annotation reference"/>
    <w:basedOn w:val="23"/>
    <w:autoRedefine/>
    <w:semiHidden/>
    <w:unhideWhenUsed/>
    <w:qFormat/>
    <w:uiPriority w:val="99"/>
    <w:rPr>
      <w:sz w:val="21"/>
      <w:szCs w:val="21"/>
    </w:rPr>
  </w:style>
  <w:style w:type="character" w:customStyle="1" w:styleId="27">
    <w:name w:val="批注框文本 Char"/>
    <w:basedOn w:val="23"/>
    <w:link w:val="12"/>
    <w:autoRedefine/>
    <w:semiHidden/>
    <w:qFormat/>
    <w:uiPriority w:val="99"/>
    <w:rPr>
      <w:rFonts w:ascii="@仿宋_GB2312" w:hAnsi="@仿宋_GB2312" w:eastAsia="@仿宋_GB2312" w:cs="@仿宋_GB2312"/>
      <w:sz w:val="18"/>
      <w:szCs w:val="18"/>
    </w:rPr>
  </w:style>
  <w:style w:type="paragraph" w:customStyle="1" w:styleId="28">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29">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30">
    <w:name w:val="D&amp;L"/>
    <w:basedOn w:val="14"/>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1">
    <w:name w:val="页眉 Char"/>
    <w:basedOn w:val="23"/>
    <w:link w:val="14"/>
    <w:autoRedefine/>
    <w:qFormat/>
    <w:uiPriority w:val="99"/>
    <w:rPr>
      <w:rFonts w:ascii="@仿宋_GB2312" w:hAnsi="@仿宋_GB2312" w:eastAsia="@仿宋_GB2312" w:cs="@仿宋_GB2312"/>
      <w:sz w:val="18"/>
      <w:szCs w:val="18"/>
    </w:rPr>
  </w:style>
  <w:style w:type="character" w:customStyle="1" w:styleId="32">
    <w:name w:val="页脚 Char"/>
    <w:basedOn w:val="23"/>
    <w:link w:val="13"/>
    <w:autoRedefine/>
    <w:qFormat/>
    <w:uiPriority w:val="99"/>
    <w:rPr>
      <w:rFonts w:ascii="@仿宋_GB2312" w:hAnsi="@仿宋_GB2312" w:eastAsia="@仿宋_GB2312" w:cs="@仿宋_GB2312"/>
      <w:sz w:val="18"/>
      <w:szCs w:val="18"/>
    </w:rPr>
  </w:style>
  <w:style w:type="character" w:customStyle="1" w:styleId="33">
    <w:name w:val="纯文本 Char"/>
    <w:link w:val="10"/>
    <w:autoRedefine/>
    <w:qFormat/>
    <w:uiPriority w:val="0"/>
    <w:rPr>
      <w:rFonts w:ascii="宋体" w:hAnsi="Courier New"/>
    </w:rPr>
  </w:style>
  <w:style w:type="character" w:customStyle="1" w:styleId="34">
    <w:name w:val="纯文本 字符1"/>
    <w:basedOn w:val="23"/>
    <w:autoRedefine/>
    <w:semiHidden/>
    <w:qFormat/>
    <w:uiPriority w:val="99"/>
    <w:rPr>
      <w:rFonts w:hAnsi="Courier New" w:cs="Courier New" w:asciiTheme="minorEastAsia"/>
      <w:szCs w:val="20"/>
    </w:rPr>
  </w:style>
  <w:style w:type="character" w:customStyle="1" w:styleId="35">
    <w:name w:val="未处理的提及1"/>
    <w:basedOn w:val="23"/>
    <w:autoRedefine/>
    <w:semiHidden/>
    <w:unhideWhenUsed/>
    <w:qFormat/>
    <w:uiPriority w:val="99"/>
    <w:rPr>
      <w:color w:val="605E5C"/>
      <w:shd w:val="clear" w:color="auto" w:fill="E1DFDD"/>
    </w:rPr>
  </w:style>
  <w:style w:type="paragraph" w:styleId="36">
    <w:name w:val="List Paragraph"/>
    <w:basedOn w:val="1"/>
    <w:autoRedefine/>
    <w:qFormat/>
    <w:uiPriority w:val="34"/>
    <w:pPr>
      <w:ind w:firstLine="420" w:firstLineChars="200"/>
    </w:pPr>
  </w:style>
  <w:style w:type="paragraph" w:customStyle="1" w:styleId="37">
    <w:name w:val="Char Char Char Char Char Char Char1 Char"/>
    <w:basedOn w:val="1"/>
    <w:autoRedefine/>
    <w:qFormat/>
    <w:uiPriority w:val="0"/>
    <w:rPr>
      <w:rFonts w:ascii="Arial" w:hAnsi="Arial" w:eastAsia="宋体" w:cs="Arial"/>
      <w:sz w:val="24"/>
    </w:rPr>
  </w:style>
  <w:style w:type="table" w:customStyle="1" w:styleId="38">
    <w:name w:val="网格表 1 浅色1"/>
    <w:basedOn w:val="21"/>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9">
    <w:name w:val="日期 字符"/>
    <w:basedOn w:val="23"/>
    <w:autoRedefine/>
    <w:semiHidden/>
    <w:qFormat/>
    <w:uiPriority w:val="99"/>
    <w:rPr>
      <w:rFonts w:ascii="@仿宋_GB2312" w:hAnsi="@仿宋_GB2312" w:eastAsia="@仿宋_GB2312" w:cs="@仿宋_GB2312"/>
      <w:szCs w:val="20"/>
    </w:rPr>
  </w:style>
  <w:style w:type="character" w:customStyle="1" w:styleId="40">
    <w:name w:val="日期 Char"/>
    <w:link w:val="11"/>
    <w:autoRedefine/>
    <w:qFormat/>
    <w:uiPriority w:val="0"/>
    <w:rPr>
      <w:rFonts w:ascii="Arial" w:hAnsi="Arial" w:eastAsia="宋体" w:cs="Arial"/>
      <w:b/>
      <w:sz w:val="28"/>
      <w:szCs w:val="20"/>
    </w:rPr>
  </w:style>
  <w:style w:type="character" w:customStyle="1" w:styleId="41">
    <w:name w:val="纯文本 Char1"/>
    <w:autoRedefine/>
    <w:qFormat/>
    <w:locked/>
    <w:uiPriority w:val="99"/>
    <w:rPr>
      <w:rFonts w:ascii="Arial" w:hAnsi="Arial" w:eastAsia="Arial"/>
      <w:kern w:val="2"/>
      <w:sz w:val="21"/>
      <w:lang w:val="en-US" w:eastAsia="zh-CN" w:bidi="ar-SA"/>
    </w:rPr>
  </w:style>
  <w:style w:type="character" w:customStyle="1" w:styleId="42">
    <w:name w:val="批注文字 Char"/>
    <w:basedOn w:val="23"/>
    <w:autoRedefine/>
    <w:semiHidden/>
    <w:qFormat/>
    <w:uiPriority w:val="99"/>
    <w:rPr>
      <w:rFonts w:ascii="@仿宋_GB2312" w:hAnsi="@仿宋_GB2312" w:eastAsia="@仿宋_GB2312" w:cs="@仿宋_GB2312"/>
      <w:szCs w:val="20"/>
    </w:rPr>
  </w:style>
  <w:style w:type="character" w:customStyle="1" w:styleId="43">
    <w:name w:val="批注文字 Char1"/>
    <w:link w:val="8"/>
    <w:autoRedefine/>
    <w:qFormat/>
    <w:uiPriority w:val="0"/>
    <w:rPr>
      <w:rFonts w:ascii="Arial" w:hAnsi="Arial" w:eastAsia="黑体" w:cs="Arial"/>
      <w:szCs w:val="20"/>
    </w:rPr>
  </w:style>
  <w:style w:type="character" w:customStyle="1" w:styleId="44">
    <w:name w:val="标题 1 Char"/>
    <w:basedOn w:val="23"/>
    <w:link w:val="3"/>
    <w:autoRedefine/>
    <w:qFormat/>
    <w:uiPriority w:val="9"/>
    <w:rPr>
      <w:rFonts w:ascii="@仿宋_GB2312" w:hAnsi="@仿宋_GB2312" w:eastAsia="@仿宋_GB2312" w:cs="@仿宋_GB2312"/>
      <w:b/>
      <w:bCs/>
      <w:kern w:val="44"/>
      <w:sz w:val="44"/>
      <w:szCs w:val="44"/>
    </w:rPr>
  </w:style>
  <w:style w:type="paragraph" w:customStyle="1" w:styleId="45">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6">
    <w:name w:val="标题 3 Char"/>
    <w:basedOn w:val="23"/>
    <w:link w:val="5"/>
    <w:autoRedefine/>
    <w:semiHidden/>
    <w:qFormat/>
    <w:uiPriority w:val="9"/>
    <w:rPr>
      <w:rFonts w:ascii="@仿宋_GB2312" w:hAnsi="@仿宋_GB2312" w:eastAsia="@仿宋_GB2312" w:cs="@仿宋_GB2312"/>
      <w:b/>
      <w:bCs/>
      <w:sz w:val="32"/>
      <w:szCs w:val="32"/>
    </w:rPr>
  </w:style>
  <w:style w:type="character" w:customStyle="1" w:styleId="47">
    <w:name w:val="fontstyle01"/>
    <w:basedOn w:val="23"/>
    <w:autoRedefine/>
    <w:qFormat/>
    <w:uiPriority w:val="0"/>
    <w:rPr>
      <w:rFonts w:hint="eastAsia" w:ascii="宋体" w:hAnsi="宋体" w:eastAsia="宋体"/>
      <w:color w:val="000000"/>
      <w:sz w:val="22"/>
      <w:szCs w:val="22"/>
    </w:rPr>
  </w:style>
  <w:style w:type="character" w:customStyle="1" w:styleId="48">
    <w:name w:val="fontstyle21"/>
    <w:basedOn w:val="23"/>
    <w:autoRedefine/>
    <w:qFormat/>
    <w:uiPriority w:val="0"/>
    <w:rPr>
      <w:rFonts w:hint="default" w:ascii="TimesNewRomanPSMT" w:hAnsi="TimesNewRomanPSMT"/>
      <w:color w:val="000000"/>
      <w:sz w:val="22"/>
      <w:szCs w:val="22"/>
    </w:rPr>
  </w:style>
  <w:style w:type="character" w:customStyle="1" w:styleId="49">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0">
    <w:name w:val="标题 4 字符"/>
    <w:basedOn w:val="23"/>
    <w:autoRedefine/>
    <w:semiHidden/>
    <w:qFormat/>
    <w:uiPriority w:val="9"/>
    <w:rPr>
      <w:rFonts w:asciiTheme="majorHAnsi" w:hAnsiTheme="majorHAnsi" w:eastAsiaTheme="majorEastAsia" w:cstheme="majorBidi"/>
      <w:b/>
      <w:bCs/>
      <w:sz w:val="28"/>
      <w:szCs w:val="28"/>
    </w:rPr>
  </w:style>
  <w:style w:type="character" w:customStyle="1" w:styleId="51">
    <w:name w:val="标题 4 Char1"/>
    <w:link w:val="6"/>
    <w:autoRedefine/>
    <w:qFormat/>
    <w:uiPriority w:val="0"/>
    <w:rPr>
      <w:rFonts w:ascii="@仿宋_GB2312" w:hAnsi="@仿宋_GB2312" w:eastAsia="@仿宋_GB2312" w:cs="@仿宋_GB2312"/>
      <w:b/>
      <w:bCs/>
      <w:sz w:val="28"/>
      <w:szCs w:val="28"/>
    </w:rPr>
  </w:style>
  <w:style w:type="character" w:customStyle="1" w:styleId="52">
    <w:name w:val="标题 4 Char"/>
    <w:autoRedefine/>
    <w:qFormat/>
    <w:uiPriority w:val="0"/>
    <w:rPr>
      <w:rFonts w:ascii="Arial" w:hAnsi="Arial" w:eastAsia="Arial"/>
      <w:b/>
      <w:bCs/>
      <w:kern w:val="2"/>
      <w:sz w:val="28"/>
      <w:szCs w:val="28"/>
      <w:lang w:val="en-US" w:eastAsia="zh-CN" w:bidi="ar-SA"/>
    </w:rPr>
  </w:style>
  <w:style w:type="table" w:customStyle="1" w:styleId="53">
    <w:name w:val="网格型1"/>
    <w:basedOn w:val="2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4">
    <w:name w:val="批注主题 Char"/>
    <w:basedOn w:val="43"/>
    <w:link w:val="19"/>
    <w:autoRedefine/>
    <w:semiHidden/>
    <w:qFormat/>
    <w:uiPriority w:val="99"/>
    <w:rPr>
      <w:rFonts w:ascii="@仿宋_GB2312" w:hAnsi="@仿宋_GB2312" w:eastAsia="@仿宋_GB2312" w:cs="@仿宋_GB2312"/>
      <w:b/>
      <w:bCs/>
      <w:szCs w:val="20"/>
    </w:rPr>
  </w:style>
  <w:style w:type="table" w:customStyle="1" w:styleId="55">
    <w:name w:val="Table Normal"/>
    <w:autoRedefine/>
    <w:semiHidden/>
    <w:unhideWhenUsed/>
    <w:qFormat/>
    <w:uiPriority w:val="0"/>
    <w:tblPr>
      <w:tblCellMar>
        <w:top w:w="0" w:type="dxa"/>
        <w:left w:w="0" w:type="dxa"/>
        <w:bottom w:w="0" w:type="dxa"/>
        <w:right w:w="0" w:type="dxa"/>
      </w:tblCellMar>
    </w:tblPr>
  </w:style>
  <w:style w:type="paragraph" w:customStyle="1" w:styleId="56">
    <w:name w:val="Table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9AC3C6-84CB-4D2E-AFC0-C8AD46F7C0BA}">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65</Pages>
  <Words>28839</Words>
  <Characters>29909</Characters>
  <Lines>244</Lines>
  <Paragraphs>68</Paragraphs>
  <TotalTime>0</TotalTime>
  <ScaleCrop>false</ScaleCrop>
  <LinksUpToDate>false</LinksUpToDate>
  <CharactersWithSpaces>32245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2019-12-07T15:18:00Z</cp:lastPrinted>
  <dcterms:modified xsi:type="dcterms:W3CDTF">2024-05-23T10:11:48Z</dcterms:modified>
  <cp:revision>388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1ECEA165F94845FFAF35C1C96E4FB9B0_12</vt:lpwstr>
  </property>
</Properties>
</file>