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bookmarkStart w:id="0" w:name="_Hlk9544796"/>
      <w:r>
        <w:rPr>
          <w:rFonts w:hint="eastAsia" w:asciiTheme="minorEastAsia" w:hAnsiTheme="minorEastAsia" w:eastAsiaTheme="minorEastAsia"/>
          <w:b/>
          <w:bCs/>
          <w:color w:val="auto"/>
          <w:sz w:val="52"/>
          <w:szCs w:val="52"/>
          <w:highlight w:val="none"/>
          <w:lang w:eastAsia="zh-CN"/>
        </w:rPr>
        <w:t>安徽省</w:t>
      </w:r>
      <w:r>
        <w:rPr>
          <w:rFonts w:hint="eastAsia" w:asciiTheme="minorEastAsia" w:hAnsiTheme="minorEastAsia" w:eastAsiaTheme="minorEastAsia"/>
          <w:b/>
          <w:bCs/>
          <w:color w:val="auto"/>
          <w:sz w:val="52"/>
          <w:szCs w:val="52"/>
          <w:highlight w:val="none"/>
        </w:rPr>
        <w:t>政府采购</w:t>
      </w:r>
      <w:r>
        <w:rPr>
          <w:rFonts w:hint="eastAsia" w:asciiTheme="minorEastAsia" w:hAnsiTheme="minorEastAsia" w:eastAsiaTheme="min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单一来源采购文件示范文本</w:t>
      </w: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（服务类）</w:t>
      </w:r>
    </w:p>
    <w:p>
      <w:pPr>
        <w:tabs>
          <w:tab w:val="left" w:pos="315"/>
          <w:tab w:val="left" w:pos="8820"/>
        </w:tabs>
        <w:spacing w:before="240" w:beforeLines="100" w:after="120" w:afterLines="50" w:line="500" w:lineRule="exact"/>
        <w:ind w:right="267" w:rightChars="127"/>
        <w:jc w:val="cente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bookmarkEnd w:id="0"/>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年</w:t>
      </w: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月</w:t>
      </w:r>
      <w:r>
        <w:rPr>
          <w:rFonts w:asciiTheme="minorEastAsia" w:hAnsiTheme="minorEastAsia" w:eastAsiaTheme="min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18334"/>
      <w:bookmarkStart w:id="3" w:name="_Toc74227630"/>
      <w:bookmarkStart w:id="4" w:name="_Toc11752"/>
      <w:r>
        <w:rPr>
          <w:rFonts w:ascii="Times New Roman" w:hAnsi="Times New Roman" w:eastAsia="宋体" w:cs="Times New Roman"/>
          <w:b/>
          <w:sz w:val="36"/>
          <w:szCs w:val="36"/>
          <w:highlight w:val="none"/>
        </w:rPr>
        <w:t>使用说明</w:t>
      </w:r>
      <w:bookmarkEnd w:id="1"/>
      <w:bookmarkEnd w:id="2"/>
      <w:bookmarkEnd w:id="3"/>
      <w:bookmarkEnd w:id="4"/>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5.采购人在制定采购需求时应充分考虑世行营商环境指标中的性别平等指标，如市场准入、获得经营场所、市政设施接入、劳动力、获得金融服务、国际贸易、税收、市场竞争、化解商业纠纷等方面的性别平等。</w:t>
      </w:r>
      <w:bookmarkStart w:id="217" w:name="_GoBack"/>
      <w:bookmarkEnd w:id="217"/>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采购小组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目  录</w:t>
      </w:r>
    </w:p>
    <w:p>
      <w:pPr>
        <w:pStyle w:val="14"/>
        <w:tabs>
          <w:tab w:val="right" w:leader="dot" w:pos="8279"/>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_Toc22016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单一来源采购</w:t>
      </w:r>
      <w:r>
        <w:rPr>
          <w:rFonts w:asciiTheme="minorEastAsia" w:hAnsiTheme="minorEastAsia" w:eastAsiaTheme="minorEastAsia"/>
          <w:highlight w:val="none"/>
        </w:rPr>
        <w:t>邀请</w:t>
      </w:r>
      <w:r>
        <w:tab/>
      </w:r>
      <w:r>
        <w:fldChar w:fldCharType="begin"/>
      </w:r>
      <w:r>
        <w:instrText xml:space="preserve"> PAGEREF _Toc22016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_Toc23855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_Toc23855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_Toc25641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_Toc25641 \h </w:instrText>
      </w:r>
      <w:r>
        <w:fldChar w:fldCharType="separate"/>
      </w:r>
      <w:r>
        <w:t>11</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_Toc18944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协商程序和评审标准</w:t>
      </w:r>
      <w:r>
        <w:tab/>
      </w:r>
      <w:r>
        <w:fldChar w:fldCharType="begin"/>
      </w:r>
      <w:r>
        <w:instrText xml:space="preserve"> PAGEREF _Toc18944 \h </w:instrText>
      </w:r>
      <w:r>
        <w:fldChar w:fldCharType="separate"/>
      </w:r>
      <w:r>
        <w:t>13</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_Toc2510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第五章  政府采购合同</w:t>
      </w:r>
      <w:r>
        <w:tab/>
      </w:r>
      <w:r>
        <w:fldChar w:fldCharType="begin"/>
      </w:r>
      <w:r>
        <w:instrText xml:space="preserve"> PAGEREF _Toc2510 \h </w:instrText>
      </w:r>
      <w:r>
        <w:fldChar w:fldCharType="separate"/>
      </w:r>
      <w:r>
        <w:t>15</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_Toc3480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_Toc3480 \h </w:instrText>
      </w:r>
      <w:r>
        <w:fldChar w:fldCharType="separate"/>
      </w:r>
      <w:r>
        <w:t>24</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5" w:name="_Toc22016"/>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单一来源采购</w:t>
      </w:r>
      <w:r>
        <w:rPr>
          <w:rFonts w:asciiTheme="minorEastAsia" w:hAnsiTheme="minorEastAsia" w:eastAsiaTheme="minorEastAsia"/>
          <w:b/>
          <w:color w:val="auto"/>
          <w:sz w:val="28"/>
          <w:highlight w:val="none"/>
        </w:rPr>
        <w:t>邀请</w:t>
      </w:r>
      <w:bookmarkEnd w:id="5"/>
    </w:p>
    <w:p>
      <w:pPr>
        <w:spacing w:line="360" w:lineRule="auto"/>
        <w:ind w:firstLine="435"/>
        <w:outlineLvl w:val="1"/>
        <w:rPr>
          <w:rFonts w:asciiTheme="minorEastAsia" w:hAnsiTheme="minorEastAsia" w:eastAsiaTheme="minorEastAsia"/>
          <w:b/>
          <w:bCs/>
          <w:color w:val="auto"/>
          <w:sz w:val="24"/>
          <w:szCs w:val="18"/>
          <w:highlight w:val="none"/>
        </w:rPr>
      </w:pPr>
      <w:bookmarkStart w:id="6" w:name="_Toc18247"/>
      <w:bookmarkStart w:id="7" w:name="_Toc16126"/>
      <w:r>
        <w:rPr>
          <w:rFonts w:hint="eastAsia" w:asciiTheme="minorEastAsia" w:hAnsiTheme="minorEastAsia" w:eastAsiaTheme="minorEastAsia"/>
          <w:b/>
          <w:bCs/>
          <w:color w:val="auto"/>
          <w:sz w:val="24"/>
          <w:szCs w:val="18"/>
          <w:highlight w:val="none"/>
        </w:rPr>
        <w:t>一</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项目名称及内容</w:t>
      </w:r>
      <w:bookmarkEnd w:id="6"/>
      <w:bookmarkEnd w:id="7"/>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3</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项目概况：</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4</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项目预算：</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5</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标段（包别）划分：共分</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个包，本次采购第</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包</w:t>
      </w:r>
    </w:p>
    <w:p>
      <w:pPr>
        <w:spacing w:line="360" w:lineRule="auto"/>
        <w:ind w:firstLine="435"/>
        <w:outlineLvl w:val="1"/>
        <w:rPr>
          <w:rFonts w:asciiTheme="minorEastAsia" w:hAnsiTheme="minorEastAsia" w:eastAsiaTheme="minorEastAsia"/>
          <w:b/>
          <w:bCs/>
          <w:color w:val="auto"/>
          <w:sz w:val="24"/>
          <w:szCs w:val="18"/>
          <w:highlight w:val="none"/>
        </w:rPr>
      </w:pPr>
      <w:bookmarkStart w:id="8" w:name="_Toc1306"/>
      <w:bookmarkStart w:id="9" w:name="_Toc10262"/>
      <w:r>
        <w:rPr>
          <w:rFonts w:hint="eastAsia" w:asciiTheme="minorEastAsia" w:hAnsiTheme="minorEastAsia" w:eastAsiaTheme="minorEastAsia"/>
          <w:b/>
          <w:bCs/>
          <w:color w:val="auto"/>
          <w:sz w:val="24"/>
          <w:szCs w:val="18"/>
          <w:highlight w:val="none"/>
        </w:rPr>
        <w:t>二</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采购文件的获取</w:t>
      </w:r>
      <w:bookmarkEnd w:id="8"/>
      <w:bookmarkEnd w:id="9"/>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获取时间：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日09:00至</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日17:30；</w:t>
      </w:r>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highlight w:val="none"/>
        </w:rPr>
        <w:t>2.</w:t>
      </w:r>
      <w:r>
        <w:rPr>
          <w:rFonts w:hint="eastAsia" w:asciiTheme="majorEastAsia" w:hAnsiTheme="majorEastAsia" w:eastAsiaTheme="majorEastAsia"/>
          <w:color w:val="auto"/>
          <w:sz w:val="24"/>
          <w:szCs w:val="18"/>
          <w:highlight w:val="none"/>
        </w:rPr>
        <w:t>获取方式及地点：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inorEastAsia" w:hAnsiTheme="minorEastAsia" w:eastAsiaTheme="minorEastAsia"/>
          <w:b/>
          <w:bCs/>
          <w:color w:val="auto"/>
          <w:sz w:val="24"/>
          <w:szCs w:val="18"/>
          <w:highlight w:val="none"/>
        </w:rPr>
      </w:pPr>
      <w:bookmarkStart w:id="10" w:name="_Toc26864"/>
      <w:bookmarkStart w:id="11" w:name="_Toc8662"/>
      <w:r>
        <w:rPr>
          <w:rFonts w:hint="eastAsia" w:asciiTheme="minorEastAsia" w:hAnsiTheme="minorEastAsia" w:eastAsiaTheme="minorEastAsia"/>
          <w:b/>
          <w:bCs/>
          <w:color w:val="auto"/>
          <w:sz w:val="24"/>
          <w:szCs w:val="18"/>
          <w:highlight w:val="none"/>
        </w:rPr>
        <w:t>三</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协商时间及地点</w:t>
      </w:r>
      <w:bookmarkEnd w:id="10"/>
      <w:bookmarkEnd w:id="11"/>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时</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分</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inorEastAsia" w:hAnsiTheme="minorEastAsia" w:eastAsiaTheme="minorEastAsia"/>
          <w:b/>
          <w:bCs/>
          <w:color w:val="auto"/>
          <w:sz w:val="24"/>
          <w:szCs w:val="18"/>
          <w:highlight w:val="none"/>
        </w:rPr>
      </w:pPr>
      <w:bookmarkStart w:id="12" w:name="_Toc22190"/>
      <w:bookmarkStart w:id="13" w:name="_Toc26484"/>
      <w:r>
        <w:rPr>
          <w:rFonts w:hint="eastAsia" w:asciiTheme="minorEastAsia" w:hAnsiTheme="minorEastAsia" w:eastAsiaTheme="minorEastAsia"/>
          <w:b/>
          <w:bCs/>
          <w:color w:val="auto"/>
          <w:sz w:val="24"/>
          <w:szCs w:val="18"/>
          <w:highlight w:val="none"/>
        </w:rPr>
        <w:t>四</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响应文件提交截止时间及提交地点</w:t>
      </w:r>
      <w:bookmarkEnd w:id="12"/>
      <w:bookmarkEnd w:id="13"/>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同协商时间及地点</w:t>
      </w:r>
    </w:p>
    <w:p>
      <w:pPr>
        <w:spacing w:line="360" w:lineRule="auto"/>
        <w:ind w:firstLine="435"/>
        <w:outlineLvl w:val="1"/>
        <w:rPr>
          <w:rFonts w:hint="eastAsia" w:asciiTheme="majorEastAsia" w:hAnsiTheme="majorEastAsia" w:eastAsiaTheme="majorEastAsia"/>
          <w:b/>
          <w:bCs/>
          <w:color w:val="auto"/>
          <w:sz w:val="24"/>
          <w:szCs w:val="18"/>
          <w:highlight w:val="none"/>
        </w:rPr>
      </w:pPr>
      <w:bookmarkStart w:id="14" w:name="_Toc10200"/>
      <w:bookmarkStart w:id="15" w:name="_Toc20096"/>
      <w:r>
        <w:rPr>
          <w:rFonts w:hint="eastAsia" w:asciiTheme="majorEastAsia" w:hAnsiTheme="majorEastAsia" w:eastAsiaTheme="majorEastAsia"/>
          <w:b/>
          <w:bCs/>
          <w:color w:val="auto"/>
          <w:sz w:val="24"/>
          <w:szCs w:val="18"/>
          <w:highlight w:val="none"/>
          <w:lang w:val="en-US" w:eastAsia="zh-CN"/>
        </w:rPr>
        <w:t>五、</w:t>
      </w:r>
      <w:bookmarkStart w:id="16" w:name="_Toc35393635"/>
      <w:bookmarkStart w:id="17" w:name="_Toc35393804"/>
      <w:r>
        <w:rPr>
          <w:rFonts w:hint="eastAsia" w:asciiTheme="majorEastAsia" w:hAnsiTheme="majorEastAsia" w:eastAsiaTheme="majorEastAsia"/>
          <w:b/>
          <w:bCs/>
          <w:color w:val="auto"/>
          <w:sz w:val="24"/>
          <w:szCs w:val="18"/>
          <w:highlight w:val="none"/>
        </w:rPr>
        <w:t>其他补充事宜</w:t>
      </w:r>
      <w:bookmarkEnd w:id="14"/>
      <w:bookmarkEnd w:id="15"/>
      <w:bookmarkEnd w:id="16"/>
      <w:bookmarkEnd w:id="1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ajorEastAsia" w:hAnsiTheme="majorEastAsia" w:eastAsiaTheme="majorEastAsia"/>
          <w:b/>
          <w:bCs/>
          <w:color w:val="auto"/>
          <w:sz w:val="24"/>
          <w:szCs w:val="18"/>
          <w:highlight w:val="none"/>
          <w:lang w:val="en-US" w:eastAsia="zh-CN"/>
        </w:rPr>
      </w:pPr>
      <w:bookmarkStart w:id="18" w:name="_Toc28181"/>
      <w:bookmarkStart w:id="19" w:name="_Toc17641"/>
      <w:bookmarkStart w:id="20" w:name="_Toc4317"/>
      <w:r>
        <w:rPr>
          <w:rFonts w:hint="eastAsia" w:asciiTheme="majorEastAsia" w:hAnsiTheme="majorEastAsia" w:eastAsiaTheme="majorEastAsia"/>
          <w:b/>
          <w:bCs/>
          <w:color w:val="auto"/>
          <w:sz w:val="24"/>
          <w:szCs w:val="18"/>
          <w:highlight w:val="none"/>
          <w:lang w:val="en-US" w:eastAsia="zh-CN"/>
        </w:rPr>
        <w:t>六、联系方式</w:t>
      </w:r>
      <w:bookmarkEnd w:id="18"/>
      <w:bookmarkEnd w:id="19"/>
      <w:bookmarkEnd w:id="20"/>
    </w:p>
    <w:p>
      <w:pPr>
        <w:spacing w:line="360" w:lineRule="auto"/>
        <w:ind w:firstLine="437"/>
        <w:outlineLvl w:val="9"/>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inorEastAsia" w:hAnsiTheme="minorEastAsia" w:eastAsiaTheme="min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inorEastAsia" w:hAnsiTheme="minorEastAsia" w:eastAsiaTheme="minorEastAsia"/>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23855"/>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18850"/>
      <w:bookmarkStart w:id="23" w:name="_Toc2646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b/>
          <w:bCs/>
          <w:color w:val="auto"/>
          <w:sz w:val="24"/>
          <w:szCs w:val="18"/>
          <w:highlight w:val="none"/>
        </w:rPr>
        <w:t>注：</w:t>
      </w:r>
      <w:r>
        <w:rPr>
          <w:rFonts w:hint="eastAsia" w:asciiTheme="minorEastAsia" w:hAnsiTheme="minorEastAsia" w:eastAsiaTheme="minorEastAsia"/>
          <w:color w:val="auto"/>
          <w:sz w:val="24"/>
          <w:szCs w:val="18"/>
          <w:highlight w:val="none"/>
        </w:rPr>
        <w:t>本表是本项目的具体要求，是对供应商须知的具体补充和修改，如有不一致，以本表为准。</w:t>
      </w:r>
    </w:p>
    <w:tbl>
      <w:tblPr>
        <w:tblStyle w:val="18"/>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5"/>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条款号</w:t>
            </w:r>
          </w:p>
        </w:tc>
        <w:tc>
          <w:tcPr>
            <w:tcW w:w="1160" w:type="pct"/>
            <w:vAlign w:val="center"/>
          </w:tcPr>
          <w:p>
            <w:pPr>
              <w:pStyle w:val="25"/>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条款名称</w:t>
            </w:r>
          </w:p>
        </w:tc>
        <w:tc>
          <w:tcPr>
            <w:tcW w:w="3267" w:type="pct"/>
            <w:vAlign w:val="center"/>
          </w:tcPr>
          <w:p>
            <w:pPr>
              <w:pStyle w:val="25"/>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5"/>
              <w:widowControl w:val="0"/>
              <w:spacing w:before="0" w:beforeAutospacing="0" w:after="0" w:afterAutospacing="0"/>
              <w:rPr>
                <w:rFonts w:asciiTheme="minorEastAsia" w:hAnsiTheme="minorEastAsia" w:eastAsiaTheme="minorEastAsia"/>
                <w:bCs/>
                <w:color w:val="auto"/>
                <w:kern w:val="2"/>
                <w:highlight w:val="none"/>
              </w:rPr>
            </w:pPr>
            <w:r>
              <w:rPr>
                <w:rFonts w:hint="eastAsia" w:cs="@仿宋_GB2312" w:asciiTheme="majorEastAsia" w:hAnsiTheme="majorEastAsia" w:eastAsiaTheme="majorEastAsia"/>
                <w:b w:val="0"/>
                <w:bCs/>
                <w:color w:val="auto"/>
                <w:kern w:val="2"/>
                <w:sz w:val="24"/>
                <w:szCs w:val="20"/>
                <w:highlight w:val="none"/>
                <w:lang w:val="en-US" w:eastAsia="zh-CN" w:bidi="ar-SA"/>
              </w:rPr>
              <w:t>10.1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lang w:val="en-US" w:eastAsia="zh-CN"/>
              </w:rPr>
              <w:t>响应文件</w:t>
            </w:r>
            <w:r>
              <w:rPr>
                <w:rFonts w:hint="eastAsia" w:asciiTheme="minorEastAsia" w:hAnsiTheme="minorEastAsia" w:eastAsiaTheme="minorEastAsia"/>
                <w:b w:val="0"/>
                <w:color w:val="auto"/>
                <w:sz w:val="24"/>
                <w:highlight w:val="none"/>
              </w:rPr>
              <w:t>有效期</w:t>
            </w:r>
          </w:p>
        </w:tc>
        <w:tc>
          <w:tcPr>
            <w:tcW w:w="3267"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ajorEastAsia" w:hAnsiTheme="majorEastAsia" w:eastAsiaTheme="majorEastAsia"/>
                <w:bCs/>
                <w:color w:val="auto"/>
                <w:kern w:val="2"/>
                <w:highlight w:val="none"/>
                <w:lang w:val="en-US" w:eastAsia="zh-CN"/>
              </w:rPr>
              <w:t>18</w:t>
            </w:r>
            <w:r>
              <w:rPr>
                <w:rFonts w:asciiTheme="majorEastAsia" w:hAnsiTheme="majorEastAsia" w:eastAsiaTheme="majorEastAsia"/>
                <w:bCs/>
                <w:color w:val="auto"/>
                <w:kern w:val="2"/>
                <w:highlight w:val="none"/>
              </w:rPr>
              <w:t>.</w:t>
            </w:r>
            <w:r>
              <w:rPr>
                <w:rFonts w:hint="eastAsia" w:asciiTheme="majorEastAsia" w:hAnsiTheme="majorEastAsia" w:eastAsiaTheme="majorEastAsia"/>
                <w:bCs/>
                <w:color w:val="auto"/>
                <w:kern w:val="2"/>
                <w:highlight w:val="none"/>
                <w:lang w:val="en-US" w:eastAsia="zh-CN"/>
              </w:rPr>
              <w:t>2</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随成交结果公告同时公告的内容</w:t>
            </w:r>
          </w:p>
        </w:tc>
        <w:tc>
          <w:tcPr>
            <w:tcW w:w="3267"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bCs w:val="0"/>
                <w:color w:val="auto"/>
                <w:sz w:val="24"/>
                <w:szCs w:val="24"/>
                <w:highlight w:val="none"/>
              </w:rPr>
            </w:pP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ajorEastAsia" w:hAnsiTheme="majorEastAsia" w:eastAsiaTheme="majorEastAsia"/>
                <w:bCs/>
                <w:color w:val="auto"/>
                <w:kern w:val="2"/>
                <w:highlight w:val="none"/>
                <w:lang w:val="en-US" w:eastAsia="zh-CN"/>
              </w:rPr>
              <w:t>19</w:t>
            </w:r>
            <w:r>
              <w:rPr>
                <w:rFonts w:asciiTheme="majorEastAsia" w:hAnsiTheme="majorEastAsia" w:eastAsiaTheme="majorEastAsia"/>
                <w:bCs/>
                <w:color w:val="auto"/>
                <w:kern w:val="2"/>
                <w:highlight w:val="none"/>
              </w:rPr>
              <w:t>.1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成交通知书发出的形式</w:t>
            </w:r>
          </w:p>
        </w:tc>
        <w:tc>
          <w:tcPr>
            <w:tcW w:w="3267"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sym w:font="Wingdings" w:char="00A8"/>
            </w:r>
            <w:r>
              <w:rPr>
                <w:rFonts w:hint="eastAsia" w:asciiTheme="majorEastAsia" w:hAnsiTheme="majorEastAsia" w:eastAsiaTheme="majorEastAsia"/>
                <w:b w:val="0"/>
                <w:color w:val="auto"/>
                <w:sz w:val="24"/>
                <w:highlight w:val="none"/>
              </w:rPr>
              <w:t xml:space="preserve">书面 </w:t>
            </w:r>
            <w:r>
              <w:rPr>
                <w:rFonts w:asciiTheme="majorEastAsia" w:hAnsiTheme="majorEastAsia" w:eastAsiaTheme="majorEastAsia"/>
                <w:b w:val="0"/>
                <w:color w:val="auto"/>
                <w:sz w:val="24"/>
                <w:highlight w:val="none"/>
              </w:rPr>
              <w:t xml:space="preserve">    </w:t>
            </w:r>
            <w:r>
              <w:rPr>
                <w:rFonts w:hint="eastAsia" w:asciiTheme="majorEastAsia" w:hAnsiTheme="majorEastAsia" w:eastAsiaTheme="maj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0</w:t>
            </w:r>
            <w:r>
              <w:rPr>
                <w:rFonts w:asciiTheme="majorEastAsia" w:hAnsiTheme="majorEastAsia" w:eastAsiaTheme="majorEastAsia"/>
                <w:bCs/>
                <w:color w:val="auto"/>
                <w:kern w:val="2"/>
                <w:highlight w:val="none"/>
              </w:rPr>
              <w:t>.1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履约保证金</w:t>
            </w:r>
          </w:p>
        </w:tc>
        <w:tc>
          <w:tcPr>
            <w:tcW w:w="3267" w:type="pct"/>
            <w:vAlign w:val="top"/>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21.1</w:t>
            </w:r>
          </w:p>
        </w:tc>
        <w:tc>
          <w:tcPr>
            <w:tcW w:w="1160" w:type="pct"/>
            <w:vAlign w:val="center"/>
          </w:tcPr>
          <w:p>
            <w:pPr>
              <w:pStyle w:val="25"/>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25"/>
              <w:widowControl w:val="0"/>
              <w:spacing w:before="0" w:beforeAutospacing="0" w:after="0" w:afterAutospacing="0" w:line="360" w:lineRule="auto"/>
              <w:jc w:val="both"/>
              <w:rPr>
                <w:rFonts w:hint="eastAsia" w:ascii="宋体" w:hAnsi="宋体" w:eastAsia="宋体"/>
                <w:b w:val="0"/>
                <w:bCs/>
                <w:color w:val="auto"/>
                <w:sz w:val="24"/>
                <w:highlight w:val="none"/>
                <w:lang w:val="en-US" w:eastAsia="zh-CN"/>
              </w:rPr>
            </w:pPr>
            <w:r>
              <w:rPr>
                <w:rFonts w:hint="eastAsia"/>
                <w:b w:val="0"/>
                <w:bCs/>
                <w:color w:val="auto"/>
                <w:sz w:val="24"/>
                <w:highlight w:val="none"/>
                <w:lang w:val="en-US" w:eastAsia="zh-CN"/>
              </w:rPr>
              <w:t>（1）</w:t>
            </w:r>
            <w:r>
              <w:rPr>
                <w:rFonts w:hint="eastAsia" w:ascii="宋体" w:hAnsi="宋体" w:eastAsia="宋体"/>
                <w:b w:val="0"/>
                <w:bCs/>
                <w:color w:val="auto"/>
                <w:sz w:val="24"/>
                <w:highlight w:val="none"/>
                <w:lang w:val="en-US" w:eastAsia="zh-CN"/>
              </w:rPr>
              <w:t>采购人与成交供应商应当自发出成交通知书之日起7个工作日内签订合同，采购合同签订之日起2个工作日内完成政府采购合同公开。</w:t>
            </w:r>
          </w:p>
          <w:p>
            <w:pPr>
              <w:pStyle w:val="25"/>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ascii="宋体" w:hAnsi="宋体" w:eastAsia="宋体" w:cs="宋体"/>
                <w:b w:val="0"/>
                <w:bCs/>
                <w:sz w:val="24"/>
                <w:szCs w:val="24"/>
              </w:rPr>
              <w:t>（2）采购人与</w:t>
            </w:r>
            <w:r>
              <w:rPr>
                <w:rFonts w:hint="eastAsia" w:ascii="宋体" w:hAnsi="宋体" w:eastAsia="宋体"/>
                <w:b w:val="0"/>
                <w:bCs/>
                <w:color w:val="auto"/>
                <w:sz w:val="24"/>
                <w:highlight w:val="none"/>
                <w:lang w:val="en-US" w:eastAsia="zh-CN"/>
              </w:rPr>
              <w:t>成交供应商</w:t>
            </w:r>
            <w:r>
              <w:rPr>
                <w:rFonts w:ascii="宋体" w:hAnsi="宋体" w:eastAsia="宋体" w:cs="宋体"/>
                <w:b w:val="0"/>
                <w:bCs/>
                <w:sz w:val="24"/>
                <w:szCs w:val="24"/>
              </w:rPr>
              <w:t>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2</w:t>
            </w:r>
            <w:r>
              <w:rPr>
                <w:rFonts w:asciiTheme="majorEastAsia" w:hAnsiTheme="majorEastAsia" w:eastAsiaTheme="majorEastAsia"/>
                <w:bCs/>
                <w:color w:val="auto"/>
                <w:kern w:val="2"/>
                <w:highlight w:val="none"/>
              </w:rPr>
              <w:t>.1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3</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其他内容</w:t>
            </w:r>
          </w:p>
        </w:tc>
        <w:tc>
          <w:tcPr>
            <w:tcW w:w="3267" w:type="pct"/>
            <w:vAlign w:val="center"/>
          </w:tcPr>
          <w:p>
            <w:pPr>
              <w:pStyle w:val="25"/>
              <w:widowControl w:val="0"/>
              <w:numPr>
                <w:ilvl w:val="0"/>
                <w:numId w:val="0"/>
              </w:numPr>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协商和响应文件提交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单一来源采购邀请</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供应商</w:t>
            </w:r>
            <w:r>
              <w:rPr>
                <w:rFonts w:asciiTheme="minorEastAsia" w:hAnsiTheme="minorEastAsia" w:eastAsiaTheme="minorEastAsia"/>
                <w:bCs/>
                <w:color w:val="auto"/>
                <w:sz w:val="24"/>
                <w:szCs w:val="24"/>
                <w:highlight w:val="none"/>
              </w:rPr>
              <w:t>须知、</w:t>
            </w:r>
            <w:r>
              <w:rPr>
                <w:rFonts w:hint="eastAsia" w:asciiTheme="minorEastAsia" w:hAnsiTheme="minorEastAsia" w:eastAsiaTheme="minorEastAsia"/>
                <w:bCs/>
                <w:color w:val="auto"/>
                <w:sz w:val="24"/>
                <w:szCs w:val="24"/>
                <w:highlight w:val="none"/>
              </w:rPr>
              <w:t>协商程序和评审标准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5"/>
              <w:widowControl w:val="0"/>
              <w:spacing w:before="0" w:beforeAutospacing="0" w:after="0" w:afterAutospacing="0" w:line="360" w:lineRule="auto"/>
              <w:jc w:val="both"/>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pStyle w:val="25"/>
              <w:widowControl w:val="0"/>
              <w:spacing w:before="0" w:beforeAutospacing="0" w:after="0" w:afterAutospacing="0" w:line="360" w:lineRule="auto"/>
              <w:jc w:val="both"/>
              <w:rPr>
                <w:rFonts w:hint="eastAsia"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lang w:val="en-US" w:eastAsia="zh-CN"/>
              </w:rPr>
              <w:t>2、</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政采贷</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融资指引：</w:t>
            </w:r>
            <w:r>
              <w:rPr>
                <w:rFonts w:hint="eastAsia" w:asciiTheme="majorEastAsia" w:hAnsiTheme="majorEastAsia" w:eastAsiaTheme="majorEastAsia"/>
                <w:b w:val="0"/>
                <w:color w:val="auto"/>
                <w:sz w:val="24"/>
                <w:highlight w:val="none"/>
              </w:rPr>
              <w:t>有融资需求的供应商在取得政府采购中标或成交通知书后，可访问安徽省政府采购网“政</w:t>
            </w:r>
            <w:r>
              <w:rPr>
                <w:rFonts w:hint="eastAsia" w:ascii="宋体" w:hAnsi="宋体" w:eastAsia="宋体"/>
                <w:b w:val="0"/>
                <w:color w:val="auto"/>
                <w:sz w:val="24"/>
                <w:highlight w:val="none"/>
                <w:lang w:val="en-US" w:eastAsia="zh-CN"/>
              </w:rPr>
              <w:t>采</w:t>
            </w:r>
            <w:r>
              <w:rPr>
                <w:rFonts w:hint="eastAsia" w:asciiTheme="majorEastAsia" w:hAnsiTheme="majorEastAsia" w:eastAsiaTheme="majorEastAsia"/>
                <w:b w:val="0"/>
                <w:color w:val="auto"/>
                <w:sz w:val="24"/>
                <w:highlight w:val="none"/>
              </w:rPr>
              <w:t>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25"/>
              <w:widowControl w:val="0"/>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asciiTheme="majorEastAsia" w:hAnsiTheme="majorEastAsia" w:eastAsiaTheme="majorEastAsia"/>
                <w:b w:val="0"/>
                <w:color w:val="auto"/>
                <w:sz w:val="24"/>
                <w:highlight w:val="none"/>
                <w:lang w:val="en-US" w:eastAsia="zh-CN"/>
              </w:rPr>
              <w:t>3、</w:t>
            </w:r>
            <w:r>
              <w:rPr>
                <w:rFonts w:hint="eastAsia" w:cs="@仿宋_GB2312" w:asciiTheme="minorEastAsia" w:hAnsiTheme="minorEastAsia" w:eastAsiaTheme="minorEastAsia"/>
                <w:b w:val="0"/>
                <w:bCs/>
                <w:color w:val="auto"/>
                <w:kern w:val="2"/>
                <w:sz w:val="24"/>
                <w:szCs w:val="24"/>
                <w:highlight w:val="none"/>
                <w:lang w:val="en-US" w:eastAsia="zh-CN" w:bidi="ar-SA"/>
              </w:rPr>
              <w:t>电子保函指引：成交供应商可访问安徽省政府采购网“融资/保函”栏目，申请办理电子保函（包括：履约保函、预付款保函）。</w:t>
            </w:r>
          </w:p>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11128"/>
      <w:bookmarkStart w:id="25" w:name="_Toc27298"/>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.1采购人：是指依法开展政府采购活动的国家机关、事业单位、团体组织。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.2采购代理机构：是指集中采购机构或从事采购代理业务的社会中介机构。</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.3政府采购监督管理部门：</w:t>
      </w:r>
      <w:r>
        <w:rPr>
          <w:rFonts w:hint="eastAsia" w:asciiTheme="minorEastAsia" w:hAnsiTheme="minorEastAsia" w:eastAsiaTheme="minorEastAsia"/>
          <w:color w:val="auto"/>
          <w:sz w:val="24"/>
          <w:highlight w:val="none"/>
        </w:rPr>
        <w:t>各级人民政府指定的有关部门依法履行与政府采购活动有关的监督管理职责。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：是指向采购人提供货物、工程或者服务的法人、</w:t>
      </w:r>
      <w:r>
        <w:rPr>
          <w:rFonts w:hint="eastAsia" w:asciiTheme="minorEastAsia" w:hAnsiTheme="minorEastAsia" w:eastAsiaTheme="minorEastAsia"/>
          <w:color w:val="auto"/>
          <w:sz w:val="24"/>
          <w:highlight w:val="none"/>
          <w:lang w:val="en-US" w:eastAsia="zh-CN"/>
        </w:rPr>
        <w:t>其他</w:t>
      </w:r>
      <w:r>
        <w:rPr>
          <w:rFonts w:asciiTheme="minorEastAsia" w:hAnsiTheme="minorEastAsia" w:eastAsiaTheme="minorEastAsia"/>
          <w:color w:val="auto"/>
          <w:sz w:val="24"/>
          <w:highlight w:val="none"/>
        </w:rPr>
        <w:t>组织或者自然人。</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本项目的采购人已获得足以支付本次单一来源采购后所签订的合同项下的资金。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不论单一来源采购的结果如何，供应商应承担所有与准备和参加单一来源采购有关的费用。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采购人、采购代理机构、供应商、采购人员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.1采购文件包括下列内容：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单一来源采购</w:t>
      </w:r>
      <w:r>
        <w:rPr>
          <w:rFonts w:asciiTheme="minorEastAsia" w:hAnsiTheme="minorEastAsia" w:eastAsiaTheme="minorEastAsia"/>
          <w:color w:val="auto"/>
          <w:sz w:val="24"/>
          <w:highlight w:val="none"/>
        </w:rPr>
        <w:t>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协商程序</w:t>
      </w:r>
      <w:r>
        <w:rPr>
          <w:rFonts w:asciiTheme="minorEastAsia" w:hAnsiTheme="minorEastAsia" w:eastAsiaTheme="minorEastAsia"/>
          <w:color w:val="auto"/>
          <w:sz w:val="24"/>
          <w:highlight w:val="none"/>
        </w:rPr>
        <w:t>和</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如对</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文件内容有疑问，以</w:t>
      </w:r>
      <w:r>
        <w:rPr>
          <w:rFonts w:hint="eastAsia" w:asciiTheme="majorEastAsia" w:hAnsiTheme="majorEastAsia" w:eastAsiaTheme="majorEastAsia"/>
          <w:color w:val="auto"/>
          <w:sz w:val="24"/>
          <w:highlight w:val="none"/>
        </w:rPr>
        <w:t>书面形式</w:t>
      </w:r>
      <w:r>
        <w:rPr>
          <w:rFonts w:asciiTheme="majorEastAsia" w:hAnsiTheme="majorEastAsia" w:eastAsiaTheme="maj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auto"/>
          <w:sz w:val="24"/>
          <w:highlight w:val="none"/>
        </w:rPr>
        <w:t>文件进行澄清与修改</w:t>
      </w:r>
      <w:r>
        <w:rPr>
          <w:rFonts w:hint="eastAsia" w:asciiTheme="majorEastAsia" w:hAnsiTheme="majorEastAsia" w:eastAsiaTheme="majorEastAsia"/>
          <w:color w:val="auto"/>
          <w:sz w:val="24"/>
          <w:highlight w:val="none"/>
        </w:rPr>
        <w:t>。</w:t>
      </w:r>
      <w:r>
        <w:rPr>
          <w:rFonts w:hint="eastAsia" w:asciiTheme="minorEastAsia" w:hAnsiTheme="minorEastAsia" w:eastAsiaTheme="minorEastAsia"/>
          <w:color w:val="auto"/>
          <w:sz w:val="24"/>
          <w:highlight w:val="none"/>
        </w:rPr>
        <w:t>采购代理机构对已发出的采购文件进行必要澄清或者修改的，将以书面形式通知供应商。澄清或者修改文件作为单一来源采购文件的组成部分。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hint="eastAsia" w:asciiTheme="minorEastAsia" w:hAnsiTheme="minorEastAsia" w:eastAsiaTheme="minorEastAsia"/>
          <w:color w:val="auto"/>
          <w:sz w:val="24"/>
          <w:highlight w:val="none"/>
        </w:rPr>
        <w:t>.3任何人或任何组织向供应商提供的任何书面或口头资料，未经采购代理机构书面通知，均作无效处理，不得作为采购文件的组成部分。采购代理机构对供应商由此而做出的推论、理解和结论概不负责。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对于没有提出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的供应商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本采购</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澄清或修改的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采购范围及响应文件中标准和计量单位的使用</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.1供应商应当对所</w:t>
      </w:r>
      <w:r>
        <w:rPr>
          <w:rFonts w:hint="eastAsia" w:asciiTheme="minorEastAsia" w:hAnsiTheme="minorEastAsia" w:eastAsiaTheme="minorEastAsia"/>
          <w:color w:val="auto"/>
          <w:sz w:val="24"/>
          <w:highlight w:val="none"/>
        </w:rPr>
        <w:t>参与的</w:t>
      </w:r>
      <w:r>
        <w:rPr>
          <w:rFonts w:asciiTheme="minorEastAsia" w:hAnsiTheme="minorEastAsia" w:eastAsiaTheme="minorEastAsia"/>
          <w:color w:val="auto"/>
          <w:sz w:val="24"/>
          <w:highlight w:val="none"/>
        </w:rPr>
        <w:t>分包</w:t>
      </w:r>
      <w:r>
        <w:rPr>
          <w:rFonts w:hint="eastAsia" w:asciiTheme="minorEastAsia" w:hAnsiTheme="minorEastAsia" w:eastAsiaTheme="minorEastAsia"/>
          <w:color w:val="auto"/>
          <w:sz w:val="24"/>
          <w:highlight w:val="none"/>
        </w:rPr>
        <w:t>采购文件</w:t>
      </w:r>
      <w:r>
        <w:rPr>
          <w:rFonts w:asciiTheme="minorEastAsia" w:hAnsiTheme="minorEastAsia" w:eastAsiaTheme="minorEastAsia"/>
          <w:color w:val="auto"/>
          <w:sz w:val="24"/>
          <w:highlight w:val="none"/>
        </w:rPr>
        <w:t>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所参与包别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所参与包别的响应文件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.2无论</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文件中是否要求，</w:t>
      </w:r>
      <w:r>
        <w:rPr>
          <w:rFonts w:hint="eastAsia" w:asciiTheme="minorEastAsia" w:hAnsiTheme="minorEastAsia" w:eastAsiaTheme="minorEastAsia"/>
          <w:color w:val="auto"/>
          <w:sz w:val="24"/>
          <w:highlight w:val="none"/>
        </w:rPr>
        <w:t>供应商所提供的服务及伴随的货物和工程均应符合国家强制性标准。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w:t>
      </w:r>
      <w:r>
        <w:rPr>
          <w:rFonts w:hint="eastAsia" w:asciiTheme="minorEastAsia" w:hAnsiTheme="minorEastAsia" w:eastAsiaTheme="minorEastAsia"/>
          <w:color w:val="auto"/>
          <w:sz w:val="24"/>
          <w:highlight w:val="none"/>
        </w:rPr>
        <w:t>单一来源采购</w:t>
      </w:r>
      <w:r>
        <w:rPr>
          <w:rFonts w:asciiTheme="minorEastAsia" w:hAnsiTheme="minorEastAsia" w:eastAsiaTheme="minorEastAsia"/>
          <w:color w:val="auto"/>
          <w:sz w:val="24"/>
          <w:highlight w:val="none"/>
        </w:rPr>
        <w:t>有关的所有往来通知、函件和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文件均用中文表述。</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随</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.4除</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文件中有特殊要求外，</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具体内容详见本项目第六章响应文件格式的相关内容。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应提交证明文件，证明其</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文件规定。该证明文件是响应文件的一部分。证明文件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.1供应商的报价应当包括满足本次</w:t>
      </w:r>
      <w:r>
        <w:rPr>
          <w:rFonts w:hint="eastAsia" w:asciiTheme="minorEastAsia" w:hAnsiTheme="minorEastAsia" w:eastAsiaTheme="minorEastAsia"/>
          <w:color w:val="auto"/>
          <w:sz w:val="24"/>
          <w:highlight w:val="none"/>
        </w:rPr>
        <w:t>采购文件的</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asciiTheme="majorEastAsia" w:hAnsiTheme="majorEastAsia" w:eastAsiaTheme="majorEastAsia"/>
          <w:color w:val="auto"/>
          <w:sz w:val="24"/>
          <w:highlight w:val="none"/>
        </w:rPr>
        <w:t>除</w:t>
      </w:r>
      <w:r>
        <w:rPr>
          <w:rFonts w:hint="eastAsia" w:asciiTheme="majorEastAsia" w:hAnsiTheme="majorEastAsia" w:eastAsiaTheme="majorEastAsia"/>
          <w:color w:val="auto"/>
          <w:sz w:val="24"/>
          <w:highlight w:val="none"/>
        </w:rPr>
        <w:t>单一来源采购文件</w:t>
      </w:r>
      <w:r>
        <w:rPr>
          <w:rFonts w:asciiTheme="majorEastAsia" w:hAnsiTheme="majorEastAsia" w:eastAsiaTheme="majorEastAsia"/>
          <w:color w:val="auto"/>
          <w:sz w:val="24"/>
          <w:highlight w:val="none"/>
        </w:rPr>
        <w:t>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inorEastAsia" w:hAnsiTheme="minorEastAsia" w:eastAsiaTheme="minorEastAsia"/>
          <w:color w:val="auto"/>
          <w:sz w:val="24"/>
          <w:highlight w:val="none"/>
        </w:rPr>
        <w:t>供应商的报价均应以人民币报价，应遵守《中华人民共和国价格法》。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供应商最终报价超过采购文件规定的预算金额的</w:t>
      </w:r>
      <w:r>
        <w:rPr>
          <w:rFonts w:hint="eastAsia" w:asciiTheme="minorEastAsia" w:hAnsiTheme="minorEastAsia" w:eastAsiaTheme="minorEastAsia"/>
          <w:b/>
          <w:bCs/>
          <w:color w:val="auto"/>
          <w:sz w:val="24"/>
          <w:highlight w:val="none"/>
        </w:rPr>
        <w:t>响应</w:t>
      </w:r>
      <w:r>
        <w:rPr>
          <w:rFonts w:hint="eastAsia" w:asciiTheme="minorEastAsia" w:hAnsiTheme="minorEastAsia" w:eastAsiaTheme="minorEastAsia"/>
          <w:b/>
          <w:color w:val="auto"/>
          <w:sz w:val="24"/>
          <w:highlight w:val="none"/>
        </w:rPr>
        <w:t>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10.</w:t>
      </w:r>
      <w:r>
        <w:rPr>
          <w:rFonts w:hint="eastAsia" w:asciiTheme="minorEastAsia" w:hAnsiTheme="minorEastAsia" w:eastAsiaTheme="minorEastAsia"/>
          <w:b/>
          <w:color w:val="auto"/>
          <w:sz w:val="24"/>
          <w:highlight w:val="none"/>
        </w:rPr>
        <w:t>响应文件有效期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10.</w:t>
      </w:r>
      <w:r>
        <w:rPr>
          <w:rFonts w:hint="eastAsia" w:asciiTheme="minorEastAsia" w:hAnsiTheme="minorEastAsia" w:eastAsiaTheme="minorEastAsia"/>
          <w:color w:val="auto"/>
          <w:sz w:val="24"/>
          <w:highlight w:val="none"/>
        </w:rPr>
        <w:t>1响应文件有效期为从响应文件提交截止之日算起的日历天数，响应文件有效期详见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10.</w:t>
      </w:r>
      <w:r>
        <w:rPr>
          <w:rFonts w:hint="eastAsia" w:asciiTheme="minorEastAsia" w:hAnsiTheme="minorEastAsia" w:eastAsiaTheme="minorEastAsia"/>
          <w:color w:val="auto"/>
          <w:sz w:val="24"/>
          <w:highlight w:val="none"/>
        </w:rPr>
        <w:t>2在响应文件有效期内，供应商的响应文件保持有效，供应商不得要求撤销或修改其响应文件。响应文件有效期不满足要求的</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10.</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响应文件有效期截止之前，要求供应商延长响应文件的有效期。接受该要求的供应商将不会被要求和允许修正其响应文件。供应商也可以拒绝延长响应文件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hint="eastAsia" w:asciiTheme="majorEastAsia" w:hAnsiTheme="majorEastAsia" w:eastAsiaTheme="majorEastAsia"/>
          <w:color w:val="auto"/>
          <w:sz w:val="24"/>
          <w:highlight w:val="none"/>
          <w:lang w:eastAsia="zh-CN"/>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.1供应商应</w:t>
      </w:r>
      <w:r>
        <w:rPr>
          <w:rFonts w:hint="eastAsia" w:asciiTheme="majorEastAsia" w:hAnsiTheme="majorEastAsia" w:eastAsiaTheme="majorEastAsia"/>
          <w:color w:val="auto"/>
          <w:sz w:val="24"/>
          <w:highlight w:val="none"/>
        </w:rPr>
        <w:t>在</w:t>
      </w:r>
      <w:r>
        <w:rPr>
          <w:rFonts w:hint="eastAsia" w:asciiTheme="majorEastAsia" w:hAnsiTheme="majorEastAsia" w:eastAsiaTheme="majorEastAsia"/>
          <w:color w:val="auto"/>
          <w:sz w:val="24"/>
          <w:highlight w:val="none"/>
          <w:lang w:eastAsia="zh-CN"/>
        </w:rPr>
        <w:t>第一章“单一来源采购邀请”</w:t>
      </w:r>
      <w:r>
        <w:rPr>
          <w:rFonts w:hint="eastAsia" w:asciiTheme="majorEastAsia" w:hAnsiTheme="majorEastAsia" w:eastAsiaTheme="majorEastAsia"/>
          <w:color w:val="auto"/>
          <w:sz w:val="24"/>
          <w:highlight w:val="none"/>
        </w:rPr>
        <w:t>规定</w:t>
      </w:r>
      <w:r>
        <w:rPr>
          <w:rFonts w:asciiTheme="majorEastAsia" w:hAnsiTheme="majorEastAsia" w:eastAsiaTheme="majorEastAsia"/>
          <w:color w:val="auto"/>
          <w:sz w:val="24"/>
          <w:highlight w:val="none"/>
        </w:rPr>
        <w:t>的</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.2采购人和采购代理机构有权按本</w:t>
      </w:r>
      <w:r>
        <w:rPr>
          <w:rFonts w:hint="eastAsia" w:asciiTheme="minorEastAsia" w:hAnsiTheme="minorEastAsia" w:eastAsiaTheme="minorEastAsia"/>
          <w:color w:val="auto"/>
          <w:sz w:val="24"/>
          <w:highlight w:val="none"/>
        </w:rPr>
        <w:t>采购文件</w:t>
      </w:r>
      <w:r>
        <w:rPr>
          <w:rFonts w:asciiTheme="minorEastAsia" w:hAnsiTheme="minorEastAsia" w:eastAsiaTheme="minorEastAsia"/>
          <w:color w:val="auto"/>
          <w:sz w:val="24"/>
          <w:highlight w:val="none"/>
        </w:rPr>
        <w:t>的规定，延迟</w:t>
      </w:r>
      <w:r>
        <w:rPr>
          <w:rFonts w:hint="eastAsia" w:asciiTheme="minorEastAsia" w:hAnsiTheme="minorEastAsia" w:eastAsiaTheme="minorEastAsia"/>
          <w:color w:val="auto"/>
          <w:sz w:val="24"/>
          <w:highlight w:val="none"/>
        </w:rPr>
        <w:t>响应文件提交</w:t>
      </w:r>
      <w:r>
        <w:rPr>
          <w:rFonts w:asciiTheme="minorEastAsia" w:hAnsiTheme="minorEastAsia" w:eastAsiaTheme="minorEastAsia"/>
          <w:color w:val="auto"/>
          <w:sz w:val="24"/>
          <w:highlight w:val="none"/>
        </w:rPr>
        <w:t>截止时间。在此情况下，采购人、采购代理机构和供应商受</w:t>
      </w:r>
      <w:r>
        <w:rPr>
          <w:rFonts w:hint="eastAsia" w:asciiTheme="minorEastAsia" w:hAnsiTheme="minorEastAsia" w:eastAsiaTheme="minorEastAsia"/>
          <w:color w:val="auto"/>
          <w:sz w:val="24"/>
          <w:highlight w:val="none"/>
        </w:rPr>
        <w:t>响应文件提交</w:t>
      </w:r>
      <w:r>
        <w:rPr>
          <w:rFonts w:asciiTheme="minorEastAsia" w:hAnsiTheme="minorEastAsia" w:eastAsiaTheme="minorEastAsia"/>
          <w:color w:val="auto"/>
          <w:sz w:val="24"/>
          <w:highlight w:val="none"/>
        </w:rPr>
        <w:t>截止时间制约的所有权利和义务均应延长至新的</w:t>
      </w:r>
      <w:r>
        <w:rPr>
          <w:rFonts w:hint="eastAsia" w:asciiTheme="minorEastAsia" w:hAnsiTheme="minorEastAsia" w:eastAsiaTheme="minorEastAsia"/>
          <w:color w:val="auto"/>
          <w:sz w:val="24"/>
          <w:highlight w:val="none"/>
        </w:rPr>
        <w:t>响应文件提交截止</w:t>
      </w:r>
      <w:r>
        <w:rPr>
          <w:rFonts w:asciiTheme="minorEastAsia" w:hAnsiTheme="minorEastAsia" w:eastAsiaTheme="minorEastAsia"/>
          <w:color w:val="auto"/>
          <w:sz w:val="24"/>
          <w:highlight w:val="none"/>
        </w:rPr>
        <w:t>时间。</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.3在</w:t>
      </w:r>
      <w:r>
        <w:rPr>
          <w:rFonts w:hint="eastAsia" w:asciiTheme="minorEastAsia" w:hAnsiTheme="minorEastAsia" w:eastAsiaTheme="minorEastAsia"/>
          <w:color w:val="auto"/>
          <w:sz w:val="24"/>
          <w:highlight w:val="none"/>
        </w:rPr>
        <w:t>响应文件提交</w:t>
      </w:r>
      <w:r>
        <w:rPr>
          <w:rFonts w:asciiTheme="minorEastAsia" w:hAnsiTheme="minorEastAsia" w:eastAsiaTheme="minorEastAsia"/>
          <w:color w:val="auto"/>
          <w:sz w:val="24"/>
          <w:highlight w:val="none"/>
        </w:rPr>
        <w:t>截止时间前，供应商可以修改或撤回已提交的响应文件。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采购人、</w:t>
      </w:r>
      <w:r>
        <w:rPr>
          <w:rFonts w:asciiTheme="minorEastAsia" w:hAnsiTheme="minorEastAsia" w:eastAsiaTheme="minorEastAsia"/>
          <w:color w:val="auto"/>
          <w:sz w:val="24"/>
          <w:highlight w:val="none"/>
        </w:rPr>
        <w:t>采购代理机构</w:t>
      </w:r>
      <w:r>
        <w:rPr>
          <w:rFonts w:hint="eastAsia" w:asciiTheme="minorEastAsia" w:hAnsiTheme="minorEastAsia" w:eastAsiaTheme="minorEastAsia"/>
          <w:color w:val="auto"/>
          <w:sz w:val="24"/>
          <w:highlight w:val="none"/>
        </w:rPr>
        <w:t>按照《</w:t>
      </w:r>
      <w:r>
        <w:rPr>
          <w:rFonts w:asciiTheme="minorEastAsia" w:hAnsiTheme="minorEastAsia" w:eastAsiaTheme="minorEastAsia"/>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政府采购非招标采购方式管理办法</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、政府采购监督管理部门的有关规定依法组建采购小组，负责对响应文件进行审查，与供应商商定合理的成交价格并保证采购项目质量。</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响应文件评审与澄清</w:t>
      </w:r>
    </w:p>
    <w:p>
      <w:pPr>
        <w:spacing w:line="360" w:lineRule="auto"/>
        <w:ind w:firstLine="435"/>
        <w:rPr>
          <w:rFonts w:hint="eastAsia" w:ascii="宋体" w:hAnsi="宋体" w:eastAsia="宋体" w:cs="宋体"/>
          <w:color w:val="auto"/>
          <w:sz w:val="24"/>
          <w:szCs w:val="24"/>
          <w:highlight w:val="none"/>
        </w:rPr>
      </w:pPr>
      <w:bookmarkStart w:id="27"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rPr>
        <w:t>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27"/>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.2采购小组依据采购文件的规定，从响应文件的有效性和完整性对采购文件的响应程度进行</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，以确定是否对采购文件的实质性要求做出响应。响应文件有下列情况之一的将导致</w:t>
      </w:r>
      <w:r>
        <w:rPr>
          <w:rFonts w:asciiTheme="minorEastAsia" w:hAnsiTheme="minorEastAsia" w:eastAsiaTheme="minorEastAsia"/>
          <w:b/>
          <w:bCs/>
          <w:color w:val="auto"/>
          <w:sz w:val="24"/>
          <w:highlight w:val="none"/>
        </w:rPr>
        <w:t>响应无效</w:t>
      </w:r>
      <w:r>
        <w:rPr>
          <w:rFonts w:asciiTheme="minorEastAsia" w:hAnsiTheme="minorEastAsia" w:eastAsiaTheme="minorEastAsia"/>
          <w:color w:val="auto"/>
          <w:sz w:val="24"/>
          <w:highlight w:val="none"/>
        </w:rPr>
        <w:t>，供应商应进行补充或修改，使之符合单一来源采购文件要求：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1）未按照单一来源采购文件规定要求签署、盖章的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响应文件有效期不足的；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（3）不符合法律、法规、规范性文件和单一来源采购文件规定的。</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响应文件的澄清</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.3.1为有助于响应文件的审查、评价和比较，在</w:t>
      </w:r>
      <w:r>
        <w:rPr>
          <w:rFonts w:hint="eastAsia" w:asciiTheme="minorEastAsia" w:hAnsiTheme="minorEastAsia" w:eastAsiaTheme="minorEastAsia"/>
          <w:color w:val="auto"/>
          <w:sz w:val="24"/>
          <w:highlight w:val="none"/>
        </w:rPr>
        <w:t>评审过程中</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将以书面</w:t>
      </w:r>
      <w:r>
        <w:rPr>
          <w:rFonts w:hint="eastAsia" w:asciiTheme="minorEastAsia" w:hAnsiTheme="minorEastAsia" w:eastAsiaTheme="minorEastAsia"/>
          <w:color w:val="auto"/>
          <w:sz w:val="24"/>
          <w:highlight w:val="none"/>
        </w:rPr>
        <w:t>方式（询标）</w:t>
      </w:r>
      <w:r>
        <w:rPr>
          <w:rFonts w:asciiTheme="minorEastAsia" w:hAnsiTheme="minorEastAsia" w:eastAsiaTheme="minorEastAsia"/>
          <w:color w:val="auto"/>
          <w:sz w:val="24"/>
          <w:highlight w:val="none"/>
        </w:rPr>
        <w:t>要求供应商对其响应文件中含义不明确、对同类问题表述不一致或者有明显文字和计算错误的内容作必要的澄清、说明或补正。供应商的澄清、说明或补正应在</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规定的时间内以书面</w:t>
      </w:r>
      <w:r>
        <w:rPr>
          <w:rFonts w:hint="eastAsia" w:asciiTheme="minorEastAsia" w:hAnsiTheme="minorEastAsia" w:eastAsiaTheme="minorEastAsia"/>
          <w:color w:val="auto"/>
          <w:sz w:val="24"/>
          <w:highlight w:val="none"/>
        </w:rPr>
        <w:t>方式</w:t>
      </w:r>
      <w:r>
        <w:rPr>
          <w:rFonts w:asciiTheme="minorEastAsia" w:hAnsiTheme="minorEastAsia" w:eastAsiaTheme="minorEastAsia"/>
          <w:color w:val="auto"/>
          <w:sz w:val="24"/>
          <w:highlight w:val="none"/>
        </w:rPr>
        <w:t>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如有询标，供应商授权代表（或法定代表人）应携带本人有效身份证明原件参加询标。因供应商授权代表联系不上、未到现场等情形而无法接受询标的，供应商自行承担相关风险。</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供应商的澄清、说明或补正将作为响应文件的一部分。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对供应商提交的澄清、说明或补正有疑问的，可以要求供应商进一步澄清、说明或补正，直至满足</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的要求。</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协商与确定成交供应商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在协商过程中，采购文件若有实质性变动，采购小组将以书面形式通知参加协商的供应商。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在协商过程中，供应商可以进行多轮报价，供应商的最终报价不得超过采购预算。</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采购小组应与供应商商定合理的成交价格并保证采购项目质量，并确定成交供应商。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采购终止</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出现下列情形之一的，</w:t>
      </w:r>
      <w:r>
        <w:rPr>
          <w:rFonts w:asciiTheme="minorEastAsia" w:hAnsiTheme="minorEastAsia" w:eastAsiaTheme="minorEastAsia"/>
          <w:color w:val="auto"/>
          <w:sz w:val="24"/>
          <w:highlight w:val="none"/>
        </w:rPr>
        <w:t>采购人或者采购代理机构应当终止采购活动，发布</w:t>
      </w:r>
      <w:r>
        <w:rPr>
          <w:rFonts w:hint="eastAsia" w:asciiTheme="minorEastAsia" w:hAnsiTheme="minorEastAsia" w:eastAsiaTheme="minorEastAsia"/>
          <w:color w:val="auto"/>
          <w:sz w:val="24"/>
          <w:highlight w:val="none"/>
        </w:rPr>
        <w:t>项目终止公告并说明原因，</w:t>
      </w:r>
      <w:r>
        <w:rPr>
          <w:rFonts w:asciiTheme="minorEastAsia" w:hAnsiTheme="minorEastAsia" w:eastAsiaTheme="minorEastAsia"/>
          <w:color w:val="auto"/>
          <w:sz w:val="24"/>
          <w:highlight w:val="none"/>
        </w:rPr>
        <w:t>重新开展采购活动：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因情况变化，不再符合规定的单一来源采购方式适用情形的；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报价超过采购预算的。</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hint="eastAsia" w:asciiTheme="minorEastAsia" w:hAnsiTheme="minorEastAsia" w:eastAsiaTheme="minorEastAsia"/>
          <w:color w:val="auto"/>
          <w:sz w:val="24"/>
          <w:highlight w:val="none"/>
        </w:rPr>
        <w:t>.1协商过程将在严格保密的情况下进行。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hint="eastAsia" w:asciiTheme="minorEastAsia" w:hAnsiTheme="minorEastAsia" w:eastAsiaTheme="minorEastAsia"/>
          <w:color w:val="auto"/>
          <w:sz w:val="24"/>
          <w:highlight w:val="none"/>
        </w:rPr>
        <w:t>.2采购小组成员以及与协商工作有关的人员对协商情况以及协商过程中获悉的国家秘密、商业秘密应当保密。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编写协商情况记录</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协商情况记录</w:t>
      </w:r>
      <w:r>
        <w:rPr>
          <w:rFonts w:hint="eastAsia" w:asciiTheme="minorEastAsia" w:hAnsiTheme="minorEastAsia" w:eastAsiaTheme="minorEastAsia"/>
          <w:color w:val="auto"/>
          <w:sz w:val="24"/>
          <w:highlight w:val="none"/>
        </w:rPr>
        <w:t>是根据单一来源采购活动的协商记录和协商结果编写的报告，</w:t>
      </w:r>
      <w:r>
        <w:rPr>
          <w:rFonts w:asciiTheme="minorEastAsia" w:hAnsiTheme="minorEastAsia" w:eastAsiaTheme="minorEastAsia"/>
          <w:color w:val="auto"/>
          <w:sz w:val="24"/>
          <w:highlight w:val="none"/>
        </w:rPr>
        <w:t>应当由采购全体人员签字认可。对记录有异议的采购人员，应当签署不同意见并说明理由。采购人员拒绝在记录上签字又不书面说明其不同意见和理由的，视为同意。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18.</w:t>
      </w:r>
      <w:r>
        <w:rPr>
          <w:rFonts w:hint="eastAsia"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18.</w:t>
      </w:r>
      <w:r>
        <w:rPr>
          <w:rFonts w:asciiTheme="minorEastAsia" w:hAnsiTheme="minorEastAsia" w:eastAsiaTheme="minorEastAsia"/>
          <w:color w:val="auto"/>
          <w:sz w:val="24"/>
          <w:highlight w:val="none"/>
        </w:rPr>
        <w:t>1自</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确定之日起2个工作日内，采购代理机构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在</w:t>
      </w:r>
      <w:r>
        <w:rPr>
          <w:rFonts w:hint="eastAsia" w:ascii="宋体" w:hAnsi="宋体" w:eastAsia="宋体"/>
          <w:color w:val="auto"/>
          <w:sz w:val="24"/>
          <w:szCs w:val="18"/>
          <w:highlight w:val="none"/>
          <w:lang w:val="en-US" w:eastAsia="zh-CN"/>
        </w:rPr>
        <w:t>安徽省政府采购网（www.ccgp-anhui.gov.cn）</w:t>
      </w:r>
      <w:r>
        <w:rPr>
          <w:rFonts w:hint="eastAsia" w:ascii="宋体" w:hAnsi="宋体" w:eastAsia="宋体"/>
          <w:color w:val="auto"/>
          <w:sz w:val="24"/>
          <w:szCs w:val="18"/>
          <w:highlight w:val="none"/>
          <w:u w:val="none"/>
          <w:lang w:val="en-US" w:eastAsia="zh-CN"/>
        </w:rPr>
        <w:t>上</w:t>
      </w:r>
      <w:r>
        <w:rPr>
          <w:rFonts w:asciiTheme="minorEastAsia" w:hAnsiTheme="minorEastAsia" w:eastAsiaTheme="minorEastAsia"/>
          <w:color w:val="auto"/>
          <w:sz w:val="24"/>
          <w:highlight w:val="none"/>
        </w:rPr>
        <w:t>发布</w:t>
      </w:r>
      <w:r>
        <w:rPr>
          <w:rFonts w:hint="eastAsia" w:asciiTheme="minorEastAsia" w:hAnsiTheme="minorEastAsia" w:eastAsiaTheme="minorEastAsia"/>
          <w:color w:val="auto"/>
          <w:sz w:val="24"/>
          <w:highlight w:val="none"/>
        </w:rPr>
        <w:t>成交结果</w:t>
      </w:r>
      <w:r>
        <w:rPr>
          <w:rFonts w:asciiTheme="minorEastAsia" w:hAnsiTheme="minorEastAsia" w:eastAsiaTheme="minorEastAsia"/>
          <w:color w:val="auto"/>
          <w:sz w:val="24"/>
          <w:highlight w:val="none"/>
        </w:rPr>
        <w:t>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18.</w:t>
      </w:r>
      <w:r>
        <w:rPr>
          <w:rFonts w:asciiTheme="minorEastAsia" w:hAnsiTheme="minorEastAsia" w:eastAsiaTheme="minorEastAsia"/>
          <w:color w:val="auto"/>
          <w:sz w:val="24"/>
          <w:highlight w:val="none"/>
        </w:rPr>
        <w:t>2成交结果公告应当包括以下内容：</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）采购人和采购代理机构的名称、地址和联系方式；</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）项目名称和项目编号；</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）成交供应商名称、地址和成交金额；</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）单一来源采购人员名单</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w:t>
      </w:r>
      <w:r>
        <w:rPr>
          <w:rFonts w:hint="eastAsia" w:asciiTheme="minorEastAsia" w:hAnsiTheme="minorEastAsia" w:eastAsiaTheme="minorEastAsia"/>
          <w:color w:val="auto"/>
          <w:sz w:val="24"/>
          <w:highlight w:val="none"/>
        </w:rPr>
        <w:t>其他</w:t>
      </w:r>
      <w:r>
        <w:rPr>
          <w:rFonts w:asciiTheme="minorEastAsia" w:hAnsiTheme="minorEastAsia" w:eastAsiaTheme="minorEastAsia"/>
          <w:color w:val="auto"/>
          <w:sz w:val="24"/>
          <w:highlight w:val="none"/>
        </w:rPr>
        <w:t>内容。</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.1采购代理机构发布</w:t>
      </w:r>
      <w:r>
        <w:rPr>
          <w:rFonts w:hint="eastAsia" w:asciiTheme="minorEastAsia" w:hAnsiTheme="minorEastAsia" w:eastAsiaTheme="minorEastAsia"/>
          <w:color w:val="auto"/>
          <w:sz w:val="24"/>
          <w:highlight w:val="none"/>
        </w:rPr>
        <w:t>成交结果</w:t>
      </w:r>
      <w:r>
        <w:rPr>
          <w:rFonts w:asciiTheme="minorEastAsia" w:hAnsiTheme="minorEastAsia" w:eastAsiaTheme="minorEastAsia"/>
          <w:color w:val="auto"/>
          <w:sz w:val="24"/>
          <w:highlight w:val="none"/>
        </w:rPr>
        <w:t>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形式向成交供应商发出成交通知书。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.2成交通知书对采购人和成交供应商具有同等法律效力。成交通知书发出以后，采购人改变</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结果或者成交供应商放弃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，应当承担相应的法律责任。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.3成交通知书是合同的组成部分。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.1成交供应商应按照</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如果成交供应商没有按照上述履约保证金的规定执行，将视为放弃成交资格。</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.2采购文件、成交供应商的响应文件及其澄清文件等，均为签订合同的依据。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采购人不得向成交供应商提出超出采购文件以外的任何要求作为签订合同的条件，</w:t>
      </w:r>
      <w:r>
        <w:rPr>
          <w:rFonts w:asciiTheme="minorEastAsia" w:hAnsiTheme="minorEastAsia" w:eastAsiaTheme="minorEastAsia"/>
          <w:color w:val="auto"/>
          <w:sz w:val="24"/>
          <w:highlight w:val="none"/>
        </w:rPr>
        <w:t>不得</w:t>
      </w:r>
      <w:r>
        <w:rPr>
          <w:rFonts w:hint="eastAsia" w:asciiTheme="minorEastAsia" w:hAnsiTheme="minorEastAsia" w:eastAsiaTheme="minorEastAsia"/>
          <w:color w:val="auto"/>
          <w:sz w:val="24"/>
          <w:highlight w:val="none"/>
        </w:rPr>
        <w:t>与成交供应商订立背离采购文件确定的合同文本以及采购标的、</w:t>
      </w:r>
      <w:r>
        <w:rPr>
          <w:rFonts w:asciiTheme="minorEastAsia" w:hAnsiTheme="minorEastAsia" w:eastAsiaTheme="minorEastAsia"/>
          <w:color w:val="auto"/>
          <w:sz w:val="24"/>
          <w:highlight w:val="none"/>
        </w:rPr>
        <w:t>规格型号、采购金额、采购</w:t>
      </w:r>
      <w:r>
        <w:rPr>
          <w:rFonts w:hint="eastAsia" w:asciiTheme="minorEastAsia" w:hAnsiTheme="minorEastAsia" w:eastAsiaTheme="minorEastAsia"/>
          <w:color w:val="auto"/>
          <w:sz w:val="24"/>
          <w:highlight w:val="none"/>
        </w:rPr>
        <w:t>数量、</w:t>
      </w:r>
      <w:r>
        <w:rPr>
          <w:rFonts w:asciiTheme="minorEastAsia" w:hAnsiTheme="minorEastAsia" w:eastAsiaTheme="minorEastAsia"/>
          <w:color w:val="auto"/>
          <w:sz w:val="24"/>
          <w:highlight w:val="none"/>
        </w:rPr>
        <w:t>技术和服务要求等实质性内容的协议。</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除不可抗力等因素外，</w:t>
      </w:r>
      <w:r>
        <w:rPr>
          <w:rFonts w:asciiTheme="minorEastAsia" w:hAnsiTheme="minorEastAsia" w:eastAsiaTheme="minorEastAsia"/>
          <w:color w:val="auto"/>
          <w:sz w:val="24"/>
          <w:highlight w:val="none"/>
        </w:rPr>
        <w:t>成交通知书发出后，采购人改变成交结果，或者成</w:t>
      </w:r>
      <w:r>
        <w:rPr>
          <w:rFonts w:hint="eastAsia" w:asciiTheme="minorEastAsia" w:hAnsiTheme="minorEastAsia" w:eastAsiaTheme="minorEastAsia"/>
          <w:color w:val="auto"/>
          <w:sz w:val="24"/>
          <w:highlight w:val="none"/>
        </w:rPr>
        <w:t>交供应商拒绝签订政府采购合同的，</w:t>
      </w:r>
      <w:r>
        <w:rPr>
          <w:rFonts w:asciiTheme="minorEastAsia" w:hAnsiTheme="minorEastAsia" w:eastAsiaTheme="minorEastAsia"/>
          <w:color w:val="auto"/>
          <w:sz w:val="24"/>
          <w:highlight w:val="none"/>
        </w:rPr>
        <w:t>应当承担相应的法律责任。</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成交服务费</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本项目成交服务费的收取按</w:t>
      </w:r>
      <w:r>
        <w:rPr>
          <w:rFonts w:hint="eastAsia" w:asciiTheme="minorEastAsia" w:hAnsiTheme="minorEastAsia" w:eastAsiaTheme="minorEastAsia"/>
          <w:color w:val="auto"/>
          <w:sz w:val="24"/>
          <w:highlight w:val="none"/>
          <w:u w:val="single"/>
        </w:rPr>
        <w:t>供应商须知前附表的</w:t>
      </w:r>
      <w:r>
        <w:rPr>
          <w:rFonts w:hint="eastAsia" w:asciiTheme="minorEastAsia" w:hAnsiTheme="minorEastAsia" w:eastAsiaTheme="minorEastAsia"/>
          <w:color w:val="auto"/>
          <w:sz w:val="24"/>
          <w:highlight w:val="none"/>
        </w:rPr>
        <w:t>规定执行。</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8" w:name="_Toc25641"/>
      <w:r>
        <w:rPr>
          <w:rFonts w:hint="eastAsia" w:asciiTheme="minorEastAsia" w:hAnsiTheme="minorEastAsia" w:eastAsiaTheme="minorEastAsia"/>
          <w:b/>
          <w:color w:val="auto"/>
          <w:sz w:val="28"/>
          <w:highlight w:val="none"/>
        </w:rPr>
        <w:t>第三章  采购需求</w:t>
      </w:r>
      <w:bookmarkEnd w:id="2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本采购需求中提出的服务方案仅为参考，如无明确限制，</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可以进行优化，提供满足采购人实际需要的更优（或者性能实质上不低于的）服务方案，且此方案须经</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评审认可</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hint="default" w:asciiTheme="minorEastAsia" w:hAnsiTheme="minorEastAsia" w:eastAsiaTheme="minorEastAsia"/>
          <w:color w:val="auto"/>
          <w:sz w:val="24"/>
          <w:szCs w:val="18"/>
          <w:highlight w:val="none"/>
          <w:lang w:val="en-US" w:eastAsia="zh-CN"/>
        </w:rPr>
      </w:pPr>
    </w:p>
    <w:p>
      <w:pPr>
        <w:spacing w:line="360" w:lineRule="auto"/>
        <w:ind w:firstLine="435"/>
        <w:outlineLvl w:val="1"/>
        <w:rPr>
          <w:rFonts w:asciiTheme="minorEastAsia" w:hAnsiTheme="minorEastAsia" w:eastAsiaTheme="minorEastAsia"/>
          <w:b/>
          <w:color w:val="auto"/>
          <w:sz w:val="24"/>
          <w:szCs w:val="18"/>
          <w:highlight w:val="none"/>
        </w:rPr>
      </w:pPr>
      <w:bookmarkStart w:id="29" w:name="_Toc25679"/>
      <w:bookmarkStart w:id="30" w:name="_Toc8608"/>
      <w:r>
        <w:rPr>
          <w:rFonts w:hint="eastAsia" w:asciiTheme="minorEastAsia" w:hAnsiTheme="minorEastAsia" w:eastAsiaTheme="minorEastAsia"/>
          <w:b/>
          <w:color w:val="auto"/>
          <w:sz w:val="24"/>
          <w:szCs w:val="18"/>
          <w:highlight w:val="none"/>
        </w:rPr>
        <w:t>一、采购需求前附表</w:t>
      </w:r>
      <w:bookmarkEnd w:id="29"/>
      <w:bookmarkEnd w:id="30"/>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
                <w:color w:val="auto"/>
                <w:sz w:val="24"/>
                <w:szCs w:val="18"/>
                <w:highlight w:val="none"/>
              </w:rPr>
            </w:pPr>
            <w:r>
              <w:rPr>
                <w:rFonts w:hint="eastAsia" w:asciiTheme="minorEastAsia" w:hAnsiTheme="minorEastAsia" w:eastAsiaTheme="minorEastAsia"/>
                <w:b/>
                <w:color w:val="auto"/>
                <w:sz w:val="24"/>
                <w:szCs w:val="18"/>
                <w:highlight w:val="none"/>
              </w:rPr>
              <w:t>序号</w:t>
            </w:r>
          </w:p>
        </w:tc>
        <w:tc>
          <w:tcPr>
            <w:tcW w:w="1192" w:type="pct"/>
            <w:vAlign w:val="center"/>
          </w:tcPr>
          <w:p>
            <w:pPr>
              <w:spacing w:line="360" w:lineRule="auto"/>
              <w:jc w:val="center"/>
              <w:rPr>
                <w:rFonts w:asciiTheme="minorEastAsia" w:hAnsiTheme="minorEastAsia" w:eastAsiaTheme="minorEastAsia"/>
                <w:b/>
                <w:color w:val="auto"/>
                <w:sz w:val="24"/>
                <w:szCs w:val="18"/>
                <w:highlight w:val="none"/>
              </w:rPr>
            </w:pPr>
            <w:r>
              <w:rPr>
                <w:rFonts w:hint="eastAsia" w:asciiTheme="minorEastAsia" w:hAnsiTheme="minorEastAsia" w:eastAsiaTheme="minorEastAsia"/>
                <w:b/>
                <w:color w:val="auto"/>
                <w:sz w:val="24"/>
                <w:szCs w:val="18"/>
                <w:highlight w:val="none"/>
              </w:rPr>
              <w:t>条款名称</w:t>
            </w:r>
          </w:p>
        </w:tc>
        <w:tc>
          <w:tcPr>
            <w:tcW w:w="3217" w:type="pct"/>
            <w:vAlign w:val="center"/>
          </w:tcPr>
          <w:p>
            <w:pPr>
              <w:spacing w:line="360" w:lineRule="auto"/>
              <w:jc w:val="center"/>
              <w:rPr>
                <w:rFonts w:asciiTheme="minorEastAsia" w:hAnsiTheme="minorEastAsia" w:eastAsiaTheme="minorEastAsia"/>
                <w:b/>
                <w:color w:val="auto"/>
                <w:sz w:val="24"/>
                <w:szCs w:val="18"/>
                <w:highlight w:val="none"/>
              </w:rPr>
            </w:pPr>
            <w:r>
              <w:rPr>
                <w:rFonts w:hint="eastAsia" w:asciiTheme="minorEastAsia" w:hAnsiTheme="minorEastAsia" w:eastAsiaTheme="minorEastAsia"/>
                <w:b/>
                <w:color w:val="auto"/>
                <w:sz w:val="24"/>
                <w:szCs w:val="18"/>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1</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付款方式</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2</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服务地点</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3</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服务期限</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asciiTheme="minorEastAsia" w:hAnsiTheme="minorEastAsia" w:eastAsiaTheme="minorEastAsia"/>
                <w:bCs/>
                <w:color w:val="auto"/>
                <w:sz w:val="24"/>
                <w:szCs w:val="18"/>
                <w:highlight w:val="none"/>
              </w:rPr>
              <w:t>4</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w:t>
            </w:r>
          </w:p>
        </w:tc>
      </w:tr>
    </w:tbl>
    <w:p>
      <w:pPr>
        <w:spacing w:line="360" w:lineRule="auto"/>
        <w:ind w:firstLine="435"/>
        <w:outlineLvl w:val="1"/>
        <w:rPr>
          <w:rFonts w:asciiTheme="minorEastAsia" w:hAnsiTheme="minorEastAsia" w:eastAsiaTheme="minorEastAsia"/>
          <w:b/>
          <w:color w:val="auto"/>
          <w:sz w:val="24"/>
          <w:szCs w:val="18"/>
          <w:highlight w:val="none"/>
        </w:rPr>
      </w:pPr>
      <w:bookmarkStart w:id="31" w:name="_Toc31132"/>
      <w:bookmarkStart w:id="32" w:name="_Toc6749"/>
      <w:bookmarkStart w:id="33" w:name="_Hlk16461016"/>
      <w:r>
        <w:rPr>
          <w:rFonts w:hint="eastAsia" w:asciiTheme="minorEastAsia" w:hAnsiTheme="minorEastAsia" w:eastAsiaTheme="minorEastAsia"/>
          <w:b/>
          <w:color w:val="auto"/>
          <w:sz w:val="24"/>
          <w:szCs w:val="18"/>
          <w:highlight w:val="none"/>
        </w:rPr>
        <w:t>二、项目概况</w:t>
      </w:r>
      <w:bookmarkEnd w:id="31"/>
      <w:bookmarkEnd w:id="32"/>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outlineLvl w:val="1"/>
        <w:rPr>
          <w:rFonts w:asciiTheme="minorEastAsia" w:hAnsiTheme="minorEastAsia" w:eastAsiaTheme="minorEastAsia"/>
          <w:b/>
          <w:color w:val="auto"/>
          <w:sz w:val="24"/>
          <w:szCs w:val="18"/>
          <w:highlight w:val="none"/>
        </w:rPr>
      </w:pPr>
      <w:bookmarkStart w:id="34" w:name="_Toc20204"/>
      <w:bookmarkStart w:id="35" w:name="_Toc31523"/>
      <w:r>
        <w:rPr>
          <w:rFonts w:hint="eastAsia" w:asciiTheme="minorEastAsia" w:hAnsiTheme="minorEastAsia" w:eastAsiaTheme="minorEastAsia"/>
          <w:b/>
          <w:color w:val="auto"/>
          <w:sz w:val="24"/>
          <w:szCs w:val="18"/>
          <w:highlight w:val="none"/>
        </w:rPr>
        <w:t>三、服务需求</w:t>
      </w:r>
      <w:bookmarkEnd w:id="34"/>
      <w:bookmarkEnd w:id="35"/>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outlineLvl w:val="1"/>
        <w:rPr>
          <w:rFonts w:asciiTheme="minorEastAsia" w:hAnsiTheme="minorEastAsia" w:eastAsiaTheme="minorEastAsia"/>
          <w:b/>
          <w:color w:val="auto"/>
          <w:sz w:val="24"/>
          <w:szCs w:val="18"/>
          <w:highlight w:val="none"/>
        </w:rPr>
      </w:pPr>
      <w:bookmarkStart w:id="36" w:name="_Toc3162"/>
      <w:bookmarkStart w:id="37" w:name="_Toc27190"/>
      <w:r>
        <w:rPr>
          <w:rFonts w:hint="eastAsia" w:asciiTheme="minorEastAsia" w:hAnsiTheme="minorEastAsia" w:eastAsiaTheme="minorEastAsia"/>
          <w:b/>
          <w:color w:val="auto"/>
          <w:sz w:val="24"/>
          <w:szCs w:val="18"/>
          <w:highlight w:val="none"/>
        </w:rPr>
        <w:t>四、报价要求</w:t>
      </w:r>
      <w:bookmarkEnd w:id="36"/>
      <w:bookmarkEnd w:id="37"/>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outlineLvl w:val="1"/>
        <w:rPr>
          <w:rFonts w:asciiTheme="minorEastAsia" w:hAnsiTheme="minorEastAsia" w:eastAsiaTheme="minorEastAsia"/>
          <w:b/>
          <w:color w:val="auto"/>
          <w:sz w:val="24"/>
          <w:szCs w:val="18"/>
          <w:highlight w:val="none"/>
        </w:rPr>
      </w:pPr>
      <w:bookmarkStart w:id="38" w:name="_Toc23094"/>
      <w:bookmarkStart w:id="39" w:name="_Toc23663"/>
      <w:r>
        <w:rPr>
          <w:rFonts w:hint="eastAsia" w:asciiTheme="minorEastAsia" w:hAnsiTheme="minorEastAsia" w:eastAsiaTheme="minorEastAsia"/>
          <w:b/>
          <w:color w:val="auto"/>
          <w:sz w:val="24"/>
          <w:szCs w:val="18"/>
          <w:highlight w:val="none"/>
        </w:rPr>
        <w:t>五、其他要求</w:t>
      </w:r>
      <w:bookmarkEnd w:id="38"/>
      <w:bookmarkEnd w:id="39"/>
    </w:p>
    <w:p>
      <w:pPr>
        <w:spacing w:line="360" w:lineRule="auto"/>
        <w:ind w:firstLine="435"/>
        <w:rPr>
          <w:rFonts w:asciiTheme="minorEastAsia" w:hAnsiTheme="minorEastAsia" w:eastAsiaTheme="minorEastAsia"/>
          <w:b/>
          <w:color w:val="auto"/>
          <w:sz w:val="24"/>
          <w:szCs w:val="18"/>
          <w:highlight w:val="none"/>
        </w:rPr>
      </w:pPr>
    </w:p>
    <w:bookmarkEnd w:id="33"/>
    <w:p>
      <w:pPr>
        <w:spacing w:line="360" w:lineRule="auto"/>
        <w:ind w:firstLine="435"/>
        <w:rPr>
          <w:rFonts w:asciiTheme="minorEastAsia" w:hAnsiTheme="minorEastAsia" w:eastAsiaTheme="minorEastAsia"/>
          <w:color w:val="auto"/>
          <w:sz w:val="24"/>
          <w:szCs w:val="18"/>
          <w:highlight w:val="none"/>
        </w:rPr>
      </w:pP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0" w:name="_Toc18944"/>
      <w:r>
        <w:rPr>
          <w:rFonts w:hint="eastAsia" w:asciiTheme="minorEastAsia" w:hAnsiTheme="minorEastAsia" w:eastAsiaTheme="minorEastAsia"/>
          <w:b/>
          <w:color w:val="auto"/>
          <w:sz w:val="28"/>
          <w:highlight w:val="none"/>
        </w:rPr>
        <w:t>第四章  协商程序和评审标准</w:t>
      </w:r>
      <w:bookmarkEnd w:id="40"/>
    </w:p>
    <w:p>
      <w:pPr>
        <w:spacing w:line="360" w:lineRule="auto"/>
        <w:ind w:firstLine="437"/>
        <w:outlineLvl w:val="1"/>
        <w:rPr>
          <w:rFonts w:asciiTheme="minorEastAsia" w:hAnsiTheme="minorEastAsia" w:eastAsiaTheme="minorEastAsia"/>
          <w:b/>
          <w:color w:val="auto"/>
          <w:sz w:val="24"/>
          <w:highlight w:val="none"/>
        </w:rPr>
      </w:pPr>
      <w:bookmarkStart w:id="41" w:name="_Toc5362"/>
      <w:bookmarkStart w:id="42" w:name="_Toc25359"/>
      <w:r>
        <w:rPr>
          <w:rFonts w:hint="eastAsia" w:asciiTheme="minorEastAsia" w:hAnsiTheme="minorEastAsia" w:eastAsiaTheme="minorEastAsia"/>
          <w:b/>
          <w:color w:val="auto"/>
          <w:sz w:val="24"/>
          <w:highlight w:val="none"/>
        </w:rPr>
        <w:t>一、总则</w:t>
      </w:r>
      <w:bookmarkEnd w:id="41"/>
      <w:bookmarkEnd w:id="4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本项目将按照采购文件第二章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3" w:name="_Toc6172"/>
      <w:bookmarkStart w:id="44" w:name="_Toc2322"/>
      <w:r>
        <w:rPr>
          <w:rFonts w:hint="eastAsia" w:asciiTheme="minorEastAsia" w:hAnsiTheme="minorEastAsia" w:eastAsiaTheme="minorEastAsia"/>
          <w:b/>
          <w:color w:val="auto"/>
          <w:sz w:val="24"/>
          <w:highlight w:val="none"/>
        </w:rPr>
        <w:t>二、协商程序</w:t>
      </w:r>
      <w:bookmarkEnd w:id="43"/>
      <w:bookmarkEnd w:id="44"/>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采购小组对通过供应商的响应文件进行评审，以确定其是否满足采购文件的实质性要求。评审表如下：</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553"/>
        <w:gridCol w:w="44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5" w:name="_Hlk60612144"/>
            <w:r>
              <w:rPr>
                <w:rFonts w:hint="eastAsia" w:asciiTheme="majorEastAsia" w:hAnsiTheme="majorEastAsia" w:eastAsiaTheme="majorEastAsia"/>
                <w:b/>
                <w:color w:val="auto"/>
                <w:sz w:val="24"/>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1" w:type="pct"/>
            <w:tcBorders>
              <w:bottom w:val="single" w:color="auto" w:sz="4" w:space="0"/>
            </w:tcBorders>
            <w:vAlign w:val="center"/>
          </w:tcPr>
          <w:p>
            <w:pPr>
              <w:pStyle w:val="26"/>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8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89"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8"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单一来源采购</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1"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89"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单一来源采购文件</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8"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89"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8"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lang w:val="en-US" w:eastAsia="zh-CN"/>
              </w:rPr>
              <w:t>4</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单一来源采购</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6</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报价</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单一来源采购文件供应商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7</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单一来源采购文件</w:t>
            </w:r>
            <w:r>
              <w:rPr>
                <w:rFonts w:hint="eastAsia" w:asciiTheme="minorEastAsia" w:hAnsiTheme="minorEastAsia" w:eastAsiaTheme="minorEastAsia"/>
                <w:color w:val="auto"/>
                <w:sz w:val="24"/>
                <w:szCs w:val="28"/>
                <w:highlight w:val="none"/>
              </w:rPr>
              <w:t>列明的其他要求</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5"/>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评审指标通过标准：</w:t>
      </w:r>
      <w:r>
        <w:rPr>
          <w:rFonts w:hint="eastAsia" w:asciiTheme="minorEastAsia" w:hAnsiTheme="minorEastAsia" w:eastAsiaTheme="minorEastAsia"/>
          <w:color w:val="auto"/>
          <w:sz w:val="24"/>
          <w:highlight w:val="none"/>
        </w:rPr>
        <w:t>供应商必须通过评审表中的全部评审指标。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rPr>
      </w:pPr>
      <w:bookmarkStart w:id="46" w:name="_Toc40732784"/>
      <w:bookmarkStart w:id="47" w:name="_Toc2510"/>
      <w:r>
        <w:rPr>
          <w:rFonts w:hint="eastAsia" w:asciiTheme="minorEastAsia" w:hAnsiTheme="minorEastAsia" w:eastAsiaTheme="minorEastAsia"/>
          <w:b/>
          <w:color w:val="auto"/>
          <w:sz w:val="28"/>
          <w:highlight w:val="none"/>
        </w:rPr>
        <w:t>第五章  政府采购合同</w:t>
      </w:r>
      <w:bookmarkEnd w:id="46"/>
      <w:bookmarkEnd w:id="47"/>
      <w:bookmarkStart w:id="48" w:name="_Hlk11711914"/>
    </w:p>
    <w:bookmarkEnd w:id="48"/>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32"/>
          <w:szCs w:val="32"/>
          <w14:textFill>
            <w14:solidFill>
              <w14:schemeClr w14:val="tx1"/>
            </w14:solidFill>
          </w14:textFill>
        </w:rPr>
      </w:pPr>
      <w:r>
        <w:rPr>
          <w:rFonts w:asciiTheme="minorEastAsia" w:hAnsiTheme="minorEastAsia" w:eastAsiaTheme="minorEastAsia"/>
          <w:b/>
          <w:color w:val="000000" w:themeColor="text1"/>
          <w:sz w:val="32"/>
          <w:szCs w:val="32"/>
          <w14:textFill>
            <w14:solidFill>
              <w14:schemeClr w14:val="tx1"/>
            </w14:solidFill>
          </w14:textFill>
        </w:rPr>
        <w:t>政府采购合同</w:t>
      </w:r>
      <w:r>
        <w:rPr>
          <w:rFonts w:hint="eastAsia" w:asciiTheme="minorEastAsia" w:hAnsiTheme="minorEastAsia" w:eastAsiaTheme="minorEastAsia"/>
          <w:b/>
          <w:color w:val="000000" w:themeColor="text1"/>
          <w:sz w:val="32"/>
          <w:szCs w:val="32"/>
          <w14:textFill>
            <w14:solidFill>
              <w14:schemeClr w14:val="tx1"/>
            </w14:solidFill>
          </w14:textFill>
        </w:rPr>
        <w:t>参考范本</w:t>
      </w:r>
    </w:p>
    <w:p>
      <w:pPr>
        <w:spacing w:line="480" w:lineRule="auto"/>
        <w:jc w:val="center"/>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（服务类）</w:t>
      </w: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360" w:lineRule="auto"/>
        <w:jc w:val="center"/>
        <w:outlineLvl w:val="2"/>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第一部分 合同书</w:t>
      </w: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hint="default"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lang w:val="zh-CN"/>
          <w14:textFill>
            <w14:solidFill>
              <w14:schemeClr w14:val="tx1"/>
            </w14:solidFill>
          </w14:textFill>
        </w:rPr>
        <w:t>以下简称：甲方</w:t>
      </w:r>
      <w:r>
        <w:rPr>
          <w:rFonts w:hint="eastAsia" w:asciiTheme="majorEastAsia" w:hAnsiTheme="majorEastAsia" w:eastAsiaTheme="maj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组织的单一来源采购方式采购活动，经采购小组评定，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lang w:val="zh-CN"/>
          <w14:textFill>
            <w14:solidFill>
              <w14:schemeClr w14:val="tx1"/>
            </w14:solidFill>
          </w14:textFill>
        </w:rPr>
        <w:t>以下简称：乙方</w:t>
      </w:r>
      <w:r>
        <w:rPr>
          <w:rFonts w:hint="eastAsia" w:asciiTheme="minorEastAsia" w:hAnsiTheme="minorEastAsia" w:eastAsiaTheme="minorEastAsia"/>
          <w:color w:val="000000" w:themeColor="text1"/>
          <w:sz w:val="24"/>
          <w14:textFill>
            <w14:solidFill>
              <w14:schemeClr w14:val="tx1"/>
            </w14:solidFill>
          </w14:textFill>
        </w:rPr>
        <w:t>）为本项目成交供应商，现按照采购文件确定的事项签订本合同。</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49" w:name="_Toc24059"/>
      <w:bookmarkStart w:id="50" w:name="_Toc3029"/>
      <w:bookmarkStart w:id="51" w:name="_Toc2232"/>
      <w:r>
        <w:rPr>
          <w:rFonts w:hint="eastAsia" w:asciiTheme="minorEastAsia" w:hAnsiTheme="minorEastAsia" w:eastAsiaTheme="minorEastAsia"/>
          <w:b/>
          <w:bCs/>
          <w:color w:val="000000" w:themeColor="text1"/>
          <w:sz w:val="24"/>
          <w:lang w:val="zh-CN"/>
          <w14:textFill>
            <w14:solidFill>
              <w14:schemeClr w14:val="tx1"/>
            </w14:solidFill>
          </w14:textFill>
        </w:rPr>
        <w:t>1.1</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合同组成部分</w:t>
      </w:r>
      <w:bookmarkEnd w:id="49"/>
      <w:bookmarkEnd w:id="50"/>
      <w:bookmarkEnd w:id="51"/>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1.1.1本合同及其补充合同、变更协议；</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1.1.2成交通知书；</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1.1.3响应文件（含澄清或者说明文件）；</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1.1.4单一来源采购文件（含澄清或者修改文件）；</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1.1.5其他相关采购文件。</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52" w:name="_Toc22185"/>
      <w:bookmarkStart w:id="53" w:name="_Toc6773"/>
      <w:bookmarkStart w:id="54" w:name="_Toc2918"/>
      <w:bookmarkStart w:id="55" w:name="_Toc6311"/>
      <w:bookmarkStart w:id="56" w:name="_Toc18585"/>
      <w:r>
        <w:rPr>
          <w:rFonts w:hint="eastAsia" w:asciiTheme="minorEastAsia" w:hAnsiTheme="minorEastAsia" w:eastAsiaTheme="minorEastAsia"/>
          <w:b/>
          <w:bCs/>
          <w:color w:val="000000" w:themeColor="text1"/>
          <w:sz w:val="24"/>
          <w:lang w:val="zh-CN"/>
          <w14:textFill>
            <w14:solidFill>
              <w14:schemeClr w14:val="tx1"/>
            </w14:solidFill>
          </w14:textFill>
        </w:rPr>
        <w:t xml:space="preserve">1.2 </w:t>
      </w:r>
      <w:bookmarkEnd w:id="52"/>
      <w:bookmarkEnd w:id="53"/>
      <w:bookmarkEnd w:id="54"/>
      <w:bookmarkEnd w:id="55"/>
      <w:bookmarkEnd w:id="56"/>
      <w:r>
        <w:rPr>
          <w:rFonts w:hint="eastAsia" w:asciiTheme="minorEastAsia" w:hAnsiTheme="minorEastAsia" w:eastAsiaTheme="minorEastAsia"/>
          <w:b/>
          <w:bCs/>
          <w:color w:val="000000" w:themeColor="text1"/>
          <w:sz w:val="24"/>
          <w:lang w:val="zh-CN"/>
          <w14:textFill>
            <w14:solidFill>
              <w14:schemeClr w14:val="tx1"/>
            </w14:solidFill>
          </w14:textFill>
        </w:rPr>
        <w:t>服务</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1.2.1服务</w:t>
      </w:r>
      <w:r>
        <w:rPr>
          <w:rFonts w:asciiTheme="minorEastAsia" w:hAnsiTheme="minorEastAsia" w:eastAsiaTheme="minorEastAsia"/>
          <w:color w:val="000000" w:themeColor="text1"/>
          <w:sz w:val="24"/>
          <w14:textFill>
            <w14:solidFill>
              <w14:schemeClr w14:val="tx1"/>
            </w14:solidFill>
          </w14:textFill>
        </w:rPr>
        <w:t>名称：</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1.2.2服务内容</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1.2.3服务质量：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57" w:name="_Toc23292"/>
      <w:bookmarkStart w:id="58" w:name="_Toc21631"/>
      <w:bookmarkStart w:id="59" w:name="_Toc21551"/>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 xml:space="preserve">3 </w:t>
      </w:r>
      <w:r>
        <w:rPr>
          <w:rFonts w:hint="eastAsia" w:asciiTheme="minorEastAsia" w:hAnsiTheme="minorEastAsia" w:eastAsiaTheme="minorEastAsia"/>
          <w:b/>
          <w:bCs/>
          <w:color w:val="000000" w:themeColor="text1"/>
          <w:sz w:val="24"/>
          <w:lang w:val="zh-CN"/>
          <w14:textFill>
            <w14:solidFill>
              <w14:schemeClr w14:val="tx1"/>
            </w14:solidFill>
          </w14:textFill>
        </w:rPr>
        <w:t>价款</w:t>
      </w:r>
      <w:bookmarkEnd w:id="57"/>
      <w:bookmarkEnd w:id="58"/>
      <w:bookmarkEnd w:id="5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本合同总价为</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元</w:t>
      </w:r>
      <w:r>
        <w:rPr>
          <w:rFonts w:hint="eastAsia" w:asciiTheme="minorEastAsia" w:hAnsiTheme="minorEastAsia" w:eastAsiaTheme="minorEastAsia"/>
          <w:color w:val="000000" w:themeColor="text1"/>
          <w:sz w:val="24"/>
          <w14:textFill>
            <w14:solidFill>
              <w14:schemeClr w14:val="tx1"/>
            </w14:solidFill>
          </w14:textFill>
        </w:rPr>
        <w:t>（大写：人民币</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元）</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分项价格：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序号</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分项名称</w:t>
            </w:r>
          </w:p>
        </w:tc>
        <w:tc>
          <w:tcPr>
            <w:tcW w:w="1899" w:type="pct"/>
            <w:gridSpan w:val="2"/>
            <w:vAlign w:val="center"/>
          </w:tcPr>
          <w:p>
            <w:pPr>
              <w:pStyle w:val="38"/>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2</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3</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总价</w:t>
            </w: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0" w:name="_Toc1814"/>
      <w:bookmarkStart w:id="61" w:name="_Toc10340"/>
      <w:bookmarkStart w:id="62" w:name="_Toc22618"/>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4 付款方式和发票开具方式</w:t>
      </w:r>
      <w:bookmarkEnd w:id="60"/>
      <w:bookmarkEnd w:id="61"/>
      <w:bookmarkEnd w:id="6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1.4.1</w:t>
      </w:r>
      <w:r>
        <w:rPr>
          <w:rFonts w:asciiTheme="minorEastAsia" w:hAnsiTheme="minorEastAsia" w:eastAsiaTheme="minorEastAsia"/>
          <w:color w:val="000000" w:themeColor="text1"/>
          <w:sz w:val="24"/>
          <w14:textFill>
            <w14:solidFill>
              <w14:schemeClr w14:val="tx1"/>
            </w14:solidFill>
          </w14:textFill>
        </w:rPr>
        <w:t>付款方式：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1.4.2发票开具方式：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3" w:name="_Toc2846"/>
      <w:bookmarkStart w:id="64" w:name="_Toc32071"/>
      <w:bookmarkStart w:id="65" w:name="_Toc19304"/>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 xml:space="preserve">5 </w:t>
      </w:r>
      <w:r>
        <w:rPr>
          <w:rFonts w:hint="eastAsia" w:asciiTheme="minorEastAsia" w:hAnsiTheme="minorEastAsia" w:eastAsiaTheme="minorEastAsia"/>
          <w:b/>
          <w:bCs/>
          <w:color w:val="000000" w:themeColor="text1"/>
          <w:sz w:val="24"/>
          <w:lang w:val="zh-CN"/>
          <w14:textFill>
            <w14:solidFill>
              <w14:schemeClr w14:val="tx1"/>
            </w14:solidFill>
          </w14:textFill>
        </w:rPr>
        <w:t>服务</w:t>
      </w:r>
      <w:r>
        <w:rPr>
          <w:rFonts w:asciiTheme="minorEastAsia" w:hAnsiTheme="minorEastAsia" w:eastAsiaTheme="minorEastAsia"/>
          <w:b/>
          <w:bCs/>
          <w:color w:val="000000" w:themeColor="text1"/>
          <w:sz w:val="24"/>
          <w:lang w:val="zh-CN"/>
          <w14:textFill>
            <w14:solidFill>
              <w14:schemeClr w14:val="tx1"/>
            </w14:solidFill>
          </w14:textFill>
        </w:rPr>
        <w:t>期限</w:t>
      </w:r>
      <w:r>
        <w:rPr>
          <w:rFonts w:hint="eastAsia" w:asciiTheme="minorEastAsia" w:hAnsiTheme="minorEastAsia" w:eastAsiaTheme="minorEastAsia"/>
          <w:b/>
          <w:bCs/>
          <w:color w:val="000000" w:themeColor="text1"/>
          <w:sz w:val="24"/>
          <w:lang w:val="zh-CN"/>
          <w14:textFill>
            <w14:solidFill>
              <w14:schemeClr w14:val="tx1"/>
            </w14:solidFill>
          </w14:textFill>
        </w:rPr>
        <w:t>、地点和方式</w:t>
      </w:r>
      <w:bookmarkEnd w:id="63"/>
      <w:bookmarkEnd w:id="64"/>
      <w:bookmarkEnd w:id="65"/>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1.5.1服务期限</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1.5.2服务地点</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1.5.3服务方式：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6" w:name="_Toc21423"/>
      <w:bookmarkStart w:id="67" w:name="_Toc19554"/>
      <w:bookmarkStart w:id="68" w:name="_Toc27250"/>
      <w:r>
        <w:rPr>
          <w:rFonts w:hint="eastAsia" w:asciiTheme="minorEastAsia" w:hAnsiTheme="minorEastAsia" w:eastAsiaTheme="minorEastAsia"/>
          <w:b/>
          <w:bCs/>
          <w:color w:val="000000" w:themeColor="text1"/>
          <w:sz w:val="24"/>
          <w:lang w:val="zh-CN"/>
          <w14:textFill>
            <w14:solidFill>
              <w14:schemeClr w14:val="tx1"/>
            </w14:solidFill>
          </w14:textFill>
        </w:rPr>
        <w:t>1.6 违约责任</w:t>
      </w:r>
      <w:bookmarkEnd w:id="66"/>
      <w:bookmarkEnd w:id="67"/>
      <w:bookmarkEnd w:id="6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1.6.1</w:t>
      </w:r>
      <w:r>
        <w:rPr>
          <w:rFonts w:asciiTheme="minorEastAsia" w:hAnsiTheme="minorEastAsia" w:eastAsiaTheme="minorEastAsia"/>
          <w:color w:val="000000" w:themeColor="text1"/>
          <w:sz w:val="24"/>
          <w14:textFill>
            <w14:solidFill>
              <w14:schemeClr w14:val="tx1"/>
            </w14:solidFill>
          </w14:textFill>
        </w:rPr>
        <w:t>除不可抗力外，如果乙方没有按照本合同约定的期限</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地点和方式</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，那么甲方可要求乙方支付违约金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违约金按每迟延</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一日的应提供而未</w:t>
      </w:r>
      <w:r>
        <w:rPr>
          <w:rFonts w:hint="eastAsia" w:asciiTheme="minorEastAsia" w:hAnsiTheme="minorEastAsia" w:eastAsiaTheme="minorEastAsia"/>
          <w:color w:val="000000" w:themeColor="text1"/>
          <w:sz w:val="24"/>
          <w14:textFill>
            <w14:solidFill>
              <w14:schemeClr w14:val="tx1"/>
            </w14:solidFill>
          </w14:textFill>
        </w:rPr>
        <w:t>提供</w:t>
      </w:r>
      <w:r>
        <w:rPr>
          <w:rFonts w:asciiTheme="minorEastAsia" w:hAnsiTheme="minorEastAsia" w:eastAsiaTheme="minorEastAsia"/>
          <w:color w:val="000000" w:themeColor="text1"/>
          <w:sz w:val="24"/>
          <w14:textFill>
            <w14:solidFill>
              <w14:schemeClr w14:val="tx1"/>
            </w14:solidFill>
          </w14:textFill>
        </w:rPr>
        <w:t>服务价格的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%计算</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最高限额为</w:t>
      </w:r>
      <w:r>
        <w:rPr>
          <w:rFonts w:hint="eastAsia" w:asciiTheme="minorEastAsia" w:hAnsiTheme="minorEastAsia" w:eastAsiaTheme="minorEastAsia"/>
          <w:color w:val="000000" w:themeColor="text1"/>
          <w:sz w:val="24"/>
          <w14:textFill>
            <w14:solidFill>
              <w14:schemeClr w14:val="tx1"/>
            </w14:solidFill>
          </w14:textFill>
        </w:rPr>
        <w:t>本</w:t>
      </w:r>
      <w:r>
        <w:rPr>
          <w:rFonts w:asciiTheme="minorEastAsia" w:hAnsiTheme="minorEastAsia" w:eastAsiaTheme="minorEastAsia"/>
          <w:color w:val="000000" w:themeColor="text1"/>
          <w:sz w:val="24"/>
          <w14:textFill>
            <w14:solidFill>
              <w14:schemeClr w14:val="tx1"/>
            </w14:solidFill>
          </w14:textFill>
        </w:rPr>
        <w:t>合同总价的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迟延</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的违约金计算数额达到前述最高限额之日起</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甲方有权在要求乙方支付违约金的同时</w:t>
      </w:r>
      <w:r>
        <w:rPr>
          <w:rFonts w:hint="eastAsia" w:asciiTheme="minorEastAsia" w:hAnsiTheme="minorEastAsia" w:eastAsiaTheme="minorEastAsia"/>
          <w:color w:val="000000" w:themeColor="text1"/>
          <w:sz w:val="24"/>
          <w14:textFill>
            <w14:solidFill>
              <w14:schemeClr w14:val="tx1"/>
            </w14:solidFill>
          </w14:textFill>
        </w:rPr>
        <w:t>，书面通知乙方</w:t>
      </w:r>
      <w:r>
        <w:rPr>
          <w:rFonts w:asciiTheme="minorEastAsia" w:hAnsiTheme="minorEastAsia" w:eastAsiaTheme="minorEastAsia"/>
          <w:color w:val="000000" w:themeColor="text1"/>
          <w:sz w:val="24"/>
          <w14:textFill>
            <w14:solidFill>
              <w14:schemeClr w14:val="tx1"/>
            </w14:solidFill>
          </w14:textFill>
        </w:rPr>
        <w:t>解除本合同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1.6.2</w:t>
      </w:r>
      <w:r>
        <w:rPr>
          <w:rFonts w:asciiTheme="minorEastAsia" w:hAnsiTheme="minorEastAsia" w:eastAsiaTheme="minorEastAsia"/>
          <w:color w:val="000000" w:themeColor="text1"/>
          <w:sz w:val="24"/>
          <w14:textFill>
            <w14:solidFill>
              <w14:schemeClr w14:val="tx1"/>
            </w14:solidFill>
          </w14:textFill>
        </w:rPr>
        <w:t>除不可抗力外，如果甲方没有按照本合同约定的付款方式付款，那么乙方可要求甲方支付违约金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违约金按每迟延</w:t>
      </w:r>
      <w:r>
        <w:rPr>
          <w:rFonts w:hint="eastAsia" w:asciiTheme="minorEastAsia" w:hAnsiTheme="minorEastAsia" w:eastAsiaTheme="minorEastAsia"/>
          <w:color w:val="000000" w:themeColor="text1"/>
          <w:sz w:val="24"/>
          <w14:textFill>
            <w14:solidFill>
              <w14:schemeClr w14:val="tx1"/>
            </w14:solidFill>
          </w14:textFill>
        </w:rPr>
        <w:t>付款</w:t>
      </w:r>
      <w:r>
        <w:rPr>
          <w:rFonts w:asciiTheme="minorEastAsia" w:hAnsiTheme="minorEastAsia" w:eastAsiaTheme="minorEastAsia"/>
          <w:color w:val="000000" w:themeColor="text1"/>
          <w:sz w:val="24"/>
          <w14:textFill>
            <w14:solidFill>
              <w14:schemeClr w14:val="tx1"/>
            </w14:solidFill>
          </w14:textFill>
        </w:rPr>
        <w:t>一日的应付而未付款的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%计算</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最高限额为</w:t>
      </w:r>
      <w:r>
        <w:rPr>
          <w:rFonts w:hint="eastAsia" w:asciiTheme="minorEastAsia" w:hAnsiTheme="minorEastAsia" w:eastAsiaTheme="minorEastAsia"/>
          <w:color w:val="000000" w:themeColor="text1"/>
          <w:sz w:val="24"/>
          <w14:textFill>
            <w14:solidFill>
              <w14:schemeClr w14:val="tx1"/>
            </w14:solidFill>
          </w14:textFill>
        </w:rPr>
        <w:t>本</w:t>
      </w:r>
      <w:r>
        <w:rPr>
          <w:rFonts w:asciiTheme="minorEastAsia" w:hAnsiTheme="minorEastAsia" w:eastAsiaTheme="minorEastAsia"/>
          <w:color w:val="000000" w:themeColor="text1"/>
          <w:sz w:val="24"/>
          <w14:textFill>
            <w14:solidFill>
              <w14:schemeClr w14:val="tx1"/>
            </w14:solidFill>
          </w14:textFill>
        </w:rPr>
        <w:t>合同总价的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迟延</w:t>
      </w:r>
      <w:r>
        <w:rPr>
          <w:rFonts w:hint="eastAsia" w:asciiTheme="minorEastAsia" w:hAnsiTheme="minorEastAsia" w:eastAsiaTheme="minorEastAsia"/>
          <w:color w:val="000000" w:themeColor="text1"/>
          <w:sz w:val="24"/>
          <w14:textFill>
            <w14:solidFill>
              <w14:schemeClr w14:val="tx1"/>
            </w14:solidFill>
          </w14:textFill>
        </w:rPr>
        <w:t>付款</w:t>
      </w:r>
      <w:r>
        <w:rPr>
          <w:rFonts w:asciiTheme="minorEastAsia" w:hAnsiTheme="minorEastAsia" w:eastAsiaTheme="minorEastAsia"/>
          <w:color w:val="000000" w:themeColor="text1"/>
          <w:sz w:val="24"/>
          <w14:textFill>
            <w14:solidFill>
              <w14:schemeClr w14:val="tx1"/>
            </w14:solidFill>
          </w14:textFill>
        </w:rPr>
        <w:t>的违约金计算数额达到前述最高限额之日起</w:t>
      </w:r>
      <w:r>
        <w:rPr>
          <w:rFonts w:hint="eastAsia" w:asciiTheme="minorEastAsia" w:hAnsiTheme="minorEastAsia" w:eastAsiaTheme="minorEastAsia"/>
          <w:color w:val="000000" w:themeColor="text1"/>
          <w:sz w:val="24"/>
          <w14:textFill>
            <w14:solidFill>
              <w14:schemeClr w14:val="tx1"/>
            </w14:solidFill>
          </w14:textFill>
        </w:rPr>
        <w:t>，乙</w:t>
      </w:r>
      <w:r>
        <w:rPr>
          <w:rFonts w:asciiTheme="minorEastAsia" w:hAnsiTheme="minorEastAsia" w:eastAsiaTheme="minorEastAsia"/>
          <w:color w:val="000000" w:themeColor="text1"/>
          <w:sz w:val="24"/>
          <w14:textFill>
            <w14:solidFill>
              <w14:schemeClr w14:val="tx1"/>
            </w14:solidFill>
          </w14:textFill>
        </w:rPr>
        <w:t>方有权在要求甲方支付违约金的同时</w:t>
      </w:r>
      <w:r>
        <w:rPr>
          <w:rFonts w:hint="eastAsia" w:asciiTheme="minorEastAsia" w:hAnsiTheme="minorEastAsia" w:eastAsiaTheme="minorEastAsia"/>
          <w:color w:val="000000" w:themeColor="text1"/>
          <w:sz w:val="24"/>
          <w14:textFill>
            <w14:solidFill>
              <w14:schemeClr w14:val="tx1"/>
            </w14:solidFill>
          </w14:textFill>
        </w:rPr>
        <w:t>，书面通知甲方</w:t>
      </w:r>
      <w:r>
        <w:rPr>
          <w:rFonts w:asciiTheme="minorEastAsia" w:hAnsiTheme="minorEastAsia" w:eastAsiaTheme="minorEastAsia"/>
          <w:color w:val="000000" w:themeColor="text1"/>
          <w:sz w:val="24"/>
          <w14:textFill>
            <w14:solidFill>
              <w14:schemeClr w14:val="tx1"/>
            </w14:solidFill>
          </w14:textFill>
        </w:rPr>
        <w:t>解除本合同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1.6.7因甲方未按合同约定支付价款、未按合同约定受领标的物、擅自解除合同</w:t>
      </w:r>
      <w:r>
        <w:rPr>
          <w:rFonts w:hint="eastAsia" w:asciiTheme="majorEastAsia" w:hAnsiTheme="majorEastAsia" w:eastAsiaTheme="majorEastAsia"/>
          <w:color w:val="000000" w:themeColor="text1"/>
          <w:sz w:val="24"/>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asciiTheme="minorEastAsia" w:hAnsiTheme="minorEastAsia" w:eastAsiaTheme="minorEastAsia"/>
          <w:color w:val="000000" w:themeColor="text1"/>
          <w:sz w:val="24"/>
          <w14:textFill>
            <w14:solidFill>
              <w14:schemeClr w14:val="tx1"/>
            </w14:solidFill>
          </w14:textFill>
        </w:rPr>
        <w:t>导致乙方遭受的直接损失，乙方可向甲方申请赔偿，赔偿金额由双方协商一致；针对因政策变化等原因不能签订合同或解除合同时，造成乙方合法利益受损的情形，可以给予乙方合理补偿，补偿金额不得超过乙方的直接损失。</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9" w:name="_Toc15583"/>
      <w:bookmarkStart w:id="70" w:name="_Toc28375"/>
      <w:bookmarkStart w:id="71" w:name="_Toc16021"/>
      <w:r>
        <w:rPr>
          <w:rFonts w:hint="eastAsia" w:asciiTheme="minorEastAsia" w:hAnsiTheme="minorEastAsia" w:eastAsiaTheme="minorEastAsia"/>
          <w:b/>
          <w:bCs/>
          <w:color w:val="000000" w:themeColor="text1"/>
          <w:sz w:val="24"/>
          <w:lang w:val="zh-CN"/>
          <w14:textFill>
            <w14:solidFill>
              <w14:schemeClr w14:val="tx1"/>
            </w14:solidFill>
          </w14:textFill>
        </w:rPr>
        <w:t>1.7</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w:t>
      </w:r>
      <w:r>
        <w:rPr>
          <w:rFonts w:asciiTheme="minorEastAsia" w:hAnsiTheme="minorEastAsia" w:eastAsiaTheme="minorEastAsia"/>
          <w:b/>
          <w:bCs/>
          <w:color w:val="000000" w:themeColor="text1"/>
          <w:sz w:val="24"/>
          <w:lang w:val="zh-CN"/>
          <w14:textFill>
            <w14:solidFill>
              <w14:schemeClr w14:val="tx1"/>
            </w14:solidFill>
          </w14:textFill>
        </w:rPr>
        <w:t>争议的解决</w:t>
      </w:r>
      <w:bookmarkEnd w:id="69"/>
      <w:bookmarkEnd w:id="70"/>
      <w:bookmarkEnd w:id="7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本合</w:t>
      </w:r>
      <w:r>
        <w:rPr>
          <w:rFonts w:asciiTheme="minorEastAsia" w:hAnsiTheme="minorEastAsia" w:eastAsiaTheme="minorEastAsia"/>
          <w:color w:val="000000" w:themeColor="text1"/>
          <w:sz w:val="24"/>
          <w14:textFill>
            <w14:solidFill>
              <w14:schemeClr w14:val="tx1"/>
            </w14:solidFill>
          </w14:textFill>
        </w:rPr>
        <w:t>同履行过程中发生的任何争议，双方当事人均可</w:t>
      </w:r>
      <w:r>
        <w:rPr>
          <w:rFonts w:hint="eastAsia" w:asciiTheme="minorEastAsia" w:hAnsiTheme="minorEastAsia" w:eastAsiaTheme="minorEastAsia"/>
          <w:color w:val="000000" w:themeColor="text1"/>
          <w:sz w:val="24"/>
          <w14:textFill>
            <w14:solidFill>
              <w14:schemeClr w14:val="tx1"/>
            </w14:solidFill>
          </w14:textFill>
        </w:rPr>
        <w:t>通过和解或者调解解决；不愿和解、调解或者和解、调解不成的，可以选择下列第</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种方式解决：</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1.7.1将争议提交</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仲裁委员会依申请仲裁时其现行有效的仲裁规则裁决；</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1.7.2向</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人民法院起诉。</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72" w:name="_Toc11173"/>
      <w:bookmarkStart w:id="73" w:name="_Toc15322"/>
      <w:bookmarkStart w:id="74" w:name="_Toc7245"/>
      <w:r>
        <w:rPr>
          <w:rFonts w:hint="eastAsia" w:asciiTheme="minorEastAsia" w:hAnsiTheme="minorEastAsia" w:eastAsiaTheme="minorEastAsia"/>
          <w:b/>
          <w:bCs/>
          <w:color w:val="000000" w:themeColor="text1"/>
          <w:sz w:val="24"/>
          <w:lang w:val="zh-CN"/>
          <w14:textFill>
            <w14:solidFill>
              <w14:schemeClr w14:val="tx1"/>
            </w14:solidFill>
          </w14:textFill>
        </w:rPr>
        <w:t>1.8</w:t>
      </w:r>
      <w:r>
        <w:rPr>
          <w:rFonts w:asciiTheme="minorEastAsia" w:hAnsiTheme="minorEastAsia" w:eastAsiaTheme="minorEastAsia"/>
          <w:b/>
          <w:bCs/>
          <w:color w:val="000000" w:themeColor="text1"/>
          <w:sz w:val="24"/>
          <w:lang w:val="zh-CN"/>
          <w14:textFill>
            <w14:solidFill>
              <w14:schemeClr w14:val="tx1"/>
            </w14:solidFill>
          </w14:textFill>
        </w:rPr>
        <w:t xml:space="preserve"> 合同生效</w:t>
      </w:r>
      <w:bookmarkEnd w:id="72"/>
      <w:bookmarkEnd w:id="73"/>
      <w:bookmarkEnd w:id="74"/>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本合同自</w:t>
      </w:r>
      <w:r>
        <w:rPr>
          <w:rFonts w:hint="eastAsia" w:asciiTheme="minorEastAsia" w:hAnsiTheme="minorEastAsia" w:eastAsiaTheme="minorEastAsia"/>
          <w:color w:val="000000" w:themeColor="text1"/>
          <w:sz w:val="24"/>
          <w14:textFill>
            <w14:solidFill>
              <w14:schemeClr w14:val="tx1"/>
            </w14:solidFill>
          </w14:textFill>
        </w:rPr>
        <w:t>双方当事人盖章时</w:t>
      </w:r>
      <w:r>
        <w:rPr>
          <w:rFonts w:asciiTheme="minorEastAsia" w:hAnsiTheme="minorEastAsia" w:eastAsiaTheme="minorEastAsia"/>
          <w:color w:val="000000" w:themeColor="text1"/>
          <w:sz w:val="24"/>
          <w14:textFill>
            <w14:solidFill>
              <w14:schemeClr w14:val="tx1"/>
            </w14:solidFill>
          </w14:textFill>
        </w:rPr>
        <w:t>生效。</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bCs/>
          <w:color w:val="000000" w:themeColor="text1"/>
          <w:sz w:val="24"/>
          <w:lang w:val="zh-CN"/>
          <w14:textFill>
            <w14:solidFill>
              <w14:schemeClr w14:val="tx1"/>
            </w14:solidFill>
          </w14:textFill>
        </w:rPr>
      </w:pPr>
      <w:r>
        <w:rPr>
          <w:rFonts w:hint="eastAsia" w:asciiTheme="minorEastAsia" w:hAnsiTheme="minorEastAsia" w:eastAsiaTheme="minorEastAsia"/>
          <w:bCs/>
          <w:color w:val="000000" w:themeColor="text1"/>
          <w:sz w:val="24"/>
          <w:lang w:val="zh-CN"/>
          <w14:textFill>
            <w14:solidFill>
              <w14:schemeClr w14:val="tx1"/>
            </w14:solidFill>
          </w14:textFill>
        </w:rPr>
        <w:t xml:space="preserve">甲 </w:t>
      </w:r>
      <w:r>
        <w:rPr>
          <w:rFonts w:asciiTheme="minorEastAsia" w:hAnsiTheme="minorEastAsia" w:eastAsiaTheme="minorEastAsia"/>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Cs/>
          <w:color w:val="000000" w:themeColor="text1"/>
          <w:sz w:val="24"/>
          <w:lang w:val="zh-CN"/>
          <w14:textFill>
            <w14:solidFill>
              <w14:schemeClr w14:val="tx1"/>
            </w14:solidFill>
          </w14:textFill>
        </w:rPr>
        <w:t>方：</w:t>
      </w:r>
      <w:r>
        <w:rPr>
          <w:rFonts w:hint="eastAsia" w:asciiTheme="minorEastAsia" w:hAnsiTheme="minorEastAsia" w:eastAsiaTheme="minorEastAsia"/>
          <w:bCs/>
          <w:color w:val="000000" w:themeColor="text1"/>
          <w:sz w:val="24"/>
          <w:u w:val="single"/>
          <w:lang w:val="zh-CN"/>
          <w14:textFill>
            <w14:solidFill>
              <w14:schemeClr w14:val="tx1"/>
            </w14:solidFill>
          </w14:textFill>
        </w:rPr>
        <w:t xml:space="preserve">    （单位盖章）     </w:t>
      </w:r>
      <w:r>
        <w:rPr>
          <w:rFonts w:hint="eastAsia" w:asciiTheme="minorEastAsia" w:hAnsiTheme="minorEastAsia" w:eastAsiaTheme="minorEastAsia"/>
          <w:bCs/>
          <w:color w:val="000000" w:themeColor="text1"/>
          <w:sz w:val="24"/>
          <w:lang w:val="zh-CN"/>
          <w14:textFill>
            <w14:solidFill>
              <w14:schemeClr w14:val="tx1"/>
            </w14:solidFill>
          </w14:textFill>
        </w:rPr>
        <w:t xml:space="preserve">          乙方：</w:t>
      </w:r>
      <w:r>
        <w:rPr>
          <w:rFonts w:hint="eastAsia" w:asciiTheme="minorEastAsia" w:hAnsiTheme="minorEastAsia" w:eastAsiaTheme="minorEastAsia"/>
          <w:bCs/>
          <w:color w:val="000000" w:themeColor="text1"/>
          <w:sz w:val="24"/>
          <w:u w:val="single"/>
          <w:lang w:val="zh-CN"/>
          <w14:textFill>
            <w14:solidFill>
              <w14:schemeClr w14:val="tx1"/>
            </w14:solidFill>
          </w14:textFill>
        </w:rPr>
        <w:t xml:space="preserve">    （单位盖章）     </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 xml:space="preserve">法定代表人                             </w:t>
      </w:r>
      <w:r>
        <w:rPr>
          <w:rFonts w:asciiTheme="minorEastAsia" w:hAnsiTheme="minorEastAsia" w:eastAsiaTheme="minorEastAsia"/>
          <w:color w:val="000000" w:themeColor="text1"/>
          <w:sz w:val="24"/>
          <w:lang w:val="zh-CN"/>
          <w14:textFill>
            <w14:solidFill>
              <w14:schemeClr w14:val="tx1"/>
            </w14:solidFill>
          </w14:textFill>
        </w:rPr>
        <w:t xml:space="preserve">  </w:t>
      </w:r>
      <w:r>
        <w:rPr>
          <w:rFonts w:hint="eastAsia" w:asciiTheme="minorEastAsia" w:hAnsiTheme="minorEastAsia" w:eastAsiaTheme="minorEastAsia"/>
          <w:color w:val="000000" w:themeColor="text1"/>
          <w:sz w:val="24"/>
          <w:lang w:val="zh-CN"/>
          <w14:textFill>
            <w14:solidFill>
              <w14:schemeClr w14:val="tx1"/>
            </w14:solidFill>
          </w14:textFill>
        </w:rPr>
        <w:t>法定代表人</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或授权代表（签字）：                      或授权代表（签字）：</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bookmarkStart w:id="75" w:name="_Toc331685783"/>
      <w:r>
        <w:rPr>
          <w:rFonts w:hint="eastAsia" w:asciiTheme="minorEastAsia" w:hAnsiTheme="minorEastAsia" w:eastAsiaTheme="minorEastAsia"/>
          <w:bCs/>
          <w:color w:val="000000" w:themeColor="text1"/>
          <w:sz w:val="24"/>
          <w14:textFill>
            <w14:solidFill>
              <w14:schemeClr w14:val="tx1"/>
            </w14:solidFill>
          </w14:textFill>
        </w:rPr>
        <w:t>时间：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月</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日               时间：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月</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日</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乙方账户信息</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户名：</w:t>
      </w:r>
      <w:r>
        <w:rPr>
          <w:rFonts w:asciiTheme="minorEastAsia" w:hAnsiTheme="minorEastAsia" w:eastAsiaTheme="minorEastAsia"/>
          <w:bCs/>
          <w:color w:val="000000" w:themeColor="text1"/>
          <w:sz w:val="24"/>
          <w:u w:val="single"/>
          <w14:textFill>
            <w14:solidFill>
              <w14:schemeClr w14:val="tx1"/>
            </w14:solidFill>
          </w14:textFill>
        </w:rPr>
        <w:t xml:space="preserve">            </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账号：</w:t>
      </w:r>
      <w:r>
        <w:rPr>
          <w:rFonts w:asciiTheme="minorEastAsia" w:hAnsiTheme="minorEastAsia" w:eastAsiaTheme="minorEastAsia"/>
          <w:bCs/>
          <w:color w:val="000000" w:themeColor="text1"/>
          <w:sz w:val="24"/>
          <w:u w:val="single"/>
          <w14:textFill>
            <w14:solidFill>
              <w14:schemeClr w14:val="tx1"/>
            </w14:solidFill>
          </w14:textFill>
        </w:rPr>
        <w:t xml:space="preserve">            </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开户银行：</w:t>
      </w:r>
      <w:r>
        <w:rPr>
          <w:rFonts w:asciiTheme="minorEastAsia" w:hAnsiTheme="minorEastAsia" w:eastAsiaTheme="minorEastAsia"/>
          <w:bCs/>
          <w:color w:val="000000" w:themeColor="text1"/>
          <w:sz w:val="24"/>
          <w:u w:val="single"/>
          <w14:textFill>
            <w14:solidFill>
              <w14:schemeClr w14:val="tx1"/>
            </w14:solidFill>
          </w14:textFill>
        </w:rPr>
        <w:t xml:space="preserve">        </w:t>
      </w:r>
    </w:p>
    <w:p>
      <w:pPr>
        <w:widowControl/>
        <w:jc w:val="left"/>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br w:type="page"/>
      </w:r>
    </w:p>
    <w:p>
      <w:pPr>
        <w:spacing w:line="360" w:lineRule="auto"/>
        <w:jc w:val="center"/>
        <w:outlineLvl w:val="2"/>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75"/>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76" w:name="_Ref467379225"/>
      <w:bookmarkStart w:id="77" w:name="_Ref467378499"/>
      <w:bookmarkStart w:id="78" w:name="_Toc16917"/>
      <w:bookmarkStart w:id="79" w:name="_Ref467379205"/>
      <w:bookmarkStart w:id="80" w:name="_Ref467379101"/>
      <w:bookmarkStart w:id="81" w:name="_Toc279701240"/>
      <w:bookmarkStart w:id="82" w:name="_Ref467379109"/>
      <w:bookmarkStart w:id="83" w:name="_Ref467379214"/>
      <w:bookmarkStart w:id="84" w:name="_Ref467378404"/>
      <w:bookmarkStart w:id="85" w:name="_Ref467378463"/>
      <w:bookmarkStart w:id="86" w:name="_Ref467379094"/>
      <w:bookmarkStart w:id="87" w:name="_Ref467379195"/>
      <w:bookmarkStart w:id="88" w:name="_Toc259093669"/>
      <w:bookmarkStart w:id="89" w:name="_Toc19614"/>
      <w:bookmarkStart w:id="90" w:name="_Toc28763"/>
      <w:bookmarkStart w:id="91" w:name="_Toc487900349"/>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 xml:space="preserve"> 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本合同中的下列</w:t>
      </w:r>
      <w:r>
        <w:rPr>
          <w:rFonts w:hint="eastAsia" w:asciiTheme="minorEastAsia" w:hAnsiTheme="minorEastAsia" w:eastAsiaTheme="minorEastAsia"/>
          <w:color w:val="000000" w:themeColor="text1"/>
          <w:sz w:val="24"/>
          <w14:textFill>
            <w14:solidFill>
              <w14:schemeClr w14:val="tx1"/>
            </w14:solidFill>
          </w14:textFill>
        </w:rPr>
        <w:t>词</w:t>
      </w:r>
      <w:r>
        <w:rPr>
          <w:rFonts w:asciiTheme="minorEastAsia" w:hAnsiTheme="minorEastAsia" w:eastAsiaTheme="minorEastAsia"/>
          <w:color w:val="000000" w:themeColor="text1"/>
          <w:sz w:val="24"/>
          <w14:textFill>
            <w14:solidFill>
              <w14:schemeClr w14:val="tx1"/>
            </w14:solidFill>
          </w14:textFill>
        </w:rPr>
        <w:t>语应</w:t>
      </w:r>
      <w:r>
        <w:rPr>
          <w:rFonts w:hint="eastAsia" w:asciiTheme="minorEastAsia" w:hAnsiTheme="minorEastAsia" w:eastAsiaTheme="minorEastAsia"/>
          <w:color w:val="000000" w:themeColor="text1"/>
          <w:sz w:val="24"/>
          <w14:textFill>
            <w14:solidFill>
              <w14:schemeClr w14:val="tx1"/>
            </w14:solidFill>
          </w14:textFill>
        </w:rPr>
        <w:t>按以下内容进行</w:t>
      </w:r>
      <w:r>
        <w:rPr>
          <w:rFonts w:asciiTheme="minorEastAsia" w:hAnsiTheme="minorEastAsia" w:eastAsiaTheme="minorEastAsia"/>
          <w:color w:val="000000" w:themeColor="text1"/>
          <w:sz w:val="24"/>
          <w14:textFill>
            <w14:solidFill>
              <w14:schemeClr w14:val="tx1"/>
            </w14:solidFill>
          </w14:textFill>
        </w:rPr>
        <w:t>解释：</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.1</w:t>
      </w:r>
      <w:r>
        <w:rPr>
          <w:rFonts w:asciiTheme="minorEastAsia" w:hAnsiTheme="minorEastAsia" w:eastAsiaTheme="minorEastAsia"/>
          <w:color w:val="000000" w:themeColor="text1"/>
          <w:sz w:val="24"/>
          <w14:textFill>
            <w14:solidFill>
              <w14:schemeClr w14:val="tx1"/>
            </w14:solidFill>
          </w14:textFill>
        </w:rPr>
        <w:t>“合同”系指采购人和成交供应商签订的载明双方当事人所达成的协议，并包括所有的附件、附录和构成合同的其他文件。</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1.2“合同价”系指根据合同约定，成交供应商在完全履行合同义务后</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采购人应支付给成交供应商的价格。</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1.3“</w:t>
      </w:r>
      <w:r>
        <w:rPr>
          <w:rFonts w:hint="eastAsia" w:asciiTheme="minorEastAsia" w:hAnsiTheme="minorEastAsia" w:eastAsiaTheme="minorEastAsia"/>
          <w:color w:val="000000" w:themeColor="text1"/>
          <w:sz w:val="24"/>
          <w14:textFill>
            <w14:solidFill>
              <w14:schemeClr w14:val="tx1"/>
            </w14:solidFill>
          </w14:textFill>
        </w:rPr>
        <w:t>服务</w:t>
      </w:r>
      <w:r>
        <w:rPr>
          <w:rFonts w:asciiTheme="minorEastAsia" w:hAnsiTheme="minorEastAsia" w:eastAsiaTheme="minorEastAsia"/>
          <w:color w:val="000000" w:themeColor="text1"/>
          <w:sz w:val="24"/>
          <w14:textFill>
            <w14:solidFill>
              <w14:schemeClr w14:val="tx1"/>
            </w14:solidFill>
          </w14:textFill>
        </w:rPr>
        <w:t>”系指</w:t>
      </w:r>
      <w:r>
        <w:rPr>
          <w:rFonts w:hint="eastAsia" w:asciiTheme="minorEastAsia" w:hAnsiTheme="minorEastAsia" w:eastAsiaTheme="minorEastAsia"/>
          <w:color w:val="000000" w:themeColor="text1"/>
          <w:sz w:val="24"/>
          <w14:textFill>
            <w14:solidFill>
              <w14:schemeClr w14:val="tx1"/>
            </w14:solidFill>
          </w14:textFill>
        </w:rPr>
        <w:t>成交供应商</w:t>
      </w:r>
      <w:r>
        <w:rPr>
          <w:rFonts w:asciiTheme="minorEastAsia" w:hAnsiTheme="minorEastAsia" w:eastAsiaTheme="minorEastAsia"/>
          <w:color w:val="000000" w:themeColor="text1"/>
          <w:sz w:val="24"/>
          <w14:textFill>
            <w14:solidFill>
              <w14:schemeClr w14:val="tx1"/>
            </w14:solidFill>
          </w14:textFill>
        </w:rPr>
        <w:t>根据合同约定应向采购人</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的</w:t>
      </w:r>
      <w:r>
        <w:rPr>
          <w:rFonts w:hint="eastAsia" w:asciiTheme="minorEastAsia" w:hAnsiTheme="minorEastAsia" w:eastAsiaTheme="minorEastAsia"/>
          <w:color w:val="000000" w:themeColor="text1"/>
          <w:sz w:val="24"/>
          <w14:textFill>
            <w14:solidFill>
              <w14:schemeClr w14:val="tx1"/>
            </w14:solidFill>
          </w14:textFill>
        </w:rPr>
        <w:t>除货物和工程以外的其他政府采购对象，包括采购人自身需要的服务和向社会公众提供的公共服务。</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92" w:name="_Ref467378840"/>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4</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甲方</w:t>
      </w:r>
      <w:r>
        <w:rPr>
          <w:rFonts w:asciiTheme="minorEastAsia" w:hAnsiTheme="minorEastAsia" w:eastAsiaTheme="minorEastAsia"/>
          <w:color w:val="000000" w:themeColor="text1"/>
          <w:sz w:val="24"/>
          <w14:textFill>
            <w14:solidFill>
              <w14:schemeClr w14:val="tx1"/>
            </w14:solidFill>
          </w14:textFill>
        </w:rPr>
        <w:t>”系指与</w:t>
      </w:r>
      <w:r>
        <w:rPr>
          <w:rFonts w:hint="eastAsia" w:asciiTheme="minorEastAsia" w:hAnsiTheme="minorEastAsia" w:eastAsiaTheme="minorEastAsia"/>
          <w:color w:val="000000" w:themeColor="text1"/>
          <w:sz w:val="24"/>
          <w14:textFill>
            <w14:solidFill>
              <w14:schemeClr w14:val="tx1"/>
            </w14:solidFill>
          </w14:textFill>
        </w:rPr>
        <w:t>成交供应商</w:t>
      </w:r>
      <w:r>
        <w:rPr>
          <w:rFonts w:asciiTheme="minorEastAsia" w:hAnsiTheme="minorEastAsia" w:eastAsiaTheme="minorEastAsia"/>
          <w:color w:val="000000" w:themeColor="text1"/>
          <w:sz w:val="24"/>
          <w14:textFill>
            <w14:solidFill>
              <w14:schemeClr w14:val="tx1"/>
            </w14:solidFill>
          </w14:textFill>
        </w:rPr>
        <w:t>签署合同的采购人</w:t>
      </w:r>
      <w:bookmarkEnd w:id="92"/>
      <w:r>
        <w:rPr>
          <w:rFonts w:hint="eastAsia" w:asciiTheme="minorEastAsia" w:hAnsiTheme="minorEastAsia" w:eastAsiaTheme="minorEastAsia"/>
          <w:color w:val="000000" w:themeColor="text1"/>
          <w:sz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93" w:name="_Ref467379400"/>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5</w:t>
      </w:r>
      <w:r>
        <w:rPr>
          <w:rFonts w:asciiTheme="minorEastAsia" w:hAnsiTheme="minorEastAsia" w:eastAsiaTheme="minorEastAsia"/>
          <w:color w:val="000000" w:themeColor="text1"/>
          <w:sz w:val="24"/>
          <w14:textFill>
            <w14:solidFill>
              <w14:schemeClr w14:val="tx1"/>
            </w14:solidFill>
          </w14:textFill>
        </w:rPr>
        <w:t>“乙方”系指根据合同约定</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的成交供应商</w:t>
      </w:r>
      <w:bookmarkEnd w:id="93"/>
      <w:r>
        <w:rPr>
          <w:rFonts w:hint="eastAsia" w:asciiTheme="minorEastAsia" w:hAnsiTheme="minorEastAsia" w:eastAsiaTheme="minorEastAsia"/>
          <w:color w:val="000000" w:themeColor="text1"/>
          <w:sz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94" w:name="_Ref467379436"/>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6</w:t>
      </w:r>
      <w:r>
        <w:rPr>
          <w:rFonts w:asciiTheme="minorEastAsia" w:hAnsiTheme="minorEastAsia" w:eastAsiaTheme="minorEastAsia"/>
          <w:color w:val="000000" w:themeColor="text1"/>
          <w:sz w:val="24"/>
          <w14:textFill>
            <w14:solidFill>
              <w14:schemeClr w14:val="tx1"/>
            </w14:solidFill>
          </w14:textFill>
        </w:rPr>
        <w:t>“现场”系指合同约定</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的地点。</w:t>
      </w:r>
      <w:bookmarkEnd w:id="94"/>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95" w:name="_Toc32504"/>
      <w:bookmarkStart w:id="96" w:name="_Toc27635"/>
      <w:bookmarkStart w:id="97" w:name="_Toc279701241"/>
      <w:bookmarkStart w:id="98" w:name="_Toc487900350"/>
      <w:bookmarkStart w:id="99" w:name="_Toc13336"/>
      <w:bookmarkStart w:id="100" w:name="_Toc259093670"/>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2 技术规范</w:t>
      </w:r>
      <w:bookmarkEnd w:id="95"/>
      <w:bookmarkEnd w:id="96"/>
      <w:bookmarkEnd w:id="97"/>
      <w:bookmarkEnd w:id="98"/>
      <w:bookmarkEnd w:id="99"/>
      <w:bookmarkEnd w:id="100"/>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如果采购文件中没有技术规范的相应说明，那么应以国家有关部门最新颁布的相应标准</w:t>
      </w:r>
      <w:r>
        <w:rPr>
          <w:rFonts w:hint="eastAsia" w:asciiTheme="minorEastAsia" w:hAnsiTheme="minorEastAsia" w:eastAsiaTheme="minorEastAsia"/>
          <w:color w:val="000000" w:themeColor="text1"/>
          <w:sz w:val="24"/>
          <w14:textFill>
            <w14:solidFill>
              <w14:schemeClr w14:val="tx1"/>
            </w14:solidFill>
          </w14:textFill>
        </w:rPr>
        <w:t>和</w:t>
      </w:r>
      <w:r>
        <w:rPr>
          <w:rFonts w:asciiTheme="minorEastAsia" w:hAnsiTheme="minorEastAsia" w:eastAsiaTheme="minorEastAsia"/>
          <w:color w:val="000000" w:themeColor="text1"/>
          <w:sz w:val="24"/>
          <w14:textFill>
            <w14:solidFill>
              <w14:schemeClr w14:val="tx1"/>
            </w14:solidFill>
          </w14:textFill>
        </w:rPr>
        <w:t>规范为准。</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01" w:name="_Toc9829"/>
      <w:bookmarkStart w:id="102" w:name="_Toc487900351"/>
      <w:bookmarkStart w:id="103" w:name="_Toc259093671"/>
      <w:bookmarkStart w:id="104" w:name="_Toc27853"/>
      <w:bookmarkStart w:id="105" w:name="_Toc279701242"/>
      <w:bookmarkStart w:id="106" w:name="_Toc31634"/>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3 知识产权</w:t>
      </w:r>
      <w:bookmarkEnd w:id="101"/>
      <w:bookmarkEnd w:id="102"/>
      <w:bookmarkEnd w:id="103"/>
      <w:bookmarkEnd w:id="104"/>
      <w:bookmarkEnd w:id="105"/>
      <w:bookmarkEnd w:id="10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2.3.1乙</w:t>
      </w:r>
      <w:r>
        <w:rPr>
          <w:rFonts w:asciiTheme="minorEastAsia" w:hAnsiTheme="minorEastAsia" w:eastAsiaTheme="minorEastAsia"/>
          <w:color w:val="000000" w:themeColor="text1"/>
          <w:sz w:val="24"/>
          <w14:textFill>
            <w14:solidFill>
              <w14:schemeClr w14:val="tx1"/>
            </w14:solidFill>
          </w14:textFill>
        </w:rPr>
        <w:t>方应保证</w:t>
      </w:r>
      <w:r>
        <w:rPr>
          <w:rFonts w:hint="eastAsia" w:asciiTheme="minorEastAsia" w:hAnsiTheme="minorEastAsia" w:eastAsiaTheme="minorEastAsia"/>
          <w:color w:val="000000" w:themeColor="text1"/>
          <w:sz w:val="24"/>
          <w14:textFill>
            <w14:solidFill>
              <w14:schemeClr w14:val="tx1"/>
            </w14:solidFill>
          </w14:textFill>
        </w:rPr>
        <w:t>其提供的服务</w:t>
      </w:r>
      <w:r>
        <w:rPr>
          <w:rFonts w:asciiTheme="minorEastAsia" w:hAnsiTheme="minorEastAsia" w:eastAsiaTheme="minorEastAsia"/>
          <w:color w:val="000000" w:themeColor="text1"/>
          <w:sz w:val="24"/>
          <w14:textFill>
            <w14:solidFill>
              <w14:schemeClr w14:val="tx1"/>
            </w14:solidFill>
          </w14:textFill>
        </w:rPr>
        <w:t>不受任何第三方提出的侵犯其著作权、商标权、专利权等知识产权方面的起诉</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如果任何第三方提出侵权</w:t>
      </w:r>
      <w:r>
        <w:rPr>
          <w:rFonts w:hint="eastAsia" w:asciiTheme="minorEastAsia" w:hAnsiTheme="minorEastAsia" w:eastAsiaTheme="minorEastAsia"/>
          <w:color w:val="000000" w:themeColor="text1"/>
          <w:sz w:val="24"/>
          <w14:textFill>
            <w14:solidFill>
              <w14:schemeClr w14:val="tx1"/>
            </w14:solidFill>
          </w14:textFill>
        </w:rPr>
        <w:t>指控</w:t>
      </w:r>
      <w:r>
        <w:rPr>
          <w:rFonts w:asciiTheme="minorEastAsia" w:hAnsiTheme="minorEastAsia" w:eastAsiaTheme="minorEastAsia"/>
          <w:color w:val="000000" w:themeColor="text1"/>
          <w:sz w:val="24"/>
          <w14:textFill>
            <w14:solidFill>
              <w14:schemeClr w14:val="tx1"/>
            </w14:solidFill>
          </w14:textFill>
        </w:rPr>
        <w:t>，那么乙方须与该第三方交涉并承担由此发生的一切责任、费用和赔偿</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2.3.2具有知识产权的计算机软件等货物的知识产权归属，</w:t>
      </w: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07" w:name="_Ref467379542"/>
      <w:bookmarkStart w:id="108" w:name="_Ref467379536"/>
      <w:bookmarkStart w:id="109" w:name="_Toc279701245"/>
      <w:bookmarkStart w:id="110" w:name="_Ref467379527"/>
      <w:bookmarkStart w:id="111" w:name="_Ref467378541"/>
      <w:bookmarkStart w:id="112" w:name="_Toc487900354"/>
      <w:bookmarkStart w:id="113" w:name="_Toc259093674"/>
      <w:bookmarkStart w:id="114" w:name="_Ref467378591"/>
      <w:bookmarkStart w:id="115" w:name="_Toc26182"/>
      <w:bookmarkStart w:id="116" w:name="_Toc19074"/>
      <w:bookmarkStart w:id="117" w:name="_Toc30272"/>
      <w:r>
        <w:rPr>
          <w:rFonts w:hint="eastAsia" w:asciiTheme="minorEastAsia" w:hAnsiTheme="minorEastAsia" w:eastAsiaTheme="minorEastAsia"/>
          <w:b/>
          <w:bCs/>
          <w:color w:val="000000" w:themeColor="text1"/>
          <w:sz w:val="24"/>
          <w:lang w:val="zh-CN"/>
          <w14:textFill>
            <w14:solidFill>
              <w14:schemeClr w14:val="tx1"/>
            </w14:solidFill>
          </w14:textFill>
        </w:rPr>
        <w:t>2.</w:t>
      </w:r>
      <w:bookmarkEnd w:id="107"/>
      <w:bookmarkEnd w:id="108"/>
      <w:bookmarkEnd w:id="109"/>
      <w:bookmarkEnd w:id="110"/>
      <w:bookmarkEnd w:id="111"/>
      <w:bookmarkEnd w:id="112"/>
      <w:bookmarkEnd w:id="113"/>
      <w:bookmarkEnd w:id="114"/>
      <w:r>
        <w:rPr>
          <w:rFonts w:asciiTheme="minorEastAsia" w:hAnsiTheme="minorEastAsia" w:eastAsiaTheme="minorEastAsia"/>
          <w:b/>
          <w:bCs/>
          <w:color w:val="000000" w:themeColor="text1"/>
          <w:sz w:val="24"/>
          <w:lang w:val="zh-CN"/>
          <w14:textFill>
            <w14:solidFill>
              <w14:schemeClr w14:val="tx1"/>
            </w14:solidFill>
          </w14:textFill>
        </w:rPr>
        <w:t xml:space="preserve">4 </w:t>
      </w:r>
      <w:r>
        <w:rPr>
          <w:rFonts w:hint="eastAsia" w:asciiTheme="minorEastAsia" w:hAnsiTheme="minorEastAsia" w:eastAsiaTheme="minorEastAsia"/>
          <w:b/>
          <w:bCs/>
          <w:color w:val="000000" w:themeColor="text1"/>
          <w:sz w:val="24"/>
          <w:lang w:val="zh-CN"/>
          <w14:textFill>
            <w14:solidFill>
              <w14:schemeClr w14:val="tx1"/>
            </w14:solidFill>
          </w14:textFill>
        </w:rPr>
        <w:t>履约检查和问题反馈</w:t>
      </w:r>
      <w:bookmarkEnd w:id="115"/>
      <w:bookmarkEnd w:id="116"/>
      <w:bookmarkEnd w:id="11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118" w:name="_Toc186431854"/>
      <w:bookmarkStart w:id="119" w:name="_Toc259093676"/>
      <w:bookmarkStart w:id="120" w:name="_Toc487900357"/>
      <w:bookmarkStart w:id="121" w:name="_Ref467379793"/>
      <w:bookmarkStart w:id="122" w:name="_Toc279701247"/>
      <w:bookmarkStart w:id="123" w:name="_Ref467379807"/>
      <w:r>
        <w:rPr>
          <w:rFonts w:hint="eastAsia" w:asciiTheme="minorEastAsia" w:hAnsiTheme="minorEastAsia" w:eastAsiaTheme="minorEastAsia"/>
          <w:color w:val="000000" w:themeColor="text1"/>
          <w:sz w:val="24"/>
          <w14:textFill>
            <w14:solidFill>
              <w14:schemeClr w14:val="tx1"/>
            </w14:solidFill>
          </w14:textFill>
        </w:rPr>
        <w:t>2.4</w:t>
      </w:r>
      <w:r>
        <w:rPr>
          <w:rFonts w:asciiTheme="minorEastAsia" w:hAnsiTheme="minorEastAsia" w:eastAsiaTheme="minorEastAsia"/>
          <w:color w:val="000000" w:themeColor="text1"/>
          <w:sz w:val="24"/>
          <w14:textFill>
            <w14:solidFill>
              <w14:schemeClr w14:val="tx1"/>
            </w14:solidFill>
          </w14:textFill>
        </w:rPr>
        <w:t>.1甲方</w:t>
      </w:r>
      <w:r>
        <w:rPr>
          <w:rFonts w:hint="eastAsia" w:asciiTheme="minorEastAsia" w:hAnsiTheme="minorEastAsia" w:eastAsiaTheme="minorEastAsia"/>
          <w:color w:val="000000" w:themeColor="text1"/>
          <w:sz w:val="24"/>
          <w14:textFill>
            <w14:solidFill>
              <w14:schemeClr w14:val="tx1"/>
            </w14:solidFill>
          </w14:textFill>
        </w:rPr>
        <w:t>有权</w:t>
      </w:r>
      <w:r>
        <w:rPr>
          <w:rFonts w:asciiTheme="minorEastAsia" w:hAnsiTheme="minorEastAsia" w:eastAsiaTheme="minorEastAsia"/>
          <w:color w:val="000000" w:themeColor="text1"/>
          <w:sz w:val="24"/>
          <w14:textFill>
            <w14:solidFill>
              <w14:schemeClr w14:val="tx1"/>
            </w14:solidFill>
          </w14:textFill>
        </w:rPr>
        <w:t>在其认为必要时</w:t>
      </w:r>
      <w:r>
        <w:rPr>
          <w:rFonts w:hint="eastAsia" w:asciiTheme="minorEastAsia" w:hAnsiTheme="minorEastAsia" w:eastAsiaTheme="minorEastAsia"/>
          <w:color w:val="000000" w:themeColor="text1"/>
          <w:sz w:val="24"/>
          <w14:textFill>
            <w14:solidFill>
              <w14:schemeClr w14:val="tx1"/>
            </w14:solidFill>
          </w14:textFill>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.2合同履行期间，甲方有权将履行过程中出现的问题反馈给乙方，双方当事人应以书面形式约定需要完善和改进的内容</w:t>
      </w:r>
      <w:bookmarkEnd w:id="118"/>
      <w:bookmarkStart w:id="124" w:name="_Toc186431855"/>
      <w:r>
        <w:rPr>
          <w:rFonts w:hint="eastAsia" w:asciiTheme="minorEastAsia" w:hAnsiTheme="minorEastAsia" w:eastAsiaTheme="minorEastAsia"/>
          <w:color w:val="000000" w:themeColor="text1"/>
          <w:sz w:val="24"/>
          <w14:textFill>
            <w14:solidFill>
              <w14:schemeClr w14:val="tx1"/>
            </w14:solidFill>
          </w14:textFill>
        </w:rPr>
        <w:t>。</w:t>
      </w:r>
    </w:p>
    <w:bookmarkEnd w:id="124"/>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25" w:name="_Toc7836"/>
      <w:bookmarkStart w:id="126" w:name="_Toc19219"/>
      <w:bookmarkStart w:id="127" w:name="_Toc28451"/>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5</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结算方式和付款条件</w:t>
      </w:r>
      <w:bookmarkEnd w:id="119"/>
      <w:bookmarkEnd w:id="120"/>
      <w:bookmarkEnd w:id="121"/>
      <w:bookmarkEnd w:id="122"/>
      <w:bookmarkEnd w:id="123"/>
      <w:bookmarkEnd w:id="125"/>
      <w:bookmarkEnd w:id="126"/>
      <w:bookmarkEnd w:id="12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28" w:name="_Toc279701248"/>
      <w:bookmarkStart w:id="129" w:name="_Toc259093677"/>
      <w:bookmarkStart w:id="130" w:name="_Ref467379923"/>
      <w:bookmarkStart w:id="131" w:name="_Ref467379852"/>
      <w:bookmarkStart w:id="132" w:name="_Ref467379863"/>
      <w:bookmarkStart w:id="133" w:name="_Toc487900358"/>
      <w:bookmarkStart w:id="134" w:name="_Toc774"/>
      <w:bookmarkStart w:id="135" w:name="_Toc3225"/>
      <w:bookmarkStart w:id="136" w:name="_Toc16110"/>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6</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技术资料</w:t>
      </w:r>
      <w:bookmarkEnd w:id="128"/>
      <w:bookmarkEnd w:id="129"/>
      <w:bookmarkEnd w:id="130"/>
      <w:bookmarkEnd w:id="131"/>
      <w:bookmarkEnd w:id="132"/>
      <w:bookmarkEnd w:id="133"/>
      <w:r>
        <w:rPr>
          <w:rFonts w:asciiTheme="minorEastAsia" w:hAnsiTheme="minorEastAsia" w:eastAsiaTheme="minorEastAsia"/>
          <w:b/>
          <w:bCs/>
          <w:color w:val="000000" w:themeColor="text1"/>
          <w:sz w:val="24"/>
          <w:lang w:val="zh-CN"/>
          <w14:textFill>
            <w14:solidFill>
              <w14:schemeClr w14:val="tx1"/>
            </w14:solidFill>
          </w14:textFill>
        </w:rPr>
        <w:t>和保密义务</w:t>
      </w:r>
      <w:bookmarkEnd w:id="134"/>
      <w:bookmarkEnd w:id="135"/>
      <w:bookmarkEnd w:id="13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6.1</w:t>
      </w:r>
      <w:r>
        <w:rPr>
          <w:rFonts w:hint="eastAsia" w:asciiTheme="minorEastAsia" w:hAnsiTheme="minorEastAsia" w:eastAsiaTheme="minorEastAsia"/>
          <w:color w:val="000000" w:themeColor="text1"/>
          <w:sz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6</w:t>
      </w:r>
      <w:r>
        <w:rPr>
          <w:rFonts w:hint="eastAsia" w:asciiTheme="minorEastAsia" w:hAnsiTheme="minorEastAsia" w:eastAsiaTheme="minorEastAsia"/>
          <w:color w:val="000000" w:themeColor="text1"/>
          <w:sz w:val="24"/>
          <w14:textFill>
            <w14:solidFill>
              <w14:schemeClr w14:val="tx1"/>
            </w14:solidFill>
          </w14:textFill>
        </w:rPr>
        <w:t>.2乙方有义务妥善保管和保护由甲方提供的前款信息和资料等；</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6.</w:t>
      </w:r>
      <w:r>
        <w:rPr>
          <w:rFonts w:hint="eastAsia" w:asciiTheme="minorEastAsia" w:hAnsiTheme="minorEastAsia" w:eastAsiaTheme="minorEastAsia"/>
          <w:color w:val="000000" w:themeColor="text1"/>
          <w:sz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color w:val="000000" w:themeColor="text1"/>
          <w:sz w:val="24"/>
          <w14:textFill>
            <w14:solidFill>
              <w14:schemeClr w14:val="tx1"/>
            </w14:solidFill>
          </w14:textFill>
        </w:rPr>
        <w:t>技术情报</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技术资料</w:t>
      </w:r>
      <w:r>
        <w:rPr>
          <w:rFonts w:hint="eastAsia" w:asciiTheme="minorEastAsia" w:hAnsiTheme="minorEastAsia" w:eastAsiaTheme="minorEastAsia"/>
          <w:color w:val="000000" w:themeColor="text1"/>
          <w:sz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37" w:name="_Toc7860"/>
      <w:r>
        <w:rPr>
          <w:rFonts w:asciiTheme="minorEastAsia" w:hAnsiTheme="minorEastAsia" w:eastAsiaTheme="minorEastAsia"/>
          <w:b/>
          <w:bCs/>
          <w:color w:val="000000" w:themeColor="text1"/>
          <w:sz w:val="24"/>
          <w:lang w:val="zh-CN"/>
          <w14:textFill>
            <w14:solidFill>
              <w14:schemeClr w14:val="tx1"/>
            </w14:solidFill>
          </w14:textFill>
        </w:rPr>
        <w:t>2.7 质量保证</w:t>
      </w:r>
      <w:bookmarkEnd w:id="13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7</w:t>
      </w:r>
      <w:r>
        <w:rPr>
          <w:rFonts w:hint="eastAsia" w:asciiTheme="minorEastAsia" w:hAnsiTheme="minorEastAsia" w:eastAsiaTheme="minorEastAsia"/>
          <w:color w:val="000000" w:themeColor="text1"/>
          <w:sz w:val="24"/>
          <w14:textFill>
            <w14:solidFill>
              <w14:schemeClr w14:val="tx1"/>
            </w14:solidFill>
          </w14:textFill>
        </w:rPr>
        <w:t>.1乙方应建立和完善履行合同的内部质量保证体系，并提供相关内部规章制度给甲方，以便甲方进行监督检查；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7</w:t>
      </w:r>
      <w:r>
        <w:rPr>
          <w:rFonts w:hint="eastAsia" w:asciiTheme="minorEastAsia" w:hAnsiTheme="minorEastAsia" w:eastAsiaTheme="minorEastAsia"/>
          <w:color w:val="000000" w:themeColor="text1"/>
          <w:sz w:val="24"/>
          <w14:textFill>
            <w14:solidFill>
              <w14:schemeClr w14:val="tx1"/>
            </w14:solidFill>
          </w14:textFill>
        </w:rPr>
        <w:t>.2乙方应保证履行合同的人员数量和素质、软件和硬件设备的配置、场地、环境和设施等满足全面履行合同的要求，并应接受甲方的监督检查。</w:t>
      </w:r>
    </w:p>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38" w:name="_Toc22267"/>
      <w:r>
        <w:rPr>
          <w:rFonts w:hint="eastAsia" w:asciiTheme="minorEastAsia" w:hAnsiTheme="minorEastAsia" w:eastAsiaTheme="minorEastAsia"/>
          <w:b/>
          <w:color w:val="000000" w:themeColor="text1"/>
          <w:sz w:val="24"/>
          <w14:textFill>
            <w14:solidFill>
              <w14:schemeClr w14:val="tx1"/>
            </w14:solidFill>
          </w14:textFill>
        </w:rPr>
        <w:t>2.8 延迟履行</w:t>
      </w:r>
      <w:bookmarkEnd w:id="13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在合同履行过程中，如果乙方遇到不能按时</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的情况，应及时以书面形式将不能按时</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的理由、预期延误时间通知甲方</w:t>
      </w:r>
      <w:r>
        <w:rPr>
          <w:rFonts w:hint="eastAsia" w:asciiTheme="minorEastAsia" w:hAnsiTheme="minorEastAsia" w:eastAsiaTheme="minorEastAsia"/>
          <w:color w:val="000000" w:themeColor="text1"/>
          <w:sz w:val="24"/>
          <w14:textFill>
            <w14:solidFill>
              <w14:schemeClr w14:val="tx1"/>
            </w14:solidFill>
          </w14:textFill>
        </w:rPr>
        <w:t>；甲</w:t>
      </w:r>
      <w:r>
        <w:rPr>
          <w:rFonts w:asciiTheme="minorEastAsia" w:hAnsiTheme="minorEastAsia" w:eastAsiaTheme="minorEastAsia"/>
          <w:color w:val="000000" w:themeColor="text1"/>
          <w:sz w:val="24"/>
          <w14:textFill>
            <w14:solidFill>
              <w14:schemeClr w14:val="tx1"/>
            </w14:solidFill>
          </w14:textFill>
        </w:rPr>
        <w:t>方收到乙方通知后，认为其理由正当的，可以书面形式酌情同意乙方可以延长</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的具体时间。</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39" w:name="_Toc7502"/>
      <w:bookmarkStart w:id="140" w:name="_Toc279701254"/>
      <w:bookmarkStart w:id="141" w:name="_Toc487900364"/>
      <w:bookmarkStart w:id="142" w:name="_Toc259093683"/>
      <w:bookmarkStart w:id="143" w:name="_Ref467378121"/>
      <w:r>
        <w:rPr>
          <w:rFonts w:asciiTheme="minorEastAsia" w:hAnsiTheme="minorEastAsia" w:eastAsiaTheme="minorEastAsia"/>
          <w:b/>
          <w:bCs/>
          <w:color w:val="000000" w:themeColor="text1"/>
          <w:sz w:val="24"/>
          <w:lang w:val="zh-CN"/>
          <w14:textFill>
            <w14:solidFill>
              <w14:schemeClr w14:val="tx1"/>
            </w14:solidFill>
          </w14:textFill>
        </w:rPr>
        <w:t>2.9 合同变更</w:t>
      </w:r>
      <w:bookmarkEnd w:id="13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9</w:t>
      </w:r>
      <w:r>
        <w:rPr>
          <w:rFonts w:hint="eastAsia" w:asciiTheme="minorEastAsia" w:hAnsiTheme="minorEastAsia" w:eastAsiaTheme="minorEastAsia"/>
          <w:color w:val="000000" w:themeColor="text1"/>
          <w:sz w:val="24"/>
          <w14:textFill>
            <w14:solidFill>
              <w14:schemeClr w14:val="tx1"/>
            </w14:solidFill>
          </w14:textFill>
        </w:rPr>
        <w:t>.1双方当事人协商一致，可以签订书面补充合同的形式变更合同，但不得违背采购文件确定的事项；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9</w:t>
      </w:r>
      <w:r>
        <w:rPr>
          <w:rFonts w:hint="eastAsia" w:asciiTheme="minorEastAsia" w:hAnsiTheme="minorEastAsia" w:eastAsiaTheme="minorEastAsia"/>
          <w:color w:val="000000" w:themeColor="text1"/>
          <w:sz w:val="24"/>
          <w14:textFill>
            <w14:solidFill>
              <w14:schemeClr w14:val="tx1"/>
            </w14:solidFill>
          </w14:textFill>
        </w:rPr>
        <w:t>.2合同继续履行将损害国家利益和社会公共利益的，双方当事人应当以书面形式变更合同。有过错的一方应当承担赔偿责任，双方当事人都有过错的，各自承担相应的责任。</w:t>
      </w:r>
      <w:bookmarkStart w:id="144" w:name="_Toc259093688"/>
      <w:bookmarkStart w:id="145" w:name="_Toc279701259"/>
      <w:bookmarkStart w:id="146" w:name="_Toc487900369"/>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47" w:name="_Toc22955"/>
      <w:bookmarkStart w:id="148" w:name="_Toc10366"/>
      <w:bookmarkStart w:id="149" w:name="_Toc15237"/>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0</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合同转让</w:t>
      </w:r>
      <w:bookmarkEnd w:id="144"/>
      <w:bookmarkEnd w:id="145"/>
      <w:bookmarkEnd w:id="146"/>
      <w:r>
        <w:rPr>
          <w:rFonts w:asciiTheme="minorEastAsia" w:hAnsiTheme="minorEastAsia" w:eastAsiaTheme="minorEastAsia"/>
          <w:b/>
          <w:bCs/>
          <w:color w:val="000000" w:themeColor="text1"/>
          <w:sz w:val="24"/>
          <w:lang w:val="zh-CN"/>
          <w14:textFill>
            <w14:solidFill>
              <w14:schemeClr w14:val="tx1"/>
            </w14:solidFill>
          </w14:textFill>
        </w:rPr>
        <w:t>和分包</w:t>
      </w:r>
      <w:bookmarkEnd w:id="147"/>
      <w:bookmarkEnd w:id="148"/>
      <w:bookmarkEnd w:id="14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合同的权利义务依法不</w:t>
      </w:r>
      <w:r>
        <w:rPr>
          <w:rFonts w:hint="eastAsia" w:asciiTheme="minorEastAsia" w:hAnsiTheme="minorEastAsia" w:eastAsiaTheme="minorEastAsia"/>
          <w:color w:val="000000" w:themeColor="text1"/>
          <w:sz w:val="24"/>
          <w14:textFill>
            <w14:solidFill>
              <w14:schemeClr w14:val="tx1"/>
            </w14:solidFill>
          </w14:textFill>
        </w:rPr>
        <w:t>得</w:t>
      </w:r>
      <w:r>
        <w:rPr>
          <w:rFonts w:asciiTheme="minorEastAsia" w:hAnsiTheme="minorEastAsia" w:eastAsiaTheme="minorEastAsia"/>
          <w:color w:val="000000" w:themeColor="text1"/>
          <w:sz w:val="24"/>
          <w14:textFill>
            <w14:solidFill>
              <w14:schemeClr w14:val="tx1"/>
            </w14:solidFill>
          </w14:textFill>
        </w:rPr>
        <w:t>转让</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但经甲方</w:t>
      </w:r>
      <w:r>
        <w:rPr>
          <w:rFonts w:hint="eastAsia" w:asciiTheme="minorEastAsia" w:hAnsiTheme="minorEastAsia" w:eastAsiaTheme="minorEastAsia"/>
          <w:color w:val="000000" w:themeColor="text1"/>
          <w:sz w:val="24"/>
          <w14:textFill>
            <w14:solidFill>
              <w14:schemeClr w14:val="tx1"/>
            </w14:solidFill>
          </w14:textFill>
        </w:rPr>
        <w:t>同意，乙方可以依法采取分包方式履行合同，即：依法可以</w:t>
      </w:r>
      <w:r>
        <w:rPr>
          <w:rFonts w:asciiTheme="minorEastAsia" w:hAnsiTheme="minorEastAsia" w:eastAsiaTheme="minorEastAsia"/>
          <w:color w:val="000000" w:themeColor="text1"/>
          <w:sz w:val="24"/>
          <w14:textFill>
            <w14:solidFill>
              <w14:schemeClr w14:val="tx1"/>
            </w14:solidFill>
          </w14:textFill>
        </w:rPr>
        <w:t>将合同项下的部分非主体、非关键性工作分包给他人完成</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接受分包的人应当具备相应的资格条件，并不得再次分包</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且乙方应就分包项目向甲方负责</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并</w:t>
      </w:r>
      <w:r>
        <w:rPr>
          <w:rFonts w:hint="eastAsia" w:asciiTheme="minorEastAsia" w:hAnsiTheme="minorEastAsia" w:eastAsiaTheme="minorEastAsia"/>
          <w:color w:val="000000" w:themeColor="text1"/>
          <w:sz w:val="24"/>
          <w14:textFill>
            <w14:solidFill>
              <w14:schemeClr w14:val="tx1"/>
            </w14:solidFill>
          </w14:textFill>
        </w:rPr>
        <w:t>与分包供应商就分包项目向甲方承担连带责任。</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50" w:name="_Toc13566"/>
      <w:bookmarkStart w:id="151" w:name="_Toc16508"/>
      <w:bookmarkStart w:id="152" w:name="_Toc14066"/>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1 不可抗力</w:t>
      </w:r>
      <w:bookmarkEnd w:id="150"/>
      <w:bookmarkEnd w:id="151"/>
      <w:bookmarkEnd w:id="15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.2因不可抗力致使不能实现合同目的的，当事人可以解除合同；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.3因</w:t>
      </w:r>
      <w:r>
        <w:rPr>
          <w:rFonts w:asciiTheme="minorEastAsia" w:hAnsiTheme="minorEastAsia" w:eastAsiaTheme="minorEastAsia"/>
          <w:color w:val="000000" w:themeColor="text1"/>
          <w:sz w:val="24"/>
          <w14:textFill>
            <w14:solidFill>
              <w14:schemeClr w14:val="tx1"/>
            </w14:solidFill>
          </w14:textFill>
        </w:rPr>
        <w:t>不可抗力致使合同有变更必要的，双方当事人应在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约定时间内以书面形式变更合同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4</w:t>
      </w:r>
      <w:r>
        <w:rPr>
          <w:rFonts w:asciiTheme="minorEastAsia" w:hAnsiTheme="minorEastAsia" w:eastAsiaTheme="minorEastAsia"/>
          <w:color w:val="000000" w:themeColor="text1"/>
          <w:sz w:val="24"/>
          <w14:textFill>
            <w14:solidFill>
              <w14:schemeClr w14:val="tx1"/>
            </w14:solidFill>
          </w14:textFill>
        </w:rPr>
        <w:t>受</w:t>
      </w:r>
      <w:r>
        <w:rPr>
          <w:rFonts w:hint="eastAsia" w:asciiTheme="minorEastAsia" w:hAnsiTheme="minorEastAsia" w:eastAsiaTheme="minorEastAsia"/>
          <w:color w:val="000000" w:themeColor="text1"/>
          <w:sz w:val="24"/>
          <w14:textFill>
            <w14:solidFill>
              <w14:schemeClr w14:val="tx1"/>
            </w14:solidFill>
          </w14:textFill>
        </w:rPr>
        <w:t>不可抗力</w:t>
      </w:r>
      <w:r>
        <w:rPr>
          <w:rFonts w:asciiTheme="minorEastAsia" w:hAnsiTheme="minorEastAsia" w:eastAsiaTheme="minorEastAsia"/>
          <w:color w:val="000000" w:themeColor="text1"/>
          <w:sz w:val="24"/>
          <w14:textFill>
            <w14:solidFill>
              <w14:schemeClr w14:val="tx1"/>
            </w14:solidFill>
          </w14:textFill>
        </w:rPr>
        <w:t>影响的一方在不可抗力发生后</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应在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约定时间内以书面形式通知</w:t>
      </w:r>
      <w:r>
        <w:rPr>
          <w:rFonts w:hint="eastAsia" w:asciiTheme="minorEastAsia" w:hAnsiTheme="minorEastAsia" w:eastAsiaTheme="minorEastAsia"/>
          <w:color w:val="000000" w:themeColor="text1"/>
          <w:sz w:val="24"/>
          <w14:textFill>
            <w14:solidFill>
              <w14:schemeClr w14:val="tx1"/>
            </w14:solidFill>
          </w14:textFill>
        </w:rPr>
        <w:t>对</w:t>
      </w:r>
      <w:r>
        <w:rPr>
          <w:rFonts w:asciiTheme="minorEastAsia" w:hAnsiTheme="minorEastAsia" w:eastAsiaTheme="minorEastAsia"/>
          <w:color w:val="000000" w:themeColor="text1"/>
          <w:sz w:val="24"/>
          <w14:textFill>
            <w14:solidFill>
              <w14:schemeClr w14:val="tx1"/>
            </w14:solidFill>
          </w14:textFill>
        </w:rPr>
        <w:t>方当事人，并在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约定时间内，将有关部门出具的证明文件送达</w:t>
      </w:r>
      <w:r>
        <w:rPr>
          <w:rFonts w:hint="eastAsia" w:asciiTheme="minorEastAsia" w:hAnsiTheme="minorEastAsia" w:eastAsiaTheme="minorEastAsia"/>
          <w:color w:val="000000" w:themeColor="text1"/>
          <w:sz w:val="24"/>
          <w14:textFill>
            <w14:solidFill>
              <w14:schemeClr w14:val="tx1"/>
            </w14:solidFill>
          </w14:textFill>
        </w:rPr>
        <w:t>对方当事人</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53" w:name="_Toc487900365"/>
      <w:bookmarkStart w:id="154" w:name="_Toc6969"/>
      <w:bookmarkStart w:id="155" w:name="_Toc30676"/>
      <w:bookmarkStart w:id="156" w:name="_Toc689"/>
      <w:bookmarkStart w:id="157" w:name="_Toc259093684"/>
      <w:bookmarkStart w:id="158" w:name="_Toc279701255"/>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12</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税费</w:t>
      </w:r>
      <w:bookmarkEnd w:id="153"/>
      <w:bookmarkEnd w:id="154"/>
      <w:bookmarkEnd w:id="155"/>
      <w:bookmarkEnd w:id="156"/>
      <w:bookmarkEnd w:id="157"/>
      <w:bookmarkEnd w:id="15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与合同有关的一切税费</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均按照中华人民共和国法律的相关规定</w:t>
      </w:r>
      <w:r>
        <w:rPr>
          <w:rFonts w:hint="eastAsia" w:asciiTheme="minorEastAsia" w:hAnsiTheme="minorEastAsia" w:eastAsiaTheme="minorEastAsia"/>
          <w:color w:val="000000" w:themeColor="text1"/>
          <w:sz w:val="24"/>
          <w14:textFill>
            <w14:solidFill>
              <w14:schemeClr w14:val="tx1"/>
            </w14:solidFill>
          </w14:textFill>
        </w:rPr>
        <w:t>缴纳</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59" w:name="_Toc487900368"/>
      <w:bookmarkStart w:id="160" w:name="_Toc7102"/>
      <w:bookmarkStart w:id="161" w:name="_Toc259093687"/>
      <w:bookmarkStart w:id="162" w:name="_Toc16959"/>
      <w:bookmarkStart w:id="163" w:name="_Toc279701258"/>
      <w:bookmarkStart w:id="164" w:name="_Toc8298"/>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13</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乙方破产</w:t>
      </w:r>
      <w:bookmarkEnd w:id="159"/>
      <w:bookmarkEnd w:id="160"/>
      <w:bookmarkEnd w:id="161"/>
      <w:bookmarkEnd w:id="162"/>
      <w:bookmarkEnd w:id="163"/>
      <w:bookmarkEnd w:id="164"/>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如果乙方破产导致合同无法履行时，甲方可以书面形式通知乙方终止合同且不给予乙方任何补偿和赔偿</w:t>
      </w:r>
      <w:r>
        <w:rPr>
          <w:rFonts w:hint="eastAsia" w:asciiTheme="minorEastAsia" w:hAnsiTheme="minorEastAsia" w:eastAsiaTheme="minorEastAsia"/>
          <w:color w:val="000000" w:themeColor="text1"/>
          <w:sz w:val="24"/>
          <w14:textFill>
            <w14:solidFill>
              <w14:schemeClr w14:val="tx1"/>
            </w14:solidFill>
          </w14:textFill>
        </w:rPr>
        <w:t>，但合同的</w:t>
      </w:r>
      <w:r>
        <w:rPr>
          <w:rFonts w:asciiTheme="minorEastAsia" w:hAnsiTheme="minorEastAsia" w:eastAsiaTheme="minorEastAsia"/>
          <w:color w:val="000000" w:themeColor="text1"/>
          <w:sz w:val="24"/>
          <w14:textFill>
            <w14:solidFill>
              <w14:schemeClr w14:val="tx1"/>
            </w14:solidFill>
          </w14:textFill>
        </w:rPr>
        <w:t>终止不损害或不影响甲方已经采取或将要采取的任何要求乙方支付违约金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赔偿损失等的行动或补救措施的权利</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65" w:name="_Toc6134"/>
      <w:bookmarkStart w:id="166" w:name="_Toc29333"/>
      <w:bookmarkStart w:id="167" w:name="_Toc15387"/>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4</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合同中止、终止</w:t>
      </w:r>
      <w:bookmarkEnd w:id="165"/>
      <w:bookmarkEnd w:id="166"/>
      <w:bookmarkEnd w:id="16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.1双方当事人不得擅自中止或者终止合同；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68" w:name="_Toc6596"/>
      <w:bookmarkStart w:id="169" w:name="_Toc1125"/>
      <w:bookmarkStart w:id="170" w:name="_Toc14563"/>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5</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检验和验收</w:t>
      </w:r>
      <w:bookmarkEnd w:id="168"/>
      <w:bookmarkEnd w:id="169"/>
      <w:bookmarkEnd w:id="170"/>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5</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1乙方按照</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的约定</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定期提交服务报告</w:t>
      </w:r>
      <w:r>
        <w:rPr>
          <w:rFonts w:hint="eastAsia" w:asciiTheme="minorEastAsia" w:hAnsiTheme="minorEastAsia" w:eastAsiaTheme="minorEastAsia"/>
          <w:color w:val="000000" w:themeColor="text1"/>
          <w:sz w:val="24"/>
          <w14:textFill>
            <w14:solidFill>
              <w14:schemeClr w14:val="tx1"/>
            </w14:solidFill>
          </w14:textFill>
        </w:rPr>
        <w:t>，甲方按照</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的约定进行定期验收</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2.15.3检验和验收标准、程序等具体内容以及前述验收书的效力详见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hint="eastAsia" w:asciiTheme="minorEastAsia" w:hAnsiTheme="minorEastAsia" w:eastAsiaTheme="minorEastAsia"/>
          <w:i/>
          <w:color w:val="000000" w:themeColor="text1"/>
          <w:sz w:val="24"/>
          <w14:textFill>
            <w14:solidFill>
              <w14:schemeClr w14:val="tx1"/>
            </w14:solidFill>
          </w14:textFill>
        </w:rPr>
        <w:t>。</w:t>
      </w:r>
    </w:p>
    <w:bookmarkEnd w:id="140"/>
    <w:bookmarkEnd w:id="141"/>
    <w:bookmarkEnd w:id="142"/>
    <w:bookmarkEnd w:id="143"/>
    <w:p>
      <w:pPr>
        <w:spacing w:line="360" w:lineRule="auto"/>
        <w:ind w:firstLine="437"/>
        <w:outlineLvl w:val="3"/>
        <w:rPr>
          <w:rFonts w:asciiTheme="minorEastAsia" w:hAnsiTheme="minorEastAsia" w:eastAsiaTheme="minorEastAsia"/>
          <w:b/>
          <w:bCs/>
          <w:color w:val="000000" w:themeColor="text1"/>
          <w:sz w:val="24"/>
          <w14:textFill>
            <w14:solidFill>
              <w14:schemeClr w14:val="tx1"/>
            </w14:solidFill>
          </w14:textFill>
        </w:rPr>
      </w:pPr>
      <w:bookmarkStart w:id="171" w:name="_Toc10330"/>
      <w:bookmarkStart w:id="172" w:name="_Toc12773"/>
      <w:bookmarkStart w:id="173" w:name="_Toc487900373"/>
      <w:bookmarkStart w:id="174" w:name="_Toc259093692"/>
      <w:bookmarkStart w:id="175" w:name="_Toc18567"/>
      <w:bookmarkStart w:id="176" w:name="_Toc279701263"/>
      <w:r>
        <w:rPr>
          <w:rFonts w:hint="eastAsia" w:asciiTheme="minorEastAsia" w:hAnsiTheme="minorEastAsia" w:eastAsiaTheme="minorEastAsia"/>
          <w:b/>
          <w:bCs/>
          <w:color w:val="000000" w:themeColor="text1"/>
          <w:sz w:val="24"/>
          <w14:textFill>
            <w14:solidFill>
              <w14:schemeClr w14:val="tx1"/>
            </w14:solidFill>
          </w14:textFill>
        </w:rPr>
        <w:t>2.</w:t>
      </w:r>
      <w:r>
        <w:rPr>
          <w:rFonts w:asciiTheme="minorEastAsia" w:hAnsiTheme="minorEastAsia" w:eastAsiaTheme="minorEastAsia"/>
          <w:b/>
          <w:bCs/>
          <w:color w:val="000000" w:themeColor="text1"/>
          <w:sz w:val="24"/>
          <w14:textFill>
            <w14:solidFill>
              <w14:schemeClr w14:val="tx1"/>
            </w14:solidFill>
          </w14:textFill>
        </w:rPr>
        <w:t>16</w:t>
      </w:r>
      <w:r>
        <w:rPr>
          <w:rFonts w:hint="eastAsia" w:asciiTheme="minorEastAsia" w:hAnsiTheme="minorEastAsia" w:eastAsiaTheme="minorEastAsia"/>
          <w:b/>
          <w:bCs/>
          <w:color w:val="000000" w:themeColor="text1"/>
          <w:sz w:val="24"/>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合同使用的文字和</w:t>
      </w:r>
      <w:r>
        <w:rPr>
          <w:rFonts w:asciiTheme="minorEastAsia" w:hAnsiTheme="minorEastAsia" w:eastAsiaTheme="minorEastAsia"/>
          <w:b/>
          <w:bCs/>
          <w:color w:val="000000" w:themeColor="text1"/>
          <w:sz w:val="24"/>
          <w:lang w:val="zh-CN"/>
          <w14:textFill>
            <w14:solidFill>
              <w14:schemeClr w14:val="tx1"/>
            </w14:solidFill>
          </w14:textFill>
        </w:rPr>
        <w:t>适用的法律</w:t>
      </w:r>
      <w:bookmarkEnd w:id="171"/>
      <w:bookmarkEnd w:id="172"/>
      <w:bookmarkEnd w:id="173"/>
      <w:bookmarkEnd w:id="174"/>
      <w:bookmarkEnd w:id="175"/>
      <w:bookmarkEnd w:id="17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16.1合同使用汉语书就</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变更和解释</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16</w:t>
      </w:r>
      <w:r>
        <w:rPr>
          <w:rFonts w:hint="eastAsia" w:asciiTheme="minorEastAsia" w:hAnsiTheme="minorEastAsia" w:eastAsiaTheme="minorEastAsia"/>
          <w:color w:val="000000" w:themeColor="text1"/>
          <w:sz w:val="24"/>
          <w14:textFill>
            <w14:solidFill>
              <w14:schemeClr w14:val="tx1"/>
            </w14:solidFill>
          </w14:textFill>
        </w:rPr>
        <w:t>.2合同适用</w:t>
      </w:r>
      <w:r>
        <w:rPr>
          <w:rFonts w:asciiTheme="minorEastAsia" w:hAnsiTheme="minorEastAsia" w:eastAsiaTheme="minorEastAsia"/>
          <w:color w:val="000000" w:themeColor="text1"/>
          <w:sz w:val="24"/>
          <w14:textFill>
            <w14:solidFill>
              <w14:schemeClr w14:val="tx1"/>
            </w14:solidFill>
          </w14:textFill>
        </w:rPr>
        <w:t>中华人民共和国法律。</w:t>
      </w:r>
    </w:p>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77" w:name="_Toc3148"/>
      <w:bookmarkStart w:id="178" w:name="_Toc16673"/>
      <w:bookmarkStart w:id="179" w:name="_Toc279701264"/>
      <w:bookmarkStart w:id="180" w:name="_Toc259093693"/>
      <w:bookmarkStart w:id="181" w:name="_Toc12004"/>
      <w:bookmarkStart w:id="182" w:name="_Toc487900374"/>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17</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履约保证金</w:t>
      </w:r>
      <w:bookmarkEnd w:id="177"/>
      <w:bookmarkEnd w:id="178"/>
      <w:bookmarkEnd w:id="179"/>
      <w:bookmarkEnd w:id="180"/>
      <w:bookmarkEnd w:id="18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17</w:t>
      </w:r>
      <w:r>
        <w:rPr>
          <w:rFonts w:hint="eastAsia" w:asciiTheme="minorEastAsia" w:hAnsiTheme="minorEastAsia" w:eastAsiaTheme="minorEastAsia"/>
          <w:color w:val="000000" w:themeColor="text1"/>
          <w:sz w:val="24"/>
          <w14:textFill>
            <w14:solidFill>
              <w14:schemeClr w14:val="tx1"/>
            </w14:solidFill>
          </w14:textFill>
        </w:rPr>
        <w:t>.1采购文件要求乙方提交履约保证金的，乙方</w:t>
      </w:r>
      <w:r>
        <w:rPr>
          <w:rFonts w:asciiTheme="minorEastAsia" w:hAnsiTheme="minorEastAsia" w:eastAsiaTheme="minorEastAsia"/>
          <w:color w:val="000000" w:themeColor="text1"/>
          <w:sz w:val="24"/>
          <w14:textFill>
            <w14:solidFill>
              <w14:schemeClr w14:val="tx1"/>
            </w14:solidFill>
          </w14:textFill>
        </w:rPr>
        <w:t>应按</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约定的方式</w:t>
      </w:r>
      <w:r>
        <w:rPr>
          <w:rFonts w:hint="eastAsia" w:asciiTheme="minorEastAsia" w:hAnsiTheme="minorEastAsia" w:eastAsiaTheme="minorEastAsia"/>
          <w:color w:val="000000" w:themeColor="text1"/>
          <w:sz w:val="24"/>
          <w14:textFill>
            <w14:solidFill>
              <w14:schemeClr w14:val="tx1"/>
            </w14:solidFill>
          </w14:textFill>
        </w:rPr>
        <w:t>，以支票、汇票、本票或者金融机构、担保机构出具的保函等非现金形式提交；</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17.2履约保证金在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约定期间内不予退还或者应完全有效</w:t>
      </w:r>
      <w:r>
        <w:rPr>
          <w:rFonts w:hint="eastAsia" w:asciiTheme="minorEastAsia" w:hAnsiTheme="minorEastAsia" w:eastAsiaTheme="minorEastAsia"/>
          <w:color w:val="000000" w:themeColor="text1"/>
          <w:sz w:val="24"/>
          <w14:textFill>
            <w14:solidFill>
              <w14:schemeClr w14:val="tx1"/>
            </w14:solidFill>
          </w14:textFill>
        </w:rPr>
        <w:t>，前述约定期间届满</w:t>
      </w:r>
      <w:r>
        <w:rPr>
          <w:rFonts w:asciiTheme="minorEastAsia" w:hAnsiTheme="minorEastAsia" w:eastAsiaTheme="minorEastAsia"/>
          <w:color w:val="000000" w:themeColor="text1"/>
          <w:sz w:val="24"/>
          <w14:textFill>
            <w14:solidFill>
              <w14:schemeClr w14:val="tx1"/>
            </w14:solidFill>
          </w14:textFill>
        </w:rPr>
        <w:t>之日起</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个</w:t>
      </w:r>
      <w:r>
        <w:rPr>
          <w:rFonts w:asciiTheme="minorEastAsia" w:hAnsiTheme="minorEastAsia" w:eastAsiaTheme="minorEastAsia"/>
          <w:color w:val="000000" w:themeColor="text1"/>
          <w:sz w:val="24"/>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17</w:t>
      </w:r>
      <w:r>
        <w:rPr>
          <w:rFonts w:hint="eastAsia" w:asciiTheme="minorEastAsia" w:hAnsiTheme="minorEastAsia" w:eastAsiaTheme="minorEastAsia"/>
          <w:color w:val="000000" w:themeColor="text1"/>
          <w:sz w:val="24"/>
          <w14:textFill>
            <w14:solidFill>
              <w14:schemeClr w14:val="tx1"/>
            </w14:solidFill>
          </w14:textFill>
        </w:rPr>
        <w:t>.3</w:t>
      </w:r>
      <w:r>
        <w:rPr>
          <w:rFonts w:asciiTheme="minorEastAsia" w:hAnsiTheme="minorEastAsia" w:eastAsiaTheme="minorEastAsia"/>
          <w:color w:val="000000" w:themeColor="text1"/>
          <w:sz w:val="24"/>
          <w14:textFill>
            <w14:solidFill>
              <w14:schemeClr w14:val="tx1"/>
            </w14:solidFill>
          </w14:textFill>
        </w:rPr>
        <w:t>如果乙方不履行合同</w:t>
      </w:r>
      <w:r>
        <w:rPr>
          <w:rFonts w:hint="eastAsia" w:asciiTheme="minorEastAsia" w:hAnsiTheme="minorEastAsia" w:eastAsiaTheme="minorEastAsia"/>
          <w:color w:val="000000" w:themeColor="text1"/>
          <w:sz w:val="24"/>
          <w14:textFill>
            <w14:solidFill>
              <w14:schemeClr w14:val="tx1"/>
            </w14:solidFill>
          </w14:textFill>
        </w:rPr>
        <w:t>，履约保证金不予退还；如果乙方</w:t>
      </w:r>
      <w:r>
        <w:rPr>
          <w:rFonts w:asciiTheme="minorEastAsia" w:hAnsiTheme="minorEastAsia" w:eastAsiaTheme="minorEastAsia"/>
          <w:color w:val="000000" w:themeColor="text1"/>
          <w:sz w:val="24"/>
          <w14:textFill>
            <w14:solidFill>
              <w14:schemeClr w14:val="tx1"/>
            </w14:solidFill>
          </w14:textFill>
        </w:rPr>
        <w:t>未能按合同</w:t>
      </w:r>
      <w:r>
        <w:rPr>
          <w:rFonts w:hint="eastAsia" w:asciiTheme="minorEastAsia" w:hAnsiTheme="minorEastAsia" w:eastAsiaTheme="minorEastAsia"/>
          <w:color w:val="000000" w:themeColor="text1"/>
          <w:sz w:val="24"/>
          <w14:textFill>
            <w14:solidFill>
              <w14:schemeClr w14:val="tx1"/>
            </w14:solidFill>
          </w14:textFill>
        </w:rPr>
        <w:t>约</w:t>
      </w:r>
      <w:r>
        <w:rPr>
          <w:rFonts w:asciiTheme="minorEastAsia" w:hAnsiTheme="minorEastAsia" w:eastAsiaTheme="minorEastAsia"/>
          <w:color w:val="000000" w:themeColor="text1"/>
          <w:sz w:val="24"/>
          <w14:textFill>
            <w14:solidFill>
              <w14:schemeClr w14:val="tx1"/>
            </w14:solidFill>
          </w14:textFill>
        </w:rPr>
        <w:t>定全面履行义务，那么甲方有权从履约保证金中取得补偿或赔偿</w:t>
      </w:r>
      <w:r>
        <w:rPr>
          <w:rFonts w:hint="eastAsia" w:asciiTheme="minorEastAsia" w:hAnsiTheme="minorEastAsia" w:eastAsiaTheme="minorEastAsia"/>
          <w:color w:val="000000" w:themeColor="text1"/>
          <w:sz w:val="24"/>
          <w14:textFill>
            <w14:solidFill>
              <w14:schemeClr w14:val="tx1"/>
            </w14:solidFill>
          </w14:textFill>
        </w:rPr>
        <w:t>，同时不影响甲方要求乙方承担合同约定的超过履约保证金的违约责任的权利。</w:t>
      </w:r>
    </w:p>
    <w:bookmarkEnd w:id="182"/>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83" w:name="_Toc14001"/>
      <w:bookmarkStart w:id="184" w:name="_Toc19890"/>
      <w:bookmarkStart w:id="185" w:name="_Toc6885"/>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18</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合同份数</w:t>
      </w:r>
      <w:bookmarkEnd w:id="183"/>
      <w:bookmarkEnd w:id="184"/>
      <w:bookmarkEnd w:id="18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合同份数按</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规定</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每份均具有同等法律效力</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jc w:val="center"/>
        <w:outlineLvl w:val="2"/>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bookmarkStart w:id="186" w:name="_Toc331685784"/>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18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本部分</w:t>
      </w:r>
      <w:r>
        <w:rPr>
          <w:rFonts w:asciiTheme="minorEastAsia" w:hAnsiTheme="minorEastAsia" w:eastAsiaTheme="minorEastAsia"/>
          <w:color w:val="000000" w:themeColor="text1"/>
          <w:sz w:val="24"/>
          <w14:textFill>
            <w14:solidFill>
              <w14:schemeClr w14:val="tx1"/>
            </w14:solidFill>
          </w14:textFill>
        </w:rPr>
        <w:t>是对</w:t>
      </w:r>
      <w:r>
        <w:rPr>
          <w:rFonts w:hint="eastAsia" w:asciiTheme="minorEastAsia" w:hAnsiTheme="minorEastAsia" w:eastAsiaTheme="minorEastAsia"/>
          <w:color w:val="000000" w:themeColor="text1"/>
          <w:sz w:val="24"/>
          <w14:textFill>
            <w14:solidFill>
              <w14:schemeClr w14:val="tx1"/>
            </w14:solidFill>
          </w14:textFill>
        </w:rPr>
        <w:t>前两</w:t>
      </w:r>
      <w:r>
        <w:rPr>
          <w:rFonts w:asciiTheme="minorEastAsia" w:hAnsiTheme="minorEastAsia" w:eastAsiaTheme="minorEastAsia"/>
          <w:color w:val="000000" w:themeColor="text1"/>
          <w:sz w:val="24"/>
          <w14:textFill>
            <w14:solidFill>
              <w14:schemeClr w14:val="tx1"/>
            </w14:solidFill>
          </w14:textFill>
        </w:rPr>
        <w:t>部分的补充和修改</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w:t>
      </w:r>
      <w:r>
        <w:rPr>
          <w:rFonts w:hint="eastAsia" w:asciiTheme="minorEastAsia" w:hAnsiTheme="minorEastAsia" w:eastAsiaTheme="minorEastAsia"/>
          <w:color w:val="000000" w:themeColor="text1"/>
          <w:sz w:val="24"/>
          <w14:textFill>
            <w14:solidFill>
              <w14:schemeClr w14:val="tx1"/>
            </w14:solidFill>
          </w14:textFill>
        </w:rPr>
        <w:t>前两</w:t>
      </w:r>
      <w:r>
        <w:rPr>
          <w:rFonts w:asciiTheme="minorEastAsia" w:hAnsiTheme="minorEastAsia" w:eastAsiaTheme="minorEastAsia"/>
          <w:color w:val="000000" w:themeColor="text1"/>
          <w:sz w:val="24"/>
          <w14:textFill>
            <w14:solidFill>
              <w14:schemeClr w14:val="tx1"/>
            </w14:solidFill>
          </w14:textFill>
        </w:rPr>
        <w:t>部分和本部分的约定不一致</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应以本部分的约定为准</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本部分的条款号应与</w:t>
      </w:r>
      <w:r>
        <w:rPr>
          <w:rFonts w:hint="eastAsia" w:asciiTheme="minorEastAsia" w:hAnsiTheme="minorEastAsia" w:eastAsiaTheme="minorEastAsia"/>
          <w:color w:val="000000" w:themeColor="text1"/>
          <w:sz w:val="24"/>
          <w14:textFill>
            <w14:solidFill>
              <w14:schemeClr w14:val="tx1"/>
            </w14:solidFill>
          </w14:textFill>
        </w:rPr>
        <w:t>前两部分</w:t>
      </w:r>
      <w:r>
        <w:rPr>
          <w:rFonts w:asciiTheme="minorEastAsia" w:hAnsiTheme="minorEastAsia" w:eastAsiaTheme="minorEastAsia"/>
          <w:color w:val="000000" w:themeColor="text1"/>
          <w:sz w:val="24"/>
          <w14:textFill>
            <w14:solidFill>
              <w14:schemeClr w14:val="tx1"/>
            </w14:solidFill>
          </w14:textFill>
        </w:rPr>
        <w:t>的条款号保持对应</w:t>
      </w:r>
      <w:r>
        <w:rPr>
          <w:rFonts w:hint="eastAsia" w:asciiTheme="minorEastAsia" w:hAnsiTheme="minorEastAsia" w:eastAsiaTheme="minorEastAsia"/>
          <w:color w:val="000000" w:themeColor="text1"/>
          <w:sz w:val="24"/>
          <w14:textFill>
            <w14:solidFill>
              <w14:schemeClr w14:val="tx1"/>
            </w14:solidFill>
          </w14:textFill>
        </w:rPr>
        <w:t>；与前两部分</w:t>
      </w:r>
      <w:r>
        <w:rPr>
          <w:rFonts w:asciiTheme="minorEastAsia" w:hAnsiTheme="minorEastAsia" w:eastAsiaTheme="minorEastAsia"/>
          <w:color w:val="000000" w:themeColor="text1"/>
          <w:sz w:val="24"/>
          <w14:textFill>
            <w14:solidFill>
              <w14:schemeClr w14:val="tx1"/>
            </w14:solidFill>
          </w14:textFill>
        </w:rPr>
        <w:t>无对应关系的内容可另行编制条款号</w:t>
      </w:r>
      <w:r>
        <w:rPr>
          <w:rFonts w:hint="eastAsia" w:asciiTheme="minorEastAsia" w:hAnsiTheme="minorEastAsia" w:eastAsiaTheme="minorEastAsia"/>
          <w:color w:val="000000" w:themeColor="text1"/>
          <w:sz w:val="24"/>
          <w14:textFill>
            <w14:solidFill>
              <w14:schemeClr w14:val="tx1"/>
            </w14:solidFill>
          </w14:textFill>
        </w:rPr>
        <w:t>。</w:t>
      </w:r>
    </w:p>
    <w:tbl>
      <w:tblPr>
        <w:tblStyle w:val="18"/>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t>条款号</w:t>
            </w:r>
          </w:p>
        </w:tc>
        <w:tc>
          <w:tcPr>
            <w:tcW w:w="4525" w:type="pct"/>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bl>
    <w:p>
      <w:pPr>
        <w:spacing w:line="360" w:lineRule="auto"/>
        <w:rPr>
          <w:rFonts w:asciiTheme="minorEastAsia" w:hAnsiTheme="minorEastAsia" w:eastAsiaTheme="minorEastAsia"/>
          <w:color w:val="000000" w:themeColor="text1"/>
          <w:sz w:val="24"/>
          <w14:textFill>
            <w14:solidFill>
              <w14:schemeClr w14:val="tx1"/>
            </w14:solidFill>
          </w14:textFill>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187" w:name="_Toc3480"/>
      <w:r>
        <w:rPr>
          <w:rFonts w:hint="eastAsia" w:asciiTheme="minorEastAsia" w:hAnsiTheme="minorEastAsia" w:eastAsiaTheme="minorEastAsia"/>
          <w:b/>
          <w:color w:val="auto"/>
          <w:sz w:val="28"/>
          <w:highlight w:val="none"/>
        </w:rPr>
        <w:t>第六章  响应文件格式</w:t>
      </w:r>
      <w:bookmarkEnd w:id="187"/>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188" w:name="_Toc22600"/>
      <w:bookmarkStart w:id="189" w:name="_Toc17381"/>
      <w:r>
        <w:rPr>
          <w:rFonts w:hint="eastAsia" w:asciiTheme="minorEastAsia" w:hAnsiTheme="minorEastAsia" w:eastAsiaTheme="minorEastAsia"/>
          <w:b/>
          <w:color w:val="auto"/>
          <w:sz w:val="72"/>
          <w:highlight w:val="none"/>
        </w:rPr>
        <w:t>响</w:t>
      </w:r>
      <w:bookmarkEnd w:id="188"/>
      <w:bookmarkEnd w:id="189"/>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190" w:name="_Toc17096"/>
      <w:bookmarkStart w:id="191" w:name="_Toc5117"/>
      <w:r>
        <w:rPr>
          <w:rFonts w:hint="eastAsia" w:asciiTheme="minorEastAsia" w:hAnsiTheme="minorEastAsia" w:eastAsiaTheme="minorEastAsia"/>
          <w:b/>
          <w:color w:val="auto"/>
          <w:sz w:val="72"/>
          <w:highlight w:val="none"/>
        </w:rPr>
        <w:t>应</w:t>
      </w:r>
      <w:bookmarkEnd w:id="190"/>
      <w:bookmarkEnd w:id="19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192" w:name="_Toc10137"/>
      <w:bookmarkStart w:id="193" w:name="_Toc29635"/>
      <w:r>
        <w:rPr>
          <w:rFonts w:hint="eastAsia" w:asciiTheme="minorEastAsia" w:hAnsiTheme="minorEastAsia" w:eastAsiaTheme="minorEastAsia"/>
          <w:b/>
          <w:color w:val="auto"/>
          <w:sz w:val="72"/>
          <w:highlight w:val="none"/>
        </w:rPr>
        <w:t>文</w:t>
      </w:r>
      <w:bookmarkEnd w:id="192"/>
      <w:bookmarkEnd w:id="193"/>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194" w:name="_Toc3497"/>
      <w:bookmarkStart w:id="195" w:name="_Toc10547"/>
      <w:r>
        <w:rPr>
          <w:rFonts w:hint="eastAsia" w:asciiTheme="minorEastAsia" w:hAnsiTheme="minorEastAsia" w:eastAsiaTheme="minorEastAsia"/>
          <w:b/>
          <w:color w:val="auto"/>
          <w:sz w:val="72"/>
          <w:highlight w:val="none"/>
        </w:rPr>
        <w:t>件</w:t>
      </w:r>
      <w:bookmarkEnd w:id="194"/>
      <w:bookmarkEnd w:id="195"/>
    </w:p>
    <w:p>
      <w:pPr>
        <w:spacing w:after="156" w:afterLines="50"/>
        <w:jc w:val="center"/>
        <w:rPr>
          <w:rFonts w:asciiTheme="minorEastAsia" w:hAnsiTheme="minorEastAsia" w:eastAsiaTheme="minorEastAsia"/>
          <w:b/>
          <w:color w:val="auto"/>
          <w:sz w:val="72"/>
          <w:highlight w:val="none"/>
        </w:rPr>
      </w:pPr>
    </w:p>
    <w:p>
      <w:pPr>
        <w:spacing w:after="156" w:afterLines="50" w:line="500" w:lineRule="exact"/>
        <w:jc w:val="center"/>
        <w:rPr>
          <w:rFonts w:asciiTheme="majorEastAsia" w:hAnsiTheme="majorEastAsia" w:eastAsiaTheme="majorEastAsia"/>
          <w:b/>
          <w:color w:val="auto"/>
          <w:sz w:val="28"/>
          <w:szCs w:val="28"/>
          <w:highlight w:val="none"/>
        </w:rPr>
      </w:pPr>
      <w:bookmarkStart w:id="196" w:name="_Toc3250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196"/>
      <w:r>
        <w:rPr>
          <w:rFonts w:hint="eastAsia" w:ascii="宋体" w:hAnsi="宋体" w:eastAsia="宋体" w:cs="@仿宋_GB2312"/>
          <w:b w:val="0"/>
          <w:bCs w:val="0"/>
          <w:i/>
          <w:iCs/>
          <w:color w:val="FF0000"/>
          <w:kern w:val="2"/>
          <w:sz w:val="24"/>
          <w:szCs w:val="18"/>
          <w:highlight w:val="none"/>
          <w:lang w:val="en-US" w:eastAsia="zh-CN" w:bidi="ar-SA"/>
        </w:rPr>
        <w:t>（如不分包，请删去本行）</w:t>
      </w:r>
    </w:p>
    <w:p>
      <w:pPr>
        <w:spacing w:after="156" w:afterLines="50" w:line="500" w:lineRule="exact"/>
        <w:jc w:val="center"/>
        <w:rPr>
          <w:rFonts w:asciiTheme="majorEastAsia" w:hAnsiTheme="majorEastAsia" w:eastAsiaTheme="majorEastAsia"/>
          <w:b/>
          <w:color w:val="auto"/>
          <w:sz w:val="72"/>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ajorEastAsia" w:hAnsiTheme="majorEastAsia" w:eastAsiaTheme="maj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0"/>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197" w:name="_Toc8780"/>
      <w:bookmarkStart w:id="198" w:name="_Toc1308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197"/>
      <w:bookmarkEnd w:id="198"/>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99" w:name="_Toc25523"/>
      <w:bookmarkStart w:id="200" w:name="_Toc15419"/>
      <w:r>
        <w:rPr>
          <w:rFonts w:hint="eastAsia" w:asciiTheme="minorEastAsia" w:hAnsiTheme="minorEastAsia" w:eastAsiaTheme="minorEastAsia"/>
          <w:b/>
          <w:color w:val="auto"/>
          <w:sz w:val="24"/>
          <w:highlight w:val="none"/>
        </w:rPr>
        <w:t>一、报价表</w:t>
      </w:r>
      <w:bookmarkEnd w:id="199"/>
      <w:bookmarkEnd w:id="200"/>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inorEastAsia" w:hAnsiTheme="minorEastAsia" w:eastAsiaTheme="min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1" w:name="_Toc29464"/>
      <w:bookmarkStart w:id="202" w:name="_Toc28308"/>
      <w:r>
        <w:rPr>
          <w:rFonts w:hint="eastAsia" w:asciiTheme="minorEastAsia" w:hAnsiTheme="minorEastAsia" w:eastAsiaTheme="minorEastAsia"/>
          <w:b/>
          <w:color w:val="auto"/>
          <w:sz w:val="24"/>
          <w:highlight w:val="none"/>
        </w:rPr>
        <w:t>二、最终承诺报价表</w:t>
      </w:r>
      <w:bookmarkEnd w:id="201"/>
      <w:bookmarkEnd w:id="202"/>
    </w:p>
    <w:p>
      <w:pPr>
        <w:spacing w:before="156" w:beforeLines="50" w:after="156" w:afterLines="50" w:line="360" w:lineRule="auto"/>
        <w:ind w:firstLine="236" w:firstLineChars="98"/>
        <w:jc w:val="center"/>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（某项目第</w:t>
      </w:r>
      <w:r>
        <w:rPr>
          <w:rFonts w:hint="eastAsia"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rPr>
        <w:t>次报价书）</w:t>
      </w:r>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ajorEastAsia" w:hAnsiTheme="majorEastAsia" w:eastAsiaTheme="maj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最终报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采购小组</w:t>
            </w:r>
            <w:r>
              <w:rPr>
                <w:rFonts w:asciiTheme="minorEastAsia" w:hAnsiTheme="minorEastAsia" w:eastAsiaTheme="minorEastAsia"/>
                <w:b/>
                <w:bCs/>
                <w:color w:val="auto"/>
                <w:sz w:val="24"/>
                <w:szCs w:val="28"/>
                <w:highlight w:val="none"/>
              </w:rPr>
              <w:t>签字</w:t>
            </w:r>
          </w:p>
        </w:tc>
        <w:tc>
          <w:tcPr>
            <w:tcW w:w="3557" w:type="pct"/>
          </w:tcPr>
          <w:p>
            <w:pPr>
              <w:spacing w:line="360" w:lineRule="auto"/>
              <w:rPr>
                <w:rFonts w:asciiTheme="minorEastAsia" w:hAnsiTheme="minorEastAsia" w:eastAsiaTheme="minorEastAsia"/>
                <w:b/>
                <w:color w:val="auto"/>
                <w:sz w:val="24"/>
                <w:highlight w:val="none"/>
              </w:rPr>
            </w:pPr>
          </w:p>
        </w:tc>
      </w:tr>
    </w:tbl>
    <w:p>
      <w:pPr>
        <w:spacing w:line="360" w:lineRule="auto"/>
        <w:ind w:firstLine="3600" w:firstLineChars="1500"/>
        <w:jc w:val="left"/>
        <w:rPr>
          <w:rFonts w:ascii="宋体" w:hAnsi="宋体" w:eastAsia="宋体"/>
          <w:color w:val="auto"/>
          <w:sz w:val="24"/>
          <w:highlight w:val="none"/>
        </w:rPr>
      </w:pPr>
      <w:r>
        <w:rPr>
          <w:rFonts w:hint="eastAsia" w:ascii="宋体" w:hAnsi="宋体" w:eastAsia="宋体"/>
          <w:color w:val="auto"/>
          <w:sz w:val="24"/>
          <w:highlight w:val="none"/>
        </w:rPr>
        <w:t>供应商公章或授权代表签字：</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本页《报价表》由供应商在协商现场依协商情况填写，请加盖公章后带至协商现场备填（不需装订在响应文件内）。考虑报价的方便，供应商在填写最终承诺报价后，（第一次报价-最终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3" w:name="_Toc8480"/>
      <w:bookmarkStart w:id="204" w:name="_Toc23522"/>
      <w:r>
        <w:rPr>
          <w:rFonts w:hint="eastAsia" w:asciiTheme="minorEastAsia" w:hAnsiTheme="minorEastAsia" w:eastAsiaTheme="minorEastAsia"/>
          <w:b/>
          <w:color w:val="auto"/>
          <w:sz w:val="24"/>
          <w:highlight w:val="none"/>
        </w:rPr>
        <w:t>三、响应函</w:t>
      </w:r>
      <w:bookmarkEnd w:id="203"/>
      <w:bookmarkEnd w:id="204"/>
    </w:p>
    <w:p>
      <w:pPr>
        <w:spacing w:line="360" w:lineRule="auto"/>
        <w:rPr>
          <w:rFonts w:hint="eastAsia" w:cs="Arial" w:asciiTheme="minorEastAsia" w:hAnsiTheme="minorEastAsia" w:eastAsiaTheme="minorEastAsia"/>
          <w:b/>
          <w:color w:val="auto"/>
          <w:sz w:val="24"/>
          <w:highlight w:val="none"/>
          <w:lang w:eastAsia="zh-CN"/>
        </w:rPr>
      </w:pPr>
      <w:r>
        <w:rPr>
          <w:rFonts w:hint="eastAsia" w:cs="Arial" w:asciiTheme="minorEastAsia" w:hAnsiTheme="minorEastAsia" w:eastAsiaTheme="minorEastAsia"/>
          <w:b/>
          <w:color w:val="auto"/>
          <w:sz w:val="24"/>
          <w:highlight w:val="none"/>
        </w:rPr>
        <w:t>致：</w:t>
      </w:r>
      <w:r>
        <w:rPr>
          <w:rFonts w:hint="eastAsia" w:cs="Arial" w:asciiTheme="minorEastAsia" w:hAnsiTheme="minorEastAsia" w:eastAsiaTheme="minorEastAsia"/>
          <w:b/>
          <w:color w:val="auto"/>
          <w:sz w:val="24"/>
          <w:highlight w:val="none"/>
          <w:u w:val="non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根据贵方的采购文件，我方兹宣布同意如下：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.我方根据采购文件的规定，严格履行合同的责任和义务,并保证于买方要求的日期内完成，并通过买方验收。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.我方已详细审核全部采购文件，包括采购文件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（如有），我方正式认可并遵守本次采购文件，并对采购文件各项条款、规定及要求均无异议。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.我方同意从采购文件规定的响应文件提交截止日期起遵循本采购文件，并在采购文件规定的响应文件有效期之前均具有约束力。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inorEastAsia" w:hAnsiTheme="minorEastAsia" w:eastAsiaTheme="min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05" w:name="_Toc23671"/>
      <w:bookmarkStart w:id="206" w:name="_Toc3741"/>
      <w:bookmarkStart w:id="207" w:name="_Toc11669"/>
      <w:r>
        <w:rPr>
          <w:rFonts w:hint="eastAsia" w:asciiTheme="majorEastAsia" w:hAnsiTheme="majorEastAsia" w:eastAsiaTheme="majorEastAsia"/>
          <w:b/>
          <w:color w:val="auto"/>
          <w:sz w:val="24"/>
          <w:highlight w:val="none"/>
        </w:rPr>
        <w:t>四、</w:t>
      </w:r>
      <w:bookmarkEnd w:id="205"/>
      <w:r>
        <w:rPr>
          <w:rFonts w:hint="eastAsia" w:asciiTheme="minorEastAsia" w:hAnsiTheme="minorEastAsia" w:eastAsiaTheme="minorEastAsia"/>
          <w:b/>
          <w:color w:val="auto"/>
          <w:sz w:val="24"/>
          <w:highlight w:val="none"/>
          <w:lang w:val="en-US" w:eastAsia="zh-CN"/>
        </w:rPr>
        <w:t>供应商资格声明书</w:t>
      </w:r>
      <w:bookmarkEnd w:id="206"/>
      <w:bookmarkEnd w:id="207"/>
      <w:r>
        <w:rPr>
          <w:rFonts w:hint="eastAsia" w:asciiTheme="minorEastAsia" w:hAnsiTheme="minorEastAsia" w:eastAsiaTheme="minorEastAsia"/>
          <w:b/>
          <w:color w:val="auto"/>
          <w:sz w:val="24"/>
          <w:highlight w:val="none"/>
          <w:lang w:val="en-US" w:eastAsia="zh-CN"/>
        </w:rPr>
        <w:t xml:space="preserve"> </w:t>
      </w:r>
    </w:p>
    <w:p>
      <w:pPr>
        <w:pStyle w:val="1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在参与本次项目单一来源采购中，我单位承诺：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（五）与我单位存在单位负责人为同一人或者存在直接控股、管理关系的其他法人单位信息如下（如有，不论其是否参加同一合同项下的政府采购活动均须填写）：</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3047"/>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4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36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4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36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4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36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Theme="minorEastAsia" w:hAnsiTheme="minorEastAsia" w:eastAsiaTheme="minorEastAsia"/>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r>
        <w:rPr>
          <w:rFonts w:asciiTheme="minorEastAsia" w:hAnsiTheme="minorEastAsia" w:eastAsiaTheme="minorEastAsia"/>
          <w:color w:val="auto"/>
          <w:sz w:val="24"/>
          <w:highlight w:val="none"/>
          <w:u w:val="single"/>
        </w:rPr>
        <w:br w:type="page"/>
      </w:r>
    </w:p>
    <w:p>
      <w:pPr>
        <w:spacing w:line="360" w:lineRule="auto"/>
        <w:jc w:val="center"/>
        <w:outlineLvl w:val="1"/>
        <w:rPr>
          <w:rFonts w:asciiTheme="minorEastAsia" w:hAnsiTheme="minorEastAsia" w:eastAsiaTheme="minorEastAsia"/>
          <w:b/>
          <w:color w:val="auto"/>
          <w:sz w:val="24"/>
          <w:highlight w:val="none"/>
        </w:rPr>
      </w:pPr>
      <w:bookmarkStart w:id="208" w:name="_Toc31415"/>
      <w:bookmarkStart w:id="209" w:name="_Toc14261"/>
      <w:r>
        <w:rPr>
          <w:rFonts w:hint="eastAsia" w:asciiTheme="minorEastAsia" w:hAnsiTheme="minorEastAsia" w:eastAsiaTheme="minorEastAsia"/>
          <w:b/>
          <w:color w:val="auto"/>
          <w:sz w:val="24"/>
          <w:highlight w:val="none"/>
        </w:rPr>
        <w:t>五、授权书</w:t>
      </w:r>
      <w:bookmarkEnd w:id="208"/>
      <w:bookmarkEnd w:id="209"/>
    </w:p>
    <w:p>
      <w:pPr>
        <w:pStyle w:val="9"/>
        <w:snapToGrid w:val="0"/>
        <w:spacing w:line="360" w:lineRule="auto"/>
        <w:ind w:firstLine="480" w:firstLineChars="200"/>
        <w:jc w:val="left"/>
        <w:rPr>
          <w:rFonts w:asciiTheme="minorEastAsia" w:hAnsiTheme="minorEastAsia"/>
          <w:color w:val="auto"/>
          <w:sz w:val="24"/>
          <w:szCs w:val="28"/>
          <w:highlight w:val="none"/>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asciiTheme="minorEastAsia" w:hAnsiTheme="minorEastAsia" w:eastAsiaTheme="minorEastAsia"/>
          <w:color w:val="auto"/>
          <w:sz w:val="24"/>
          <w:szCs w:val="28"/>
          <w:highlight w:val="none"/>
        </w:rPr>
        <w:t>书声明：</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（供应商名称）授权</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（供应商授权代表姓名）代表我方参加本项目</w:t>
      </w:r>
      <w:r>
        <w:rPr>
          <w:rFonts w:hint="eastAsia" w:asciiTheme="minorEastAsia" w:hAnsiTheme="minorEastAsia" w:eastAsiaTheme="minorEastAsia"/>
          <w:bCs/>
          <w:color w:val="auto"/>
          <w:sz w:val="24"/>
          <w:szCs w:val="28"/>
          <w:highlight w:val="none"/>
        </w:rPr>
        <w:t>采购活动</w:t>
      </w:r>
      <w:r>
        <w:rPr>
          <w:rFonts w:hint="eastAsia" w:asciiTheme="minorEastAsia" w:hAnsiTheme="minorEastAsia" w:eastAsiaTheme="minorEastAsia"/>
          <w:color w:val="auto"/>
          <w:sz w:val="24"/>
          <w:szCs w:val="28"/>
          <w:highlight w:val="none"/>
        </w:rPr>
        <w:t>，全权代表我方处理单一来源采购过程的一切事宜，包括但不限于：提交响应文件、协商、签约等。供应商授权代表在协商过程中所签署的一切文件和处理与之有关的一切事务，我方均予以认可并对此承担责任。供应商授权代表无转委托权。特此授权。</w:t>
      </w: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本授权书自出具之日起生效。</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授权</w:t>
      </w:r>
      <w:r>
        <w:rPr>
          <w:rFonts w:hint="eastAsia" w:asciiTheme="minorEastAsia" w:hAnsiTheme="minorEastAsia" w:eastAsiaTheme="minorEastAsia"/>
          <w:color w:val="auto"/>
          <w:sz w:val="24"/>
          <w:highlight w:val="none"/>
        </w:rPr>
        <w:t>代表身份证明</w:t>
      </w:r>
      <w:r>
        <w:rPr>
          <w:rFonts w:hint="eastAsia" w:asciiTheme="minorEastAsia" w:hAnsiTheme="minorEastAsia" w:eastAsiaTheme="minorEastAsia"/>
          <w:color w:val="auto"/>
          <w:sz w:val="24"/>
          <w:highlight w:val="none"/>
          <w:lang w:eastAsia="zh-CN"/>
        </w:rPr>
        <w:t>扫描件</w:t>
      </w:r>
      <w:r>
        <w:rPr>
          <w:rFonts w:hint="eastAsia" w:asciiTheme="minorEastAsia" w:hAnsiTheme="minorEastAsia" w:eastAsiaTheme="minorEastAsia"/>
          <w:color w:val="auto"/>
          <w:sz w:val="24"/>
          <w:highlight w:val="none"/>
        </w:rPr>
        <w:t>：</w:t>
      </w:r>
    </w:p>
    <w:p>
      <w:pPr>
        <w:pStyle w:val="2"/>
        <w:rPr>
          <w:rFonts w:hint="eastAsia" w:asciiTheme="minorEastAsia" w:hAnsiTheme="minorEastAsia" w:eastAsiaTheme="minorEastAsia"/>
          <w:color w:val="auto"/>
          <w:sz w:val="24"/>
          <w:highlight w:val="none"/>
        </w:rPr>
      </w:pPr>
    </w:p>
    <w:p>
      <w:pPr>
        <w:pStyle w:val="2"/>
        <w:rPr>
          <w:rFonts w:hint="eastAsia" w:asciiTheme="minorEastAsia" w:hAnsiTheme="minorEastAsia" w:eastAsiaTheme="minorEastAsia"/>
          <w:color w:val="auto"/>
          <w:sz w:val="24"/>
          <w:highlight w:val="none"/>
        </w:rPr>
      </w:pPr>
    </w:p>
    <w:p>
      <w:pPr>
        <w:pStyle w:val="2"/>
        <w:rPr>
          <w:rFonts w:hint="eastAsia"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szCs w:val="28"/>
          <w:highlight w:val="none"/>
          <w:u w:val="single"/>
          <w:lang w:val="zh-CN"/>
        </w:rPr>
      </w:pPr>
      <w:r>
        <w:rPr>
          <w:rFonts w:hint="eastAsia" w:asciiTheme="minorEastAsia" w:hAnsiTheme="minorEastAsia" w:eastAsiaTheme="minorEastAsia"/>
          <w:color w:val="auto"/>
          <w:sz w:val="24"/>
          <w:szCs w:val="28"/>
          <w:highlight w:val="none"/>
        </w:rPr>
        <w:t>授权代表联系方式：</w:t>
      </w:r>
      <w:r>
        <w:rPr>
          <w:rFonts w:hint="eastAsia" w:asciiTheme="minorEastAsia" w:hAnsiTheme="minorEastAsia" w:eastAsiaTheme="minorEastAsia"/>
          <w:color w:val="auto"/>
          <w:sz w:val="24"/>
          <w:szCs w:val="28"/>
          <w:highlight w:val="none"/>
          <w:u w:val="single"/>
        </w:rPr>
        <w:t xml:space="preserve">          （请填写手机号码）</w:t>
      </w:r>
    </w:p>
    <w:p>
      <w:pPr>
        <w:spacing w:line="360" w:lineRule="auto"/>
        <w:ind w:firstLine="435"/>
        <w:rPr>
          <w:rFonts w:asciiTheme="minorEastAsia" w:hAnsiTheme="minorEastAsia" w:eastAsiaTheme="minorEastAsia"/>
          <w:color w:val="auto"/>
          <w:sz w:val="24"/>
          <w:szCs w:val="28"/>
          <w:highlight w:val="none"/>
          <w:lang w:val="zh-CN"/>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Theme="minorEastAsia" w:hAnsiTheme="minorEastAsia" w:eastAsiaTheme="minorEastAsia"/>
          <w:color w:val="auto"/>
          <w:sz w:val="24"/>
          <w:szCs w:val="28"/>
          <w:highlight w:val="none"/>
        </w:rPr>
        <w:t>声明。</w:t>
      </w:r>
    </w:p>
    <w:p>
      <w:pPr>
        <w:spacing w:line="360" w:lineRule="auto"/>
        <w:rPr>
          <w:rFonts w:asciiTheme="minorEastAsia" w:hAnsiTheme="minorEastAsia" w:eastAsiaTheme="min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1.本项目只允许有唯一的供应商授权代表，提供身份证明</w:t>
      </w:r>
      <w:r>
        <w:rPr>
          <w:rFonts w:hint="eastAsia" w:asciiTheme="minorEastAsia" w:hAnsiTheme="minorEastAsia" w:eastAsiaTheme="minorEastAsia"/>
          <w:color w:val="auto"/>
          <w:sz w:val="24"/>
          <w:highlight w:val="none"/>
          <w:lang w:eastAsia="zh-CN"/>
        </w:rPr>
        <w:t>扫描件</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2.法定代表人参加协商的无需提供授权书，提供身份证明</w:t>
      </w:r>
      <w:r>
        <w:rPr>
          <w:rFonts w:hint="eastAsia" w:asciiTheme="minorEastAsia" w:hAnsiTheme="minorEastAsia" w:eastAsiaTheme="minorEastAsia"/>
          <w:color w:val="auto"/>
          <w:sz w:val="24"/>
          <w:highlight w:val="none"/>
          <w:lang w:eastAsia="zh-CN"/>
        </w:rPr>
        <w:t>扫描件</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0" w:name="_Toc29017"/>
      <w:bookmarkStart w:id="211" w:name="_Toc3307"/>
      <w:r>
        <w:rPr>
          <w:rFonts w:hint="eastAsia" w:asciiTheme="minorEastAsia" w:hAnsiTheme="minorEastAsia" w:eastAsiaTheme="minorEastAsia"/>
          <w:b/>
          <w:color w:val="auto"/>
          <w:sz w:val="24"/>
          <w:highlight w:val="none"/>
        </w:rPr>
        <w:t>六、响应表</w:t>
      </w:r>
      <w:bookmarkEnd w:id="210"/>
      <w:bookmarkEnd w:id="211"/>
    </w:p>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6.1</w:t>
      </w:r>
      <w:r>
        <w:rPr>
          <w:rFonts w:hint="eastAsia" w:asciiTheme="minorEastAsia" w:hAnsiTheme="minorEastAsia" w:eastAsiaTheme="minorEastAsia"/>
          <w:b/>
          <w:color w:val="auto"/>
          <w:sz w:val="24"/>
          <w:highlight w:val="none"/>
        </w:rPr>
        <w:t>商务响应表</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采购文件要求</w:t>
            </w:r>
          </w:p>
        </w:tc>
        <w:tc>
          <w:tcPr>
            <w:tcW w:w="1511"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3"/>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Theme="minorEastAsia" w:hAnsiTheme="minorEastAsia" w:eastAsiaTheme="minorEastAsia"/>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6.2</w:t>
      </w:r>
      <w:r>
        <w:rPr>
          <w:rFonts w:hint="eastAsia" w:asciiTheme="minorEastAsia" w:hAnsiTheme="minorEastAsia" w:eastAsiaTheme="minorEastAsia"/>
          <w:b/>
          <w:color w:val="auto"/>
          <w:sz w:val="24"/>
          <w:highlight w:val="none"/>
        </w:rPr>
        <w:t>技术响应表</w:t>
      </w:r>
      <w:bookmarkStart w:id="212" w:name="_Hlk23622474"/>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bookmarkEnd w:id="212"/>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采购文件规定的技术参数要求</w:t>
            </w:r>
          </w:p>
        </w:tc>
        <w:tc>
          <w:tcPr>
            <w:tcW w:w="145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3"/>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3"/>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pStyle w:val="10"/>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3" w:name="_Toc13881"/>
      <w:bookmarkStart w:id="214" w:name="_Toc31573"/>
      <w:r>
        <w:rPr>
          <w:rFonts w:hint="eastAsia" w:asciiTheme="minorEastAsia" w:hAnsiTheme="minorEastAsia" w:eastAsiaTheme="minorEastAsia"/>
          <w:b/>
          <w:color w:val="auto"/>
          <w:sz w:val="24"/>
          <w:highlight w:val="none"/>
          <w:lang w:eastAsia="zh-CN"/>
        </w:rPr>
        <w:t>七</w:t>
      </w:r>
      <w:r>
        <w:rPr>
          <w:rFonts w:hint="eastAsia" w:asciiTheme="minorEastAsia" w:hAnsiTheme="minorEastAsia" w:eastAsiaTheme="minorEastAsia"/>
          <w:b/>
          <w:color w:val="auto"/>
          <w:sz w:val="24"/>
          <w:highlight w:val="none"/>
        </w:rPr>
        <w:t>、诚信履约承诺函</w:t>
      </w:r>
      <w:bookmarkEnd w:id="213"/>
      <w:bookmarkEnd w:id="214"/>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5" w:name="_Toc12353"/>
      <w:bookmarkStart w:id="216" w:name="_Toc15323"/>
      <w:r>
        <w:rPr>
          <w:rFonts w:hint="eastAsia" w:asciiTheme="minorEastAsia" w:hAnsiTheme="minorEastAsia" w:eastAsiaTheme="minorEastAsia"/>
          <w:b/>
          <w:color w:val="auto"/>
          <w:sz w:val="24"/>
          <w:highlight w:val="none"/>
          <w:lang w:eastAsia="zh-CN"/>
        </w:rPr>
        <w:t>八</w:t>
      </w:r>
      <w:r>
        <w:rPr>
          <w:rFonts w:hint="eastAsia" w:asciiTheme="minorEastAsia" w:hAnsiTheme="minorEastAsia" w:eastAsiaTheme="minorEastAsia"/>
          <w:b/>
          <w:color w:val="auto"/>
          <w:sz w:val="24"/>
          <w:highlight w:val="none"/>
        </w:rPr>
        <w:t>、其他相关证明材料</w:t>
      </w:r>
      <w:bookmarkEnd w:id="215"/>
      <w:bookmarkEnd w:id="216"/>
    </w:p>
    <w:p>
      <w:pPr>
        <w:spacing w:line="360" w:lineRule="auto"/>
        <w:ind w:firstLine="435"/>
        <w:rPr>
          <w:rFonts w:asciiTheme="minorEastAsia" w:hAnsiTheme="minorEastAsia" w:eastAsiaTheme="minorEastAsia"/>
          <w:b/>
          <w:color w:val="auto"/>
          <w:sz w:val="28"/>
          <w:highlight w:val="none"/>
        </w:rPr>
      </w:pPr>
      <w:r>
        <w:rPr>
          <w:rFonts w:hint="eastAsia" w:asciiTheme="minorEastAsia" w:hAnsiTheme="minorEastAsia" w:eastAsiaTheme="minorEastAsia"/>
          <w:color w:val="auto"/>
          <w:sz w:val="24"/>
          <w:highlight w:val="none"/>
        </w:rPr>
        <w:t>提供符合采购需求及协商程序和评审标准规定的相关证明文件。</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1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31</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35</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33</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示范文本（货物</w:t>
    </w:r>
    <w:r>
      <w:rPr>
        <w:rFonts w:hint="eastAsia" w:asciiTheme="minorEastAsia" w:hAnsiTheme="minorEastAsia" w:eastAsiaTheme="minorEastAsia"/>
      </w:rPr>
      <w:t>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1232"/>
    <w:rsid w:val="000049DA"/>
    <w:rsid w:val="000056B7"/>
    <w:rsid w:val="00012A13"/>
    <w:rsid w:val="000131F7"/>
    <w:rsid w:val="00016B6C"/>
    <w:rsid w:val="00020B57"/>
    <w:rsid w:val="000312F9"/>
    <w:rsid w:val="00033C40"/>
    <w:rsid w:val="00037DBE"/>
    <w:rsid w:val="00042139"/>
    <w:rsid w:val="00042B14"/>
    <w:rsid w:val="00044C81"/>
    <w:rsid w:val="00044F49"/>
    <w:rsid w:val="000450C3"/>
    <w:rsid w:val="00050A3F"/>
    <w:rsid w:val="000530EC"/>
    <w:rsid w:val="000544DE"/>
    <w:rsid w:val="000549CC"/>
    <w:rsid w:val="000648D2"/>
    <w:rsid w:val="00070E0E"/>
    <w:rsid w:val="00076DB7"/>
    <w:rsid w:val="0007742D"/>
    <w:rsid w:val="00080FEB"/>
    <w:rsid w:val="00094D41"/>
    <w:rsid w:val="00097CB9"/>
    <w:rsid w:val="000A6345"/>
    <w:rsid w:val="000A6693"/>
    <w:rsid w:val="000A6B73"/>
    <w:rsid w:val="000A7D94"/>
    <w:rsid w:val="000B1511"/>
    <w:rsid w:val="000B54F4"/>
    <w:rsid w:val="000C1631"/>
    <w:rsid w:val="000C1DB1"/>
    <w:rsid w:val="000D3F37"/>
    <w:rsid w:val="000D7FBD"/>
    <w:rsid w:val="000E3C74"/>
    <w:rsid w:val="000E3F9B"/>
    <w:rsid w:val="000E6689"/>
    <w:rsid w:val="000F172B"/>
    <w:rsid w:val="000F2198"/>
    <w:rsid w:val="000F39B6"/>
    <w:rsid w:val="000F6B7B"/>
    <w:rsid w:val="00100B0F"/>
    <w:rsid w:val="0010187C"/>
    <w:rsid w:val="001037E3"/>
    <w:rsid w:val="00116A70"/>
    <w:rsid w:val="001177D3"/>
    <w:rsid w:val="0012143A"/>
    <w:rsid w:val="001222C6"/>
    <w:rsid w:val="00136D80"/>
    <w:rsid w:val="00137C7C"/>
    <w:rsid w:val="00140687"/>
    <w:rsid w:val="00143652"/>
    <w:rsid w:val="00146421"/>
    <w:rsid w:val="001479CF"/>
    <w:rsid w:val="00155615"/>
    <w:rsid w:val="00155F64"/>
    <w:rsid w:val="00157856"/>
    <w:rsid w:val="00160729"/>
    <w:rsid w:val="00166ED8"/>
    <w:rsid w:val="001714C9"/>
    <w:rsid w:val="0018119B"/>
    <w:rsid w:val="001844AB"/>
    <w:rsid w:val="001944B8"/>
    <w:rsid w:val="00196DA3"/>
    <w:rsid w:val="00197AC4"/>
    <w:rsid w:val="001A5D34"/>
    <w:rsid w:val="001A68E5"/>
    <w:rsid w:val="001B2A54"/>
    <w:rsid w:val="001B5014"/>
    <w:rsid w:val="001B7327"/>
    <w:rsid w:val="001C67F2"/>
    <w:rsid w:val="001D53B4"/>
    <w:rsid w:val="001E23F0"/>
    <w:rsid w:val="001F28D2"/>
    <w:rsid w:val="001F2F45"/>
    <w:rsid w:val="001F3023"/>
    <w:rsid w:val="001F31B0"/>
    <w:rsid w:val="001F35F6"/>
    <w:rsid w:val="001F74CA"/>
    <w:rsid w:val="002003B6"/>
    <w:rsid w:val="002049B4"/>
    <w:rsid w:val="0020520B"/>
    <w:rsid w:val="002058AF"/>
    <w:rsid w:val="00213C55"/>
    <w:rsid w:val="002178B1"/>
    <w:rsid w:val="00223CF4"/>
    <w:rsid w:val="00224C4A"/>
    <w:rsid w:val="0023407E"/>
    <w:rsid w:val="00240B40"/>
    <w:rsid w:val="002440D8"/>
    <w:rsid w:val="00244182"/>
    <w:rsid w:val="00260B94"/>
    <w:rsid w:val="00264F2E"/>
    <w:rsid w:val="002703E8"/>
    <w:rsid w:val="00271245"/>
    <w:rsid w:val="00274A9E"/>
    <w:rsid w:val="00276292"/>
    <w:rsid w:val="00276BA1"/>
    <w:rsid w:val="00277094"/>
    <w:rsid w:val="00290CD1"/>
    <w:rsid w:val="00293C71"/>
    <w:rsid w:val="002A1A1D"/>
    <w:rsid w:val="002A28AD"/>
    <w:rsid w:val="002A3AEE"/>
    <w:rsid w:val="002A7FC1"/>
    <w:rsid w:val="002B5318"/>
    <w:rsid w:val="002B6D27"/>
    <w:rsid w:val="002D2965"/>
    <w:rsid w:val="002D3D02"/>
    <w:rsid w:val="002D4CB5"/>
    <w:rsid w:val="002D684B"/>
    <w:rsid w:val="002E0ACA"/>
    <w:rsid w:val="002E3B26"/>
    <w:rsid w:val="002E4AB8"/>
    <w:rsid w:val="002E4BAD"/>
    <w:rsid w:val="0030337B"/>
    <w:rsid w:val="00310070"/>
    <w:rsid w:val="003110EC"/>
    <w:rsid w:val="00327C92"/>
    <w:rsid w:val="00333292"/>
    <w:rsid w:val="003344E7"/>
    <w:rsid w:val="0033580B"/>
    <w:rsid w:val="003365E7"/>
    <w:rsid w:val="003378D5"/>
    <w:rsid w:val="0034000C"/>
    <w:rsid w:val="003473D7"/>
    <w:rsid w:val="00351AC8"/>
    <w:rsid w:val="003528B7"/>
    <w:rsid w:val="00353075"/>
    <w:rsid w:val="00356223"/>
    <w:rsid w:val="00363E02"/>
    <w:rsid w:val="00372B3E"/>
    <w:rsid w:val="00373A96"/>
    <w:rsid w:val="003826C2"/>
    <w:rsid w:val="00383728"/>
    <w:rsid w:val="00391586"/>
    <w:rsid w:val="00394128"/>
    <w:rsid w:val="003947A4"/>
    <w:rsid w:val="00395235"/>
    <w:rsid w:val="0039561A"/>
    <w:rsid w:val="00397C7D"/>
    <w:rsid w:val="003A004F"/>
    <w:rsid w:val="003B4130"/>
    <w:rsid w:val="003B67D3"/>
    <w:rsid w:val="003B6B17"/>
    <w:rsid w:val="003B715B"/>
    <w:rsid w:val="003D0263"/>
    <w:rsid w:val="003D1D14"/>
    <w:rsid w:val="003D6C7C"/>
    <w:rsid w:val="003D6EFB"/>
    <w:rsid w:val="003D7E52"/>
    <w:rsid w:val="003E25C6"/>
    <w:rsid w:val="003E5F2D"/>
    <w:rsid w:val="003F145B"/>
    <w:rsid w:val="004011AA"/>
    <w:rsid w:val="0040202C"/>
    <w:rsid w:val="00406508"/>
    <w:rsid w:val="0041456E"/>
    <w:rsid w:val="00414F7E"/>
    <w:rsid w:val="004164F8"/>
    <w:rsid w:val="00420B7F"/>
    <w:rsid w:val="00431435"/>
    <w:rsid w:val="004427B7"/>
    <w:rsid w:val="0044349F"/>
    <w:rsid w:val="00445F1F"/>
    <w:rsid w:val="00451F60"/>
    <w:rsid w:val="00452BB2"/>
    <w:rsid w:val="0045656D"/>
    <w:rsid w:val="00462D98"/>
    <w:rsid w:val="00465136"/>
    <w:rsid w:val="00472A44"/>
    <w:rsid w:val="00473A89"/>
    <w:rsid w:val="00475899"/>
    <w:rsid w:val="00482C78"/>
    <w:rsid w:val="004874AE"/>
    <w:rsid w:val="00494D24"/>
    <w:rsid w:val="004951D1"/>
    <w:rsid w:val="004A27D0"/>
    <w:rsid w:val="004A43F9"/>
    <w:rsid w:val="004A4D67"/>
    <w:rsid w:val="004D12B4"/>
    <w:rsid w:val="004D3D4B"/>
    <w:rsid w:val="004D5498"/>
    <w:rsid w:val="004D66A5"/>
    <w:rsid w:val="004D6B00"/>
    <w:rsid w:val="004E1D50"/>
    <w:rsid w:val="004E1DF5"/>
    <w:rsid w:val="004E3991"/>
    <w:rsid w:val="004F0396"/>
    <w:rsid w:val="00501382"/>
    <w:rsid w:val="00510798"/>
    <w:rsid w:val="00524A11"/>
    <w:rsid w:val="00527768"/>
    <w:rsid w:val="005327FB"/>
    <w:rsid w:val="00533FCA"/>
    <w:rsid w:val="00546D49"/>
    <w:rsid w:val="005616B5"/>
    <w:rsid w:val="005904E5"/>
    <w:rsid w:val="00597B15"/>
    <w:rsid w:val="005A044C"/>
    <w:rsid w:val="005B5C95"/>
    <w:rsid w:val="005D0200"/>
    <w:rsid w:val="005D44EF"/>
    <w:rsid w:val="005D4814"/>
    <w:rsid w:val="005D5112"/>
    <w:rsid w:val="005E5AD8"/>
    <w:rsid w:val="005F3914"/>
    <w:rsid w:val="005F3B5A"/>
    <w:rsid w:val="005F5A1E"/>
    <w:rsid w:val="005F6AB4"/>
    <w:rsid w:val="00607D20"/>
    <w:rsid w:val="00610A66"/>
    <w:rsid w:val="00611533"/>
    <w:rsid w:val="00613177"/>
    <w:rsid w:val="00613F7C"/>
    <w:rsid w:val="00614BF2"/>
    <w:rsid w:val="00617573"/>
    <w:rsid w:val="00623DE2"/>
    <w:rsid w:val="00627601"/>
    <w:rsid w:val="006300D0"/>
    <w:rsid w:val="00632012"/>
    <w:rsid w:val="00634694"/>
    <w:rsid w:val="00636517"/>
    <w:rsid w:val="00637690"/>
    <w:rsid w:val="00640E1E"/>
    <w:rsid w:val="0064389A"/>
    <w:rsid w:val="00645442"/>
    <w:rsid w:val="006525CD"/>
    <w:rsid w:val="00653F7F"/>
    <w:rsid w:val="00662EE8"/>
    <w:rsid w:val="00663813"/>
    <w:rsid w:val="00663C3B"/>
    <w:rsid w:val="00664AFD"/>
    <w:rsid w:val="00667567"/>
    <w:rsid w:val="0067391A"/>
    <w:rsid w:val="00674173"/>
    <w:rsid w:val="0067535A"/>
    <w:rsid w:val="00683CA0"/>
    <w:rsid w:val="00690DB1"/>
    <w:rsid w:val="0069287B"/>
    <w:rsid w:val="00693404"/>
    <w:rsid w:val="006953D9"/>
    <w:rsid w:val="006B1242"/>
    <w:rsid w:val="006B1DBC"/>
    <w:rsid w:val="006B5263"/>
    <w:rsid w:val="006B63B7"/>
    <w:rsid w:val="006B7D9A"/>
    <w:rsid w:val="006C06D9"/>
    <w:rsid w:val="006C5716"/>
    <w:rsid w:val="006C74A9"/>
    <w:rsid w:val="006D07DE"/>
    <w:rsid w:val="006E06D9"/>
    <w:rsid w:val="006E1D40"/>
    <w:rsid w:val="006E2E1F"/>
    <w:rsid w:val="006E4F5D"/>
    <w:rsid w:val="006F5FFF"/>
    <w:rsid w:val="006F6E33"/>
    <w:rsid w:val="006F7AF3"/>
    <w:rsid w:val="00707B8C"/>
    <w:rsid w:val="00710804"/>
    <w:rsid w:val="00711FC6"/>
    <w:rsid w:val="007130B1"/>
    <w:rsid w:val="00715071"/>
    <w:rsid w:val="007158F8"/>
    <w:rsid w:val="00721D6E"/>
    <w:rsid w:val="007231E9"/>
    <w:rsid w:val="0072558E"/>
    <w:rsid w:val="00727C59"/>
    <w:rsid w:val="00734E5D"/>
    <w:rsid w:val="00736013"/>
    <w:rsid w:val="00737661"/>
    <w:rsid w:val="00755D75"/>
    <w:rsid w:val="00756245"/>
    <w:rsid w:val="00761662"/>
    <w:rsid w:val="00764043"/>
    <w:rsid w:val="007757CF"/>
    <w:rsid w:val="007805D8"/>
    <w:rsid w:val="0078128F"/>
    <w:rsid w:val="0078683C"/>
    <w:rsid w:val="00790EDB"/>
    <w:rsid w:val="00791538"/>
    <w:rsid w:val="0079326E"/>
    <w:rsid w:val="00796EDE"/>
    <w:rsid w:val="007A017E"/>
    <w:rsid w:val="007A5A58"/>
    <w:rsid w:val="007A6740"/>
    <w:rsid w:val="007B1C56"/>
    <w:rsid w:val="007B28BD"/>
    <w:rsid w:val="007B4996"/>
    <w:rsid w:val="007C3CD5"/>
    <w:rsid w:val="007C61EF"/>
    <w:rsid w:val="007D1C0D"/>
    <w:rsid w:val="007D2D23"/>
    <w:rsid w:val="007E27D6"/>
    <w:rsid w:val="007E3921"/>
    <w:rsid w:val="00801028"/>
    <w:rsid w:val="00803793"/>
    <w:rsid w:val="008149FD"/>
    <w:rsid w:val="00817A01"/>
    <w:rsid w:val="00825CD7"/>
    <w:rsid w:val="00825E35"/>
    <w:rsid w:val="008334F8"/>
    <w:rsid w:val="008341AA"/>
    <w:rsid w:val="00841414"/>
    <w:rsid w:val="0084346B"/>
    <w:rsid w:val="00852340"/>
    <w:rsid w:val="00876659"/>
    <w:rsid w:val="0087734C"/>
    <w:rsid w:val="00882141"/>
    <w:rsid w:val="00884341"/>
    <w:rsid w:val="008922A8"/>
    <w:rsid w:val="00895BD5"/>
    <w:rsid w:val="008A16C4"/>
    <w:rsid w:val="008A6FED"/>
    <w:rsid w:val="008A7A94"/>
    <w:rsid w:val="008B0D13"/>
    <w:rsid w:val="008B39C5"/>
    <w:rsid w:val="008B51AA"/>
    <w:rsid w:val="008B79B1"/>
    <w:rsid w:val="008C67F2"/>
    <w:rsid w:val="008C7F65"/>
    <w:rsid w:val="008D064A"/>
    <w:rsid w:val="008D2B0F"/>
    <w:rsid w:val="008E449E"/>
    <w:rsid w:val="008E4527"/>
    <w:rsid w:val="008E5E29"/>
    <w:rsid w:val="008E7342"/>
    <w:rsid w:val="008E7705"/>
    <w:rsid w:val="008F187F"/>
    <w:rsid w:val="008F402F"/>
    <w:rsid w:val="008F596E"/>
    <w:rsid w:val="008F76E8"/>
    <w:rsid w:val="008F7CD0"/>
    <w:rsid w:val="009078A1"/>
    <w:rsid w:val="00911E9C"/>
    <w:rsid w:val="00917405"/>
    <w:rsid w:val="00920F7C"/>
    <w:rsid w:val="00931502"/>
    <w:rsid w:val="00933379"/>
    <w:rsid w:val="00934CAE"/>
    <w:rsid w:val="009409CA"/>
    <w:rsid w:val="0094257D"/>
    <w:rsid w:val="0095467C"/>
    <w:rsid w:val="00954A61"/>
    <w:rsid w:val="00955C6F"/>
    <w:rsid w:val="00966C7B"/>
    <w:rsid w:val="009701DC"/>
    <w:rsid w:val="009708D2"/>
    <w:rsid w:val="009715D8"/>
    <w:rsid w:val="00985C4B"/>
    <w:rsid w:val="00987D4C"/>
    <w:rsid w:val="00995BF9"/>
    <w:rsid w:val="009A097A"/>
    <w:rsid w:val="009A0CAF"/>
    <w:rsid w:val="009A1474"/>
    <w:rsid w:val="009A2207"/>
    <w:rsid w:val="009A5959"/>
    <w:rsid w:val="009B6C42"/>
    <w:rsid w:val="009B7D70"/>
    <w:rsid w:val="009C2206"/>
    <w:rsid w:val="009D217A"/>
    <w:rsid w:val="009D31F7"/>
    <w:rsid w:val="009D32C2"/>
    <w:rsid w:val="009D50DB"/>
    <w:rsid w:val="009E3A0A"/>
    <w:rsid w:val="009F3E91"/>
    <w:rsid w:val="00A142E5"/>
    <w:rsid w:val="00A1499B"/>
    <w:rsid w:val="00A227B2"/>
    <w:rsid w:val="00A22D37"/>
    <w:rsid w:val="00A314C2"/>
    <w:rsid w:val="00A31CB3"/>
    <w:rsid w:val="00A51C93"/>
    <w:rsid w:val="00A62559"/>
    <w:rsid w:val="00A63E86"/>
    <w:rsid w:val="00A65A1C"/>
    <w:rsid w:val="00A757C3"/>
    <w:rsid w:val="00A75E5B"/>
    <w:rsid w:val="00A7684A"/>
    <w:rsid w:val="00A7771B"/>
    <w:rsid w:val="00A83A9B"/>
    <w:rsid w:val="00A83B69"/>
    <w:rsid w:val="00A86533"/>
    <w:rsid w:val="00A91CA2"/>
    <w:rsid w:val="00A92FB8"/>
    <w:rsid w:val="00A93D44"/>
    <w:rsid w:val="00A948F1"/>
    <w:rsid w:val="00AA1D7D"/>
    <w:rsid w:val="00AB139D"/>
    <w:rsid w:val="00AB3EFB"/>
    <w:rsid w:val="00AC0B05"/>
    <w:rsid w:val="00AC0B97"/>
    <w:rsid w:val="00AD079A"/>
    <w:rsid w:val="00AD1890"/>
    <w:rsid w:val="00AE2149"/>
    <w:rsid w:val="00AE33AE"/>
    <w:rsid w:val="00AE3785"/>
    <w:rsid w:val="00AE3F91"/>
    <w:rsid w:val="00AE452F"/>
    <w:rsid w:val="00AE4F90"/>
    <w:rsid w:val="00AE76E6"/>
    <w:rsid w:val="00AF418A"/>
    <w:rsid w:val="00B039E3"/>
    <w:rsid w:val="00B0711B"/>
    <w:rsid w:val="00B104DD"/>
    <w:rsid w:val="00B22838"/>
    <w:rsid w:val="00B33E95"/>
    <w:rsid w:val="00B3720B"/>
    <w:rsid w:val="00B5558A"/>
    <w:rsid w:val="00B56513"/>
    <w:rsid w:val="00B56B2E"/>
    <w:rsid w:val="00B64376"/>
    <w:rsid w:val="00B7401F"/>
    <w:rsid w:val="00B806C3"/>
    <w:rsid w:val="00B84FCA"/>
    <w:rsid w:val="00B9089F"/>
    <w:rsid w:val="00B91AEE"/>
    <w:rsid w:val="00B95F5A"/>
    <w:rsid w:val="00B96EAD"/>
    <w:rsid w:val="00BA79F5"/>
    <w:rsid w:val="00BB3AB6"/>
    <w:rsid w:val="00BB766D"/>
    <w:rsid w:val="00BC007B"/>
    <w:rsid w:val="00BC239B"/>
    <w:rsid w:val="00BC26BA"/>
    <w:rsid w:val="00BC35F8"/>
    <w:rsid w:val="00BC623B"/>
    <w:rsid w:val="00BE18C5"/>
    <w:rsid w:val="00BF16B9"/>
    <w:rsid w:val="00BF376F"/>
    <w:rsid w:val="00BF46A6"/>
    <w:rsid w:val="00BF58A9"/>
    <w:rsid w:val="00C06545"/>
    <w:rsid w:val="00C1161C"/>
    <w:rsid w:val="00C1244B"/>
    <w:rsid w:val="00C220FC"/>
    <w:rsid w:val="00C24DFA"/>
    <w:rsid w:val="00C46A36"/>
    <w:rsid w:val="00C46D88"/>
    <w:rsid w:val="00C47037"/>
    <w:rsid w:val="00C53625"/>
    <w:rsid w:val="00C602C1"/>
    <w:rsid w:val="00C63FC0"/>
    <w:rsid w:val="00C66392"/>
    <w:rsid w:val="00C74C5E"/>
    <w:rsid w:val="00C77C8D"/>
    <w:rsid w:val="00C827A2"/>
    <w:rsid w:val="00C82B69"/>
    <w:rsid w:val="00C90167"/>
    <w:rsid w:val="00C91B28"/>
    <w:rsid w:val="00C91F3A"/>
    <w:rsid w:val="00CB439E"/>
    <w:rsid w:val="00CB4A8E"/>
    <w:rsid w:val="00CB5797"/>
    <w:rsid w:val="00CB5B5E"/>
    <w:rsid w:val="00CC1202"/>
    <w:rsid w:val="00CC644B"/>
    <w:rsid w:val="00CD09E1"/>
    <w:rsid w:val="00CD6202"/>
    <w:rsid w:val="00CE4913"/>
    <w:rsid w:val="00CE4AC0"/>
    <w:rsid w:val="00CE66BD"/>
    <w:rsid w:val="00CF0671"/>
    <w:rsid w:val="00CF44AD"/>
    <w:rsid w:val="00CF4FC0"/>
    <w:rsid w:val="00D030F2"/>
    <w:rsid w:val="00D1072F"/>
    <w:rsid w:val="00D108A5"/>
    <w:rsid w:val="00D14585"/>
    <w:rsid w:val="00D20EFF"/>
    <w:rsid w:val="00D25ABC"/>
    <w:rsid w:val="00D34F0D"/>
    <w:rsid w:val="00D34F7B"/>
    <w:rsid w:val="00D3516E"/>
    <w:rsid w:val="00D4064C"/>
    <w:rsid w:val="00D41225"/>
    <w:rsid w:val="00D476E0"/>
    <w:rsid w:val="00D53ED8"/>
    <w:rsid w:val="00D64857"/>
    <w:rsid w:val="00D6493A"/>
    <w:rsid w:val="00D67875"/>
    <w:rsid w:val="00D71E86"/>
    <w:rsid w:val="00D731C6"/>
    <w:rsid w:val="00D745C5"/>
    <w:rsid w:val="00D75327"/>
    <w:rsid w:val="00D80C36"/>
    <w:rsid w:val="00D86779"/>
    <w:rsid w:val="00D86EE1"/>
    <w:rsid w:val="00D91A99"/>
    <w:rsid w:val="00D933AC"/>
    <w:rsid w:val="00D96126"/>
    <w:rsid w:val="00D97441"/>
    <w:rsid w:val="00DA7B6C"/>
    <w:rsid w:val="00DB4B1C"/>
    <w:rsid w:val="00DB5085"/>
    <w:rsid w:val="00DC1062"/>
    <w:rsid w:val="00DC132C"/>
    <w:rsid w:val="00DC5D94"/>
    <w:rsid w:val="00DD1134"/>
    <w:rsid w:val="00DD43F0"/>
    <w:rsid w:val="00DD44DE"/>
    <w:rsid w:val="00DE09AB"/>
    <w:rsid w:val="00DE4A3F"/>
    <w:rsid w:val="00DF4367"/>
    <w:rsid w:val="00DF76FB"/>
    <w:rsid w:val="00E0574A"/>
    <w:rsid w:val="00E1243D"/>
    <w:rsid w:val="00E12742"/>
    <w:rsid w:val="00E146D4"/>
    <w:rsid w:val="00E20976"/>
    <w:rsid w:val="00E211B4"/>
    <w:rsid w:val="00E22B44"/>
    <w:rsid w:val="00E30ACD"/>
    <w:rsid w:val="00E31B57"/>
    <w:rsid w:val="00E32735"/>
    <w:rsid w:val="00E66E36"/>
    <w:rsid w:val="00E702ED"/>
    <w:rsid w:val="00E709A4"/>
    <w:rsid w:val="00E73822"/>
    <w:rsid w:val="00E772DB"/>
    <w:rsid w:val="00E86012"/>
    <w:rsid w:val="00E86450"/>
    <w:rsid w:val="00E86BAB"/>
    <w:rsid w:val="00E94E10"/>
    <w:rsid w:val="00E96743"/>
    <w:rsid w:val="00E96A42"/>
    <w:rsid w:val="00EA0A36"/>
    <w:rsid w:val="00EA49C5"/>
    <w:rsid w:val="00EB5027"/>
    <w:rsid w:val="00EC1836"/>
    <w:rsid w:val="00EC3990"/>
    <w:rsid w:val="00EC484B"/>
    <w:rsid w:val="00ED15FA"/>
    <w:rsid w:val="00ED3F57"/>
    <w:rsid w:val="00ED7B24"/>
    <w:rsid w:val="00EE6E9A"/>
    <w:rsid w:val="00EF0BF1"/>
    <w:rsid w:val="00EF2AC4"/>
    <w:rsid w:val="00EF397E"/>
    <w:rsid w:val="00EF4C0E"/>
    <w:rsid w:val="00F06F68"/>
    <w:rsid w:val="00F1713B"/>
    <w:rsid w:val="00F24C2D"/>
    <w:rsid w:val="00F26D85"/>
    <w:rsid w:val="00F26F54"/>
    <w:rsid w:val="00F27356"/>
    <w:rsid w:val="00F32A81"/>
    <w:rsid w:val="00F4320E"/>
    <w:rsid w:val="00F46998"/>
    <w:rsid w:val="00F47100"/>
    <w:rsid w:val="00F50BC1"/>
    <w:rsid w:val="00F5382D"/>
    <w:rsid w:val="00F53D9C"/>
    <w:rsid w:val="00F5462B"/>
    <w:rsid w:val="00F634AD"/>
    <w:rsid w:val="00F63677"/>
    <w:rsid w:val="00F75B81"/>
    <w:rsid w:val="00F804C4"/>
    <w:rsid w:val="00F82F83"/>
    <w:rsid w:val="00F832E5"/>
    <w:rsid w:val="00F85900"/>
    <w:rsid w:val="00F90F40"/>
    <w:rsid w:val="00F92B30"/>
    <w:rsid w:val="00F933B9"/>
    <w:rsid w:val="00F938AB"/>
    <w:rsid w:val="00F94674"/>
    <w:rsid w:val="00F94919"/>
    <w:rsid w:val="00F94A59"/>
    <w:rsid w:val="00FA25B6"/>
    <w:rsid w:val="00FA2FAF"/>
    <w:rsid w:val="00FA4BB4"/>
    <w:rsid w:val="00FA64B1"/>
    <w:rsid w:val="00FA70F3"/>
    <w:rsid w:val="00FA71CD"/>
    <w:rsid w:val="00FB0453"/>
    <w:rsid w:val="00FB0C07"/>
    <w:rsid w:val="00FB298D"/>
    <w:rsid w:val="00FB57E2"/>
    <w:rsid w:val="00FB5C76"/>
    <w:rsid w:val="00FC1439"/>
    <w:rsid w:val="00FC724B"/>
    <w:rsid w:val="00FC7910"/>
    <w:rsid w:val="00FF0DA7"/>
    <w:rsid w:val="00FF0F8F"/>
    <w:rsid w:val="00FF44E0"/>
    <w:rsid w:val="00FF6C72"/>
    <w:rsid w:val="03021A9A"/>
    <w:rsid w:val="033B482B"/>
    <w:rsid w:val="05D81721"/>
    <w:rsid w:val="0ACC78F9"/>
    <w:rsid w:val="0AF8048C"/>
    <w:rsid w:val="0B0974D2"/>
    <w:rsid w:val="0BB236EC"/>
    <w:rsid w:val="0CF773F2"/>
    <w:rsid w:val="0DAE5868"/>
    <w:rsid w:val="0DCB1BDF"/>
    <w:rsid w:val="0DEA5D13"/>
    <w:rsid w:val="0ECE7FF7"/>
    <w:rsid w:val="16330BCA"/>
    <w:rsid w:val="18B835C0"/>
    <w:rsid w:val="2120385C"/>
    <w:rsid w:val="21510D0C"/>
    <w:rsid w:val="2191541A"/>
    <w:rsid w:val="22660EAD"/>
    <w:rsid w:val="25E5245B"/>
    <w:rsid w:val="282A442D"/>
    <w:rsid w:val="29411BA9"/>
    <w:rsid w:val="29A56C4B"/>
    <w:rsid w:val="2A426596"/>
    <w:rsid w:val="2CCA2648"/>
    <w:rsid w:val="2DD12008"/>
    <w:rsid w:val="2FF83E5B"/>
    <w:rsid w:val="32697EE8"/>
    <w:rsid w:val="3E3361A8"/>
    <w:rsid w:val="42712AA7"/>
    <w:rsid w:val="436639E6"/>
    <w:rsid w:val="43680DC4"/>
    <w:rsid w:val="440A1268"/>
    <w:rsid w:val="45B72A55"/>
    <w:rsid w:val="45F33E4F"/>
    <w:rsid w:val="4A725E70"/>
    <w:rsid w:val="4ED11EB2"/>
    <w:rsid w:val="5754544E"/>
    <w:rsid w:val="584A6BAC"/>
    <w:rsid w:val="5B3012ED"/>
    <w:rsid w:val="5F7B2CF0"/>
    <w:rsid w:val="62054DC8"/>
    <w:rsid w:val="624F7F32"/>
    <w:rsid w:val="62820518"/>
    <w:rsid w:val="63D8721D"/>
    <w:rsid w:val="67476448"/>
    <w:rsid w:val="6CC62404"/>
    <w:rsid w:val="6D7800EF"/>
    <w:rsid w:val="6E5661AF"/>
    <w:rsid w:val="6E8679BF"/>
    <w:rsid w:val="72CC1BD6"/>
    <w:rsid w:val="73B43DC2"/>
    <w:rsid w:val="73EB6821"/>
    <w:rsid w:val="74503C05"/>
    <w:rsid w:val="74F84494"/>
    <w:rsid w:val="760A0840"/>
    <w:rsid w:val="7E560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1"/>
    <w:autoRedefine/>
    <w:qFormat/>
    <w:uiPriority w:val="9"/>
    <w:pPr>
      <w:keepNext/>
      <w:keepLines/>
      <w:spacing w:before="340" w:after="330" w:line="578" w:lineRule="auto"/>
      <w:outlineLvl w:val="0"/>
    </w:pPr>
    <w:rPr>
      <w:b/>
      <w:bCs/>
      <w:kern w:val="44"/>
      <w:sz w:val="44"/>
      <w:szCs w:val="44"/>
    </w:rPr>
  </w:style>
  <w:style w:type="paragraph" w:styleId="4">
    <w:name w:val="heading 3"/>
    <w:basedOn w:val="1"/>
    <w:next w:val="1"/>
    <w:link w:val="43"/>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8"/>
    <w:autoRedefine/>
    <w:qFormat/>
    <w:uiPriority w:val="0"/>
    <w:pPr>
      <w:keepNext/>
      <w:keepLines/>
      <w:spacing w:before="280" w:after="290" w:line="376" w:lineRule="auto"/>
      <w:outlineLvl w:val="3"/>
    </w:pPr>
    <w:rPr>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6">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7">
    <w:name w:val="annotation text"/>
    <w:basedOn w:val="1"/>
    <w:link w:val="40"/>
    <w:autoRedefine/>
    <w:qFormat/>
    <w:uiPriority w:val="0"/>
    <w:pPr>
      <w:jc w:val="left"/>
    </w:pPr>
    <w:rPr>
      <w:rFonts w:ascii="Arial" w:hAnsi="Arial" w:eastAsia="黑体" w:cs="Arial"/>
    </w:rPr>
  </w:style>
  <w:style w:type="paragraph" w:styleId="8">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9">
    <w:name w:val="Plain Text"/>
    <w:basedOn w:val="1"/>
    <w:link w:val="29"/>
    <w:autoRedefine/>
    <w:qFormat/>
    <w:uiPriority w:val="0"/>
    <w:rPr>
      <w:rFonts w:ascii="宋体" w:hAnsi="Courier New" w:eastAsiaTheme="minorEastAsia" w:cstheme="minorBidi"/>
      <w:szCs w:val="22"/>
    </w:rPr>
  </w:style>
  <w:style w:type="paragraph" w:styleId="10">
    <w:name w:val="Date"/>
    <w:basedOn w:val="1"/>
    <w:next w:val="1"/>
    <w:link w:val="36"/>
    <w:autoRedefine/>
    <w:qFormat/>
    <w:uiPriority w:val="0"/>
    <w:rPr>
      <w:rFonts w:ascii="Arial" w:hAnsi="Arial" w:eastAsia="宋体" w:cs="Arial"/>
      <w:b/>
      <w:sz w:val="28"/>
    </w:rPr>
  </w:style>
  <w:style w:type="paragraph" w:styleId="11">
    <w:name w:val="Balloon Text"/>
    <w:basedOn w:val="1"/>
    <w:link w:val="23"/>
    <w:autoRedefine/>
    <w:semiHidden/>
    <w:unhideWhenUsed/>
    <w:qFormat/>
    <w:uiPriority w:val="99"/>
    <w:rPr>
      <w:sz w:val="18"/>
      <w:szCs w:val="18"/>
    </w:rPr>
  </w:style>
  <w:style w:type="paragraph" w:styleId="12">
    <w:name w:val="footer"/>
    <w:basedOn w:val="1"/>
    <w:link w:val="28"/>
    <w:autoRedefine/>
    <w:unhideWhenUsed/>
    <w:qFormat/>
    <w:uiPriority w:val="99"/>
    <w:pPr>
      <w:tabs>
        <w:tab w:val="center" w:pos="4153"/>
        <w:tab w:val="right" w:pos="8306"/>
      </w:tabs>
      <w:snapToGrid w:val="0"/>
      <w:jc w:val="left"/>
    </w:pPr>
    <w:rPr>
      <w:sz w:val="18"/>
      <w:szCs w:val="18"/>
    </w:rPr>
  </w:style>
  <w:style w:type="paragraph" w:styleId="13">
    <w:name w:val="header"/>
    <w:basedOn w:val="1"/>
    <w:link w:val="27"/>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index 1"/>
    <w:basedOn w:val="1"/>
    <w:next w:val="1"/>
    <w:autoRedefine/>
    <w:qFormat/>
    <w:uiPriority w:val="0"/>
    <w:pPr>
      <w:jc w:val="center"/>
    </w:pPr>
    <w:rPr>
      <w:rFonts w:ascii="Arial" w:hAnsi="Arial" w:eastAsia="Arial" w:cs="Arial"/>
      <w:b/>
      <w:bCs/>
      <w:sz w:val="28"/>
    </w:rPr>
  </w:style>
  <w:style w:type="paragraph" w:styleId="17">
    <w:name w:val="Body Text First Indent"/>
    <w:basedOn w:val="2"/>
    <w:autoRedefine/>
    <w:unhideWhenUsed/>
    <w:qFormat/>
    <w:uiPriority w:val="99"/>
    <w:pPr>
      <w:ind w:firstLine="420" w:firstLineChars="100"/>
    </w:pPr>
  </w:style>
  <w:style w:type="table" w:styleId="19">
    <w:name w:val="Table Grid"/>
    <w:basedOn w:val="18"/>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autoRedefine/>
    <w:qFormat/>
    <w:uiPriority w:val="0"/>
    <w:rPr>
      <w:b/>
      <w:bCs/>
    </w:rPr>
  </w:style>
  <w:style w:type="character" w:styleId="22">
    <w:name w:val="Hyperlink"/>
    <w:basedOn w:val="20"/>
    <w:autoRedefine/>
    <w:unhideWhenUsed/>
    <w:qFormat/>
    <w:uiPriority w:val="99"/>
    <w:rPr>
      <w:color w:val="0000FF" w:themeColor="hyperlink"/>
      <w:u w:val="single"/>
      <w14:textFill>
        <w14:solidFill>
          <w14:schemeClr w14:val="hlink"/>
        </w14:solidFill>
      </w14:textFill>
    </w:rPr>
  </w:style>
  <w:style w:type="character" w:customStyle="1" w:styleId="23">
    <w:name w:val="批注框文本 字符"/>
    <w:basedOn w:val="20"/>
    <w:link w:val="11"/>
    <w:autoRedefine/>
    <w:semiHidden/>
    <w:qFormat/>
    <w:uiPriority w:val="99"/>
    <w:rPr>
      <w:rFonts w:ascii="@仿宋_GB2312" w:hAnsi="@仿宋_GB2312" w:eastAsia="@仿宋_GB2312" w:cs="@仿宋_GB2312"/>
      <w:sz w:val="18"/>
      <w:szCs w:val="18"/>
    </w:rPr>
  </w:style>
  <w:style w:type="paragraph" w:customStyle="1" w:styleId="24">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5">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26">
    <w:name w:val="D&amp;L"/>
    <w:basedOn w:val="13"/>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7">
    <w:name w:val="页眉 字符"/>
    <w:basedOn w:val="20"/>
    <w:link w:val="13"/>
    <w:autoRedefine/>
    <w:qFormat/>
    <w:uiPriority w:val="0"/>
    <w:rPr>
      <w:rFonts w:ascii="@仿宋_GB2312" w:hAnsi="@仿宋_GB2312" w:eastAsia="@仿宋_GB2312" w:cs="@仿宋_GB2312"/>
      <w:sz w:val="18"/>
      <w:szCs w:val="18"/>
    </w:rPr>
  </w:style>
  <w:style w:type="character" w:customStyle="1" w:styleId="28">
    <w:name w:val="页脚 字符"/>
    <w:basedOn w:val="20"/>
    <w:link w:val="12"/>
    <w:autoRedefine/>
    <w:qFormat/>
    <w:uiPriority w:val="99"/>
    <w:rPr>
      <w:rFonts w:ascii="@仿宋_GB2312" w:hAnsi="@仿宋_GB2312" w:eastAsia="@仿宋_GB2312" w:cs="@仿宋_GB2312"/>
      <w:sz w:val="18"/>
      <w:szCs w:val="18"/>
    </w:rPr>
  </w:style>
  <w:style w:type="character" w:customStyle="1" w:styleId="29">
    <w:name w:val="纯文本 字符"/>
    <w:link w:val="9"/>
    <w:autoRedefine/>
    <w:qFormat/>
    <w:uiPriority w:val="0"/>
    <w:rPr>
      <w:rFonts w:ascii="宋体" w:hAnsi="Courier New"/>
    </w:rPr>
  </w:style>
  <w:style w:type="character" w:customStyle="1" w:styleId="30">
    <w:name w:val="纯文本 字符1"/>
    <w:basedOn w:val="20"/>
    <w:autoRedefine/>
    <w:semiHidden/>
    <w:qFormat/>
    <w:uiPriority w:val="99"/>
    <w:rPr>
      <w:rFonts w:hAnsi="Courier New" w:cs="Courier New" w:asciiTheme="minorEastAsia"/>
      <w:szCs w:val="20"/>
    </w:rPr>
  </w:style>
  <w:style w:type="character" w:customStyle="1" w:styleId="31">
    <w:name w:val="未处理的提及1"/>
    <w:basedOn w:val="20"/>
    <w:semiHidden/>
    <w:unhideWhenUsed/>
    <w:qFormat/>
    <w:uiPriority w:val="99"/>
    <w:rPr>
      <w:color w:val="605E5C"/>
      <w:shd w:val="clear" w:color="auto" w:fill="E1DFDD"/>
    </w:rPr>
  </w:style>
  <w:style w:type="paragraph" w:styleId="32">
    <w:name w:val="List Paragraph"/>
    <w:basedOn w:val="1"/>
    <w:autoRedefine/>
    <w:qFormat/>
    <w:uiPriority w:val="34"/>
    <w:pPr>
      <w:ind w:firstLine="420" w:firstLineChars="200"/>
    </w:pPr>
  </w:style>
  <w:style w:type="paragraph" w:customStyle="1" w:styleId="33">
    <w:name w:val="Char Char Char Char Char Char Char1 Char"/>
    <w:basedOn w:val="1"/>
    <w:autoRedefine/>
    <w:qFormat/>
    <w:uiPriority w:val="0"/>
    <w:rPr>
      <w:rFonts w:ascii="Arial" w:hAnsi="Arial" w:eastAsia="宋体" w:cs="Arial"/>
      <w:sz w:val="24"/>
    </w:rPr>
  </w:style>
  <w:style w:type="table" w:customStyle="1" w:styleId="34">
    <w:name w:val="网格表 1 浅色1"/>
    <w:basedOn w:val="18"/>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5">
    <w:name w:val="日期 字符"/>
    <w:basedOn w:val="20"/>
    <w:autoRedefine/>
    <w:semiHidden/>
    <w:qFormat/>
    <w:uiPriority w:val="99"/>
    <w:rPr>
      <w:rFonts w:ascii="@仿宋_GB2312" w:hAnsi="@仿宋_GB2312" w:eastAsia="@仿宋_GB2312" w:cs="@仿宋_GB2312"/>
      <w:szCs w:val="20"/>
    </w:rPr>
  </w:style>
  <w:style w:type="character" w:customStyle="1" w:styleId="36">
    <w:name w:val="日期 字符1"/>
    <w:link w:val="10"/>
    <w:autoRedefine/>
    <w:qFormat/>
    <w:uiPriority w:val="0"/>
    <w:rPr>
      <w:rFonts w:ascii="Arial" w:hAnsi="Arial" w:eastAsia="宋体" w:cs="Arial"/>
      <w:b/>
      <w:sz w:val="28"/>
      <w:szCs w:val="20"/>
    </w:rPr>
  </w:style>
  <w:style w:type="character" w:customStyle="1" w:styleId="37">
    <w:name w:val="纯文本 Char1"/>
    <w:link w:val="38"/>
    <w:autoRedefine/>
    <w:qFormat/>
    <w:locked/>
    <w:uiPriority w:val="0"/>
    <w:rPr>
      <w:rFonts w:ascii="Arial" w:hAnsi="Arial" w:eastAsia="Arial"/>
      <w:kern w:val="2"/>
      <w:sz w:val="21"/>
      <w:lang w:val="en-US" w:eastAsia="zh-CN" w:bidi="ar-SA"/>
    </w:rPr>
  </w:style>
  <w:style w:type="paragraph" w:customStyle="1" w:styleId="38">
    <w:name w:val="纯文本1"/>
    <w:basedOn w:val="1"/>
    <w:link w:val="37"/>
    <w:autoRedefine/>
    <w:qFormat/>
    <w:uiPriority w:val="0"/>
    <w:rPr>
      <w:rFonts w:ascii="Arial" w:hAnsi="Arial" w:eastAsia="Arial" w:cstheme="minorBidi"/>
      <w:szCs w:val="22"/>
    </w:rPr>
  </w:style>
  <w:style w:type="character" w:customStyle="1" w:styleId="39">
    <w:name w:val="批注文字 Char"/>
    <w:basedOn w:val="20"/>
    <w:autoRedefine/>
    <w:semiHidden/>
    <w:qFormat/>
    <w:uiPriority w:val="99"/>
    <w:rPr>
      <w:rFonts w:ascii="@仿宋_GB2312" w:hAnsi="@仿宋_GB2312" w:eastAsia="@仿宋_GB2312" w:cs="@仿宋_GB2312"/>
      <w:szCs w:val="20"/>
    </w:rPr>
  </w:style>
  <w:style w:type="character" w:customStyle="1" w:styleId="40">
    <w:name w:val="批注文字 字符"/>
    <w:link w:val="7"/>
    <w:autoRedefine/>
    <w:qFormat/>
    <w:uiPriority w:val="0"/>
    <w:rPr>
      <w:rFonts w:ascii="Arial" w:hAnsi="Arial" w:eastAsia="黑体" w:cs="Arial"/>
      <w:szCs w:val="20"/>
    </w:rPr>
  </w:style>
  <w:style w:type="character" w:customStyle="1" w:styleId="41">
    <w:name w:val="标题 1 字符"/>
    <w:basedOn w:val="20"/>
    <w:link w:val="3"/>
    <w:autoRedefine/>
    <w:qFormat/>
    <w:uiPriority w:val="9"/>
    <w:rPr>
      <w:rFonts w:ascii="@仿宋_GB2312" w:hAnsi="@仿宋_GB2312" w:eastAsia="@仿宋_GB2312" w:cs="@仿宋_GB2312"/>
      <w:b/>
      <w:bCs/>
      <w:kern w:val="44"/>
      <w:sz w:val="44"/>
      <w:szCs w:val="44"/>
    </w:rPr>
  </w:style>
  <w:style w:type="paragraph" w:customStyle="1" w:styleId="42">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标题 3 字符"/>
    <w:basedOn w:val="20"/>
    <w:link w:val="4"/>
    <w:autoRedefine/>
    <w:semiHidden/>
    <w:qFormat/>
    <w:uiPriority w:val="9"/>
    <w:rPr>
      <w:rFonts w:ascii="@仿宋_GB2312" w:hAnsi="@仿宋_GB2312" w:eastAsia="@仿宋_GB2312" w:cs="@仿宋_GB2312"/>
      <w:b/>
      <w:bCs/>
      <w:sz w:val="32"/>
      <w:szCs w:val="32"/>
    </w:rPr>
  </w:style>
  <w:style w:type="character" w:customStyle="1" w:styleId="44">
    <w:name w:val="fontstyle01"/>
    <w:basedOn w:val="20"/>
    <w:autoRedefine/>
    <w:qFormat/>
    <w:uiPriority w:val="0"/>
    <w:rPr>
      <w:rFonts w:hint="eastAsia" w:ascii="宋体" w:hAnsi="宋体" w:eastAsia="宋体"/>
      <w:color w:val="000000"/>
      <w:sz w:val="22"/>
      <w:szCs w:val="22"/>
    </w:rPr>
  </w:style>
  <w:style w:type="character" w:customStyle="1" w:styleId="45">
    <w:name w:val="fontstyle21"/>
    <w:basedOn w:val="20"/>
    <w:autoRedefine/>
    <w:qFormat/>
    <w:uiPriority w:val="0"/>
    <w:rPr>
      <w:rFonts w:hint="default" w:ascii="TimesNewRomanPSMT" w:hAnsi="TimesNewRomanPSMT"/>
      <w:color w:val="000000"/>
      <w:sz w:val="22"/>
      <w:szCs w:val="22"/>
    </w:rPr>
  </w:style>
  <w:style w:type="character" w:customStyle="1" w:styleId="46">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47">
    <w:name w:val="标题 4 字符"/>
    <w:basedOn w:val="20"/>
    <w:autoRedefine/>
    <w:semiHidden/>
    <w:qFormat/>
    <w:uiPriority w:val="9"/>
    <w:rPr>
      <w:rFonts w:asciiTheme="majorHAnsi" w:hAnsiTheme="majorHAnsi" w:eastAsiaTheme="majorEastAsia" w:cstheme="majorBidi"/>
      <w:b/>
      <w:bCs/>
      <w:sz w:val="28"/>
      <w:szCs w:val="28"/>
    </w:rPr>
  </w:style>
  <w:style w:type="character" w:customStyle="1" w:styleId="48">
    <w:name w:val="标题 4 字符1"/>
    <w:link w:val="5"/>
    <w:autoRedefine/>
    <w:qFormat/>
    <w:uiPriority w:val="0"/>
    <w:rPr>
      <w:rFonts w:ascii="@仿宋_GB2312" w:hAnsi="@仿宋_GB2312" w:eastAsia="@仿宋_GB2312" w:cs="@仿宋_GB2312"/>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8ECD-E22D-4D0D-918B-F11B9CC08BF2}">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37</Pages>
  <Words>13706</Words>
  <Characters>14349</Characters>
  <Lines>102</Lines>
  <Paragraphs>28</Paragraphs>
  <TotalTime>0</TotalTime>
  <ScaleCrop>false</ScaleCrop>
  <LinksUpToDate>false</LinksUpToDate>
  <CharactersWithSpaces>16264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2019-12-07T15:23:00Z</cp:lastPrinted>
  <dcterms:modified xsi:type="dcterms:W3CDTF">2024-05-23T10:15:10Z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4BE9200D711E4577894F5C6AF8444741_12</vt:lpwstr>
  </property>
</Properties>
</file>