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竞争性谈判文件示范文本（货物类）</w:t>
      </w:r>
    </w:p>
    <w:bookmarkEnd w:id="0"/>
    <w:p>
      <w:pPr>
        <w:tabs>
          <w:tab w:val="left" w:pos="315"/>
          <w:tab w:val="left" w:pos="8820"/>
        </w:tabs>
        <w:spacing w:before="240" w:beforeLines="100" w:after="120" w:afterLines="50" w:line="500" w:lineRule="exact"/>
        <w:ind w:right="267" w:rightChars="127"/>
        <w:jc w:val="center"/>
        <w:rPr>
          <w:rFonts w:hint="eastAsia" w:ascii="宋体" w:hAnsi="宋体" w:eastAsia="宋体"/>
          <w:b/>
          <w:bCs w:val="0"/>
          <w:color w:val="auto"/>
          <w:sz w:val="44"/>
          <w:szCs w:val="44"/>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月</w:t>
      </w:r>
    </w:p>
    <w:p>
      <w:pPr>
        <w:spacing w:line="360" w:lineRule="auto"/>
        <w:jc w:val="center"/>
        <w:outlineLvl w:val="0"/>
        <w:rPr>
          <w:rFonts w:ascii="Times New Roman" w:hAnsi="Times New Roman" w:eastAsia="宋体" w:cs="Times New Roman"/>
          <w:b/>
          <w:sz w:val="36"/>
          <w:szCs w:val="36"/>
          <w:highlight w:val="none"/>
        </w:rPr>
      </w:pPr>
      <w:bookmarkStart w:id="1" w:name="_Toc99301417"/>
      <w:bookmarkStart w:id="2" w:name="_Toc74227630"/>
      <w:bookmarkStart w:id="3" w:name="_Toc18512"/>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谈判小组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6"/>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_Toc14792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谈判邀请</w:t>
      </w:r>
      <w:r>
        <w:tab/>
      </w:r>
      <w:r>
        <w:fldChar w:fldCharType="begin"/>
      </w:r>
      <w:r>
        <w:instrText xml:space="preserve"> PAGEREF _Toc14792 \h </w:instrText>
      </w:r>
      <w:r>
        <w:fldChar w:fldCharType="separate"/>
      </w:r>
      <w:r>
        <w:t>1</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_Toc21898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_Toc21898 \h </w:instrText>
      </w:r>
      <w:r>
        <w:fldChar w:fldCharType="separate"/>
      </w:r>
      <w:r>
        <w:t>3</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_Toc25461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_Toc25461 \h </w:instrText>
      </w:r>
      <w:r>
        <w:fldChar w:fldCharType="separate"/>
      </w:r>
      <w:r>
        <w:t>15</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_Toc20811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_Toc20811 \h </w:instrText>
      </w:r>
      <w:r>
        <w:fldChar w:fldCharType="separate"/>
      </w:r>
      <w:r>
        <w:t>17</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_Toc6738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_Toc6738 \h </w:instrText>
      </w:r>
      <w:r>
        <w:fldChar w:fldCharType="separate"/>
      </w:r>
      <w:r>
        <w:t>20</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_Toc24145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_Toc24145 \h </w:instrText>
      </w:r>
      <w:r>
        <w:fldChar w:fldCharType="separate"/>
      </w:r>
      <w:r>
        <w:t>29</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_Toc11034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章</w:t>
      </w:r>
      <w:r>
        <w:rPr>
          <w:rFonts w:hint="eastAsia"/>
          <w:bCs/>
          <w:highlight w:val="none"/>
        </w:rPr>
        <w:t xml:space="preserve">  </w:t>
      </w:r>
      <w:r>
        <w:rPr>
          <w:rFonts w:hint="eastAsia" w:ascii="宋体" w:hAnsi="宋体" w:eastAsia="宋体"/>
          <w:bCs/>
          <w:highlight w:val="none"/>
        </w:rPr>
        <w:t>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_Toc11034 \h </w:instrText>
      </w:r>
      <w:r>
        <w:fldChar w:fldCharType="separate"/>
      </w:r>
      <w:r>
        <w:t>47</w:t>
      </w:r>
      <w:r>
        <w:fldChar w:fldCharType="end"/>
      </w:r>
      <w:r>
        <w:rPr>
          <w:rFonts w:asciiTheme="minorEastAsia" w:hAnsiTheme="minorEastAsia"/>
          <w:bCs/>
          <w:color w:val="auto"/>
          <w:szCs w:val="24"/>
          <w:highlight w:val="none"/>
        </w:rPr>
        <w:fldChar w:fldCharType="end"/>
      </w:r>
    </w:p>
    <w:p>
      <w:pPr>
        <w:pStyle w:val="17"/>
        <w:tabs>
          <w:tab w:val="right" w:leader="dot" w:pos="8296"/>
        </w:tabs>
        <w:rPr>
          <w:color w:val="auto"/>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4792"/>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谈判邀请</w:t>
      </w:r>
      <w:bookmarkEnd w:id="4"/>
    </w:p>
    <w:p>
      <w:pPr>
        <w:spacing w:line="360" w:lineRule="auto"/>
        <w:ind w:firstLine="435"/>
        <w:outlineLvl w:val="1"/>
        <w:rPr>
          <w:rFonts w:ascii="宋体" w:hAnsi="宋体" w:eastAsia="宋体"/>
          <w:b/>
          <w:bCs/>
          <w:color w:val="auto"/>
          <w:sz w:val="24"/>
          <w:szCs w:val="18"/>
          <w:highlight w:val="none"/>
        </w:rPr>
      </w:pPr>
      <w:bookmarkStart w:id="5" w:name="_Toc31120"/>
      <w:bookmarkStart w:id="6" w:name="_Toc18458"/>
      <w:r>
        <w:rPr>
          <w:rFonts w:hint="eastAsia" w:ascii="宋体" w:hAnsi="宋体" w:eastAsia="宋体"/>
          <w:b/>
          <w:bCs/>
          <w:color w:val="auto"/>
          <w:sz w:val="24"/>
          <w:szCs w:val="18"/>
          <w:highlight w:val="none"/>
        </w:rPr>
        <w:t>一、项目名称及内容</w:t>
      </w:r>
      <w:bookmarkEnd w:id="5"/>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7.本项目（是/否）接受联合体。</w:t>
      </w:r>
    </w:p>
    <w:p>
      <w:pPr>
        <w:spacing w:line="360" w:lineRule="auto"/>
        <w:ind w:firstLine="435"/>
        <w:outlineLvl w:val="1"/>
        <w:rPr>
          <w:rFonts w:ascii="宋体" w:hAnsi="宋体" w:eastAsia="宋体"/>
          <w:b/>
          <w:bCs/>
          <w:color w:val="auto"/>
          <w:sz w:val="24"/>
          <w:szCs w:val="18"/>
          <w:highlight w:val="none"/>
        </w:rPr>
      </w:pPr>
      <w:bookmarkStart w:id="7" w:name="_Toc26738"/>
      <w:bookmarkStart w:id="8" w:name="_Toc25828"/>
      <w:r>
        <w:rPr>
          <w:rFonts w:hint="eastAsia" w:ascii="宋体" w:hAnsi="宋体" w:eastAsia="宋体"/>
          <w:b/>
          <w:bCs/>
          <w:color w:val="auto"/>
          <w:sz w:val="24"/>
          <w:szCs w:val="18"/>
          <w:highlight w:val="none"/>
        </w:rPr>
        <w:t>二</w:t>
      </w:r>
      <w:r>
        <w:rPr>
          <w:rFonts w:hint="eastAsia" w:asciiTheme="minorEastAsia" w:hAnsiTheme="minorEastAsia" w:eastAsiaTheme="minorEastAsia"/>
          <w:b/>
          <w:color w:val="auto"/>
          <w:sz w:val="24"/>
          <w:highlight w:val="none"/>
        </w:rPr>
        <w:t>、</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outlineLvl w:val="9"/>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i/>
          <w:iCs/>
          <w:color w:val="auto"/>
          <w:sz w:val="24"/>
          <w:highlight w:val="none"/>
          <w:lang w:val="en-US" w:eastAsia="zh-CN"/>
        </w:rPr>
        <w:t>由采购人根据项目专门面向中小企业采购情形填写</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1"/>
        <w:rPr>
          <w:rFonts w:ascii="宋体" w:hAnsi="宋体" w:eastAsia="宋体"/>
          <w:b/>
          <w:bCs/>
          <w:color w:val="auto"/>
          <w:sz w:val="24"/>
          <w:szCs w:val="18"/>
          <w:highlight w:val="none"/>
        </w:rPr>
      </w:pPr>
      <w:bookmarkStart w:id="9" w:name="_Toc20109"/>
      <w:bookmarkStart w:id="10" w:name="_Toc10106"/>
      <w:r>
        <w:rPr>
          <w:rFonts w:hint="eastAsia" w:ascii="宋体" w:hAnsi="宋体" w:eastAsia="宋体"/>
          <w:b/>
          <w:bCs/>
          <w:color w:val="auto"/>
          <w:sz w:val="24"/>
          <w:szCs w:val="18"/>
          <w:highlight w:val="none"/>
        </w:rPr>
        <w:t>三</w:t>
      </w:r>
      <w:r>
        <w:rPr>
          <w:rFonts w:hint="eastAsia" w:asciiTheme="minorEastAsia" w:hAnsiTheme="minorEastAsia" w:eastAsiaTheme="minorEastAsia"/>
          <w:b/>
          <w:color w:val="auto"/>
          <w:sz w:val="24"/>
          <w:highlight w:val="none"/>
        </w:rPr>
        <w:t>、</w:t>
      </w:r>
      <w:bookmarkEnd w:id="9"/>
      <w:r>
        <w:rPr>
          <w:rFonts w:hint="eastAsia" w:asciiTheme="minorEastAsia" w:hAnsiTheme="minorEastAsia" w:eastAsiaTheme="minorEastAsia"/>
          <w:b/>
          <w:color w:val="auto"/>
          <w:sz w:val="24"/>
          <w:highlight w:val="none"/>
        </w:rPr>
        <w:t>获取采购文件</w:t>
      </w:r>
      <w:bookmarkEnd w:id="10"/>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i/>
          <w:iCs/>
          <w:sz w:val="24"/>
          <w:szCs w:val="24"/>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1" w:name="_Toc19753"/>
      <w:bookmarkStart w:id="12" w:name="_Toc1095"/>
      <w:r>
        <w:rPr>
          <w:rFonts w:hint="eastAsia" w:ascii="宋体" w:hAnsi="宋体" w:eastAsia="宋体"/>
          <w:b/>
          <w:bCs/>
          <w:color w:val="auto"/>
          <w:sz w:val="24"/>
          <w:szCs w:val="18"/>
          <w:highlight w:val="none"/>
        </w:rPr>
        <w:t>四</w:t>
      </w:r>
      <w:r>
        <w:rPr>
          <w:rFonts w:hint="eastAsia" w:asciiTheme="minorEastAsia" w:hAnsiTheme="minorEastAsia" w:eastAsiaTheme="minorEastAsia"/>
          <w:b/>
          <w:color w:val="auto"/>
          <w:sz w:val="24"/>
          <w:highlight w:val="none"/>
        </w:rPr>
        <w:t>、</w:t>
      </w:r>
      <w:bookmarkEnd w:id="11"/>
      <w:r>
        <w:rPr>
          <w:rFonts w:hint="eastAsia" w:ascii="宋体" w:hAnsi="宋体" w:eastAsia="宋体"/>
          <w:b/>
          <w:bCs/>
          <w:color w:val="auto"/>
          <w:sz w:val="24"/>
          <w:highlight w:val="none"/>
        </w:rPr>
        <w:t>响应文件提交</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从谈判文件开始发出之日起至供应商提交首次响应文件截止之日止不得少于3个工作日</w:t>
      </w:r>
      <w:r>
        <w:rPr>
          <w:rFonts w:hint="eastAsia" w:asciiTheme="minorEastAsia" w:hAnsiTheme="minorEastAsia" w:eastAsiaTheme="minorEastAsia" w:cstheme="minorEastAsia"/>
          <w:iCs/>
          <w:sz w:val="24"/>
          <w:szCs w:val="24"/>
          <w:u w:val="none"/>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3" w:name="_Toc8953"/>
      <w:bookmarkStart w:id="14" w:name="_Toc29151"/>
      <w:r>
        <w:rPr>
          <w:rFonts w:hint="eastAsia" w:ascii="宋体" w:hAnsi="宋体" w:eastAsia="宋体"/>
          <w:b/>
          <w:bCs/>
          <w:color w:val="auto"/>
          <w:sz w:val="24"/>
          <w:szCs w:val="18"/>
          <w:highlight w:val="none"/>
        </w:rPr>
        <w:t>五</w:t>
      </w:r>
      <w:r>
        <w:rPr>
          <w:rFonts w:hint="eastAsia" w:asciiTheme="minorEastAsia" w:hAnsiTheme="minorEastAsia" w:eastAsiaTheme="minorEastAsia"/>
          <w:b/>
          <w:color w:val="auto"/>
          <w:sz w:val="24"/>
          <w:highlight w:val="none"/>
        </w:rPr>
        <w:t>、</w:t>
      </w:r>
      <w:bookmarkEnd w:id="13"/>
      <w:r>
        <w:rPr>
          <w:rFonts w:hint="eastAsia" w:ascii="宋体" w:hAnsi="宋体" w:eastAsia="宋体"/>
          <w:b/>
          <w:bCs/>
          <w:color w:val="auto"/>
          <w:sz w:val="24"/>
          <w:highlight w:val="none"/>
        </w:rPr>
        <w:t>开启</w:t>
      </w:r>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u w:val="none"/>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5" w:name="_Toc2060"/>
      <w:bookmarkStart w:id="16" w:name="_Toc16203"/>
      <w:r>
        <w:rPr>
          <w:rFonts w:hint="eastAsia" w:ascii="宋体" w:hAnsi="宋体" w:eastAsia="宋体"/>
          <w:b/>
          <w:bCs/>
          <w:color w:val="auto"/>
          <w:sz w:val="24"/>
          <w:szCs w:val="18"/>
          <w:highlight w:val="none"/>
          <w:lang w:val="en-US" w:eastAsia="zh-CN"/>
        </w:rPr>
        <w:t>六</w:t>
      </w:r>
      <w:r>
        <w:rPr>
          <w:rFonts w:hint="eastAsia" w:ascii="宋体" w:hAnsi="宋体" w:eastAsia="宋体"/>
          <w:b/>
          <w:bCs/>
          <w:color w:val="auto"/>
          <w:sz w:val="24"/>
          <w:szCs w:val="18"/>
          <w:highlight w:val="none"/>
        </w:rPr>
        <w:t>、公告期限</w:t>
      </w:r>
      <w:bookmarkEnd w:id="1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自本公告发布之日起3个工作日。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7" w:name="_Toc35393626"/>
      <w:bookmarkStart w:id="18" w:name="_Toc10195"/>
      <w:bookmarkStart w:id="19" w:name="_Toc35393795"/>
      <w:r>
        <w:rPr>
          <w:rFonts w:hint="eastAsia" w:ascii="宋体" w:hAnsi="宋体" w:eastAsia="宋体"/>
          <w:b/>
          <w:bCs/>
          <w:color w:val="auto"/>
          <w:sz w:val="24"/>
          <w:szCs w:val="18"/>
          <w:highlight w:val="none"/>
          <w:lang w:val="en-US" w:eastAsia="zh-CN"/>
        </w:rPr>
        <w:t>七</w:t>
      </w:r>
      <w:r>
        <w:rPr>
          <w:rFonts w:hint="eastAsia" w:ascii="宋体" w:hAnsi="宋体" w:eastAsia="宋体"/>
          <w:b/>
          <w:bCs/>
          <w:color w:val="auto"/>
          <w:sz w:val="24"/>
          <w:szCs w:val="18"/>
          <w:highlight w:val="none"/>
        </w:rPr>
        <w:t>、其他补充事宜</w:t>
      </w:r>
      <w:bookmarkEnd w:id="17"/>
      <w:bookmarkEnd w:id="18"/>
      <w:bookmarkEnd w:id="1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b w:val="0"/>
          <w:bCs w:val="0"/>
          <w:color w:val="auto"/>
          <w:sz w:val="24"/>
          <w:szCs w:val="18"/>
          <w:highlight w:val="none"/>
          <w:lang w:val="en-US" w:eastAsia="zh-CN"/>
        </w:rPr>
      </w:pPr>
      <w:r>
        <w:rPr>
          <w:rFonts w:hint="eastAsia" w:ascii="宋体" w:hAnsi="宋体" w:eastAsia="宋体"/>
          <w:b w:val="0"/>
          <w:bCs w:val="0"/>
          <w:color w:val="auto"/>
          <w:sz w:val="24"/>
          <w:szCs w:val="18"/>
          <w:highlight w:val="none"/>
          <w:lang w:val="en-US" w:eastAsia="zh-CN"/>
        </w:rPr>
        <w:t>2.</w:t>
      </w:r>
      <w:r>
        <w:rPr>
          <w:rFonts w:hint="eastAsia" w:ascii="宋体" w:hAnsi="宋体" w:eastAsia="宋体"/>
          <w:b w:val="0"/>
          <w:bCs w:val="0"/>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ascii="宋体" w:hAnsi="宋体" w:eastAsia="宋体"/>
          <w:b/>
          <w:bCs/>
          <w:color w:val="auto"/>
          <w:sz w:val="24"/>
          <w:szCs w:val="18"/>
          <w:highlight w:val="none"/>
        </w:rPr>
      </w:pPr>
      <w:bookmarkStart w:id="20" w:name="_Toc25606"/>
      <w:r>
        <w:rPr>
          <w:rFonts w:hint="eastAsia" w:ascii="宋体" w:hAnsi="宋体" w:eastAsia="宋体"/>
          <w:b/>
          <w:bCs/>
          <w:color w:val="auto"/>
          <w:sz w:val="24"/>
          <w:szCs w:val="18"/>
          <w:highlight w:val="none"/>
          <w:lang w:val="en-US" w:eastAsia="zh-CN"/>
        </w:rPr>
        <w:t>八</w:t>
      </w:r>
      <w:r>
        <w:rPr>
          <w:rFonts w:hint="eastAsia" w:asciiTheme="minorEastAsia" w:hAnsiTheme="minorEastAsia" w:eastAsiaTheme="minorEastAsia"/>
          <w:b/>
          <w:color w:val="auto"/>
          <w:sz w:val="24"/>
          <w:highlight w:val="none"/>
        </w:rPr>
        <w:t>、</w:t>
      </w:r>
      <w:bookmarkEnd w:id="16"/>
      <w:r>
        <w:rPr>
          <w:rFonts w:hint="eastAsia" w:ascii="宋体" w:hAnsi="宋体" w:eastAsia="宋体"/>
          <w:b/>
          <w:bCs/>
          <w:color w:val="auto"/>
          <w:sz w:val="24"/>
          <w:szCs w:val="18"/>
          <w:highlight w:val="none"/>
        </w:rPr>
        <w:t>凡对本次采购提出询问，请按以下方式联系</w:t>
      </w:r>
      <w:bookmarkEnd w:id="20"/>
    </w:p>
    <w:p>
      <w:pPr>
        <w:spacing w:line="360" w:lineRule="auto"/>
        <w:ind w:firstLine="435"/>
        <w:outlineLvl w:val="2"/>
        <w:rPr>
          <w:rFonts w:ascii="宋体" w:hAnsi="宋体" w:eastAsia="宋体"/>
          <w:color w:val="auto"/>
          <w:sz w:val="24"/>
          <w:szCs w:val="18"/>
          <w:highlight w:val="none"/>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21898"/>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28122"/>
      <w:bookmarkStart w:id="23" w:name="_Toc25752"/>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21"/>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8"/>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60" w:type="pct"/>
            <w:vAlign w:val="center"/>
          </w:tcPr>
          <w:p>
            <w:pPr>
              <w:pStyle w:val="28"/>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28"/>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98" w:type="dxa"/>
            <w:vAlign w:val="center"/>
          </w:tcPr>
          <w:p>
            <w:pPr>
              <w:pStyle w:val="29"/>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2228" w:type="dxa"/>
            <w:vAlign w:val="center"/>
          </w:tcPr>
          <w:p>
            <w:pPr>
              <w:pStyle w:val="28"/>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6275" w:type="dxa"/>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6.1</w:t>
            </w:r>
          </w:p>
        </w:tc>
        <w:tc>
          <w:tcPr>
            <w:tcW w:w="1160" w:type="pct"/>
            <w:vAlign w:val="center"/>
          </w:tcPr>
          <w:p>
            <w:pPr>
              <w:pStyle w:val="28"/>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28"/>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供应商参加多个包</w:t>
            </w:r>
            <w:r>
              <w:rPr>
                <w:rFonts w:hint="eastAsia" w:ascii="宋体" w:hAnsi="宋体" w:eastAsia="宋体"/>
                <w:b w:val="0"/>
                <w:color w:val="auto"/>
                <w:sz w:val="24"/>
                <w:highlight w:val="none"/>
              </w:rPr>
              <w:t>谈判</w:t>
            </w:r>
            <w:r>
              <w:rPr>
                <w:rFonts w:hint="eastAsia" w:ascii="宋体" w:hAnsi="宋体" w:eastAsia="宋体"/>
                <w:b w:val="0"/>
                <w:bCs w:val="0"/>
                <w:color w:val="auto"/>
                <w:sz w:val="24"/>
                <w:szCs w:val="24"/>
                <w:highlight w:val="none"/>
              </w:rPr>
              <w:t>的成交</w:t>
            </w:r>
            <w:r>
              <w:rPr>
                <w:rFonts w:ascii="宋体" w:hAnsi="宋体" w:eastAsia="宋体"/>
                <w:b w:val="0"/>
                <w:bCs w:val="0"/>
                <w:color w:val="auto"/>
                <w:sz w:val="24"/>
                <w:szCs w:val="24"/>
                <w:highlight w:val="none"/>
              </w:rPr>
              <w:t>包</w:t>
            </w:r>
            <w:r>
              <w:rPr>
                <w:rFonts w:hint="eastAsia" w:ascii="宋体" w:hAnsi="宋体" w:eastAsia="宋体"/>
                <w:b w:val="0"/>
                <w:bCs w:val="0"/>
                <w:color w:val="auto"/>
                <w:sz w:val="24"/>
                <w:szCs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10</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谈判保证金</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谈判有效期</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14</w:t>
            </w:r>
            <w:r>
              <w:rPr>
                <w:rFonts w:hint="eastAsia" w:ascii="宋体" w:hAnsi="宋体" w:eastAsia="宋体"/>
                <w:bCs/>
                <w:color w:val="auto"/>
                <w:kern w:val="2"/>
                <w:highlight w:val="none"/>
              </w:rPr>
              <w:t>.3</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none"/>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w:t>
            </w:r>
            <w:r>
              <w:rPr>
                <w:rFonts w:hint="eastAsia" w:ascii="宋体" w:hAnsi="宋体" w:eastAsia="宋体"/>
                <w:bCs/>
                <w:color w:val="auto"/>
                <w:kern w:val="2"/>
                <w:highlight w:val="none"/>
              </w:rPr>
              <w:t>4</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restar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rPr>
              <w:t>1</w:t>
            </w:r>
          </w:p>
        </w:tc>
        <w:tc>
          <w:tcPr>
            <w:tcW w:w="1160" w:type="pct"/>
            <w:vMerge w:val="restar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确定成交候选人和成交供应商</w:t>
            </w:r>
          </w:p>
        </w:tc>
        <w:tc>
          <w:tcPr>
            <w:tcW w:w="3267" w:type="pct"/>
            <w:vAlign w:val="center"/>
          </w:tcPr>
          <w:p>
            <w:pPr>
              <w:pStyle w:val="28"/>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谈判小组推荐成交候选人的</w:t>
            </w:r>
            <w:r>
              <w:rPr>
                <w:rFonts w:ascii="宋体" w:hAnsi="宋体" w:eastAsia="宋体"/>
                <w:b w:val="0"/>
                <w:color w:val="auto"/>
                <w:sz w:val="24"/>
                <w:highlight w:val="none"/>
              </w:rPr>
              <w:t>数量</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pPr>
              <w:pStyle w:val="28"/>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p>
        </w:tc>
        <w:tc>
          <w:tcPr>
            <w:tcW w:w="1160" w:type="pct"/>
            <w:vMerge w:val="continue"/>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□采购人委托谈判小组确定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随</w:t>
            </w:r>
            <w:r>
              <w:rPr>
                <w:rFonts w:hint="eastAsia" w:ascii="宋体" w:hAnsi="宋体" w:eastAsia="宋体"/>
                <w:b w:val="0"/>
                <w:color w:val="auto"/>
                <w:sz w:val="24"/>
                <w:highlight w:val="none"/>
                <w:lang w:val="en-US" w:eastAsia="zh-CN"/>
              </w:rPr>
              <w:t>成交</w:t>
            </w:r>
            <w:r>
              <w:rPr>
                <w:rFonts w:hint="eastAsia" w:ascii="宋体" w:hAnsi="宋体" w:eastAsia="宋体"/>
                <w:b w:val="0"/>
                <w:color w:val="auto"/>
                <w:sz w:val="24"/>
                <w:highlight w:val="none"/>
              </w:rPr>
              <w:t>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28"/>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28"/>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color w:val="auto"/>
                <w:sz w:val="24"/>
                <w:highlight w:val="none"/>
                <w:u w:val="none"/>
                <w:lang w:eastAsia="zh-CN"/>
              </w:rPr>
              <w:t>；</w:t>
            </w:r>
          </w:p>
          <w:p>
            <w:pPr>
              <w:pStyle w:val="28"/>
              <w:widowControl w:val="0"/>
              <w:spacing w:before="0" w:beforeAutospacing="0" w:after="0" w:afterAutospacing="0" w:line="360" w:lineRule="auto"/>
              <w:jc w:val="both"/>
              <w:rPr>
                <w:rFonts w:ascii="宋体" w:hAnsi="宋体" w:eastAsia="宋体" w:cs="@仿宋_GB2312"/>
                <w:b w:val="0"/>
                <w:bCs w:val="0"/>
                <w:color w:val="auto"/>
                <w:kern w:val="0"/>
                <w:sz w:val="24"/>
                <w:szCs w:val="24"/>
                <w:highlight w:val="none"/>
                <w:lang w:val="en-US" w:eastAsia="zh-CN" w:bidi="ar-SA"/>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23</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rPr>
            </w:pPr>
            <w:r>
              <w:rPr>
                <w:rFonts w:hint="eastAsia" w:ascii="宋体" w:hAnsi="宋体" w:eastAsia="宋体" w:cs="宋体"/>
                <w:b w:val="0"/>
                <w:bCs/>
                <w:color w:val="auto"/>
                <w:sz w:val="24"/>
                <w:szCs w:val="24"/>
                <w:lang w:val="en-US" w:eastAsia="zh-CN"/>
              </w:rPr>
              <w:t>24.1</w:t>
            </w:r>
          </w:p>
        </w:tc>
        <w:tc>
          <w:tcPr>
            <w:tcW w:w="1160" w:type="pct"/>
            <w:vAlign w:val="center"/>
          </w:tcPr>
          <w:p>
            <w:pPr>
              <w:pStyle w:val="28"/>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cs="宋体"/>
                <w:b w:val="0"/>
                <w:bCs/>
                <w:color w:val="auto"/>
                <w:sz w:val="24"/>
                <w:szCs w:val="24"/>
                <w:lang w:val="en-US" w:eastAsia="zh-CN"/>
              </w:rPr>
              <w:t>告知谈判结果的形式</w:t>
            </w:r>
          </w:p>
        </w:tc>
        <w:tc>
          <w:tcPr>
            <w:tcW w:w="3267" w:type="pct"/>
            <w:vAlign w:val="center"/>
          </w:tcPr>
          <w:p>
            <w:pPr>
              <w:pStyle w:val="28"/>
              <w:widowControl w:val="0"/>
              <w:spacing w:before="0" w:beforeAutospacing="0" w:after="0" w:afterAutospacing="0" w:line="360" w:lineRule="auto"/>
              <w:jc w:val="both"/>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28"/>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谈判现场告知</w:t>
            </w:r>
          </w:p>
          <w:p>
            <w:pPr>
              <w:pStyle w:val="28"/>
              <w:widowControl w:val="0"/>
              <w:spacing w:before="0" w:beforeAutospacing="0" w:after="0" w:afterAutospacing="0" w:line="360" w:lineRule="auto"/>
              <w:jc w:val="both"/>
              <w:rPr>
                <w:rFonts w:hint="default"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8"/>
              <w:widowControl w:val="0"/>
              <w:spacing w:before="0" w:beforeAutospacing="0" w:after="0" w:afterAutospacing="0" w:line="360" w:lineRule="auto"/>
              <w:jc w:val="both"/>
              <w:rPr>
                <w:rFonts w:ascii="宋体" w:hAnsi="宋体" w:eastAsia="宋体"/>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hint="default"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cs="@仿宋_GB2312"/>
                <w:b w:val="0"/>
                <w:bCs/>
                <w:color w:val="auto"/>
                <w:kern w:val="0"/>
                <w:sz w:val="24"/>
                <w:szCs w:val="28"/>
                <w:highlight w:val="yellow"/>
                <w:lang w:val="en-US" w:eastAsia="zh-CN" w:bidi="ar-SA"/>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27.1</w:t>
            </w:r>
          </w:p>
        </w:tc>
        <w:tc>
          <w:tcPr>
            <w:tcW w:w="1160" w:type="pct"/>
            <w:vAlign w:val="center"/>
          </w:tcPr>
          <w:p>
            <w:pPr>
              <w:pStyle w:val="28"/>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28"/>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8"/>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8"/>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30</w:t>
            </w:r>
          </w:p>
        </w:tc>
        <w:tc>
          <w:tcPr>
            <w:tcW w:w="1160" w:type="pct"/>
            <w:vAlign w:val="center"/>
          </w:tcPr>
          <w:p>
            <w:pPr>
              <w:pStyle w:val="28"/>
              <w:widowControl w:val="0"/>
              <w:spacing w:before="0" w:beforeAutospacing="0" w:after="0" w:afterAutospacing="0" w:line="360" w:lineRule="auto"/>
              <w:jc w:val="both"/>
              <w:rPr>
                <w:rFonts w:hint="default"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其他内容</w:t>
            </w:r>
          </w:p>
        </w:tc>
        <w:tc>
          <w:tcPr>
            <w:tcW w:w="3267" w:type="pct"/>
            <w:vAlign w:val="center"/>
          </w:tcPr>
          <w:p>
            <w:pPr>
              <w:pStyle w:val="28"/>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lang w:val="en-US" w:eastAsia="zh-CN"/>
              </w:rPr>
              <w:t>谈判</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谈判</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谈判及响应文件提交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竞争性谈判</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谈判邀请、供应商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8"/>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pStyle w:val="28"/>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pStyle w:val="28"/>
              <w:widowControl w:val="0"/>
              <w:numPr>
                <w:ilvl w:val="0"/>
                <w:numId w:val="0"/>
              </w:numPr>
              <w:spacing w:before="0" w:beforeAutospacing="0" w:after="0" w:afterAutospacing="0" w:line="360" w:lineRule="auto"/>
              <w:ind w:left="0" w:leftChars="0" w:firstLine="0" w:firstLineChars="0"/>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宋体" w:hAnsi="宋体" w:eastAsia="宋体"/>
          <w:color w:val="auto"/>
          <w:sz w:val="24"/>
          <w:highlight w:val="none"/>
        </w:rPr>
      </w:pPr>
      <w:r>
        <w:rPr>
          <w:rFonts w:asciiTheme="minorEastAsia" w:hAnsiTheme="minorEastAsia" w:eastAsiaTheme="minorEastAsia"/>
          <w:b/>
          <w:color w:val="auto"/>
          <w:sz w:val="28"/>
          <w:highlight w:val="none"/>
        </w:rPr>
        <w:br w:type="page"/>
      </w:r>
      <w:bookmarkStart w:id="24" w:name="_Toc11602"/>
      <w:bookmarkStart w:id="25" w:name="_Toc19150"/>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24"/>
      <w:bookmarkEnd w:id="25"/>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color w:val="auto"/>
          <w:highlight w:val="none"/>
        </w:rPr>
        <w:t xml:space="preserve"> </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bookmarkStart w:id="26" w:name="_Hlk60264251"/>
      <w:r>
        <w:rPr>
          <w:rFonts w:ascii="宋体" w:hAnsi="宋体" w:eastAsia="宋体"/>
          <w:color w:val="auto"/>
          <w:sz w:val="24"/>
          <w:highlight w:val="none"/>
        </w:rPr>
        <w:t>本项目的</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谈判</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w:t>
      </w: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所投产品为进口产品，</w:t>
      </w:r>
      <w:r>
        <w:rPr>
          <w:rFonts w:ascii="宋体" w:hAnsi="宋体" w:eastAsia="宋体"/>
          <w:color w:val="auto"/>
          <w:sz w:val="24"/>
          <w:highlight w:val="none"/>
        </w:rPr>
        <w:t>其</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lang w:val="en-US" w:eastAsia="zh-CN"/>
        </w:rPr>
        <w:t>响应</w:t>
      </w:r>
      <w:r>
        <w:rPr>
          <w:rFonts w:hint="eastAsia" w:ascii="宋体" w:hAnsi="宋体" w:eastAsia="宋体"/>
          <w:b/>
          <w:color w:val="auto"/>
          <w:sz w:val="24"/>
          <w:highlight w:val="none"/>
        </w:rPr>
        <w:t>无效</w:t>
      </w:r>
      <w:r>
        <w:rPr>
          <w:rFonts w:hint="eastAsia" w:ascii="宋体" w:hAnsi="宋体" w:eastAsia="宋体"/>
          <w:color w:val="auto"/>
          <w:sz w:val="24"/>
          <w:highlight w:val="none"/>
        </w:rPr>
        <w:t>。</w:t>
      </w:r>
    </w:p>
    <w:bookmarkEnd w:id="26"/>
    <w:p>
      <w:pPr>
        <w:spacing w:line="360" w:lineRule="auto"/>
        <w:ind w:firstLine="435"/>
        <w:rPr>
          <w:rFonts w:ascii="宋体" w:hAnsi="宋体" w:eastAsia="宋体"/>
          <w:color w:val="auto"/>
          <w:sz w:val="24"/>
          <w:highlight w:val="none"/>
        </w:rPr>
      </w:pPr>
      <w:bookmarkStart w:id="27" w:name="_Hlk60611047"/>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若竞争性谈判公告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参加谈判</w:t>
      </w:r>
      <w:r>
        <w:rPr>
          <w:rFonts w:ascii="宋体" w:hAnsi="宋体" w:eastAsia="宋体"/>
          <w:bCs/>
          <w:color w:val="auto"/>
          <w:kern w:val="0"/>
          <w:sz w:val="24"/>
          <w:szCs w:val="28"/>
          <w:highlight w:val="none"/>
        </w:rPr>
        <w:t>，对联合体规定如下：</w:t>
      </w:r>
    </w:p>
    <w:bookmarkEnd w:id="27"/>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两个以上供应商可以组成一个谈判联合体，以一个供应商的身份谈判</w:t>
      </w:r>
      <w:r>
        <w:rPr>
          <w:rFonts w:ascii="宋体" w:hAnsi="宋体" w:eastAsia="宋体"/>
          <w:color w:val="auto"/>
          <w:sz w:val="24"/>
          <w:highlight w:val="none"/>
        </w:rPr>
        <w:t>。</w:t>
      </w:r>
      <w:r>
        <w:rPr>
          <w:rFonts w:hint="eastAsia" w:ascii="宋体" w:hAnsi="宋体" w:eastAsia="宋体"/>
          <w:color w:val="auto"/>
          <w:sz w:val="24"/>
          <w:highlight w:val="none"/>
        </w:rPr>
        <w:t>联合体</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的，</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文件获取手续由联合体中任一成员单位办理均可。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谈判</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谈判</w:t>
      </w:r>
      <w:r>
        <w:rPr>
          <w:rFonts w:ascii="宋体" w:hAnsi="宋体" w:eastAsia="宋体"/>
          <w:color w:val="auto"/>
          <w:sz w:val="24"/>
          <w:highlight w:val="none"/>
        </w:rPr>
        <w:t>，否则相关</w:t>
      </w:r>
      <w:r>
        <w:rPr>
          <w:rFonts w:hint="eastAsia" w:ascii="宋体" w:hAnsi="宋体" w:eastAsia="宋体"/>
          <w:color w:val="auto"/>
          <w:sz w:val="24"/>
          <w:highlight w:val="none"/>
        </w:rPr>
        <w:t>响应文件</w:t>
      </w:r>
      <w:r>
        <w:rPr>
          <w:rFonts w:ascii="宋体" w:hAnsi="宋体" w:eastAsia="宋体"/>
          <w:color w:val="auto"/>
          <w:sz w:val="24"/>
          <w:highlight w:val="none"/>
        </w:rPr>
        <w:t>将被认定为</w:t>
      </w:r>
      <w:r>
        <w:rPr>
          <w:rFonts w:hint="eastAsia" w:ascii="宋体" w:hAnsi="宋体" w:eastAsia="宋体"/>
          <w:b/>
          <w:color w:val="auto"/>
          <w:sz w:val="24"/>
          <w:highlight w:val="none"/>
        </w:rPr>
        <w:t>响应</w:t>
      </w:r>
      <w:r>
        <w:rPr>
          <w:rFonts w:ascii="宋体" w:hAnsi="宋体" w:eastAsia="宋体"/>
          <w:b/>
          <w:color w:val="auto"/>
          <w:sz w:val="24"/>
          <w:highlight w:val="none"/>
        </w:rPr>
        <w:t>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.8对联合体参加谈判的其他资格要求见</w:t>
      </w:r>
      <w:r>
        <w:rPr>
          <w:rFonts w:hint="eastAsia" w:ascii="宋体" w:hAnsi="宋体" w:eastAsia="宋体"/>
          <w:color w:val="auto"/>
          <w:sz w:val="24"/>
          <w:highlight w:val="none"/>
        </w:rPr>
        <w:t>申请人的资格要求</w:t>
      </w:r>
      <w:r>
        <w:rPr>
          <w:rFonts w:ascii="宋体" w:hAnsi="宋体" w:eastAsia="宋体"/>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本项目的采购人已获得足以支付本次谈判后所签订的合同项下的资金。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不论谈判的结果如何，供应商应承担其所有与准备和参加谈判有关的费用。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供应商、谈判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.1谈判文件包括下列内容：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谈判邀请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w:t>
      </w:r>
      <w:r>
        <w:rPr>
          <w:rFonts w:hint="eastAsia" w:asciiTheme="minorEastAsia" w:hAnsiTheme="minorEastAsia" w:eastAsiaTheme="minorEastAsia"/>
          <w:color w:val="auto"/>
          <w:sz w:val="24"/>
          <w:highlight w:val="none"/>
          <w:lang w:val="en-US" w:eastAsia="zh-CN"/>
        </w:rPr>
        <w:t>供应商</w:t>
      </w:r>
      <w:r>
        <w:rPr>
          <w:rFonts w:asciiTheme="minorEastAsia" w:hAnsiTheme="minorEastAsia" w:eastAsiaTheme="minorEastAsia"/>
          <w:color w:val="auto"/>
          <w:sz w:val="24"/>
          <w:highlight w:val="none"/>
        </w:rPr>
        <w:t>提供样品。仅凭书面方式不能准确描述采购需求，或者需要对样品进行主观判断以确认是否满足采购需求等特殊情况除外。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如需提供样品，对样品相关要求见采购需求，对样品的评审方法及评审标准见谈判文件第四章。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文件内容有疑问，必须在</w:t>
      </w:r>
      <w:r>
        <w:rPr>
          <w:rFonts w:ascii="宋体" w:hAnsi="宋体" w:eastAsia="宋体"/>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28" w:name="_Hlk16458572"/>
      <w:r>
        <w:rPr>
          <w:rFonts w:hint="eastAsia" w:ascii="宋体" w:hAnsi="宋体" w:eastAsia="宋体"/>
          <w:color w:val="auto"/>
          <w:sz w:val="24"/>
          <w:szCs w:val="18"/>
          <w:highlight w:val="none"/>
        </w:rPr>
        <w:t>安徽省政府采购网</w:t>
      </w:r>
      <w:bookmarkEnd w:id="28"/>
      <w:r>
        <w:rPr>
          <w:rFonts w:hint="eastAsia" w:ascii="宋体" w:hAnsi="宋体" w:eastAsia="宋体"/>
          <w:color w:val="auto"/>
          <w:sz w:val="24"/>
          <w:szCs w:val="18"/>
          <w:highlight w:val="none"/>
          <w:lang w:val="en-US" w:eastAsia="zh-CN"/>
        </w:rPr>
        <w:t>以</w:t>
      </w:r>
      <w:r>
        <w:rPr>
          <w:rFonts w:hint="eastAsia" w:asciiTheme="minorEastAsia" w:hAnsiTheme="minorEastAsia" w:eastAsiaTheme="minorEastAsia"/>
          <w:color w:val="auto"/>
          <w:sz w:val="24"/>
          <w:highlight w:val="none"/>
        </w:rPr>
        <w:t>发布更正公告的方式澄清或者修改谈判文件，更正公告的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谈判文件的组成部分。采购代理机构对供应商由此而做出的推论、理解和结论概不负责。</w:t>
      </w:r>
    </w:p>
    <w:p>
      <w:pPr>
        <w:spacing w:line="360" w:lineRule="auto"/>
        <w:ind w:firstLine="435"/>
        <w:rPr>
          <w:rFonts w:asciiTheme="minorEastAsia" w:hAnsiTheme="minorEastAsia" w:eastAsiaTheme="minorEastAsia"/>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本谈判</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val="0"/>
          <w:iCs/>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谈判，</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lang w:val="en-US" w:eastAsia="zh-CN"/>
        </w:rPr>
        <w:t>7.2供应商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谈判</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无论谈判文件中是否要求，供应商所投货物及伴随的服务和工程均应符合国家强制性标准。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谈判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除谈判文件中有特殊要求外，响应文件中所使用的计量单位，应采用中华人民共和国法定计量单位。</w:t>
      </w:r>
    </w:p>
    <w:p>
      <w:pPr>
        <w:spacing w:line="360" w:lineRule="auto"/>
        <w:ind w:firstLine="437"/>
        <w:outlineLvl w:val="2"/>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8</w:t>
      </w:r>
      <w:r>
        <w:rPr>
          <w:rFonts w:ascii="宋体" w:hAnsi="宋体" w:eastAsia="宋体"/>
          <w:color w:val="auto"/>
          <w:sz w:val="24"/>
          <w:highlight w:val="none"/>
        </w:rPr>
        <w:t>.1供应商应完整地按谈判文件提供的响应文件格式及要求编写响应文件，具体内容详见</w:t>
      </w:r>
      <w:r>
        <w:rPr>
          <w:rFonts w:hint="eastAsia" w:ascii="宋体" w:hAnsi="宋体" w:eastAsia="宋体"/>
          <w:color w:val="auto"/>
          <w:sz w:val="24"/>
          <w:highlight w:val="none"/>
          <w:lang w:val="en-US" w:eastAsia="zh-CN"/>
        </w:rPr>
        <w:t>本项目</w:t>
      </w:r>
      <w:r>
        <w:rPr>
          <w:rFonts w:ascii="宋体" w:hAnsi="宋体" w:eastAsia="宋体"/>
          <w:color w:val="auto"/>
          <w:sz w:val="24"/>
          <w:highlight w:val="none"/>
        </w:rPr>
        <w:t>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rPr>
        <w:t>供应商应提交谈判文件要求的证明文件，证明其响应内容符合谈判文件规定。该证明文件是响应文件的一部分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9" w:name="_Hlk11703583"/>
      <w:r>
        <w:rPr>
          <w:rFonts w:hint="eastAsia" w:asciiTheme="minorEastAsia" w:hAnsiTheme="minorEastAsia" w:eastAsiaTheme="minorEastAsia"/>
          <w:color w:val="auto"/>
          <w:sz w:val="24"/>
          <w:highlight w:val="none"/>
        </w:rPr>
        <w:t>。</w:t>
      </w:r>
    </w:p>
    <w:bookmarkEnd w:id="29"/>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公正，除非谈判文件另有规定或说明，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备选谈判</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除谈判文件另有规定外，</w:t>
      </w:r>
      <w:r>
        <w:rPr>
          <w:rFonts w:hint="eastAsia" w:asciiTheme="minorEastAsia" w:hAnsiTheme="minorEastAsia" w:eastAsiaTheme="minorEastAsia"/>
          <w:color w:val="auto"/>
          <w:sz w:val="24"/>
          <w:highlight w:val="none"/>
        </w:rPr>
        <w:t>所有内容均应以人民币报价，供应商的谈判报价应遵守《中华人民共和国价格法》。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除非谈判文件另有规定或经采购人同意支付的，最后报价均不得高于谈判文件（公告）列明的项目预算，否则其响应文件将被认定为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.1本项目不收取谈判保证金。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.1谈判有效期为从响应文件提交截止之日算起的日历天数，谈判有效期详见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.2在谈判有效期内，供应商的谈判保持有效，供应商不得要求撤销或修改其响应文件。谈判有效期不满足要求的响应，其响应文件将被认定为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谈判有效期截止之前，要求供应商延长谈判有效期。接受该要求的供应商将不会被要求和允许修正其响应文件。供应商可以拒绝延长谈判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default" w:asciiTheme="minorEastAsia" w:hAnsiTheme="minorEastAsia" w:eastAsiaTheme="minorEastAsia"/>
          <w:color w:val="auto"/>
          <w:sz w:val="24"/>
          <w:highlight w:val="none"/>
          <w:lang w:val="en-US"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但属于谈判小组在评审中发现的计算错误并进行核实的修改、按照谈判文件的变动情况和谈判小组的要求重新提交响应文件的，不在此列。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.1本项目将依法组建谈判小组，谈判小组成员由3人以上</w:t>
      </w:r>
      <w:r>
        <w:rPr>
          <w:rFonts w:hint="eastAsia" w:asciiTheme="minorEastAsia" w:hAnsiTheme="minorEastAsia" w:eastAsiaTheme="minorEastAsia"/>
          <w:color w:val="auto"/>
          <w:sz w:val="24"/>
          <w:highlight w:val="none"/>
        </w:rPr>
        <w:t>（含）</w:t>
      </w:r>
      <w:r>
        <w:rPr>
          <w:rFonts w:asciiTheme="minorEastAsia" w:hAnsiTheme="minorEastAsia" w:eastAsiaTheme="minorEastAsia"/>
          <w:color w:val="auto"/>
          <w:sz w:val="24"/>
          <w:highlight w:val="none"/>
        </w:rPr>
        <w:t>单数组成，谈判小组及其成员应当依照政府采购的有关规定履行相关职责和义务。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.2谈判小组依法对响应文件进行评审，并根据谈判文件规定的程序、评定成交的标准等事项与实质性响应谈判文件要求的供应商进行谈判。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.3谈判小组应当从质量和服务均能满足谈判文件实质性响应要求的供应商中，按照评审办法</w:t>
      </w:r>
      <w:r>
        <w:rPr>
          <w:rFonts w:hint="eastAsia" w:asciiTheme="minorEastAsia" w:hAnsiTheme="minorEastAsia" w:eastAsiaTheme="minorEastAsia"/>
          <w:color w:val="auto"/>
          <w:sz w:val="24"/>
          <w:highlight w:val="none"/>
        </w:rPr>
        <w:t>和标准推荐</w:t>
      </w:r>
      <w:r>
        <w:rPr>
          <w:rFonts w:asciiTheme="minorEastAsia" w:hAnsiTheme="minorEastAsia" w:eastAsiaTheme="minorEastAsia"/>
          <w:color w:val="auto"/>
          <w:sz w:val="24"/>
          <w:highlight w:val="none"/>
        </w:rPr>
        <w:t>成交候选人，并编写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规定的时间和地点组织谈判。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2竞争性谈判采用最低评标价法评审。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最低评标价法，是指响应文件满足谈判文件全部实质性要求且最后报价最低的供应商为成交候选人的评标方法。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.3谈判小组将按照谈判文件规定的评审方法和标准对供应商独立进行评审。评审程序如下：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.3.1初审。谈判小组对供应商必须满足和实质性响应的内容进行评审，供应商未实质性响应谈判文件要求导致响应无效的，谈判小组将以书面询标的方式告知有关供应商。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.3.2谈判。初审合格后，谈判小组将按网上加密电子响应文件提交顺序集中与单一供应商分别进行谈判，并给予所有参加谈判的供应商平等的谈判机会。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谈判结束后，谈判小组应当要求所有</w:t>
      </w:r>
      <w:r>
        <w:rPr>
          <w:rFonts w:hint="eastAsia" w:asciiTheme="minorEastAsia" w:hAnsiTheme="minorEastAsia" w:eastAsiaTheme="minorEastAsia"/>
          <w:color w:val="auto"/>
          <w:sz w:val="24"/>
          <w:highlight w:val="none"/>
        </w:rPr>
        <w:t>继续参加谈判</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.4.1为保证谈判活动顺利进行，供应商可派相关技术人员进行网上答疑；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.4.2谈判</w:t>
      </w:r>
      <w:r>
        <w:rPr>
          <w:rFonts w:asciiTheme="minorEastAsia" w:hAnsiTheme="minorEastAsia" w:eastAsiaTheme="minorEastAsia"/>
          <w:color w:val="auto"/>
          <w:sz w:val="24"/>
          <w:highlight w:val="none"/>
        </w:rPr>
        <w:t>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谈判情况可能实质性变动</w:t>
      </w:r>
      <w:r>
        <w:rPr>
          <w:rFonts w:hint="eastAsia" w:asciiTheme="minorEastAsia" w:hAnsiTheme="minorEastAsia" w:eastAsiaTheme="minorEastAsia"/>
          <w:color w:val="auto"/>
          <w:sz w:val="24"/>
          <w:highlight w:val="none"/>
        </w:rPr>
        <w:t>谈判文件</w:t>
      </w:r>
      <w:r>
        <w:rPr>
          <w:rFonts w:asciiTheme="minorEastAsia" w:hAnsiTheme="minorEastAsia" w:eastAsiaTheme="minorEastAsia"/>
          <w:color w:val="auto"/>
          <w:sz w:val="24"/>
          <w:highlight w:val="none"/>
        </w:rPr>
        <w:t>的内容，包括采购需求中的技术、服务要求以及合同草案条款。谈判文件有实质性变动的，</w:t>
      </w:r>
      <w:r>
        <w:rPr>
          <w:rFonts w:hint="eastAsia" w:asciiTheme="minorEastAsia" w:hAnsiTheme="minorEastAsia" w:eastAsiaTheme="minorEastAsia"/>
          <w:color w:val="auto"/>
          <w:sz w:val="24"/>
          <w:highlight w:val="none"/>
        </w:rPr>
        <w:t>经采购人代表确认作为谈判文件的有效组成部分，</w:t>
      </w:r>
      <w:r>
        <w:rPr>
          <w:rFonts w:asciiTheme="minorEastAsia" w:hAnsiTheme="minorEastAsia" w:eastAsiaTheme="minorEastAsia"/>
          <w:color w:val="auto"/>
          <w:sz w:val="24"/>
          <w:highlight w:val="none"/>
        </w:rPr>
        <w:t>谈判小组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以书面形式通知所有参加谈判的供应商。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4.3谈判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.4.5谈判</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谈判过程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.1出现下列情况之一时，采购人和采购代理机构有权宣布终止竞争性谈判采购，并将理由通知所有供应商：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（1）有效供应商数量不足，导致本次谈判缺乏竞争的；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谈判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.2谈判小组要求供应商澄清、说明或者更正响应文件应当以书面形式（询标）作出。供应商的澄清、说明或者更正应当由法定代表人或其授权代表签字或者加盖公章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而无法接受谈判小组询标的，供应商自行承担相关风险。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谈判并不限定只进行二轮报价，如果谈判小组认为有必要，可以要求供应商进行多轮报价。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在谈判内容不做实质性变更或重大调整的前提下，供应商下轮报价不得高于上一轮报价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30" w:name="_Hlk60611123"/>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p>
    <w:bookmarkEnd w:id="30"/>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成交候选人的推荐原则及标准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.1如一个分包内只有一种产品，不同供应商所投产品为同一品牌同一型号的，提供相同品牌</w:t>
      </w:r>
      <w:r>
        <w:rPr>
          <w:rFonts w:hint="eastAsia" w:ascii="宋体" w:hAnsi="宋体" w:eastAsia="宋体"/>
          <w:color w:val="auto"/>
          <w:sz w:val="24"/>
          <w:highlight w:val="none"/>
        </w:rPr>
        <w:t>相同型号</w:t>
      </w:r>
      <w:r>
        <w:rPr>
          <w:rFonts w:hint="eastAsia" w:asciiTheme="minorEastAsia" w:hAnsiTheme="minorEastAsia" w:eastAsiaTheme="minorEastAsia"/>
          <w:color w:val="auto"/>
          <w:sz w:val="24"/>
          <w:highlight w:val="none"/>
        </w:rPr>
        <w:t>产品的不同供应商，以其通过初审且最后报价最低的供应商获得成交候选人推荐资格；最后报价相同的，则所投产品为节能产品、环境标志产品、不发达地区或少数民族地区产品者优先；最后报价相同且所投产品同为节能产品、环境标志产品、不发达地区或少数民族地区产品的，则由谈判小组采取随机抽取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.2如一个分包内包含多种产品的，采购人或采购代理机构将在</w:t>
      </w:r>
      <w:r>
        <w:rPr>
          <w:rFonts w:hint="eastAsia" w:asciiTheme="minorEastAsia" w:hAnsiTheme="minorEastAsia" w:eastAsiaTheme="minorEastAsia"/>
          <w:color w:val="auto"/>
          <w:sz w:val="24"/>
          <w:highlight w:val="none"/>
          <w:lang w:val="en-US" w:eastAsia="zh-CN"/>
        </w:rPr>
        <w:t>采购需求</w:t>
      </w:r>
      <w:r>
        <w:rPr>
          <w:rFonts w:hint="eastAsia" w:asciiTheme="minorEastAsia" w:hAnsiTheme="minorEastAsia" w:eastAsiaTheme="minorEastAsia"/>
          <w:color w:val="auto"/>
          <w:sz w:val="24"/>
          <w:highlight w:val="none"/>
        </w:rPr>
        <w:t>中载明核心产品，多家供应商提供的核心产品品牌型号相同的，按第</w:t>
      </w:r>
      <w:r>
        <w:rPr>
          <w:rFonts w:hint="eastAsia" w:asciiTheme="minorEastAsia" w:hAnsiTheme="minorEastAsia" w:eastAsiaTheme="minorEastAsia"/>
          <w:color w:val="auto"/>
          <w:sz w:val="24"/>
          <w:highlight w:val="none"/>
          <w:lang w:val="en-US" w:eastAsia="zh-CN"/>
        </w:rPr>
        <w:t>18.1</w:t>
      </w:r>
      <w:r>
        <w:rPr>
          <w:rFonts w:hint="eastAsia" w:asciiTheme="minorEastAsia" w:hAnsiTheme="minorEastAsia" w:eastAsiaTheme="minorEastAsia"/>
          <w:color w:val="auto"/>
          <w:sz w:val="24"/>
          <w:highlight w:val="none"/>
        </w:rPr>
        <w:t>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3谈判小组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按照最后报价由低到高的顺序依次推荐成交候选人。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确定成交候选人和成交供应商</w:t>
      </w:r>
    </w:p>
    <w:p>
      <w:pPr>
        <w:spacing w:line="360" w:lineRule="auto"/>
        <w:ind w:firstLine="470" w:firstLineChars="196"/>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hint="eastAsia" w:ascii="宋体" w:hAnsi="宋体" w:eastAsia="宋体"/>
          <w:color w:val="auto"/>
          <w:sz w:val="24"/>
          <w:highlight w:val="none"/>
        </w:rPr>
        <w:t>谈判小组按照最后报价由低到高的顺序和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确定成交候选人，并标明排列顺序。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谈判小组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评审报告是根据全体谈判小组成员签字的原始评审记录和评审结果编写的报告，评审报告由谈判小组全体成员签字。对评审结论持有异议的谈判小组成员可以书面方式阐述其不同意见和理由。谈判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.1为体现“公开、公平、公正”的原则，谈判结束后，</w:t>
      </w:r>
      <w:r>
        <w:rPr>
          <w:rFonts w:hint="eastAsia" w:asciiTheme="minorEastAsia" w:hAnsiTheme="minorEastAsia" w:eastAsiaTheme="minorEastAsia"/>
          <w:color w:val="auto"/>
          <w:sz w:val="24"/>
          <w:highlight w:val="none"/>
        </w:rPr>
        <w:t>采购代理机构将</w:t>
      </w:r>
      <w:r>
        <w:rPr>
          <w:rFonts w:hint="eastAsia" w:ascii="宋体" w:hAnsi="宋体" w:eastAsia="宋体"/>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ascii="宋体" w:hAnsi="宋体" w:eastAsia="宋体"/>
          <w:b/>
          <w:color w:val="auto"/>
          <w:sz w:val="24"/>
          <w:highlight w:val="none"/>
        </w:rPr>
        <w:t>2</w:t>
      </w:r>
      <w:r>
        <w:rPr>
          <w:rFonts w:hint="eastAsia" w:ascii="宋体" w:hAnsi="宋体" w:eastAsia="宋体"/>
          <w:b/>
          <w:color w:val="auto"/>
          <w:sz w:val="24"/>
          <w:highlight w:val="none"/>
          <w:lang w:val="en-US" w:eastAsia="zh-CN"/>
        </w:rPr>
        <w:t>3</w:t>
      </w:r>
      <w:r>
        <w:rPr>
          <w:rFonts w:ascii="宋体" w:hAnsi="宋体" w:eastAsia="宋体"/>
          <w:b/>
          <w:color w:val="auto"/>
          <w:sz w:val="24"/>
          <w:highlight w:val="none"/>
        </w:rPr>
        <w:t>.成交通知书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rPr>
        <w:t>2</w:t>
      </w:r>
      <w:r>
        <w:rPr>
          <w:rFonts w:hint="eastAsia" w:ascii="宋体" w:hAnsi="宋体" w:eastAsia="宋体"/>
          <w:b/>
          <w:color w:val="auto"/>
          <w:sz w:val="24"/>
          <w:highlight w:val="none"/>
          <w:lang w:val="en-US" w:eastAsia="zh-CN"/>
        </w:rPr>
        <w:t>4</w:t>
      </w:r>
      <w:r>
        <w:rPr>
          <w:rFonts w:ascii="宋体" w:hAnsi="宋体" w:eastAsia="宋体"/>
          <w:b/>
          <w:color w:val="auto"/>
          <w:sz w:val="24"/>
          <w:highlight w:val="none"/>
        </w:rPr>
        <w:t>.告知</w:t>
      </w:r>
      <w:r>
        <w:rPr>
          <w:rFonts w:hint="eastAsia" w:ascii="宋体" w:hAnsi="宋体" w:eastAsia="宋体"/>
          <w:b/>
          <w:color w:val="auto"/>
          <w:sz w:val="24"/>
          <w:highlight w:val="none"/>
        </w:rPr>
        <w:t>谈判</w:t>
      </w:r>
      <w:r>
        <w:rPr>
          <w:rFonts w:ascii="宋体" w:hAnsi="宋体" w:eastAsia="宋体"/>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35"/>
        <w:rPr>
          <w:rFonts w:ascii="宋体" w:hAnsi="宋体" w:eastAsia="宋体"/>
          <w:color w:val="auto"/>
          <w:sz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.2如果成交供应商没有按照上述履约保证金的规定执行，将视为放弃成交资格。在此情况下，采购人可确定下一成交候选人为成交供应商，也可以重新开展采购活动。</w:t>
      </w:r>
    </w:p>
    <w:p>
      <w:pPr>
        <w:spacing w:line="360" w:lineRule="auto"/>
        <w:ind w:firstLine="437"/>
        <w:outlineLvl w:val="2"/>
        <w:rPr>
          <w:rFonts w:hint="eastAsia" w:ascii="宋体" w:hAnsi="宋体" w:eastAsia="宋体"/>
          <w:b/>
          <w:color w:val="auto"/>
          <w:sz w:val="24"/>
          <w:highlight w:val="none"/>
          <w:lang w:eastAsia="zh-CN"/>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.2谈判文件、成交供应商的响应文件及其澄清文件等，均为签订合同的依据。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 成交供应商拒绝与采购人签订合同的，采购人可以按照评审报告推荐的成交候选人名单排序，确定下一成交候选人为成交供应商，也可以重新开展采购活动。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35"/>
        <w:rPr>
          <w:rFonts w:ascii="宋体" w:hAnsi="宋体" w:eastAsia="宋体"/>
          <w:color w:val="auto"/>
          <w:sz w:val="24"/>
          <w:highlight w:val="none"/>
        </w:rPr>
      </w:pPr>
      <w:bookmarkStart w:id="31"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31"/>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.廉洁自律规定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w:t>
      </w:r>
      <w:r>
        <w:rPr>
          <w:rFonts w:asciiTheme="minorEastAsia" w:hAnsiTheme="minorEastAsia" w:eastAsiaTheme="minorEastAsia"/>
          <w:b/>
          <w:color w:val="auto"/>
          <w:sz w:val="24"/>
          <w:highlight w:val="none"/>
        </w:rPr>
        <w:t>提出</w:t>
      </w:r>
      <w:r>
        <w:rPr>
          <w:rFonts w:ascii="宋体" w:hAnsi="宋体" w:eastAsia="宋体"/>
          <w:b/>
          <w:color w:val="auto"/>
          <w:sz w:val="24"/>
          <w:highlight w:val="none"/>
        </w:rPr>
        <w:t>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.1供应商认为谈判文件、采购过程和成交结果使自己的权益受到损害的，可以在知道或者应知其权益受到损害之日起七个工作日内，以书面形式向采购人或其委托的采购代理机构提出质疑。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.需要补充的其他内容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2" w:name="_Toc25461"/>
      <w:r>
        <w:rPr>
          <w:rFonts w:hint="eastAsia" w:asciiTheme="minorEastAsia" w:hAnsiTheme="minorEastAsia" w:eastAsiaTheme="minorEastAsia"/>
          <w:b/>
          <w:color w:val="auto"/>
          <w:sz w:val="28"/>
          <w:highlight w:val="none"/>
        </w:rPr>
        <w:t>第三章  采购需求</w:t>
      </w:r>
      <w:bookmarkEnd w:id="32"/>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w:t>
      </w:r>
      <w:r>
        <w:rPr>
          <w:rFonts w:hint="eastAsia" w:ascii="宋体" w:hAnsi="宋体" w:eastAsia="宋体"/>
          <w:color w:val="auto"/>
          <w:sz w:val="24"/>
          <w:szCs w:val="18"/>
          <w:highlight w:val="none"/>
        </w:rPr>
        <w:t>谈判</w:t>
      </w:r>
      <w:r>
        <w:rPr>
          <w:rFonts w:ascii="宋体" w:hAnsi="宋体" w:eastAsia="宋体"/>
          <w:color w:val="auto"/>
          <w:sz w:val="24"/>
          <w:szCs w:val="18"/>
          <w:highlight w:val="none"/>
        </w:rPr>
        <w:t>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yellow"/>
        </w:rPr>
      </w:pPr>
      <w:r>
        <w:rPr>
          <w:rFonts w:hint="eastAsia" w:ascii="宋体" w:hAnsi="宋体" w:eastAsia="宋体" w:cs="宋体"/>
          <w:color w:val="auto"/>
          <w:sz w:val="24"/>
          <w:szCs w:val="24"/>
          <w:highlight w:val="none"/>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3" w:name="_Toc20480"/>
      <w:bookmarkStart w:id="34" w:name="_Toc26457"/>
      <w:r>
        <w:rPr>
          <w:rFonts w:hint="eastAsia" w:ascii="宋体" w:hAnsi="宋体" w:eastAsia="宋体"/>
          <w:b/>
          <w:color w:val="auto"/>
          <w:sz w:val="24"/>
          <w:szCs w:val="18"/>
          <w:highlight w:val="none"/>
        </w:rPr>
        <w:t>一、采购需求前附表</w:t>
      </w:r>
      <w:bookmarkEnd w:id="33"/>
      <w:bookmarkEnd w:id="34"/>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2"/>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28"/>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28"/>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5</w:t>
            </w:r>
          </w:p>
        </w:tc>
        <w:tc>
          <w:tcPr>
            <w:tcW w:w="1192" w:type="pct"/>
            <w:vAlign w:val="center"/>
          </w:tcPr>
          <w:p>
            <w:pPr>
              <w:pStyle w:val="28"/>
              <w:widowControl w:val="0"/>
              <w:spacing w:before="0" w:beforeAutospacing="0" w:after="0" w:afterAutospacing="0" w:line="360" w:lineRule="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c>
          <w:tcPr>
            <w:tcW w:w="3216" w:type="pct"/>
            <w:vAlign w:val="center"/>
          </w:tcPr>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35" w:name="_Toc25805"/>
      <w:bookmarkStart w:id="36" w:name="_Toc8981"/>
      <w:r>
        <w:rPr>
          <w:rFonts w:hint="eastAsia" w:ascii="宋体" w:hAnsi="宋体" w:eastAsia="宋体"/>
          <w:b/>
          <w:bCs/>
          <w:color w:val="auto"/>
          <w:sz w:val="24"/>
          <w:szCs w:val="18"/>
          <w:highlight w:val="none"/>
        </w:rPr>
        <w:t>二、货物需求</w:t>
      </w:r>
      <w:bookmarkEnd w:id="35"/>
      <w:bookmarkEnd w:id="36"/>
    </w:p>
    <w:tbl>
      <w:tblPr>
        <w:tblStyle w:val="2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259"/>
        <w:gridCol w:w="2897"/>
        <w:gridCol w:w="1022"/>
        <w:gridCol w:w="717"/>
        <w:gridCol w:w="1133"/>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序号</w:t>
            </w:r>
          </w:p>
        </w:tc>
        <w:tc>
          <w:tcPr>
            <w:tcW w:w="739"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货物名称</w:t>
            </w:r>
          </w:p>
        </w:tc>
        <w:tc>
          <w:tcPr>
            <w:tcW w:w="1700"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技术参数及要求</w:t>
            </w:r>
          </w:p>
        </w:tc>
        <w:tc>
          <w:tcPr>
            <w:tcW w:w="600"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数量（单位）</w:t>
            </w:r>
          </w:p>
        </w:tc>
        <w:tc>
          <w:tcPr>
            <w:tcW w:w="421"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所属行业</w:t>
            </w:r>
          </w:p>
        </w:tc>
        <w:tc>
          <w:tcPr>
            <w:tcW w:w="665"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479"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bl>
    <w:p>
      <w:pPr>
        <w:spacing w:line="360" w:lineRule="auto"/>
        <w:ind w:firstLine="437"/>
        <w:outlineLvl w:val="1"/>
        <w:rPr>
          <w:rFonts w:ascii="宋体" w:hAnsi="宋体" w:eastAsia="宋体"/>
          <w:b/>
          <w:bCs/>
          <w:color w:val="auto"/>
          <w:sz w:val="24"/>
          <w:szCs w:val="18"/>
          <w:highlight w:val="none"/>
        </w:rPr>
      </w:pPr>
      <w:bookmarkStart w:id="37" w:name="_Toc16712"/>
      <w:bookmarkStart w:id="38" w:name="_Toc18135"/>
      <w:r>
        <w:rPr>
          <w:rFonts w:hint="eastAsia" w:ascii="宋体" w:hAnsi="宋体" w:eastAsia="宋体"/>
          <w:b/>
          <w:bCs/>
          <w:color w:val="auto"/>
          <w:sz w:val="24"/>
          <w:szCs w:val="18"/>
          <w:highlight w:val="none"/>
        </w:rPr>
        <w:t>三、报价要求</w:t>
      </w:r>
      <w:bookmarkEnd w:id="37"/>
      <w:bookmarkEnd w:id="38"/>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39" w:name="_Toc18721"/>
      <w:bookmarkStart w:id="40" w:name="_Toc3878"/>
      <w:r>
        <w:rPr>
          <w:rFonts w:hint="eastAsia" w:ascii="宋体" w:hAnsi="宋体" w:eastAsia="宋体"/>
          <w:b/>
          <w:bCs/>
          <w:color w:val="auto"/>
          <w:sz w:val="24"/>
          <w:szCs w:val="18"/>
          <w:highlight w:val="none"/>
        </w:rPr>
        <w:t>四、其他要求</w:t>
      </w:r>
      <w:bookmarkEnd w:id="39"/>
      <w:bookmarkEnd w:id="40"/>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41" w:name="_Toc20462"/>
      <w:bookmarkStart w:id="42" w:name="_Toc12838"/>
      <w:r>
        <w:rPr>
          <w:rFonts w:hint="eastAsia" w:ascii="宋体" w:hAnsi="宋体" w:eastAsia="宋体"/>
          <w:b/>
          <w:bCs/>
          <w:color w:val="auto"/>
          <w:sz w:val="24"/>
          <w:szCs w:val="18"/>
          <w:highlight w:val="none"/>
        </w:rPr>
        <w:t>五、样品要求</w:t>
      </w:r>
      <w:bookmarkEnd w:id="41"/>
      <w:r>
        <w:rPr>
          <w:rFonts w:hint="eastAsia" w:ascii="宋体" w:hAnsi="宋体" w:eastAsia="宋体"/>
          <w:b/>
          <w:bCs/>
          <w:color w:val="auto"/>
          <w:sz w:val="24"/>
          <w:szCs w:val="18"/>
          <w:highlight w:val="none"/>
          <w:lang w:eastAsia="zh-CN"/>
        </w:rPr>
        <w:t>（</w:t>
      </w:r>
      <w:r>
        <w:rPr>
          <w:rFonts w:hint="eastAsia" w:ascii="宋体" w:hAnsi="宋体" w:eastAsia="宋体"/>
          <w:b/>
          <w:bCs/>
          <w:color w:val="auto"/>
          <w:sz w:val="24"/>
          <w:szCs w:val="18"/>
          <w:highlight w:val="none"/>
          <w:lang w:val="en-US" w:eastAsia="zh-CN"/>
        </w:rPr>
        <w:t>如有</w:t>
      </w:r>
      <w:r>
        <w:rPr>
          <w:rFonts w:hint="eastAsia" w:ascii="宋体" w:hAnsi="宋体" w:eastAsia="宋体"/>
          <w:b/>
          <w:bCs/>
          <w:color w:val="auto"/>
          <w:sz w:val="24"/>
          <w:szCs w:val="18"/>
          <w:highlight w:val="none"/>
          <w:lang w:eastAsia="zh-CN"/>
        </w:rPr>
        <w:t>）</w:t>
      </w:r>
      <w:bookmarkEnd w:id="42"/>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yellow"/>
        </w:rPr>
      </w:pPr>
      <w:bookmarkStart w:id="43" w:name="_Toc20811"/>
      <w:r>
        <w:rPr>
          <w:rFonts w:hint="eastAsia" w:asciiTheme="minorEastAsia" w:hAnsiTheme="minorEastAsia" w:eastAsiaTheme="minorEastAsia"/>
          <w:b/>
          <w:color w:val="auto"/>
          <w:sz w:val="28"/>
          <w:highlight w:val="none"/>
        </w:rPr>
        <w:t>第四章  评审方法和标准</w:t>
      </w:r>
      <w:bookmarkEnd w:id="43"/>
    </w:p>
    <w:p>
      <w:pPr>
        <w:spacing w:line="360" w:lineRule="auto"/>
        <w:ind w:firstLine="437"/>
        <w:outlineLvl w:val="1"/>
        <w:rPr>
          <w:rFonts w:asciiTheme="minorEastAsia" w:hAnsiTheme="minorEastAsia" w:eastAsiaTheme="minorEastAsia"/>
          <w:b/>
          <w:color w:val="auto"/>
          <w:sz w:val="24"/>
          <w:highlight w:val="none"/>
        </w:rPr>
      </w:pPr>
      <w:bookmarkStart w:id="44" w:name="_Toc10142"/>
      <w:bookmarkStart w:id="45" w:name="_Toc5230"/>
      <w:r>
        <w:rPr>
          <w:rFonts w:hint="eastAsia" w:asciiTheme="minorEastAsia" w:hAnsiTheme="minorEastAsia" w:eastAsiaTheme="minorEastAsia"/>
          <w:b/>
          <w:color w:val="auto"/>
          <w:sz w:val="24"/>
          <w:highlight w:val="none"/>
        </w:rPr>
        <w:t>一、总则</w:t>
      </w:r>
      <w:bookmarkEnd w:id="44"/>
      <w:bookmarkEnd w:id="45"/>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本项目将按照谈判文件第二章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6" w:name="_Toc30817"/>
      <w:bookmarkStart w:id="47" w:name="_Toc25812"/>
      <w:r>
        <w:rPr>
          <w:rFonts w:hint="eastAsia" w:asciiTheme="minorEastAsia" w:hAnsiTheme="minorEastAsia" w:eastAsiaTheme="minorEastAsia"/>
          <w:b/>
          <w:color w:val="auto"/>
          <w:sz w:val="24"/>
          <w:highlight w:val="none"/>
        </w:rPr>
        <w:t>二、评审方法</w:t>
      </w:r>
      <w:bookmarkEnd w:id="46"/>
      <w:bookmarkEnd w:id="47"/>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谈判小组对供应商的响应文件进行初审，以确定其是否满足谈判文件的实质性要求。初审表如下：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1554"/>
        <w:gridCol w:w="4414"/>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48" w:name="_Hlk60612144"/>
            <w:r>
              <w:rPr>
                <w:rFonts w:hint="eastAsia" w:ascii="宋体" w:hAnsi="宋体" w:eastAsia="宋体"/>
                <w:b/>
                <w:color w:val="auto"/>
                <w:sz w:val="24"/>
                <w:szCs w:val="22"/>
                <w:highlight w:val="none"/>
              </w:rPr>
              <w:t>初审表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2" w:type="pct"/>
            <w:tcBorders>
              <w:bottom w:val="single" w:color="auto" w:sz="4" w:space="0"/>
            </w:tcBorders>
            <w:vAlign w:val="center"/>
          </w:tcPr>
          <w:p>
            <w:pPr>
              <w:pStyle w:val="29"/>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9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90"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2"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谈判</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2"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90"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谈判</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2"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90"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14.3.1条中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2"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4</w:t>
            </w:r>
          </w:p>
        </w:tc>
        <w:tc>
          <w:tcPr>
            <w:tcW w:w="91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文件关于预留份额的要求。</w:t>
            </w:r>
          </w:p>
        </w:tc>
        <w:tc>
          <w:tcPr>
            <w:tcW w:w="108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5</w:t>
            </w:r>
          </w:p>
        </w:tc>
        <w:tc>
          <w:tcPr>
            <w:tcW w:w="912" w:type="pct"/>
            <w:tcBorders>
              <w:bottom w:val="single" w:color="auto" w:sz="4" w:space="0"/>
            </w:tcBorders>
            <w:vAlign w:val="top"/>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82"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6</w:t>
            </w:r>
          </w:p>
        </w:tc>
        <w:tc>
          <w:tcPr>
            <w:tcW w:w="912"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590"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谈判</w:t>
            </w:r>
            <w:r>
              <w:rPr>
                <w:rFonts w:ascii="宋体" w:hAnsi="宋体" w:eastAsia="宋体" w:cs="宋体"/>
                <w:spacing w:val="-2"/>
                <w:sz w:val="24"/>
                <w:szCs w:val="24"/>
              </w:rPr>
              <w:t>邀请》</w:t>
            </w:r>
          </w:p>
        </w:tc>
        <w:tc>
          <w:tcPr>
            <w:tcW w:w="1082" w:type="pct"/>
            <w:vAlign w:val="center"/>
          </w:tcPr>
          <w:p>
            <w:pPr>
              <w:spacing w:after="50" w:line="360" w:lineRule="auto"/>
              <w:ind w:right="-10" w:rightChars="0"/>
              <w:jc w:val="both"/>
              <w:rPr>
                <w:rFonts w:hint="eastAsia"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7</w:t>
            </w:r>
          </w:p>
        </w:tc>
        <w:tc>
          <w:tcPr>
            <w:tcW w:w="912" w:type="pct"/>
            <w:vAlign w:val="center"/>
          </w:tcPr>
          <w:p>
            <w:pPr>
              <w:spacing w:after="50" w:line="360" w:lineRule="auto"/>
              <w:ind w:right="-10" w:rightChars="0"/>
              <w:jc w:val="both"/>
              <w:rPr>
                <w:rFonts w:hint="eastAsia" w:ascii="宋体" w:hAnsi="宋体" w:eastAsia="宋体" w:cs="宋体"/>
                <w:spacing w:val="10"/>
                <w:kern w:val="2"/>
                <w:sz w:val="24"/>
                <w:szCs w:val="24"/>
                <w:lang w:val="en-US" w:eastAsia="zh-CN" w:bidi="ar-SA"/>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适用于接受联合体参加谈判项目</w:t>
            </w:r>
            <w:r>
              <w:rPr>
                <w:rFonts w:hint="eastAsia" w:ascii="宋体" w:hAnsi="宋体" w:eastAsia="宋体" w:cs="宋体"/>
                <w:spacing w:val="-2"/>
                <w:sz w:val="24"/>
                <w:szCs w:val="24"/>
                <w:lang w:eastAsia="zh-CN"/>
              </w:rPr>
              <w:t>）</w:t>
            </w:r>
          </w:p>
        </w:tc>
        <w:tc>
          <w:tcPr>
            <w:tcW w:w="2590" w:type="pct"/>
            <w:vAlign w:val="center"/>
          </w:tcPr>
          <w:p>
            <w:pPr>
              <w:spacing w:after="50" w:line="360" w:lineRule="auto"/>
              <w:ind w:right="-10" w:rightChars="0"/>
              <w:jc w:val="both"/>
              <w:rPr>
                <w:rFonts w:ascii="宋体" w:hAnsi="宋体" w:eastAsia="宋体" w:cs="宋体"/>
                <w:spacing w:val="-2"/>
                <w:kern w:val="2"/>
                <w:sz w:val="24"/>
                <w:szCs w:val="24"/>
                <w:lang w:val="en-US" w:eastAsia="zh-CN" w:bidi="ar-SA"/>
              </w:rPr>
            </w:pPr>
            <w:r>
              <w:rPr>
                <w:rFonts w:hint="eastAsia" w:ascii="宋体" w:hAnsi="宋体" w:eastAsia="宋体" w:cs="宋体"/>
                <w:spacing w:val="-2"/>
                <w:sz w:val="24"/>
                <w:szCs w:val="24"/>
                <w:lang w:val="en-US" w:eastAsia="zh-CN"/>
              </w:rPr>
              <w:t>联合体参加谈判的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82" w:type="pct"/>
            <w:vAlign w:val="center"/>
          </w:tcPr>
          <w:p>
            <w:pPr>
              <w:spacing w:after="50" w:line="360" w:lineRule="auto"/>
              <w:ind w:right="-10" w:rightChars="0"/>
              <w:jc w:val="both"/>
              <w:rPr>
                <w:rFonts w:hint="eastAsia" w:ascii="宋体" w:hAnsi="宋体" w:eastAsia="宋体" w:cs="宋体"/>
                <w:b w:val="0"/>
                <w:bCs w:val="0"/>
                <w:color w:val="auto"/>
                <w:kern w:val="2"/>
                <w:sz w:val="24"/>
                <w:szCs w:val="24"/>
                <w:highlight w:val="none"/>
                <w:lang w:val="en-US" w:eastAsia="zh-CN" w:bidi="ar-SA"/>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8</w:t>
            </w:r>
          </w:p>
        </w:tc>
        <w:tc>
          <w:tcPr>
            <w:tcW w:w="91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其他特定资格要求</w:t>
            </w:r>
          </w:p>
        </w:tc>
        <w:tc>
          <w:tcPr>
            <w:tcW w:w="2590"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谈判</w:t>
            </w:r>
            <w:r>
              <w:rPr>
                <w:rFonts w:ascii="宋体" w:hAnsi="宋体" w:eastAsia="宋体" w:cs="宋体"/>
                <w:spacing w:val="10"/>
                <w:sz w:val="24"/>
                <w:szCs w:val="24"/>
              </w:rPr>
              <w:t>邀请》</w:t>
            </w:r>
          </w:p>
        </w:tc>
        <w:tc>
          <w:tcPr>
            <w:tcW w:w="108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9</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谈判响应</w:t>
            </w:r>
            <w:r>
              <w:rPr>
                <w:rFonts w:hint="eastAsia" w:asciiTheme="minorEastAsia" w:hAnsiTheme="minorEastAsia" w:eastAsiaTheme="minorEastAsia"/>
                <w:color w:val="auto"/>
                <w:sz w:val="24"/>
                <w:szCs w:val="28"/>
                <w:highlight w:val="none"/>
              </w:rPr>
              <w:t>函</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10</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11</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报价</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12</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szCs w:val="28"/>
                <w:highlight w:val="none"/>
              </w:rPr>
              <w:t>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13</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90" w:type="pct"/>
            <w:vAlign w:val="center"/>
          </w:tcPr>
          <w:p>
            <w:pPr>
              <w:spacing w:after="50" w:line="360" w:lineRule="auto"/>
              <w:ind w:right="-10" w:rightChars="0"/>
              <w:jc w:val="center"/>
              <w:rPr>
                <w:rFonts w:hint="default"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szCs w:val="28"/>
                <w:highlight w:val="none"/>
              </w:rPr>
              <w:t>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14</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90" w:type="pct"/>
            <w:vAlign w:val="center"/>
          </w:tcPr>
          <w:p>
            <w:pPr>
              <w:spacing w:after="50" w:line="360" w:lineRule="auto"/>
              <w:ind w:right="-10" w:rightChars="0"/>
              <w:jc w:val="center"/>
              <w:rPr>
                <w:rFonts w:hint="default"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文件列明的其他</w:t>
            </w:r>
            <w:r>
              <w:rPr>
                <w:rFonts w:hint="eastAsia" w:asciiTheme="minorEastAsia" w:hAnsiTheme="minorEastAsia" w:eastAsiaTheme="minorEastAsia"/>
                <w:color w:val="auto"/>
                <w:sz w:val="24"/>
                <w:szCs w:val="28"/>
                <w:highlight w:val="none"/>
                <w:lang w:val="en-US" w:eastAsia="zh-CN"/>
              </w:rPr>
              <w:t>实质性要求</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48"/>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49" w:name="_Toc6738"/>
      <w:bookmarkStart w:id="50" w:name="_Toc35525217"/>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49"/>
      <w:bookmarkEnd w:id="50"/>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bookmarkStart w:id="51" w:name="_Toc24145"/>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52"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52"/>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5"/>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5"/>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5"/>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6"/>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5"/>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6"/>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53"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53"/>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54"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54"/>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w:t>
      </w:r>
      <w:r>
        <w:rPr>
          <w:rFonts w:hint="eastAsia" w:ascii="宋体" w:hAnsi="宋体" w:eastAsia="宋体" w:cs="宋体"/>
          <w:b w:val="0"/>
          <w:bCs w:val="0"/>
          <w:i w:val="0"/>
          <w:iCs w:val="0"/>
          <w:caps w:val="0"/>
          <w:color w:val="auto"/>
          <w:spacing w:val="0"/>
          <w:sz w:val="24"/>
          <w:szCs w:val="24"/>
          <w:highlight w:val="none"/>
          <w:shd w:val="clear"/>
          <w:vertAlign w:val="baseline"/>
          <w:lang w:val="en-US" w:eastAsia="zh-CN"/>
        </w:rPr>
        <w:t>7</w:t>
      </w:r>
      <w:bookmarkStart w:id="119" w:name="_GoBack"/>
      <w:bookmarkEnd w:id="119"/>
      <w:r>
        <w:rPr>
          <w:rFonts w:hint="eastAsia" w:ascii="宋体" w:hAnsi="宋体" w:eastAsia="宋体" w:cs="宋体"/>
          <w:b w:val="0"/>
          <w:bCs w:val="0"/>
          <w:i w:val="0"/>
          <w:iCs w:val="0"/>
          <w:caps w:val="0"/>
          <w:color w:val="auto"/>
          <w:spacing w:val="0"/>
          <w:sz w:val="24"/>
          <w:szCs w:val="24"/>
          <w:highlight w:val="none"/>
          <w:shd w:val="clear"/>
          <w:vertAlign w:val="baseline"/>
        </w:rPr>
        <w:t>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5"/>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55"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55"/>
    </w:p>
    <w:tbl>
      <w:tblPr>
        <w:tblStyle w:val="2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5"/>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spacing w:line="360" w:lineRule="auto"/>
        <w:rPr>
          <w:rFonts w:asciiTheme="minorEastAsia" w:hAnsiTheme="minorEastAsia" w:eastAsiaTheme="minorEastAsia" w:cstheme="minorEastAsia"/>
          <w:color w:val="auto"/>
          <w:sz w:val="28"/>
          <w:szCs w:val="27"/>
          <w:highlight w:val="none"/>
        </w:rPr>
      </w:pPr>
      <w:r>
        <w:rPr>
          <w:rFonts w:hint="eastAsia" w:asciiTheme="minorEastAsia" w:hAnsiTheme="minorEastAsia" w:eastAsiaTheme="minorEastAsia" w:cstheme="minorEastAsia"/>
          <w:color w:val="auto"/>
          <w:sz w:val="28"/>
          <w:szCs w:val="27"/>
          <w:highlight w:val="none"/>
        </w:rPr>
        <w:br w:type="page"/>
      </w:r>
    </w:p>
    <w:p>
      <w:pPr>
        <w:spacing w:line="360" w:lineRule="auto"/>
        <w:jc w:val="center"/>
        <w:outlineLvl w:val="0"/>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第六章  响应文件格式</w:t>
      </w:r>
      <w:bookmarkEnd w:id="51"/>
    </w:p>
    <w:p>
      <w:pPr>
        <w:spacing w:line="500" w:lineRule="exact"/>
        <w:jc w:val="center"/>
        <w:outlineLvl w:val="1"/>
        <w:rPr>
          <w:rFonts w:asciiTheme="minorEastAsia" w:hAnsiTheme="minorEastAsia" w:eastAsiaTheme="minorEastAsia"/>
          <w:b/>
          <w:color w:val="auto"/>
          <w:sz w:val="32"/>
          <w:highlight w:val="yellow"/>
        </w:rPr>
      </w:pP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spacing w:before="156" w:beforeLines="50" w:after="156" w:afterLines="50"/>
        <w:jc w:val="center"/>
        <w:outlineLvl w:val="1"/>
        <w:rPr>
          <w:rFonts w:asciiTheme="minorEastAsia" w:hAnsiTheme="minorEastAsia" w:eastAsiaTheme="minorEastAsia"/>
          <w:b/>
          <w:color w:val="auto"/>
          <w:sz w:val="32"/>
          <w:szCs w:val="32"/>
          <w:highlight w:val="none"/>
        </w:rPr>
      </w:pPr>
      <w:bookmarkStart w:id="56" w:name="_Toc25043"/>
      <w:bookmarkStart w:id="57" w:name="_Toc20908"/>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56"/>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57"/>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58" w:name="_Toc12150"/>
      <w:bookmarkStart w:id="59" w:name="_Toc12430"/>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58"/>
      <w:bookmarkEnd w:id="59"/>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0" w:name="_Toc461056631"/>
      <w:bookmarkStart w:id="61" w:name="_Toc461053086"/>
      <w:bookmarkStart w:id="62" w:name="_Toc520983587"/>
      <w:bookmarkStart w:id="63" w:name="_Toc27513"/>
      <w:bookmarkStart w:id="64" w:name="_Toc23658"/>
      <w:r>
        <w:rPr>
          <w:rFonts w:hint="eastAsia" w:asciiTheme="minorEastAsia" w:hAnsiTheme="minorEastAsia" w:eastAsiaTheme="minorEastAsia"/>
          <w:b/>
          <w:color w:val="auto"/>
          <w:sz w:val="24"/>
          <w:highlight w:val="none"/>
        </w:rPr>
        <w:t>一</w:t>
      </w:r>
      <w:bookmarkEnd w:id="60"/>
      <w:bookmarkEnd w:id="61"/>
      <w:r>
        <w:rPr>
          <w:rFonts w:hint="eastAsia" w:asciiTheme="minorEastAsia" w:hAnsiTheme="minorEastAsia" w:eastAsiaTheme="minorEastAsia"/>
          <w:b/>
          <w:color w:val="auto"/>
          <w:sz w:val="24"/>
          <w:highlight w:val="none"/>
        </w:rPr>
        <w:t>、报价表格式</w:t>
      </w:r>
      <w:bookmarkEnd w:id="62"/>
      <w:bookmarkEnd w:id="63"/>
      <w:bookmarkEnd w:id="64"/>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u w:val="singl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lang w:val="en-US" w:eastAsia="zh-CN"/>
        </w:rPr>
        <w:t xml:space="preserve">               </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谈判范围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jc w:val="left"/>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r>
              <w:rPr>
                <w:rFonts w:hint="eastAsia" w:ascii="宋体" w:hAnsi="宋体" w:eastAsia="宋体" w:cs="宋体"/>
                <w:bCs/>
                <w:color w:val="auto"/>
                <w:szCs w:val="21"/>
                <w:highlight w:val="none"/>
              </w:rPr>
              <w:t>小写：</w:t>
            </w:r>
            <w:r>
              <w:rPr>
                <w:rFonts w:hint="eastAsia" w:ascii="宋体" w:hAnsi="宋体" w:eastAsia="宋体" w:cs="宋体"/>
                <w:bCs/>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adjustRightInd w:val="0"/>
        <w:snapToGrid w:val="0"/>
        <w:spacing w:line="360" w:lineRule="auto"/>
        <w:rPr>
          <w:rFonts w:ascii="宋体" w:hAnsi="宋体" w:eastAsia="宋体"/>
          <w:b/>
          <w:bCs/>
          <w:color w:val="auto"/>
          <w:sz w:val="24"/>
          <w:szCs w:val="28"/>
          <w:highlight w:val="none"/>
        </w:rPr>
      </w:pP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谈判文件要求包括了货物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3.表中大写金额与小写金额不一致的，以大写金额为准。</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460"/>
        <w:gridCol w:w="1450"/>
        <w:gridCol w:w="1450"/>
        <w:gridCol w:w="744"/>
        <w:gridCol w:w="744"/>
        <w:gridCol w:w="1007"/>
        <w:gridCol w:w="1007"/>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8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8"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8"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39"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39"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vAlign w:val="center"/>
          </w:tcPr>
          <w:p>
            <w:pPr>
              <w:pStyle w:val="36"/>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pStyle w:val="36"/>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8" w:type="pct"/>
            <w:gridSpan w:val="2"/>
            <w:vAlign w:val="center"/>
          </w:tcPr>
          <w:p>
            <w:pPr>
              <w:pStyle w:val="36"/>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pStyle w:val="12"/>
        <w:spacing w:line="360" w:lineRule="auto"/>
        <w:jc w:val="right"/>
        <w:rPr>
          <w:rFonts w:ascii="宋体" w:hAnsi="宋体"/>
          <w:color w:val="auto"/>
          <w:sz w:val="24"/>
          <w:highlight w:val="none"/>
        </w:rPr>
      </w:pP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color w:val="auto"/>
          <w:sz w:val="24"/>
          <w:highlight w:val="none"/>
        </w:rPr>
      </w:pPr>
      <w:bookmarkStart w:id="65" w:name="_Toc461056632"/>
      <w:bookmarkStart w:id="66" w:name="_Toc461053087"/>
      <w:bookmarkStart w:id="67" w:name="_Toc520983588"/>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8" w:name="_Toc13918"/>
      <w:bookmarkStart w:id="69" w:name="_Toc127"/>
      <w:r>
        <w:rPr>
          <w:rFonts w:hint="eastAsia" w:asciiTheme="minorEastAsia" w:hAnsiTheme="minorEastAsia" w:eastAsiaTheme="minorEastAsia"/>
          <w:b/>
          <w:color w:val="auto"/>
          <w:sz w:val="24"/>
          <w:highlight w:val="none"/>
        </w:rPr>
        <w:t>二</w:t>
      </w:r>
      <w:bookmarkEnd w:id="65"/>
      <w:bookmarkEnd w:id="66"/>
      <w:r>
        <w:rPr>
          <w:rFonts w:hint="eastAsia" w:asciiTheme="minorEastAsia" w:hAnsiTheme="minorEastAsia" w:eastAsiaTheme="minorEastAsia"/>
          <w:b/>
          <w:color w:val="auto"/>
          <w:sz w:val="24"/>
          <w:highlight w:val="none"/>
        </w:rPr>
        <w:t>、最后承诺报价表</w:t>
      </w:r>
      <w:bookmarkEnd w:id="67"/>
      <w:bookmarkEnd w:id="68"/>
      <w:bookmarkEnd w:id="69"/>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lang w:val="en-US" w:eastAsia="zh-CN"/>
        </w:rPr>
        <w:t xml:space="preserve">             </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jc w:val="left"/>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r>
              <w:rPr>
                <w:rFonts w:hint="eastAsia" w:ascii="宋体" w:hAnsi="宋体" w:eastAsia="宋体" w:cs="宋体"/>
                <w:bCs/>
                <w:color w:val="auto"/>
                <w:szCs w:val="21"/>
                <w:highlight w:val="none"/>
              </w:rPr>
              <w:t>小写：</w:t>
            </w:r>
            <w:r>
              <w:rPr>
                <w:rFonts w:hint="eastAsia" w:ascii="宋体" w:hAnsi="宋体" w:eastAsia="宋体" w:cs="宋体"/>
                <w:bCs/>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（此处可补充谈判小组根据与供应商谈判情况变动的谈判文件的内容，包括采购需求中的技术、服务要求以及合同草案条款。）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1680" w:firstLineChars="700"/>
        <w:jc w:val="left"/>
        <w:rPr>
          <w:rFonts w:ascii="宋体" w:hAnsi="宋体" w:eastAsia="宋体"/>
          <w:color w:val="auto"/>
          <w:sz w:val="24"/>
          <w:highlight w:val="none"/>
        </w:rPr>
      </w:pPr>
      <w:r>
        <w:rPr>
          <w:rFonts w:hint="eastAsia" w:ascii="宋体" w:hAnsi="宋体" w:eastAsia="宋体"/>
          <w:color w:val="auto"/>
          <w:sz w:val="24"/>
          <w:highlight w:val="none"/>
        </w:rPr>
        <w:t xml:space="preserve">                     供应商公章或授权代表签字：</w:t>
      </w:r>
    </w:p>
    <w:p>
      <w:pPr>
        <w:spacing w:line="360" w:lineRule="auto"/>
        <w:ind w:firstLine="4200" w:firstLineChars="1750"/>
        <w:jc w:val="left"/>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ind w:firstLine="4200" w:firstLineChars="1750"/>
        <w:jc w:val="left"/>
        <w:rPr>
          <w:rFonts w:ascii="宋体" w:hAnsi="宋体" w:eastAsia="宋体"/>
          <w:color w:val="auto"/>
          <w:sz w:val="24"/>
          <w:highlight w:val="none"/>
        </w:rPr>
      </w:pP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color w:val="auto"/>
          <w:sz w:val="24"/>
          <w:highlight w:val="none"/>
        </w:rPr>
        <w:t>注：1.</w:t>
      </w:r>
      <w:r>
        <w:rPr>
          <w:rFonts w:hint="eastAsia" w:ascii="宋体" w:hAnsi="宋体" w:eastAsia="宋体"/>
          <w:b/>
          <w:bCs/>
          <w:color w:val="auto"/>
          <w:sz w:val="24"/>
          <w:highlight w:val="none"/>
        </w:rPr>
        <w:t>本页《报价表》由供应商在接到报价通知后依据谈判情况填写,并在规定时间内提交。</w:t>
      </w:r>
      <w:r>
        <w:rPr>
          <w:rFonts w:hint="eastAsia" w:asciiTheme="minorEastAsia" w:hAnsiTheme="minorEastAsia" w:eastAsiaTheme="minorEastAsia"/>
          <w:color w:val="auto"/>
          <w:sz w:val="24"/>
          <w:highlight w:val="none"/>
        </w:rPr>
        <w:t>考虑谈判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spacing w:line="360" w:lineRule="auto"/>
        <w:ind w:firstLine="435"/>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2.表中大写金额与小写金额不一致的，以大写金额为准。</w:t>
      </w:r>
    </w:p>
    <w:p>
      <w:pPr>
        <w:spacing w:line="360" w:lineRule="auto"/>
        <w:ind w:firstLine="435"/>
        <w:rPr>
          <w:rFonts w:asciiTheme="minorEastAsia" w:hAnsiTheme="minorEastAsia" w:eastAsiaTheme="minorEastAsia"/>
          <w:b/>
          <w:bCs/>
          <w:color w:val="auto"/>
          <w:sz w:val="24"/>
          <w:highlight w:val="none"/>
        </w:rPr>
      </w:pPr>
    </w:p>
    <w:p>
      <w:pPr>
        <w:widowControl/>
        <w:jc w:val="left"/>
        <w:rPr>
          <w:rFonts w:asciiTheme="minorEastAsia" w:hAnsiTheme="minorEastAsia" w:eastAsiaTheme="minorEastAsia"/>
          <w:b/>
          <w:color w:val="auto"/>
          <w:sz w:val="24"/>
          <w:highlight w:val="none"/>
        </w:rPr>
      </w:pPr>
      <w:bookmarkStart w:id="70" w:name="_Toc520983591"/>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1" w:name="_Toc24283"/>
      <w:bookmarkStart w:id="72" w:name="_Toc19122"/>
      <w:r>
        <w:rPr>
          <w:rFonts w:hint="eastAsia" w:asciiTheme="minorEastAsia" w:hAnsiTheme="minorEastAsia" w:eastAsiaTheme="minorEastAsia"/>
          <w:b/>
          <w:color w:val="auto"/>
          <w:sz w:val="24"/>
          <w:highlight w:val="none"/>
        </w:rPr>
        <w:t>三、谈判响应函</w:t>
      </w:r>
      <w:bookmarkEnd w:id="70"/>
      <w:bookmarkEnd w:id="71"/>
      <w:bookmarkEnd w:id="72"/>
    </w:p>
    <w:p>
      <w:pPr>
        <w:pStyle w:val="12"/>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szCs w:val="24"/>
          <w:highlight w:val="none"/>
          <w:u w:val="none"/>
          <w:lang w:eastAsia="zh-CN"/>
        </w:rPr>
        <w:t>采购人</w:t>
      </w:r>
    </w:p>
    <w:p>
      <w:pPr>
        <w:spacing w:line="360" w:lineRule="auto"/>
        <w:ind w:firstLine="480" w:firstLineChars="200"/>
        <w:rPr>
          <w:rFonts w:ascii="宋体" w:hAnsi="宋体" w:eastAsia="宋体"/>
          <w:dstrike/>
          <w:color w:val="auto"/>
          <w:sz w:val="24"/>
          <w:highlight w:val="none"/>
        </w:rPr>
      </w:pPr>
      <w:r>
        <w:rPr>
          <w:rFonts w:hint="eastAsia" w:ascii="宋体" w:hAnsi="宋体" w:eastAsia="宋体"/>
          <w:color w:val="auto"/>
          <w:sz w:val="24"/>
          <w:highlight w:val="none"/>
        </w:rPr>
        <w:t>根据贵方的</w:t>
      </w:r>
      <w:bookmarkStart w:id="73" w:name="_Hlk44287576"/>
      <w:r>
        <w:rPr>
          <w:rFonts w:hint="eastAsia" w:ascii="宋体" w:hAnsi="宋体" w:eastAsia="宋体"/>
          <w:color w:val="auto"/>
          <w:sz w:val="24"/>
          <w:highlight w:val="none"/>
        </w:rPr>
        <w:t>竞争性谈判公告和谈判邀请</w:t>
      </w:r>
      <w:bookmarkEnd w:id="73"/>
      <w:r>
        <w:rPr>
          <w:rFonts w:hint="eastAsia" w:ascii="宋体" w:hAnsi="宋体" w:eastAsia="宋体"/>
          <w:color w:val="auto"/>
          <w:sz w:val="24"/>
          <w:highlight w:val="none"/>
        </w:rPr>
        <w:t>，我方兹宣布同意如下：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1.我方根据本次谈判文件的规定，严格履行合同的责任和义务</w:t>
      </w:r>
      <w:r>
        <w:rPr>
          <w:rFonts w:ascii="宋体" w:hAnsi="宋体" w:eastAsia="宋体"/>
          <w:color w:val="auto"/>
          <w:sz w:val="24"/>
          <w:highlight w:val="none"/>
        </w:rPr>
        <w:t>,</w:t>
      </w:r>
      <w:r>
        <w:rPr>
          <w:rFonts w:hint="eastAsia" w:ascii="宋体" w:hAnsi="宋体" w:eastAsia="宋体"/>
          <w:color w:val="auto"/>
          <w:sz w:val="24"/>
          <w:highlight w:val="none"/>
        </w:rPr>
        <w:t>并保证于买方要求的日期内完成，并通过买方验收。</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.我方已详细审核本次谈判文件，包括谈判文件附件</w:t>
      </w:r>
      <w:r>
        <w:rPr>
          <w:rFonts w:hint="eastAsia" w:ascii="宋体" w:hAnsi="宋体" w:eastAsia="宋体"/>
          <w:color w:val="auto"/>
          <w:sz w:val="24"/>
          <w:highlight w:val="none"/>
          <w:lang w:val="en-US" w:eastAsia="zh-CN"/>
        </w:rPr>
        <w:t>及更正公告</w:t>
      </w:r>
      <w:r>
        <w:rPr>
          <w:rFonts w:hint="eastAsia" w:ascii="宋体" w:hAnsi="宋体" w:eastAsia="宋体"/>
          <w:color w:val="auto"/>
          <w:sz w:val="24"/>
          <w:highlight w:val="none"/>
        </w:rPr>
        <w:t>（如有），我方正式认可并遵守本次谈判文件，并对谈判文件各项条款、规定及要求均无异议。</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.我方同意从供应商须知规定的谈判日期起遵循本谈判文件，并在供应商须知规定的谈判有效期之前均具有约束力。</w:t>
      </w:r>
    </w:p>
    <w:p>
      <w:pPr>
        <w:spacing w:line="360" w:lineRule="auto"/>
        <w:ind w:firstLine="480" w:firstLineChars="200"/>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有关的任何证据、数据或资料。</w:t>
      </w:r>
    </w:p>
    <w:p>
      <w:pPr>
        <w:spacing w:line="360" w:lineRule="auto"/>
        <w:ind w:firstLine="3600" w:firstLineChars="1500"/>
        <w:rPr>
          <w:rFonts w:hint="eastAsia" w:ascii="宋体" w:hAnsi="宋体" w:eastAsia="宋体"/>
          <w:color w:val="auto"/>
          <w:sz w:val="24"/>
          <w:highlight w:val="none"/>
        </w:rPr>
      </w:pPr>
    </w:p>
    <w:p>
      <w:pPr>
        <w:spacing w:line="360" w:lineRule="auto"/>
        <w:ind w:firstLine="3600" w:firstLineChars="15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3600" w:firstLineChars="15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74" w:name="_Toc25337"/>
      <w:bookmarkStart w:id="75" w:name="_Toc204594911"/>
      <w:bookmarkStart w:id="76" w:name="_Toc121626298"/>
      <w:bookmarkStart w:id="77" w:name="_Toc516969106"/>
      <w:bookmarkStart w:id="78" w:name="_Toc520983594"/>
      <w:bookmarkStart w:id="79" w:name="_Toc10139"/>
      <w:r>
        <w:rPr>
          <w:rFonts w:hint="eastAsia" w:asciiTheme="minorEastAsia" w:hAnsiTheme="minorEastAsia" w:eastAsiaTheme="minorEastAsia"/>
          <w:b/>
          <w:color w:val="auto"/>
          <w:sz w:val="24"/>
          <w:highlight w:val="none"/>
          <w:lang w:val="en-US" w:eastAsia="zh-CN"/>
        </w:rPr>
        <w:t>四、供应商资格声明书</w:t>
      </w:r>
      <w:bookmarkEnd w:id="74"/>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在参与本次项目谈判中，我单位承诺：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4873"/>
        <w:gridCol w:w="3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hint="eastAsia" w:ascii="宋体" w:hAnsi="宋体" w:eastAsia="宋体"/>
          <w:color w:val="auto"/>
          <w:sz w:val="24"/>
          <w:highlight w:val="none"/>
          <w:lang w:val="en-US" w:eastAsia="zh-CN"/>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hint="default" w:ascii="宋体" w:hAnsi="宋体" w:eastAsia="宋体"/>
          <w:color w:val="auto"/>
          <w:sz w:val="24"/>
          <w:highlight w:val="none"/>
          <w:lang w:val="en-US" w:eastAsia="zh-CN"/>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w:t>
      </w: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asciiTheme="minorEastAsia" w:hAnsiTheme="minorEastAsia" w:eastAsiaTheme="minorEastAsia"/>
          <w:b/>
          <w:color w:val="auto"/>
          <w:sz w:val="24"/>
          <w:highlight w:val="none"/>
        </w:rPr>
      </w:pPr>
      <w:bookmarkStart w:id="80" w:name="_Toc15728"/>
      <w:r>
        <w:rPr>
          <w:rFonts w:hint="eastAsia" w:asciiTheme="minorEastAsia" w:hAnsiTheme="minorEastAsia" w:eastAsiaTheme="minorEastAsia"/>
          <w:b/>
          <w:color w:val="auto"/>
          <w:sz w:val="24"/>
          <w:highlight w:val="none"/>
          <w:lang w:val="en-US" w:eastAsia="zh-CN"/>
        </w:rPr>
        <w:t>五</w:t>
      </w:r>
      <w:r>
        <w:rPr>
          <w:rFonts w:hint="eastAsia" w:asciiTheme="minorEastAsia" w:hAnsiTheme="minorEastAsia" w:eastAsiaTheme="minorEastAsia"/>
          <w:b/>
          <w:color w:val="auto"/>
          <w:sz w:val="24"/>
          <w:highlight w:val="none"/>
        </w:rPr>
        <w:t>、授权书</w:t>
      </w:r>
      <w:bookmarkEnd w:id="75"/>
      <w:bookmarkEnd w:id="76"/>
      <w:bookmarkEnd w:id="77"/>
      <w:bookmarkEnd w:id="78"/>
      <w:bookmarkEnd w:id="79"/>
      <w:bookmarkEnd w:id="80"/>
    </w:p>
    <w:p>
      <w:pPr>
        <w:pStyle w:val="11"/>
        <w:snapToGrid w:val="0"/>
        <w:spacing w:line="360" w:lineRule="auto"/>
        <w:ind w:firstLine="480" w:firstLineChars="200"/>
        <w:jc w:val="left"/>
        <w:rPr>
          <w:rFonts w:hAnsi="宋体" w:eastAsia="宋体"/>
          <w:color w:val="auto"/>
          <w:sz w:val="24"/>
          <w:szCs w:val="28"/>
          <w:highlight w:val="none"/>
        </w:rPr>
      </w:pP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谈判过程的一切事宜，包括但不限于：提交响应文件、参与谈判、签约等。供应商授权代表在采购活动过程中所签署的一切文件和处理与之有关的一切事务，本公司均予以认可并对此承担责任。供应商授权代表无转委托权。特此授权。</w:t>
      </w: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11"/>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11"/>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spacing w:line="360" w:lineRule="auto"/>
        <w:rPr>
          <w:rFonts w:ascii="宋体" w:hAnsi="宋体" w:eastAsia="宋体"/>
          <w:color w:val="auto"/>
          <w:sz w:val="24"/>
          <w:szCs w:val="28"/>
          <w:highlight w:val="none"/>
        </w:rPr>
      </w:pP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2.法定代表人参加谈判的无需提供授权书，仅提供身份证明扫描件。</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1" w:name="_Toc15310"/>
      <w:bookmarkStart w:id="82" w:name="_Toc27733"/>
      <w:r>
        <w:rPr>
          <w:rFonts w:hint="eastAsia" w:asciiTheme="minorEastAsia" w:hAnsiTheme="minorEastAsia" w:eastAsiaTheme="minorEastAsia"/>
          <w:b/>
          <w:color w:val="auto"/>
          <w:sz w:val="24"/>
          <w:highlight w:val="none"/>
        </w:rPr>
        <w:t>六、谈判响应表</w:t>
      </w:r>
      <w:bookmarkEnd w:id="81"/>
      <w:bookmarkEnd w:id="82"/>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101"/>
        <w:gridCol w:w="2738"/>
        <w:gridCol w:w="2824"/>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谈判文件要求</w:t>
            </w:r>
          </w:p>
        </w:tc>
        <w:tc>
          <w:tcPr>
            <w:tcW w:w="1511"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47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pStyle w:val="36"/>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0"/>
        <w:gridCol w:w="3139"/>
        <w:gridCol w:w="2721"/>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谈判文件规定的技术参数要求</w:t>
            </w:r>
          </w:p>
        </w:tc>
        <w:tc>
          <w:tcPr>
            <w:tcW w:w="145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hint="eastAsia" w:ascii="宋体" w:hAnsi="宋体" w:eastAsia="宋体"/>
          <w:color w:val="auto"/>
          <w:sz w:val="24"/>
          <w:highlight w:val="none"/>
          <w:lang w:val="en-US" w:eastAsia="zh-CN"/>
        </w:rPr>
      </w:pPr>
    </w:p>
    <w:p>
      <w:pPr>
        <w:spacing w:line="360" w:lineRule="auto"/>
        <w:ind w:firstLine="4800" w:firstLineChars="2000"/>
        <w:jc w:val="center"/>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jc w:val="center"/>
        <w:rPr>
          <w:rFonts w:ascii="宋体" w:hAnsi="宋体" w:eastAsia="宋体"/>
          <w:color w:val="auto"/>
          <w:sz w:val="24"/>
          <w:szCs w:val="28"/>
          <w:highlight w:val="non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3" w:name="_Toc4193"/>
      <w:bookmarkStart w:id="84" w:name="_Toc27702"/>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83"/>
      <w:bookmarkEnd w:id="84"/>
    </w:p>
    <w:p>
      <w:pPr>
        <w:pStyle w:val="19"/>
        <w:spacing w:line="360" w:lineRule="auto"/>
        <w:rPr>
          <w:rFonts w:ascii="宋体" w:hAnsi="宋体" w:eastAsia="宋体"/>
          <w:b w:val="0"/>
          <w:i/>
          <w:color w:val="auto"/>
          <w:sz w:val="24"/>
          <w:highlight w:val="yellow"/>
        </w:rPr>
      </w:pPr>
      <w:r>
        <w:rPr>
          <w:rFonts w:hint="eastAsia" w:ascii="宋体" w:hAnsi="宋体" w:eastAsia="宋体"/>
          <w:b w:val="0"/>
          <w:i/>
          <w:color w:val="FF0000"/>
          <w:sz w:val="24"/>
          <w:highlight w:val="none"/>
        </w:rPr>
        <w:t>（不允许联合体参加谈判或未组成联合体的，不需此件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；允许联合体参加谈判且供应商为联合体参加谈判的，请将此件制成扫描件上传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本项目的谈判，</w:t>
      </w:r>
      <w:r>
        <w:rPr>
          <w:rFonts w:asciiTheme="minorEastAsia" w:hAnsiTheme="minorEastAsia" w:eastAsiaTheme="minorEastAsia"/>
          <w:color w:val="auto"/>
          <w:sz w:val="24"/>
          <w:highlight w:val="none"/>
        </w:rPr>
        <w:t>现就联合体参加谈判事宜订立如下协议：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谈判阶段，联合体牵头人负责谈判项目的一切组织、协调工作，并授权代理人以联合体的名义参加项目的谈判，代理人在谈判、合同签订过程中所签署的一切文件和处理与本次谈判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9"/>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bidi w:val="0"/>
      </w:pPr>
      <w:r>
        <w:br w:type="page"/>
      </w:r>
      <w:bookmarkStart w:id="85" w:name="_Toc14690"/>
      <w:bookmarkStart w:id="86" w:name="_Hlk11531103"/>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87" w:name="_Toc12439"/>
      <w:r>
        <w:rPr>
          <w:rFonts w:hint="eastAsia" w:asciiTheme="minorEastAsia" w:hAnsiTheme="minorEastAsia" w:eastAsiaTheme="minorEastAsia"/>
          <w:b/>
          <w:color w:val="auto"/>
          <w:sz w:val="24"/>
          <w:highlight w:val="none"/>
          <w:lang w:val="en-US" w:eastAsia="zh-CN"/>
        </w:rPr>
        <w:t>八．拟分包情况说明及分包意向协议</w:t>
      </w:r>
      <w:bookmarkEnd w:id="87"/>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谈判，拟签订分包合同的单位情况如下表所示，我单位承诺一旦在该项目中获得采购合同将按下表所列情况进行分包，同时承诺分包承担主体不再次分包。</w:t>
      </w:r>
    </w:p>
    <w:tbl>
      <w:tblPr>
        <w:tblStyle w:val="53"/>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4"/>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4"/>
              <w:jc w:val="both"/>
              <w:rPr>
                <w:rFonts w:hint="eastAsia" w:ascii="宋体" w:hAnsi="宋体" w:eastAsia="宋体" w:cs="宋体"/>
              </w:rPr>
            </w:pPr>
          </w:p>
        </w:tc>
        <w:tc>
          <w:tcPr>
            <w:tcW w:w="1684" w:type="dxa"/>
            <w:vAlign w:val="center"/>
          </w:tcPr>
          <w:p>
            <w:pPr>
              <w:pStyle w:val="54"/>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4"/>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4"/>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4"/>
              <w:jc w:val="both"/>
              <w:rPr>
                <w:rFonts w:hint="eastAsia" w:ascii="宋体" w:hAnsi="宋体" w:eastAsia="宋体" w:cs="宋体"/>
              </w:rPr>
            </w:pPr>
          </w:p>
        </w:tc>
        <w:tc>
          <w:tcPr>
            <w:tcW w:w="1390" w:type="dxa"/>
            <w:vAlign w:val="center"/>
          </w:tcPr>
          <w:p>
            <w:pPr>
              <w:pStyle w:val="54"/>
              <w:jc w:val="both"/>
              <w:rPr>
                <w:rFonts w:hint="eastAsia" w:ascii="宋体" w:hAnsi="宋体" w:eastAsia="宋体" w:cs="宋体"/>
              </w:rPr>
            </w:pP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4"/>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4"/>
              <w:jc w:val="both"/>
              <w:rPr>
                <w:rFonts w:hint="eastAsia" w:ascii="宋体" w:hAnsi="宋体" w:eastAsia="宋体" w:cs="宋体"/>
              </w:rPr>
            </w:pPr>
          </w:p>
        </w:tc>
        <w:tc>
          <w:tcPr>
            <w:tcW w:w="1684" w:type="dxa"/>
            <w:vAlign w:val="center"/>
          </w:tcPr>
          <w:p>
            <w:pPr>
              <w:pStyle w:val="54"/>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4"/>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4"/>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4"/>
              <w:jc w:val="both"/>
              <w:rPr>
                <w:rFonts w:hint="eastAsia" w:ascii="宋体" w:hAnsi="宋体" w:eastAsia="宋体" w:cs="宋体"/>
              </w:rPr>
            </w:pPr>
          </w:p>
        </w:tc>
        <w:tc>
          <w:tcPr>
            <w:tcW w:w="1390" w:type="dxa"/>
            <w:vAlign w:val="center"/>
          </w:tcPr>
          <w:p>
            <w:pPr>
              <w:pStyle w:val="54"/>
              <w:jc w:val="both"/>
              <w:rPr>
                <w:rFonts w:hint="eastAsia" w:ascii="宋体" w:hAnsi="宋体" w:eastAsia="宋体" w:cs="宋体"/>
              </w:rPr>
            </w:pP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4"/>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4"/>
              <w:jc w:val="both"/>
              <w:rPr>
                <w:rFonts w:hint="eastAsia" w:ascii="宋体" w:hAnsi="宋体" w:eastAsia="宋体" w:cs="宋体"/>
              </w:rPr>
            </w:pPr>
          </w:p>
        </w:tc>
        <w:tc>
          <w:tcPr>
            <w:tcW w:w="1684" w:type="dxa"/>
            <w:vAlign w:val="center"/>
          </w:tcPr>
          <w:p>
            <w:pPr>
              <w:pStyle w:val="54"/>
              <w:jc w:val="both"/>
              <w:rPr>
                <w:rFonts w:hint="eastAsia" w:ascii="宋体" w:hAnsi="宋体" w:eastAsia="宋体" w:cs="宋体"/>
              </w:rPr>
            </w:pPr>
          </w:p>
        </w:tc>
        <w:tc>
          <w:tcPr>
            <w:tcW w:w="1122" w:type="dxa"/>
            <w:vAlign w:val="center"/>
          </w:tcPr>
          <w:p>
            <w:pPr>
              <w:pStyle w:val="54"/>
              <w:jc w:val="both"/>
              <w:rPr>
                <w:rFonts w:hint="eastAsia" w:ascii="宋体" w:hAnsi="宋体" w:eastAsia="宋体" w:cs="宋体"/>
              </w:rPr>
            </w:pPr>
          </w:p>
        </w:tc>
        <w:tc>
          <w:tcPr>
            <w:tcW w:w="1390" w:type="dxa"/>
            <w:vAlign w:val="center"/>
          </w:tcPr>
          <w:p>
            <w:pPr>
              <w:pStyle w:val="54"/>
              <w:jc w:val="both"/>
              <w:rPr>
                <w:rFonts w:hint="eastAsia" w:ascii="宋体" w:hAnsi="宋体" w:eastAsia="宋体" w:cs="宋体"/>
              </w:rPr>
            </w:pP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，代理人在项目采购过程中所签署的一切文件和处理与本次</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宋体" w:hAnsi="宋体" w:eastAsia="宋体"/>
          <w:color w:val="auto"/>
          <w:sz w:val="24"/>
          <w:highlight w:val="none"/>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hint="eastAsia" w:asciiTheme="minorEastAsia" w:hAnsiTheme="minorEastAsia" w:eastAsiaTheme="minorEastAsia"/>
          <w:b/>
          <w:color w:val="auto"/>
          <w:sz w:val="24"/>
          <w:highlight w:val="none"/>
        </w:rPr>
      </w:pPr>
      <w:r>
        <w:rPr>
          <w:rFonts w:hint="eastAsia" w:asciiTheme="minorEastAsia" w:hAnsiTheme="minorEastAsia" w:eastAsiaTheme="minorEastAsia"/>
          <w:b/>
          <w:bCs/>
          <w:sz w:val="24"/>
          <w:szCs w:val="28"/>
        </w:rPr>
        <w:t>注：</w:t>
      </w:r>
      <w:r>
        <w:rPr>
          <w:rFonts w:hint="eastAsia" w:asciiTheme="minorEastAsia" w:hAnsiTheme="minorEastAsia" w:eastAsiaTheme="minorEastAsia"/>
          <w:b w:val="0"/>
          <w:bCs w:val="0"/>
          <w:sz w:val="24"/>
          <w:szCs w:val="28"/>
        </w:rPr>
        <w:t>分包意向协议中须约定向中小企业分包的项目内容及分包内容占合同金额比例</w:t>
      </w:r>
      <w:r>
        <w:rPr>
          <w:rFonts w:hint="eastAsia" w:asciiTheme="minorEastAsia" w:hAnsiTheme="minorEastAsia" w:eastAsiaTheme="minorEastAsia"/>
          <w:b w:val="0"/>
          <w:bCs w:val="0"/>
          <w:sz w:val="24"/>
          <w:szCs w:val="28"/>
          <w:lang w:eastAsia="zh-CN"/>
        </w:rPr>
        <w:t>。</w:t>
      </w:r>
      <w:r>
        <w:rPr>
          <w:rFonts w:hint="eastAsia" w:asciiTheme="minorEastAsia" w:hAnsiTheme="minorEastAsia" w:eastAsiaTheme="minorEastAsia"/>
          <w:b/>
          <w:color w:val="auto"/>
          <w:sz w:val="24"/>
          <w:highlight w:val="none"/>
        </w:rPr>
        <w:br w:type="page"/>
      </w:r>
    </w:p>
    <w:bookmarkEnd w:id="85"/>
    <w:bookmarkEnd w:id="86"/>
    <w:p>
      <w:pPr>
        <w:spacing w:line="360" w:lineRule="auto"/>
        <w:jc w:val="center"/>
        <w:outlineLvl w:val="1"/>
        <w:rPr>
          <w:rFonts w:asciiTheme="minorEastAsia" w:hAnsiTheme="minorEastAsia" w:eastAsiaTheme="minorEastAsia"/>
          <w:b/>
          <w:color w:val="auto"/>
          <w:sz w:val="24"/>
          <w:highlight w:val="none"/>
        </w:rPr>
      </w:pPr>
      <w:bookmarkStart w:id="88" w:name="_Toc6743"/>
      <w:bookmarkStart w:id="89" w:name="_Toc3780"/>
      <w:bookmarkStart w:id="90" w:name="_Hlk60612781"/>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88"/>
      <w:bookmarkEnd w:id="89"/>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谈判，不需此件，请删去“中小企业声明函”）</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u w:val="single"/>
          <w:lang w:val="en-US" w:eastAsia="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90"/>
    <w:p>
      <w:pPr>
        <w:tabs>
          <w:tab w:val="left" w:pos="4620"/>
        </w:tabs>
        <w:spacing w:line="360" w:lineRule="auto"/>
        <w:jc w:val="left"/>
        <w:rPr>
          <w:rFonts w:hint="eastAsia" w:asciiTheme="minorEastAsia" w:hAnsiTheme="minorEastAsia" w:eastAsiaTheme="minorEastAsia"/>
          <w:b/>
          <w:color w:val="auto"/>
          <w:szCs w:val="24"/>
          <w:highlight w:val="none"/>
          <w:lang w:eastAsia="zh-CN"/>
        </w:rPr>
      </w:pPr>
      <w:bookmarkStart w:id="91" w:name="_Hlk60612992"/>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[供应商自行登录工业和信息化部官网进行中小企业规模类型自测（查询网址https://www.miit.gov.cn/）]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2" w:name="_Toc28572"/>
      <w:bookmarkStart w:id="93" w:name="_Toc23008"/>
      <w:r>
        <w:rPr>
          <w:rFonts w:hint="eastAsia" w:asciiTheme="minorEastAsia" w:hAnsiTheme="minorEastAsia" w:eastAsiaTheme="minorEastAsia"/>
          <w:b/>
          <w:color w:val="auto"/>
          <w:sz w:val="24"/>
          <w:highlight w:val="none"/>
        </w:rPr>
        <w:t>十、残疾人福利性单位声明函</w:t>
      </w:r>
      <w:bookmarkEnd w:id="92"/>
      <w:bookmarkEnd w:id="93"/>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（非残疾人福利性单位谈判，请删去“残疾人福利性单位声明函”）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本单位郑重声明，根据《财政部 民政部 中国残疾人联合会关于促进残疾人就业政府采购政策的通知》（财库〔2017〕141号）的规定，本单位为</w:t>
      </w:r>
      <w:r>
        <w:rPr>
          <w:rFonts w:hint="eastAsia" w:asciiTheme="minorEastAsia" w:hAnsiTheme="minorEastAsia" w:eastAsiaTheme="minorEastAsia"/>
          <w:bCs/>
          <w:color w:val="auto"/>
          <w:spacing w:val="6"/>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91"/>
    <w:p>
      <w:pPr>
        <w:spacing w:line="360" w:lineRule="auto"/>
        <w:ind w:firstLine="435"/>
        <w:rPr>
          <w:rFonts w:cs="Cambria Math" w:asciiTheme="minorEastAsia" w:hAnsiTheme="minorEastAsia" w:eastAsiaTheme="minorEastAsia"/>
          <w:b/>
          <w:color w:val="auto"/>
          <w:sz w:val="24"/>
          <w:szCs w:val="24"/>
          <w:highlight w:val="none"/>
        </w:rPr>
      </w:pPr>
    </w:p>
    <w:p>
      <w:pPr>
        <w:spacing w:line="360" w:lineRule="auto"/>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4" w:name="_Toc8563"/>
      <w:bookmarkStart w:id="95" w:name="_Toc21170"/>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94"/>
      <w:bookmarkEnd w:id="95"/>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6" w:name="_Toc29042"/>
      <w:bookmarkStart w:id="97" w:name="_Toc28661"/>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96"/>
      <w:bookmarkEnd w:id="97"/>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提供符合谈判邀请、采购需求及评审方法和标准规定的相关证明文件。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供应商在响应文件制作时可在此栏内上传谈判文件要求上传的证明资料，如营业执照、证书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宋体" w:hAnsi="宋体" w:eastAsia="宋体"/>
          <w:bCs/>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98" w:name="_Toc60608832"/>
      <w:bookmarkStart w:id="99" w:name="_Toc11034"/>
      <w:bookmarkStart w:id="100" w:name="_Toc10319"/>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章</w:t>
      </w:r>
      <w:r>
        <w:rPr>
          <w:rFonts w:hint="eastAsia"/>
          <w:b/>
          <w:bCs/>
          <w:color w:val="auto"/>
          <w:sz w:val="28"/>
          <w:highlight w:val="none"/>
        </w:rPr>
        <w:t xml:space="preserve">  </w:t>
      </w:r>
      <w:bookmarkEnd w:id="98"/>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99"/>
      <w:bookmarkEnd w:id="100"/>
    </w:p>
    <w:p>
      <w:pPr>
        <w:spacing w:line="360" w:lineRule="auto"/>
        <w:jc w:val="center"/>
        <w:outlineLvl w:val="1"/>
        <w:rPr>
          <w:rFonts w:ascii="仿宋" w:hAnsi="仿宋" w:eastAsia="仿宋" w:cs="仿宋"/>
          <w:b/>
          <w:bCs/>
          <w:color w:val="auto"/>
          <w:sz w:val="32"/>
          <w:szCs w:val="44"/>
          <w:highlight w:val="none"/>
        </w:rPr>
      </w:pPr>
      <w:bookmarkStart w:id="101" w:name="_Toc28375"/>
      <w:bookmarkStart w:id="102" w:name="_Toc12954"/>
      <w:r>
        <w:rPr>
          <w:rFonts w:hint="eastAsia" w:ascii="仿宋" w:hAnsi="仿宋" w:eastAsia="仿宋" w:cs="仿宋"/>
          <w:b/>
          <w:bCs/>
          <w:color w:val="auto"/>
          <w:sz w:val="32"/>
          <w:szCs w:val="44"/>
          <w:highlight w:val="none"/>
        </w:rPr>
        <w:t>询问函范本</w:t>
      </w:r>
      <w:bookmarkEnd w:id="101"/>
      <w:bookmarkEnd w:id="102"/>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yellow"/>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03" w:name="_Toc23584"/>
      <w:bookmarkStart w:id="104" w:name="_Toc29009"/>
      <w:r>
        <w:rPr>
          <w:rFonts w:hint="eastAsia" w:cs="仿宋" w:asciiTheme="minorEastAsia" w:hAnsiTheme="minorEastAsia" w:eastAsiaTheme="minorEastAsia"/>
          <w:color w:val="auto"/>
          <w:sz w:val="24"/>
          <w:szCs w:val="24"/>
          <w:highlight w:val="none"/>
        </w:rPr>
        <w:t>一、(事项一)</w:t>
      </w:r>
      <w:bookmarkEnd w:id="103"/>
      <w:bookmarkEnd w:id="104"/>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05" w:name="_Toc16254"/>
      <w:bookmarkStart w:id="106" w:name="_Toc18220"/>
      <w:r>
        <w:rPr>
          <w:rFonts w:hint="eastAsia" w:cs="仿宋" w:asciiTheme="minorEastAsia" w:hAnsiTheme="minorEastAsia" w:eastAsiaTheme="minorEastAsia"/>
          <w:color w:val="auto"/>
          <w:sz w:val="24"/>
          <w:szCs w:val="24"/>
          <w:highlight w:val="none"/>
        </w:rPr>
        <w:t>二、(事项二)</w:t>
      </w:r>
      <w:bookmarkEnd w:id="105"/>
      <w:bookmarkEnd w:id="106"/>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107" w:name="_Toc18073"/>
      <w:bookmarkStart w:id="108" w:name="_Toc6176"/>
      <w:r>
        <w:rPr>
          <w:rFonts w:hint="eastAsia" w:ascii="仿宋" w:hAnsi="仿宋" w:eastAsia="仿宋" w:cs="仿宋"/>
          <w:b/>
          <w:bCs/>
          <w:color w:val="auto"/>
          <w:sz w:val="32"/>
          <w:szCs w:val="44"/>
          <w:highlight w:val="none"/>
        </w:rPr>
        <w:t>质疑函范本</w:t>
      </w:r>
      <w:bookmarkEnd w:id="107"/>
      <w:bookmarkEnd w:id="108"/>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109" w:name="_Toc17682"/>
      <w:bookmarkStart w:id="110" w:name="_Toc21548"/>
      <w:r>
        <w:rPr>
          <w:rFonts w:hint="eastAsia" w:cs="仿宋" w:asciiTheme="minorEastAsia" w:hAnsiTheme="minorEastAsia" w:eastAsiaTheme="minorEastAsia"/>
          <w:b/>
          <w:bCs/>
          <w:color w:val="auto"/>
          <w:sz w:val="24"/>
          <w:szCs w:val="24"/>
          <w:highlight w:val="none"/>
        </w:rPr>
        <w:t>一、质疑供应商基本信息</w:t>
      </w:r>
      <w:bookmarkEnd w:id="109"/>
      <w:bookmarkEnd w:id="110"/>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1" w:name="_Toc9149"/>
      <w:bookmarkStart w:id="112" w:name="_Toc5180"/>
      <w:r>
        <w:rPr>
          <w:rFonts w:hint="eastAsia" w:cs="仿宋" w:asciiTheme="minorEastAsia" w:hAnsiTheme="minorEastAsia" w:eastAsiaTheme="minorEastAsia"/>
          <w:b/>
          <w:bCs/>
          <w:color w:val="auto"/>
          <w:sz w:val="24"/>
          <w:szCs w:val="24"/>
          <w:highlight w:val="none"/>
        </w:rPr>
        <w:t>二、质疑项目基本情况</w:t>
      </w:r>
      <w:bookmarkEnd w:id="111"/>
      <w:bookmarkEnd w:id="112"/>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3" w:name="_Toc14494"/>
      <w:bookmarkStart w:id="114" w:name="_Toc29996"/>
      <w:r>
        <w:rPr>
          <w:rFonts w:hint="eastAsia" w:cs="仿宋" w:asciiTheme="minorEastAsia" w:hAnsiTheme="minorEastAsia" w:eastAsiaTheme="minorEastAsia"/>
          <w:b/>
          <w:bCs/>
          <w:color w:val="auto"/>
          <w:sz w:val="24"/>
          <w:szCs w:val="24"/>
          <w:highlight w:val="none"/>
        </w:rPr>
        <w:t>三、质疑事项具体内容</w:t>
      </w:r>
      <w:bookmarkEnd w:id="113"/>
      <w:bookmarkEnd w:id="114"/>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5" w:name="_Toc7296"/>
      <w:bookmarkStart w:id="116" w:name="_Toc814"/>
      <w:r>
        <w:rPr>
          <w:rFonts w:hint="eastAsia" w:cs="仿宋" w:asciiTheme="minorEastAsia" w:hAnsiTheme="minorEastAsia" w:eastAsiaTheme="minorEastAsia"/>
          <w:b/>
          <w:bCs/>
          <w:color w:val="auto"/>
          <w:sz w:val="24"/>
          <w:szCs w:val="24"/>
          <w:highlight w:val="none"/>
        </w:rPr>
        <w:t>四、与质疑事项相关的质疑请求</w:t>
      </w:r>
      <w:bookmarkEnd w:id="115"/>
      <w:bookmarkEnd w:id="116"/>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17" w:name="_Toc26567"/>
      <w:bookmarkStart w:id="118" w:name="_Toc3093"/>
      <w:r>
        <w:rPr>
          <w:rFonts w:hint="eastAsia" w:asciiTheme="minorEastAsia" w:hAnsiTheme="minorEastAsia" w:eastAsiaTheme="minorEastAsia"/>
          <w:b/>
          <w:color w:val="auto"/>
          <w:sz w:val="28"/>
          <w:szCs w:val="32"/>
          <w:highlight w:val="none"/>
        </w:rPr>
        <w:t>质疑函制作说明：</w:t>
      </w:r>
      <w:bookmarkEnd w:id="117"/>
      <w:bookmarkEnd w:id="118"/>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b w:val="0"/>
                              <w:bCs w:val="0"/>
                              <w:sz w:val="18"/>
                              <w:szCs w:val="18"/>
                            </w:rPr>
                          </w:pPr>
                          <w:r>
                            <w:rPr>
                              <w:rFonts w:hint="eastAsia" w:ascii="宋体" w:hAnsi="宋体" w:eastAsia="宋体" w:cs="宋体"/>
                              <w:b w:val="0"/>
                              <w:bCs w:val="0"/>
                              <w:sz w:val="18"/>
                              <w:szCs w:val="18"/>
                            </w:rPr>
                            <w:t xml:space="preserve">第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PAGE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 共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NUMPAGES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64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b w:val="0"/>
                        <w:bCs w:val="0"/>
                        <w:sz w:val="18"/>
                        <w:szCs w:val="18"/>
                      </w:rPr>
                    </w:pPr>
                    <w:r>
                      <w:rPr>
                        <w:rFonts w:hint="eastAsia" w:ascii="宋体" w:hAnsi="宋体" w:eastAsia="宋体" w:cs="宋体"/>
                        <w:b w:val="0"/>
                        <w:bCs w:val="0"/>
                        <w:sz w:val="18"/>
                        <w:szCs w:val="18"/>
                      </w:rPr>
                      <w:t xml:space="preserve">第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PAGE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 共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NUMPAGES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64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0811171"/>
    </w:sdtPr>
    <w:sdtEndPr>
      <w:rPr>
        <w:rFonts w:asciiTheme="minorEastAsia" w:hAnsiTheme="minorEastAsia" w:eastAsiaTheme="minorEastAsia"/>
        <w:sz w:val="21"/>
        <w:szCs w:val="21"/>
      </w:rPr>
    </w:sdtEndPr>
    <w:sdtContent>
      <w:sdt>
        <w:sdtPr>
          <w:id w:val="-1669238322"/>
        </w:sdtPr>
        <w:sdtEndPr>
          <w:rPr>
            <w:rFonts w:asciiTheme="minorEastAsia" w:hAnsiTheme="minorEastAsia" w:eastAsiaTheme="minorEastAsia"/>
            <w:sz w:val="21"/>
            <w:szCs w:val="21"/>
          </w:rPr>
        </w:sdtEndPr>
        <w:sdtContent>
          <w:p>
            <w:pPr>
              <w:pStyle w:val="14"/>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PAGE</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50</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r>
              <w:rPr>
                <w:rFonts w:asciiTheme="minorEastAsia" w:hAnsiTheme="minorEastAsia" w:eastAsiaTheme="minorEastAsia"/>
                <w:bCs/>
                <w:sz w:val="21"/>
                <w:szCs w:val="21"/>
              </w:rPr>
              <w:t>/</w:t>
            </w:r>
            <w:r>
              <w:rPr>
                <w:rFonts w:hint="eastAsia" w:asciiTheme="minorEastAsia" w:hAnsiTheme="minorEastAsia" w:eastAsiaTheme="minorEastAsia"/>
                <w:bCs/>
                <w:sz w:val="21"/>
                <w:szCs w:val="21"/>
              </w:rPr>
              <w:t xml:space="preserve">共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 =</w:instrTex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NUMPAGES</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instrText xml:space="preserve">62</w:instrText>
            </w:r>
            <w:r>
              <w:rPr>
                <w:rFonts w:asciiTheme="minorEastAsia" w:hAnsiTheme="minorEastAsia" w:eastAsiaTheme="minorEastAsia"/>
                <w:b/>
                <w:sz w:val="21"/>
                <w:szCs w:val="21"/>
              </w:rPr>
              <w:fldChar w:fldCharType="end"/>
            </w:r>
            <w:r>
              <w:rPr>
                <w:rFonts w:asciiTheme="minorEastAsia" w:hAnsiTheme="minorEastAsia" w:eastAsiaTheme="minorEastAsia"/>
                <w:b/>
                <w:sz w:val="21"/>
                <w:szCs w:val="21"/>
              </w:rPr>
              <w:instrText xml:space="preserve">-2 </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60</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rPr>
        <w:rFonts w:hint="eastAsia"/>
      </w:rPr>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2247"/>
    <w:rsid w:val="000037F9"/>
    <w:rsid w:val="000049DA"/>
    <w:rsid w:val="000056B7"/>
    <w:rsid w:val="00005C24"/>
    <w:rsid w:val="0000779C"/>
    <w:rsid w:val="000131F7"/>
    <w:rsid w:val="00013DD9"/>
    <w:rsid w:val="00014039"/>
    <w:rsid w:val="00014DDD"/>
    <w:rsid w:val="00016B6C"/>
    <w:rsid w:val="000201D0"/>
    <w:rsid w:val="00020B57"/>
    <w:rsid w:val="00020DA0"/>
    <w:rsid w:val="00021D80"/>
    <w:rsid w:val="000227B2"/>
    <w:rsid w:val="000356BE"/>
    <w:rsid w:val="00040C25"/>
    <w:rsid w:val="00042139"/>
    <w:rsid w:val="000421D1"/>
    <w:rsid w:val="00042B14"/>
    <w:rsid w:val="000444B3"/>
    <w:rsid w:val="00044F49"/>
    <w:rsid w:val="000450C3"/>
    <w:rsid w:val="00046FC4"/>
    <w:rsid w:val="00050A3F"/>
    <w:rsid w:val="00050F5E"/>
    <w:rsid w:val="00062C99"/>
    <w:rsid w:val="000641C6"/>
    <w:rsid w:val="000648D2"/>
    <w:rsid w:val="00066B5B"/>
    <w:rsid w:val="00070075"/>
    <w:rsid w:val="00070E0E"/>
    <w:rsid w:val="0007146E"/>
    <w:rsid w:val="00072F85"/>
    <w:rsid w:val="00076456"/>
    <w:rsid w:val="00076DB7"/>
    <w:rsid w:val="00080FEB"/>
    <w:rsid w:val="000870E6"/>
    <w:rsid w:val="00093150"/>
    <w:rsid w:val="00093E05"/>
    <w:rsid w:val="00094D41"/>
    <w:rsid w:val="0009531E"/>
    <w:rsid w:val="00096426"/>
    <w:rsid w:val="000970FA"/>
    <w:rsid w:val="00097CB9"/>
    <w:rsid w:val="000A10A9"/>
    <w:rsid w:val="000A32F3"/>
    <w:rsid w:val="000A6693"/>
    <w:rsid w:val="000A7970"/>
    <w:rsid w:val="000A7D94"/>
    <w:rsid w:val="000B118D"/>
    <w:rsid w:val="000B120A"/>
    <w:rsid w:val="000B1511"/>
    <w:rsid w:val="000C0507"/>
    <w:rsid w:val="000C0B4B"/>
    <w:rsid w:val="000C14C3"/>
    <w:rsid w:val="000C1DB1"/>
    <w:rsid w:val="000C2092"/>
    <w:rsid w:val="000C407C"/>
    <w:rsid w:val="000C512D"/>
    <w:rsid w:val="000C6D28"/>
    <w:rsid w:val="000D2411"/>
    <w:rsid w:val="000D3A8D"/>
    <w:rsid w:val="000D3F37"/>
    <w:rsid w:val="000E2BA5"/>
    <w:rsid w:val="000E3C74"/>
    <w:rsid w:val="000E3F9B"/>
    <w:rsid w:val="000E478E"/>
    <w:rsid w:val="000E4B7C"/>
    <w:rsid w:val="000E6689"/>
    <w:rsid w:val="000F172B"/>
    <w:rsid w:val="000F2198"/>
    <w:rsid w:val="000F29A8"/>
    <w:rsid w:val="000F39B6"/>
    <w:rsid w:val="000F3D25"/>
    <w:rsid w:val="000F5488"/>
    <w:rsid w:val="000F6B7B"/>
    <w:rsid w:val="00100B0F"/>
    <w:rsid w:val="0010187C"/>
    <w:rsid w:val="00101DDB"/>
    <w:rsid w:val="0010219C"/>
    <w:rsid w:val="001026B4"/>
    <w:rsid w:val="001037E3"/>
    <w:rsid w:val="00104C6C"/>
    <w:rsid w:val="00106C08"/>
    <w:rsid w:val="0011036B"/>
    <w:rsid w:val="00111B6F"/>
    <w:rsid w:val="0011660B"/>
    <w:rsid w:val="00120E4A"/>
    <w:rsid w:val="0012143A"/>
    <w:rsid w:val="001258BA"/>
    <w:rsid w:val="001273BC"/>
    <w:rsid w:val="001301E2"/>
    <w:rsid w:val="00132DDC"/>
    <w:rsid w:val="00134C6F"/>
    <w:rsid w:val="0013744A"/>
    <w:rsid w:val="00140687"/>
    <w:rsid w:val="00146421"/>
    <w:rsid w:val="00151E19"/>
    <w:rsid w:val="00153B20"/>
    <w:rsid w:val="00155F64"/>
    <w:rsid w:val="00156F8B"/>
    <w:rsid w:val="00157856"/>
    <w:rsid w:val="00160729"/>
    <w:rsid w:val="00161B13"/>
    <w:rsid w:val="001651ED"/>
    <w:rsid w:val="00166794"/>
    <w:rsid w:val="00166ED8"/>
    <w:rsid w:val="001714C9"/>
    <w:rsid w:val="00172ACA"/>
    <w:rsid w:val="0017704F"/>
    <w:rsid w:val="0018119B"/>
    <w:rsid w:val="00183995"/>
    <w:rsid w:val="001844AB"/>
    <w:rsid w:val="001853C7"/>
    <w:rsid w:val="001866DC"/>
    <w:rsid w:val="001907B0"/>
    <w:rsid w:val="00190839"/>
    <w:rsid w:val="00192879"/>
    <w:rsid w:val="001938E5"/>
    <w:rsid w:val="001944B8"/>
    <w:rsid w:val="0019616A"/>
    <w:rsid w:val="00196DA3"/>
    <w:rsid w:val="001A526C"/>
    <w:rsid w:val="001A5B1F"/>
    <w:rsid w:val="001A68E5"/>
    <w:rsid w:val="001B2A54"/>
    <w:rsid w:val="001B2BA4"/>
    <w:rsid w:val="001B5014"/>
    <w:rsid w:val="001B544A"/>
    <w:rsid w:val="001B62A6"/>
    <w:rsid w:val="001B7327"/>
    <w:rsid w:val="001C03D4"/>
    <w:rsid w:val="001C54BE"/>
    <w:rsid w:val="001C6047"/>
    <w:rsid w:val="001D22EA"/>
    <w:rsid w:val="001D2634"/>
    <w:rsid w:val="001D3B4C"/>
    <w:rsid w:val="001D53B4"/>
    <w:rsid w:val="001E15FE"/>
    <w:rsid w:val="001E1835"/>
    <w:rsid w:val="001E42BC"/>
    <w:rsid w:val="001F19A3"/>
    <w:rsid w:val="001F28D2"/>
    <w:rsid w:val="001F2F45"/>
    <w:rsid w:val="001F3023"/>
    <w:rsid w:val="001F35F6"/>
    <w:rsid w:val="001F4308"/>
    <w:rsid w:val="001F74CA"/>
    <w:rsid w:val="001F7590"/>
    <w:rsid w:val="002003B6"/>
    <w:rsid w:val="0020244A"/>
    <w:rsid w:val="00204609"/>
    <w:rsid w:val="002049B4"/>
    <w:rsid w:val="0020520B"/>
    <w:rsid w:val="0020529E"/>
    <w:rsid w:val="002056D4"/>
    <w:rsid w:val="002076AD"/>
    <w:rsid w:val="00213C55"/>
    <w:rsid w:val="002156EA"/>
    <w:rsid w:val="00221256"/>
    <w:rsid w:val="00223CF4"/>
    <w:rsid w:val="00224C4A"/>
    <w:rsid w:val="00231187"/>
    <w:rsid w:val="0023407E"/>
    <w:rsid w:val="00240B40"/>
    <w:rsid w:val="00241874"/>
    <w:rsid w:val="002427C1"/>
    <w:rsid w:val="002439FE"/>
    <w:rsid w:val="00244182"/>
    <w:rsid w:val="00246F20"/>
    <w:rsid w:val="00250EE3"/>
    <w:rsid w:val="00253517"/>
    <w:rsid w:val="002544A1"/>
    <w:rsid w:val="00257ECE"/>
    <w:rsid w:val="00260B94"/>
    <w:rsid w:val="00261798"/>
    <w:rsid w:val="002626F5"/>
    <w:rsid w:val="00262AFC"/>
    <w:rsid w:val="00264EAD"/>
    <w:rsid w:val="00264F2E"/>
    <w:rsid w:val="00271245"/>
    <w:rsid w:val="00271B93"/>
    <w:rsid w:val="002720A9"/>
    <w:rsid w:val="00274A9E"/>
    <w:rsid w:val="00275C66"/>
    <w:rsid w:val="00276BA1"/>
    <w:rsid w:val="00280984"/>
    <w:rsid w:val="00281A59"/>
    <w:rsid w:val="002835E3"/>
    <w:rsid w:val="00284542"/>
    <w:rsid w:val="0028537B"/>
    <w:rsid w:val="002929E1"/>
    <w:rsid w:val="00292D2A"/>
    <w:rsid w:val="002A14D1"/>
    <w:rsid w:val="002A1A1D"/>
    <w:rsid w:val="002A28AD"/>
    <w:rsid w:val="002A3879"/>
    <w:rsid w:val="002B04FD"/>
    <w:rsid w:val="002B2BC9"/>
    <w:rsid w:val="002B5318"/>
    <w:rsid w:val="002B6D27"/>
    <w:rsid w:val="002B7A09"/>
    <w:rsid w:val="002C060C"/>
    <w:rsid w:val="002C3BA6"/>
    <w:rsid w:val="002C6F1B"/>
    <w:rsid w:val="002C72CD"/>
    <w:rsid w:val="002C76BA"/>
    <w:rsid w:val="002D041D"/>
    <w:rsid w:val="002D05DD"/>
    <w:rsid w:val="002D24AD"/>
    <w:rsid w:val="002D2965"/>
    <w:rsid w:val="002D3301"/>
    <w:rsid w:val="002D3D02"/>
    <w:rsid w:val="002D4CB5"/>
    <w:rsid w:val="002D684B"/>
    <w:rsid w:val="002E16E9"/>
    <w:rsid w:val="002E1C8F"/>
    <w:rsid w:val="002E2D3A"/>
    <w:rsid w:val="002E3B26"/>
    <w:rsid w:val="002E3CF3"/>
    <w:rsid w:val="002E411D"/>
    <w:rsid w:val="002E4AB8"/>
    <w:rsid w:val="002E7FC4"/>
    <w:rsid w:val="002F1132"/>
    <w:rsid w:val="002F2D4E"/>
    <w:rsid w:val="0030413C"/>
    <w:rsid w:val="003043FC"/>
    <w:rsid w:val="00310070"/>
    <w:rsid w:val="0031081B"/>
    <w:rsid w:val="00310F86"/>
    <w:rsid w:val="003110EC"/>
    <w:rsid w:val="003166D8"/>
    <w:rsid w:val="003206A6"/>
    <w:rsid w:val="003213B4"/>
    <w:rsid w:val="0032560D"/>
    <w:rsid w:val="0032598E"/>
    <w:rsid w:val="00327C92"/>
    <w:rsid w:val="00330431"/>
    <w:rsid w:val="00331DEB"/>
    <w:rsid w:val="00331F10"/>
    <w:rsid w:val="00333292"/>
    <w:rsid w:val="0033392E"/>
    <w:rsid w:val="003344E7"/>
    <w:rsid w:val="0033460E"/>
    <w:rsid w:val="0033580B"/>
    <w:rsid w:val="003365E7"/>
    <w:rsid w:val="00336983"/>
    <w:rsid w:val="003378D5"/>
    <w:rsid w:val="00340CA3"/>
    <w:rsid w:val="00342B62"/>
    <w:rsid w:val="00344BF7"/>
    <w:rsid w:val="003473D7"/>
    <w:rsid w:val="003510A4"/>
    <w:rsid w:val="00351AC8"/>
    <w:rsid w:val="00353075"/>
    <w:rsid w:val="003550A7"/>
    <w:rsid w:val="00360384"/>
    <w:rsid w:val="00360697"/>
    <w:rsid w:val="00362110"/>
    <w:rsid w:val="0036339C"/>
    <w:rsid w:val="00363E02"/>
    <w:rsid w:val="00370F58"/>
    <w:rsid w:val="00373A96"/>
    <w:rsid w:val="00374BA2"/>
    <w:rsid w:val="00381681"/>
    <w:rsid w:val="003826C2"/>
    <w:rsid w:val="00382B87"/>
    <w:rsid w:val="00383728"/>
    <w:rsid w:val="00385435"/>
    <w:rsid w:val="00385772"/>
    <w:rsid w:val="003903BB"/>
    <w:rsid w:val="003921ED"/>
    <w:rsid w:val="00392627"/>
    <w:rsid w:val="00393E2B"/>
    <w:rsid w:val="00394128"/>
    <w:rsid w:val="00394ADC"/>
    <w:rsid w:val="00395235"/>
    <w:rsid w:val="0039561A"/>
    <w:rsid w:val="00397C7D"/>
    <w:rsid w:val="003A004F"/>
    <w:rsid w:val="003A092F"/>
    <w:rsid w:val="003A33CD"/>
    <w:rsid w:val="003A4DF1"/>
    <w:rsid w:val="003B4130"/>
    <w:rsid w:val="003B715B"/>
    <w:rsid w:val="003B7FCE"/>
    <w:rsid w:val="003C002C"/>
    <w:rsid w:val="003C0B36"/>
    <w:rsid w:val="003C2C62"/>
    <w:rsid w:val="003C717B"/>
    <w:rsid w:val="003D1D14"/>
    <w:rsid w:val="003D551F"/>
    <w:rsid w:val="003D6C7C"/>
    <w:rsid w:val="003D6EFB"/>
    <w:rsid w:val="003D7E52"/>
    <w:rsid w:val="003E0BE0"/>
    <w:rsid w:val="003E0F14"/>
    <w:rsid w:val="003E25C6"/>
    <w:rsid w:val="003E4183"/>
    <w:rsid w:val="003E4C91"/>
    <w:rsid w:val="003E6A52"/>
    <w:rsid w:val="003F7528"/>
    <w:rsid w:val="00400910"/>
    <w:rsid w:val="004011AA"/>
    <w:rsid w:val="0040202C"/>
    <w:rsid w:val="00405503"/>
    <w:rsid w:val="00406508"/>
    <w:rsid w:val="00407843"/>
    <w:rsid w:val="0041456E"/>
    <w:rsid w:val="004145A1"/>
    <w:rsid w:val="00414903"/>
    <w:rsid w:val="00414F7E"/>
    <w:rsid w:val="0041564E"/>
    <w:rsid w:val="004164F8"/>
    <w:rsid w:val="00417FE4"/>
    <w:rsid w:val="004201EC"/>
    <w:rsid w:val="00420AD7"/>
    <w:rsid w:val="00426F05"/>
    <w:rsid w:val="004328E1"/>
    <w:rsid w:val="0044030A"/>
    <w:rsid w:val="00441EF6"/>
    <w:rsid w:val="004427B7"/>
    <w:rsid w:val="0044349F"/>
    <w:rsid w:val="00445E5D"/>
    <w:rsid w:val="00445F1F"/>
    <w:rsid w:val="00451B9C"/>
    <w:rsid w:val="00451F60"/>
    <w:rsid w:val="00452BB2"/>
    <w:rsid w:val="004541F2"/>
    <w:rsid w:val="00456054"/>
    <w:rsid w:val="0045656D"/>
    <w:rsid w:val="00462D98"/>
    <w:rsid w:val="00463E7D"/>
    <w:rsid w:val="004660C8"/>
    <w:rsid w:val="004723BE"/>
    <w:rsid w:val="00472A44"/>
    <w:rsid w:val="00473A89"/>
    <w:rsid w:val="00475899"/>
    <w:rsid w:val="00482C78"/>
    <w:rsid w:val="00483BC8"/>
    <w:rsid w:val="0048634A"/>
    <w:rsid w:val="004874AE"/>
    <w:rsid w:val="00491830"/>
    <w:rsid w:val="00494D24"/>
    <w:rsid w:val="004951D1"/>
    <w:rsid w:val="004960BB"/>
    <w:rsid w:val="00497173"/>
    <w:rsid w:val="004A27D0"/>
    <w:rsid w:val="004A2E6C"/>
    <w:rsid w:val="004A4A18"/>
    <w:rsid w:val="004A4D67"/>
    <w:rsid w:val="004A5B89"/>
    <w:rsid w:val="004B24DD"/>
    <w:rsid w:val="004C13CB"/>
    <w:rsid w:val="004C6766"/>
    <w:rsid w:val="004D19B1"/>
    <w:rsid w:val="004D1B4F"/>
    <w:rsid w:val="004D1E11"/>
    <w:rsid w:val="004D3D4B"/>
    <w:rsid w:val="004D5498"/>
    <w:rsid w:val="004D66A5"/>
    <w:rsid w:val="004D6B00"/>
    <w:rsid w:val="004D6B8C"/>
    <w:rsid w:val="004E0D39"/>
    <w:rsid w:val="004E1D50"/>
    <w:rsid w:val="004E357B"/>
    <w:rsid w:val="004F1A35"/>
    <w:rsid w:val="004F27A0"/>
    <w:rsid w:val="004F2E5D"/>
    <w:rsid w:val="004F3C35"/>
    <w:rsid w:val="00501382"/>
    <w:rsid w:val="0050350D"/>
    <w:rsid w:val="00510798"/>
    <w:rsid w:val="005125F1"/>
    <w:rsid w:val="00515814"/>
    <w:rsid w:val="00524A11"/>
    <w:rsid w:val="00527768"/>
    <w:rsid w:val="00530EA4"/>
    <w:rsid w:val="005327FB"/>
    <w:rsid w:val="00533FCA"/>
    <w:rsid w:val="00536422"/>
    <w:rsid w:val="00537583"/>
    <w:rsid w:val="005411A7"/>
    <w:rsid w:val="005470D4"/>
    <w:rsid w:val="0055066A"/>
    <w:rsid w:val="0055291E"/>
    <w:rsid w:val="00555E64"/>
    <w:rsid w:val="005565D3"/>
    <w:rsid w:val="005616B5"/>
    <w:rsid w:val="005641E3"/>
    <w:rsid w:val="005679A4"/>
    <w:rsid w:val="005716A1"/>
    <w:rsid w:val="00573723"/>
    <w:rsid w:val="00577E74"/>
    <w:rsid w:val="00584744"/>
    <w:rsid w:val="00584DA0"/>
    <w:rsid w:val="00591DC8"/>
    <w:rsid w:val="0059223D"/>
    <w:rsid w:val="0059727C"/>
    <w:rsid w:val="00597B15"/>
    <w:rsid w:val="00597B96"/>
    <w:rsid w:val="005A044C"/>
    <w:rsid w:val="005A11F7"/>
    <w:rsid w:val="005A149F"/>
    <w:rsid w:val="005A56A6"/>
    <w:rsid w:val="005A56B3"/>
    <w:rsid w:val="005B0963"/>
    <w:rsid w:val="005B34C9"/>
    <w:rsid w:val="005B7CC6"/>
    <w:rsid w:val="005C34E8"/>
    <w:rsid w:val="005C3F52"/>
    <w:rsid w:val="005C4164"/>
    <w:rsid w:val="005C70E5"/>
    <w:rsid w:val="005D0200"/>
    <w:rsid w:val="005D3FA5"/>
    <w:rsid w:val="005D44EF"/>
    <w:rsid w:val="005D5112"/>
    <w:rsid w:val="005D5D67"/>
    <w:rsid w:val="005E4A2E"/>
    <w:rsid w:val="005E773F"/>
    <w:rsid w:val="005E781C"/>
    <w:rsid w:val="005F34CC"/>
    <w:rsid w:val="005F3914"/>
    <w:rsid w:val="005F3B5A"/>
    <w:rsid w:val="005F6AB4"/>
    <w:rsid w:val="005F7A80"/>
    <w:rsid w:val="00604792"/>
    <w:rsid w:val="0060721F"/>
    <w:rsid w:val="00607471"/>
    <w:rsid w:val="00610A66"/>
    <w:rsid w:val="00613177"/>
    <w:rsid w:val="00613F7C"/>
    <w:rsid w:val="00614BF2"/>
    <w:rsid w:val="0061557C"/>
    <w:rsid w:val="00620D1B"/>
    <w:rsid w:val="00623DE2"/>
    <w:rsid w:val="00627601"/>
    <w:rsid w:val="006300D0"/>
    <w:rsid w:val="00632012"/>
    <w:rsid w:val="006331E3"/>
    <w:rsid w:val="00634694"/>
    <w:rsid w:val="00635424"/>
    <w:rsid w:val="00636517"/>
    <w:rsid w:val="00637690"/>
    <w:rsid w:val="00640E1E"/>
    <w:rsid w:val="00641721"/>
    <w:rsid w:val="0064389A"/>
    <w:rsid w:val="0064468C"/>
    <w:rsid w:val="00644F02"/>
    <w:rsid w:val="00645168"/>
    <w:rsid w:val="00645442"/>
    <w:rsid w:val="00645469"/>
    <w:rsid w:val="006525CD"/>
    <w:rsid w:val="00653F7F"/>
    <w:rsid w:val="00660A71"/>
    <w:rsid w:val="00662EE8"/>
    <w:rsid w:val="00663813"/>
    <w:rsid w:val="00664AFD"/>
    <w:rsid w:val="00665031"/>
    <w:rsid w:val="006650B8"/>
    <w:rsid w:val="0066694D"/>
    <w:rsid w:val="00667567"/>
    <w:rsid w:val="0067391A"/>
    <w:rsid w:val="00674173"/>
    <w:rsid w:val="00676B59"/>
    <w:rsid w:val="00677D87"/>
    <w:rsid w:val="0068373C"/>
    <w:rsid w:val="00684CF7"/>
    <w:rsid w:val="00690DB1"/>
    <w:rsid w:val="00691D45"/>
    <w:rsid w:val="00693404"/>
    <w:rsid w:val="006953D9"/>
    <w:rsid w:val="006A1269"/>
    <w:rsid w:val="006A5803"/>
    <w:rsid w:val="006A69C3"/>
    <w:rsid w:val="006A702A"/>
    <w:rsid w:val="006A7C15"/>
    <w:rsid w:val="006B1242"/>
    <w:rsid w:val="006B1DBC"/>
    <w:rsid w:val="006B3E24"/>
    <w:rsid w:val="006B7C1C"/>
    <w:rsid w:val="006B7D9A"/>
    <w:rsid w:val="006C06D9"/>
    <w:rsid w:val="006C171E"/>
    <w:rsid w:val="006C3E22"/>
    <w:rsid w:val="006C5716"/>
    <w:rsid w:val="006C64B2"/>
    <w:rsid w:val="006C74A9"/>
    <w:rsid w:val="006D07DE"/>
    <w:rsid w:val="006D361A"/>
    <w:rsid w:val="006D424C"/>
    <w:rsid w:val="006D7D6A"/>
    <w:rsid w:val="006E06D9"/>
    <w:rsid w:val="006E1D40"/>
    <w:rsid w:val="006E2E1F"/>
    <w:rsid w:val="006E5059"/>
    <w:rsid w:val="006F0856"/>
    <w:rsid w:val="006F4B48"/>
    <w:rsid w:val="006F5F03"/>
    <w:rsid w:val="006F5FFF"/>
    <w:rsid w:val="006F7978"/>
    <w:rsid w:val="00700C16"/>
    <w:rsid w:val="00700F1D"/>
    <w:rsid w:val="00702237"/>
    <w:rsid w:val="00710804"/>
    <w:rsid w:val="00710877"/>
    <w:rsid w:val="00711FC6"/>
    <w:rsid w:val="007130B1"/>
    <w:rsid w:val="00715071"/>
    <w:rsid w:val="00720B60"/>
    <w:rsid w:val="00720D0D"/>
    <w:rsid w:val="007231E9"/>
    <w:rsid w:val="00724F0E"/>
    <w:rsid w:val="00725DA2"/>
    <w:rsid w:val="00727C59"/>
    <w:rsid w:val="00732C6B"/>
    <w:rsid w:val="00733730"/>
    <w:rsid w:val="00734D34"/>
    <w:rsid w:val="00734E5D"/>
    <w:rsid w:val="00736013"/>
    <w:rsid w:val="00737BF8"/>
    <w:rsid w:val="0074339B"/>
    <w:rsid w:val="00751B38"/>
    <w:rsid w:val="0075264F"/>
    <w:rsid w:val="00756245"/>
    <w:rsid w:val="00756B40"/>
    <w:rsid w:val="00761662"/>
    <w:rsid w:val="00763E37"/>
    <w:rsid w:val="00764043"/>
    <w:rsid w:val="00765C94"/>
    <w:rsid w:val="007667A4"/>
    <w:rsid w:val="007754AA"/>
    <w:rsid w:val="007757CF"/>
    <w:rsid w:val="0078128F"/>
    <w:rsid w:val="007819D9"/>
    <w:rsid w:val="0078683C"/>
    <w:rsid w:val="007868E8"/>
    <w:rsid w:val="00790EDB"/>
    <w:rsid w:val="00791538"/>
    <w:rsid w:val="0079326E"/>
    <w:rsid w:val="00796EDE"/>
    <w:rsid w:val="007A0BFB"/>
    <w:rsid w:val="007A4FC7"/>
    <w:rsid w:val="007A5A58"/>
    <w:rsid w:val="007A79CA"/>
    <w:rsid w:val="007B1071"/>
    <w:rsid w:val="007B1C56"/>
    <w:rsid w:val="007B5842"/>
    <w:rsid w:val="007B6E33"/>
    <w:rsid w:val="007B7D40"/>
    <w:rsid w:val="007C1DD7"/>
    <w:rsid w:val="007C24E3"/>
    <w:rsid w:val="007C3CD5"/>
    <w:rsid w:val="007C5E88"/>
    <w:rsid w:val="007C5F1F"/>
    <w:rsid w:val="007C61EF"/>
    <w:rsid w:val="007D1A73"/>
    <w:rsid w:val="007D1C0D"/>
    <w:rsid w:val="007D2D23"/>
    <w:rsid w:val="007D4A71"/>
    <w:rsid w:val="007D67A3"/>
    <w:rsid w:val="007D6C28"/>
    <w:rsid w:val="007E0BAF"/>
    <w:rsid w:val="007E27D6"/>
    <w:rsid w:val="007E3921"/>
    <w:rsid w:val="007E525F"/>
    <w:rsid w:val="00801028"/>
    <w:rsid w:val="00802F1D"/>
    <w:rsid w:val="00803793"/>
    <w:rsid w:val="00804000"/>
    <w:rsid w:val="0080412D"/>
    <w:rsid w:val="00817A01"/>
    <w:rsid w:val="00820E1F"/>
    <w:rsid w:val="00821639"/>
    <w:rsid w:val="00824BE1"/>
    <w:rsid w:val="00825E35"/>
    <w:rsid w:val="0082734F"/>
    <w:rsid w:val="00827435"/>
    <w:rsid w:val="00830792"/>
    <w:rsid w:val="00830A4E"/>
    <w:rsid w:val="008319C8"/>
    <w:rsid w:val="008322FF"/>
    <w:rsid w:val="00833305"/>
    <w:rsid w:val="008334F8"/>
    <w:rsid w:val="0083586A"/>
    <w:rsid w:val="00835FFD"/>
    <w:rsid w:val="00845D94"/>
    <w:rsid w:val="008504BF"/>
    <w:rsid w:val="008524CE"/>
    <w:rsid w:val="00854E85"/>
    <w:rsid w:val="008575E9"/>
    <w:rsid w:val="0086440C"/>
    <w:rsid w:val="008678A4"/>
    <w:rsid w:val="00876659"/>
    <w:rsid w:val="0087734C"/>
    <w:rsid w:val="00882141"/>
    <w:rsid w:val="008876EC"/>
    <w:rsid w:val="008922A8"/>
    <w:rsid w:val="00894916"/>
    <w:rsid w:val="00895BD5"/>
    <w:rsid w:val="008A16C4"/>
    <w:rsid w:val="008A20A9"/>
    <w:rsid w:val="008A3609"/>
    <w:rsid w:val="008A6FED"/>
    <w:rsid w:val="008B1F5C"/>
    <w:rsid w:val="008B1F73"/>
    <w:rsid w:val="008B39C5"/>
    <w:rsid w:val="008B51AA"/>
    <w:rsid w:val="008B7382"/>
    <w:rsid w:val="008C5A7A"/>
    <w:rsid w:val="008C67F2"/>
    <w:rsid w:val="008C73D8"/>
    <w:rsid w:val="008D0533"/>
    <w:rsid w:val="008D064A"/>
    <w:rsid w:val="008D14F8"/>
    <w:rsid w:val="008D1634"/>
    <w:rsid w:val="008D1E91"/>
    <w:rsid w:val="008D2B0F"/>
    <w:rsid w:val="008D2CDB"/>
    <w:rsid w:val="008D31EF"/>
    <w:rsid w:val="008D4699"/>
    <w:rsid w:val="008E0F44"/>
    <w:rsid w:val="008E230D"/>
    <w:rsid w:val="008E449E"/>
    <w:rsid w:val="008E4BDD"/>
    <w:rsid w:val="008E52FB"/>
    <w:rsid w:val="008E721B"/>
    <w:rsid w:val="008E770C"/>
    <w:rsid w:val="008F187F"/>
    <w:rsid w:val="008F190B"/>
    <w:rsid w:val="008F39F1"/>
    <w:rsid w:val="008F402F"/>
    <w:rsid w:val="008F76E8"/>
    <w:rsid w:val="00906D34"/>
    <w:rsid w:val="009078A1"/>
    <w:rsid w:val="00910021"/>
    <w:rsid w:val="00911E9C"/>
    <w:rsid w:val="0091318E"/>
    <w:rsid w:val="00915928"/>
    <w:rsid w:val="00917405"/>
    <w:rsid w:val="00920F7C"/>
    <w:rsid w:val="00922BEE"/>
    <w:rsid w:val="00924743"/>
    <w:rsid w:val="00930CAC"/>
    <w:rsid w:val="00932CCC"/>
    <w:rsid w:val="00933174"/>
    <w:rsid w:val="009331C0"/>
    <w:rsid w:val="00934CAE"/>
    <w:rsid w:val="00940C9A"/>
    <w:rsid w:val="0094257D"/>
    <w:rsid w:val="00945B58"/>
    <w:rsid w:val="009515C6"/>
    <w:rsid w:val="00953383"/>
    <w:rsid w:val="0095467C"/>
    <w:rsid w:val="00954A61"/>
    <w:rsid w:val="00955C6F"/>
    <w:rsid w:val="00962F79"/>
    <w:rsid w:val="00966C7B"/>
    <w:rsid w:val="009701DC"/>
    <w:rsid w:val="009715D8"/>
    <w:rsid w:val="00976129"/>
    <w:rsid w:val="0097738C"/>
    <w:rsid w:val="009775B8"/>
    <w:rsid w:val="009811A8"/>
    <w:rsid w:val="00982001"/>
    <w:rsid w:val="00985686"/>
    <w:rsid w:val="00985A4E"/>
    <w:rsid w:val="0098659E"/>
    <w:rsid w:val="00992894"/>
    <w:rsid w:val="00995BF9"/>
    <w:rsid w:val="009A0CAF"/>
    <w:rsid w:val="009A0E49"/>
    <w:rsid w:val="009A1328"/>
    <w:rsid w:val="009A2207"/>
    <w:rsid w:val="009A30F2"/>
    <w:rsid w:val="009A5974"/>
    <w:rsid w:val="009A6FC2"/>
    <w:rsid w:val="009B0C21"/>
    <w:rsid w:val="009B0EDA"/>
    <w:rsid w:val="009B36A8"/>
    <w:rsid w:val="009B41AC"/>
    <w:rsid w:val="009B6C42"/>
    <w:rsid w:val="009D04E8"/>
    <w:rsid w:val="009D2998"/>
    <w:rsid w:val="009D31F7"/>
    <w:rsid w:val="009D32C2"/>
    <w:rsid w:val="009D50DB"/>
    <w:rsid w:val="009D67C5"/>
    <w:rsid w:val="009E0B5F"/>
    <w:rsid w:val="009E2932"/>
    <w:rsid w:val="009E3A0A"/>
    <w:rsid w:val="009E52E6"/>
    <w:rsid w:val="009E69E5"/>
    <w:rsid w:val="009F3E91"/>
    <w:rsid w:val="009F512C"/>
    <w:rsid w:val="00A008DA"/>
    <w:rsid w:val="00A0571E"/>
    <w:rsid w:val="00A07B0C"/>
    <w:rsid w:val="00A11EA9"/>
    <w:rsid w:val="00A1499B"/>
    <w:rsid w:val="00A1779A"/>
    <w:rsid w:val="00A17CCF"/>
    <w:rsid w:val="00A20CD3"/>
    <w:rsid w:val="00A23490"/>
    <w:rsid w:val="00A2524E"/>
    <w:rsid w:val="00A30A1B"/>
    <w:rsid w:val="00A314C2"/>
    <w:rsid w:val="00A376BE"/>
    <w:rsid w:val="00A44323"/>
    <w:rsid w:val="00A44B4E"/>
    <w:rsid w:val="00A44E82"/>
    <w:rsid w:val="00A450E8"/>
    <w:rsid w:val="00A519A0"/>
    <w:rsid w:val="00A519E3"/>
    <w:rsid w:val="00A52191"/>
    <w:rsid w:val="00A5489C"/>
    <w:rsid w:val="00A55310"/>
    <w:rsid w:val="00A5552E"/>
    <w:rsid w:val="00A6109F"/>
    <w:rsid w:val="00A62A2E"/>
    <w:rsid w:val="00A63E86"/>
    <w:rsid w:val="00A71C73"/>
    <w:rsid w:val="00A7308E"/>
    <w:rsid w:val="00A738D0"/>
    <w:rsid w:val="00A757C3"/>
    <w:rsid w:val="00A75E5B"/>
    <w:rsid w:val="00A7684A"/>
    <w:rsid w:val="00A82316"/>
    <w:rsid w:val="00A82369"/>
    <w:rsid w:val="00A8325F"/>
    <w:rsid w:val="00A83527"/>
    <w:rsid w:val="00A83B69"/>
    <w:rsid w:val="00A86533"/>
    <w:rsid w:val="00A90C1C"/>
    <w:rsid w:val="00A91CA2"/>
    <w:rsid w:val="00A92FB8"/>
    <w:rsid w:val="00A932EE"/>
    <w:rsid w:val="00A93A70"/>
    <w:rsid w:val="00A948F1"/>
    <w:rsid w:val="00A94CFC"/>
    <w:rsid w:val="00AA18F9"/>
    <w:rsid w:val="00AA1D7D"/>
    <w:rsid w:val="00AA2790"/>
    <w:rsid w:val="00AA3806"/>
    <w:rsid w:val="00AA7414"/>
    <w:rsid w:val="00AB139D"/>
    <w:rsid w:val="00AB2D05"/>
    <w:rsid w:val="00AB30E6"/>
    <w:rsid w:val="00AB3EFB"/>
    <w:rsid w:val="00AB4025"/>
    <w:rsid w:val="00AB4086"/>
    <w:rsid w:val="00AB67F5"/>
    <w:rsid w:val="00AC0B05"/>
    <w:rsid w:val="00AC113A"/>
    <w:rsid w:val="00AC7F9D"/>
    <w:rsid w:val="00AD079A"/>
    <w:rsid w:val="00AD1890"/>
    <w:rsid w:val="00AD19AC"/>
    <w:rsid w:val="00AD30C3"/>
    <w:rsid w:val="00AD4A6B"/>
    <w:rsid w:val="00AD702A"/>
    <w:rsid w:val="00AE2149"/>
    <w:rsid w:val="00AE33AE"/>
    <w:rsid w:val="00AE3F91"/>
    <w:rsid w:val="00AE7A8E"/>
    <w:rsid w:val="00AF2024"/>
    <w:rsid w:val="00B0053D"/>
    <w:rsid w:val="00B039E3"/>
    <w:rsid w:val="00B05D44"/>
    <w:rsid w:val="00B067B4"/>
    <w:rsid w:val="00B06D36"/>
    <w:rsid w:val="00B12BC4"/>
    <w:rsid w:val="00B14DBC"/>
    <w:rsid w:val="00B16839"/>
    <w:rsid w:val="00B21E65"/>
    <w:rsid w:val="00B22838"/>
    <w:rsid w:val="00B23B5C"/>
    <w:rsid w:val="00B30961"/>
    <w:rsid w:val="00B311CE"/>
    <w:rsid w:val="00B32B8B"/>
    <w:rsid w:val="00B33E95"/>
    <w:rsid w:val="00B35388"/>
    <w:rsid w:val="00B3720B"/>
    <w:rsid w:val="00B4325A"/>
    <w:rsid w:val="00B440E8"/>
    <w:rsid w:val="00B4477D"/>
    <w:rsid w:val="00B45D0B"/>
    <w:rsid w:val="00B53CE3"/>
    <w:rsid w:val="00B5558A"/>
    <w:rsid w:val="00B56513"/>
    <w:rsid w:val="00B64376"/>
    <w:rsid w:val="00B6570C"/>
    <w:rsid w:val="00B7401F"/>
    <w:rsid w:val="00B769CF"/>
    <w:rsid w:val="00B806C3"/>
    <w:rsid w:val="00B80D6F"/>
    <w:rsid w:val="00B84FCA"/>
    <w:rsid w:val="00B85693"/>
    <w:rsid w:val="00B9089F"/>
    <w:rsid w:val="00B91826"/>
    <w:rsid w:val="00B91AEE"/>
    <w:rsid w:val="00B93AA1"/>
    <w:rsid w:val="00B9533F"/>
    <w:rsid w:val="00B95744"/>
    <w:rsid w:val="00B95F5A"/>
    <w:rsid w:val="00B96EAD"/>
    <w:rsid w:val="00BA57FF"/>
    <w:rsid w:val="00BA5A03"/>
    <w:rsid w:val="00BA79F5"/>
    <w:rsid w:val="00BB1747"/>
    <w:rsid w:val="00BB276E"/>
    <w:rsid w:val="00BB3AB6"/>
    <w:rsid w:val="00BB766D"/>
    <w:rsid w:val="00BC007B"/>
    <w:rsid w:val="00BC0E52"/>
    <w:rsid w:val="00BC26BA"/>
    <w:rsid w:val="00BC35F8"/>
    <w:rsid w:val="00BC481B"/>
    <w:rsid w:val="00BC5A58"/>
    <w:rsid w:val="00BC77BE"/>
    <w:rsid w:val="00BD1191"/>
    <w:rsid w:val="00BD2771"/>
    <w:rsid w:val="00BD4CC5"/>
    <w:rsid w:val="00BD617C"/>
    <w:rsid w:val="00BE2F3F"/>
    <w:rsid w:val="00BF0D93"/>
    <w:rsid w:val="00BF376F"/>
    <w:rsid w:val="00BF46A6"/>
    <w:rsid w:val="00BF5454"/>
    <w:rsid w:val="00BF68CC"/>
    <w:rsid w:val="00BF71FB"/>
    <w:rsid w:val="00C0130E"/>
    <w:rsid w:val="00C04CFF"/>
    <w:rsid w:val="00C06545"/>
    <w:rsid w:val="00C10D50"/>
    <w:rsid w:val="00C134AF"/>
    <w:rsid w:val="00C158C1"/>
    <w:rsid w:val="00C168C3"/>
    <w:rsid w:val="00C220FC"/>
    <w:rsid w:val="00C23458"/>
    <w:rsid w:val="00C2374F"/>
    <w:rsid w:val="00C24DFA"/>
    <w:rsid w:val="00C24F9D"/>
    <w:rsid w:val="00C26845"/>
    <w:rsid w:val="00C30182"/>
    <w:rsid w:val="00C31B8E"/>
    <w:rsid w:val="00C31FC9"/>
    <w:rsid w:val="00C37A63"/>
    <w:rsid w:val="00C44411"/>
    <w:rsid w:val="00C46A36"/>
    <w:rsid w:val="00C47037"/>
    <w:rsid w:val="00C533B3"/>
    <w:rsid w:val="00C53625"/>
    <w:rsid w:val="00C53E9F"/>
    <w:rsid w:val="00C548BA"/>
    <w:rsid w:val="00C57784"/>
    <w:rsid w:val="00C602C1"/>
    <w:rsid w:val="00C60F5F"/>
    <w:rsid w:val="00C612FA"/>
    <w:rsid w:val="00C62CC7"/>
    <w:rsid w:val="00C63FC0"/>
    <w:rsid w:val="00C66392"/>
    <w:rsid w:val="00C67780"/>
    <w:rsid w:val="00C73D09"/>
    <w:rsid w:val="00C744F8"/>
    <w:rsid w:val="00C74C5E"/>
    <w:rsid w:val="00C75ECA"/>
    <w:rsid w:val="00C76CB5"/>
    <w:rsid w:val="00C82558"/>
    <w:rsid w:val="00C827A2"/>
    <w:rsid w:val="00C82B69"/>
    <w:rsid w:val="00C82CB3"/>
    <w:rsid w:val="00C86ACC"/>
    <w:rsid w:val="00C86E29"/>
    <w:rsid w:val="00C91B28"/>
    <w:rsid w:val="00C91F3A"/>
    <w:rsid w:val="00C93590"/>
    <w:rsid w:val="00C97021"/>
    <w:rsid w:val="00C971F8"/>
    <w:rsid w:val="00CA5446"/>
    <w:rsid w:val="00CB12E8"/>
    <w:rsid w:val="00CB1AC7"/>
    <w:rsid w:val="00CB218D"/>
    <w:rsid w:val="00CB3C63"/>
    <w:rsid w:val="00CB5625"/>
    <w:rsid w:val="00CB5797"/>
    <w:rsid w:val="00CC018F"/>
    <w:rsid w:val="00CC10FE"/>
    <w:rsid w:val="00CC1C17"/>
    <w:rsid w:val="00CC4F7F"/>
    <w:rsid w:val="00CD09E1"/>
    <w:rsid w:val="00CD1BB8"/>
    <w:rsid w:val="00CD4881"/>
    <w:rsid w:val="00CD74CC"/>
    <w:rsid w:val="00CE0F30"/>
    <w:rsid w:val="00CE1780"/>
    <w:rsid w:val="00CE4913"/>
    <w:rsid w:val="00CE66BD"/>
    <w:rsid w:val="00CF0671"/>
    <w:rsid w:val="00CF1033"/>
    <w:rsid w:val="00CF247A"/>
    <w:rsid w:val="00CF3997"/>
    <w:rsid w:val="00CF44AD"/>
    <w:rsid w:val="00CF4FC0"/>
    <w:rsid w:val="00CF7265"/>
    <w:rsid w:val="00D00ABE"/>
    <w:rsid w:val="00D03050"/>
    <w:rsid w:val="00D1072F"/>
    <w:rsid w:val="00D108A5"/>
    <w:rsid w:val="00D10BC8"/>
    <w:rsid w:val="00D10F57"/>
    <w:rsid w:val="00D14585"/>
    <w:rsid w:val="00D20EFF"/>
    <w:rsid w:val="00D215C3"/>
    <w:rsid w:val="00D24DE1"/>
    <w:rsid w:val="00D2551E"/>
    <w:rsid w:val="00D31324"/>
    <w:rsid w:val="00D36A05"/>
    <w:rsid w:val="00D36A58"/>
    <w:rsid w:val="00D42B44"/>
    <w:rsid w:val="00D53ED8"/>
    <w:rsid w:val="00D56A4E"/>
    <w:rsid w:val="00D604AC"/>
    <w:rsid w:val="00D612E3"/>
    <w:rsid w:val="00D6132D"/>
    <w:rsid w:val="00D64857"/>
    <w:rsid w:val="00D6493A"/>
    <w:rsid w:val="00D649A5"/>
    <w:rsid w:val="00D64E6E"/>
    <w:rsid w:val="00D650FA"/>
    <w:rsid w:val="00D66AEE"/>
    <w:rsid w:val="00D67875"/>
    <w:rsid w:val="00D719B9"/>
    <w:rsid w:val="00D71A2E"/>
    <w:rsid w:val="00D71E86"/>
    <w:rsid w:val="00D731C6"/>
    <w:rsid w:val="00D73F61"/>
    <w:rsid w:val="00D745C5"/>
    <w:rsid w:val="00D75327"/>
    <w:rsid w:val="00D76831"/>
    <w:rsid w:val="00D77CD1"/>
    <w:rsid w:val="00D80BD1"/>
    <w:rsid w:val="00D80C36"/>
    <w:rsid w:val="00D81A32"/>
    <w:rsid w:val="00D86EE1"/>
    <w:rsid w:val="00D95205"/>
    <w:rsid w:val="00D95E90"/>
    <w:rsid w:val="00D96126"/>
    <w:rsid w:val="00D9667B"/>
    <w:rsid w:val="00DA2AC4"/>
    <w:rsid w:val="00DA2FD5"/>
    <w:rsid w:val="00DA74C2"/>
    <w:rsid w:val="00DB4B1C"/>
    <w:rsid w:val="00DB5085"/>
    <w:rsid w:val="00DB619F"/>
    <w:rsid w:val="00DC1062"/>
    <w:rsid w:val="00DC132C"/>
    <w:rsid w:val="00DC2A70"/>
    <w:rsid w:val="00DC2B3A"/>
    <w:rsid w:val="00DD1523"/>
    <w:rsid w:val="00DD4191"/>
    <w:rsid w:val="00DD43F0"/>
    <w:rsid w:val="00DD44DE"/>
    <w:rsid w:val="00DE09AB"/>
    <w:rsid w:val="00DE4A3F"/>
    <w:rsid w:val="00DE5A99"/>
    <w:rsid w:val="00DF3881"/>
    <w:rsid w:val="00DF4367"/>
    <w:rsid w:val="00DF7291"/>
    <w:rsid w:val="00DF74E5"/>
    <w:rsid w:val="00E0574A"/>
    <w:rsid w:val="00E05D9D"/>
    <w:rsid w:val="00E1243D"/>
    <w:rsid w:val="00E12742"/>
    <w:rsid w:val="00E146D4"/>
    <w:rsid w:val="00E21D37"/>
    <w:rsid w:val="00E220ED"/>
    <w:rsid w:val="00E22B44"/>
    <w:rsid w:val="00E24F20"/>
    <w:rsid w:val="00E253AA"/>
    <w:rsid w:val="00E3073F"/>
    <w:rsid w:val="00E30ACD"/>
    <w:rsid w:val="00E32735"/>
    <w:rsid w:val="00E36122"/>
    <w:rsid w:val="00E44431"/>
    <w:rsid w:val="00E44B88"/>
    <w:rsid w:val="00E44F84"/>
    <w:rsid w:val="00E45809"/>
    <w:rsid w:val="00E65096"/>
    <w:rsid w:val="00E66E36"/>
    <w:rsid w:val="00E702ED"/>
    <w:rsid w:val="00E709A4"/>
    <w:rsid w:val="00E712FE"/>
    <w:rsid w:val="00E772DB"/>
    <w:rsid w:val="00E81367"/>
    <w:rsid w:val="00E8185F"/>
    <w:rsid w:val="00E82A45"/>
    <w:rsid w:val="00E86012"/>
    <w:rsid w:val="00E86BAB"/>
    <w:rsid w:val="00E94E10"/>
    <w:rsid w:val="00E95140"/>
    <w:rsid w:val="00E96743"/>
    <w:rsid w:val="00E96A42"/>
    <w:rsid w:val="00EA49C5"/>
    <w:rsid w:val="00EA4DC8"/>
    <w:rsid w:val="00EA5820"/>
    <w:rsid w:val="00EA6279"/>
    <w:rsid w:val="00EA6C41"/>
    <w:rsid w:val="00EA6D75"/>
    <w:rsid w:val="00EB3574"/>
    <w:rsid w:val="00EB3D66"/>
    <w:rsid w:val="00EB5027"/>
    <w:rsid w:val="00EB75F6"/>
    <w:rsid w:val="00EC1836"/>
    <w:rsid w:val="00EC38F9"/>
    <w:rsid w:val="00EC3990"/>
    <w:rsid w:val="00EC484B"/>
    <w:rsid w:val="00EC7E58"/>
    <w:rsid w:val="00ED0A58"/>
    <w:rsid w:val="00ED15FA"/>
    <w:rsid w:val="00ED27E8"/>
    <w:rsid w:val="00ED5C9F"/>
    <w:rsid w:val="00EE3AFB"/>
    <w:rsid w:val="00EE6E9A"/>
    <w:rsid w:val="00EE7DA5"/>
    <w:rsid w:val="00EF2AC4"/>
    <w:rsid w:val="00EF397E"/>
    <w:rsid w:val="00EF41CD"/>
    <w:rsid w:val="00EF51CE"/>
    <w:rsid w:val="00F05AE9"/>
    <w:rsid w:val="00F05D6D"/>
    <w:rsid w:val="00F06F68"/>
    <w:rsid w:val="00F12EF5"/>
    <w:rsid w:val="00F14C5F"/>
    <w:rsid w:val="00F15E9D"/>
    <w:rsid w:val="00F24C2D"/>
    <w:rsid w:val="00F252C3"/>
    <w:rsid w:val="00F25584"/>
    <w:rsid w:val="00F27D59"/>
    <w:rsid w:val="00F27F7F"/>
    <w:rsid w:val="00F302B9"/>
    <w:rsid w:val="00F30421"/>
    <w:rsid w:val="00F329BF"/>
    <w:rsid w:val="00F32A81"/>
    <w:rsid w:val="00F35583"/>
    <w:rsid w:val="00F362C3"/>
    <w:rsid w:val="00F37E20"/>
    <w:rsid w:val="00F40C82"/>
    <w:rsid w:val="00F4197F"/>
    <w:rsid w:val="00F45DFF"/>
    <w:rsid w:val="00F46998"/>
    <w:rsid w:val="00F5382D"/>
    <w:rsid w:val="00F53D9C"/>
    <w:rsid w:val="00F5462B"/>
    <w:rsid w:val="00F57205"/>
    <w:rsid w:val="00F61386"/>
    <w:rsid w:val="00F634AD"/>
    <w:rsid w:val="00F63677"/>
    <w:rsid w:val="00F66396"/>
    <w:rsid w:val="00F757A7"/>
    <w:rsid w:val="00F75B81"/>
    <w:rsid w:val="00F77CF8"/>
    <w:rsid w:val="00F804C4"/>
    <w:rsid w:val="00F80C7E"/>
    <w:rsid w:val="00F82F83"/>
    <w:rsid w:val="00F835AE"/>
    <w:rsid w:val="00F836A4"/>
    <w:rsid w:val="00F84506"/>
    <w:rsid w:val="00F873AC"/>
    <w:rsid w:val="00F90C64"/>
    <w:rsid w:val="00F92B30"/>
    <w:rsid w:val="00F933B9"/>
    <w:rsid w:val="00F94674"/>
    <w:rsid w:val="00F94919"/>
    <w:rsid w:val="00F94A59"/>
    <w:rsid w:val="00FA25B6"/>
    <w:rsid w:val="00FA2FAF"/>
    <w:rsid w:val="00FA54F6"/>
    <w:rsid w:val="00FA5E94"/>
    <w:rsid w:val="00FA64B1"/>
    <w:rsid w:val="00FA70F3"/>
    <w:rsid w:val="00FA71CD"/>
    <w:rsid w:val="00FB0453"/>
    <w:rsid w:val="00FB0C07"/>
    <w:rsid w:val="00FB298D"/>
    <w:rsid w:val="00FC1439"/>
    <w:rsid w:val="00FC3F65"/>
    <w:rsid w:val="00FC71DA"/>
    <w:rsid w:val="00FC724B"/>
    <w:rsid w:val="00FC7668"/>
    <w:rsid w:val="00FC7910"/>
    <w:rsid w:val="00FD01E0"/>
    <w:rsid w:val="00FE1627"/>
    <w:rsid w:val="00FE1DF9"/>
    <w:rsid w:val="00FE6770"/>
    <w:rsid w:val="00FE7E42"/>
    <w:rsid w:val="00FF092F"/>
    <w:rsid w:val="00FF0DA7"/>
    <w:rsid w:val="00FF44E0"/>
    <w:rsid w:val="00FF5928"/>
    <w:rsid w:val="00FF6C72"/>
    <w:rsid w:val="02A353E1"/>
    <w:rsid w:val="038E5244"/>
    <w:rsid w:val="072715B4"/>
    <w:rsid w:val="0E536488"/>
    <w:rsid w:val="0F8E4F6C"/>
    <w:rsid w:val="12E143BF"/>
    <w:rsid w:val="132228E6"/>
    <w:rsid w:val="132C5AE5"/>
    <w:rsid w:val="153E6DFE"/>
    <w:rsid w:val="17C67924"/>
    <w:rsid w:val="17DF37C1"/>
    <w:rsid w:val="1A0C526C"/>
    <w:rsid w:val="1B5A57C5"/>
    <w:rsid w:val="1B88138D"/>
    <w:rsid w:val="1C235CFC"/>
    <w:rsid w:val="1C393474"/>
    <w:rsid w:val="1C626D9C"/>
    <w:rsid w:val="1D8921BF"/>
    <w:rsid w:val="1E9F63B6"/>
    <w:rsid w:val="1EAC20AB"/>
    <w:rsid w:val="1F8F0033"/>
    <w:rsid w:val="20270F45"/>
    <w:rsid w:val="20C41A43"/>
    <w:rsid w:val="21464D54"/>
    <w:rsid w:val="21492215"/>
    <w:rsid w:val="2186466B"/>
    <w:rsid w:val="21893DCC"/>
    <w:rsid w:val="245F19BC"/>
    <w:rsid w:val="25856C36"/>
    <w:rsid w:val="26AD38E3"/>
    <w:rsid w:val="278C1EB7"/>
    <w:rsid w:val="27D02908"/>
    <w:rsid w:val="27D556DF"/>
    <w:rsid w:val="289A6ADC"/>
    <w:rsid w:val="28A300A0"/>
    <w:rsid w:val="2B386221"/>
    <w:rsid w:val="2B4754FB"/>
    <w:rsid w:val="2BA518E1"/>
    <w:rsid w:val="2BB04FEA"/>
    <w:rsid w:val="2D7E65A2"/>
    <w:rsid w:val="2F4763D4"/>
    <w:rsid w:val="2F552AC2"/>
    <w:rsid w:val="2F84180C"/>
    <w:rsid w:val="2FA26A13"/>
    <w:rsid w:val="2FC54BC7"/>
    <w:rsid w:val="30F074D3"/>
    <w:rsid w:val="3249090A"/>
    <w:rsid w:val="33F079B3"/>
    <w:rsid w:val="34E4777F"/>
    <w:rsid w:val="358402B9"/>
    <w:rsid w:val="35B93273"/>
    <w:rsid w:val="35C65D6C"/>
    <w:rsid w:val="36B203D9"/>
    <w:rsid w:val="36C2526A"/>
    <w:rsid w:val="378C6481"/>
    <w:rsid w:val="37DE2CC7"/>
    <w:rsid w:val="38572D0C"/>
    <w:rsid w:val="39196525"/>
    <w:rsid w:val="3A1424A1"/>
    <w:rsid w:val="3AC968B1"/>
    <w:rsid w:val="3B394AEE"/>
    <w:rsid w:val="3B6D0F4A"/>
    <w:rsid w:val="3BC93ECF"/>
    <w:rsid w:val="3C0019A1"/>
    <w:rsid w:val="3C7056CD"/>
    <w:rsid w:val="3C9F5583"/>
    <w:rsid w:val="3E243139"/>
    <w:rsid w:val="3EDC7871"/>
    <w:rsid w:val="400C02B7"/>
    <w:rsid w:val="44AA183B"/>
    <w:rsid w:val="44E3011D"/>
    <w:rsid w:val="45B921BC"/>
    <w:rsid w:val="4759349C"/>
    <w:rsid w:val="49FD5D9F"/>
    <w:rsid w:val="4A176DCD"/>
    <w:rsid w:val="4C6729B1"/>
    <w:rsid w:val="4D7673A4"/>
    <w:rsid w:val="4E611CEC"/>
    <w:rsid w:val="4F2C259D"/>
    <w:rsid w:val="522E6293"/>
    <w:rsid w:val="535B5A45"/>
    <w:rsid w:val="55380614"/>
    <w:rsid w:val="57B057AC"/>
    <w:rsid w:val="58231C2C"/>
    <w:rsid w:val="59B15C5C"/>
    <w:rsid w:val="5CE96606"/>
    <w:rsid w:val="5E5977C7"/>
    <w:rsid w:val="5EA61E00"/>
    <w:rsid w:val="616217DC"/>
    <w:rsid w:val="62F83BF9"/>
    <w:rsid w:val="639E1C8C"/>
    <w:rsid w:val="64AB130C"/>
    <w:rsid w:val="650A6CFE"/>
    <w:rsid w:val="66E3417D"/>
    <w:rsid w:val="679F5524"/>
    <w:rsid w:val="67AE2B2E"/>
    <w:rsid w:val="67AE7F51"/>
    <w:rsid w:val="69B55270"/>
    <w:rsid w:val="69CB177C"/>
    <w:rsid w:val="6B5E25C8"/>
    <w:rsid w:val="6C00333F"/>
    <w:rsid w:val="6C080535"/>
    <w:rsid w:val="6CA65B71"/>
    <w:rsid w:val="6E2E1D2B"/>
    <w:rsid w:val="6EE51997"/>
    <w:rsid w:val="6F764C1C"/>
    <w:rsid w:val="704762AF"/>
    <w:rsid w:val="72817D52"/>
    <w:rsid w:val="742A2407"/>
    <w:rsid w:val="753624A5"/>
    <w:rsid w:val="757F04DE"/>
    <w:rsid w:val="760F5D0D"/>
    <w:rsid w:val="779856AD"/>
    <w:rsid w:val="78047581"/>
    <w:rsid w:val="795A1163"/>
    <w:rsid w:val="79B76C11"/>
    <w:rsid w:val="79EE2FB2"/>
    <w:rsid w:val="7B046B8E"/>
    <w:rsid w:val="7BC877C0"/>
    <w:rsid w:val="7CBA6668"/>
    <w:rsid w:val="7F09092F"/>
    <w:rsid w:val="7F3E3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6"/>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autoRedefine/>
    <w:qFormat/>
    <w:uiPriority w:val="0"/>
    <w:pPr>
      <w:keepNext/>
      <w:keepLines/>
      <w:spacing w:before="280" w:after="290" w:line="376" w:lineRule="auto"/>
      <w:outlineLvl w:val="3"/>
    </w:pPr>
    <w:rPr>
      <w:b/>
      <w:bCs/>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52"/>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3"/>
    <w:autoRedefine/>
    <w:qFormat/>
    <w:uiPriority w:val="0"/>
    <w:pPr>
      <w:jc w:val="left"/>
    </w:pPr>
    <w:rPr>
      <w:rFonts w:ascii="Arial" w:hAnsi="Arial" w:eastAsia="黑体" w:cs="Arial"/>
    </w:rPr>
  </w:style>
  <w:style w:type="paragraph" w:styleId="9">
    <w:name w:val="Body Text Indent"/>
    <w:basedOn w:val="1"/>
    <w:autoRedefine/>
    <w:qFormat/>
    <w:uiPriority w:val="0"/>
    <w:pPr>
      <w:spacing w:after="120"/>
      <w:ind w:left="420" w:leftChars="200"/>
    </w:pPr>
  </w:style>
  <w:style w:type="paragraph" w:styleId="10">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2"/>
    <w:autoRedefine/>
    <w:qFormat/>
    <w:uiPriority w:val="99"/>
    <w:rPr>
      <w:rFonts w:ascii="宋体" w:hAnsi="Courier New" w:eastAsiaTheme="minorEastAsia" w:cstheme="minorBidi"/>
      <w:szCs w:val="22"/>
    </w:rPr>
  </w:style>
  <w:style w:type="paragraph" w:styleId="12">
    <w:name w:val="Date"/>
    <w:basedOn w:val="1"/>
    <w:next w:val="1"/>
    <w:link w:val="39"/>
    <w:autoRedefine/>
    <w:qFormat/>
    <w:uiPriority w:val="0"/>
    <w:rPr>
      <w:rFonts w:ascii="Arial" w:hAnsi="Arial" w:eastAsia="宋体" w:cs="Arial"/>
      <w:b/>
      <w:sz w:val="28"/>
    </w:rPr>
  </w:style>
  <w:style w:type="paragraph" w:styleId="13">
    <w:name w:val="Balloon Text"/>
    <w:basedOn w:val="1"/>
    <w:link w:val="26"/>
    <w:autoRedefine/>
    <w:semiHidden/>
    <w:unhideWhenUsed/>
    <w:qFormat/>
    <w:uiPriority w:val="99"/>
    <w:rPr>
      <w:sz w:val="18"/>
      <w:szCs w:val="18"/>
    </w:rPr>
  </w:style>
  <w:style w:type="paragraph" w:styleId="14">
    <w:name w:val="footer"/>
    <w:basedOn w:val="1"/>
    <w:link w:val="31"/>
    <w:autoRedefine/>
    <w:unhideWhenUsed/>
    <w:qFormat/>
    <w:uiPriority w:val="99"/>
    <w:pPr>
      <w:tabs>
        <w:tab w:val="center" w:pos="4153"/>
        <w:tab w:val="right" w:pos="8306"/>
      </w:tabs>
      <w:snapToGrid w:val="0"/>
      <w:jc w:val="left"/>
    </w:pPr>
    <w:rPr>
      <w:sz w:val="18"/>
      <w:szCs w:val="18"/>
    </w:rPr>
  </w:style>
  <w:style w:type="paragraph" w:styleId="15">
    <w:name w:val="header"/>
    <w:basedOn w:val="1"/>
    <w:link w:val="30"/>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autoRedefine/>
    <w:qFormat/>
    <w:uiPriority w:val="0"/>
    <w:pPr>
      <w:spacing w:before="100" w:beforeAutospacing="1" w:after="100" w:afterAutospacing="1"/>
      <w:jc w:val="left"/>
    </w:pPr>
    <w:rPr>
      <w:rFonts w:cs="Times New Roman"/>
      <w:kern w:val="0"/>
      <w:sz w:val="24"/>
    </w:rPr>
  </w:style>
  <w:style w:type="paragraph" w:styleId="19">
    <w:name w:val="index 1"/>
    <w:basedOn w:val="1"/>
    <w:next w:val="1"/>
    <w:autoRedefine/>
    <w:qFormat/>
    <w:uiPriority w:val="0"/>
    <w:pPr>
      <w:jc w:val="center"/>
    </w:pPr>
    <w:rPr>
      <w:rFonts w:ascii="Arial" w:hAnsi="Arial" w:eastAsia="Arial" w:cs="Arial"/>
      <w:b/>
      <w:bCs/>
      <w:sz w:val="28"/>
    </w:rPr>
  </w:style>
  <w:style w:type="paragraph" w:styleId="20">
    <w:name w:val="Body Text First Indent"/>
    <w:basedOn w:val="2"/>
    <w:autoRedefine/>
    <w:unhideWhenUsed/>
    <w:qFormat/>
    <w:uiPriority w:val="99"/>
    <w:pPr>
      <w:ind w:firstLine="420" w:firstLineChars="100"/>
    </w:pPr>
  </w:style>
  <w:style w:type="table" w:styleId="22">
    <w:name w:val="Table Grid"/>
    <w:basedOn w:val="21"/>
    <w:autoRedefine/>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autoRedefine/>
    <w:qFormat/>
    <w:uiPriority w:val="0"/>
    <w:rPr>
      <w:b/>
      <w:bCs/>
    </w:rPr>
  </w:style>
  <w:style w:type="character" w:styleId="25">
    <w:name w:val="Hyperlink"/>
    <w:basedOn w:val="23"/>
    <w:autoRedefine/>
    <w:unhideWhenUsed/>
    <w:qFormat/>
    <w:uiPriority w:val="99"/>
    <w:rPr>
      <w:color w:val="0000FF" w:themeColor="hyperlink"/>
      <w:u w:val="single"/>
      <w14:textFill>
        <w14:solidFill>
          <w14:schemeClr w14:val="hlink"/>
        </w14:solidFill>
      </w14:textFill>
    </w:rPr>
  </w:style>
  <w:style w:type="character" w:customStyle="1" w:styleId="26">
    <w:name w:val="批注框文本 Char"/>
    <w:basedOn w:val="23"/>
    <w:link w:val="13"/>
    <w:autoRedefine/>
    <w:semiHidden/>
    <w:qFormat/>
    <w:uiPriority w:val="99"/>
    <w:rPr>
      <w:rFonts w:ascii="@仿宋_GB2312" w:hAnsi="@仿宋_GB2312" w:eastAsia="@仿宋_GB2312" w:cs="@仿宋_GB2312"/>
      <w:sz w:val="18"/>
      <w:szCs w:val="18"/>
    </w:rPr>
  </w:style>
  <w:style w:type="paragraph" w:customStyle="1" w:styleId="27">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28">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29">
    <w:name w:val="D&amp;L"/>
    <w:basedOn w:val="15"/>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0">
    <w:name w:val="页眉 Char"/>
    <w:basedOn w:val="23"/>
    <w:link w:val="15"/>
    <w:autoRedefine/>
    <w:qFormat/>
    <w:uiPriority w:val="0"/>
    <w:rPr>
      <w:rFonts w:ascii="@仿宋_GB2312" w:hAnsi="@仿宋_GB2312" w:eastAsia="@仿宋_GB2312" w:cs="@仿宋_GB2312"/>
      <w:sz w:val="18"/>
      <w:szCs w:val="18"/>
    </w:rPr>
  </w:style>
  <w:style w:type="character" w:customStyle="1" w:styleId="31">
    <w:name w:val="页脚 Char"/>
    <w:basedOn w:val="23"/>
    <w:link w:val="14"/>
    <w:autoRedefine/>
    <w:qFormat/>
    <w:uiPriority w:val="99"/>
    <w:rPr>
      <w:rFonts w:ascii="@仿宋_GB2312" w:hAnsi="@仿宋_GB2312" w:eastAsia="@仿宋_GB2312" w:cs="@仿宋_GB2312"/>
      <w:sz w:val="18"/>
      <w:szCs w:val="18"/>
    </w:rPr>
  </w:style>
  <w:style w:type="character" w:customStyle="1" w:styleId="32">
    <w:name w:val="纯文本 Char"/>
    <w:link w:val="11"/>
    <w:autoRedefine/>
    <w:qFormat/>
    <w:uiPriority w:val="0"/>
    <w:rPr>
      <w:rFonts w:ascii="宋体" w:hAnsi="Courier New"/>
    </w:rPr>
  </w:style>
  <w:style w:type="character" w:customStyle="1" w:styleId="33">
    <w:name w:val="纯文本 字符1"/>
    <w:basedOn w:val="23"/>
    <w:autoRedefine/>
    <w:semiHidden/>
    <w:qFormat/>
    <w:uiPriority w:val="99"/>
    <w:rPr>
      <w:rFonts w:hAnsi="Courier New" w:cs="Courier New" w:asciiTheme="minorEastAsia"/>
      <w:szCs w:val="20"/>
    </w:rPr>
  </w:style>
  <w:style w:type="character" w:customStyle="1" w:styleId="34">
    <w:name w:val="未处理的提及1"/>
    <w:basedOn w:val="23"/>
    <w:autoRedefine/>
    <w:semiHidden/>
    <w:unhideWhenUsed/>
    <w:qFormat/>
    <w:uiPriority w:val="99"/>
    <w:rPr>
      <w:color w:val="605E5C"/>
      <w:shd w:val="clear" w:color="auto" w:fill="E1DFDD"/>
    </w:rPr>
  </w:style>
  <w:style w:type="paragraph" w:styleId="35">
    <w:name w:val="List Paragraph"/>
    <w:basedOn w:val="1"/>
    <w:autoRedefine/>
    <w:qFormat/>
    <w:uiPriority w:val="34"/>
    <w:pPr>
      <w:ind w:firstLine="420" w:firstLineChars="200"/>
    </w:pPr>
  </w:style>
  <w:style w:type="paragraph" w:customStyle="1" w:styleId="36">
    <w:name w:val="Char Char Char Char Char Char Char1 Char"/>
    <w:basedOn w:val="1"/>
    <w:autoRedefine/>
    <w:qFormat/>
    <w:uiPriority w:val="0"/>
    <w:rPr>
      <w:rFonts w:ascii="Arial" w:hAnsi="Arial" w:eastAsia="宋体" w:cs="Arial"/>
      <w:sz w:val="24"/>
    </w:rPr>
  </w:style>
  <w:style w:type="table" w:customStyle="1" w:styleId="37">
    <w:name w:val="网格表 1 浅色1"/>
    <w:basedOn w:val="21"/>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8">
    <w:name w:val="日期 字符"/>
    <w:basedOn w:val="23"/>
    <w:autoRedefine/>
    <w:semiHidden/>
    <w:qFormat/>
    <w:uiPriority w:val="99"/>
    <w:rPr>
      <w:rFonts w:ascii="@仿宋_GB2312" w:hAnsi="@仿宋_GB2312" w:eastAsia="@仿宋_GB2312" w:cs="@仿宋_GB2312"/>
      <w:szCs w:val="20"/>
    </w:rPr>
  </w:style>
  <w:style w:type="character" w:customStyle="1" w:styleId="39">
    <w:name w:val="日期 Char"/>
    <w:link w:val="12"/>
    <w:autoRedefine/>
    <w:qFormat/>
    <w:uiPriority w:val="0"/>
    <w:rPr>
      <w:rFonts w:ascii="Arial" w:hAnsi="Arial" w:eastAsia="宋体" w:cs="Arial"/>
      <w:b/>
      <w:sz w:val="28"/>
      <w:szCs w:val="20"/>
    </w:rPr>
  </w:style>
  <w:style w:type="character" w:customStyle="1" w:styleId="40">
    <w:name w:val="纯文本 Char1"/>
    <w:link w:val="41"/>
    <w:autoRedefine/>
    <w:qFormat/>
    <w:locked/>
    <w:uiPriority w:val="0"/>
    <w:rPr>
      <w:rFonts w:ascii="Arial" w:hAnsi="Arial" w:eastAsia="Arial"/>
      <w:kern w:val="2"/>
      <w:sz w:val="21"/>
      <w:lang w:val="en-US" w:eastAsia="zh-CN" w:bidi="ar-SA"/>
    </w:rPr>
  </w:style>
  <w:style w:type="paragraph" w:customStyle="1" w:styleId="41">
    <w:name w:val="纯文本1"/>
    <w:basedOn w:val="1"/>
    <w:link w:val="40"/>
    <w:autoRedefine/>
    <w:qFormat/>
    <w:uiPriority w:val="0"/>
    <w:rPr>
      <w:rFonts w:ascii="Arial" w:hAnsi="Arial" w:eastAsia="Arial" w:cstheme="minorBidi"/>
    </w:rPr>
  </w:style>
  <w:style w:type="character" w:customStyle="1" w:styleId="42">
    <w:name w:val="批注文字 Char"/>
    <w:basedOn w:val="23"/>
    <w:autoRedefine/>
    <w:semiHidden/>
    <w:qFormat/>
    <w:uiPriority w:val="99"/>
    <w:rPr>
      <w:rFonts w:ascii="@仿宋_GB2312" w:hAnsi="@仿宋_GB2312" w:eastAsia="@仿宋_GB2312" w:cs="@仿宋_GB2312"/>
      <w:szCs w:val="20"/>
    </w:rPr>
  </w:style>
  <w:style w:type="character" w:customStyle="1" w:styleId="43">
    <w:name w:val="批注文字 Char1"/>
    <w:link w:val="8"/>
    <w:autoRedefine/>
    <w:qFormat/>
    <w:uiPriority w:val="0"/>
    <w:rPr>
      <w:rFonts w:ascii="Arial" w:hAnsi="Arial" w:eastAsia="黑体" w:cs="Arial"/>
      <w:szCs w:val="20"/>
    </w:rPr>
  </w:style>
  <w:style w:type="character" w:customStyle="1" w:styleId="44">
    <w:name w:val="标题 1 Char"/>
    <w:basedOn w:val="23"/>
    <w:link w:val="3"/>
    <w:autoRedefine/>
    <w:qFormat/>
    <w:uiPriority w:val="9"/>
    <w:rPr>
      <w:rFonts w:ascii="@仿宋_GB2312" w:hAnsi="@仿宋_GB2312" w:eastAsia="@仿宋_GB2312" w:cs="@仿宋_GB2312"/>
      <w:b/>
      <w:bCs/>
      <w:kern w:val="44"/>
      <w:sz w:val="44"/>
      <w:szCs w:val="44"/>
    </w:rPr>
  </w:style>
  <w:style w:type="paragraph" w:customStyle="1" w:styleId="45">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6">
    <w:name w:val="标题 3 Char"/>
    <w:basedOn w:val="23"/>
    <w:link w:val="5"/>
    <w:autoRedefine/>
    <w:semiHidden/>
    <w:qFormat/>
    <w:uiPriority w:val="9"/>
    <w:rPr>
      <w:rFonts w:ascii="@仿宋_GB2312" w:hAnsi="@仿宋_GB2312" w:eastAsia="@仿宋_GB2312" w:cs="@仿宋_GB2312"/>
      <w:b/>
      <w:bCs/>
      <w:sz w:val="32"/>
      <w:szCs w:val="32"/>
    </w:rPr>
  </w:style>
  <w:style w:type="character" w:customStyle="1" w:styleId="47">
    <w:name w:val="fontstyle01"/>
    <w:basedOn w:val="23"/>
    <w:autoRedefine/>
    <w:qFormat/>
    <w:uiPriority w:val="0"/>
    <w:rPr>
      <w:rFonts w:hint="eastAsia" w:ascii="宋体" w:hAnsi="宋体" w:eastAsia="宋体"/>
      <w:color w:val="000000"/>
      <w:sz w:val="22"/>
      <w:szCs w:val="22"/>
    </w:rPr>
  </w:style>
  <w:style w:type="character" w:customStyle="1" w:styleId="48">
    <w:name w:val="fontstyle21"/>
    <w:basedOn w:val="23"/>
    <w:autoRedefine/>
    <w:qFormat/>
    <w:uiPriority w:val="0"/>
    <w:rPr>
      <w:rFonts w:hint="default" w:ascii="TimesNewRomanPSMT" w:hAnsi="TimesNewRomanPSMT"/>
      <w:color w:val="000000"/>
      <w:sz w:val="22"/>
      <w:szCs w:val="22"/>
    </w:rPr>
  </w:style>
  <w:style w:type="character" w:customStyle="1" w:styleId="49">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0">
    <w:name w:val="标题 4 字符"/>
    <w:basedOn w:val="23"/>
    <w:autoRedefine/>
    <w:semiHidden/>
    <w:qFormat/>
    <w:uiPriority w:val="9"/>
    <w:rPr>
      <w:rFonts w:asciiTheme="majorHAnsi" w:hAnsiTheme="majorHAnsi" w:eastAsiaTheme="majorEastAsia" w:cstheme="majorBidi"/>
      <w:b/>
      <w:bCs/>
      <w:sz w:val="28"/>
      <w:szCs w:val="28"/>
    </w:rPr>
  </w:style>
  <w:style w:type="character" w:customStyle="1" w:styleId="51">
    <w:name w:val="标题 4 Char"/>
    <w:link w:val="6"/>
    <w:autoRedefine/>
    <w:qFormat/>
    <w:uiPriority w:val="0"/>
    <w:rPr>
      <w:rFonts w:ascii="@仿宋_GB2312" w:hAnsi="@仿宋_GB2312" w:eastAsia="@仿宋_GB2312" w:cs="@仿宋_GB2312"/>
      <w:b/>
      <w:bCs/>
      <w:sz w:val="28"/>
      <w:szCs w:val="28"/>
    </w:rPr>
  </w:style>
  <w:style w:type="character" w:customStyle="1" w:styleId="52">
    <w:name w:val="正文文本 Char"/>
    <w:basedOn w:val="23"/>
    <w:link w:val="2"/>
    <w:autoRedefine/>
    <w:qFormat/>
    <w:uiPriority w:val="0"/>
    <w:rPr>
      <w:rFonts w:ascii="@微软简标宋" w:hAnsi="@微软简标宋" w:eastAsia="@微软简标宋" w:cs="@微软简标宋"/>
      <w:szCs w:val="24"/>
      <w:lang w:val="zh-CN" w:eastAsia="zh-CN"/>
    </w:rPr>
  </w:style>
  <w:style w:type="table" w:customStyle="1" w:styleId="53">
    <w:name w:val="Table Normal"/>
    <w:autoRedefine/>
    <w:semiHidden/>
    <w:unhideWhenUsed/>
    <w:qFormat/>
    <w:uiPriority w:val="0"/>
    <w:tblPr>
      <w:tblCellMar>
        <w:top w:w="0" w:type="dxa"/>
        <w:left w:w="0" w:type="dxa"/>
        <w:bottom w:w="0" w:type="dxa"/>
        <w:right w:w="0" w:type="dxa"/>
      </w:tblCellMar>
    </w:tblPr>
  </w:style>
  <w:style w:type="paragraph" w:customStyle="1" w:styleId="54">
    <w:name w:val="Table Text"/>
    <w:basedOn w:val="1"/>
    <w:autoRedefine/>
    <w:semiHidden/>
    <w:qFormat/>
    <w:uiPriority w:val="0"/>
    <w:rPr>
      <w:rFonts w:ascii="Arial" w:hAnsi="Arial" w:eastAsia="Arial" w:cs="Arial"/>
      <w:sz w:val="21"/>
      <w:szCs w:val="21"/>
      <w:lang w:val="en-US" w:eastAsia="en-US" w:bidi="ar-SA"/>
    </w:rPr>
  </w:style>
  <w:style w:type="paragraph" w:customStyle="1" w:styleId="55">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6">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AE9DD-6CAC-49B8-A987-8523A9411FE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54</Pages>
  <Words>23093</Words>
  <Characters>24129</Characters>
  <Lines>222</Lines>
  <Paragraphs>62</Paragraphs>
  <TotalTime>0</TotalTime>
  <ScaleCrop>false</ScaleCrop>
  <LinksUpToDate>false</LinksUpToDate>
  <CharactersWithSpaces>27873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2019-12-07T15:21:00Z</cp:lastPrinted>
  <dcterms:modified xsi:type="dcterms:W3CDTF">2024-05-31T09:20:48Z</dcterms:modified>
  <cp:revision>2888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25EFA31FA3D548EFB577499E32833EE0_12</vt:lpwstr>
  </property>
</Properties>
</file>