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B4C4C">
      <w:pPr>
        <w:spacing w:line="360" w:lineRule="auto"/>
        <w:jc w:val="center"/>
        <w:outlineLvl w:val="0"/>
        <w:rPr>
          <w:rFonts w:ascii="宋体" w:hAnsi="宋体" w:eastAsia="宋体"/>
          <w:b/>
          <w:color w:val="auto"/>
          <w:sz w:val="28"/>
        </w:rPr>
      </w:pPr>
      <w:bookmarkStart w:id="0" w:name="_Toc178465409"/>
      <w:r>
        <w:rPr>
          <w:rFonts w:hint="eastAsia" w:ascii="宋体" w:hAnsi="宋体" w:eastAsia="宋体"/>
          <w:b/>
          <w:color w:val="auto"/>
          <w:sz w:val="28"/>
        </w:rPr>
        <w:t>第三章  采购需求</w:t>
      </w:r>
      <w:bookmarkEnd w:id="0"/>
    </w:p>
    <w:p w14:paraId="5BBB8BBF">
      <w:pPr>
        <w:adjustRightInd w:val="0"/>
        <w:snapToGrid w:val="0"/>
        <w:spacing w:line="360" w:lineRule="auto"/>
        <w:ind w:firstLine="422"/>
        <w:rPr>
          <w:rFonts w:ascii="宋体" w:hAnsi="宋体" w:eastAsia="宋体"/>
          <w:b/>
          <w:color w:val="auto"/>
          <w:szCs w:val="21"/>
        </w:rPr>
      </w:pPr>
      <w:r>
        <w:rPr>
          <w:rFonts w:hint="eastAsia" w:ascii="宋体" w:hAnsi="宋体" w:eastAsia="宋体"/>
          <w:b/>
          <w:color w:val="auto"/>
          <w:szCs w:val="21"/>
        </w:rPr>
        <w:t>前注：</w:t>
      </w:r>
    </w:p>
    <w:p w14:paraId="6CA2A291">
      <w:pPr>
        <w:adjustRightInd w:val="0"/>
        <w:snapToGrid w:val="0"/>
        <w:spacing w:line="360" w:lineRule="auto"/>
        <w:ind w:firstLine="420"/>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根据《</w:t>
      </w:r>
      <w:r>
        <w:rPr>
          <w:rFonts w:hint="eastAsia" w:ascii="宋体" w:hAnsi="宋体" w:eastAsia="宋体"/>
          <w:color w:val="auto"/>
          <w:szCs w:val="21"/>
        </w:rPr>
        <w:t>政府采购进口产品管理办法</w:t>
      </w:r>
      <w:r>
        <w:rPr>
          <w:rFonts w:ascii="宋体" w:hAnsi="宋体" w:eastAsia="宋体"/>
          <w:color w:val="auto"/>
          <w:szCs w:val="21"/>
        </w:rPr>
        <w:t>》及政府采购管理部门的相关规定，下列采购需求中</w:t>
      </w:r>
      <w:r>
        <w:rPr>
          <w:rFonts w:hint="eastAsia" w:ascii="宋体" w:hAnsi="宋体" w:eastAsia="宋体"/>
          <w:color w:val="auto"/>
          <w:szCs w:val="21"/>
        </w:rPr>
        <w:t>标注进口产品的货物均</w:t>
      </w:r>
      <w:r>
        <w:rPr>
          <w:rFonts w:ascii="宋体" w:hAnsi="宋体" w:eastAsia="宋体"/>
          <w:color w:val="auto"/>
          <w:szCs w:val="21"/>
        </w:rPr>
        <w:t>已履行相关论证手续，经核准采购进口</w:t>
      </w:r>
      <w:r>
        <w:rPr>
          <w:rFonts w:hint="eastAsia" w:ascii="宋体" w:hAnsi="宋体" w:eastAsia="宋体"/>
          <w:color w:val="auto"/>
          <w:szCs w:val="21"/>
        </w:rPr>
        <w:t>产品</w:t>
      </w:r>
      <w:r>
        <w:rPr>
          <w:rFonts w:ascii="宋体" w:hAnsi="宋体" w:eastAsia="宋体"/>
          <w:color w:val="auto"/>
          <w:szCs w:val="21"/>
        </w:rPr>
        <w:t>，但不限制满足招标文件要求的国内产品参与竞争</w:t>
      </w:r>
      <w:r>
        <w:rPr>
          <w:rFonts w:hint="eastAsia" w:ascii="宋体" w:hAnsi="宋体" w:eastAsia="宋体"/>
          <w:color w:val="auto"/>
          <w:szCs w:val="21"/>
        </w:rPr>
        <w:t>。未标注进口产品的货物均</w:t>
      </w:r>
      <w:r>
        <w:rPr>
          <w:rFonts w:ascii="宋体" w:hAnsi="宋体" w:eastAsia="宋体"/>
          <w:color w:val="auto"/>
          <w:szCs w:val="21"/>
        </w:rPr>
        <w:t>为拒绝采购进口产品</w:t>
      </w:r>
      <w:r>
        <w:rPr>
          <w:rFonts w:hint="eastAsia" w:ascii="宋体" w:hAnsi="宋体" w:eastAsia="宋体"/>
          <w:color w:val="auto"/>
          <w:szCs w:val="21"/>
        </w:rPr>
        <w:t>。</w:t>
      </w:r>
    </w:p>
    <w:p w14:paraId="61390B76">
      <w:pPr>
        <w:adjustRightInd w:val="0"/>
        <w:snapToGrid w:val="0"/>
        <w:spacing w:line="360" w:lineRule="auto"/>
        <w:ind w:firstLine="420"/>
        <w:rPr>
          <w:rFonts w:ascii="宋体" w:hAnsi="宋体" w:eastAsia="宋体"/>
          <w:color w:val="auto"/>
          <w:szCs w:val="21"/>
        </w:rPr>
      </w:pPr>
      <w:r>
        <w:rPr>
          <w:rFonts w:hint="eastAsia" w:ascii="宋体" w:hAnsi="宋体" w:eastAsia="宋体"/>
          <w:color w:val="auto"/>
          <w:szCs w:val="21"/>
        </w:rPr>
        <w:t>2.</w:t>
      </w:r>
      <w:r>
        <w:rPr>
          <w:rFonts w:ascii="宋体" w:hAnsi="宋体" w:eastAsia="宋体" w:cs="宋体"/>
          <w:color w:val="auto"/>
          <w:szCs w:val="21"/>
        </w:rPr>
        <w:t>政府采购政策（包括但不限于下列具体政策要求</w:t>
      </w:r>
      <w:r>
        <w:rPr>
          <w:rFonts w:hint="eastAsia" w:ascii="宋体" w:hAnsi="宋体" w:eastAsia="宋体" w:cs="宋体"/>
          <w:color w:val="auto"/>
          <w:szCs w:val="21"/>
        </w:rPr>
        <w:t>）</w:t>
      </w:r>
      <w:r>
        <w:rPr>
          <w:rFonts w:hint="eastAsia" w:ascii="宋体" w:hAnsi="宋体" w:eastAsia="宋体"/>
          <w:color w:val="auto"/>
          <w:szCs w:val="21"/>
        </w:rPr>
        <w:t>：</w:t>
      </w:r>
    </w:p>
    <w:p w14:paraId="37F0BFF1">
      <w:pPr>
        <w:adjustRightInd w:val="0"/>
        <w:snapToGrid w:val="0"/>
        <w:spacing w:line="360" w:lineRule="auto"/>
        <w:ind w:firstLine="420"/>
        <w:rPr>
          <w:rFonts w:ascii="宋体" w:hAnsi="宋体" w:eastAsia="宋体" w:cs="宋体"/>
          <w:color w:val="auto"/>
          <w:szCs w:val="21"/>
        </w:rPr>
      </w:pPr>
      <w:r>
        <w:rPr>
          <w:rFonts w:hint="eastAsia" w:ascii="宋体" w:hAnsi="宋体" w:eastAsia="宋体" w:cs="宋体"/>
          <w:color w:val="auto"/>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D2932F0">
      <w:pPr>
        <w:adjustRightInd w:val="0"/>
        <w:snapToGrid w:val="0"/>
        <w:spacing w:line="360" w:lineRule="auto"/>
        <w:ind w:firstLine="420"/>
        <w:rPr>
          <w:rFonts w:ascii="宋体" w:hAnsi="宋体" w:eastAsia="宋体" w:cs="宋体"/>
          <w:color w:val="auto"/>
          <w:szCs w:val="21"/>
        </w:rPr>
      </w:pPr>
      <w:r>
        <w:rPr>
          <w:rFonts w:hint="eastAsia" w:ascii="宋体" w:hAnsi="宋体" w:eastAsia="宋体" w:cs="宋体"/>
          <w:color w:val="auto"/>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75FA2C8B">
      <w:pPr>
        <w:adjustRightInd w:val="0"/>
        <w:snapToGrid w:val="0"/>
        <w:spacing w:line="360" w:lineRule="auto"/>
        <w:ind w:firstLine="420"/>
        <w:rPr>
          <w:rFonts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olor w:val="auto"/>
          <w:szCs w:val="21"/>
        </w:rPr>
        <w:t>如采购人允许采用分包方式履行合同的，应当明确可以分包履行的相关内容</w:t>
      </w:r>
      <w:r>
        <w:rPr>
          <w:rFonts w:hint="eastAsia" w:ascii="宋体" w:hAnsi="宋体" w:eastAsia="宋体" w:cs="宋体"/>
          <w:color w:val="auto"/>
          <w:szCs w:val="21"/>
        </w:rPr>
        <w:t>。</w:t>
      </w:r>
    </w:p>
    <w:p w14:paraId="5608A2F8">
      <w:pPr>
        <w:adjustRightInd w:val="0"/>
        <w:snapToGrid w:val="0"/>
        <w:spacing w:line="360" w:lineRule="auto"/>
        <w:ind w:firstLine="420"/>
        <w:rPr>
          <w:color w:val="auto"/>
          <w:szCs w:val="21"/>
        </w:rPr>
      </w:pPr>
      <w:r>
        <w:rPr>
          <w:rFonts w:hint="eastAsia" w:ascii="宋体" w:hAnsi="宋体" w:eastAsia="宋体" w:cs="宋体"/>
          <w:color w:val="auto"/>
          <w:szCs w:val="21"/>
        </w:rPr>
        <w:t>4.下列采购需求中：标注▲的产品（核心产品），投标人在投标文件《主要中标标的承诺函》中填写名称、品牌、规格、型号、数量、单价等信息。</w:t>
      </w:r>
    </w:p>
    <w:p w14:paraId="66062D83">
      <w:pPr>
        <w:adjustRightInd w:val="0"/>
        <w:snapToGrid w:val="0"/>
        <w:spacing w:line="360" w:lineRule="auto"/>
        <w:ind w:firstLine="482"/>
        <w:outlineLvl w:val="1"/>
        <w:rPr>
          <w:rFonts w:ascii="宋体" w:hAnsi="宋体" w:eastAsia="宋体"/>
          <w:b/>
          <w:color w:val="auto"/>
          <w:szCs w:val="21"/>
        </w:rPr>
      </w:pPr>
      <w:bookmarkStart w:id="1" w:name="_Toc2554"/>
      <w:bookmarkStart w:id="2" w:name="_Toc32151"/>
      <w:bookmarkStart w:id="3" w:name="_Toc178465410"/>
      <w:r>
        <w:rPr>
          <w:rFonts w:hint="eastAsia" w:ascii="宋体" w:hAnsi="宋体" w:eastAsia="宋体"/>
          <w:b/>
          <w:color w:val="auto"/>
          <w:szCs w:val="21"/>
        </w:rPr>
        <w:t>一、采购需求前附表</w:t>
      </w:r>
      <w:bookmarkEnd w:id="1"/>
      <w:bookmarkEnd w:id="2"/>
      <w:bookmarkEnd w:id="3"/>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032"/>
        <w:gridCol w:w="5483"/>
      </w:tblGrid>
      <w:tr w14:paraId="50B3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6D524C6E">
            <w:pPr>
              <w:pStyle w:val="6"/>
              <w:adjustRightInd w:val="0"/>
              <w:snapToGrid w:val="0"/>
              <w:spacing w:line="300" w:lineRule="auto"/>
              <w:rPr>
                <w:b/>
                <w:color w:val="auto"/>
                <w:sz w:val="21"/>
                <w:szCs w:val="21"/>
              </w:rPr>
            </w:pPr>
            <w:r>
              <w:rPr>
                <w:rFonts w:hint="eastAsia"/>
                <w:b/>
                <w:color w:val="auto"/>
                <w:sz w:val="21"/>
                <w:szCs w:val="21"/>
              </w:rPr>
              <w:t>序号</w:t>
            </w:r>
          </w:p>
        </w:tc>
        <w:tc>
          <w:tcPr>
            <w:tcW w:w="2032" w:type="dxa"/>
            <w:noWrap w:val="0"/>
            <w:vAlign w:val="center"/>
          </w:tcPr>
          <w:p w14:paraId="4CA197FE">
            <w:pPr>
              <w:pStyle w:val="7"/>
              <w:jc w:val="center"/>
              <w:rPr>
                <w:b/>
                <w:color w:val="auto"/>
              </w:rPr>
            </w:pPr>
            <w:r>
              <w:rPr>
                <w:rFonts w:hint="eastAsia"/>
                <w:b/>
                <w:color w:val="auto"/>
              </w:rPr>
              <w:t>条款名称</w:t>
            </w:r>
          </w:p>
        </w:tc>
        <w:tc>
          <w:tcPr>
            <w:tcW w:w="5483" w:type="dxa"/>
            <w:noWrap w:val="0"/>
            <w:vAlign w:val="center"/>
          </w:tcPr>
          <w:p w14:paraId="19D0F6A6">
            <w:pPr>
              <w:pStyle w:val="7"/>
              <w:jc w:val="center"/>
              <w:rPr>
                <w:b/>
                <w:color w:val="auto"/>
              </w:rPr>
            </w:pPr>
            <w:r>
              <w:rPr>
                <w:rFonts w:hint="eastAsia"/>
                <w:b/>
                <w:color w:val="auto"/>
              </w:rPr>
              <w:t>内容、说明与要求</w:t>
            </w:r>
          </w:p>
        </w:tc>
      </w:tr>
      <w:tr w14:paraId="52B6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25A18126">
            <w:pPr>
              <w:pStyle w:val="6"/>
              <w:adjustRightInd w:val="0"/>
              <w:snapToGrid w:val="0"/>
              <w:spacing w:line="300" w:lineRule="auto"/>
              <w:rPr>
                <w:color w:val="auto"/>
                <w:sz w:val="21"/>
                <w:szCs w:val="21"/>
              </w:rPr>
            </w:pPr>
            <w:r>
              <w:rPr>
                <w:rFonts w:hint="eastAsia"/>
                <w:color w:val="auto"/>
                <w:sz w:val="21"/>
                <w:szCs w:val="21"/>
              </w:rPr>
              <w:t>1</w:t>
            </w:r>
          </w:p>
        </w:tc>
        <w:tc>
          <w:tcPr>
            <w:tcW w:w="2032" w:type="dxa"/>
            <w:noWrap w:val="0"/>
            <w:vAlign w:val="center"/>
          </w:tcPr>
          <w:p w14:paraId="060C7EA2">
            <w:pPr>
              <w:pStyle w:val="7"/>
              <w:rPr>
                <w:b/>
                <w:color w:val="auto"/>
              </w:rPr>
            </w:pPr>
            <w:r>
              <w:rPr>
                <w:rFonts w:hint="eastAsia"/>
                <w:color w:val="auto"/>
              </w:rPr>
              <w:t>付款方式</w:t>
            </w:r>
          </w:p>
        </w:tc>
        <w:tc>
          <w:tcPr>
            <w:tcW w:w="5483" w:type="dxa"/>
            <w:noWrap w:val="0"/>
            <w:vAlign w:val="center"/>
          </w:tcPr>
          <w:p w14:paraId="2DFA36AC">
            <w:pPr>
              <w:adjustRightInd w:val="0"/>
              <w:snapToGrid w:val="0"/>
              <w:spacing w:line="300" w:lineRule="auto"/>
              <w:rPr>
                <w:rFonts w:hint="eastAsia" w:ascii="宋体" w:hAnsi="宋体" w:eastAsia="宋体" w:cs="Calibri"/>
                <w:color w:val="auto"/>
                <w:szCs w:val="21"/>
              </w:rPr>
            </w:pPr>
            <w:r>
              <w:rPr>
                <w:rFonts w:hint="eastAsia" w:ascii="宋体" w:hAnsi="宋体" w:eastAsia="宋体" w:cs="Calibri"/>
                <w:b/>
                <w:bCs/>
                <w:color w:val="auto"/>
                <w:szCs w:val="21"/>
                <w:lang w:val="en-US" w:eastAsia="zh-CN"/>
              </w:rPr>
              <w:t>国产设备</w:t>
            </w:r>
            <w:r>
              <w:rPr>
                <w:rFonts w:hint="eastAsia" w:ascii="宋体" w:hAnsi="宋体" w:eastAsia="宋体" w:cs="Calibri"/>
                <w:b/>
                <w:bCs/>
                <w:color w:val="auto"/>
                <w:szCs w:val="21"/>
              </w:rPr>
              <w:t>：</w:t>
            </w:r>
            <w:r>
              <w:rPr>
                <w:rFonts w:hint="eastAsia" w:ascii="宋体" w:hAnsi="宋体" w:eastAsia="宋体" w:cs="Calibri"/>
                <w:color w:val="auto"/>
                <w:szCs w:val="21"/>
              </w:rPr>
              <w:t xml:space="preserve"> </w:t>
            </w:r>
          </w:p>
          <w:p w14:paraId="1B96E774">
            <w:pPr>
              <w:adjustRightInd w:val="0"/>
              <w:snapToGrid w:val="0"/>
              <w:spacing w:line="300" w:lineRule="auto"/>
              <w:rPr>
                <w:rFonts w:hint="eastAsia" w:ascii="宋体" w:hAnsi="宋体" w:eastAsia="宋体" w:cs="Calibri"/>
                <w:color w:val="auto"/>
                <w:szCs w:val="21"/>
              </w:rPr>
            </w:pPr>
            <w:r>
              <w:rPr>
                <w:rFonts w:hint="eastAsia" w:ascii="宋体" w:hAnsi="宋体" w:eastAsia="宋体" w:cs="Calibri"/>
                <w:color w:val="auto"/>
                <w:szCs w:val="21"/>
              </w:rPr>
              <w:t>（1）合同签订并收到中标人提供的等额预付款保函或其他担保措施后，采购人支付合同价款的</w:t>
            </w:r>
            <w:r>
              <w:rPr>
                <w:rFonts w:hint="eastAsia" w:ascii="宋体" w:hAnsi="宋体" w:eastAsia="宋体" w:cs="Calibri"/>
                <w:color w:val="auto"/>
                <w:szCs w:val="21"/>
                <w:lang w:val="en-US" w:eastAsia="zh-CN"/>
              </w:rPr>
              <w:t>7</w:t>
            </w:r>
            <w:r>
              <w:rPr>
                <w:rFonts w:hint="eastAsia" w:ascii="宋体" w:hAnsi="宋体" w:eastAsia="宋体" w:cs="Calibri"/>
                <w:color w:val="auto"/>
                <w:szCs w:val="21"/>
              </w:rPr>
              <w:t>0%；</w:t>
            </w:r>
          </w:p>
          <w:p w14:paraId="48401A74">
            <w:pPr>
              <w:adjustRightInd w:val="0"/>
              <w:snapToGrid w:val="0"/>
              <w:spacing w:line="300" w:lineRule="auto"/>
              <w:rPr>
                <w:rFonts w:hint="eastAsia" w:ascii="宋体" w:hAnsi="宋体" w:eastAsia="宋体" w:cs="Calibri"/>
                <w:color w:val="auto"/>
                <w:szCs w:val="21"/>
              </w:rPr>
            </w:pPr>
            <w:r>
              <w:rPr>
                <w:rFonts w:hint="eastAsia" w:ascii="宋体" w:hAnsi="宋体" w:eastAsia="宋体" w:cs="Calibri"/>
                <w:color w:val="auto"/>
                <w:szCs w:val="21"/>
              </w:rPr>
              <w:t>（2）所有设备安装调试完毕且经过验收合格正常使用后一次性付清剩余合同价款。</w:t>
            </w:r>
          </w:p>
          <w:p w14:paraId="099294DA">
            <w:pPr>
              <w:adjustRightInd w:val="0"/>
              <w:snapToGrid w:val="0"/>
              <w:spacing w:line="300" w:lineRule="auto"/>
              <w:rPr>
                <w:rFonts w:hint="eastAsia" w:ascii="宋体" w:hAnsi="宋体" w:eastAsia="宋体" w:cs="Calibri"/>
                <w:color w:val="auto"/>
                <w:szCs w:val="21"/>
              </w:rPr>
            </w:pPr>
            <w:r>
              <w:rPr>
                <w:rFonts w:hint="eastAsia" w:ascii="宋体" w:hAnsi="宋体" w:eastAsia="宋体" w:cs="Calibri"/>
                <w:color w:val="auto"/>
                <w:szCs w:val="21"/>
              </w:rPr>
              <w:t>注：</w:t>
            </w:r>
          </w:p>
          <w:p w14:paraId="61C64F2C">
            <w:pPr>
              <w:adjustRightInd w:val="0"/>
              <w:snapToGrid w:val="0"/>
              <w:spacing w:line="300" w:lineRule="auto"/>
              <w:rPr>
                <w:rFonts w:hint="eastAsia" w:ascii="宋体" w:hAnsi="宋体" w:eastAsia="宋体" w:cs="Calibri"/>
                <w:color w:val="auto"/>
                <w:szCs w:val="21"/>
              </w:rPr>
            </w:pPr>
            <w:r>
              <w:rPr>
                <w:rFonts w:hint="eastAsia" w:ascii="宋体" w:hAnsi="宋体" w:eastAsia="宋体" w:cs="Calibri"/>
                <w:color w:val="auto"/>
                <w:szCs w:val="21"/>
              </w:rPr>
              <w:t>（1）本项目要求中标人提供预付款保函或其他担保措施。</w:t>
            </w:r>
          </w:p>
          <w:p w14:paraId="179C4610">
            <w:pPr>
              <w:adjustRightInd w:val="0"/>
              <w:snapToGrid w:val="0"/>
              <w:spacing w:line="300" w:lineRule="auto"/>
              <w:rPr>
                <w:rFonts w:hint="eastAsia" w:ascii="宋体" w:hAnsi="宋体" w:eastAsia="宋体" w:cs="Calibri"/>
                <w:color w:val="auto"/>
                <w:szCs w:val="21"/>
              </w:rPr>
            </w:pPr>
            <w:r>
              <w:rPr>
                <w:rFonts w:hint="eastAsia" w:ascii="宋体" w:hAnsi="宋体" w:eastAsia="宋体" w:cs="Calibri"/>
                <w:color w:val="auto"/>
                <w:szCs w:val="21"/>
              </w:rPr>
              <w:t>（2）付款前中标人须按要求开具有效的发票。</w:t>
            </w:r>
          </w:p>
          <w:p w14:paraId="71C76014">
            <w:pPr>
              <w:adjustRightInd w:val="0"/>
              <w:snapToGrid w:val="0"/>
              <w:spacing w:line="300" w:lineRule="auto"/>
              <w:rPr>
                <w:rFonts w:hint="eastAsia" w:ascii="宋体" w:hAnsi="宋体" w:eastAsia="宋体" w:cs="Calibri"/>
                <w:color w:val="auto"/>
                <w:szCs w:val="21"/>
              </w:rPr>
            </w:pPr>
            <w:r>
              <w:rPr>
                <w:rFonts w:hint="eastAsia" w:ascii="宋体" w:hAnsi="宋体" w:eastAsia="宋体" w:cs="Calibri"/>
                <w:color w:val="auto"/>
                <w:szCs w:val="21"/>
              </w:rPr>
              <w:t>（3）预付款保函形式：银行保函、担保机构担保。</w:t>
            </w:r>
          </w:p>
          <w:p w14:paraId="1BCE7610">
            <w:pPr>
              <w:adjustRightInd w:val="0"/>
              <w:snapToGrid w:val="0"/>
              <w:spacing w:line="300" w:lineRule="auto"/>
              <w:rPr>
                <w:rFonts w:hint="eastAsia" w:ascii="宋体" w:hAnsi="宋体" w:eastAsia="宋体" w:cs="Calibri"/>
                <w:color w:val="auto"/>
                <w:szCs w:val="21"/>
              </w:rPr>
            </w:pPr>
            <w:r>
              <w:rPr>
                <w:rFonts w:hint="eastAsia" w:ascii="宋体" w:hAnsi="宋体" w:eastAsia="宋体" w:cs="Calibri"/>
                <w:color w:val="auto"/>
                <w:szCs w:val="21"/>
              </w:rPr>
              <w:t>（4）预付款保函递交要求：①如采用银行保函，银行保函应为银行出具的见索即付无条件保函。且应将原件交至采购人保管。②如采用担保机构担保，应为经地方金融监督管理局备案的融资担保机构出具的见索即付无条件担保，且应将原件交至采购人保管。</w:t>
            </w:r>
          </w:p>
          <w:p w14:paraId="1FAABFAA">
            <w:pPr>
              <w:adjustRightInd w:val="0"/>
              <w:snapToGrid w:val="0"/>
              <w:spacing w:line="300" w:lineRule="auto"/>
              <w:rPr>
                <w:rFonts w:hint="eastAsia" w:ascii="宋体" w:hAnsi="宋体" w:eastAsia="宋体" w:cs="Calibri"/>
                <w:b/>
                <w:bCs/>
                <w:color w:val="auto"/>
                <w:szCs w:val="21"/>
              </w:rPr>
            </w:pPr>
            <w:r>
              <w:rPr>
                <w:rFonts w:hint="eastAsia" w:ascii="宋体" w:hAnsi="宋体" w:eastAsia="宋体" w:cs="Calibri"/>
                <w:b/>
                <w:bCs/>
                <w:color w:val="auto"/>
                <w:szCs w:val="21"/>
                <w:lang w:val="en-US" w:eastAsia="zh-CN"/>
              </w:rPr>
              <w:t>进口设备</w:t>
            </w:r>
            <w:r>
              <w:rPr>
                <w:rFonts w:hint="eastAsia" w:ascii="宋体" w:hAnsi="宋体" w:eastAsia="宋体" w:cs="Calibri"/>
                <w:b/>
                <w:bCs/>
                <w:color w:val="auto"/>
                <w:szCs w:val="21"/>
              </w:rPr>
              <w:t>：</w:t>
            </w:r>
          </w:p>
          <w:p w14:paraId="504F03F2">
            <w:pPr>
              <w:adjustRightInd w:val="0"/>
              <w:snapToGrid w:val="0"/>
              <w:spacing w:line="300" w:lineRule="auto"/>
              <w:rPr>
                <w:rFonts w:hint="eastAsia" w:ascii="宋体" w:hAnsi="宋体" w:eastAsia="宋体" w:cs="Calibri"/>
                <w:color w:val="auto"/>
                <w:szCs w:val="21"/>
              </w:rPr>
            </w:pPr>
            <w:r>
              <w:rPr>
                <w:rFonts w:hint="eastAsia" w:ascii="宋体" w:hAnsi="宋体" w:eastAsia="宋体" w:cs="Calibri"/>
                <w:color w:val="auto"/>
                <w:szCs w:val="21"/>
              </w:rPr>
              <w:t>采购人指定外贸代理机构办理进口产品采购事宜，并按下述方式支付合同款：合同生效后，外贸代理机构开出进口产品100%即期不可撤销信用证后采购人支付90%合同款给外贸代理机构，剩余10%合同款在验收合格后一次性付给外贸代理机构。</w:t>
            </w:r>
          </w:p>
          <w:p w14:paraId="17FCF143">
            <w:pPr>
              <w:adjustRightInd w:val="0"/>
              <w:snapToGrid w:val="0"/>
              <w:spacing w:line="300" w:lineRule="auto"/>
              <w:rPr>
                <w:rFonts w:hint="eastAsia" w:ascii="宋体" w:hAnsi="宋体" w:eastAsia="宋体" w:cs="Calibri"/>
                <w:color w:val="auto"/>
                <w:szCs w:val="21"/>
              </w:rPr>
            </w:pPr>
            <w:r>
              <w:rPr>
                <w:rFonts w:hint="eastAsia" w:ascii="宋体" w:hAnsi="宋体" w:eastAsia="宋体" w:cs="Calibri"/>
                <w:color w:val="auto"/>
                <w:szCs w:val="21"/>
              </w:rPr>
              <w:t>注：双方以人民币结算。外贸代理机构与中标人另行签订合同约定付款方式进行结算，中标人须按照《外贸代理机构收取进口代理费标准》向外贸代理机构支付进口代理费。</w:t>
            </w:r>
          </w:p>
          <w:p w14:paraId="38BDD5D2">
            <w:pPr>
              <w:adjustRightInd w:val="0"/>
              <w:snapToGrid w:val="0"/>
              <w:spacing w:line="300" w:lineRule="auto"/>
              <w:rPr>
                <w:rFonts w:hint="eastAsia" w:ascii="宋体" w:hAnsi="宋体" w:eastAsia="宋体" w:cs="Calibri"/>
                <w:color w:val="auto"/>
                <w:szCs w:val="21"/>
              </w:rPr>
            </w:pPr>
            <w:r>
              <w:rPr>
                <w:rFonts w:hint="eastAsia" w:ascii="宋体" w:hAnsi="宋体" w:eastAsia="宋体" w:cs="Calibri"/>
                <w:color w:val="auto"/>
                <w:szCs w:val="21"/>
              </w:rPr>
              <w:t>附表-外贸代理服务费费率基准表</w:t>
            </w:r>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73"/>
              <w:gridCol w:w="2222"/>
            </w:tblGrid>
            <w:tr w14:paraId="4CEBB1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2773" w:type="dxa"/>
                  <w:tcBorders>
                    <w:top w:val="single" w:color="auto" w:sz="4" w:space="0"/>
                    <w:left w:val="single" w:color="auto" w:sz="4" w:space="0"/>
                    <w:bottom w:val="single" w:color="auto" w:sz="4" w:space="0"/>
                    <w:right w:val="single" w:color="auto" w:sz="4" w:space="0"/>
                  </w:tcBorders>
                  <w:noWrap w:val="0"/>
                  <w:vAlign w:val="center"/>
                </w:tcPr>
                <w:p w14:paraId="73A01825">
                  <w:pPr>
                    <w:adjustRightInd w:val="0"/>
                    <w:snapToGrid w:val="0"/>
                    <w:spacing w:line="300" w:lineRule="auto"/>
                    <w:jc w:val="center"/>
                    <w:rPr>
                      <w:rFonts w:hint="eastAsia" w:ascii="宋体" w:hAnsi="宋体" w:eastAsia="宋体" w:cs="Calibri"/>
                      <w:color w:val="auto"/>
                      <w:szCs w:val="21"/>
                    </w:rPr>
                  </w:pPr>
                  <w:r>
                    <w:rPr>
                      <w:rFonts w:hint="eastAsia" w:ascii="宋体" w:hAnsi="宋体" w:eastAsia="宋体" w:cs="Calibri"/>
                      <w:color w:val="auto"/>
                      <w:szCs w:val="21"/>
                    </w:rPr>
                    <w:t>合同金额（万元，人民币）</w:t>
                  </w:r>
                </w:p>
              </w:tc>
              <w:tc>
                <w:tcPr>
                  <w:tcW w:w="2222" w:type="dxa"/>
                  <w:tcBorders>
                    <w:top w:val="single" w:color="auto" w:sz="4" w:space="0"/>
                    <w:left w:val="single" w:color="auto" w:sz="4" w:space="0"/>
                    <w:bottom w:val="single" w:color="auto" w:sz="4" w:space="0"/>
                    <w:right w:val="single" w:color="auto" w:sz="4" w:space="0"/>
                  </w:tcBorders>
                  <w:noWrap w:val="0"/>
                  <w:vAlign w:val="center"/>
                </w:tcPr>
                <w:p w14:paraId="12AC32A9">
                  <w:pPr>
                    <w:adjustRightInd w:val="0"/>
                    <w:snapToGrid w:val="0"/>
                    <w:spacing w:line="300" w:lineRule="auto"/>
                    <w:jc w:val="center"/>
                    <w:rPr>
                      <w:rFonts w:hint="eastAsia" w:ascii="宋体" w:hAnsi="宋体" w:eastAsia="宋体" w:cs="Calibri"/>
                      <w:color w:val="auto"/>
                      <w:szCs w:val="21"/>
                    </w:rPr>
                  </w:pPr>
                  <w:r>
                    <w:rPr>
                      <w:rFonts w:hint="eastAsia" w:ascii="宋体" w:hAnsi="宋体" w:eastAsia="宋体" w:cs="Calibri"/>
                      <w:color w:val="auto"/>
                      <w:szCs w:val="21"/>
                    </w:rPr>
                    <w:t>费率</w:t>
                  </w:r>
                </w:p>
              </w:tc>
            </w:tr>
            <w:tr w14:paraId="080BF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2773" w:type="dxa"/>
                  <w:tcBorders>
                    <w:top w:val="single" w:color="auto" w:sz="4" w:space="0"/>
                    <w:left w:val="single" w:color="auto" w:sz="4" w:space="0"/>
                    <w:bottom w:val="single" w:color="auto" w:sz="4" w:space="0"/>
                    <w:right w:val="single" w:color="auto" w:sz="4" w:space="0"/>
                  </w:tcBorders>
                  <w:noWrap w:val="0"/>
                  <w:vAlign w:val="center"/>
                </w:tcPr>
                <w:p w14:paraId="0FF835AB">
                  <w:pPr>
                    <w:adjustRightInd w:val="0"/>
                    <w:snapToGrid w:val="0"/>
                    <w:spacing w:line="300" w:lineRule="auto"/>
                    <w:jc w:val="center"/>
                    <w:rPr>
                      <w:rFonts w:hint="eastAsia" w:ascii="宋体" w:hAnsi="宋体" w:eastAsia="宋体" w:cs="Calibri"/>
                      <w:color w:val="auto"/>
                      <w:szCs w:val="21"/>
                    </w:rPr>
                  </w:pPr>
                  <w:r>
                    <w:rPr>
                      <w:rFonts w:hint="eastAsia" w:ascii="宋体" w:hAnsi="宋体" w:eastAsia="宋体" w:cs="Calibri"/>
                      <w:color w:val="auto"/>
                      <w:szCs w:val="21"/>
                    </w:rPr>
                    <w:t>100以下（含100）</w:t>
                  </w:r>
                </w:p>
              </w:tc>
              <w:tc>
                <w:tcPr>
                  <w:tcW w:w="2222" w:type="dxa"/>
                  <w:tcBorders>
                    <w:top w:val="single" w:color="auto" w:sz="4" w:space="0"/>
                    <w:left w:val="single" w:color="auto" w:sz="4" w:space="0"/>
                    <w:bottom w:val="single" w:color="auto" w:sz="4" w:space="0"/>
                    <w:right w:val="single" w:color="auto" w:sz="4" w:space="0"/>
                  </w:tcBorders>
                  <w:noWrap w:val="0"/>
                  <w:vAlign w:val="center"/>
                </w:tcPr>
                <w:p w14:paraId="6491FE14">
                  <w:pPr>
                    <w:adjustRightInd w:val="0"/>
                    <w:snapToGrid w:val="0"/>
                    <w:spacing w:line="300" w:lineRule="auto"/>
                    <w:jc w:val="center"/>
                    <w:rPr>
                      <w:rFonts w:hint="eastAsia" w:ascii="宋体" w:hAnsi="宋体" w:eastAsia="宋体" w:cs="Calibri"/>
                      <w:color w:val="auto"/>
                      <w:szCs w:val="21"/>
                    </w:rPr>
                  </w:pPr>
                  <w:r>
                    <w:rPr>
                      <w:rFonts w:hint="eastAsia" w:ascii="宋体" w:hAnsi="宋体" w:eastAsia="宋体" w:cs="Calibri"/>
                      <w:color w:val="auto"/>
                      <w:szCs w:val="21"/>
                    </w:rPr>
                    <w:t>1.5%</w:t>
                  </w:r>
                </w:p>
              </w:tc>
            </w:tr>
            <w:tr w14:paraId="39D06B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2773" w:type="dxa"/>
                  <w:tcBorders>
                    <w:top w:val="single" w:color="auto" w:sz="4" w:space="0"/>
                    <w:left w:val="single" w:color="auto" w:sz="4" w:space="0"/>
                    <w:bottom w:val="single" w:color="auto" w:sz="4" w:space="0"/>
                    <w:right w:val="single" w:color="auto" w:sz="4" w:space="0"/>
                  </w:tcBorders>
                  <w:noWrap w:val="0"/>
                  <w:vAlign w:val="center"/>
                </w:tcPr>
                <w:p w14:paraId="15EC98D9">
                  <w:pPr>
                    <w:adjustRightInd w:val="0"/>
                    <w:snapToGrid w:val="0"/>
                    <w:spacing w:line="300" w:lineRule="auto"/>
                    <w:jc w:val="center"/>
                    <w:rPr>
                      <w:rFonts w:hint="eastAsia" w:ascii="宋体" w:hAnsi="宋体" w:eastAsia="宋体" w:cs="Calibri"/>
                      <w:color w:val="auto"/>
                      <w:szCs w:val="21"/>
                    </w:rPr>
                  </w:pPr>
                  <w:r>
                    <w:rPr>
                      <w:rFonts w:hint="eastAsia" w:ascii="宋体" w:hAnsi="宋体" w:eastAsia="宋体" w:cs="Calibri"/>
                      <w:color w:val="auto"/>
                      <w:szCs w:val="21"/>
                    </w:rPr>
                    <w:t>100-500（含500）</w:t>
                  </w:r>
                </w:p>
              </w:tc>
              <w:tc>
                <w:tcPr>
                  <w:tcW w:w="2222" w:type="dxa"/>
                  <w:tcBorders>
                    <w:top w:val="single" w:color="auto" w:sz="4" w:space="0"/>
                    <w:left w:val="single" w:color="auto" w:sz="4" w:space="0"/>
                    <w:bottom w:val="single" w:color="auto" w:sz="4" w:space="0"/>
                    <w:right w:val="single" w:color="auto" w:sz="4" w:space="0"/>
                  </w:tcBorders>
                  <w:noWrap w:val="0"/>
                  <w:vAlign w:val="center"/>
                </w:tcPr>
                <w:p w14:paraId="7D8F6FC9">
                  <w:pPr>
                    <w:adjustRightInd w:val="0"/>
                    <w:snapToGrid w:val="0"/>
                    <w:spacing w:line="300" w:lineRule="auto"/>
                    <w:jc w:val="center"/>
                    <w:rPr>
                      <w:rFonts w:hint="eastAsia" w:ascii="宋体" w:hAnsi="宋体" w:eastAsia="宋体" w:cs="Calibri"/>
                      <w:color w:val="auto"/>
                      <w:szCs w:val="21"/>
                    </w:rPr>
                  </w:pPr>
                  <w:r>
                    <w:rPr>
                      <w:rFonts w:hint="eastAsia" w:ascii="宋体" w:hAnsi="宋体" w:eastAsia="宋体" w:cs="Calibri"/>
                      <w:color w:val="auto"/>
                      <w:szCs w:val="21"/>
                    </w:rPr>
                    <w:t>1%</w:t>
                  </w:r>
                </w:p>
              </w:tc>
            </w:tr>
            <w:tr w14:paraId="374629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2773" w:type="dxa"/>
                  <w:tcBorders>
                    <w:top w:val="single" w:color="auto" w:sz="4" w:space="0"/>
                    <w:left w:val="single" w:color="auto" w:sz="4" w:space="0"/>
                    <w:bottom w:val="single" w:color="auto" w:sz="4" w:space="0"/>
                    <w:right w:val="single" w:color="auto" w:sz="4" w:space="0"/>
                  </w:tcBorders>
                  <w:noWrap w:val="0"/>
                  <w:vAlign w:val="center"/>
                </w:tcPr>
                <w:p w14:paraId="37A0FDB1">
                  <w:pPr>
                    <w:adjustRightInd w:val="0"/>
                    <w:snapToGrid w:val="0"/>
                    <w:spacing w:line="300" w:lineRule="auto"/>
                    <w:jc w:val="center"/>
                    <w:rPr>
                      <w:rFonts w:hint="eastAsia" w:ascii="宋体" w:hAnsi="宋体" w:eastAsia="宋体" w:cs="Calibri"/>
                      <w:color w:val="auto"/>
                      <w:szCs w:val="21"/>
                    </w:rPr>
                  </w:pPr>
                  <w:r>
                    <w:rPr>
                      <w:rFonts w:hint="eastAsia" w:ascii="宋体" w:hAnsi="宋体" w:eastAsia="宋体" w:cs="Calibri"/>
                      <w:color w:val="auto"/>
                      <w:szCs w:val="21"/>
                    </w:rPr>
                    <w:t>500-1000（含1000）</w:t>
                  </w:r>
                </w:p>
              </w:tc>
              <w:tc>
                <w:tcPr>
                  <w:tcW w:w="2222" w:type="dxa"/>
                  <w:tcBorders>
                    <w:top w:val="single" w:color="auto" w:sz="4" w:space="0"/>
                    <w:left w:val="single" w:color="auto" w:sz="4" w:space="0"/>
                    <w:bottom w:val="single" w:color="auto" w:sz="4" w:space="0"/>
                    <w:right w:val="single" w:color="auto" w:sz="4" w:space="0"/>
                  </w:tcBorders>
                  <w:noWrap w:val="0"/>
                  <w:vAlign w:val="center"/>
                </w:tcPr>
                <w:p w14:paraId="0448C86A">
                  <w:pPr>
                    <w:adjustRightInd w:val="0"/>
                    <w:snapToGrid w:val="0"/>
                    <w:spacing w:line="300" w:lineRule="auto"/>
                    <w:jc w:val="center"/>
                    <w:rPr>
                      <w:rFonts w:hint="eastAsia" w:ascii="宋体" w:hAnsi="宋体" w:eastAsia="宋体" w:cs="Calibri"/>
                      <w:color w:val="auto"/>
                      <w:szCs w:val="21"/>
                    </w:rPr>
                  </w:pPr>
                  <w:r>
                    <w:rPr>
                      <w:rFonts w:hint="eastAsia" w:ascii="宋体" w:hAnsi="宋体" w:eastAsia="宋体" w:cs="Calibri"/>
                      <w:color w:val="auto"/>
                      <w:szCs w:val="21"/>
                    </w:rPr>
                    <w:t>0.8%</w:t>
                  </w:r>
                </w:p>
              </w:tc>
            </w:tr>
            <w:tr w14:paraId="34AF1F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2773" w:type="dxa"/>
                  <w:tcBorders>
                    <w:top w:val="single" w:color="auto" w:sz="4" w:space="0"/>
                    <w:left w:val="single" w:color="auto" w:sz="4" w:space="0"/>
                    <w:bottom w:val="single" w:color="auto" w:sz="4" w:space="0"/>
                    <w:right w:val="single" w:color="auto" w:sz="4" w:space="0"/>
                  </w:tcBorders>
                  <w:noWrap w:val="0"/>
                  <w:vAlign w:val="center"/>
                </w:tcPr>
                <w:p w14:paraId="51D79992">
                  <w:pPr>
                    <w:adjustRightInd w:val="0"/>
                    <w:snapToGrid w:val="0"/>
                    <w:spacing w:line="300" w:lineRule="auto"/>
                    <w:jc w:val="center"/>
                    <w:rPr>
                      <w:rFonts w:hint="eastAsia" w:ascii="宋体" w:hAnsi="宋体" w:eastAsia="宋体" w:cs="Calibri"/>
                      <w:color w:val="auto"/>
                      <w:szCs w:val="21"/>
                    </w:rPr>
                  </w:pPr>
                  <w:r>
                    <w:rPr>
                      <w:rFonts w:hint="eastAsia" w:ascii="宋体" w:hAnsi="宋体" w:eastAsia="宋体" w:cs="Calibri"/>
                      <w:color w:val="auto"/>
                      <w:szCs w:val="21"/>
                    </w:rPr>
                    <w:t>1000以上</w:t>
                  </w:r>
                </w:p>
              </w:tc>
              <w:tc>
                <w:tcPr>
                  <w:tcW w:w="2222" w:type="dxa"/>
                  <w:tcBorders>
                    <w:top w:val="single" w:color="auto" w:sz="4" w:space="0"/>
                    <w:left w:val="single" w:color="auto" w:sz="4" w:space="0"/>
                    <w:bottom w:val="single" w:color="auto" w:sz="4" w:space="0"/>
                    <w:right w:val="single" w:color="auto" w:sz="4" w:space="0"/>
                  </w:tcBorders>
                  <w:noWrap w:val="0"/>
                  <w:vAlign w:val="center"/>
                </w:tcPr>
                <w:p w14:paraId="6655B4AF">
                  <w:pPr>
                    <w:adjustRightInd w:val="0"/>
                    <w:snapToGrid w:val="0"/>
                    <w:spacing w:line="300" w:lineRule="auto"/>
                    <w:jc w:val="center"/>
                    <w:rPr>
                      <w:rFonts w:hint="eastAsia" w:ascii="宋体" w:hAnsi="宋体" w:eastAsia="宋体" w:cs="Calibri"/>
                      <w:color w:val="auto"/>
                      <w:szCs w:val="21"/>
                    </w:rPr>
                  </w:pPr>
                  <w:r>
                    <w:rPr>
                      <w:rFonts w:hint="eastAsia" w:ascii="宋体" w:hAnsi="宋体" w:eastAsia="宋体" w:cs="Calibri"/>
                      <w:color w:val="auto"/>
                      <w:szCs w:val="21"/>
                    </w:rPr>
                    <w:t>0.5%</w:t>
                  </w:r>
                </w:p>
              </w:tc>
            </w:tr>
          </w:tbl>
          <w:p w14:paraId="5EF013B5">
            <w:pPr>
              <w:adjustRightInd w:val="0"/>
              <w:snapToGrid w:val="0"/>
              <w:spacing w:line="300" w:lineRule="auto"/>
              <w:rPr>
                <w:rFonts w:hint="eastAsia" w:ascii="宋体" w:hAnsi="宋体" w:eastAsia="宋体" w:cs="Calibri"/>
                <w:color w:val="auto"/>
                <w:szCs w:val="21"/>
              </w:rPr>
            </w:pPr>
            <w:r>
              <w:rPr>
                <w:rFonts w:hint="eastAsia" w:ascii="宋体" w:hAnsi="宋体" w:eastAsia="宋体" w:cs="Calibri"/>
                <w:color w:val="auto"/>
                <w:szCs w:val="21"/>
              </w:rPr>
              <w:t>（1）按上表规定的收费标准下浮60%收取；</w:t>
            </w:r>
          </w:p>
          <w:p w14:paraId="14B3DB64">
            <w:pPr>
              <w:adjustRightInd w:val="0"/>
              <w:snapToGrid w:val="0"/>
              <w:spacing w:line="300" w:lineRule="auto"/>
              <w:rPr>
                <w:rFonts w:hint="eastAsia" w:ascii="宋体" w:hAnsi="宋体" w:eastAsia="宋体" w:cs="Calibri"/>
                <w:color w:val="auto"/>
                <w:szCs w:val="21"/>
              </w:rPr>
            </w:pPr>
            <w:r>
              <w:rPr>
                <w:rFonts w:hint="eastAsia" w:ascii="宋体" w:hAnsi="宋体" w:eastAsia="宋体" w:cs="Calibri"/>
                <w:color w:val="auto"/>
                <w:szCs w:val="21"/>
              </w:rPr>
              <w:t>（2）外贸代理服务费上限和下限：每包进口代理项目外贸代理服务费收取上限为叁万元人民币，下限为叁千元人民币；</w:t>
            </w:r>
          </w:p>
          <w:p w14:paraId="515EF5AC">
            <w:pPr>
              <w:adjustRightInd w:val="0"/>
              <w:snapToGrid w:val="0"/>
              <w:spacing w:line="300" w:lineRule="auto"/>
              <w:rPr>
                <w:rFonts w:ascii="宋体" w:hAnsi="宋体" w:eastAsia="宋体"/>
                <w:bCs/>
                <w:color w:val="auto"/>
                <w:kern w:val="0"/>
                <w:szCs w:val="21"/>
              </w:rPr>
            </w:pPr>
            <w:r>
              <w:rPr>
                <w:rFonts w:hint="eastAsia" w:ascii="宋体" w:hAnsi="宋体" w:eastAsia="宋体" w:cs="Calibri"/>
                <w:color w:val="auto"/>
                <w:szCs w:val="21"/>
              </w:rPr>
              <w:t>（3）代理服务费收取对象：采购人相关进口产品招标项目中标（成交）人。</w:t>
            </w:r>
          </w:p>
        </w:tc>
      </w:tr>
      <w:tr w14:paraId="0280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647A6B95">
            <w:pPr>
              <w:pStyle w:val="6"/>
              <w:adjustRightInd w:val="0"/>
              <w:snapToGrid w:val="0"/>
              <w:spacing w:line="300" w:lineRule="auto"/>
              <w:rPr>
                <w:color w:val="auto"/>
                <w:sz w:val="21"/>
                <w:szCs w:val="21"/>
              </w:rPr>
            </w:pPr>
            <w:r>
              <w:rPr>
                <w:rFonts w:hint="eastAsia"/>
                <w:color w:val="auto"/>
                <w:sz w:val="21"/>
                <w:szCs w:val="21"/>
              </w:rPr>
              <w:t>2</w:t>
            </w:r>
          </w:p>
        </w:tc>
        <w:tc>
          <w:tcPr>
            <w:tcW w:w="2032" w:type="dxa"/>
            <w:noWrap w:val="0"/>
            <w:vAlign w:val="center"/>
          </w:tcPr>
          <w:p w14:paraId="7042EB77">
            <w:pPr>
              <w:pStyle w:val="7"/>
              <w:rPr>
                <w:b/>
                <w:color w:val="auto"/>
              </w:rPr>
            </w:pPr>
            <w:r>
              <w:rPr>
                <w:rFonts w:hint="eastAsia"/>
                <w:color w:val="auto"/>
              </w:rPr>
              <w:t>供货及安装地点</w:t>
            </w:r>
          </w:p>
        </w:tc>
        <w:tc>
          <w:tcPr>
            <w:tcW w:w="5483" w:type="dxa"/>
            <w:noWrap w:val="0"/>
            <w:vAlign w:val="center"/>
          </w:tcPr>
          <w:p w14:paraId="40911F6F">
            <w:pPr>
              <w:adjustRightInd w:val="0"/>
              <w:snapToGrid w:val="0"/>
              <w:spacing w:line="300" w:lineRule="auto"/>
              <w:rPr>
                <w:rFonts w:ascii="宋体" w:hAnsi="宋体" w:eastAsia="宋体"/>
                <w:bCs/>
                <w:color w:val="auto"/>
                <w:kern w:val="0"/>
                <w:szCs w:val="21"/>
              </w:rPr>
            </w:pPr>
            <w:r>
              <w:rPr>
                <w:rFonts w:hint="eastAsia" w:ascii="宋体" w:hAnsi="宋体" w:eastAsia="宋体"/>
                <w:bCs/>
                <w:color w:val="auto"/>
                <w:kern w:val="0"/>
                <w:szCs w:val="21"/>
                <w:lang w:eastAsia="zh-CN"/>
              </w:rPr>
              <w:t>安徽农业大学</w:t>
            </w:r>
            <w:r>
              <w:rPr>
                <w:rFonts w:ascii="宋体" w:hAnsi="宋体" w:eastAsia="宋体"/>
                <w:bCs/>
                <w:color w:val="auto"/>
                <w:kern w:val="0"/>
                <w:szCs w:val="21"/>
              </w:rPr>
              <w:t>，具体按采购人指定地点。</w:t>
            </w:r>
          </w:p>
        </w:tc>
      </w:tr>
      <w:tr w14:paraId="593A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081CCA3F">
            <w:pPr>
              <w:pStyle w:val="6"/>
              <w:adjustRightInd w:val="0"/>
              <w:snapToGrid w:val="0"/>
              <w:spacing w:line="300" w:lineRule="auto"/>
              <w:rPr>
                <w:color w:val="auto"/>
                <w:sz w:val="21"/>
                <w:szCs w:val="21"/>
              </w:rPr>
            </w:pPr>
            <w:r>
              <w:rPr>
                <w:rFonts w:hint="eastAsia"/>
                <w:color w:val="auto"/>
                <w:sz w:val="21"/>
                <w:szCs w:val="21"/>
              </w:rPr>
              <w:t>3</w:t>
            </w:r>
          </w:p>
        </w:tc>
        <w:tc>
          <w:tcPr>
            <w:tcW w:w="2032" w:type="dxa"/>
            <w:noWrap w:val="0"/>
            <w:vAlign w:val="center"/>
          </w:tcPr>
          <w:p w14:paraId="4626F459">
            <w:pPr>
              <w:pStyle w:val="7"/>
              <w:rPr>
                <w:b/>
                <w:color w:val="auto"/>
              </w:rPr>
            </w:pPr>
            <w:r>
              <w:rPr>
                <w:rFonts w:hint="eastAsia"/>
                <w:color w:val="auto"/>
              </w:rPr>
              <w:t>供货及安装期限</w:t>
            </w:r>
          </w:p>
        </w:tc>
        <w:tc>
          <w:tcPr>
            <w:tcW w:w="5483" w:type="dxa"/>
            <w:noWrap w:val="0"/>
            <w:vAlign w:val="center"/>
          </w:tcPr>
          <w:p w14:paraId="7B1C80BC">
            <w:pPr>
              <w:adjustRightInd w:val="0"/>
              <w:snapToGrid w:val="0"/>
              <w:spacing w:line="300" w:lineRule="auto"/>
              <w:rPr>
                <w:rFonts w:ascii="宋体" w:hAnsi="宋体" w:eastAsia="宋体"/>
                <w:bCs/>
                <w:color w:val="auto"/>
                <w:kern w:val="0"/>
                <w:szCs w:val="21"/>
              </w:rPr>
            </w:pPr>
            <w:r>
              <w:rPr>
                <w:rFonts w:hint="eastAsia" w:ascii="宋体" w:hAnsi="宋体" w:eastAsia="宋体"/>
                <w:bCs/>
                <w:color w:val="auto"/>
                <w:kern w:val="0"/>
                <w:szCs w:val="21"/>
                <w:lang w:eastAsia="zh-CN"/>
              </w:rPr>
              <w:t>合同生效之日起，90个日历日完成供货、安装、调试、培训等所有工作内容</w:t>
            </w:r>
            <w:r>
              <w:rPr>
                <w:rFonts w:hint="eastAsia" w:ascii="宋体" w:hAnsi="宋体" w:eastAsia="宋体"/>
                <w:bCs/>
                <w:color w:val="auto"/>
                <w:kern w:val="0"/>
                <w:szCs w:val="21"/>
              </w:rPr>
              <w:t>。</w:t>
            </w:r>
          </w:p>
        </w:tc>
      </w:tr>
      <w:tr w14:paraId="435A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4B37EBD1">
            <w:pPr>
              <w:pStyle w:val="6"/>
              <w:adjustRightInd w:val="0"/>
              <w:snapToGrid w:val="0"/>
              <w:spacing w:line="300" w:lineRule="auto"/>
              <w:rPr>
                <w:color w:val="auto"/>
                <w:sz w:val="21"/>
                <w:szCs w:val="21"/>
              </w:rPr>
            </w:pPr>
            <w:r>
              <w:rPr>
                <w:rFonts w:hint="eastAsia"/>
                <w:color w:val="auto"/>
                <w:sz w:val="21"/>
                <w:szCs w:val="21"/>
              </w:rPr>
              <w:t>4</w:t>
            </w:r>
          </w:p>
        </w:tc>
        <w:tc>
          <w:tcPr>
            <w:tcW w:w="2032" w:type="dxa"/>
            <w:noWrap w:val="0"/>
            <w:vAlign w:val="center"/>
          </w:tcPr>
          <w:p w14:paraId="16C713EB">
            <w:pPr>
              <w:pStyle w:val="7"/>
              <w:rPr>
                <w:b/>
                <w:color w:val="auto"/>
              </w:rPr>
            </w:pPr>
            <w:r>
              <w:rPr>
                <w:rFonts w:hint="eastAsia"/>
                <w:color w:val="auto"/>
              </w:rPr>
              <w:t>免费质保期</w:t>
            </w:r>
          </w:p>
        </w:tc>
        <w:tc>
          <w:tcPr>
            <w:tcW w:w="5483" w:type="dxa"/>
            <w:noWrap w:val="0"/>
            <w:vAlign w:val="center"/>
          </w:tcPr>
          <w:p w14:paraId="3D2E0E13">
            <w:pPr>
              <w:adjustRightInd w:val="0"/>
              <w:snapToGrid w:val="0"/>
              <w:spacing w:line="300" w:lineRule="auto"/>
              <w:rPr>
                <w:rFonts w:ascii="宋体" w:hAnsi="宋体" w:eastAsia="宋体"/>
                <w:bCs/>
                <w:color w:val="auto"/>
                <w:kern w:val="0"/>
                <w:szCs w:val="21"/>
              </w:rPr>
            </w:pPr>
            <w:r>
              <w:rPr>
                <w:rFonts w:hint="eastAsia" w:ascii="宋体" w:hAnsi="宋体" w:eastAsia="宋体"/>
                <w:bCs/>
                <w:color w:val="auto"/>
                <w:kern w:val="0"/>
                <w:szCs w:val="21"/>
              </w:rPr>
              <w:t>验收合格后，1年；</w:t>
            </w:r>
            <w:r>
              <w:rPr>
                <w:rFonts w:hint="eastAsia" w:ascii="宋体" w:hAnsi="宋体" w:eastAsia="宋体"/>
                <w:bCs/>
                <w:color w:val="auto"/>
                <w:kern w:val="0"/>
                <w:szCs w:val="21"/>
                <w:lang w:val="en-US" w:eastAsia="zh-CN"/>
              </w:rPr>
              <w:t>货物</w:t>
            </w:r>
            <w:r>
              <w:rPr>
                <w:rFonts w:hint="eastAsia" w:ascii="宋体" w:hAnsi="宋体" w:eastAsia="宋体"/>
                <w:bCs/>
                <w:color w:val="auto"/>
                <w:kern w:val="0"/>
                <w:szCs w:val="21"/>
              </w:rPr>
              <w:t>需求中另有规定的，按</w:t>
            </w:r>
            <w:r>
              <w:rPr>
                <w:rFonts w:hint="eastAsia" w:ascii="宋体" w:hAnsi="宋体" w:eastAsia="宋体"/>
                <w:bCs/>
                <w:color w:val="auto"/>
                <w:kern w:val="0"/>
                <w:szCs w:val="21"/>
                <w:lang w:val="en-US" w:eastAsia="zh-CN"/>
              </w:rPr>
              <w:t>货物</w:t>
            </w:r>
            <w:r>
              <w:rPr>
                <w:rFonts w:hint="eastAsia" w:ascii="宋体" w:hAnsi="宋体" w:eastAsia="宋体"/>
                <w:bCs/>
                <w:color w:val="auto"/>
                <w:kern w:val="0"/>
                <w:szCs w:val="21"/>
              </w:rPr>
              <w:t>需求执行。</w:t>
            </w:r>
          </w:p>
        </w:tc>
      </w:tr>
    </w:tbl>
    <w:p w14:paraId="4F876278">
      <w:pPr>
        <w:widowControl/>
        <w:jc w:val="left"/>
        <w:rPr>
          <w:rFonts w:ascii="宋体" w:hAnsi="宋体" w:eastAsia="宋体"/>
          <w:b/>
          <w:color w:val="auto"/>
          <w:szCs w:val="21"/>
        </w:rPr>
      </w:pPr>
      <w:bookmarkStart w:id="4" w:name="_Toc5944"/>
      <w:bookmarkStart w:id="5" w:name="_Toc7671"/>
    </w:p>
    <w:p w14:paraId="4725D7C2">
      <w:pPr>
        <w:adjustRightInd w:val="0"/>
        <w:snapToGrid w:val="0"/>
        <w:spacing w:beforeLines="50" w:line="360" w:lineRule="auto"/>
        <w:ind w:firstLine="482"/>
        <w:outlineLvl w:val="1"/>
        <w:rPr>
          <w:rFonts w:ascii="宋体" w:hAnsi="宋体" w:eastAsia="宋体"/>
          <w:b/>
          <w:color w:val="auto"/>
          <w:szCs w:val="21"/>
        </w:rPr>
      </w:pPr>
      <w:bookmarkStart w:id="6" w:name="_Toc178465411"/>
      <w:r>
        <w:rPr>
          <w:rFonts w:hint="eastAsia" w:ascii="宋体" w:hAnsi="宋体" w:eastAsia="宋体"/>
          <w:b/>
          <w:color w:val="auto"/>
          <w:szCs w:val="21"/>
        </w:rPr>
        <w:t>二、货物需求</w:t>
      </w:r>
      <w:bookmarkEnd w:id="4"/>
      <w:bookmarkEnd w:id="5"/>
      <w:bookmarkEnd w:id="6"/>
    </w:p>
    <w:p w14:paraId="09FEDBC1">
      <w:pPr>
        <w:adjustRightInd w:val="0"/>
        <w:snapToGrid w:val="0"/>
        <w:spacing w:beforeLines="50" w:line="360" w:lineRule="auto"/>
        <w:ind w:firstLine="482"/>
        <w:outlineLvl w:val="1"/>
        <w:rPr>
          <w:rFonts w:ascii="宋体" w:hAnsi="宋体" w:eastAsia="宋体"/>
          <w:b/>
          <w:color w:val="auto"/>
          <w:szCs w:val="21"/>
        </w:rPr>
      </w:pPr>
      <w:bookmarkStart w:id="7" w:name="_Toc178465412"/>
      <w:r>
        <w:rPr>
          <w:rFonts w:hint="eastAsia" w:ascii="宋体" w:hAnsi="宋体" w:eastAsia="宋体"/>
          <w:b/>
          <w:color w:val="auto"/>
          <w:szCs w:val="21"/>
        </w:rPr>
        <w:t>（一）指标重要性表述</w:t>
      </w:r>
      <w:bookmarkEnd w:id="7"/>
    </w:p>
    <w:tbl>
      <w:tblPr>
        <w:tblStyle w:val="4"/>
        <w:tblpPr w:leftFromText="180" w:rightFromText="180" w:vertAnchor="text" w:horzAnchor="margin" w:tblpXSpec="center" w:tblpY="3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366"/>
        <w:gridCol w:w="5202"/>
      </w:tblGrid>
      <w:tr w14:paraId="55EC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85" w:type="dxa"/>
            <w:noWrap w:val="0"/>
            <w:vAlign w:val="center"/>
          </w:tcPr>
          <w:p w14:paraId="4DF0F00A">
            <w:pPr>
              <w:adjustRightInd w:val="0"/>
              <w:snapToGrid w:val="0"/>
              <w:spacing w:line="300" w:lineRule="auto"/>
              <w:jc w:val="center"/>
              <w:rPr>
                <w:rFonts w:ascii="宋体" w:hAnsi="宋体" w:eastAsia="宋体" w:cs="Times New Roman"/>
                <w:b/>
                <w:color w:val="auto"/>
                <w:szCs w:val="21"/>
              </w:rPr>
            </w:pPr>
            <w:r>
              <w:rPr>
                <w:rFonts w:hint="eastAsia" w:ascii="宋体" w:hAnsi="宋体" w:eastAsia="宋体" w:cs="Times New Roman"/>
                <w:b/>
                <w:color w:val="auto"/>
                <w:szCs w:val="21"/>
              </w:rPr>
              <w:t>标识重要性</w:t>
            </w:r>
          </w:p>
        </w:tc>
        <w:tc>
          <w:tcPr>
            <w:tcW w:w="1366" w:type="dxa"/>
            <w:noWrap w:val="0"/>
            <w:vAlign w:val="center"/>
          </w:tcPr>
          <w:p w14:paraId="5253590E">
            <w:pPr>
              <w:adjustRightInd w:val="0"/>
              <w:snapToGrid w:val="0"/>
              <w:spacing w:line="300" w:lineRule="auto"/>
              <w:jc w:val="center"/>
              <w:rPr>
                <w:rFonts w:ascii="宋体" w:hAnsi="宋体" w:eastAsia="宋体" w:cs="Times New Roman"/>
                <w:b/>
                <w:color w:val="auto"/>
                <w:szCs w:val="21"/>
              </w:rPr>
            </w:pPr>
            <w:r>
              <w:rPr>
                <w:rFonts w:hint="eastAsia" w:ascii="宋体" w:hAnsi="宋体" w:eastAsia="宋体" w:cs="Times New Roman"/>
                <w:b/>
                <w:color w:val="auto"/>
                <w:szCs w:val="21"/>
              </w:rPr>
              <w:t>标识符号</w:t>
            </w:r>
          </w:p>
        </w:tc>
        <w:tc>
          <w:tcPr>
            <w:tcW w:w="5202" w:type="dxa"/>
            <w:noWrap w:val="0"/>
            <w:vAlign w:val="center"/>
          </w:tcPr>
          <w:p w14:paraId="5016E80A">
            <w:pPr>
              <w:adjustRightInd w:val="0"/>
              <w:snapToGrid w:val="0"/>
              <w:spacing w:line="300" w:lineRule="auto"/>
              <w:jc w:val="center"/>
              <w:rPr>
                <w:rFonts w:ascii="宋体" w:hAnsi="宋体" w:eastAsia="宋体" w:cs="Times New Roman"/>
                <w:b/>
                <w:color w:val="auto"/>
                <w:szCs w:val="21"/>
              </w:rPr>
            </w:pPr>
            <w:r>
              <w:rPr>
                <w:rFonts w:hint="eastAsia" w:ascii="宋体" w:hAnsi="宋体" w:eastAsia="宋体" w:cs="Times New Roman"/>
                <w:b/>
                <w:color w:val="auto"/>
                <w:szCs w:val="21"/>
              </w:rPr>
              <w:t>代表意思</w:t>
            </w:r>
          </w:p>
        </w:tc>
      </w:tr>
      <w:tr w14:paraId="642A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985" w:type="dxa"/>
            <w:noWrap w:val="0"/>
            <w:vAlign w:val="center"/>
          </w:tcPr>
          <w:p w14:paraId="69E146F1">
            <w:pPr>
              <w:adjustRightInd w:val="0"/>
              <w:snapToGrid w:val="0"/>
              <w:spacing w:line="300" w:lineRule="auto"/>
              <w:jc w:val="center"/>
              <w:rPr>
                <w:rFonts w:ascii="宋体" w:hAnsi="宋体" w:eastAsia="宋体" w:cs="Times New Roman"/>
                <w:color w:val="auto"/>
                <w:szCs w:val="21"/>
              </w:rPr>
            </w:pPr>
            <w:r>
              <w:rPr>
                <w:rFonts w:hint="eastAsia" w:ascii="宋体" w:hAnsi="宋体" w:eastAsia="宋体" w:cs="宋体"/>
                <w:color w:val="auto"/>
                <w:szCs w:val="21"/>
              </w:rPr>
              <w:t>关键性指标项</w:t>
            </w:r>
          </w:p>
        </w:tc>
        <w:tc>
          <w:tcPr>
            <w:tcW w:w="1366" w:type="dxa"/>
            <w:noWrap w:val="0"/>
            <w:vAlign w:val="center"/>
          </w:tcPr>
          <w:p w14:paraId="0CADBF13">
            <w:pPr>
              <w:adjustRightInd w:val="0"/>
              <w:snapToGrid w:val="0"/>
              <w:spacing w:line="300" w:lineRule="auto"/>
              <w:jc w:val="center"/>
              <w:rPr>
                <w:rFonts w:ascii="宋体" w:hAnsi="宋体" w:eastAsia="宋体" w:cs="Times New Roman"/>
                <w:bCs/>
                <w:color w:val="auto"/>
                <w:szCs w:val="21"/>
              </w:rPr>
            </w:pPr>
            <w:r>
              <w:rPr>
                <w:rFonts w:hint="eastAsia" w:ascii="宋体" w:hAnsi="宋体" w:eastAsia="宋体" w:cs="宋体"/>
                <w:color w:val="auto"/>
                <w:szCs w:val="21"/>
              </w:rPr>
              <w:t>★</w:t>
            </w:r>
          </w:p>
        </w:tc>
        <w:tc>
          <w:tcPr>
            <w:tcW w:w="5202" w:type="dxa"/>
            <w:noWrap w:val="0"/>
            <w:vAlign w:val="center"/>
          </w:tcPr>
          <w:p w14:paraId="4DF940F7">
            <w:pPr>
              <w:adjustRightInd w:val="0"/>
              <w:snapToGrid w:val="0"/>
              <w:spacing w:line="300" w:lineRule="auto"/>
              <w:jc w:val="left"/>
              <w:rPr>
                <w:rFonts w:ascii="宋体" w:hAnsi="宋体" w:eastAsia="宋体" w:cs="宋体"/>
                <w:color w:val="auto"/>
                <w:szCs w:val="21"/>
              </w:rPr>
            </w:pPr>
            <w:r>
              <w:rPr>
                <w:rFonts w:hint="eastAsia" w:ascii="宋体" w:hAnsi="宋体" w:eastAsia="宋体" w:cs="宋体"/>
                <w:color w:val="auto"/>
                <w:szCs w:val="21"/>
              </w:rPr>
              <w:t>评分项，详见评标办法。</w:t>
            </w:r>
          </w:p>
        </w:tc>
      </w:tr>
      <w:tr w14:paraId="3681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985" w:type="dxa"/>
            <w:noWrap w:val="0"/>
            <w:vAlign w:val="center"/>
          </w:tcPr>
          <w:p w14:paraId="3FCC368E">
            <w:pPr>
              <w:adjustRightInd w:val="0"/>
              <w:snapToGrid w:val="0"/>
              <w:spacing w:line="300" w:lineRule="auto"/>
              <w:jc w:val="center"/>
              <w:rPr>
                <w:rFonts w:ascii="宋体" w:hAnsi="宋体" w:eastAsia="宋体" w:cs="Times New Roman"/>
                <w:color w:val="auto"/>
                <w:szCs w:val="21"/>
              </w:rPr>
            </w:pPr>
            <w:r>
              <w:rPr>
                <w:rFonts w:hint="eastAsia" w:ascii="宋体" w:hAnsi="宋体" w:eastAsia="宋体" w:cs="宋体"/>
                <w:color w:val="auto"/>
                <w:szCs w:val="21"/>
              </w:rPr>
              <w:t>无标识项</w:t>
            </w:r>
          </w:p>
        </w:tc>
        <w:tc>
          <w:tcPr>
            <w:tcW w:w="1366" w:type="dxa"/>
            <w:noWrap w:val="0"/>
            <w:vAlign w:val="center"/>
          </w:tcPr>
          <w:p w14:paraId="6CF9CE96">
            <w:pPr>
              <w:adjustRightInd w:val="0"/>
              <w:snapToGrid w:val="0"/>
              <w:spacing w:line="300" w:lineRule="auto"/>
              <w:jc w:val="center"/>
              <w:rPr>
                <w:rFonts w:ascii="宋体" w:hAnsi="宋体" w:eastAsia="宋体" w:cs="Times New Roman"/>
                <w:b/>
                <w:bCs/>
                <w:color w:val="auto"/>
                <w:szCs w:val="21"/>
              </w:rPr>
            </w:pPr>
          </w:p>
        </w:tc>
        <w:tc>
          <w:tcPr>
            <w:tcW w:w="5202" w:type="dxa"/>
            <w:noWrap w:val="0"/>
            <w:vAlign w:val="center"/>
          </w:tcPr>
          <w:p w14:paraId="2DA209A4">
            <w:pPr>
              <w:adjustRightInd w:val="0"/>
              <w:snapToGrid w:val="0"/>
              <w:spacing w:line="300" w:lineRule="auto"/>
              <w:jc w:val="left"/>
              <w:rPr>
                <w:rFonts w:ascii="宋体" w:hAnsi="宋体" w:eastAsia="宋体" w:cs="Times New Roman"/>
                <w:bCs/>
                <w:color w:val="auto"/>
                <w:szCs w:val="21"/>
              </w:rPr>
            </w:pPr>
            <w:r>
              <w:rPr>
                <w:rFonts w:hint="eastAsia" w:ascii="宋体" w:hAnsi="宋体" w:eastAsia="宋体" w:cs="宋体"/>
                <w:bCs/>
                <w:color w:val="auto"/>
                <w:szCs w:val="21"/>
              </w:rPr>
              <w:t>符合性审查项，</w:t>
            </w:r>
            <w:r>
              <w:rPr>
                <w:rFonts w:hint="eastAsia" w:ascii="宋体" w:hAnsi="宋体" w:eastAsia="宋体" w:cs="宋体"/>
                <w:bCs/>
                <w:color w:val="auto"/>
                <w:szCs w:val="21"/>
                <w:lang w:val="en-US" w:eastAsia="zh-CN"/>
              </w:rPr>
              <w:t>5</w:t>
            </w:r>
            <w:r>
              <w:rPr>
                <w:rFonts w:hint="eastAsia" w:ascii="宋体" w:hAnsi="宋体" w:eastAsia="宋体" w:cs="宋体"/>
                <w:bCs/>
                <w:color w:val="auto"/>
                <w:szCs w:val="21"/>
              </w:rPr>
              <w:t>条（含）及以上负偏离的将导致投标无效。</w:t>
            </w:r>
          </w:p>
        </w:tc>
      </w:tr>
      <w:tr w14:paraId="164A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3" w:type="dxa"/>
            <w:gridSpan w:val="3"/>
            <w:noWrap w:val="0"/>
            <w:vAlign w:val="center"/>
          </w:tcPr>
          <w:p w14:paraId="48DE270E">
            <w:pPr>
              <w:adjustRightInd w:val="0"/>
              <w:snapToGrid w:val="0"/>
              <w:spacing w:line="300" w:lineRule="auto"/>
              <w:jc w:val="left"/>
              <w:rPr>
                <w:rFonts w:hint="eastAsia" w:ascii="宋体" w:hAnsi="宋体" w:eastAsia="宋体" w:cs="宋体"/>
                <w:bCs/>
                <w:color w:val="auto"/>
                <w:szCs w:val="21"/>
              </w:rPr>
            </w:pPr>
            <w:r>
              <w:rPr>
                <w:rFonts w:hint="eastAsia" w:ascii="宋体" w:hAnsi="宋体" w:eastAsia="宋体" w:cs="宋体"/>
                <w:bCs/>
                <w:color w:val="auto"/>
                <w:szCs w:val="21"/>
              </w:rPr>
              <w:t>注：1.如某项标识中包含多条技术参数或要求，则该项标识所含内容均需满足或优于招标文件要求，否则不予认可。</w:t>
            </w:r>
          </w:p>
          <w:p w14:paraId="2A9C4DB2">
            <w:pPr>
              <w:adjustRightInd w:val="0"/>
              <w:snapToGrid w:val="0"/>
              <w:spacing w:line="300" w:lineRule="auto"/>
              <w:jc w:val="left"/>
              <w:rPr>
                <w:rFonts w:ascii="宋体" w:hAnsi="宋体" w:eastAsia="宋体" w:cs="宋体"/>
                <w:bCs/>
                <w:color w:val="auto"/>
                <w:szCs w:val="21"/>
              </w:rPr>
            </w:pPr>
            <w:r>
              <w:rPr>
                <w:rFonts w:hint="eastAsia" w:ascii="宋体" w:hAnsi="宋体" w:eastAsia="宋体" w:cs="宋体"/>
                <w:bCs/>
                <w:color w:val="auto"/>
                <w:szCs w:val="21"/>
              </w:rPr>
              <w:t>2.“所属行业”栏标注为“/”的项为所投产品配套的工程或服务，无需在《中小企业声明函》中列明。</w:t>
            </w:r>
          </w:p>
        </w:tc>
      </w:tr>
    </w:tbl>
    <w:p w14:paraId="301EFC34">
      <w:pPr>
        <w:pStyle w:val="2"/>
        <w:adjustRightInd w:val="0"/>
        <w:snapToGrid w:val="0"/>
        <w:ind w:firstLine="422" w:firstLineChars="200"/>
        <w:rPr>
          <w:rFonts w:ascii="宋体" w:hAnsi="宋体" w:eastAsia="宋体" w:cs="宋体"/>
          <w:b/>
          <w:bCs/>
          <w:color w:val="auto"/>
          <w:szCs w:val="21"/>
          <w:lang w:val="en-US"/>
        </w:rPr>
      </w:pPr>
    </w:p>
    <w:p w14:paraId="56960855">
      <w:pPr>
        <w:adjustRightInd w:val="0"/>
        <w:snapToGrid w:val="0"/>
        <w:spacing w:beforeLines="50" w:line="360" w:lineRule="auto"/>
        <w:ind w:firstLine="482"/>
        <w:outlineLvl w:val="1"/>
        <w:rPr>
          <w:rFonts w:hint="eastAsia" w:ascii="宋体" w:hAnsi="宋体" w:eastAsia="宋体"/>
          <w:b/>
          <w:color w:val="auto"/>
          <w:szCs w:val="21"/>
        </w:rPr>
      </w:pPr>
      <w:bookmarkStart w:id="8" w:name="_Toc178465413"/>
      <w:r>
        <w:rPr>
          <w:rFonts w:hint="eastAsia" w:ascii="宋体" w:hAnsi="宋体" w:eastAsia="宋体"/>
          <w:b/>
          <w:color w:val="auto"/>
          <w:szCs w:val="21"/>
        </w:rPr>
        <w:t>（二）货物技术参数及要求</w:t>
      </w:r>
      <w:bookmarkEnd w:id="8"/>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113"/>
        <w:gridCol w:w="4371"/>
        <w:gridCol w:w="984"/>
        <w:gridCol w:w="691"/>
        <w:gridCol w:w="858"/>
        <w:gridCol w:w="706"/>
      </w:tblGrid>
      <w:tr w14:paraId="2105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34" w:type="dxa"/>
            <w:noWrap w:val="0"/>
            <w:vAlign w:val="center"/>
          </w:tcPr>
          <w:p w14:paraId="23EF45F6">
            <w:pPr>
              <w:spacing w:line="360" w:lineRule="auto"/>
              <w:jc w:val="center"/>
              <w:rPr>
                <w:rFonts w:hint="eastAsia" w:ascii="宋体" w:hAnsi="宋体" w:eastAsia="宋体" w:cs="宋体"/>
                <w:color w:val="auto"/>
                <w:sz w:val="21"/>
                <w:szCs w:val="21"/>
              </w:rPr>
            </w:pPr>
            <w:r>
              <w:rPr>
                <w:rFonts w:hint="eastAsia" w:ascii="宋体" w:hAnsi="宋体" w:eastAsia="宋体" w:cs="宋体"/>
                <w:b/>
                <w:bCs/>
                <w:color w:val="auto"/>
                <w:sz w:val="21"/>
                <w:szCs w:val="21"/>
                <w:highlight w:val="none"/>
              </w:rPr>
              <w:t>序号</w:t>
            </w:r>
          </w:p>
        </w:tc>
        <w:tc>
          <w:tcPr>
            <w:tcW w:w="1113" w:type="dxa"/>
            <w:noWrap w:val="0"/>
            <w:vAlign w:val="center"/>
          </w:tcPr>
          <w:p w14:paraId="0BB5573F">
            <w:pPr>
              <w:spacing w:line="360" w:lineRule="auto"/>
              <w:jc w:val="center"/>
              <w:rPr>
                <w:rFonts w:hint="eastAsia" w:ascii="宋体" w:hAnsi="宋体" w:eastAsia="宋体" w:cs="宋体"/>
                <w:color w:val="auto"/>
                <w:sz w:val="21"/>
                <w:szCs w:val="21"/>
              </w:rPr>
            </w:pPr>
            <w:r>
              <w:rPr>
                <w:rFonts w:hint="eastAsia" w:ascii="宋体" w:hAnsi="宋体" w:eastAsia="宋体" w:cs="宋体"/>
                <w:b/>
                <w:bCs/>
                <w:color w:val="auto"/>
                <w:sz w:val="21"/>
                <w:szCs w:val="21"/>
                <w:highlight w:val="none"/>
              </w:rPr>
              <w:t>货物名称</w:t>
            </w:r>
          </w:p>
        </w:tc>
        <w:tc>
          <w:tcPr>
            <w:tcW w:w="4371" w:type="dxa"/>
            <w:noWrap w:val="0"/>
            <w:vAlign w:val="center"/>
          </w:tcPr>
          <w:p w14:paraId="1734832C">
            <w:pPr>
              <w:spacing w:line="360" w:lineRule="auto"/>
              <w:jc w:val="center"/>
              <w:rPr>
                <w:rFonts w:hint="eastAsia" w:ascii="宋体" w:hAnsi="宋体" w:eastAsia="宋体" w:cs="宋体"/>
                <w:color w:val="auto"/>
                <w:sz w:val="21"/>
                <w:szCs w:val="21"/>
              </w:rPr>
            </w:pPr>
            <w:r>
              <w:rPr>
                <w:rFonts w:hint="eastAsia" w:ascii="宋体" w:hAnsi="宋体" w:eastAsia="宋体" w:cs="宋体"/>
                <w:b/>
                <w:bCs/>
                <w:color w:val="auto"/>
                <w:sz w:val="21"/>
                <w:szCs w:val="21"/>
                <w:highlight w:val="none"/>
              </w:rPr>
              <w:t>技术参数及要求</w:t>
            </w:r>
          </w:p>
        </w:tc>
        <w:tc>
          <w:tcPr>
            <w:tcW w:w="984" w:type="dxa"/>
            <w:noWrap w:val="0"/>
            <w:vAlign w:val="center"/>
          </w:tcPr>
          <w:p w14:paraId="7065349E">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015FB377">
            <w:pPr>
              <w:spacing w:line="360" w:lineRule="auto"/>
              <w:jc w:val="center"/>
              <w:rPr>
                <w:rFonts w:hint="eastAsia" w:ascii="宋体" w:hAnsi="宋体" w:eastAsia="宋体" w:cs="宋体"/>
                <w:color w:val="auto"/>
                <w:sz w:val="21"/>
                <w:szCs w:val="21"/>
              </w:rPr>
            </w:pPr>
            <w:r>
              <w:rPr>
                <w:rFonts w:hint="eastAsia" w:ascii="宋体" w:hAnsi="宋体" w:eastAsia="宋体" w:cs="宋体"/>
                <w:b/>
                <w:bCs/>
                <w:color w:val="auto"/>
                <w:sz w:val="21"/>
                <w:szCs w:val="21"/>
                <w:highlight w:val="none"/>
              </w:rPr>
              <w:t>（单位）</w:t>
            </w:r>
          </w:p>
        </w:tc>
        <w:tc>
          <w:tcPr>
            <w:tcW w:w="691" w:type="dxa"/>
            <w:noWrap w:val="0"/>
            <w:vAlign w:val="center"/>
          </w:tcPr>
          <w:p w14:paraId="6C5E35F1">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21EEBA94">
            <w:pPr>
              <w:spacing w:line="360" w:lineRule="auto"/>
              <w:jc w:val="center"/>
              <w:rPr>
                <w:rFonts w:hint="eastAsia" w:ascii="宋体" w:hAnsi="宋体" w:eastAsia="宋体" w:cs="宋体"/>
                <w:color w:val="auto"/>
                <w:sz w:val="21"/>
                <w:szCs w:val="21"/>
              </w:rPr>
            </w:pPr>
            <w:r>
              <w:rPr>
                <w:rFonts w:hint="eastAsia" w:ascii="宋体" w:hAnsi="宋体" w:eastAsia="宋体" w:cs="宋体"/>
                <w:b/>
                <w:bCs/>
                <w:color w:val="auto"/>
                <w:sz w:val="21"/>
                <w:szCs w:val="21"/>
                <w:highlight w:val="none"/>
              </w:rPr>
              <w:t>行业</w:t>
            </w:r>
          </w:p>
        </w:tc>
        <w:tc>
          <w:tcPr>
            <w:tcW w:w="858" w:type="dxa"/>
            <w:noWrap w:val="0"/>
            <w:vAlign w:val="center"/>
          </w:tcPr>
          <w:p w14:paraId="4AC68855">
            <w:pPr>
              <w:spacing w:line="360" w:lineRule="auto"/>
              <w:jc w:val="center"/>
              <w:rPr>
                <w:rFonts w:hint="eastAsia" w:ascii="宋体" w:hAnsi="宋体" w:eastAsia="宋体" w:cs="宋体"/>
                <w:color w:val="auto"/>
                <w:sz w:val="21"/>
                <w:szCs w:val="21"/>
              </w:rPr>
            </w:pPr>
            <w:r>
              <w:rPr>
                <w:rFonts w:hint="eastAsia" w:ascii="宋体" w:hAnsi="宋体" w:eastAsia="宋体" w:cs="宋体"/>
                <w:b/>
                <w:bCs/>
                <w:color w:val="auto"/>
                <w:sz w:val="21"/>
                <w:szCs w:val="21"/>
                <w:highlight w:val="none"/>
                <w:lang w:val="en-US" w:eastAsia="zh-CN"/>
              </w:rPr>
              <w:t>是否为核心产品</w:t>
            </w:r>
          </w:p>
        </w:tc>
        <w:tc>
          <w:tcPr>
            <w:tcW w:w="706" w:type="dxa"/>
            <w:noWrap w:val="0"/>
            <w:vAlign w:val="center"/>
          </w:tcPr>
          <w:p w14:paraId="1E32BE6F">
            <w:pPr>
              <w:spacing w:line="360" w:lineRule="auto"/>
              <w:jc w:val="center"/>
              <w:rPr>
                <w:rFonts w:hint="eastAsia" w:ascii="宋体" w:hAnsi="宋体" w:eastAsia="宋体" w:cs="宋体"/>
                <w:color w:val="auto"/>
                <w:sz w:val="21"/>
                <w:szCs w:val="21"/>
              </w:rPr>
            </w:pPr>
            <w:r>
              <w:rPr>
                <w:rFonts w:hint="eastAsia" w:ascii="宋体" w:hAnsi="宋体" w:eastAsia="宋体" w:cs="宋体"/>
                <w:b/>
                <w:bCs/>
                <w:color w:val="auto"/>
                <w:sz w:val="21"/>
                <w:szCs w:val="21"/>
                <w:highlight w:val="none"/>
              </w:rPr>
              <w:t>备注</w:t>
            </w:r>
          </w:p>
        </w:tc>
      </w:tr>
      <w:tr w14:paraId="0112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34" w:type="dxa"/>
            <w:noWrap w:val="0"/>
            <w:vAlign w:val="center"/>
          </w:tcPr>
          <w:p w14:paraId="770663D1">
            <w:pPr>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13" w:type="dxa"/>
            <w:noWrap w:val="0"/>
            <w:vAlign w:val="center"/>
          </w:tcPr>
          <w:p w14:paraId="3600DB46">
            <w:pPr>
              <w:widowControl/>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▲超高效液相串联质谱系统</w:t>
            </w:r>
          </w:p>
          <w:p w14:paraId="6CF51A2B">
            <w:pPr>
              <w:widowControl/>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（进口）</w:t>
            </w:r>
          </w:p>
        </w:tc>
        <w:tc>
          <w:tcPr>
            <w:tcW w:w="4371" w:type="dxa"/>
            <w:noWrap w:val="0"/>
            <w:vAlign w:val="top"/>
          </w:tcPr>
          <w:p w14:paraId="052C9E9F">
            <w:pPr>
              <w:spacing w:line="276" w:lineRule="auto"/>
              <w:jc w:val="left"/>
              <w:rPr>
                <w:rFonts w:ascii="宋体" w:hAnsi="宋体" w:eastAsia="宋体" w:cs="Times New Roman"/>
                <w:b/>
                <w:bCs/>
                <w:color w:val="auto"/>
                <w:kern w:val="0"/>
                <w:szCs w:val="21"/>
              </w:rPr>
            </w:pPr>
            <w:r>
              <w:rPr>
                <w:rFonts w:hint="eastAsia" w:ascii="宋体" w:hAnsi="宋体" w:eastAsia="宋体" w:cs="Times New Roman"/>
                <w:b/>
                <w:bCs/>
                <w:color w:val="auto"/>
                <w:kern w:val="0"/>
                <w:szCs w:val="21"/>
              </w:rPr>
              <w:t>一、技术要求</w:t>
            </w:r>
          </w:p>
          <w:p w14:paraId="3C332B49">
            <w:pPr>
              <w:spacing w:line="276" w:lineRule="auto"/>
              <w:jc w:val="left"/>
              <w:rPr>
                <w:rFonts w:ascii="宋体" w:hAnsi="宋体" w:eastAsia="宋体" w:cs="Times New Roman"/>
                <w:b/>
                <w:bCs/>
                <w:color w:val="auto"/>
                <w:kern w:val="0"/>
                <w:szCs w:val="21"/>
              </w:rPr>
            </w:pPr>
            <w:r>
              <w:rPr>
                <w:rFonts w:hint="eastAsia" w:ascii="宋体" w:hAnsi="宋体" w:eastAsia="宋体" w:cs="Times New Roman"/>
                <w:b/>
                <w:bCs/>
                <w:color w:val="auto"/>
                <w:kern w:val="0"/>
                <w:szCs w:val="21"/>
              </w:rPr>
              <w:t>1.主要功能（用途）</w:t>
            </w:r>
            <w:r>
              <w:rPr>
                <w:rFonts w:hint="eastAsia" w:ascii="宋体" w:hAnsi="宋体" w:eastAsia="宋体" w:cs="Times New Roman"/>
                <w:color w:val="auto"/>
                <w:kern w:val="0"/>
                <w:szCs w:val="21"/>
              </w:rPr>
              <w:t>：</w:t>
            </w:r>
            <w:r>
              <w:rPr>
                <w:rFonts w:hint="eastAsia" w:ascii="宋体" w:hAnsi="宋体" w:eastAsia="宋体" w:cs="Arial Unicode MS"/>
                <w:color w:val="auto"/>
                <w:szCs w:val="21"/>
              </w:rPr>
              <w:t>用于天然产物、植物激素、脂质组学、代谢组学中组分的定量研究</w:t>
            </w:r>
            <w:r>
              <w:rPr>
                <w:rFonts w:hint="eastAsia" w:ascii="宋体" w:hAnsi="宋体" w:eastAsia="宋体" w:cs="Times New Roman"/>
                <w:color w:val="auto"/>
                <w:kern w:val="0"/>
                <w:szCs w:val="21"/>
              </w:rPr>
              <w:t>。</w:t>
            </w:r>
          </w:p>
          <w:p w14:paraId="307362EE">
            <w:pPr>
              <w:spacing w:line="276" w:lineRule="auto"/>
              <w:jc w:val="left"/>
              <w:rPr>
                <w:rFonts w:ascii="宋体" w:hAnsi="宋体" w:eastAsia="宋体" w:cs="Times New Roman"/>
                <w:b/>
                <w:bCs/>
                <w:color w:val="auto"/>
                <w:kern w:val="0"/>
                <w:szCs w:val="21"/>
              </w:rPr>
            </w:pPr>
            <w:r>
              <w:rPr>
                <w:rFonts w:hint="eastAsia" w:ascii="宋体" w:hAnsi="宋体" w:eastAsia="宋体" w:cs="Times New Roman"/>
                <w:b/>
                <w:bCs/>
                <w:color w:val="auto"/>
                <w:kern w:val="0"/>
                <w:szCs w:val="21"/>
              </w:rPr>
              <w:t>2.设备组成：</w:t>
            </w:r>
          </w:p>
          <w:p w14:paraId="1EE2AB03">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2.1</w:t>
            </w:r>
            <w:r>
              <w:rPr>
                <w:rFonts w:ascii="宋体" w:hAnsi="宋体" w:eastAsia="宋体" w:cs="Times New Roman"/>
                <w:color w:val="auto"/>
                <w:kern w:val="0"/>
                <w:szCs w:val="21"/>
              </w:rPr>
              <w:t>超高效液相色谱：</w:t>
            </w:r>
            <w:r>
              <w:rPr>
                <w:rFonts w:hint="eastAsia" w:ascii="宋体" w:hAnsi="宋体" w:eastAsia="宋体" w:cs="Times New Roman"/>
                <w:color w:val="auto"/>
                <w:kern w:val="0"/>
                <w:szCs w:val="21"/>
              </w:rPr>
              <w:t>1套；</w:t>
            </w:r>
          </w:p>
          <w:p w14:paraId="3F53B3AB">
            <w:pPr>
              <w:spacing w:line="276" w:lineRule="auto"/>
              <w:jc w:val="left"/>
              <w:rPr>
                <w:rFonts w:ascii="宋体" w:hAnsi="宋体" w:eastAsia="宋体" w:cs="Times New Roman"/>
                <w:bCs/>
                <w:color w:val="auto"/>
                <w:kern w:val="0"/>
                <w:szCs w:val="21"/>
              </w:rPr>
            </w:pPr>
            <w:r>
              <w:rPr>
                <w:rFonts w:hint="eastAsia" w:ascii="宋体" w:hAnsi="宋体" w:eastAsia="宋体" w:cs="Times New Roman"/>
                <w:color w:val="auto"/>
                <w:kern w:val="0"/>
                <w:szCs w:val="21"/>
              </w:rPr>
              <w:t>2.2三重四极杆</w:t>
            </w:r>
            <w:r>
              <w:rPr>
                <w:rFonts w:ascii="宋体" w:hAnsi="宋体" w:eastAsia="宋体" w:cs="Times New Roman"/>
                <w:color w:val="auto"/>
                <w:kern w:val="0"/>
                <w:szCs w:val="21"/>
              </w:rPr>
              <w:t>质谱联用仪</w:t>
            </w:r>
            <w:r>
              <w:rPr>
                <w:rFonts w:hint="eastAsia" w:ascii="宋体" w:hAnsi="宋体" w:eastAsia="宋体" w:cs="Times New Roman"/>
                <w:color w:val="auto"/>
                <w:kern w:val="0"/>
                <w:szCs w:val="21"/>
              </w:rPr>
              <w:t>：1套；</w:t>
            </w:r>
          </w:p>
          <w:p w14:paraId="2B55AD0C">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2.3高纯氮碰撞反应气瓶（带固定架）：1套；</w:t>
            </w:r>
          </w:p>
          <w:p w14:paraId="44F9B826">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2.4超高效色谱柱</w:t>
            </w:r>
            <w:r>
              <w:rPr>
                <w:rFonts w:ascii="宋体" w:hAnsi="宋体" w:eastAsia="宋体" w:cs="Times New Roman"/>
                <w:color w:val="auto"/>
                <w:kern w:val="0"/>
                <w:szCs w:val="21"/>
              </w:rPr>
              <w:t>4</w:t>
            </w:r>
            <w:r>
              <w:rPr>
                <w:rFonts w:hint="eastAsia" w:ascii="宋体" w:hAnsi="宋体" w:eastAsia="宋体" w:cs="Times New Roman"/>
                <w:color w:val="auto"/>
                <w:kern w:val="0"/>
                <w:szCs w:val="21"/>
              </w:rPr>
              <w:t>根（含一根手性柱）；保护柱5套；PEEK管线1.5米；不锈钢管线和柱接头一套；过滤白头5包；溶剂瓶4个；在线过滤器1套；样品瓶</w:t>
            </w:r>
            <w:r>
              <w:rPr>
                <w:rFonts w:ascii="宋体" w:hAnsi="宋体" w:eastAsia="宋体" w:cs="Times New Roman"/>
                <w:color w:val="auto"/>
                <w:kern w:val="0"/>
                <w:szCs w:val="21"/>
              </w:rPr>
              <w:t>10</w:t>
            </w:r>
            <w:r>
              <w:rPr>
                <w:rFonts w:hint="eastAsia" w:ascii="宋体" w:hAnsi="宋体" w:eastAsia="宋体" w:cs="Times New Roman"/>
                <w:color w:val="auto"/>
                <w:kern w:val="0"/>
                <w:szCs w:val="21"/>
              </w:rPr>
              <w:t>00个；全套仪器维修工具一套；</w:t>
            </w:r>
          </w:p>
          <w:p w14:paraId="3C3014FA">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2.5</w:t>
            </w:r>
            <w:r>
              <w:rPr>
                <w:rFonts w:hint="eastAsia" w:ascii="宋体" w:hAnsi="宋体" w:eastAsia="宋体" w:cs="Times New Roman"/>
                <w:color w:val="auto"/>
                <w:kern w:val="0"/>
                <w:szCs w:val="21"/>
                <w:lang w:val="en-US" w:eastAsia="zh-CN"/>
              </w:rPr>
              <w:t xml:space="preserve"> </w:t>
            </w:r>
            <w:r>
              <w:rPr>
                <w:rFonts w:ascii="宋体" w:hAnsi="宋体" w:eastAsia="宋体" w:cs="Times New Roman"/>
                <w:color w:val="auto"/>
                <w:kern w:val="0"/>
                <w:szCs w:val="21"/>
              </w:rPr>
              <w:t>6</w:t>
            </w:r>
            <w:r>
              <w:rPr>
                <w:rFonts w:hint="eastAsia" w:ascii="宋体" w:hAnsi="宋体" w:eastAsia="宋体" w:cs="Times New Roman"/>
                <w:color w:val="auto"/>
                <w:kern w:val="0"/>
                <w:szCs w:val="21"/>
              </w:rPr>
              <w:t>kVA 1小时UPS电源:1台；</w:t>
            </w:r>
          </w:p>
          <w:p w14:paraId="3D4805D3">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2.6</w:t>
            </w:r>
            <w:r>
              <w:rPr>
                <w:rFonts w:hint="eastAsia" w:ascii="宋体" w:hAnsi="宋体" w:eastAsia="宋体" w:cs="Times New Roman"/>
                <w:color w:val="auto"/>
                <w:kern w:val="0"/>
                <w:szCs w:val="21"/>
                <w:lang w:val="en-US" w:eastAsia="zh-CN"/>
              </w:rPr>
              <w:t xml:space="preserve"> </w:t>
            </w:r>
            <w:r>
              <w:rPr>
                <w:rFonts w:hint="eastAsia" w:ascii="宋体" w:hAnsi="宋体" w:eastAsia="宋体" w:cs="Times New Roman"/>
                <w:color w:val="auto"/>
                <w:kern w:val="0"/>
                <w:szCs w:val="21"/>
              </w:rPr>
              <w:t>42L/min以上氮气发生器:1台；</w:t>
            </w:r>
          </w:p>
          <w:p w14:paraId="4619F938">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2.7配套</w:t>
            </w:r>
            <w:r>
              <w:rPr>
                <w:rFonts w:ascii="宋体" w:hAnsi="宋体" w:eastAsia="宋体" w:cs="Times New Roman"/>
                <w:color w:val="auto"/>
                <w:kern w:val="0"/>
                <w:szCs w:val="21"/>
              </w:rPr>
              <w:t>工作站</w:t>
            </w:r>
            <w:r>
              <w:rPr>
                <w:rFonts w:hint="eastAsia" w:ascii="宋体" w:hAnsi="宋体" w:eastAsia="宋体" w:cs="Times New Roman"/>
                <w:color w:val="auto"/>
                <w:kern w:val="0"/>
                <w:szCs w:val="21"/>
              </w:rPr>
              <w:t>：1套；</w:t>
            </w:r>
          </w:p>
          <w:p w14:paraId="0092B365">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2</w:t>
            </w:r>
            <w:r>
              <w:rPr>
                <w:rFonts w:ascii="宋体" w:hAnsi="宋体" w:eastAsia="宋体" w:cs="Times New Roman"/>
                <w:color w:val="auto"/>
                <w:kern w:val="0"/>
                <w:szCs w:val="21"/>
              </w:rPr>
              <w:t>.8</w:t>
            </w:r>
            <w:r>
              <w:rPr>
                <w:rFonts w:hint="eastAsia" w:ascii="宋体" w:hAnsi="宋体" w:eastAsia="宋体" w:cs="Times New Roman"/>
                <w:color w:val="auto"/>
                <w:kern w:val="0"/>
                <w:szCs w:val="21"/>
              </w:rPr>
              <w:t>多功能打印一体机：1台；</w:t>
            </w:r>
          </w:p>
          <w:p w14:paraId="676708A4">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2</w:t>
            </w:r>
            <w:r>
              <w:rPr>
                <w:rFonts w:ascii="宋体" w:hAnsi="宋体" w:eastAsia="宋体" w:cs="Times New Roman"/>
                <w:color w:val="auto"/>
                <w:kern w:val="0"/>
                <w:szCs w:val="21"/>
              </w:rPr>
              <w:t>.9</w:t>
            </w:r>
            <w:r>
              <w:rPr>
                <w:rFonts w:hint="eastAsia" w:ascii="宋体" w:hAnsi="宋体" w:eastAsia="宋体" w:cs="Times New Roman"/>
                <w:color w:val="auto"/>
                <w:kern w:val="0"/>
                <w:szCs w:val="21"/>
              </w:rPr>
              <w:t>设备监控保护仪：1套；</w:t>
            </w:r>
          </w:p>
          <w:p w14:paraId="594FD6B8">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2</w:t>
            </w:r>
            <w:r>
              <w:rPr>
                <w:rFonts w:ascii="宋体" w:hAnsi="宋体" w:eastAsia="宋体" w:cs="Times New Roman"/>
                <w:color w:val="auto"/>
                <w:kern w:val="0"/>
                <w:szCs w:val="21"/>
              </w:rPr>
              <w:t>.10</w:t>
            </w:r>
            <w:r>
              <w:rPr>
                <w:rFonts w:hint="eastAsia" w:ascii="宋体" w:hAnsi="宋体" w:eastAsia="宋体" w:cs="Times New Roman"/>
                <w:color w:val="auto"/>
                <w:kern w:val="0"/>
                <w:szCs w:val="21"/>
              </w:rPr>
              <w:t>配套实验用椅：1把；</w:t>
            </w:r>
          </w:p>
          <w:p w14:paraId="6A122207">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2.11人字梯：1把。</w:t>
            </w:r>
          </w:p>
          <w:p w14:paraId="319B7B91">
            <w:pPr>
              <w:spacing w:line="276" w:lineRule="auto"/>
              <w:jc w:val="left"/>
              <w:rPr>
                <w:rFonts w:ascii="宋体" w:hAnsi="宋体" w:eastAsia="宋体" w:cs="Times New Roman"/>
                <w:color w:val="auto"/>
                <w:kern w:val="0"/>
                <w:szCs w:val="21"/>
              </w:rPr>
            </w:pPr>
            <w:r>
              <w:rPr>
                <w:rFonts w:hint="eastAsia" w:ascii="宋体" w:hAnsi="宋体" w:eastAsia="宋体" w:cs="Times New Roman"/>
                <w:b/>
                <w:bCs/>
                <w:color w:val="auto"/>
                <w:kern w:val="0"/>
                <w:szCs w:val="21"/>
              </w:rPr>
              <w:t>3.性能（技术参数）</w:t>
            </w:r>
            <w:r>
              <w:rPr>
                <w:rFonts w:hint="eastAsia" w:ascii="宋体" w:hAnsi="宋体" w:eastAsia="宋体" w:cs="Times New Roman"/>
                <w:color w:val="auto"/>
                <w:kern w:val="0"/>
                <w:szCs w:val="21"/>
              </w:rPr>
              <w:t>：</w:t>
            </w:r>
          </w:p>
          <w:p w14:paraId="353D6A89">
            <w:pPr>
              <w:spacing w:line="276" w:lineRule="auto"/>
              <w:jc w:val="left"/>
              <w:rPr>
                <w:rFonts w:ascii="宋体" w:hAnsi="宋体" w:eastAsia="宋体" w:cs="Times New Roman"/>
                <w:bCs/>
                <w:color w:val="auto"/>
                <w:kern w:val="0"/>
                <w:szCs w:val="21"/>
              </w:rPr>
            </w:pPr>
            <w:r>
              <w:rPr>
                <w:rFonts w:hint="eastAsia" w:ascii="宋体" w:hAnsi="宋体" w:eastAsia="宋体" w:cs="Times New Roman"/>
                <w:bCs/>
                <w:color w:val="auto"/>
                <w:kern w:val="0"/>
                <w:szCs w:val="21"/>
              </w:rPr>
              <w:t>3.1超高效液相色谱系统：</w:t>
            </w:r>
          </w:p>
          <w:p w14:paraId="02299049">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★3.1.1超高压二元梯度泵</w:t>
            </w:r>
          </w:p>
          <w:p w14:paraId="53B438CB">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3.1.1.1流量范围：0.001 mL/min至5.0mL/min，递增率0.001 mL/min；</w:t>
            </w:r>
          </w:p>
          <w:p w14:paraId="4B8828C1">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★3.1.1.2压力范围：耐压≥</w:t>
            </w:r>
            <w:r>
              <w:rPr>
                <w:rFonts w:ascii="宋体" w:hAnsi="宋体" w:eastAsia="宋体" w:cs="Times New Roman"/>
                <w:color w:val="auto"/>
                <w:kern w:val="0"/>
                <w:szCs w:val="21"/>
              </w:rPr>
              <w:t>15000Psi</w:t>
            </w:r>
            <w:r>
              <w:rPr>
                <w:rFonts w:hint="eastAsia" w:ascii="宋体" w:hAnsi="宋体" w:eastAsia="宋体" w:cs="Times New Roman"/>
                <w:color w:val="auto"/>
                <w:kern w:val="0"/>
                <w:szCs w:val="21"/>
              </w:rPr>
              <w:t>；</w:t>
            </w:r>
          </w:p>
          <w:p w14:paraId="09E126AF">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3.1.2柱温箱：</w:t>
            </w:r>
          </w:p>
          <w:p w14:paraId="3C5AF9F9">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3.1.2.1控温范围：具有降温功能，</w:t>
            </w:r>
            <w:r>
              <w:rPr>
                <w:rFonts w:ascii="宋体" w:hAnsi="宋体" w:eastAsia="宋体" w:cs="Times New Roman"/>
                <w:color w:val="auto"/>
                <w:kern w:val="0"/>
                <w:szCs w:val="21"/>
              </w:rPr>
              <w:t>4</w:t>
            </w:r>
            <w:r>
              <w:rPr>
                <w:rFonts w:hint="eastAsia" w:ascii="宋体" w:hAnsi="宋体" w:eastAsia="宋体" w:cs="Times New Roman"/>
                <w:color w:val="auto"/>
                <w:kern w:val="0"/>
                <w:szCs w:val="21"/>
              </w:rPr>
              <w:t>至</w:t>
            </w:r>
            <w:r>
              <w:rPr>
                <w:rFonts w:ascii="宋体" w:hAnsi="宋体" w:eastAsia="宋体" w:cs="Times New Roman"/>
                <w:color w:val="auto"/>
                <w:kern w:val="0"/>
                <w:szCs w:val="21"/>
              </w:rPr>
              <w:t>50</w:t>
            </w:r>
            <w:r>
              <w:rPr>
                <w:rFonts w:hint="eastAsia" w:ascii="宋体" w:hAnsi="宋体" w:eastAsia="宋体" w:cs="Times New Roman"/>
                <w:color w:val="auto"/>
                <w:kern w:val="0"/>
                <w:szCs w:val="21"/>
              </w:rPr>
              <w:t>℃；</w:t>
            </w:r>
          </w:p>
          <w:p w14:paraId="18741B63">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3.1.2.</w:t>
            </w:r>
            <w:r>
              <w:rPr>
                <w:rFonts w:ascii="宋体" w:hAnsi="宋体" w:eastAsia="宋体" w:cs="Times New Roman"/>
                <w:color w:val="auto"/>
                <w:kern w:val="0"/>
                <w:szCs w:val="21"/>
              </w:rPr>
              <w:t>2</w:t>
            </w:r>
            <w:r>
              <w:rPr>
                <w:rFonts w:hint="eastAsia" w:ascii="宋体" w:hAnsi="宋体" w:eastAsia="宋体" w:cs="Times New Roman"/>
                <w:color w:val="auto"/>
                <w:kern w:val="0"/>
                <w:szCs w:val="21"/>
              </w:rPr>
              <w:t>柱容量：最多可同时放置10cm柱</w:t>
            </w:r>
            <w:r>
              <w:rPr>
                <w:rFonts w:ascii="宋体" w:hAnsi="宋体" w:eastAsia="宋体" w:cs="Times New Roman"/>
                <w:color w:val="auto"/>
                <w:kern w:val="0"/>
                <w:szCs w:val="21"/>
              </w:rPr>
              <w:t>5</w:t>
            </w:r>
            <w:r>
              <w:rPr>
                <w:rFonts w:hint="eastAsia" w:ascii="宋体" w:hAnsi="宋体" w:eastAsia="宋体" w:cs="Times New Roman"/>
                <w:color w:val="auto"/>
                <w:kern w:val="0"/>
                <w:szCs w:val="21"/>
              </w:rPr>
              <w:t>根或</w:t>
            </w:r>
            <w:r>
              <w:rPr>
                <w:rFonts w:ascii="宋体" w:hAnsi="宋体" w:eastAsia="宋体" w:cs="Times New Roman"/>
                <w:color w:val="auto"/>
                <w:kern w:val="0"/>
                <w:szCs w:val="21"/>
              </w:rPr>
              <w:t>15</w:t>
            </w:r>
            <w:r>
              <w:rPr>
                <w:rFonts w:hint="eastAsia" w:ascii="宋体" w:hAnsi="宋体" w:eastAsia="宋体" w:cs="Times New Roman"/>
                <w:color w:val="auto"/>
                <w:kern w:val="0"/>
                <w:szCs w:val="21"/>
              </w:rPr>
              <w:t>cm柱</w:t>
            </w:r>
            <w:r>
              <w:rPr>
                <w:rFonts w:ascii="宋体" w:hAnsi="宋体" w:eastAsia="宋体" w:cs="Times New Roman"/>
                <w:color w:val="auto"/>
                <w:kern w:val="0"/>
                <w:szCs w:val="21"/>
              </w:rPr>
              <w:t>1</w:t>
            </w:r>
            <w:r>
              <w:rPr>
                <w:rFonts w:hint="eastAsia" w:ascii="宋体" w:hAnsi="宋体" w:eastAsia="宋体" w:cs="Times New Roman"/>
                <w:color w:val="auto"/>
                <w:kern w:val="0"/>
                <w:szCs w:val="21"/>
              </w:rPr>
              <w:t>根；</w:t>
            </w:r>
          </w:p>
          <w:p w14:paraId="6D561AD5">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3.1.3自动进样器：</w:t>
            </w:r>
          </w:p>
          <w:p w14:paraId="4EACCF52">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3.1.3.1进样体积：最大进样体积≥</w:t>
            </w:r>
            <w:r>
              <w:rPr>
                <w:rFonts w:ascii="宋体" w:hAnsi="宋体" w:eastAsia="宋体" w:cs="Times New Roman"/>
                <w:color w:val="auto"/>
                <w:kern w:val="0"/>
                <w:szCs w:val="21"/>
              </w:rPr>
              <w:t>10</w:t>
            </w:r>
            <w:r>
              <w:rPr>
                <w:rFonts w:hint="eastAsia" w:ascii="宋体" w:hAnsi="宋体" w:eastAsia="宋体" w:cs="Times New Roman"/>
                <w:color w:val="auto"/>
                <w:kern w:val="0"/>
                <w:szCs w:val="21"/>
              </w:rPr>
              <w:t>μL, 增量为0.1μL；</w:t>
            </w:r>
          </w:p>
          <w:p w14:paraId="214209D0">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3.1.3.</w:t>
            </w:r>
            <w:r>
              <w:rPr>
                <w:rFonts w:ascii="宋体" w:hAnsi="宋体" w:eastAsia="宋体" w:cs="Times New Roman"/>
                <w:color w:val="auto"/>
                <w:kern w:val="0"/>
                <w:szCs w:val="21"/>
              </w:rPr>
              <w:t>2</w:t>
            </w:r>
            <w:r>
              <w:rPr>
                <w:rFonts w:hint="eastAsia" w:ascii="宋体" w:hAnsi="宋体" w:eastAsia="宋体" w:cs="Times New Roman"/>
                <w:color w:val="auto"/>
                <w:kern w:val="0"/>
                <w:szCs w:val="21"/>
              </w:rPr>
              <w:t>最大操作压力：≥</w:t>
            </w:r>
            <w:r>
              <w:rPr>
                <w:rFonts w:ascii="宋体" w:hAnsi="宋体" w:eastAsia="宋体" w:cs="Times New Roman"/>
                <w:color w:val="auto"/>
                <w:kern w:val="0"/>
                <w:szCs w:val="21"/>
              </w:rPr>
              <w:t>15000Psi</w:t>
            </w:r>
            <w:r>
              <w:rPr>
                <w:rFonts w:hint="eastAsia" w:ascii="宋体" w:hAnsi="宋体" w:eastAsia="宋体" w:cs="Times New Roman"/>
                <w:color w:val="auto"/>
                <w:kern w:val="0"/>
                <w:szCs w:val="21"/>
              </w:rPr>
              <w:t>；</w:t>
            </w:r>
          </w:p>
          <w:p w14:paraId="5FEDF313">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3.1.3.</w:t>
            </w:r>
            <w:r>
              <w:rPr>
                <w:rFonts w:ascii="宋体" w:hAnsi="宋体" w:eastAsia="宋体" w:cs="Times New Roman"/>
                <w:color w:val="auto"/>
                <w:kern w:val="0"/>
                <w:szCs w:val="21"/>
              </w:rPr>
              <w:t>3</w:t>
            </w:r>
            <w:r>
              <w:rPr>
                <w:rFonts w:hint="eastAsia" w:ascii="宋体" w:hAnsi="宋体" w:eastAsia="宋体" w:cs="Times New Roman"/>
                <w:color w:val="auto"/>
                <w:kern w:val="0"/>
                <w:szCs w:val="21"/>
              </w:rPr>
              <w:t>样品位数：＞1</w:t>
            </w:r>
            <w:r>
              <w:rPr>
                <w:rFonts w:ascii="宋体" w:hAnsi="宋体" w:eastAsia="宋体" w:cs="Times New Roman"/>
                <w:color w:val="auto"/>
                <w:kern w:val="0"/>
                <w:szCs w:val="21"/>
              </w:rPr>
              <w:t>0</w:t>
            </w:r>
            <w:r>
              <w:rPr>
                <w:rFonts w:hint="eastAsia" w:ascii="宋体" w:hAnsi="宋体" w:eastAsia="宋体" w:cs="Times New Roman"/>
                <w:color w:val="auto"/>
                <w:kern w:val="0"/>
                <w:szCs w:val="21"/>
              </w:rPr>
              <w:t>0位</w:t>
            </w:r>
            <w:r>
              <w:rPr>
                <w:rFonts w:ascii="宋体" w:hAnsi="宋体" w:eastAsia="宋体" w:cs="Times New Roman"/>
                <w:color w:val="auto"/>
                <w:kern w:val="0"/>
                <w:szCs w:val="21"/>
              </w:rPr>
              <w:t xml:space="preserve">1.5 </w:t>
            </w:r>
            <w:r>
              <w:rPr>
                <w:rFonts w:hint="eastAsia" w:ascii="宋体" w:hAnsi="宋体" w:eastAsia="宋体" w:cs="Times New Roman"/>
                <w:color w:val="auto"/>
                <w:kern w:val="0"/>
                <w:szCs w:val="21"/>
              </w:rPr>
              <w:t>ml标准样品瓶位；</w:t>
            </w:r>
          </w:p>
          <w:p w14:paraId="4D3C49CB">
            <w:pPr>
              <w:spacing w:line="276" w:lineRule="auto"/>
              <w:jc w:val="left"/>
              <w:rPr>
                <w:rFonts w:ascii="宋体" w:hAnsi="宋体" w:eastAsia="宋体" w:cs="Times New Roman"/>
                <w:color w:val="auto"/>
                <w:kern w:val="0"/>
                <w:szCs w:val="21"/>
              </w:rPr>
            </w:pPr>
            <w:r>
              <w:rPr>
                <w:rFonts w:ascii="宋体" w:hAnsi="宋体" w:eastAsia="宋体" w:cs="Times New Roman"/>
                <w:color w:val="auto"/>
                <w:kern w:val="0"/>
                <w:szCs w:val="21"/>
              </w:rPr>
              <w:t>3.1.4</w:t>
            </w:r>
            <w:r>
              <w:rPr>
                <w:rFonts w:hint="eastAsia" w:ascii="宋体" w:hAnsi="宋体" w:eastAsia="宋体" w:cs="Times New Roman"/>
                <w:color w:val="auto"/>
                <w:kern w:val="0"/>
                <w:szCs w:val="21"/>
              </w:rPr>
              <w:t>二极管</w:t>
            </w:r>
            <w:r>
              <w:rPr>
                <w:rFonts w:hint="eastAsia" w:ascii="宋体" w:hAnsi="宋体" w:eastAsia="宋体" w:cs="Times New Roman"/>
                <w:color w:val="auto"/>
                <w:kern w:val="0"/>
                <w:szCs w:val="21"/>
                <w:lang w:val="en-US" w:eastAsia="zh-CN"/>
              </w:rPr>
              <w:t>阵列</w:t>
            </w:r>
            <w:r>
              <w:rPr>
                <w:rFonts w:hint="eastAsia" w:ascii="宋体" w:hAnsi="宋体" w:eastAsia="宋体" w:cs="Times New Roman"/>
                <w:color w:val="auto"/>
                <w:kern w:val="0"/>
                <w:szCs w:val="21"/>
              </w:rPr>
              <w:t>检测器：</w:t>
            </w:r>
          </w:p>
          <w:p w14:paraId="2C6819DE">
            <w:pPr>
              <w:spacing w:line="276" w:lineRule="auto"/>
              <w:jc w:val="left"/>
              <w:rPr>
                <w:rFonts w:ascii="宋体" w:hAnsi="宋体" w:eastAsia="宋体" w:cs="Times New Roman"/>
                <w:color w:val="auto"/>
                <w:kern w:val="0"/>
                <w:szCs w:val="21"/>
              </w:rPr>
            </w:pPr>
            <w:r>
              <w:rPr>
                <w:rFonts w:ascii="宋体" w:hAnsi="宋体" w:eastAsia="宋体" w:cs="Times New Roman"/>
                <w:color w:val="auto"/>
                <w:kern w:val="0"/>
                <w:szCs w:val="21"/>
              </w:rPr>
              <w:t>3.1.4.1波长范围: 190-800nm</w:t>
            </w:r>
            <w:r>
              <w:rPr>
                <w:rFonts w:hint="eastAsia" w:ascii="宋体" w:hAnsi="宋体" w:eastAsia="宋体" w:cs="Times New Roman"/>
                <w:color w:val="auto"/>
                <w:kern w:val="0"/>
                <w:szCs w:val="21"/>
              </w:rPr>
              <w:t>；</w:t>
            </w:r>
          </w:p>
          <w:p w14:paraId="079B0D03">
            <w:pPr>
              <w:spacing w:line="276" w:lineRule="auto"/>
              <w:jc w:val="left"/>
              <w:rPr>
                <w:rFonts w:hint="eastAsia" w:ascii="宋体" w:hAnsi="宋体" w:eastAsia="宋体" w:cs="Times New Roman"/>
                <w:color w:val="auto"/>
                <w:kern w:val="0"/>
                <w:szCs w:val="21"/>
                <w:lang w:eastAsia="zh-CN"/>
              </w:rPr>
            </w:pPr>
            <w:r>
              <w:rPr>
                <w:rFonts w:ascii="宋体" w:hAnsi="宋体" w:eastAsia="宋体" w:cs="Times New Roman"/>
                <w:color w:val="auto"/>
                <w:kern w:val="0"/>
                <w:szCs w:val="21"/>
              </w:rPr>
              <w:t>3.1.4.2</w:t>
            </w:r>
            <w:r>
              <w:rPr>
                <w:rFonts w:hint="eastAsia" w:ascii="宋体" w:hAnsi="宋体" w:eastAsia="宋体" w:cs="Times New Roman"/>
                <w:color w:val="auto"/>
                <w:kern w:val="0"/>
                <w:szCs w:val="21"/>
              </w:rPr>
              <w:t>光源：氘灯</w:t>
            </w:r>
            <w:r>
              <w:rPr>
                <w:rFonts w:hint="eastAsia" w:ascii="宋体" w:hAnsi="宋体" w:eastAsia="宋体" w:cs="Times New Roman"/>
                <w:color w:val="auto"/>
                <w:kern w:val="0"/>
                <w:szCs w:val="21"/>
                <w:lang w:eastAsia="zh-CN"/>
              </w:rPr>
              <w:t>；</w:t>
            </w:r>
          </w:p>
          <w:p w14:paraId="270256FD">
            <w:pPr>
              <w:spacing w:line="276" w:lineRule="auto"/>
              <w:jc w:val="left"/>
              <w:rPr>
                <w:rFonts w:ascii="宋体" w:hAnsi="宋体" w:eastAsia="宋体" w:cs="Times New Roman"/>
                <w:bCs/>
                <w:color w:val="auto"/>
                <w:kern w:val="0"/>
                <w:szCs w:val="21"/>
              </w:rPr>
            </w:pPr>
            <w:r>
              <w:rPr>
                <w:rFonts w:hint="eastAsia" w:ascii="宋体" w:hAnsi="宋体" w:eastAsia="宋体" w:cs="Times New Roman"/>
                <w:bCs/>
                <w:color w:val="auto"/>
                <w:kern w:val="0"/>
                <w:szCs w:val="21"/>
              </w:rPr>
              <w:t>3.2 三重四极杆串联质谱仪：</w:t>
            </w:r>
          </w:p>
          <w:p w14:paraId="04983EBC">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★3.2.1离子源：同时提供ESI源和大气压化学源(APCI)或多功能离子源；</w:t>
            </w:r>
          </w:p>
          <w:p w14:paraId="579E3F2E">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★3.2.2四极杆质量分析器：双曲面（或圆柱形）四极杆</w:t>
            </w:r>
            <w:r>
              <w:rPr>
                <w:rFonts w:hint="eastAsia" w:ascii="宋体" w:hAnsi="宋体" w:eastAsia="宋体" w:cs="Times New Roman"/>
                <w:b/>
                <w:color w:val="auto"/>
                <w:kern w:val="0"/>
                <w:szCs w:val="21"/>
              </w:rPr>
              <w:t>（</w:t>
            </w:r>
            <w:r>
              <w:rPr>
                <w:rFonts w:hint="eastAsia" w:ascii="宋体" w:hAnsi="宋体" w:eastAsia="宋体" w:cs="Times New Roman"/>
                <w:b/>
                <w:bCs/>
                <w:color w:val="auto"/>
                <w:kern w:val="0"/>
                <w:szCs w:val="21"/>
              </w:rPr>
              <w:t>投标文件中提供</w:t>
            </w:r>
            <w:r>
              <w:rPr>
                <w:rFonts w:hint="eastAsia" w:ascii="宋体" w:hAnsi="宋体" w:eastAsia="宋体" w:cs="Times New Roman"/>
                <w:b/>
                <w:color w:val="auto"/>
                <w:kern w:val="0"/>
                <w:szCs w:val="21"/>
              </w:rPr>
              <w:t>产品彩页或官网截图证明）</w:t>
            </w:r>
            <w:r>
              <w:rPr>
                <w:rFonts w:ascii="宋体" w:hAnsi="宋体" w:eastAsia="宋体" w:cs="Times New Roman"/>
                <w:color w:val="auto"/>
                <w:kern w:val="0"/>
                <w:szCs w:val="21"/>
              </w:rPr>
              <w:t>；</w:t>
            </w:r>
          </w:p>
          <w:p w14:paraId="712E7FBD">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3.2.3碰撞反应池：采用90度或直线型设计；</w:t>
            </w:r>
          </w:p>
          <w:p w14:paraId="1B316484">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3.2.4气体要求：高纯氮气或氩气；</w:t>
            </w:r>
          </w:p>
          <w:p w14:paraId="727561F7">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3.2.5检测器系统：采用电子或光电倍增器，来保证正负模式响应；</w:t>
            </w:r>
          </w:p>
          <w:p w14:paraId="3732F5CF">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3.2.6真空系统：具有自动断电保护功能；</w:t>
            </w:r>
          </w:p>
          <w:p w14:paraId="16708C84">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3.2.7扫描方式: 全扫描、子离子扫描、母离子扫描、中性丢失扫描、MRM（用于定量分析）、选择性离子监测等；</w:t>
            </w:r>
          </w:p>
          <w:p w14:paraId="6FE8A78C">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3.2.8检测性能：</w:t>
            </w:r>
          </w:p>
          <w:p w14:paraId="03B417C2">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★3.2.8.1质量范围：母离子单电荷质量范围不低于2</w:t>
            </w:r>
            <w:r>
              <w:rPr>
                <w:rFonts w:ascii="宋体" w:hAnsi="宋体" w:eastAsia="宋体" w:cs="Times New Roman"/>
                <w:color w:val="auto"/>
                <w:kern w:val="0"/>
                <w:szCs w:val="21"/>
              </w:rPr>
              <w:t>000</w:t>
            </w:r>
            <w:r>
              <w:rPr>
                <w:rFonts w:hint="eastAsia" w:ascii="宋体" w:hAnsi="宋体" w:eastAsia="宋体" w:cs="Times New Roman"/>
                <w:color w:val="auto"/>
                <w:kern w:val="0"/>
                <w:szCs w:val="21"/>
              </w:rPr>
              <w:t xml:space="preserve"> m/z；</w:t>
            </w:r>
          </w:p>
          <w:p w14:paraId="700B8B6A">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3.2.8.2扫描速度：≥1</w:t>
            </w:r>
            <w:r>
              <w:rPr>
                <w:rFonts w:ascii="宋体" w:hAnsi="宋体" w:eastAsia="宋体" w:cs="Times New Roman"/>
                <w:color w:val="auto"/>
                <w:kern w:val="0"/>
                <w:szCs w:val="21"/>
              </w:rPr>
              <w:t>2</w:t>
            </w:r>
            <w:r>
              <w:rPr>
                <w:rFonts w:hint="eastAsia" w:ascii="宋体" w:hAnsi="宋体" w:eastAsia="宋体" w:cs="Times New Roman"/>
                <w:color w:val="auto"/>
                <w:kern w:val="0"/>
                <w:szCs w:val="21"/>
              </w:rPr>
              <w:t>000 Da/sec；</w:t>
            </w:r>
          </w:p>
          <w:p w14:paraId="397ACFFF">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3.2.8.3动态范围：＞6×10</w:t>
            </w:r>
            <w:r>
              <w:rPr>
                <w:rFonts w:ascii="宋体" w:hAnsi="宋体" w:eastAsia="宋体" w:cs="Times New Roman"/>
                <w:color w:val="auto"/>
                <w:kern w:val="0"/>
                <w:szCs w:val="21"/>
                <w:vertAlign w:val="superscript"/>
              </w:rPr>
              <w:t>5</w:t>
            </w:r>
            <w:r>
              <w:rPr>
                <w:rFonts w:hint="eastAsia" w:ascii="宋体" w:hAnsi="宋体" w:eastAsia="宋体" w:cs="Times New Roman"/>
                <w:color w:val="auto"/>
                <w:kern w:val="0"/>
                <w:szCs w:val="21"/>
              </w:rPr>
              <w:t>；</w:t>
            </w:r>
          </w:p>
          <w:p w14:paraId="5539EEB7">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★3.2.8.4ESI+灵敏度：1pg利血平柱上进样，离子对m/z 609.3＞195.1，S/N＞</w:t>
            </w:r>
            <w:r>
              <w:rPr>
                <w:rFonts w:ascii="宋体" w:hAnsi="宋体" w:eastAsia="宋体" w:cs="Times New Roman"/>
                <w:color w:val="auto"/>
                <w:kern w:val="0"/>
                <w:szCs w:val="21"/>
              </w:rPr>
              <w:t>50</w:t>
            </w:r>
            <w:r>
              <w:rPr>
                <w:rFonts w:hint="eastAsia" w:ascii="宋体" w:hAnsi="宋体" w:eastAsia="宋体" w:cs="Times New Roman"/>
                <w:color w:val="auto"/>
                <w:kern w:val="0"/>
                <w:szCs w:val="21"/>
              </w:rPr>
              <w:t>0000:1，原始数据或无平滑数据；</w:t>
            </w:r>
          </w:p>
          <w:p w14:paraId="71A94DCD">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★3.2.8.5ESI-灵敏度： 1 pg氯霉素柱上进样，离子对m/z 321.0＞152.0，S/N＞</w:t>
            </w:r>
            <w:r>
              <w:rPr>
                <w:rFonts w:ascii="宋体" w:hAnsi="宋体" w:eastAsia="宋体" w:cs="Times New Roman"/>
                <w:color w:val="auto"/>
                <w:kern w:val="0"/>
                <w:szCs w:val="21"/>
              </w:rPr>
              <w:t>50</w:t>
            </w:r>
            <w:r>
              <w:rPr>
                <w:rFonts w:hint="eastAsia" w:ascii="宋体" w:hAnsi="宋体" w:eastAsia="宋体" w:cs="Times New Roman"/>
                <w:color w:val="auto"/>
                <w:kern w:val="0"/>
                <w:szCs w:val="21"/>
              </w:rPr>
              <w:t>0000:1，原始数据或无平滑数据；</w:t>
            </w:r>
          </w:p>
          <w:p w14:paraId="01302D56">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3.2.8.</w:t>
            </w:r>
            <w:r>
              <w:rPr>
                <w:rFonts w:ascii="宋体" w:hAnsi="宋体" w:eastAsia="宋体" w:cs="Times New Roman"/>
                <w:color w:val="auto"/>
                <w:kern w:val="0"/>
                <w:szCs w:val="21"/>
              </w:rPr>
              <w:t>6</w:t>
            </w:r>
            <w:r>
              <w:rPr>
                <w:rFonts w:hint="eastAsia" w:ascii="宋体" w:hAnsi="宋体" w:eastAsia="宋体" w:cs="Times New Roman"/>
                <w:color w:val="auto"/>
                <w:kern w:val="0"/>
                <w:szCs w:val="21"/>
              </w:rPr>
              <w:t>质量稳定性：＜0.1 Da (24 h)；</w:t>
            </w:r>
          </w:p>
          <w:p w14:paraId="32D4D7FD">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3.2.8.</w:t>
            </w:r>
            <w:r>
              <w:rPr>
                <w:rFonts w:ascii="宋体" w:hAnsi="宋体" w:eastAsia="宋体" w:cs="Times New Roman"/>
                <w:color w:val="auto"/>
                <w:kern w:val="0"/>
                <w:szCs w:val="21"/>
              </w:rPr>
              <w:t>7</w:t>
            </w:r>
            <w:r>
              <w:rPr>
                <w:rFonts w:hint="eastAsia" w:ascii="宋体" w:hAnsi="宋体" w:eastAsia="宋体" w:cs="Times New Roman"/>
                <w:color w:val="auto"/>
                <w:kern w:val="0"/>
                <w:szCs w:val="21"/>
              </w:rPr>
              <w:t>MRM最小驻留时间：＜</w:t>
            </w:r>
            <w:r>
              <w:rPr>
                <w:rFonts w:ascii="宋体" w:hAnsi="宋体" w:eastAsia="宋体" w:cs="Times New Roman"/>
                <w:color w:val="auto"/>
                <w:kern w:val="0"/>
                <w:szCs w:val="21"/>
              </w:rPr>
              <w:t>1</w:t>
            </w:r>
            <w:r>
              <w:rPr>
                <w:rFonts w:hint="eastAsia" w:ascii="宋体" w:hAnsi="宋体" w:eastAsia="宋体" w:cs="Times New Roman"/>
                <w:color w:val="auto"/>
                <w:kern w:val="0"/>
                <w:szCs w:val="21"/>
              </w:rPr>
              <w:t>ms；</w:t>
            </w:r>
          </w:p>
          <w:p w14:paraId="0F1697FB">
            <w:pPr>
              <w:spacing w:line="276" w:lineRule="auto"/>
              <w:jc w:val="left"/>
              <w:rPr>
                <w:rFonts w:ascii="宋体" w:hAnsi="宋体" w:eastAsia="宋体" w:cs="Times New Roman"/>
                <w:bCs/>
                <w:color w:val="auto"/>
                <w:kern w:val="0"/>
                <w:szCs w:val="21"/>
              </w:rPr>
            </w:pPr>
            <w:r>
              <w:rPr>
                <w:rFonts w:hint="eastAsia" w:ascii="宋体" w:hAnsi="宋体" w:eastAsia="宋体" w:cs="Times New Roman"/>
                <w:bCs/>
                <w:color w:val="auto"/>
                <w:kern w:val="0"/>
                <w:szCs w:val="21"/>
              </w:rPr>
              <w:t>3.3质谱工作站：</w:t>
            </w:r>
          </w:p>
          <w:p w14:paraId="4CA27E80">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3.3.</w:t>
            </w:r>
            <w:r>
              <w:rPr>
                <w:rFonts w:ascii="宋体" w:hAnsi="宋体" w:eastAsia="宋体" w:cs="Times New Roman"/>
                <w:color w:val="auto"/>
                <w:kern w:val="0"/>
                <w:szCs w:val="21"/>
              </w:rPr>
              <w:t>1</w:t>
            </w:r>
            <w:r>
              <w:rPr>
                <w:rFonts w:hint="eastAsia" w:ascii="宋体" w:hAnsi="宋体" w:eastAsia="宋体" w:cs="Times New Roman"/>
                <w:color w:val="auto"/>
                <w:kern w:val="0"/>
                <w:szCs w:val="21"/>
              </w:rPr>
              <w:t>自动方法优化软件：自动优化每个目标化合物的质谱参数，如最佳碰撞电压，MS/MS的碰撞能量；</w:t>
            </w:r>
          </w:p>
          <w:p w14:paraId="76D4B631">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3.3.</w:t>
            </w:r>
            <w:r>
              <w:rPr>
                <w:rFonts w:ascii="宋体" w:hAnsi="宋体" w:eastAsia="宋体" w:cs="Times New Roman"/>
                <w:color w:val="auto"/>
                <w:kern w:val="0"/>
                <w:szCs w:val="21"/>
              </w:rPr>
              <w:t>2</w:t>
            </w:r>
            <w:r>
              <w:rPr>
                <w:rFonts w:hint="eastAsia" w:ascii="宋体" w:hAnsi="宋体" w:eastAsia="宋体" w:cs="Times New Roman"/>
                <w:color w:val="auto"/>
                <w:kern w:val="0"/>
                <w:szCs w:val="21"/>
              </w:rPr>
              <w:t>离子源参数自动优化软件：自动优化离子源温度，气流压力和速度；</w:t>
            </w:r>
          </w:p>
          <w:p w14:paraId="164EA3C9">
            <w:pPr>
              <w:spacing w:line="276" w:lineRule="auto"/>
              <w:jc w:val="left"/>
              <w:rPr>
                <w:rFonts w:hint="eastAsia" w:ascii="宋体" w:hAnsi="宋体" w:eastAsia="宋体" w:cs="Times New Roman"/>
                <w:color w:val="auto"/>
                <w:kern w:val="0"/>
                <w:szCs w:val="21"/>
                <w:lang w:eastAsia="zh-CN"/>
              </w:rPr>
            </w:pPr>
            <w:r>
              <w:rPr>
                <w:rFonts w:hint="eastAsia" w:ascii="宋体" w:hAnsi="宋体" w:eastAsia="宋体" w:cs="Times New Roman"/>
                <w:color w:val="auto"/>
                <w:kern w:val="0"/>
                <w:szCs w:val="21"/>
              </w:rPr>
              <w:t>3.3.</w:t>
            </w:r>
            <w:r>
              <w:rPr>
                <w:rFonts w:ascii="宋体" w:hAnsi="宋体" w:eastAsia="宋体" w:cs="Times New Roman"/>
                <w:color w:val="auto"/>
                <w:kern w:val="0"/>
                <w:szCs w:val="21"/>
              </w:rPr>
              <w:t>3</w:t>
            </w:r>
            <w:r>
              <w:rPr>
                <w:rFonts w:hint="eastAsia" w:ascii="宋体" w:hAnsi="宋体" w:eastAsia="宋体" w:cs="Times New Roman"/>
                <w:color w:val="auto"/>
                <w:kern w:val="0"/>
                <w:szCs w:val="21"/>
              </w:rPr>
              <w:t>自动时间编程功能:多化合物同时监测</w:t>
            </w:r>
            <w:r>
              <w:rPr>
                <w:rFonts w:hint="eastAsia" w:ascii="宋体" w:hAnsi="宋体" w:eastAsia="宋体" w:cs="Times New Roman"/>
                <w:color w:val="auto"/>
                <w:kern w:val="0"/>
                <w:szCs w:val="21"/>
                <w:lang w:eastAsia="zh-CN"/>
              </w:rPr>
              <w:t>；</w:t>
            </w:r>
          </w:p>
          <w:p w14:paraId="16E12FE7">
            <w:pPr>
              <w:spacing w:line="276" w:lineRule="auto"/>
              <w:jc w:val="left"/>
              <w:rPr>
                <w:rFonts w:hint="eastAsia" w:ascii="宋体" w:hAnsi="宋体" w:eastAsia="宋体" w:cs="Times New Roman"/>
                <w:color w:val="auto"/>
                <w:kern w:val="0"/>
                <w:szCs w:val="21"/>
                <w:lang w:eastAsia="zh-CN"/>
              </w:rPr>
            </w:pPr>
            <w:r>
              <w:rPr>
                <w:rFonts w:hint="eastAsia" w:ascii="宋体" w:hAnsi="宋体" w:eastAsia="宋体" w:cs="Times New Roman"/>
                <w:color w:val="auto"/>
                <w:kern w:val="0"/>
                <w:szCs w:val="21"/>
              </w:rPr>
              <w:t>★3.3.</w:t>
            </w:r>
            <w:r>
              <w:rPr>
                <w:rFonts w:ascii="宋体" w:hAnsi="宋体" w:eastAsia="宋体" w:cs="Times New Roman"/>
                <w:color w:val="auto"/>
                <w:kern w:val="0"/>
                <w:szCs w:val="21"/>
              </w:rPr>
              <w:t>4</w:t>
            </w:r>
            <w:r>
              <w:rPr>
                <w:rFonts w:hint="eastAsia" w:ascii="宋体" w:hAnsi="宋体" w:eastAsia="宋体" w:cs="Times New Roman"/>
                <w:color w:val="auto"/>
                <w:kern w:val="0"/>
                <w:szCs w:val="21"/>
              </w:rPr>
              <w:t>为保证后期维护、维修方便，液相色谱和质谱为同一厂家生产（非贴牌代工品）</w:t>
            </w:r>
            <w:r>
              <w:rPr>
                <w:rFonts w:hint="eastAsia" w:ascii="宋体" w:hAnsi="宋体" w:eastAsia="宋体" w:cs="Times New Roman"/>
                <w:color w:val="auto"/>
                <w:kern w:val="0"/>
                <w:szCs w:val="21"/>
                <w:lang w:eastAsia="zh-CN"/>
              </w:rPr>
              <w:t>；</w:t>
            </w:r>
          </w:p>
          <w:p w14:paraId="54119313">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3.3.</w:t>
            </w:r>
            <w:r>
              <w:rPr>
                <w:rFonts w:ascii="宋体" w:hAnsi="宋体" w:eastAsia="宋体" w:cs="Times New Roman"/>
                <w:color w:val="auto"/>
                <w:kern w:val="0"/>
                <w:szCs w:val="21"/>
              </w:rPr>
              <w:t xml:space="preserve">5 </w:t>
            </w:r>
            <w:r>
              <w:rPr>
                <w:rFonts w:hint="eastAsia" w:ascii="宋体" w:hAnsi="宋体" w:eastAsia="宋体" w:cs="Times New Roman"/>
                <w:color w:val="auto"/>
                <w:kern w:val="0"/>
                <w:szCs w:val="21"/>
              </w:rPr>
              <w:t>工作站系统配置不低于：4核CPU, 8GB内存,</w:t>
            </w:r>
            <w:r>
              <w:rPr>
                <w:rFonts w:ascii="宋体" w:hAnsi="宋体" w:eastAsia="宋体" w:cs="Times New Roman"/>
                <w:color w:val="auto"/>
                <w:kern w:val="0"/>
                <w:szCs w:val="21"/>
              </w:rPr>
              <w:t>1</w:t>
            </w:r>
            <w:r>
              <w:rPr>
                <w:rFonts w:hint="eastAsia" w:ascii="宋体" w:hAnsi="宋体" w:eastAsia="宋体" w:cs="Times New Roman"/>
                <w:color w:val="auto"/>
                <w:kern w:val="0"/>
                <w:szCs w:val="21"/>
              </w:rPr>
              <w:t>TB硬盘,独立显卡，DVD/CD-RW, Microsoft windows 10 操作系统，≥27寸液晶显示器，多功能打印一体机，支持自动双面打印，带扫描和复印功能。</w:t>
            </w:r>
          </w:p>
          <w:p w14:paraId="738BD5BE">
            <w:pPr>
              <w:spacing w:line="276" w:lineRule="auto"/>
              <w:jc w:val="left"/>
              <w:rPr>
                <w:rFonts w:ascii="宋体" w:hAnsi="宋体" w:eastAsia="宋体" w:cs="Times New Roman"/>
                <w:color w:val="auto"/>
                <w:kern w:val="0"/>
                <w:szCs w:val="21"/>
              </w:rPr>
            </w:pPr>
            <w:r>
              <w:rPr>
                <w:rFonts w:ascii="宋体" w:hAnsi="宋体" w:eastAsia="宋体" w:cs="Times New Roman"/>
                <w:color w:val="auto"/>
                <w:kern w:val="0"/>
                <w:szCs w:val="21"/>
              </w:rPr>
              <w:t xml:space="preserve">3.3.6 </w:t>
            </w:r>
            <w:r>
              <w:rPr>
                <w:rFonts w:hint="eastAsia" w:ascii="宋体" w:hAnsi="宋体" w:eastAsia="宋体" w:cs="Times New Roman"/>
                <w:color w:val="auto"/>
                <w:kern w:val="0"/>
                <w:szCs w:val="21"/>
              </w:rPr>
              <w:t>设备监控保护仪自动采集用户刷卡数据并进行实时记录，支持电源控制、仪器保护、液晶显示、刷卡认证及鉴权、实验文件传输、断网模式、在线升级等，具体要求如下：</w:t>
            </w:r>
          </w:p>
          <w:p w14:paraId="20C23653">
            <w:pPr>
              <w:spacing w:line="276" w:lineRule="auto"/>
              <w:jc w:val="left"/>
              <w:rPr>
                <w:rFonts w:ascii="宋体" w:hAnsi="宋体" w:eastAsia="宋体" w:cs="Times New Roman"/>
                <w:color w:val="auto"/>
                <w:kern w:val="0"/>
                <w:szCs w:val="21"/>
              </w:rPr>
            </w:pPr>
            <w:r>
              <w:rPr>
                <w:rFonts w:ascii="宋体" w:hAnsi="宋体" w:eastAsia="宋体" w:cs="Times New Roman"/>
                <w:color w:val="auto"/>
                <w:kern w:val="0"/>
                <w:szCs w:val="21"/>
              </w:rPr>
              <w:t xml:space="preserve">3.3.6.1 </w:t>
            </w:r>
            <w:r>
              <w:rPr>
                <w:rFonts w:hint="eastAsia" w:ascii="宋体" w:hAnsi="宋体" w:eastAsia="宋体" w:cs="Times New Roman"/>
                <w:color w:val="auto"/>
                <w:kern w:val="0"/>
                <w:szCs w:val="21"/>
              </w:rPr>
              <w:t>需与安徽农业大学生物技术中心现有大型仪器设备共享系统实现数据对接；</w:t>
            </w:r>
          </w:p>
          <w:p w14:paraId="702391FE">
            <w:pPr>
              <w:spacing w:line="276" w:lineRule="auto"/>
              <w:jc w:val="left"/>
              <w:rPr>
                <w:rFonts w:ascii="宋体" w:hAnsi="宋体" w:eastAsia="宋体" w:cs="Times New Roman"/>
                <w:color w:val="auto"/>
                <w:kern w:val="0"/>
                <w:szCs w:val="21"/>
              </w:rPr>
            </w:pPr>
            <w:r>
              <w:rPr>
                <w:rFonts w:ascii="宋体" w:hAnsi="宋体" w:eastAsia="宋体" w:cs="Times New Roman"/>
                <w:color w:val="auto"/>
                <w:kern w:val="0"/>
                <w:szCs w:val="21"/>
              </w:rPr>
              <w:t>3.3.6.2</w:t>
            </w:r>
            <w:r>
              <w:rPr>
                <w:rFonts w:hint="eastAsia" w:ascii="宋体" w:hAnsi="宋体" w:eastAsia="宋体" w:cs="Times New Roman"/>
                <w:color w:val="auto"/>
                <w:kern w:val="0"/>
                <w:szCs w:val="21"/>
              </w:rPr>
              <w:t>设备监控保护仪自动采集使用数据，并进行使用数据的实时记录和计费，可以实现实时监控；</w:t>
            </w:r>
          </w:p>
          <w:p w14:paraId="1C4A149B">
            <w:pPr>
              <w:spacing w:line="276" w:lineRule="auto"/>
              <w:jc w:val="left"/>
              <w:rPr>
                <w:rFonts w:ascii="宋体" w:hAnsi="宋体" w:eastAsia="宋体" w:cs="Times New Roman"/>
                <w:color w:val="auto"/>
                <w:kern w:val="0"/>
                <w:szCs w:val="21"/>
              </w:rPr>
            </w:pPr>
            <w:r>
              <w:rPr>
                <w:rFonts w:ascii="宋体" w:hAnsi="宋体" w:eastAsia="宋体" w:cs="Times New Roman"/>
                <w:color w:val="auto"/>
                <w:kern w:val="0"/>
                <w:szCs w:val="21"/>
              </w:rPr>
              <w:t>3.3.6.3</w:t>
            </w:r>
            <w:r>
              <w:rPr>
                <w:rFonts w:hint="eastAsia" w:ascii="宋体" w:hAnsi="宋体" w:eastAsia="宋体" w:cs="Times New Roman"/>
                <w:color w:val="auto"/>
                <w:kern w:val="0"/>
                <w:szCs w:val="21"/>
              </w:rPr>
              <w:t>能够实现大型仪器电源控制，采用工业级电源控制装置控制仪器电源，做到对仪器自身保护；</w:t>
            </w:r>
          </w:p>
          <w:p w14:paraId="0D651EE1">
            <w:pPr>
              <w:spacing w:line="276" w:lineRule="auto"/>
              <w:jc w:val="left"/>
              <w:rPr>
                <w:rFonts w:ascii="宋体" w:hAnsi="宋体" w:eastAsia="宋体" w:cs="Times New Roman"/>
                <w:color w:val="auto"/>
                <w:kern w:val="0"/>
                <w:szCs w:val="21"/>
              </w:rPr>
            </w:pPr>
            <w:r>
              <w:rPr>
                <w:rFonts w:ascii="宋体" w:hAnsi="宋体" w:eastAsia="宋体" w:cs="Times New Roman"/>
                <w:color w:val="auto"/>
                <w:kern w:val="0"/>
                <w:szCs w:val="21"/>
              </w:rPr>
              <w:t>3.3.6.4</w:t>
            </w:r>
            <w:r>
              <w:rPr>
                <w:rFonts w:hint="eastAsia" w:ascii="宋体" w:hAnsi="宋体" w:eastAsia="宋体" w:cs="Times New Roman"/>
                <w:color w:val="auto"/>
                <w:kern w:val="0"/>
                <w:szCs w:val="21"/>
              </w:rPr>
              <w:t>电源控制设备能够支持最大电流至30A；</w:t>
            </w:r>
          </w:p>
          <w:p w14:paraId="63C490B7">
            <w:pPr>
              <w:spacing w:line="276" w:lineRule="auto"/>
              <w:jc w:val="left"/>
              <w:rPr>
                <w:rFonts w:ascii="宋体" w:hAnsi="宋体" w:eastAsia="宋体" w:cs="Times New Roman"/>
                <w:color w:val="auto"/>
                <w:kern w:val="0"/>
                <w:szCs w:val="21"/>
              </w:rPr>
            </w:pPr>
            <w:r>
              <w:rPr>
                <w:rFonts w:ascii="宋体" w:hAnsi="宋体" w:eastAsia="宋体" w:cs="Times New Roman"/>
                <w:color w:val="auto"/>
                <w:kern w:val="0"/>
                <w:szCs w:val="21"/>
              </w:rPr>
              <w:t>3.3.6.5</w:t>
            </w:r>
            <w:r>
              <w:rPr>
                <w:rFonts w:hint="eastAsia" w:ascii="宋体" w:hAnsi="宋体" w:eastAsia="宋体" w:cs="Times New Roman"/>
                <w:color w:val="auto"/>
                <w:kern w:val="0"/>
                <w:szCs w:val="21"/>
              </w:rPr>
              <w:t>提供用电安全保护功能，可针对不同仪器的实际需要进行组合配置；</w:t>
            </w:r>
          </w:p>
          <w:p w14:paraId="64088B93">
            <w:pPr>
              <w:spacing w:line="276" w:lineRule="auto"/>
              <w:jc w:val="left"/>
              <w:rPr>
                <w:rFonts w:ascii="宋体" w:hAnsi="宋体" w:eastAsia="宋体" w:cs="Times New Roman"/>
                <w:color w:val="auto"/>
                <w:kern w:val="0"/>
                <w:szCs w:val="21"/>
              </w:rPr>
            </w:pPr>
            <w:r>
              <w:rPr>
                <w:rFonts w:ascii="宋体" w:hAnsi="宋体" w:eastAsia="宋体" w:cs="Times New Roman"/>
                <w:color w:val="auto"/>
                <w:kern w:val="0"/>
                <w:szCs w:val="21"/>
              </w:rPr>
              <w:t>3.3.6.6</w:t>
            </w:r>
            <w:r>
              <w:rPr>
                <w:rFonts w:hint="eastAsia" w:ascii="宋体" w:hAnsi="宋体" w:eastAsia="宋体" w:cs="Times New Roman"/>
                <w:color w:val="auto"/>
                <w:kern w:val="0"/>
                <w:szCs w:val="21"/>
              </w:rPr>
              <w:t>能够兼容校园一卡通系统，实现刷卡身份认证通过后，方可使用大型仪器；</w:t>
            </w:r>
          </w:p>
          <w:p w14:paraId="0D23D0CE">
            <w:pPr>
              <w:spacing w:line="276" w:lineRule="auto"/>
              <w:jc w:val="left"/>
              <w:rPr>
                <w:rFonts w:ascii="宋体" w:hAnsi="宋体" w:eastAsia="宋体" w:cs="Times New Roman"/>
                <w:color w:val="auto"/>
                <w:kern w:val="0"/>
                <w:szCs w:val="21"/>
              </w:rPr>
            </w:pPr>
            <w:r>
              <w:rPr>
                <w:rFonts w:ascii="宋体" w:hAnsi="宋体" w:eastAsia="宋体" w:cs="Times New Roman"/>
                <w:color w:val="auto"/>
                <w:kern w:val="0"/>
                <w:szCs w:val="21"/>
              </w:rPr>
              <w:t>3.3.6.7</w:t>
            </w:r>
            <w:r>
              <w:rPr>
                <w:rFonts w:hint="eastAsia" w:ascii="宋体" w:hAnsi="宋体" w:eastAsia="宋体" w:cs="Times New Roman"/>
                <w:color w:val="auto"/>
                <w:kern w:val="0"/>
                <w:szCs w:val="21"/>
              </w:rPr>
              <w:t>具有液晶显示。能够显示仪器信息、管理员信息、使用者的信息、刷卡认证结果信息、仪器状态信息等；</w:t>
            </w:r>
          </w:p>
          <w:p w14:paraId="1D304B7F">
            <w:pPr>
              <w:spacing w:line="276" w:lineRule="auto"/>
              <w:jc w:val="left"/>
              <w:rPr>
                <w:rFonts w:ascii="宋体" w:hAnsi="宋体" w:eastAsia="宋体" w:cs="Times New Roman"/>
                <w:color w:val="auto"/>
                <w:kern w:val="0"/>
                <w:szCs w:val="21"/>
              </w:rPr>
            </w:pPr>
            <w:r>
              <w:rPr>
                <w:rFonts w:ascii="宋体" w:hAnsi="宋体" w:eastAsia="宋体" w:cs="Times New Roman"/>
                <w:color w:val="auto"/>
                <w:kern w:val="0"/>
                <w:szCs w:val="21"/>
              </w:rPr>
              <w:t>3.3.6.8</w:t>
            </w:r>
            <w:r>
              <w:rPr>
                <w:rFonts w:hint="eastAsia" w:ascii="宋体" w:hAnsi="宋体" w:eastAsia="宋体" w:cs="Times New Roman"/>
                <w:color w:val="auto"/>
                <w:kern w:val="0"/>
                <w:szCs w:val="21"/>
              </w:rPr>
              <w:t>对实验仪器的电脑不做任何改动，不安装第三方软件，具有数据文件中转功能，杜绝大型仪器的电脑联网，禁止U盘拷贝，避免刻录光盘，实现通过USB将仪器配套的电脑与仪器控制终端相连，数据文件通过设备监控保护仪中转至指定的服务器上；</w:t>
            </w:r>
          </w:p>
          <w:p w14:paraId="5C27C72A">
            <w:pPr>
              <w:spacing w:line="276" w:lineRule="auto"/>
              <w:jc w:val="left"/>
              <w:rPr>
                <w:rFonts w:ascii="宋体" w:hAnsi="宋体" w:eastAsia="宋体" w:cs="Times New Roman"/>
                <w:color w:val="auto"/>
                <w:kern w:val="0"/>
                <w:szCs w:val="21"/>
              </w:rPr>
            </w:pPr>
            <w:r>
              <w:rPr>
                <w:rFonts w:ascii="宋体" w:hAnsi="宋体" w:eastAsia="宋体" w:cs="Times New Roman"/>
                <w:color w:val="auto"/>
                <w:kern w:val="0"/>
                <w:szCs w:val="21"/>
              </w:rPr>
              <w:t>3.3.6.9</w:t>
            </w:r>
            <w:r>
              <w:rPr>
                <w:rFonts w:hint="eastAsia" w:ascii="宋体" w:hAnsi="宋体" w:eastAsia="宋体" w:cs="Times New Roman"/>
                <w:color w:val="auto"/>
                <w:kern w:val="0"/>
                <w:szCs w:val="21"/>
              </w:rPr>
              <w:t>具有断网模式功能，能够判断当前网络状态，并进行应急模式和正常模式之间自动切换，无需管理员进行手动切换。应急模式下，断网前经授权的用户仍可刷卡开机，能够缓存10000条以上的刷卡记录，当网络恢复后，可自动上传至服务器进行自动计费收费。</w:t>
            </w:r>
          </w:p>
          <w:p w14:paraId="7004D9F2">
            <w:pPr>
              <w:spacing w:line="276" w:lineRule="auto"/>
              <w:jc w:val="left"/>
              <w:rPr>
                <w:rFonts w:ascii="宋体" w:hAnsi="宋体" w:eastAsia="宋体" w:cs="Times New Roman"/>
                <w:color w:val="auto"/>
                <w:kern w:val="0"/>
                <w:szCs w:val="21"/>
              </w:rPr>
            </w:pPr>
            <w:r>
              <w:rPr>
                <w:rFonts w:ascii="宋体" w:hAnsi="宋体" w:eastAsia="宋体" w:cs="Times New Roman"/>
                <w:color w:val="auto"/>
                <w:kern w:val="0"/>
                <w:szCs w:val="21"/>
              </w:rPr>
              <w:t>3.3.6.10</w:t>
            </w:r>
            <w:r>
              <w:rPr>
                <w:rFonts w:hint="eastAsia" w:ascii="宋体" w:hAnsi="宋体" w:eastAsia="宋体" w:cs="Times New Roman"/>
                <w:color w:val="auto"/>
                <w:kern w:val="0"/>
                <w:szCs w:val="21"/>
              </w:rPr>
              <w:t>得到用户认可前提下，支持在线远程升级，始终保证用户使用的最新最稳定的版本。</w:t>
            </w:r>
          </w:p>
          <w:p w14:paraId="42D4CBE6">
            <w:pPr>
              <w:spacing w:line="276" w:lineRule="auto"/>
              <w:jc w:val="left"/>
              <w:rPr>
                <w:rFonts w:ascii="宋体" w:hAnsi="宋体" w:eastAsia="宋体" w:cs="Times New Roman"/>
                <w:color w:val="auto"/>
                <w:kern w:val="0"/>
                <w:szCs w:val="21"/>
              </w:rPr>
            </w:pPr>
            <w:r>
              <w:rPr>
                <w:rFonts w:ascii="宋体" w:hAnsi="宋体" w:eastAsia="宋体" w:cs="Times New Roman"/>
                <w:color w:val="auto"/>
                <w:kern w:val="0"/>
                <w:szCs w:val="21"/>
              </w:rPr>
              <w:t>3.3.6.11</w:t>
            </w:r>
            <w:r>
              <w:rPr>
                <w:rFonts w:hint="eastAsia" w:ascii="宋体" w:hAnsi="宋体" w:eastAsia="宋体" w:cs="Times New Roman"/>
                <w:color w:val="auto"/>
                <w:kern w:val="0"/>
                <w:szCs w:val="21"/>
              </w:rPr>
              <w:t>设备支持DHCP和固定IP以适应单位网络架构，支持跨网段连接；</w:t>
            </w:r>
          </w:p>
          <w:p w14:paraId="28D70C3C">
            <w:pPr>
              <w:spacing w:line="276" w:lineRule="auto"/>
              <w:jc w:val="left"/>
              <w:rPr>
                <w:rFonts w:ascii="宋体" w:hAnsi="宋体" w:eastAsia="宋体" w:cs="Times New Roman"/>
                <w:color w:val="auto"/>
                <w:kern w:val="0"/>
                <w:szCs w:val="21"/>
              </w:rPr>
            </w:pPr>
            <w:r>
              <w:rPr>
                <w:rFonts w:ascii="宋体" w:hAnsi="宋体" w:eastAsia="宋体" w:cs="Times New Roman"/>
                <w:color w:val="auto"/>
                <w:kern w:val="0"/>
                <w:szCs w:val="21"/>
              </w:rPr>
              <w:t>3.3.6.12</w:t>
            </w:r>
            <w:r>
              <w:rPr>
                <w:rFonts w:hint="eastAsia" w:ascii="宋体" w:hAnsi="宋体" w:eastAsia="宋体" w:cs="Times New Roman"/>
                <w:color w:val="auto"/>
                <w:kern w:val="0"/>
                <w:szCs w:val="21"/>
              </w:rPr>
              <w:t>无线模块（1个）：1个10/100M自适应LAN/WAN口，支持自动翻转（Auto MDI/MDIX），含及网线、RJ45水晶头等辅材；</w:t>
            </w:r>
          </w:p>
          <w:p w14:paraId="29BB5E44">
            <w:pPr>
              <w:spacing w:line="276" w:lineRule="auto"/>
              <w:jc w:val="left"/>
              <w:rPr>
                <w:rFonts w:ascii="宋体" w:hAnsi="宋体" w:eastAsia="宋体" w:cs="Times New Roman"/>
                <w:color w:val="auto"/>
                <w:kern w:val="0"/>
                <w:szCs w:val="21"/>
              </w:rPr>
            </w:pPr>
            <w:r>
              <w:rPr>
                <w:rFonts w:ascii="宋体" w:hAnsi="宋体" w:eastAsia="宋体" w:cs="Times New Roman"/>
                <w:color w:val="auto"/>
                <w:kern w:val="0"/>
                <w:szCs w:val="21"/>
              </w:rPr>
              <w:t>3.3.6.13</w:t>
            </w:r>
            <w:r>
              <w:rPr>
                <w:rFonts w:hint="eastAsia" w:ascii="宋体" w:hAnsi="宋体" w:eastAsia="宋体" w:cs="Times New Roman"/>
                <w:color w:val="auto"/>
                <w:kern w:val="0"/>
                <w:szCs w:val="21"/>
              </w:rPr>
              <w:t>工程线路改造、工程施工所用所有辅材。系统应在合同生效后</w:t>
            </w:r>
            <w:r>
              <w:rPr>
                <w:rFonts w:ascii="宋体" w:hAnsi="宋体" w:eastAsia="宋体" w:cs="Times New Roman"/>
                <w:color w:val="auto"/>
                <w:kern w:val="0"/>
                <w:szCs w:val="21"/>
              </w:rPr>
              <w:t>90</w:t>
            </w:r>
            <w:r>
              <w:rPr>
                <w:rFonts w:hint="eastAsia" w:ascii="宋体" w:hAnsi="宋体" w:eastAsia="宋体" w:cs="Times New Roman"/>
                <w:color w:val="auto"/>
                <w:kern w:val="0"/>
                <w:szCs w:val="21"/>
              </w:rPr>
              <w:t>日内安装施工完毕，包括设备的供应、运输、装卸、安装、调试直至检测验收合格；</w:t>
            </w:r>
          </w:p>
          <w:p w14:paraId="272E2406">
            <w:pPr>
              <w:spacing w:line="276" w:lineRule="auto"/>
              <w:jc w:val="left"/>
              <w:rPr>
                <w:rFonts w:ascii="宋体" w:hAnsi="宋体" w:eastAsia="宋体" w:cs="Times New Roman"/>
                <w:color w:val="auto"/>
                <w:kern w:val="0"/>
                <w:szCs w:val="21"/>
              </w:rPr>
            </w:pPr>
            <w:r>
              <w:rPr>
                <w:rFonts w:ascii="宋体" w:hAnsi="宋体" w:eastAsia="宋体" w:cs="Times New Roman"/>
                <w:color w:val="auto"/>
                <w:kern w:val="0"/>
                <w:szCs w:val="21"/>
              </w:rPr>
              <w:t>3.3.6.14</w:t>
            </w:r>
            <w:r>
              <w:rPr>
                <w:rFonts w:hint="eastAsia" w:ascii="宋体" w:hAnsi="宋体" w:eastAsia="宋体" w:cs="Times New Roman"/>
                <w:color w:val="auto"/>
                <w:kern w:val="0"/>
                <w:szCs w:val="21"/>
              </w:rPr>
              <w:t>免费使用培训，设备监控保护仪1年免费质保，自系统验收合格之日起计；</w:t>
            </w:r>
          </w:p>
          <w:p w14:paraId="3354F42E">
            <w:pPr>
              <w:spacing w:line="276" w:lineRule="auto"/>
              <w:jc w:val="left"/>
              <w:rPr>
                <w:rFonts w:hint="eastAsia" w:ascii="宋体" w:hAnsi="宋体" w:eastAsia="宋体" w:cs="Times New Roman"/>
                <w:color w:val="auto"/>
                <w:kern w:val="0"/>
                <w:szCs w:val="21"/>
              </w:rPr>
            </w:pPr>
            <w:r>
              <w:rPr>
                <w:rFonts w:hint="eastAsia" w:ascii="宋体" w:hAnsi="宋体" w:eastAsia="宋体" w:cs="Times New Roman"/>
                <w:color w:val="auto"/>
                <w:kern w:val="0"/>
                <w:szCs w:val="21"/>
              </w:rPr>
              <w:t>3.</w:t>
            </w:r>
            <w:r>
              <w:rPr>
                <w:rFonts w:ascii="宋体" w:hAnsi="宋体" w:eastAsia="宋体" w:cs="Times New Roman"/>
                <w:color w:val="auto"/>
                <w:kern w:val="0"/>
                <w:szCs w:val="21"/>
              </w:rPr>
              <w:t>4</w:t>
            </w:r>
            <w:r>
              <w:rPr>
                <w:rFonts w:hint="eastAsia" w:ascii="宋体" w:hAnsi="宋体" w:eastAsia="宋体" w:cs="Times New Roman"/>
                <w:color w:val="auto"/>
                <w:kern w:val="0"/>
                <w:szCs w:val="21"/>
              </w:rPr>
              <w:t>有正规的维修工程师及技术应用工程师。保修期后，保证长期供应零备件和正常的售后服务。提供质保服务,包括备用零配件及消耗品。</w:t>
            </w:r>
          </w:p>
          <w:p w14:paraId="214267DA">
            <w:pPr>
              <w:spacing w:line="276" w:lineRule="auto"/>
              <w:jc w:val="left"/>
              <w:rPr>
                <w:rFonts w:hint="eastAsia" w:ascii="宋体" w:hAnsi="宋体" w:eastAsia="宋体" w:cs="Times New Roman"/>
                <w:b/>
                <w:bCs/>
                <w:color w:val="auto"/>
                <w:kern w:val="0"/>
                <w:szCs w:val="21"/>
                <w:lang w:val="en-US" w:eastAsia="zh-CN"/>
              </w:rPr>
            </w:pPr>
            <w:r>
              <w:rPr>
                <w:rFonts w:hint="eastAsia" w:ascii="宋体" w:hAnsi="宋体" w:eastAsia="宋体" w:cs="Times New Roman"/>
                <w:b/>
                <w:bCs/>
                <w:color w:val="auto"/>
                <w:kern w:val="0"/>
                <w:szCs w:val="21"/>
              </w:rPr>
              <w:t>★</w:t>
            </w:r>
            <w:r>
              <w:rPr>
                <w:rFonts w:hint="eastAsia" w:ascii="宋体" w:hAnsi="宋体" w:eastAsia="宋体" w:cs="Times New Roman"/>
                <w:b/>
                <w:bCs/>
                <w:color w:val="auto"/>
                <w:kern w:val="0"/>
                <w:szCs w:val="21"/>
                <w:lang w:val="en-US" w:eastAsia="zh-CN"/>
              </w:rPr>
              <w:t>4.投标人具有所投产品的制造商（或其代理商）出具的针对本项目的授权书及售后服务承诺书。(投标文件中提供授权书及售后服务承诺书扫描件，由代理商出具的须同时提供能证明其具有相应合法代理身份的有效证明材料。)</w:t>
            </w:r>
          </w:p>
          <w:p w14:paraId="77A9E8A4">
            <w:pPr>
              <w:spacing w:line="276" w:lineRule="auto"/>
              <w:jc w:val="left"/>
              <w:rPr>
                <w:rFonts w:ascii="宋体" w:hAnsi="宋体" w:eastAsia="宋体" w:cs="Times New Roman"/>
                <w:b/>
                <w:bCs/>
                <w:color w:val="auto"/>
                <w:kern w:val="0"/>
                <w:szCs w:val="21"/>
              </w:rPr>
            </w:pPr>
            <w:r>
              <w:rPr>
                <w:rFonts w:hint="eastAsia" w:ascii="宋体" w:hAnsi="宋体" w:eastAsia="宋体" w:cs="Times New Roman"/>
                <w:b/>
                <w:bCs/>
                <w:color w:val="auto"/>
                <w:kern w:val="0"/>
                <w:szCs w:val="21"/>
              </w:rPr>
              <w:t>二、商务要求</w:t>
            </w:r>
          </w:p>
          <w:p w14:paraId="64A98247">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1.供货时间、地点：合同签订后90日内完成供货，设备送至安徽农业大学指定实验室。</w:t>
            </w:r>
          </w:p>
          <w:p w14:paraId="7A7F5D91">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2.包装和运输：原厂包装，中标人承担；</w:t>
            </w:r>
          </w:p>
          <w:p w14:paraId="0AE00B0E">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3.安装、调试：收到用户安装通知后,在一周之内,中标人安排安装工程师前往现场安装调试。</w:t>
            </w:r>
          </w:p>
          <w:p w14:paraId="2FA16A89">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4.保险：中标人承担。</w:t>
            </w:r>
          </w:p>
          <w:p w14:paraId="49230FF9">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5.人员培训：要求中标人安装同时进行人员培训，2年4次现场培训，工程师协助进行相关方法建立。</w:t>
            </w:r>
            <w:r>
              <w:rPr>
                <w:rFonts w:ascii="宋体" w:hAnsi="宋体" w:eastAsia="宋体" w:cs="Times New Roman"/>
                <w:color w:val="auto"/>
                <w:kern w:val="0"/>
                <w:szCs w:val="21"/>
              </w:rPr>
              <w:t>2</w:t>
            </w:r>
            <w:r>
              <w:rPr>
                <w:rFonts w:hint="eastAsia" w:ascii="宋体" w:hAnsi="宋体" w:eastAsia="宋体" w:cs="Times New Roman"/>
                <w:color w:val="auto"/>
                <w:kern w:val="0"/>
                <w:szCs w:val="21"/>
              </w:rPr>
              <w:t>年</w:t>
            </w:r>
            <w:r>
              <w:rPr>
                <w:rFonts w:ascii="宋体" w:hAnsi="宋体" w:eastAsia="宋体" w:cs="Times New Roman"/>
                <w:color w:val="auto"/>
                <w:kern w:val="0"/>
                <w:szCs w:val="21"/>
              </w:rPr>
              <w:t>2</w:t>
            </w:r>
            <w:r>
              <w:rPr>
                <w:rFonts w:hint="eastAsia" w:ascii="宋体" w:hAnsi="宋体" w:eastAsia="宋体" w:cs="Times New Roman"/>
                <w:color w:val="auto"/>
                <w:kern w:val="0"/>
                <w:szCs w:val="21"/>
              </w:rPr>
              <w:t>人次培训（培训费、食宿费、交通费</w:t>
            </w:r>
            <w:r>
              <w:rPr>
                <w:rFonts w:hint="eastAsia" w:ascii="宋体" w:hAnsi="宋体" w:eastAsia="宋体" w:cs="Times New Roman"/>
                <w:color w:val="auto"/>
                <w:kern w:val="0"/>
                <w:szCs w:val="21"/>
                <w:lang w:val="en-US" w:eastAsia="zh-CN"/>
              </w:rPr>
              <w:t>等包含在投标报价内</w:t>
            </w:r>
            <w:r>
              <w:rPr>
                <w:rFonts w:hint="eastAsia" w:ascii="宋体" w:hAnsi="宋体" w:eastAsia="宋体" w:cs="Times New Roman"/>
                <w:color w:val="auto"/>
                <w:kern w:val="0"/>
                <w:szCs w:val="21"/>
              </w:rPr>
              <w:t>）。</w:t>
            </w:r>
          </w:p>
          <w:p w14:paraId="3B35F4FB">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6.质保期：投标人提供</w:t>
            </w:r>
            <w:r>
              <w:rPr>
                <w:rFonts w:ascii="宋体" w:hAnsi="宋体" w:eastAsia="宋体" w:cs="Times New Roman"/>
                <w:color w:val="auto"/>
                <w:kern w:val="0"/>
                <w:szCs w:val="21"/>
              </w:rPr>
              <w:t>1</w:t>
            </w:r>
            <w:r>
              <w:rPr>
                <w:rFonts w:hint="eastAsia" w:ascii="宋体" w:hAnsi="宋体" w:eastAsia="宋体" w:cs="Times New Roman"/>
                <w:color w:val="auto"/>
                <w:kern w:val="0"/>
                <w:szCs w:val="21"/>
              </w:rPr>
              <w:t>年的保修，保修期自设备验收签字之日算起。质保期内免费保修，保外只收配件费。</w:t>
            </w:r>
          </w:p>
          <w:p w14:paraId="72A24763">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7</w:t>
            </w:r>
            <w:r>
              <w:rPr>
                <w:rFonts w:ascii="宋体" w:hAnsi="宋体" w:eastAsia="宋体" w:cs="Times New Roman"/>
                <w:color w:val="auto"/>
                <w:kern w:val="0"/>
                <w:szCs w:val="21"/>
              </w:rPr>
              <w:t>.</w:t>
            </w:r>
            <w:r>
              <w:rPr>
                <w:rFonts w:hint="eastAsia" w:ascii="宋体" w:hAnsi="宋体" w:eastAsia="宋体" w:cs="Times New Roman"/>
                <w:color w:val="auto"/>
                <w:kern w:val="0"/>
                <w:szCs w:val="21"/>
              </w:rPr>
              <w:t>安装所发生的费用，由中标人</w:t>
            </w:r>
            <w:r>
              <w:rPr>
                <w:rFonts w:hint="eastAsia" w:ascii="宋体" w:hAnsi="宋体" w:eastAsia="宋体" w:cs="Times New Roman"/>
                <w:color w:val="auto"/>
                <w:kern w:val="0"/>
                <w:szCs w:val="21"/>
                <w:lang w:val="en-US" w:eastAsia="zh-CN"/>
              </w:rPr>
              <w:t>承担</w:t>
            </w:r>
            <w:r>
              <w:rPr>
                <w:rFonts w:hint="eastAsia" w:ascii="宋体" w:hAnsi="宋体" w:eastAsia="宋体" w:cs="Times New Roman"/>
                <w:color w:val="auto"/>
                <w:kern w:val="0"/>
                <w:szCs w:val="21"/>
              </w:rPr>
              <w:t>。</w:t>
            </w:r>
          </w:p>
          <w:p w14:paraId="68DD0CA1">
            <w:pPr>
              <w:spacing w:line="276"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8</w:t>
            </w:r>
            <w:r>
              <w:rPr>
                <w:rFonts w:ascii="宋体" w:hAnsi="宋体" w:eastAsia="宋体" w:cs="Times New Roman"/>
                <w:color w:val="auto"/>
                <w:kern w:val="0"/>
                <w:szCs w:val="21"/>
              </w:rPr>
              <w:t>.</w:t>
            </w:r>
            <w:r>
              <w:rPr>
                <w:rFonts w:hint="eastAsia" w:ascii="宋体" w:hAnsi="宋体" w:eastAsia="宋体" w:cs="Times New Roman"/>
                <w:color w:val="auto"/>
                <w:kern w:val="0"/>
                <w:szCs w:val="21"/>
              </w:rPr>
              <w:t>提供必需的实验用椅、人字梯等。</w:t>
            </w:r>
          </w:p>
          <w:p w14:paraId="18EFB2BE">
            <w:pPr>
              <w:spacing w:line="276" w:lineRule="auto"/>
              <w:jc w:val="left"/>
              <w:rPr>
                <w:rFonts w:hint="eastAsia" w:ascii="宋体" w:hAnsi="宋体" w:eastAsia="宋体" w:cs="宋体"/>
                <w:color w:val="auto"/>
                <w:sz w:val="21"/>
                <w:szCs w:val="21"/>
              </w:rPr>
            </w:pPr>
            <w:r>
              <w:rPr>
                <w:rFonts w:ascii="宋体" w:hAnsi="宋体" w:eastAsia="宋体" w:cs="Times New Roman"/>
                <w:color w:val="auto"/>
                <w:kern w:val="0"/>
                <w:szCs w:val="21"/>
              </w:rPr>
              <w:t>9.</w:t>
            </w:r>
            <w:r>
              <w:rPr>
                <w:rFonts w:hint="eastAsia" w:ascii="宋体" w:hAnsi="宋体" w:eastAsia="宋体" w:cs="Times New Roman"/>
                <w:color w:val="auto"/>
                <w:kern w:val="0"/>
                <w:szCs w:val="21"/>
              </w:rPr>
              <w:t>提供一次</w:t>
            </w:r>
            <w:r>
              <w:rPr>
                <w:rFonts w:hint="eastAsia" w:ascii="宋体" w:hAnsi="宋体" w:eastAsia="宋体" w:cs="Times New Roman"/>
                <w:color w:val="auto"/>
                <w:kern w:val="0"/>
                <w:szCs w:val="21"/>
                <w:lang w:val="en-US" w:eastAsia="zh-CN"/>
              </w:rPr>
              <w:t>无条件</w:t>
            </w:r>
            <w:r>
              <w:rPr>
                <w:rFonts w:hint="eastAsia" w:ascii="宋体" w:hAnsi="宋体" w:eastAsia="宋体" w:cs="Times New Roman"/>
                <w:color w:val="auto"/>
                <w:kern w:val="0"/>
                <w:szCs w:val="21"/>
              </w:rPr>
              <w:t>移机服务。</w:t>
            </w:r>
          </w:p>
        </w:tc>
        <w:tc>
          <w:tcPr>
            <w:tcW w:w="984" w:type="dxa"/>
            <w:noWrap w:val="0"/>
            <w:vAlign w:val="center"/>
          </w:tcPr>
          <w:p w14:paraId="42ACBE41">
            <w:pPr>
              <w:widowControl/>
              <w:spacing w:line="44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1套</w:t>
            </w:r>
          </w:p>
        </w:tc>
        <w:tc>
          <w:tcPr>
            <w:tcW w:w="691" w:type="dxa"/>
            <w:noWrap w:val="0"/>
            <w:vAlign w:val="center"/>
          </w:tcPr>
          <w:p w14:paraId="3432F0B0">
            <w:pPr>
              <w:spacing w:line="44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工业</w:t>
            </w:r>
          </w:p>
        </w:tc>
        <w:tc>
          <w:tcPr>
            <w:tcW w:w="858" w:type="dxa"/>
            <w:noWrap w:val="0"/>
            <w:vAlign w:val="center"/>
          </w:tcPr>
          <w:p w14:paraId="3CC60919">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是</w:t>
            </w:r>
          </w:p>
        </w:tc>
        <w:tc>
          <w:tcPr>
            <w:tcW w:w="706" w:type="dxa"/>
            <w:noWrap w:val="0"/>
            <w:vAlign w:val="center"/>
          </w:tcPr>
          <w:p w14:paraId="29C6F364">
            <w:pPr>
              <w:spacing w:line="440" w:lineRule="exact"/>
              <w:jc w:val="center"/>
              <w:rPr>
                <w:rFonts w:hint="eastAsia" w:ascii="宋体" w:hAnsi="宋体" w:eastAsia="宋体" w:cs="宋体"/>
                <w:color w:val="auto"/>
                <w:sz w:val="21"/>
                <w:szCs w:val="21"/>
              </w:rPr>
            </w:pPr>
          </w:p>
        </w:tc>
      </w:tr>
    </w:tbl>
    <w:p w14:paraId="41C7C30A">
      <w:pPr>
        <w:spacing w:line="440" w:lineRule="exact"/>
        <w:rPr>
          <w:rFonts w:hint="eastAsia" w:ascii="宋体" w:hAnsi="宋体" w:eastAsia="宋体" w:cs="Times New Roman"/>
          <w:color w:val="auto"/>
          <w:sz w:val="24"/>
          <w:szCs w:val="24"/>
        </w:rPr>
      </w:pPr>
    </w:p>
    <w:p w14:paraId="33B158CE">
      <w:pPr>
        <w:spacing w:line="360" w:lineRule="auto"/>
        <w:outlineLvl w:val="1"/>
        <w:rPr>
          <w:rFonts w:ascii="宋体" w:hAnsi="宋体" w:eastAsia="宋体"/>
          <w:b/>
          <w:bCs/>
          <w:color w:val="auto"/>
          <w:szCs w:val="18"/>
        </w:rPr>
      </w:pPr>
      <w:bookmarkStart w:id="9" w:name="_Toc178465415"/>
      <w:bookmarkStart w:id="10" w:name="_Toc4843"/>
      <w:bookmarkStart w:id="11" w:name="_Toc7421"/>
      <w:r>
        <w:rPr>
          <w:rFonts w:hint="eastAsia" w:ascii="宋体" w:hAnsi="宋体" w:eastAsia="宋体"/>
          <w:b/>
          <w:bCs/>
          <w:color w:val="auto"/>
          <w:szCs w:val="18"/>
        </w:rPr>
        <w:t>三、报价要求</w:t>
      </w:r>
      <w:bookmarkEnd w:id="9"/>
      <w:bookmarkEnd w:id="10"/>
      <w:bookmarkEnd w:id="11"/>
    </w:p>
    <w:p w14:paraId="56C982B2">
      <w:pPr>
        <w:spacing w:line="360" w:lineRule="auto"/>
        <w:ind w:firstLine="420" w:firstLineChars="200"/>
        <w:rPr>
          <w:rFonts w:ascii="宋体" w:hAnsi="宋体" w:eastAsia="宋体"/>
          <w:color w:val="auto"/>
        </w:rPr>
      </w:pPr>
      <w:r>
        <w:rPr>
          <w:rFonts w:hint="eastAsia" w:ascii="宋体" w:hAnsi="宋体" w:eastAsia="宋体"/>
          <w:color w:val="auto"/>
        </w:rPr>
        <w:t>本项目报投标总价，并同时报出分项报价，投标总价包含完成所投项目所产生的一切费用，投标人自行考虑报价风险</w:t>
      </w:r>
      <w:r>
        <w:rPr>
          <w:rFonts w:ascii="宋体" w:hAnsi="宋体" w:eastAsia="宋体"/>
          <w:color w:val="auto"/>
        </w:rPr>
        <w:t>。</w:t>
      </w:r>
    </w:p>
    <w:p w14:paraId="513D11EE">
      <w:pPr>
        <w:spacing w:line="360" w:lineRule="auto"/>
        <w:outlineLvl w:val="1"/>
        <w:rPr>
          <w:rFonts w:hint="eastAsia" w:ascii="宋体" w:hAnsi="宋体" w:eastAsia="宋体"/>
          <w:b/>
          <w:bCs/>
          <w:color w:val="auto"/>
          <w:szCs w:val="18"/>
        </w:rPr>
      </w:pPr>
      <w:r>
        <w:rPr>
          <w:rFonts w:hint="eastAsia" w:ascii="宋体" w:hAnsi="宋体" w:eastAsia="宋体"/>
          <w:b/>
          <w:bCs/>
          <w:color w:val="auto"/>
          <w:szCs w:val="18"/>
        </w:rPr>
        <w:t>四、备品备件及专用工具</w:t>
      </w:r>
    </w:p>
    <w:p w14:paraId="6AF9A8B2">
      <w:pPr>
        <w:spacing w:line="360" w:lineRule="auto"/>
        <w:ind w:firstLine="420" w:firstLineChars="200"/>
        <w:rPr>
          <w:rFonts w:hint="eastAsia" w:ascii="宋体" w:hAnsi="宋体" w:eastAsia="宋体"/>
          <w:color w:val="auto"/>
        </w:rPr>
      </w:pPr>
      <w:bookmarkStart w:id="12" w:name="_Toc455587093"/>
      <w:bookmarkStart w:id="13" w:name="_Toc455587277"/>
      <w:bookmarkStart w:id="14" w:name="_Toc445554752"/>
      <w:r>
        <w:rPr>
          <w:rFonts w:hint="eastAsia" w:ascii="宋体" w:hAnsi="宋体" w:eastAsia="宋体"/>
          <w:color w:val="auto"/>
        </w:rPr>
        <w:t>1、备品备件：中标人提供能够满足质量保证期内的设备维修要求的备品备件，备品备件应是新品。</w:t>
      </w:r>
    </w:p>
    <w:p w14:paraId="239F468A">
      <w:pPr>
        <w:spacing w:line="360" w:lineRule="auto"/>
        <w:ind w:firstLine="420" w:firstLineChars="200"/>
        <w:rPr>
          <w:rFonts w:hint="eastAsia" w:ascii="宋体" w:hAnsi="宋体" w:eastAsia="宋体"/>
          <w:color w:val="auto"/>
        </w:rPr>
      </w:pPr>
      <w:r>
        <w:rPr>
          <w:rFonts w:hint="eastAsia" w:ascii="宋体" w:hAnsi="宋体" w:eastAsia="宋体"/>
          <w:color w:val="auto"/>
        </w:rPr>
        <w:t>2、专用工具：中标人提供设备安装、调试、验收、维修、保养所必要的专用工具、仪器、仪表等工具。</w:t>
      </w:r>
    </w:p>
    <w:bookmarkEnd w:id="12"/>
    <w:bookmarkEnd w:id="13"/>
    <w:bookmarkEnd w:id="14"/>
    <w:p w14:paraId="05E7220C">
      <w:pPr>
        <w:spacing w:line="360" w:lineRule="auto"/>
        <w:outlineLvl w:val="1"/>
        <w:rPr>
          <w:rFonts w:hint="eastAsia" w:ascii="宋体" w:hAnsi="宋体" w:eastAsia="宋体"/>
          <w:b/>
          <w:bCs/>
          <w:color w:val="auto"/>
          <w:szCs w:val="18"/>
        </w:rPr>
      </w:pPr>
      <w:bookmarkStart w:id="15" w:name="_Toc532199625"/>
      <w:bookmarkStart w:id="16" w:name="_Toc455587278"/>
      <w:bookmarkStart w:id="17" w:name="_Toc455587094"/>
      <w:bookmarkStart w:id="18" w:name="_Toc445554753"/>
      <w:r>
        <w:rPr>
          <w:rFonts w:hint="eastAsia" w:ascii="宋体" w:hAnsi="宋体" w:eastAsia="宋体"/>
          <w:b/>
          <w:bCs/>
          <w:color w:val="auto"/>
          <w:szCs w:val="18"/>
          <w:lang w:eastAsia="zh-CN"/>
        </w:rPr>
        <w:t>五</w:t>
      </w:r>
      <w:r>
        <w:rPr>
          <w:rFonts w:hint="eastAsia" w:ascii="宋体" w:hAnsi="宋体" w:eastAsia="宋体"/>
          <w:b/>
          <w:bCs/>
          <w:color w:val="auto"/>
          <w:szCs w:val="18"/>
        </w:rPr>
        <w:t>、安装调试、验收试验及质量保证</w:t>
      </w:r>
      <w:bookmarkEnd w:id="15"/>
    </w:p>
    <w:p w14:paraId="3A1F6A10">
      <w:pPr>
        <w:spacing w:line="360" w:lineRule="auto"/>
        <w:ind w:firstLine="420" w:firstLineChars="200"/>
        <w:rPr>
          <w:rFonts w:hint="eastAsia" w:ascii="宋体" w:hAnsi="宋体" w:eastAsia="宋体"/>
          <w:color w:val="auto"/>
        </w:rPr>
      </w:pPr>
      <w:r>
        <w:rPr>
          <w:rFonts w:hint="eastAsia" w:ascii="宋体" w:hAnsi="宋体" w:eastAsia="宋体"/>
          <w:color w:val="auto"/>
        </w:rPr>
        <w:t>1、中标人在设备安装地点负责安装、调试。</w:t>
      </w:r>
    </w:p>
    <w:p w14:paraId="059B10EF">
      <w:pPr>
        <w:spacing w:line="360" w:lineRule="auto"/>
        <w:ind w:firstLine="420" w:firstLineChars="200"/>
        <w:rPr>
          <w:rFonts w:hint="eastAsia" w:ascii="宋体" w:hAnsi="宋体" w:eastAsia="宋体"/>
          <w:color w:val="auto"/>
        </w:rPr>
      </w:pPr>
      <w:r>
        <w:rPr>
          <w:rFonts w:hint="eastAsia" w:ascii="宋体" w:hAnsi="宋体" w:eastAsia="宋体"/>
          <w:color w:val="auto"/>
        </w:rPr>
        <w:t>2、具体设备验收标准和程序按采购人要求执行，下列验收程序可参照执行：</w:t>
      </w:r>
    </w:p>
    <w:p w14:paraId="2B14EF65">
      <w:pPr>
        <w:spacing w:line="360" w:lineRule="auto"/>
        <w:ind w:firstLine="420" w:firstLineChars="200"/>
        <w:rPr>
          <w:rFonts w:hint="eastAsia" w:ascii="宋体" w:hAnsi="宋体" w:eastAsia="宋体"/>
          <w:color w:val="auto"/>
        </w:rPr>
      </w:pPr>
      <w:r>
        <w:rPr>
          <w:rFonts w:hint="eastAsia" w:ascii="宋体" w:hAnsi="宋体" w:eastAsia="宋体"/>
          <w:color w:val="auto"/>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w:t>
      </w:r>
    </w:p>
    <w:p w14:paraId="0E1B476C">
      <w:pPr>
        <w:spacing w:line="360" w:lineRule="auto"/>
        <w:ind w:firstLine="420" w:firstLineChars="200"/>
        <w:rPr>
          <w:rFonts w:hint="eastAsia" w:ascii="宋体" w:hAnsi="宋体" w:eastAsia="宋体"/>
          <w:color w:val="auto"/>
        </w:rPr>
      </w:pPr>
      <w:r>
        <w:rPr>
          <w:rFonts w:hint="eastAsia" w:ascii="宋体" w:hAnsi="宋体" w:eastAsia="宋体"/>
          <w:color w:val="auto"/>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5597CBF2">
      <w:pPr>
        <w:spacing w:line="360" w:lineRule="auto"/>
        <w:ind w:firstLine="420" w:firstLineChars="200"/>
        <w:rPr>
          <w:rFonts w:hint="eastAsia" w:ascii="宋体" w:hAnsi="宋体" w:eastAsia="宋体"/>
          <w:color w:val="auto"/>
        </w:rPr>
      </w:pPr>
      <w:r>
        <w:rPr>
          <w:rFonts w:hint="eastAsia" w:ascii="宋体" w:hAnsi="宋体" w:eastAsia="宋体"/>
          <w:color w:val="auto"/>
        </w:rPr>
        <w:t>2.3 中标人应根据采购人使用单位的技术要求提供相应的产品。由中标人所提供的设备部件间的连线和插接件均应视为设备内部器件，包含在相应的设备之中。</w:t>
      </w:r>
    </w:p>
    <w:p w14:paraId="2BDA185E">
      <w:pPr>
        <w:spacing w:line="360" w:lineRule="auto"/>
        <w:ind w:firstLine="420" w:firstLineChars="200"/>
        <w:rPr>
          <w:rFonts w:hint="eastAsia" w:ascii="宋体" w:hAnsi="宋体" w:eastAsia="宋体"/>
          <w:color w:val="auto"/>
        </w:rPr>
      </w:pPr>
      <w:r>
        <w:rPr>
          <w:rFonts w:hint="eastAsia" w:ascii="宋体" w:hAnsi="宋体" w:eastAsia="宋体"/>
          <w:color w:val="auto"/>
        </w:rPr>
        <w:t>2.4 运行测试及最终验收。在系统安装、调试结束后，采购人对其进行全面的测试，对测试中暴露出来的问题，中标人应及时进行整改，系统最终测试完毕经验收合格后，采购人应向中标人签发最终验收证明。</w:t>
      </w:r>
    </w:p>
    <w:p w14:paraId="70745D61">
      <w:pPr>
        <w:spacing w:line="360" w:lineRule="auto"/>
        <w:ind w:firstLine="420" w:firstLineChars="200"/>
        <w:rPr>
          <w:rFonts w:hint="eastAsia" w:ascii="宋体" w:hAnsi="宋体" w:eastAsia="宋体"/>
          <w:color w:val="auto"/>
        </w:rPr>
      </w:pPr>
      <w:r>
        <w:rPr>
          <w:rFonts w:hint="eastAsia" w:ascii="宋体" w:hAnsi="宋体" w:eastAsia="宋体"/>
          <w:color w:val="auto"/>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43B12879">
      <w:pPr>
        <w:spacing w:line="360" w:lineRule="auto"/>
        <w:ind w:firstLine="420" w:firstLineChars="200"/>
        <w:rPr>
          <w:rFonts w:hint="eastAsia" w:ascii="宋体" w:hAnsi="宋体" w:eastAsia="宋体"/>
          <w:color w:val="auto"/>
        </w:rPr>
      </w:pPr>
      <w:r>
        <w:rPr>
          <w:rFonts w:hint="eastAsia" w:ascii="宋体" w:hAnsi="宋体" w:eastAsia="宋体"/>
          <w:color w:val="auto"/>
        </w:rPr>
        <w:t>3、如设备在验收时有一个或多个指标未能达到要求而属于中标人责任时，则中标人自费采取有效措施，在规定时间内使之达到保证指标。如在规定的时间内仍达不到合格标准时，则中标人应向采购人赔偿。</w:t>
      </w:r>
    </w:p>
    <w:p w14:paraId="468B8027">
      <w:pPr>
        <w:spacing w:line="360" w:lineRule="auto"/>
        <w:outlineLvl w:val="1"/>
        <w:rPr>
          <w:rFonts w:hint="eastAsia" w:ascii="宋体" w:hAnsi="宋体" w:eastAsia="宋体"/>
          <w:b/>
          <w:bCs/>
          <w:color w:val="auto"/>
          <w:szCs w:val="18"/>
        </w:rPr>
      </w:pPr>
      <w:bookmarkStart w:id="19" w:name="_Toc532199626"/>
      <w:r>
        <w:rPr>
          <w:rFonts w:hint="eastAsia" w:ascii="宋体" w:hAnsi="宋体" w:eastAsia="宋体"/>
          <w:b/>
          <w:bCs/>
          <w:color w:val="auto"/>
          <w:szCs w:val="18"/>
        </w:rPr>
        <w:t>六、包装运输</w:t>
      </w:r>
      <w:bookmarkEnd w:id="16"/>
      <w:bookmarkEnd w:id="17"/>
      <w:bookmarkEnd w:id="18"/>
      <w:bookmarkEnd w:id="19"/>
    </w:p>
    <w:p w14:paraId="4A687590">
      <w:pPr>
        <w:spacing w:line="360" w:lineRule="auto"/>
        <w:ind w:firstLine="420" w:firstLineChars="200"/>
        <w:rPr>
          <w:rFonts w:hint="eastAsia" w:ascii="宋体" w:hAnsi="宋体" w:eastAsia="宋体"/>
          <w:color w:val="auto"/>
        </w:rPr>
      </w:pPr>
      <w:bookmarkStart w:id="20" w:name="_Toc455587095"/>
      <w:bookmarkStart w:id="21" w:name="_Toc445554754"/>
      <w:bookmarkStart w:id="22" w:name="_Toc455587279"/>
      <w:r>
        <w:rPr>
          <w:rFonts w:hint="eastAsia" w:ascii="宋体" w:hAnsi="宋体" w:eastAsia="宋体"/>
          <w:color w:val="auto"/>
        </w:rPr>
        <w:t>1、中标人负责设备包装、办理运输和保险，将设备安全运抵交货地点。</w:t>
      </w:r>
    </w:p>
    <w:p w14:paraId="3B73F460">
      <w:pPr>
        <w:spacing w:line="360" w:lineRule="auto"/>
        <w:ind w:firstLine="420" w:firstLineChars="200"/>
        <w:rPr>
          <w:rFonts w:hint="eastAsia" w:ascii="宋体" w:hAnsi="宋体" w:eastAsia="宋体"/>
          <w:color w:val="auto"/>
        </w:rPr>
      </w:pPr>
      <w:r>
        <w:rPr>
          <w:rFonts w:hint="eastAsia" w:ascii="宋体" w:hAnsi="宋体" w:eastAsia="宋体"/>
          <w:color w:val="auto"/>
        </w:rPr>
        <w:t>2、设备制造完成并通过试验后应及时包装，否则应得到切实的保护，确保其不受污损。</w:t>
      </w:r>
    </w:p>
    <w:p w14:paraId="00401F03">
      <w:pPr>
        <w:spacing w:line="360" w:lineRule="auto"/>
        <w:ind w:firstLine="420" w:firstLineChars="200"/>
        <w:rPr>
          <w:rFonts w:hint="eastAsia" w:ascii="宋体" w:hAnsi="宋体" w:eastAsia="宋体"/>
          <w:color w:val="auto"/>
        </w:rPr>
      </w:pPr>
      <w:r>
        <w:rPr>
          <w:rFonts w:hint="eastAsia" w:ascii="宋体" w:hAnsi="宋体" w:eastAsia="宋体"/>
          <w:color w:val="auto"/>
        </w:rPr>
        <w:t>3、在包装箱外应标明采购人的订货号、发货号。</w:t>
      </w:r>
    </w:p>
    <w:p w14:paraId="4D6F31E3">
      <w:pPr>
        <w:spacing w:line="360" w:lineRule="auto"/>
        <w:ind w:firstLine="420" w:firstLineChars="200"/>
        <w:rPr>
          <w:rFonts w:hint="eastAsia" w:ascii="宋体" w:hAnsi="宋体" w:eastAsia="宋体"/>
          <w:color w:val="auto"/>
        </w:rPr>
      </w:pPr>
      <w:r>
        <w:rPr>
          <w:rFonts w:hint="eastAsia" w:ascii="宋体" w:hAnsi="宋体" w:eastAsia="宋体"/>
          <w:color w:val="auto"/>
        </w:rPr>
        <w:t>4、各种包装应能确保各零部件在运输过程中不致遭到损坏、丢失、变形、受潮和腐蚀。</w:t>
      </w:r>
    </w:p>
    <w:p w14:paraId="202BE2C1">
      <w:pPr>
        <w:spacing w:line="360" w:lineRule="auto"/>
        <w:ind w:firstLine="420" w:firstLineChars="200"/>
        <w:rPr>
          <w:rFonts w:hint="eastAsia" w:ascii="宋体" w:hAnsi="宋体" w:eastAsia="宋体"/>
          <w:color w:val="auto"/>
        </w:rPr>
      </w:pPr>
      <w:r>
        <w:rPr>
          <w:rFonts w:hint="eastAsia" w:ascii="宋体" w:hAnsi="宋体" w:eastAsia="宋体"/>
          <w:color w:val="auto"/>
        </w:rPr>
        <w:t>5、包装箱上应有明显的包装储运图示标志。</w:t>
      </w:r>
    </w:p>
    <w:p w14:paraId="4A55B8B7">
      <w:pPr>
        <w:spacing w:line="360" w:lineRule="auto"/>
        <w:ind w:firstLine="420" w:firstLineChars="200"/>
        <w:rPr>
          <w:rFonts w:hint="eastAsia" w:ascii="宋体" w:hAnsi="宋体" w:eastAsia="宋体"/>
          <w:color w:val="auto"/>
        </w:rPr>
      </w:pPr>
      <w:r>
        <w:rPr>
          <w:rFonts w:hint="eastAsia" w:ascii="宋体" w:hAnsi="宋体" w:eastAsia="宋体"/>
          <w:color w:val="auto"/>
        </w:rPr>
        <w:t>6、整体产品或分别运输的部件都要适应运输和装载的要求。</w:t>
      </w:r>
    </w:p>
    <w:p w14:paraId="6917EA02">
      <w:pPr>
        <w:spacing w:line="360" w:lineRule="auto"/>
        <w:ind w:firstLine="420" w:firstLineChars="200"/>
        <w:rPr>
          <w:rFonts w:hint="eastAsia" w:ascii="宋体" w:hAnsi="宋体" w:eastAsia="宋体"/>
          <w:color w:val="auto"/>
        </w:rPr>
      </w:pPr>
      <w:r>
        <w:rPr>
          <w:rFonts w:hint="eastAsia" w:ascii="宋体" w:hAnsi="宋体" w:eastAsia="宋体"/>
          <w:color w:val="auto"/>
        </w:rPr>
        <w:t>7、随产品提供的技术资料应完整无缺。</w:t>
      </w:r>
    </w:p>
    <w:p w14:paraId="50F350F8">
      <w:pPr>
        <w:spacing w:line="360" w:lineRule="auto"/>
        <w:outlineLvl w:val="1"/>
        <w:rPr>
          <w:rFonts w:hint="eastAsia" w:ascii="宋体" w:hAnsi="宋体" w:eastAsia="宋体"/>
          <w:b/>
          <w:bCs/>
          <w:color w:val="auto"/>
          <w:szCs w:val="18"/>
        </w:rPr>
      </w:pPr>
      <w:bookmarkStart w:id="23" w:name="_Toc532199627"/>
      <w:r>
        <w:rPr>
          <w:rFonts w:hint="eastAsia" w:ascii="宋体" w:hAnsi="宋体" w:eastAsia="宋体"/>
          <w:b/>
          <w:bCs/>
          <w:color w:val="auto"/>
          <w:szCs w:val="18"/>
          <w:lang w:eastAsia="zh-CN"/>
        </w:rPr>
        <w:t>七</w:t>
      </w:r>
      <w:r>
        <w:rPr>
          <w:rFonts w:hint="eastAsia" w:ascii="宋体" w:hAnsi="宋体" w:eastAsia="宋体"/>
          <w:b/>
          <w:bCs/>
          <w:color w:val="auto"/>
          <w:szCs w:val="18"/>
        </w:rPr>
        <w:t>、技术培训</w:t>
      </w:r>
      <w:bookmarkEnd w:id="20"/>
      <w:bookmarkEnd w:id="21"/>
      <w:bookmarkEnd w:id="22"/>
      <w:bookmarkEnd w:id="23"/>
    </w:p>
    <w:p w14:paraId="6E230AE6">
      <w:pPr>
        <w:spacing w:line="360" w:lineRule="auto"/>
        <w:ind w:firstLine="420" w:firstLineChars="200"/>
        <w:rPr>
          <w:rFonts w:hint="eastAsia" w:ascii="宋体" w:hAnsi="宋体" w:eastAsia="宋体"/>
          <w:color w:val="auto"/>
        </w:rPr>
      </w:pPr>
      <w:r>
        <w:rPr>
          <w:rFonts w:hint="eastAsia" w:ascii="宋体" w:hAnsi="宋体" w:eastAsia="宋体"/>
          <w:color w:val="auto"/>
        </w:rPr>
        <w:t>1、为使合同设备能正常安装和运行，由中标人提供相应的技术培训，并免收采购人培训费用。培训内容应与工程进度相一致。</w:t>
      </w:r>
    </w:p>
    <w:p w14:paraId="25494ED5">
      <w:pPr>
        <w:spacing w:line="360" w:lineRule="auto"/>
        <w:ind w:firstLine="420" w:firstLineChars="200"/>
        <w:rPr>
          <w:rFonts w:hint="eastAsia" w:ascii="宋体" w:hAnsi="宋体" w:eastAsia="宋体"/>
          <w:color w:val="auto"/>
        </w:rPr>
      </w:pPr>
      <w:r>
        <w:rPr>
          <w:rFonts w:hint="eastAsia" w:ascii="宋体" w:hAnsi="宋体" w:eastAsia="宋体"/>
          <w:color w:val="auto"/>
        </w:rPr>
        <w:t>2、培训的时间、人数、地点等具体内容由买卖双方商定，内容至少包括：设备原理、使用、维护、运行操作、常见故障处理等。</w:t>
      </w:r>
    </w:p>
    <w:p w14:paraId="215240B1">
      <w:pPr>
        <w:spacing w:line="360" w:lineRule="auto"/>
        <w:ind w:firstLine="420" w:firstLineChars="200"/>
        <w:rPr>
          <w:rFonts w:hint="eastAsia" w:ascii="宋体" w:hAnsi="宋体" w:eastAsia="宋体"/>
          <w:color w:val="auto"/>
        </w:rPr>
      </w:pPr>
      <w:r>
        <w:rPr>
          <w:rFonts w:hint="eastAsia" w:ascii="宋体" w:hAnsi="宋体" w:eastAsia="宋体"/>
          <w:color w:val="auto"/>
        </w:rPr>
        <w:t>3、</w:t>
      </w:r>
      <w:r>
        <w:rPr>
          <w:rFonts w:hint="eastAsia" w:ascii="宋体" w:hAnsi="宋体" w:eastAsia="宋体"/>
          <w:color w:val="auto"/>
          <w:lang w:val="en-US" w:eastAsia="zh-CN"/>
        </w:rPr>
        <w:t>货物</w:t>
      </w:r>
      <w:r>
        <w:rPr>
          <w:rFonts w:hint="eastAsia" w:ascii="宋体" w:hAnsi="宋体" w:eastAsia="宋体"/>
          <w:color w:val="auto"/>
        </w:rPr>
        <w:t>需求里有特别规定的，以</w:t>
      </w:r>
      <w:r>
        <w:rPr>
          <w:rFonts w:hint="eastAsia" w:ascii="宋体" w:hAnsi="宋体" w:eastAsia="宋体"/>
          <w:color w:val="auto"/>
          <w:lang w:val="en-US" w:eastAsia="zh-CN"/>
        </w:rPr>
        <w:t>货物</w:t>
      </w:r>
      <w:r>
        <w:rPr>
          <w:rFonts w:hint="eastAsia" w:ascii="宋体" w:hAnsi="宋体" w:eastAsia="宋体"/>
          <w:color w:val="auto"/>
        </w:rPr>
        <w:t>需求中的需求为准。</w:t>
      </w:r>
    </w:p>
    <w:p w14:paraId="700F3769">
      <w:pPr>
        <w:adjustRightInd w:val="0"/>
        <w:snapToGrid w:val="0"/>
        <w:spacing w:line="360" w:lineRule="auto"/>
        <w:ind w:firstLine="422" w:firstLineChars="200"/>
        <w:rPr>
          <w:rFonts w:hint="eastAsia" w:ascii="宋体" w:hAnsi="宋体" w:eastAsia="宋体"/>
          <w:b/>
          <w:bCs/>
          <w:color w:val="auto"/>
          <w:szCs w:val="18"/>
        </w:rPr>
      </w:pPr>
      <w:bookmarkStart w:id="24" w:name="_Toc532199628"/>
      <w:r>
        <w:rPr>
          <w:rFonts w:hint="eastAsia" w:ascii="宋体" w:hAnsi="宋体" w:eastAsia="宋体"/>
          <w:b/>
          <w:bCs/>
          <w:color w:val="auto"/>
          <w:szCs w:val="18"/>
          <w:lang w:eastAsia="zh-CN"/>
        </w:rPr>
        <w:t>八</w:t>
      </w:r>
      <w:r>
        <w:rPr>
          <w:rFonts w:hint="eastAsia" w:ascii="宋体" w:hAnsi="宋体" w:eastAsia="宋体"/>
          <w:b/>
          <w:bCs/>
          <w:color w:val="auto"/>
          <w:szCs w:val="18"/>
        </w:rPr>
        <w:t>、质保及售后服务</w:t>
      </w:r>
    </w:p>
    <w:p w14:paraId="328CE0D8">
      <w:pPr>
        <w:spacing w:line="360" w:lineRule="auto"/>
        <w:ind w:firstLine="420" w:firstLineChars="200"/>
        <w:rPr>
          <w:rFonts w:hint="eastAsia" w:ascii="宋体" w:hAnsi="宋体" w:eastAsia="宋体"/>
          <w:color w:val="auto"/>
        </w:rPr>
      </w:pPr>
      <w:r>
        <w:rPr>
          <w:rFonts w:hint="eastAsia" w:ascii="宋体" w:hAnsi="宋体" w:eastAsia="宋体"/>
          <w:color w:val="auto"/>
        </w:rPr>
        <w:t>1、自双方签订《验收报告》起进入免费质保期。</w:t>
      </w:r>
    </w:p>
    <w:p w14:paraId="7CC6585D">
      <w:pPr>
        <w:spacing w:line="360" w:lineRule="auto"/>
        <w:ind w:firstLine="420" w:firstLineChars="200"/>
      </w:pPr>
      <w:r>
        <w:rPr>
          <w:rFonts w:hint="eastAsia" w:ascii="宋体" w:hAnsi="宋体" w:eastAsia="宋体"/>
          <w:color w:val="auto"/>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bookmarkEnd w:id="24"/>
      <w:bookmarkStart w:id="25" w:name="_GoBack"/>
      <w:bookmarkEnd w:id="2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xNDgwOWE2N2Y5MWIyN2U3NzI3YzFkMDFlYTRjYzkifQ=="/>
  </w:docVars>
  <w:rsids>
    <w:rsidRoot w:val="361D6621"/>
    <w:rsid w:val="361D6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rFonts w:ascii="@微软简标宋" w:hAnsi="@微软简标宋" w:eastAsia="@微软简标宋" w:cs="@微软简标宋"/>
      <w:szCs w:val="24"/>
      <w:lang w:val="zh-CN"/>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amp;L"/>
    <w:basedOn w:val="3"/>
    <w:qFormat/>
    <w:uiPriority w:val="0"/>
    <w:pPr>
      <w:pBdr>
        <w:bottom w:val="none" w:color="auto" w:sz="0" w:space="0"/>
      </w:pBdr>
      <w:snapToGrid/>
    </w:pPr>
    <w:rPr>
      <w:rFonts w:ascii="宋体" w:hAnsi="宋体" w:eastAsia="宋体"/>
      <w:bCs/>
      <w:sz w:val="24"/>
      <w:szCs w:val="20"/>
    </w:rPr>
  </w:style>
  <w:style w:type="paragraph" w:customStyle="1" w:styleId="7">
    <w:name w:val="xl31"/>
    <w:basedOn w:val="1"/>
    <w:qFormat/>
    <w:uiPriority w:val="0"/>
    <w:pPr>
      <w:adjustRightInd w:val="0"/>
      <w:snapToGrid w:val="0"/>
      <w:spacing w:line="300" w:lineRule="auto"/>
    </w:pPr>
    <w:rPr>
      <w:rFonts w:ascii="宋体" w:hAnsi="宋体" w:eastAsia="宋体"/>
      <w:bCs/>
      <w:color w:val="FF0000"/>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2024-10-24T10:46:00Z</dcterms:created>
  <dc:creator>校对-许美玥</dc:creator>
  <cp:lastModifiedBy>校对-许美玥</cp:lastModifiedBy>
  <dcterms:modified xsi:type="dcterms:W3CDTF">2024-10-24T10:46:47Z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A3F497E12B514AE1890A7419115D9BF2_11</vt:lpwstr>
  </property>
</Properties>
</file>