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11E3E">
      <w:pPr>
        <w:pStyle w:val="3"/>
        <w:widowControl/>
        <w:snapToGrid w:val="0"/>
        <w:spacing w:before="0" w:after="0" w:line="360" w:lineRule="auto"/>
        <w:jc w:val="center"/>
        <w:rPr>
          <w:rFonts w:hint="eastAsia" w:ascii="宋体" w:hAnsi="宋体" w:eastAsia="仿宋"/>
          <w:color w:val="auto"/>
          <w:highlight w:val="none"/>
        </w:rPr>
      </w:pPr>
      <w:bookmarkStart w:id="0" w:name="_Toc445554746"/>
      <w:bookmarkStart w:id="1" w:name="_Toc28978"/>
      <w:bookmarkStart w:id="2" w:name="_Toc466024555"/>
      <w:bookmarkStart w:id="6" w:name="_GoBack"/>
      <w:bookmarkEnd w:id="6"/>
      <w:r>
        <w:rPr>
          <w:rFonts w:hint="eastAsia" w:ascii="宋体" w:hAnsi="宋体" w:eastAsia="仿宋"/>
          <w:color w:val="auto"/>
          <w:highlight w:val="none"/>
        </w:rPr>
        <w:t>采购需求</w:t>
      </w:r>
      <w:bookmarkEnd w:id="0"/>
      <w:bookmarkEnd w:id="1"/>
      <w:bookmarkEnd w:id="2"/>
    </w:p>
    <w:p w14:paraId="35BE661C">
      <w:pPr>
        <w:pStyle w:val="18"/>
        <w:spacing w:line="360" w:lineRule="auto"/>
        <w:rPr>
          <w:rFonts w:hint="eastAsia" w:hAnsi="宋体" w:eastAsia="仿宋"/>
          <w:bCs/>
          <w:color w:val="auto"/>
          <w:sz w:val="24"/>
          <w:szCs w:val="24"/>
          <w:highlight w:val="none"/>
        </w:rPr>
      </w:pPr>
      <w:r>
        <w:rPr>
          <w:rFonts w:hint="eastAsia" w:hAnsi="宋体" w:eastAsia="仿宋"/>
          <w:bCs/>
          <w:color w:val="auto"/>
          <w:sz w:val="24"/>
          <w:szCs w:val="24"/>
          <w:highlight w:val="none"/>
        </w:rPr>
        <w:t>前注：</w:t>
      </w:r>
    </w:p>
    <w:p w14:paraId="79FDDAC0">
      <w:pPr>
        <w:pStyle w:val="18"/>
        <w:spacing w:line="360" w:lineRule="auto"/>
        <w:ind w:firstLine="480" w:firstLineChars="200"/>
        <w:rPr>
          <w:rFonts w:hAnsi="宋体" w:eastAsia="仿宋"/>
          <w:bCs/>
          <w:color w:val="auto"/>
          <w:sz w:val="24"/>
          <w:szCs w:val="24"/>
          <w:highlight w:val="none"/>
        </w:rPr>
      </w:pPr>
      <w:r>
        <w:rPr>
          <w:rFonts w:hint="eastAsia" w:hAnsi="宋体" w:eastAsia="仿宋"/>
          <w:bCs/>
          <w:color w:val="auto"/>
          <w:sz w:val="24"/>
          <w:szCs w:val="24"/>
          <w:highlight w:val="none"/>
        </w:rPr>
        <w:t>本说明中提出的技术方案仅为参考，如无明确限制，供应商可以进行优化，提供满足用户实际需要的更优(或者性能实质上不低于的)服务方案，且此方案须经磋商小组评审认可。</w:t>
      </w:r>
    </w:p>
    <w:p w14:paraId="29C70FE7">
      <w:pPr>
        <w:pStyle w:val="18"/>
        <w:spacing w:line="360" w:lineRule="auto"/>
        <w:ind w:firstLine="480" w:firstLineChars="200"/>
        <w:rPr>
          <w:rFonts w:hAnsi="宋体" w:eastAsia="仿宋"/>
          <w:bCs/>
          <w:color w:val="auto"/>
          <w:sz w:val="24"/>
          <w:szCs w:val="24"/>
          <w:highlight w:val="none"/>
        </w:rPr>
      </w:pPr>
      <w:r>
        <w:rPr>
          <w:rFonts w:hint="eastAsia" w:hAnsi="宋体" w:eastAsia="仿宋"/>
          <w:bCs/>
          <w:color w:val="auto"/>
          <w:sz w:val="24"/>
          <w:szCs w:val="24"/>
          <w:highlight w:val="none"/>
        </w:rPr>
        <w:t>1.</w:t>
      </w:r>
      <w:r>
        <w:rPr>
          <w:rFonts w:hint="eastAsia"/>
          <w:color w:val="auto"/>
          <w:highlight w:val="none"/>
        </w:rPr>
        <w:t xml:space="preserve"> </w:t>
      </w:r>
      <w:r>
        <w:rPr>
          <w:rFonts w:hint="eastAsia" w:hAnsi="宋体" w:eastAsia="仿宋"/>
          <w:bCs/>
          <w:color w:val="auto"/>
          <w:sz w:val="24"/>
          <w:szCs w:val="24"/>
          <w:highlight w:val="none"/>
        </w:rPr>
        <w:t>本章所提出的技术要求是对本次采购服务的基本要求，并未涉及所有技术细节，也未充分引述有关标准、规范的全部条款。供应商应保证其提供的服务除了满足本技术要求外，还应符合中国国家、行业、地方或服务提供商所在国的有关强制性标准、规范。当上述标准、规范的有关规定之间存在差异时，应以要求高的为准。</w:t>
      </w:r>
    </w:p>
    <w:p w14:paraId="0AE11922">
      <w:pPr>
        <w:pStyle w:val="18"/>
        <w:spacing w:line="360" w:lineRule="auto"/>
        <w:ind w:firstLine="480" w:firstLineChars="200"/>
        <w:rPr>
          <w:rFonts w:hAnsi="宋体" w:eastAsia="仿宋"/>
          <w:bCs/>
          <w:color w:val="auto"/>
          <w:sz w:val="24"/>
          <w:szCs w:val="24"/>
          <w:highlight w:val="none"/>
        </w:rPr>
      </w:pPr>
      <w:r>
        <w:rPr>
          <w:rFonts w:hint="eastAsia" w:hAnsi="宋体" w:eastAsia="仿宋"/>
          <w:bCs/>
          <w:color w:val="auto"/>
          <w:sz w:val="24"/>
          <w:szCs w:val="24"/>
          <w:highlight w:val="none"/>
        </w:rPr>
        <w:t>2.</w:t>
      </w:r>
      <w:r>
        <w:rPr>
          <w:rFonts w:hint="eastAsia"/>
          <w:color w:val="auto"/>
          <w:highlight w:val="none"/>
        </w:rPr>
        <w:t xml:space="preserve"> </w:t>
      </w:r>
      <w:r>
        <w:rPr>
          <w:rFonts w:hint="eastAsia" w:hAnsi="宋体" w:eastAsia="仿宋"/>
          <w:bCs/>
          <w:color w:val="auto"/>
          <w:sz w:val="24"/>
          <w:szCs w:val="24"/>
          <w:highlight w:val="none"/>
        </w:rPr>
        <w:t>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14:paraId="21281AE2">
      <w:pPr>
        <w:pStyle w:val="18"/>
        <w:spacing w:line="360" w:lineRule="auto"/>
        <w:ind w:firstLine="480" w:firstLineChars="200"/>
        <w:rPr>
          <w:rFonts w:hAnsi="宋体" w:eastAsia="仿宋"/>
          <w:bCs/>
          <w:color w:val="auto"/>
          <w:sz w:val="24"/>
          <w:szCs w:val="24"/>
          <w:highlight w:val="none"/>
        </w:rPr>
      </w:pPr>
      <w:r>
        <w:rPr>
          <w:rFonts w:hint="eastAsia" w:hAnsi="宋体" w:eastAsia="仿宋"/>
          <w:bCs/>
          <w:color w:val="auto"/>
          <w:sz w:val="24"/>
          <w:szCs w:val="24"/>
          <w:highlight w:val="none"/>
        </w:rPr>
        <w:t>3.</w:t>
      </w:r>
      <w:r>
        <w:rPr>
          <w:rFonts w:hint="eastAsia"/>
          <w:color w:val="auto"/>
          <w:highlight w:val="none"/>
        </w:rPr>
        <w:t xml:space="preserve"> </w:t>
      </w:r>
      <w:r>
        <w:rPr>
          <w:rFonts w:hint="eastAsia" w:hAnsi="宋体" w:eastAsia="仿宋"/>
          <w:bCs/>
          <w:color w:val="auto"/>
          <w:sz w:val="24"/>
          <w:szCs w:val="24"/>
          <w:highlight w:val="none"/>
        </w:rPr>
        <w:t>除非有特别说明，本章中所列的具体参数或参数范围，均理解为采购人可接受的最低要求。</w:t>
      </w:r>
    </w:p>
    <w:p w14:paraId="332CDD63">
      <w:pPr>
        <w:pStyle w:val="18"/>
        <w:spacing w:line="360" w:lineRule="auto"/>
        <w:ind w:firstLine="480" w:firstLineChars="200"/>
        <w:rPr>
          <w:rFonts w:hint="eastAsia" w:hAnsi="宋体" w:eastAsia="仿宋"/>
          <w:bCs/>
          <w:color w:val="auto"/>
          <w:sz w:val="24"/>
          <w:szCs w:val="24"/>
          <w:highlight w:val="none"/>
        </w:rPr>
      </w:pPr>
      <w:r>
        <w:rPr>
          <w:rFonts w:hint="eastAsia" w:hAnsi="宋体" w:eastAsia="仿宋"/>
          <w:bCs/>
          <w:color w:val="auto"/>
          <w:sz w:val="24"/>
          <w:szCs w:val="24"/>
          <w:highlight w:val="none"/>
        </w:rPr>
        <w:t>4.</w:t>
      </w:r>
      <w:r>
        <w:rPr>
          <w:rFonts w:hint="eastAsia"/>
          <w:color w:val="auto"/>
          <w:highlight w:val="none"/>
        </w:rPr>
        <w:t xml:space="preserve"> </w:t>
      </w:r>
      <w:r>
        <w:rPr>
          <w:rFonts w:hint="eastAsia" w:hAnsi="宋体" w:eastAsia="仿宋"/>
          <w:bCs/>
          <w:color w:val="auto"/>
          <w:sz w:val="24"/>
          <w:szCs w:val="24"/>
          <w:highlight w:val="none"/>
        </w:rPr>
        <w:t>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14:paraId="21F9E0F0">
      <w:pPr>
        <w:pStyle w:val="4"/>
        <w:rPr>
          <w:color w:val="auto"/>
          <w:highlight w:val="none"/>
        </w:rPr>
      </w:pPr>
      <w:r>
        <w:rPr>
          <w:rFonts w:hint="eastAsia"/>
          <w:color w:val="auto"/>
          <w:highlight w:val="none"/>
        </w:rPr>
        <w:t>一、采购需求前附表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678"/>
        <w:gridCol w:w="5761"/>
      </w:tblGrid>
      <w:tr w14:paraId="4635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0300C2F">
            <w:pPr>
              <w:pStyle w:val="18"/>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序号</w:t>
            </w:r>
          </w:p>
        </w:tc>
        <w:tc>
          <w:tcPr>
            <w:tcW w:w="1985" w:type="dxa"/>
            <w:noWrap w:val="0"/>
            <w:vAlign w:val="center"/>
          </w:tcPr>
          <w:p w14:paraId="7BDC2EC9">
            <w:pPr>
              <w:pStyle w:val="18"/>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条款名称</w:t>
            </w:r>
          </w:p>
        </w:tc>
        <w:tc>
          <w:tcPr>
            <w:tcW w:w="6627" w:type="dxa"/>
            <w:noWrap w:val="0"/>
            <w:vAlign w:val="center"/>
          </w:tcPr>
          <w:p w14:paraId="622F198E">
            <w:pPr>
              <w:pStyle w:val="18"/>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内容、说明与要求</w:t>
            </w:r>
          </w:p>
        </w:tc>
      </w:tr>
      <w:tr w14:paraId="27EE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0C3706AE">
            <w:pPr>
              <w:pStyle w:val="18"/>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1</w:t>
            </w:r>
          </w:p>
        </w:tc>
        <w:tc>
          <w:tcPr>
            <w:tcW w:w="1985" w:type="dxa"/>
            <w:noWrap w:val="0"/>
            <w:vAlign w:val="center"/>
          </w:tcPr>
          <w:p w14:paraId="3333ED6E">
            <w:pPr>
              <w:pStyle w:val="18"/>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付款方式</w:t>
            </w:r>
          </w:p>
        </w:tc>
        <w:tc>
          <w:tcPr>
            <w:tcW w:w="6627" w:type="dxa"/>
            <w:noWrap w:val="0"/>
            <w:vAlign w:val="center"/>
          </w:tcPr>
          <w:p w14:paraId="3AEF9584">
            <w:pPr>
              <w:pStyle w:val="18"/>
              <w:spacing w:line="240" w:lineRule="auto"/>
              <w:jc w:val="left"/>
              <w:rPr>
                <w:rFonts w:hAnsi="宋体" w:eastAsia="仿宋"/>
                <w:bCs/>
                <w:color w:val="auto"/>
                <w:sz w:val="24"/>
                <w:szCs w:val="24"/>
                <w:highlight w:val="none"/>
              </w:rPr>
            </w:pPr>
            <w:r>
              <w:rPr>
                <w:rFonts w:hint="eastAsia" w:hAnsi="宋体" w:eastAsia="仿宋"/>
                <w:b/>
                <w:color w:val="auto"/>
                <w:sz w:val="24"/>
                <w:szCs w:val="24"/>
                <w:highlight w:val="none"/>
              </w:rPr>
              <w:t>成交供应商需提供预付款保函，</w:t>
            </w:r>
            <w:r>
              <w:rPr>
                <w:rFonts w:hint="eastAsia" w:hAnsi="宋体" w:eastAsia="仿宋"/>
                <w:bCs/>
                <w:color w:val="auto"/>
                <w:sz w:val="24"/>
                <w:szCs w:val="24"/>
                <w:highlight w:val="none"/>
              </w:rPr>
              <w:t>成交供应商须向采购人提交合同金额40%预付款保函或其他担保措施作为担保，采购人将在合同、相关担保措施生效以及具备实施</w:t>
            </w:r>
            <w:r>
              <w:rPr>
                <w:rFonts w:hint="eastAsia" w:hAnsi="宋体" w:eastAsia="仿宋"/>
                <w:bCs/>
                <w:color w:val="auto"/>
                <w:sz w:val="24"/>
                <w:szCs w:val="24"/>
                <w:highlight w:val="none"/>
                <w:lang w:val="en-US" w:eastAsia="zh-CN"/>
              </w:rPr>
              <w:t>和支付</w:t>
            </w:r>
            <w:r>
              <w:rPr>
                <w:rFonts w:hint="eastAsia" w:hAnsi="宋体" w:eastAsia="仿宋"/>
                <w:bCs/>
                <w:color w:val="auto"/>
                <w:sz w:val="24"/>
                <w:szCs w:val="24"/>
                <w:highlight w:val="none"/>
              </w:rPr>
              <w:t>条件后5个工作日内向成交供应商支付合同金额的40%作为预付款；在签订合同时，供应商书面明确表示无需预付款或者主动要求降低预付款比例的，采购人可不适用前述规定。</w:t>
            </w:r>
          </w:p>
          <w:p w14:paraId="7A2FB70E">
            <w:pPr>
              <w:pStyle w:val="18"/>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备注：</w:t>
            </w:r>
          </w:p>
          <w:p w14:paraId="36334FAC">
            <w:pPr>
              <w:pStyle w:val="18"/>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（1）预付款支付前，成交供应商须提交银行、保险公司、担保公司等金融机构出具的预付款保函(见索即付)或其他担保措施；成交供应商提供保函的受益人和收取单位须为采购人，担保期限不少于合同履约期限。</w:t>
            </w:r>
          </w:p>
          <w:p w14:paraId="19415093">
            <w:pPr>
              <w:pStyle w:val="18"/>
              <w:spacing w:line="240" w:lineRule="auto"/>
              <w:jc w:val="left"/>
              <w:rPr>
                <w:rFonts w:hAnsi="宋体" w:eastAsia="仿宋"/>
                <w:bCs/>
                <w:color w:val="auto"/>
                <w:sz w:val="24"/>
                <w:szCs w:val="24"/>
                <w:highlight w:val="none"/>
              </w:rPr>
            </w:pPr>
            <w:r>
              <w:rPr>
                <w:rFonts w:hint="eastAsia" w:hAnsi="宋体" w:eastAsia="仿宋"/>
                <w:bCs/>
                <w:color w:val="auto"/>
                <w:sz w:val="24"/>
                <w:szCs w:val="24"/>
                <w:highlight w:val="none"/>
              </w:rPr>
              <w:t>（2）</w:t>
            </w:r>
            <w:r>
              <w:rPr>
                <w:rFonts w:hint="eastAsia" w:ascii="宋体" w:hAnsi="宋体" w:eastAsia="仿宋" w:cs="Calibri"/>
                <w:color w:val="auto"/>
                <w:sz w:val="24"/>
                <w:highlight w:val="none"/>
              </w:rPr>
              <w:t>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电子保函</w:t>
            </w:r>
          </w:p>
          <w:p w14:paraId="7EF47D68">
            <w:pPr>
              <w:pStyle w:val="18"/>
              <w:spacing w:line="240" w:lineRule="auto"/>
              <w:jc w:val="left"/>
              <w:rPr>
                <w:rFonts w:hAnsi="宋体" w:eastAsia="仿宋"/>
                <w:bCs/>
                <w:color w:val="auto"/>
                <w:sz w:val="24"/>
                <w:szCs w:val="24"/>
                <w:highlight w:val="none"/>
              </w:rPr>
            </w:pPr>
            <w:r>
              <w:rPr>
                <w:rFonts w:hint="eastAsia" w:ascii="宋体" w:hAnsi="宋体" w:eastAsia="仿宋" w:cs="Calibri"/>
                <w:color w:val="auto"/>
                <w:sz w:val="24"/>
                <w:highlight w:val="none"/>
              </w:rPr>
              <w:t>（3）</w:t>
            </w:r>
            <w:r>
              <w:rPr>
                <w:rFonts w:hint="eastAsia" w:hAnsi="宋体" w:eastAsia="仿宋"/>
                <w:bCs/>
                <w:color w:val="auto"/>
                <w:sz w:val="24"/>
                <w:szCs w:val="24"/>
                <w:highlight w:val="none"/>
              </w:rPr>
              <w:t>在签订合同时，成交供应商书面明确表示无需预 付款，即成交供应商无需提供预付款担保，按皖财购[2022]556号规定，采购人可不再支付预付款；</w:t>
            </w:r>
          </w:p>
          <w:p w14:paraId="2E37FD57">
            <w:pPr>
              <w:pStyle w:val="18"/>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（4）保函递交要求：</w:t>
            </w:r>
          </w:p>
          <w:p w14:paraId="30185523">
            <w:pPr>
              <w:pStyle w:val="18"/>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①如采用银行保函，银行保函应为见索即付无条件独立保函，且应将原件交至采购人保管。</w:t>
            </w:r>
          </w:p>
          <w:p w14:paraId="61F32420">
            <w:pPr>
              <w:pStyle w:val="18"/>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②采用担保机构担保的，应为依法取得融资担保业务经营许可证的融资担保机构出具的不可撤销、不可转让的见索即付独立保函。</w:t>
            </w:r>
          </w:p>
          <w:p w14:paraId="4F32249D">
            <w:pPr>
              <w:pStyle w:val="18"/>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③采用保证保险的，应为保险公司出具的不可撤销、不可转让的见索即付保证保险。</w:t>
            </w:r>
          </w:p>
          <w:p w14:paraId="29A62E4C">
            <w:pPr>
              <w:pStyle w:val="18"/>
              <w:spacing w:line="240" w:lineRule="auto"/>
              <w:jc w:val="left"/>
              <w:rPr>
                <w:rFonts w:hAnsi="宋体" w:eastAsia="仿宋"/>
                <w:bCs/>
                <w:color w:val="auto"/>
                <w:sz w:val="24"/>
                <w:szCs w:val="24"/>
                <w:highlight w:val="none"/>
              </w:rPr>
            </w:pPr>
            <w:r>
              <w:rPr>
                <w:rFonts w:hint="eastAsia" w:hAnsi="宋体" w:eastAsia="仿宋"/>
                <w:bCs/>
                <w:color w:val="auto"/>
                <w:sz w:val="24"/>
                <w:szCs w:val="24"/>
                <w:highlight w:val="none"/>
              </w:rPr>
              <w:t>④采用电子保函的，可访问安徽省政府采购网“融资/保函”栏目进行申请。</w:t>
            </w:r>
          </w:p>
          <w:p w14:paraId="1E22A1FC">
            <w:pPr>
              <w:pStyle w:val="18"/>
              <w:spacing w:line="240" w:lineRule="auto"/>
              <w:ind w:firstLine="480" w:firstLineChars="200"/>
              <w:jc w:val="left"/>
              <w:rPr>
                <w:rFonts w:hAnsi="宋体" w:eastAsia="仿宋"/>
                <w:bCs/>
                <w:color w:val="auto"/>
                <w:sz w:val="24"/>
                <w:szCs w:val="24"/>
                <w:highlight w:val="none"/>
              </w:rPr>
            </w:pPr>
            <w:r>
              <w:rPr>
                <w:rFonts w:hint="eastAsia" w:hAnsi="宋体" w:eastAsia="仿宋"/>
                <w:bCs/>
                <w:color w:val="auto"/>
                <w:sz w:val="24"/>
                <w:szCs w:val="24"/>
                <w:highlight w:val="none"/>
              </w:rPr>
              <w:t>余款支付方式为：①5月31日前</w:t>
            </w:r>
            <w:r>
              <w:rPr>
                <w:rFonts w:hint="eastAsia" w:hAnsi="宋体" w:eastAsia="仿宋"/>
                <w:bCs/>
                <w:color w:val="auto"/>
                <w:sz w:val="24"/>
                <w:szCs w:val="24"/>
                <w:highlight w:val="none"/>
                <w:lang w:val="en-US" w:eastAsia="zh-CN"/>
              </w:rPr>
              <w:t>供应商</w:t>
            </w:r>
            <w:r>
              <w:rPr>
                <w:rFonts w:hint="eastAsia" w:hAnsi="宋体" w:eastAsia="仿宋"/>
                <w:bCs/>
                <w:color w:val="auto"/>
                <w:sz w:val="24"/>
                <w:szCs w:val="24"/>
                <w:highlight w:val="none"/>
              </w:rPr>
              <w:t>申报已完</w:t>
            </w:r>
            <w:r>
              <w:rPr>
                <w:rFonts w:hint="eastAsia" w:hAnsi="宋体" w:eastAsia="仿宋"/>
                <w:bCs/>
                <w:color w:val="auto"/>
                <w:sz w:val="24"/>
                <w:szCs w:val="24"/>
                <w:highlight w:val="none"/>
                <w:lang w:val="en-US" w:eastAsia="zh-CN"/>
              </w:rPr>
              <w:t>成进度</w:t>
            </w:r>
            <w:r>
              <w:rPr>
                <w:rFonts w:hint="eastAsia" w:hAnsi="宋体" w:eastAsia="仿宋"/>
                <w:bCs/>
                <w:color w:val="auto"/>
                <w:sz w:val="24"/>
                <w:szCs w:val="24"/>
                <w:highlight w:val="none"/>
              </w:rPr>
              <w:t>，经发包人审核，审核量</w:t>
            </w:r>
            <w:r>
              <w:rPr>
                <w:rFonts w:hint="eastAsia" w:hAnsi="宋体" w:eastAsia="仿宋"/>
                <w:bCs/>
                <w:color w:val="auto"/>
                <w:sz w:val="24"/>
                <w:szCs w:val="24"/>
                <w:highlight w:val="none"/>
                <w:lang w:val="en-US" w:eastAsia="zh-CN"/>
              </w:rPr>
              <w:t>作</w:t>
            </w:r>
            <w:r>
              <w:rPr>
                <w:rFonts w:hint="eastAsia" w:hAnsi="宋体" w:eastAsia="仿宋"/>
                <w:bCs/>
                <w:color w:val="auto"/>
                <w:sz w:val="24"/>
                <w:szCs w:val="24"/>
                <w:highlight w:val="none"/>
              </w:rPr>
              <w:t>为进度结算（含预付款）的依据</w:t>
            </w: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rPr>
              <w:t>②合同任务完成后，提交符合规程及技术规范的服务成果，通过主管部门审查通过后，一次性支付至合同金额的100%，如项目实施过程中供应商有支付要求，可视主要成果提交情况据实结算。</w:t>
            </w:r>
          </w:p>
          <w:p w14:paraId="752EC35F">
            <w:pPr>
              <w:pStyle w:val="18"/>
              <w:spacing w:line="240" w:lineRule="auto"/>
              <w:ind w:firstLine="480" w:firstLineChars="200"/>
              <w:jc w:val="left"/>
              <w:rPr>
                <w:rFonts w:ascii="宋体" w:hAnsi="宋体" w:eastAsia="仿宋" w:cs="Calibri"/>
                <w:color w:val="auto"/>
                <w:sz w:val="24"/>
                <w:highlight w:val="none"/>
              </w:rPr>
            </w:pPr>
            <w:r>
              <w:rPr>
                <w:rFonts w:hint="eastAsia" w:hAnsi="宋体" w:eastAsia="仿宋"/>
                <w:bCs/>
                <w:color w:val="auto"/>
                <w:sz w:val="24"/>
                <w:szCs w:val="24"/>
                <w:highlight w:val="none"/>
              </w:rPr>
              <w:t>采购人应当在收到发票后及时将资金支付到合同约定的供应商账户，原则上不得晚于7个工作日。</w:t>
            </w:r>
          </w:p>
          <w:p w14:paraId="4FD728AB">
            <w:pPr>
              <w:widowControl/>
              <w:adjustRightInd w:val="0"/>
              <w:snapToGrid w:val="0"/>
              <w:spacing w:line="240"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宋体" w:hAnsi="宋体" w:eastAsia="仿宋"/>
                <w:bCs/>
                <w:color w:val="auto"/>
                <w:sz w:val="24"/>
                <w:highlight w:val="none"/>
              </w:rPr>
              <w:sym w:font="Wingdings" w:char="F0FE"/>
            </w:r>
            <w:r>
              <w:rPr>
                <w:rFonts w:hint="eastAsia" w:ascii="楷体" w:hAnsi="楷体" w:eastAsia="仿宋" w:cs="Calibri"/>
                <w:color w:val="auto"/>
                <w:sz w:val="24"/>
                <w:highlight w:val="none"/>
              </w:rPr>
              <w:t>不接受</w:t>
            </w:r>
          </w:p>
          <w:p w14:paraId="3281B341">
            <w:pPr>
              <w:widowControl/>
              <w:adjustRightInd w:val="0"/>
              <w:snapToGrid w:val="0"/>
              <w:spacing w:line="240"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75BCA796">
            <w:pPr>
              <w:pStyle w:val="18"/>
              <w:spacing w:line="240" w:lineRule="auto"/>
              <w:ind w:firstLine="1920" w:firstLineChars="800"/>
              <w:jc w:val="left"/>
              <w:rPr>
                <w:rFonts w:hint="eastAsia" w:hAnsi="宋体" w:eastAsia="仿宋"/>
                <w:bCs/>
                <w:color w:val="auto"/>
                <w:sz w:val="24"/>
                <w:szCs w:val="24"/>
                <w:highlight w:val="none"/>
              </w:rPr>
            </w:pPr>
            <w:r>
              <w:rPr>
                <w:rFonts w:hint="eastAsia" w:ascii="楷体" w:hAnsi="楷体" w:eastAsia="仿宋" w:cs="Calibri"/>
                <w:color w:val="auto"/>
                <w:sz w:val="24"/>
                <w:highlight w:val="none"/>
              </w:rPr>
              <w:t>允许偏离的幅度：</w:t>
            </w:r>
          </w:p>
        </w:tc>
      </w:tr>
      <w:tr w14:paraId="44CE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4B42BE7">
            <w:pPr>
              <w:pStyle w:val="18"/>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2</w:t>
            </w:r>
          </w:p>
        </w:tc>
        <w:tc>
          <w:tcPr>
            <w:tcW w:w="1985" w:type="dxa"/>
            <w:noWrap w:val="0"/>
            <w:vAlign w:val="center"/>
          </w:tcPr>
          <w:p w14:paraId="47C12BF0">
            <w:pPr>
              <w:pStyle w:val="18"/>
              <w:spacing w:line="240" w:lineRule="auto"/>
              <w:jc w:val="center"/>
              <w:rPr>
                <w:rFonts w:hint="eastAsia" w:ascii="仿宋" w:hAnsi="仿宋" w:eastAsia="仿宋"/>
                <w:bCs/>
                <w:color w:val="auto"/>
                <w:sz w:val="24"/>
                <w:szCs w:val="24"/>
                <w:highlight w:val="none"/>
              </w:rPr>
            </w:pPr>
            <w:r>
              <w:rPr>
                <w:rFonts w:ascii="仿宋" w:hAnsi="仿宋" w:eastAsia="仿宋"/>
                <w:color w:val="auto"/>
                <w:spacing w:val="5"/>
                <w:sz w:val="24"/>
                <w:szCs w:val="24"/>
                <w:highlight w:val="none"/>
              </w:rPr>
              <w:t>服务地点</w:t>
            </w:r>
          </w:p>
        </w:tc>
        <w:tc>
          <w:tcPr>
            <w:tcW w:w="6627" w:type="dxa"/>
            <w:noWrap w:val="0"/>
            <w:vAlign w:val="top"/>
          </w:tcPr>
          <w:p w14:paraId="58B672E5">
            <w:pPr>
              <w:pStyle w:val="18"/>
              <w:spacing w:line="240" w:lineRule="auto"/>
              <w:jc w:val="left"/>
              <w:rPr>
                <w:rFonts w:hint="eastAsia" w:ascii="仿宋" w:hAnsi="仿宋" w:eastAsia="仿宋"/>
                <w:bCs/>
                <w:color w:val="auto"/>
                <w:sz w:val="24"/>
                <w:szCs w:val="24"/>
                <w:highlight w:val="none"/>
              </w:rPr>
            </w:pPr>
            <w:bookmarkStart w:id="3" w:name="_Hlk162957451"/>
            <w:r>
              <w:rPr>
                <w:rFonts w:ascii="仿宋" w:hAnsi="仿宋" w:eastAsia="仿宋"/>
                <w:color w:val="auto"/>
                <w:spacing w:val="1"/>
                <w:sz w:val="24"/>
                <w:szCs w:val="24"/>
                <w:highlight w:val="none"/>
              </w:rPr>
              <w:t>安徽省六安市</w:t>
            </w:r>
            <w:r>
              <w:rPr>
                <w:rFonts w:hint="eastAsia" w:ascii="仿宋" w:hAnsi="仿宋" w:eastAsia="仿宋"/>
                <w:color w:val="auto"/>
                <w:spacing w:val="1"/>
                <w:sz w:val="24"/>
                <w:szCs w:val="24"/>
                <w:highlight w:val="none"/>
              </w:rPr>
              <w:t>舒城县</w:t>
            </w:r>
            <w:bookmarkEnd w:id="3"/>
          </w:p>
        </w:tc>
      </w:tr>
      <w:tr w14:paraId="37F1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1A569FC">
            <w:pPr>
              <w:pStyle w:val="18"/>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3</w:t>
            </w:r>
          </w:p>
        </w:tc>
        <w:tc>
          <w:tcPr>
            <w:tcW w:w="1985" w:type="dxa"/>
            <w:noWrap w:val="0"/>
            <w:vAlign w:val="center"/>
          </w:tcPr>
          <w:p w14:paraId="5056671B">
            <w:pPr>
              <w:pStyle w:val="18"/>
              <w:spacing w:line="240" w:lineRule="auto"/>
              <w:jc w:val="center"/>
              <w:rPr>
                <w:rFonts w:hint="eastAsia" w:ascii="仿宋" w:hAnsi="仿宋" w:eastAsia="仿宋"/>
                <w:bCs/>
                <w:color w:val="auto"/>
                <w:sz w:val="24"/>
                <w:szCs w:val="24"/>
                <w:highlight w:val="none"/>
              </w:rPr>
            </w:pPr>
            <w:r>
              <w:rPr>
                <w:rFonts w:ascii="仿宋" w:hAnsi="仿宋" w:eastAsia="仿宋"/>
                <w:color w:val="auto"/>
                <w:spacing w:val="3"/>
                <w:sz w:val="24"/>
                <w:szCs w:val="24"/>
                <w:highlight w:val="none"/>
              </w:rPr>
              <w:t>服务期限</w:t>
            </w:r>
          </w:p>
        </w:tc>
        <w:tc>
          <w:tcPr>
            <w:tcW w:w="6627" w:type="dxa"/>
            <w:noWrap w:val="0"/>
            <w:vAlign w:val="top"/>
          </w:tcPr>
          <w:p w14:paraId="33CF80B5">
            <w:pPr>
              <w:pStyle w:val="18"/>
              <w:spacing w:line="240" w:lineRule="auto"/>
              <w:jc w:val="left"/>
              <w:rPr>
                <w:rFonts w:ascii="仿宋" w:hAnsi="仿宋" w:eastAsia="仿宋"/>
                <w:color w:val="auto"/>
                <w:spacing w:val="-1"/>
                <w:sz w:val="24"/>
                <w:szCs w:val="24"/>
                <w:highlight w:val="none"/>
              </w:rPr>
            </w:pPr>
            <w:r>
              <w:rPr>
                <w:rFonts w:hint="eastAsia" w:ascii="仿宋" w:hAnsi="仿宋" w:eastAsia="仿宋"/>
                <w:color w:val="auto"/>
                <w:spacing w:val="-1"/>
                <w:sz w:val="24"/>
                <w:szCs w:val="24"/>
                <w:highlight w:val="none"/>
              </w:rPr>
              <w:t>2025年7月31日之前完成全部建设内容</w:t>
            </w:r>
            <w:r>
              <w:rPr>
                <w:rFonts w:ascii="仿宋" w:hAnsi="仿宋" w:eastAsia="仿宋"/>
                <w:color w:val="auto"/>
                <w:spacing w:val="-1"/>
                <w:sz w:val="24"/>
                <w:szCs w:val="24"/>
                <w:highlight w:val="none"/>
              </w:rPr>
              <w:t>。</w:t>
            </w:r>
          </w:p>
          <w:p w14:paraId="0F286022">
            <w:pPr>
              <w:widowControl/>
              <w:adjustRightInd w:val="0"/>
              <w:snapToGrid w:val="0"/>
              <w:spacing w:line="240"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宋体" w:hAnsi="宋体" w:eastAsia="仿宋"/>
                <w:bCs/>
                <w:color w:val="auto"/>
                <w:sz w:val="24"/>
                <w:highlight w:val="none"/>
              </w:rPr>
              <w:sym w:font="Wingdings" w:char="F0FE"/>
            </w:r>
            <w:r>
              <w:rPr>
                <w:rFonts w:hint="eastAsia" w:ascii="楷体" w:hAnsi="楷体" w:eastAsia="仿宋" w:cs="Calibri"/>
                <w:color w:val="auto"/>
                <w:sz w:val="24"/>
                <w:highlight w:val="none"/>
              </w:rPr>
              <w:t>不接受</w:t>
            </w:r>
          </w:p>
          <w:p w14:paraId="0BD0E065">
            <w:pPr>
              <w:pStyle w:val="19"/>
              <w:spacing w:line="240" w:lineRule="auto"/>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3368CE65">
            <w:pPr>
              <w:pStyle w:val="18"/>
              <w:spacing w:line="240" w:lineRule="auto"/>
              <w:ind w:firstLine="2160" w:firstLineChars="900"/>
              <w:jc w:val="left"/>
              <w:rPr>
                <w:rFonts w:hint="eastAsia" w:ascii="仿宋" w:hAnsi="仿宋" w:eastAsia="仿宋"/>
                <w:bCs/>
                <w:color w:val="auto"/>
                <w:sz w:val="24"/>
                <w:szCs w:val="24"/>
                <w:highlight w:val="none"/>
              </w:rPr>
            </w:pPr>
            <w:r>
              <w:rPr>
                <w:rFonts w:hint="eastAsia" w:ascii="楷体" w:hAnsi="楷体" w:eastAsia="仿宋" w:cs="Calibri"/>
                <w:color w:val="auto"/>
                <w:sz w:val="24"/>
                <w:highlight w:val="none"/>
              </w:rPr>
              <w:t>允许偏离的幅度：</w:t>
            </w:r>
          </w:p>
        </w:tc>
      </w:tr>
      <w:tr w14:paraId="6476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0B911E25">
            <w:pPr>
              <w:pStyle w:val="18"/>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4</w:t>
            </w:r>
          </w:p>
        </w:tc>
        <w:tc>
          <w:tcPr>
            <w:tcW w:w="1985" w:type="dxa"/>
            <w:noWrap w:val="0"/>
            <w:vAlign w:val="center"/>
          </w:tcPr>
          <w:p w14:paraId="51985326">
            <w:pPr>
              <w:pStyle w:val="18"/>
              <w:spacing w:line="240" w:lineRule="auto"/>
              <w:jc w:val="center"/>
              <w:rPr>
                <w:rFonts w:hint="eastAsia" w:ascii="仿宋" w:hAnsi="仿宋" w:eastAsia="仿宋"/>
                <w:bCs/>
                <w:color w:val="auto"/>
                <w:sz w:val="24"/>
                <w:szCs w:val="24"/>
                <w:highlight w:val="none"/>
              </w:rPr>
            </w:pPr>
            <w:r>
              <w:rPr>
                <w:rFonts w:ascii="仿宋" w:hAnsi="仿宋" w:eastAsia="仿宋"/>
                <w:color w:val="auto"/>
                <w:spacing w:val="-2"/>
                <w:sz w:val="24"/>
                <w:szCs w:val="24"/>
                <w:highlight w:val="none"/>
              </w:rPr>
              <w:t>服务质量</w:t>
            </w:r>
          </w:p>
        </w:tc>
        <w:tc>
          <w:tcPr>
            <w:tcW w:w="6627" w:type="dxa"/>
            <w:noWrap w:val="0"/>
            <w:vAlign w:val="center"/>
          </w:tcPr>
          <w:p w14:paraId="77FF6966">
            <w:pPr>
              <w:pStyle w:val="18"/>
              <w:spacing w:line="240" w:lineRule="auto"/>
              <w:jc w:val="left"/>
              <w:rPr>
                <w:rFonts w:hint="default" w:ascii="仿宋" w:hAnsi="仿宋" w:eastAsia="仿宋"/>
                <w:bCs/>
                <w:color w:val="auto"/>
                <w:sz w:val="24"/>
                <w:szCs w:val="24"/>
                <w:highlight w:val="none"/>
                <w:lang w:val="en-US" w:eastAsia="zh-CN"/>
              </w:rPr>
            </w:pPr>
            <w:r>
              <w:rPr>
                <w:rFonts w:ascii="仿宋" w:hAnsi="仿宋" w:eastAsia="仿宋"/>
                <w:color w:val="auto"/>
                <w:spacing w:val="-1"/>
                <w:sz w:val="24"/>
                <w:szCs w:val="24"/>
                <w:highlight w:val="none"/>
              </w:rPr>
              <w:t>应符合中华人民共和国相关标准及相应的技术规</w:t>
            </w:r>
            <w:r>
              <w:rPr>
                <w:rFonts w:hint="eastAsia" w:ascii="仿宋" w:hAnsi="仿宋" w:eastAsia="仿宋"/>
                <w:color w:val="auto"/>
                <w:spacing w:val="-1"/>
                <w:sz w:val="24"/>
                <w:szCs w:val="24"/>
                <w:highlight w:val="none"/>
              </w:rPr>
              <w:t>范，本次采购相关文件中的全部相关要求中之较高者。</w:t>
            </w:r>
          </w:p>
        </w:tc>
      </w:tr>
      <w:tr w14:paraId="7D7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6E072E9C">
            <w:pPr>
              <w:pStyle w:val="18"/>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5</w:t>
            </w:r>
          </w:p>
        </w:tc>
        <w:tc>
          <w:tcPr>
            <w:tcW w:w="1985" w:type="dxa"/>
            <w:noWrap w:val="0"/>
            <w:vAlign w:val="center"/>
          </w:tcPr>
          <w:p w14:paraId="4D64FB67">
            <w:pPr>
              <w:pStyle w:val="18"/>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本项目采购标的所属行业</w:t>
            </w:r>
          </w:p>
        </w:tc>
        <w:tc>
          <w:tcPr>
            <w:tcW w:w="6627" w:type="dxa"/>
            <w:noWrap w:val="0"/>
            <w:vAlign w:val="center"/>
          </w:tcPr>
          <w:p w14:paraId="55A8395C">
            <w:pPr>
              <w:pStyle w:val="18"/>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其他未列明行业</w:t>
            </w:r>
          </w:p>
        </w:tc>
      </w:tr>
    </w:tbl>
    <w:p w14:paraId="3ED0537E">
      <w:pPr>
        <w:pStyle w:val="4"/>
        <w:rPr>
          <w:rFonts w:hint="eastAsia" w:hAnsi="宋体" w:eastAsia="宋体"/>
          <w:color w:val="auto"/>
          <w:sz w:val="24"/>
          <w:szCs w:val="24"/>
          <w:highlight w:val="none"/>
          <w:lang w:val="en-US" w:eastAsia="zh-CN"/>
        </w:rPr>
      </w:pPr>
      <w:r>
        <w:rPr>
          <w:rFonts w:hint="eastAsia"/>
          <w:color w:val="auto"/>
          <w:highlight w:val="none"/>
        </w:rPr>
        <w:t>二、项目概况</w:t>
      </w:r>
    </w:p>
    <w:p w14:paraId="2C18F18C">
      <w:pPr>
        <w:pStyle w:val="18"/>
        <w:spacing w:line="360" w:lineRule="auto"/>
        <w:jc w:val="left"/>
        <w:rPr>
          <w:rFonts w:hint="default" w:hAnsi="宋体" w:eastAsia="仿宋"/>
          <w:b/>
          <w:bCs w:val="0"/>
          <w:color w:val="auto"/>
          <w:sz w:val="24"/>
          <w:szCs w:val="24"/>
          <w:highlight w:val="none"/>
          <w:lang w:val="en-US" w:eastAsia="zh-CN"/>
        </w:rPr>
      </w:pPr>
      <w:r>
        <w:rPr>
          <w:rFonts w:hint="eastAsia" w:hAnsi="宋体" w:eastAsia="仿宋"/>
          <w:b/>
          <w:bCs w:val="0"/>
          <w:color w:val="auto"/>
          <w:sz w:val="24"/>
          <w:szCs w:val="24"/>
          <w:highlight w:val="none"/>
          <w:lang w:val="en-US" w:eastAsia="zh-CN"/>
        </w:rPr>
        <w:t>1、建设目标</w:t>
      </w:r>
    </w:p>
    <w:p w14:paraId="7E26F36D">
      <w:pPr>
        <w:pStyle w:val="18"/>
        <w:spacing w:line="360" w:lineRule="auto"/>
        <w:ind w:firstLine="480" w:firstLineChars="200"/>
        <w:jc w:val="left"/>
        <w:rPr>
          <w:rFonts w:hint="eastAsia" w:ascii="Times New Roman" w:hAnsi="宋体" w:eastAsia="仿宋" w:cs="Times New Roman"/>
          <w:bCs/>
          <w:color w:val="auto"/>
          <w:sz w:val="24"/>
          <w:szCs w:val="24"/>
          <w:highlight w:val="none"/>
          <w:lang w:eastAsia="zh-CN"/>
        </w:rPr>
      </w:pPr>
      <w:r>
        <w:rPr>
          <w:rFonts w:hint="eastAsia" w:ascii="Times New Roman" w:hAnsi="宋体" w:eastAsia="仿宋" w:cs="Times New Roman"/>
          <w:bCs/>
          <w:color w:val="auto"/>
          <w:sz w:val="24"/>
          <w:szCs w:val="24"/>
          <w:highlight w:val="none"/>
          <w:lang w:val="en-US" w:eastAsia="zh-CN"/>
        </w:rPr>
        <w:t>为落实水利部加快构建现代化水库运行管理矩阵的安排部署，按照《水利部办公厅关于印发&lt;构建现代化水库运行管理矩阵先行先试工作方案&gt;的通知》（办运管[2023]245号），选取一批试点水库和先行区域开展矩阵建设，2025年底前完成试点水库和先行区域开展矩阵建设。</w:t>
      </w:r>
      <w:r>
        <w:rPr>
          <w:rFonts w:hint="eastAsia" w:ascii="Times New Roman" w:hAnsi="宋体" w:eastAsia="仿宋" w:cs="Times New Roman"/>
          <w:bCs/>
          <w:color w:val="auto"/>
          <w:sz w:val="24"/>
          <w:szCs w:val="24"/>
          <w:highlight w:val="none"/>
        </w:rPr>
        <w:t>龙河口水库“四预”能力提升项目</w:t>
      </w:r>
      <w:r>
        <w:rPr>
          <w:rFonts w:hint="eastAsia" w:ascii="Times New Roman" w:hAnsi="宋体" w:eastAsia="仿宋" w:cs="Times New Roman"/>
          <w:bCs/>
          <w:color w:val="auto"/>
          <w:sz w:val="24"/>
          <w:szCs w:val="24"/>
          <w:highlight w:val="none"/>
          <w:lang w:eastAsia="zh-CN"/>
        </w:rPr>
        <w:t>是</w:t>
      </w:r>
      <w:r>
        <w:rPr>
          <w:rFonts w:hint="eastAsia" w:ascii="Times New Roman" w:hAnsi="宋体" w:eastAsia="仿宋" w:cs="Times New Roman"/>
          <w:bCs/>
          <w:color w:val="auto"/>
          <w:sz w:val="24"/>
          <w:szCs w:val="24"/>
          <w:highlight w:val="none"/>
          <w:lang w:val="en-US" w:eastAsia="zh-CN"/>
        </w:rPr>
        <w:t>现代化水库运行管理矩阵建设的重要组成部分</w:t>
      </w:r>
      <w:r>
        <w:rPr>
          <w:rFonts w:hint="eastAsia" w:ascii="Times New Roman" w:hAnsi="宋体" w:eastAsia="仿宋" w:cs="Times New Roman"/>
          <w:bCs/>
          <w:color w:val="auto"/>
          <w:sz w:val="24"/>
          <w:szCs w:val="24"/>
          <w:highlight w:val="none"/>
          <w:lang w:eastAsia="zh-CN"/>
        </w:rPr>
        <w:t>。</w:t>
      </w:r>
    </w:p>
    <w:p w14:paraId="5A4B4A52">
      <w:pPr>
        <w:pStyle w:val="18"/>
        <w:spacing w:line="360" w:lineRule="auto"/>
        <w:jc w:val="left"/>
        <w:rPr>
          <w:rFonts w:hint="eastAsia" w:hAnsi="宋体" w:eastAsia="仿宋"/>
          <w:b/>
          <w:bCs w:val="0"/>
          <w:color w:val="auto"/>
          <w:sz w:val="24"/>
          <w:szCs w:val="24"/>
          <w:highlight w:val="none"/>
          <w:lang w:val="en-US" w:eastAsia="zh-CN"/>
        </w:rPr>
      </w:pPr>
      <w:r>
        <w:rPr>
          <w:rFonts w:hint="eastAsia" w:hAnsi="宋体" w:eastAsia="仿宋"/>
          <w:b/>
          <w:bCs w:val="0"/>
          <w:color w:val="auto"/>
          <w:sz w:val="24"/>
          <w:szCs w:val="24"/>
          <w:highlight w:val="none"/>
          <w:lang w:val="en-US" w:eastAsia="zh-CN"/>
        </w:rPr>
        <w:t>2、建设内容</w:t>
      </w:r>
    </w:p>
    <w:p w14:paraId="2BADFE74">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龙河口水库“四预”能力提升项目包括建设内容为强化“四预”措施，具体包括：</w:t>
      </w:r>
    </w:p>
    <w:p w14:paraId="75729F03">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（1）洪水预报调度优化；</w:t>
      </w:r>
    </w:p>
    <w:p w14:paraId="6625FBB9">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（2）大坝安全性态诊断系统；</w:t>
      </w:r>
    </w:p>
    <w:p w14:paraId="2E3496D1">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（3）汛情分级动态预警体系；</w:t>
      </w:r>
    </w:p>
    <w:p w14:paraId="41C12F8C">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（4）工情分级动态预警体系；</w:t>
      </w:r>
    </w:p>
    <w:p w14:paraId="2BA05AD8">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（5）优化调度预演；</w:t>
      </w:r>
    </w:p>
    <w:p w14:paraId="1F693E5F">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（6）洪水风险预演；</w:t>
      </w:r>
    </w:p>
    <w:p w14:paraId="01E82DC9">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（7）称重式降雨量测量仪建设；</w:t>
      </w:r>
    </w:p>
    <w:p w14:paraId="319FA77F">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（8）泄洪一体化智能视频广播预警（4套）；</w:t>
      </w:r>
    </w:p>
    <w:p w14:paraId="61F79137">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（9）研发预演系统；</w:t>
      </w:r>
    </w:p>
    <w:p w14:paraId="7BC0A8B5">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（10）应急预案数字化；</w:t>
      </w:r>
    </w:p>
    <w:p w14:paraId="2BC04C20">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（11）防洪效益评价报告；</w:t>
      </w:r>
    </w:p>
    <w:p w14:paraId="60DA1575">
      <w:pPr>
        <w:pStyle w:val="18"/>
        <w:spacing w:line="360" w:lineRule="auto"/>
        <w:ind w:firstLine="480" w:firstLineChars="200"/>
        <w:jc w:val="left"/>
        <w:rPr>
          <w:rFonts w:hint="default" w:hAnsi="宋体" w:eastAsia="仿宋"/>
          <w:bCs/>
          <w:color w:val="auto"/>
          <w:sz w:val="24"/>
          <w:szCs w:val="24"/>
          <w:highlight w:val="none"/>
          <w:lang w:val="en-US" w:eastAsia="zh-CN"/>
        </w:rPr>
      </w:pPr>
      <w:r>
        <w:rPr>
          <w:rFonts w:hint="eastAsia" w:hAnsi="宋体" w:eastAsia="仿宋"/>
          <w:bCs/>
          <w:color w:val="auto"/>
          <w:sz w:val="24"/>
          <w:szCs w:val="24"/>
          <w:highlight w:val="none"/>
        </w:rPr>
        <w:t>（12）灌溉效益评价报告。</w:t>
      </w:r>
    </w:p>
    <w:p w14:paraId="4F6A8776">
      <w:pPr>
        <w:pStyle w:val="4"/>
        <w:rPr>
          <w:rFonts w:hint="eastAsia"/>
          <w:color w:val="auto"/>
          <w:highlight w:val="none"/>
        </w:rPr>
      </w:pPr>
      <w:r>
        <w:rPr>
          <w:rFonts w:hint="eastAsia"/>
          <w:color w:val="auto"/>
          <w:highlight w:val="none"/>
        </w:rPr>
        <w:t>三、</w:t>
      </w:r>
      <w:r>
        <w:rPr>
          <w:rFonts w:hint="eastAsia"/>
          <w:color w:val="auto"/>
          <w:highlight w:val="none"/>
          <w:lang w:val="en-US" w:eastAsia="zh-CN"/>
        </w:rPr>
        <w:t>技术</w:t>
      </w:r>
      <w:r>
        <w:rPr>
          <w:rFonts w:hint="eastAsia"/>
          <w:color w:val="auto"/>
          <w:highlight w:val="none"/>
        </w:rPr>
        <w:t>要求</w:t>
      </w:r>
    </w:p>
    <w:p w14:paraId="77D2C73C">
      <w:pPr>
        <w:pStyle w:val="18"/>
        <w:spacing w:line="360" w:lineRule="auto"/>
        <w:jc w:val="left"/>
        <w:rPr>
          <w:rFonts w:hint="eastAsia" w:hAnsi="宋体" w:eastAsia="仿宋"/>
          <w:b/>
          <w:bCs w:val="0"/>
          <w:color w:val="auto"/>
          <w:sz w:val="24"/>
          <w:szCs w:val="24"/>
          <w:highlight w:val="none"/>
        </w:rPr>
      </w:pPr>
      <w:r>
        <w:rPr>
          <w:rFonts w:hint="eastAsia" w:hAnsi="宋体" w:eastAsia="仿宋"/>
          <w:b/>
          <w:bCs w:val="0"/>
          <w:color w:val="auto"/>
          <w:sz w:val="24"/>
          <w:szCs w:val="24"/>
          <w:highlight w:val="none"/>
        </w:rPr>
        <w:t>1、技术依据</w:t>
      </w:r>
    </w:p>
    <w:p w14:paraId="421F4F6E">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lang w:val="en-US" w:eastAsia="zh-CN"/>
        </w:rPr>
        <w:t>1</w:t>
      </w: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rPr>
        <w:t>总则</w:t>
      </w:r>
    </w:p>
    <w:p w14:paraId="67CE0ADB">
      <w:pPr>
        <w:pStyle w:val="18"/>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本技术要求</w:t>
      </w:r>
      <w:r>
        <w:rPr>
          <w:rFonts w:hint="eastAsia" w:ascii="仿宋" w:hAnsi="仿宋" w:eastAsia="仿宋" w:cs="仿宋"/>
          <w:bCs/>
          <w:color w:val="auto"/>
          <w:sz w:val="24"/>
          <w:szCs w:val="24"/>
          <w:highlight w:val="none"/>
          <w:lang w:val="en-US" w:eastAsia="zh-CN"/>
        </w:rPr>
        <w:t>仅</w:t>
      </w:r>
      <w:r>
        <w:rPr>
          <w:rFonts w:hint="eastAsia" w:ascii="仿宋" w:hAnsi="仿宋" w:eastAsia="仿宋" w:cs="仿宋"/>
          <w:bCs/>
          <w:color w:val="auto"/>
          <w:sz w:val="24"/>
          <w:szCs w:val="24"/>
          <w:highlight w:val="none"/>
        </w:rPr>
        <w:t>适用于龙河口水库“四预”能力提升项目。</w:t>
      </w:r>
    </w:p>
    <w:p w14:paraId="68EAE2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应按国家有关规程规范要求对施工环境、危险源等因素进行风险识别，采取妥善的措施确保安全作业和文明作业，并注意职业健康和环境保护，尤其确保按国家相关强制性标准要求实施</w:t>
      </w:r>
    </w:p>
    <w:p w14:paraId="4BC243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sz w:val="24"/>
          <w:szCs w:val="24"/>
          <w:highlight w:val="none"/>
        </w:rPr>
        <w:t>本采购文件使用的标准，如遇与报价人所执行的标准不一致时，按较高的标准执行。在合同生效后，采购人有权提出因国家、地方及行业规范标准发生变化而产生的一些补充修改要求，报价人应遵守这个要求。</w:t>
      </w:r>
    </w:p>
    <w:p w14:paraId="5D5BACEE">
      <w:pPr>
        <w:pStyle w:val="18"/>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技术部分可能存在未能全面反映现场实际状况的微小偏差，报价人应根据规范要求、行业标准，结合自身经验和收集的相关信息综合考虑项目工作内容。报价人不得拒绝完成本项目任务所必须的工作，相关费用包含在报价中。</w:t>
      </w:r>
    </w:p>
    <w:p w14:paraId="4B67CDD7">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（2）</w:t>
      </w:r>
      <w:r>
        <w:rPr>
          <w:rFonts w:hint="eastAsia" w:hAnsi="宋体" w:eastAsia="仿宋"/>
          <w:bCs/>
          <w:color w:val="auto"/>
          <w:sz w:val="24"/>
          <w:szCs w:val="24"/>
          <w:highlight w:val="none"/>
        </w:rPr>
        <w:t>本技术要求未作规定的按如下规范、规程执行</w:t>
      </w:r>
    </w:p>
    <w:p w14:paraId="2CF88C5C">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1）《水利部关于加快构建现代化水库运行管理矩阵的指导意见》（水运管〔2023〕248号）；</w:t>
      </w:r>
    </w:p>
    <w:p w14:paraId="4FE2ECAC">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2）《水利业务“四预”功能基本技术要求（试行）》（2022年3月）；</w:t>
      </w:r>
    </w:p>
    <w:p w14:paraId="472B7BBC">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3）《水利对象基础数据库表结构及标识符》（SL/T 809）；</w:t>
      </w:r>
    </w:p>
    <w:p w14:paraId="21B6EEAD">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4）《水利水电工程信息模型设计应用标准》（T/CWHIDA 0005-2019）；</w:t>
      </w:r>
    </w:p>
    <w:p w14:paraId="4DB168C3">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5）《水利信息系统运行维护规范》（SL 715-2015）；</w:t>
      </w:r>
    </w:p>
    <w:p w14:paraId="55ED6E50">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6）《计算机软件文档编制规范》（GB/T 8567-2006）；</w:t>
      </w:r>
    </w:p>
    <w:p w14:paraId="03B17345">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7）《计算机软件测试规范》（GB/T 15532-2008）；</w:t>
      </w:r>
    </w:p>
    <w:p w14:paraId="29048360">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8）《水利网络安全管理办法（试行）》；</w:t>
      </w:r>
    </w:p>
    <w:p w14:paraId="690E224B">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9）《基础地理信息要素分类与代码》（GB/T 13923-2006）；</w:t>
      </w:r>
    </w:p>
    <w:p w14:paraId="45025B2C">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10）《水利空间要素数据字典》（SL 729-2016）；</w:t>
      </w:r>
    </w:p>
    <w:p w14:paraId="3F44762F">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11）《水利空间要素图式与表达规范》（SL 730-2015）</w:t>
      </w:r>
    </w:p>
    <w:p w14:paraId="75D55CAC">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12）《水库工程管理设计规范》（SL 106-2017）；</w:t>
      </w:r>
    </w:p>
    <w:p w14:paraId="61B4A473">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13）《计算机信息系统安全保护等级划分准则》（GB 17859-1999）；</w:t>
      </w:r>
    </w:p>
    <w:p w14:paraId="7D3266E0">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14）《信息安全技术网络安全等级保护基本要求》（GB/T 22239-2019）；</w:t>
      </w:r>
    </w:p>
    <w:p w14:paraId="26B9728F">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15）《信息安全技术网络安全等级保护安全设计技术要求》（GB/T 25070-2019）；</w:t>
      </w:r>
    </w:p>
    <w:p w14:paraId="27E78658">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16）《计算机场地通用规范》（GB/T 2887-2011）；</w:t>
      </w:r>
    </w:p>
    <w:p w14:paraId="6FE25A16">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17）《安徽省水工程管理和保护条例》（2022修正）；</w:t>
      </w:r>
    </w:p>
    <w:p w14:paraId="0AB89F28">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18）《《安徽省现代水网建设规划》》（2023年7月）；</w:t>
      </w:r>
    </w:p>
    <w:p w14:paraId="3022D598">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19）《安徽省2023年全面推行河湖长制工作要点》（2023年2月）；</w:t>
      </w:r>
    </w:p>
    <w:p w14:paraId="0F616743">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20）《安徽省河道管理范围内建设项目管理办法》（2023年10月）；以及其它相关规程规范。</w:t>
      </w:r>
    </w:p>
    <w:p w14:paraId="23317236">
      <w:pPr>
        <w:pStyle w:val="18"/>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hAnsi="宋体" w:eastAsia="仿宋"/>
          <w:bCs/>
          <w:color w:val="auto"/>
          <w:sz w:val="24"/>
          <w:szCs w:val="24"/>
          <w:highlight w:val="none"/>
          <w:lang w:val="en-US" w:eastAsia="zh-CN"/>
        </w:rPr>
      </w:pPr>
      <w:r>
        <w:rPr>
          <w:rFonts w:hint="eastAsia" w:hAnsi="宋体" w:eastAsia="仿宋"/>
          <w:bCs/>
          <w:color w:val="auto"/>
          <w:sz w:val="24"/>
          <w:szCs w:val="24"/>
          <w:highlight w:val="none"/>
          <w:lang w:val="en-US" w:eastAsia="zh-CN"/>
        </w:rPr>
        <w:t>（3）主要设备技术参数</w:t>
      </w:r>
    </w:p>
    <w:p w14:paraId="2927A1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称</w:t>
      </w:r>
      <w:r>
        <w:rPr>
          <w:rFonts w:hint="eastAsia" w:ascii="仿宋" w:hAnsi="仿宋" w:eastAsia="仿宋" w:cs="仿宋"/>
          <w:color w:val="auto"/>
          <w:sz w:val="24"/>
          <w:szCs w:val="24"/>
          <w:highlight w:val="none"/>
        </w:rPr>
        <w:t>重式降水量监测仪</w:t>
      </w:r>
    </w:p>
    <w:p w14:paraId="6E8463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①设备参数</w:t>
      </w:r>
    </w:p>
    <w:p w14:paraId="33A4BB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降水量监测仪利用载荷测量原理，可进行固态、液态及固液混合的全类型降水量监测。通过高精度的传感器、稳定的平衡系统和定制的检测算法，该仪器可以准确测量实时桶重、降水强度，计算累积降水量等。仪器可接入云端，为水库提供准确、实时、便捷的降水数据。</w:t>
      </w:r>
    </w:p>
    <w:p w14:paraId="4930B1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仪器配备1500mm容量的盛水桶和稳定的机械结构，具有安装、维护、校准简单方便等特点。仪器严格按照SL 21-2006降水量观测规范和SL/T811.4-2021《降水量观测仪器第4部分：称重式雨量计》要求组织生产、装配、检定。</w:t>
      </w:r>
    </w:p>
    <w:p w14:paraId="2CE0F71C">
      <w:pPr>
        <w:adjustRightInd w:val="0"/>
        <w:snapToGrid w:val="0"/>
        <w:jc w:val="center"/>
        <w:rPr>
          <w:rFonts w:hint="eastAsia" w:ascii="仿宋" w:hAnsi="仿宋" w:eastAsia="仿宋" w:cs="仿宋"/>
          <w:b/>
          <w:bCs/>
          <w:color w:val="auto"/>
          <w:sz w:val="24"/>
          <w:szCs w:val="24"/>
          <w:highlight w:val="none"/>
          <w:lang w:val="en"/>
        </w:rPr>
      </w:pPr>
    </w:p>
    <w:p w14:paraId="3615C684">
      <w:pPr>
        <w:adjustRightInd w:val="0"/>
        <w:snapToGrid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
        </w:rPr>
        <w:t>称重式降水量监测仪技术要求</w:t>
      </w:r>
      <w:r>
        <w:rPr>
          <w:rFonts w:hint="eastAsia" w:ascii="仿宋" w:hAnsi="仿宋" w:eastAsia="仿宋" w:cs="仿宋"/>
          <w:b/>
          <w:bCs/>
          <w:color w:val="auto"/>
          <w:sz w:val="24"/>
          <w:szCs w:val="24"/>
          <w:highlight w:val="none"/>
          <w:lang w:val="en-US" w:eastAsia="zh-CN"/>
        </w:rPr>
        <w:t>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181"/>
        <w:gridCol w:w="6341"/>
      </w:tblGrid>
      <w:tr w14:paraId="6F67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263" w:type="dxa"/>
            <w:shd w:val="clear" w:color="auto" w:fill="FFFFFF"/>
            <w:noWrap w:val="0"/>
            <w:vAlign w:val="center"/>
          </w:tcPr>
          <w:p w14:paraId="773DDB2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测量数据</w:t>
            </w:r>
          </w:p>
        </w:tc>
        <w:tc>
          <w:tcPr>
            <w:tcW w:w="6569" w:type="dxa"/>
            <w:shd w:val="clear" w:color="auto" w:fill="FFFFFF"/>
            <w:noWrap w:val="0"/>
            <w:vAlign w:val="center"/>
          </w:tcPr>
          <w:p w14:paraId="4A7B07B6">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实时桶重、实时降水强度、分钟降水量、累计降水量等</w:t>
            </w:r>
          </w:p>
        </w:tc>
      </w:tr>
      <w:tr w14:paraId="31FE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263" w:type="dxa"/>
            <w:shd w:val="clear" w:color="auto" w:fill="FFFFFF"/>
            <w:noWrap w:val="0"/>
            <w:vAlign w:val="center"/>
          </w:tcPr>
          <w:p w14:paraId="22B0775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测量类型</w:t>
            </w:r>
          </w:p>
        </w:tc>
        <w:tc>
          <w:tcPr>
            <w:tcW w:w="6569" w:type="dxa"/>
            <w:shd w:val="clear" w:color="auto" w:fill="FFFFFF"/>
            <w:noWrap w:val="0"/>
            <w:vAlign w:val="center"/>
          </w:tcPr>
          <w:p w14:paraId="543AB5BD">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固态、液态及固液混合降水</w:t>
            </w:r>
          </w:p>
        </w:tc>
      </w:tr>
      <w:tr w14:paraId="4B5B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FFFFFF"/>
            <w:noWrap w:val="0"/>
            <w:vAlign w:val="center"/>
          </w:tcPr>
          <w:p w14:paraId="3840170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测量原理</w:t>
            </w:r>
          </w:p>
        </w:tc>
        <w:tc>
          <w:tcPr>
            <w:tcW w:w="6569" w:type="dxa"/>
            <w:shd w:val="clear" w:color="auto" w:fill="FFFFFF"/>
            <w:noWrap w:val="0"/>
            <w:vAlign w:val="center"/>
          </w:tcPr>
          <w:p w14:paraId="17BBF9B4">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载荷测量技术</w:t>
            </w:r>
          </w:p>
        </w:tc>
      </w:tr>
      <w:tr w14:paraId="18F0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FFFFFF"/>
            <w:noWrap w:val="0"/>
            <w:vAlign w:val="center"/>
          </w:tcPr>
          <w:p w14:paraId="7892E39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最小采集间隔</w:t>
            </w:r>
          </w:p>
        </w:tc>
        <w:tc>
          <w:tcPr>
            <w:tcW w:w="6569" w:type="dxa"/>
            <w:shd w:val="clear" w:color="auto" w:fill="FFFFFF"/>
            <w:noWrap w:val="0"/>
            <w:vAlign w:val="center"/>
          </w:tcPr>
          <w:p w14:paraId="020DA643">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1min</w:t>
            </w:r>
          </w:p>
        </w:tc>
      </w:tr>
      <w:tr w14:paraId="504C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263" w:type="dxa"/>
            <w:shd w:val="clear" w:color="auto" w:fill="FFFFFF"/>
            <w:noWrap w:val="0"/>
            <w:vAlign w:val="center"/>
          </w:tcPr>
          <w:p w14:paraId="76CCDC7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w:t>
            </w:r>
          </w:p>
        </w:tc>
        <w:tc>
          <w:tcPr>
            <w:tcW w:w="6569" w:type="dxa"/>
            <w:shd w:val="clear" w:color="auto" w:fill="FFFFFF"/>
            <w:noWrap w:val="0"/>
            <w:vAlign w:val="center"/>
          </w:tcPr>
          <w:p w14:paraId="5EC3240D">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RS485接口：0.01mm；脉冲输出：0.1mm；开关量输出：0.1mm</w:t>
            </w:r>
          </w:p>
        </w:tc>
      </w:tr>
      <w:tr w14:paraId="4E7D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FFFFFF"/>
            <w:noWrap w:val="0"/>
            <w:vAlign w:val="center"/>
          </w:tcPr>
          <w:p w14:paraId="2422E6F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最大测量误差</w:t>
            </w:r>
          </w:p>
        </w:tc>
        <w:tc>
          <w:tcPr>
            <w:tcW w:w="6569" w:type="dxa"/>
            <w:shd w:val="clear" w:color="auto" w:fill="FFFFFF"/>
            <w:noWrap w:val="0"/>
            <w:vAlign w:val="center"/>
          </w:tcPr>
          <w:p w14:paraId="7F589E91">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±0.1mm，≤10mm时;  ±1%，&gt;10mm时</w:t>
            </w:r>
          </w:p>
        </w:tc>
      </w:tr>
      <w:tr w14:paraId="4361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263" w:type="dxa"/>
            <w:shd w:val="clear" w:color="auto" w:fill="FFFFFF"/>
            <w:noWrap w:val="0"/>
            <w:vAlign w:val="center"/>
          </w:tcPr>
          <w:p w14:paraId="0F3191C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容量</w:t>
            </w:r>
          </w:p>
        </w:tc>
        <w:tc>
          <w:tcPr>
            <w:tcW w:w="6569" w:type="dxa"/>
            <w:shd w:val="clear" w:color="auto" w:fill="FFFFFF"/>
            <w:noWrap w:val="0"/>
            <w:vAlign w:val="center"/>
          </w:tcPr>
          <w:p w14:paraId="19A7D574">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1500mm</w:t>
            </w:r>
          </w:p>
        </w:tc>
      </w:tr>
      <w:tr w14:paraId="2F9C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263" w:type="dxa"/>
            <w:shd w:val="clear" w:color="auto" w:fill="FFFFFF"/>
            <w:noWrap w:val="0"/>
            <w:vAlign w:val="center"/>
          </w:tcPr>
          <w:p w14:paraId="723430B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时钟误差</w:t>
            </w:r>
          </w:p>
        </w:tc>
        <w:tc>
          <w:tcPr>
            <w:tcW w:w="6569" w:type="dxa"/>
            <w:shd w:val="clear" w:color="auto" w:fill="FFFFFF"/>
            <w:noWrap w:val="0"/>
            <w:vAlign w:val="center"/>
          </w:tcPr>
          <w:p w14:paraId="5C734D8A">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≤14s/月</w:t>
            </w:r>
          </w:p>
        </w:tc>
      </w:tr>
      <w:tr w14:paraId="6A7F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263" w:type="dxa"/>
            <w:shd w:val="clear" w:color="auto" w:fill="FFFFFF"/>
            <w:noWrap w:val="0"/>
            <w:vAlign w:val="center"/>
          </w:tcPr>
          <w:p w14:paraId="75B790D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供电电压</w:t>
            </w:r>
          </w:p>
        </w:tc>
        <w:tc>
          <w:tcPr>
            <w:tcW w:w="6569" w:type="dxa"/>
            <w:shd w:val="clear" w:color="auto" w:fill="FFFFFF"/>
            <w:noWrap w:val="0"/>
            <w:vAlign w:val="center"/>
          </w:tcPr>
          <w:p w14:paraId="79ED5C61">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9~15 V DC</w:t>
            </w:r>
          </w:p>
        </w:tc>
      </w:tr>
      <w:tr w14:paraId="6F23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FFFFFF"/>
            <w:noWrap w:val="0"/>
            <w:vAlign w:val="center"/>
          </w:tcPr>
          <w:p w14:paraId="20BA655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功率</w:t>
            </w:r>
          </w:p>
        </w:tc>
        <w:tc>
          <w:tcPr>
            <w:tcW w:w="6569" w:type="dxa"/>
            <w:shd w:val="clear" w:color="auto" w:fill="FFFFFF"/>
            <w:noWrap w:val="0"/>
            <w:vAlign w:val="center"/>
          </w:tcPr>
          <w:p w14:paraId="279438D4">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0.72W/60mA @ 12V</w:t>
            </w:r>
          </w:p>
        </w:tc>
      </w:tr>
      <w:tr w14:paraId="3E19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FFFFFF"/>
            <w:noWrap w:val="0"/>
            <w:vAlign w:val="center"/>
          </w:tcPr>
          <w:p w14:paraId="2E254FC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环形加热选项</w:t>
            </w:r>
          </w:p>
        </w:tc>
        <w:tc>
          <w:tcPr>
            <w:tcW w:w="6569" w:type="dxa"/>
            <w:shd w:val="clear" w:color="auto" w:fill="FFFFFF"/>
            <w:noWrap w:val="0"/>
            <w:vAlign w:val="center"/>
          </w:tcPr>
          <w:p w14:paraId="6ECD5C08">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V/50 Watt</w:t>
            </w:r>
          </w:p>
        </w:tc>
      </w:tr>
      <w:tr w14:paraId="4D75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FFFFFF"/>
            <w:noWrap w:val="0"/>
            <w:vAlign w:val="center"/>
          </w:tcPr>
          <w:p w14:paraId="3DF9C4C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承水口直径</w:t>
            </w:r>
          </w:p>
        </w:tc>
        <w:tc>
          <w:tcPr>
            <w:tcW w:w="6569" w:type="dxa"/>
            <w:shd w:val="clear" w:color="auto" w:fill="FFFFFF"/>
            <w:noWrap w:val="0"/>
            <w:vAlign w:val="center"/>
          </w:tcPr>
          <w:p w14:paraId="5D5B4799">
            <w:pPr>
              <w:adjustRightInd w:val="0"/>
              <w:snapToGrid w:val="0"/>
              <w:rPr>
                <w:rFonts w:hint="eastAsia" w:ascii="仿宋" w:hAnsi="仿宋" w:eastAsia="仿宋" w:cs="仿宋"/>
                <w:b/>
                <w:bCs/>
                <w:color w:val="auto"/>
                <w:sz w:val="24"/>
                <w:szCs w:val="24"/>
                <w:highlight w:val="none"/>
              </w:rPr>
            </w:pPr>
            <w:r>
              <w:rPr>
                <w:rFonts w:hint="eastAsia" w:ascii="仿宋" w:hAnsi="仿宋" w:eastAsia="仿宋" w:cs="仿宋"/>
                <w:color w:val="auto"/>
                <w:position w:val="-12"/>
                <w:sz w:val="24"/>
                <w:szCs w:val="24"/>
                <w:highlight w:val="none"/>
              </w:rPr>
              <w:object>
                <v:shape id="_x0000_i1025" o:spt="75" type="#_x0000_t75" style="height:17.25pt;width:55.5pt;" o:ole="t"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p>
        </w:tc>
      </w:tr>
      <w:tr w14:paraId="1F8C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263" w:type="dxa"/>
            <w:shd w:val="clear" w:color="auto" w:fill="FFFFFF"/>
            <w:noWrap w:val="0"/>
            <w:vAlign w:val="center"/>
          </w:tcPr>
          <w:p w14:paraId="04F2F1A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刃口锐角</w:t>
            </w:r>
          </w:p>
        </w:tc>
        <w:tc>
          <w:tcPr>
            <w:tcW w:w="6569" w:type="dxa"/>
            <w:shd w:val="clear" w:color="auto" w:fill="FFFFFF"/>
            <w:noWrap w:val="0"/>
            <w:vAlign w:val="center"/>
          </w:tcPr>
          <w:p w14:paraId="627392E8">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40～45°</w:t>
            </w:r>
          </w:p>
        </w:tc>
      </w:tr>
      <w:tr w14:paraId="31B6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FFFFFF"/>
            <w:noWrap w:val="0"/>
            <w:vAlign w:val="center"/>
          </w:tcPr>
          <w:p w14:paraId="1166A52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尺寸</w:t>
            </w:r>
          </w:p>
        </w:tc>
        <w:tc>
          <w:tcPr>
            <w:tcW w:w="6569" w:type="dxa"/>
            <w:shd w:val="clear" w:color="auto" w:fill="FFFFFF"/>
            <w:noWrap w:val="0"/>
            <w:vAlign w:val="center"/>
          </w:tcPr>
          <w:p w14:paraId="0A6A72BB">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高910mm/直径450mm</w:t>
            </w:r>
          </w:p>
        </w:tc>
      </w:tr>
      <w:tr w14:paraId="735E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263" w:type="dxa"/>
            <w:shd w:val="clear" w:color="auto" w:fill="FFFFFF"/>
            <w:noWrap w:val="0"/>
            <w:vAlign w:val="center"/>
          </w:tcPr>
          <w:p w14:paraId="3CCBAE3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总重量</w:t>
            </w:r>
          </w:p>
        </w:tc>
        <w:tc>
          <w:tcPr>
            <w:tcW w:w="6569" w:type="dxa"/>
            <w:shd w:val="clear" w:color="auto" w:fill="FFFFFF"/>
            <w:noWrap w:val="0"/>
            <w:vAlign w:val="center"/>
          </w:tcPr>
          <w:p w14:paraId="20126119">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15kg</w:t>
            </w:r>
          </w:p>
        </w:tc>
      </w:tr>
      <w:tr w14:paraId="1BE4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FFFFFF"/>
            <w:noWrap w:val="0"/>
            <w:vAlign w:val="center"/>
          </w:tcPr>
          <w:p w14:paraId="7193863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6569" w:type="dxa"/>
            <w:shd w:val="clear" w:color="auto" w:fill="FFFFFF"/>
            <w:noWrap w:val="0"/>
            <w:vAlign w:val="center"/>
          </w:tcPr>
          <w:p w14:paraId="527EE381">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底盘：铝；托盘：ABS；采样桶：聚乙烯；防护外壳：聚乙烯</w:t>
            </w:r>
          </w:p>
        </w:tc>
      </w:tr>
      <w:tr w14:paraId="357C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FFFFFF"/>
            <w:noWrap w:val="0"/>
            <w:vAlign w:val="center"/>
          </w:tcPr>
          <w:p w14:paraId="2F0FFA8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环境指标</w:t>
            </w:r>
          </w:p>
        </w:tc>
        <w:tc>
          <w:tcPr>
            <w:tcW w:w="6569" w:type="dxa"/>
            <w:shd w:val="clear" w:color="auto" w:fill="FFFFFF"/>
            <w:noWrap w:val="0"/>
            <w:vAlign w:val="center"/>
          </w:tcPr>
          <w:p w14:paraId="1CCC0B56">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工作温度：-45 ~ +60 ℃</w:t>
            </w:r>
          </w:p>
          <w:p w14:paraId="3210440E">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储存温度：-45 ~ +70 ℃</w:t>
            </w:r>
          </w:p>
          <w:p w14:paraId="3AA71794">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相对湿度： 0 ~ 100% RH</w:t>
            </w:r>
          </w:p>
        </w:tc>
      </w:tr>
      <w:tr w14:paraId="3FE0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FFFFFF"/>
            <w:noWrap w:val="0"/>
            <w:vAlign w:val="center"/>
          </w:tcPr>
          <w:p w14:paraId="2E05239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通讯与接口</w:t>
            </w:r>
          </w:p>
        </w:tc>
        <w:tc>
          <w:tcPr>
            <w:tcW w:w="6569" w:type="dxa"/>
            <w:shd w:val="clear" w:color="auto" w:fill="FFFFFF"/>
            <w:noWrap w:val="0"/>
            <w:vAlign w:val="center"/>
          </w:tcPr>
          <w:p w14:paraId="578B4456">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RS485接口：参数设置、系统升级、数据输出</w:t>
            </w:r>
          </w:p>
          <w:p w14:paraId="0AEAE66A">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USB接口：参数设置、系统升级</w:t>
            </w:r>
          </w:p>
          <w:p w14:paraId="729602A5">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脉冲输出</w:t>
            </w:r>
          </w:p>
          <w:p w14:paraId="0418D1D4">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开关量输出</w:t>
            </w:r>
          </w:p>
        </w:tc>
      </w:tr>
      <w:tr w14:paraId="08A3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263" w:type="dxa"/>
            <w:shd w:val="clear" w:color="auto" w:fill="FFFFFF"/>
            <w:noWrap w:val="0"/>
            <w:vAlign w:val="center"/>
          </w:tcPr>
          <w:p w14:paraId="1FAE322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防护等级</w:t>
            </w:r>
          </w:p>
        </w:tc>
        <w:tc>
          <w:tcPr>
            <w:tcW w:w="6569" w:type="dxa"/>
            <w:shd w:val="clear" w:color="auto" w:fill="FFFFFF"/>
            <w:noWrap w:val="0"/>
            <w:vAlign w:val="center"/>
          </w:tcPr>
          <w:p w14:paraId="5BEF1EC9">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IP65，防盐雾</w:t>
            </w:r>
          </w:p>
        </w:tc>
      </w:tr>
    </w:tbl>
    <w:p w14:paraId="4923D6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设备安装技术要求</w:t>
      </w:r>
    </w:p>
    <w:p w14:paraId="6E9CB9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遵照中华人民共和国水利行业标准SL21-2015《降水量观测规范》进行安装地点的选择安装。</w:t>
      </w:r>
    </w:p>
    <w:p w14:paraId="5115A0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安装步骤包括，现场查勘，降水量观测应最好选择地面观测，当地面观测不符合要求时，可设置杆式观测场，特殊情况下，专用雨量站可设置房顶观测场。</w:t>
      </w:r>
    </w:p>
    <w:p w14:paraId="6C5907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观测场应尽量避开强风区，周围应空旷，平坦，山区安装时，不宜设在陡坡上，峡谷内或风口处，若放置，应安装防风装置。</w:t>
      </w:r>
    </w:p>
    <w:p w14:paraId="4056B4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雨量计应设置在当地雨期常年盛行风向的障碍物的侧风区，并避开电力线路。房顶观测场可设在与四周其他障碍物高度基本一致的平顶房顶上，在空旷，平坦地区，独立房屋上不宜设置，要设置安全防护设施。</w:t>
      </w:r>
    </w:p>
    <w:p w14:paraId="228325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hAnsi="宋体" w:eastAsia="仿宋"/>
          <w:bCs/>
          <w:color w:val="auto"/>
          <w:sz w:val="24"/>
          <w:szCs w:val="24"/>
          <w:highlight w:val="none"/>
        </w:rPr>
        <w:t>泄洪一体化智能视频广播预警</w:t>
      </w:r>
    </w:p>
    <w:p w14:paraId="73DA4E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系统功能包括视频</w:t>
      </w:r>
      <w:r>
        <w:rPr>
          <w:rFonts w:hint="eastAsia" w:ascii="仿宋" w:hAnsi="仿宋" w:eastAsia="仿宋" w:cs="仿宋"/>
          <w:color w:val="auto"/>
          <w:sz w:val="24"/>
          <w:szCs w:val="24"/>
          <w:highlight w:val="none"/>
          <w:lang w:val="en-US" w:eastAsia="zh-CN"/>
        </w:rPr>
        <w:t>监控、预警广播和前端对讲功能。</w:t>
      </w:r>
      <w:r>
        <w:rPr>
          <w:rFonts w:hint="eastAsia" w:ascii="仿宋" w:hAnsi="仿宋" w:eastAsia="仿宋" w:cs="仿宋"/>
          <w:color w:val="auto"/>
          <w:sz w:val="24"/>
          <w:szCs w:val="24"/>
          <w:highlight w:val="none"/>
        </w:rPr>
        <w:t>供电方式根据现场条件选择，优先采用</w:t>
      </w:r>
      <w:r>
        <w:rPr>
          <w:rFonts w:hint="eastAsia" w:ascii="仿宋" w:hAnsi="仿宋" w:eastAsia="仿宋" w:cs="仿宋"/>
          <w:color w:val="auto"/>
          <w:sz w:val="24"/>
          <w:szCs w:val="24"/>
          <w:highlight w:val="none"/>
          <w:lang w:val="en-US" w:eastAsia="zh-CN"/>
        </w:rPr>
        <w:t>市电</w:t>
      </w:r>
      <w:r>
        <w:rPr>
          <w:rFonts w:hint="eastAsia" w:ascii="仿宋" w:hAnsi="仿宋" w:eastAsia="仿宋" w:cs="仿宋"/>
          <w:color w:val="auto"/>
          <w:sz w:val="24"/>
          <w:szCs w:val="24"/>
          <w:highlight w:val="none"/>
        </w:rPr>
        <w:t>供电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市电供电困难时采用太阳能供电，</w:t>
      </w:r>
      <w:r>
        <w:rPr>
          <w:rFonts w:hint="eastAsia" w:ascii="仿宋" w:hAnsi="仿宋" w:eastAsia="仿宋" w:cs="仿宋"/>
          <w:color w:val="auto"/>
          <w:sz w:val="24"/>
          <w:szCs w:val="24"/>
          <w:highlight w:val="none"/>
        </w:rPr>
        <w:t>采用太阳能供电时，蓄电池容量应保证连续</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天以上阴雨天气正常供电。</w:t>
      </w:r>
    </w:p>
    <w:p w14:paraId="645605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①一体化智能预警终端</w:t>
      </w:r>
    </w:p>
    <w:p w14:paraId="2CD651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摄像机按照标准的音视频编码格式及标准的通信协议，接入现有网络及视频广播系统；</w:t>
      </w:r>
    </w:p>
    <w:p w14:paraId="633E2B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摄像头最高分辨率可达 1920×1080@25fps,在该分辨率下可输出实时图像 </w:t>
      </w:r>
    </w:p>
    <w:p w14:paraId="71937C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码流平滑设置，适应不同场景下对图像质量、流畅性的不同要求 </w:t>
      </w:r>
    </w:p>
    <w:p w14:paraId="55D0DA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支持 OSD 颜色自选 </w:t>
      </w:r>
    </w:p>
    <w:p w14:paraId="7F959A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支持 3D 数字降噪,支持 120dB 宽动态 </w:t>
      </w:r>
    </w:p>
    <w:p w14:paraId="0BFCE6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功能齐全:一键恢复,心跳,镜像等 </w:t>
      </w:r>
    </w:p>
    <w:p w14:paraId="216330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红外功能 </w:t>
      </w:r>
    </w:p>
    <w:p w14:paraId="1BDEDA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高效阵列红外灯,使用寿命长,照射距离最远可达 80 米 </w:t>
      </w:r>
    </w:p>
    <w:p w14:paraId="62363C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支持 smartIR，防止夜间红外过曝 </w:t>
      </w:r>
    </w:p>
    <w:p w14:paraId="5E4FDC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ICR 红外滤片式自动切换,实现真正的日夜监控 </w:t>
      </w:r>
    </w:p>
    <w:p w14:paraId="13D130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支持日夜两套参数独立配置</w:t>
      </w:r>
    </w:p>
    <w:p w14:paraId="36020F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rPr>
        <w:t>高清网络</w:t>
      </w:r>
      <w:r>
        <w:rPr>
          <w:rFonts w:hint="eastAsia" w:ascii="仿宋" w:hAnsi="仿宋" w:eastAsia="仿宋" w:cs="仿宋"/>
          <w:color w:val="auto"/>
          <w:sz w:val="24"/>
          <w:szCs w:val="24"/>
          <w:highlight w:val="none"/>
          <w:lang w:val="en-US" w:eastAsia="zh-CN"/>
        </w:rPr>
        <w:t>球形</w:t>
      </w:r>
      <w:r>
        <w:rPr>
          <w:rFonts w:hint="eastAsia" w:ascii="仿宋" w:hAnsi="仿宋" w:eastAsia="仿宋" w:cs="仿宋"/>
          <w:color w:val="auto"/>
          <w:sz w:val="24"/>
          <w:szCs w:val="24"/>
          <w:highlight w:val="none"/>
        </w:rPr>
        <w:t>摄像机，</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视频、图像、控制功能；</w:t>
      </w:r>
    </w:p>
    <w:p w14:paraId="4B506A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支持4个RS232接口、3个RS485接口、1个以太网接口、1个TF卡接口；8个LAN，RJ45 10M/100M自适应以太网口，支持POE供电；</w:t>
      </w:r>
    </w:p>
    <w:p w14:paraId="0DE9C4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支持GB28181接入视频管理平台、支持摄像机以ONVIF接入主机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带加密狗</w:t>
      </w:r>
      <w:r>
        <w:rPr>
          <w:rFonts w:hint="eastAsia" w:ascii="仿宋" w:hAnsi="仿宋" w:eastAsia="仿宋" w:cs="仿宋"/>
          <w:color w:val="auto"/>
          <w:sz w:val="24"/>
          <w:szCs w:val="24"/>
          <w:highlight w:val="none"/>
          <w:lang w:eastAsia="zh-CN"/>
        </w:rPr>
        <w:t>。</w:t>
      </w:r>
    </w:p>
    <w:p w14:paraId="61802A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支持本地设备 Web 页面查看实时数据、设备状态、设备参数配置；支 </w:t>
      </w:r>
    </w:p>
    <w:p w14:paraId="059ED4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持 U 盘升级/远程升级/本地 web 升级方式； </w:t>
      </w:r>
    </w:p>
    <w:p w14:paraId="619C11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支持本地 U 盘、本地网络、远程客户端数据导出功能； </w:t>
      </w:r>
    </w:p>
    <w:p w14:paraId="3CFFFF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支持 4G 网络、WIFI 和有线网络三条出口智能切换功能，可预设规则切 </w:t>
      </w:r>
    </w:p>
    <w:p w14:paraId="2669DF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换； </w:t>
      </w:r>
    </w:p>
    <w:p w14:paraId="55D982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支持自由配置以支持任意 MODBUS 协议的前端传感器接入； </w:t>
      </w:r>
    </w:p>
    <w:p w14:paraId="7C09AF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 GB28181 接入视频管理平台、支持摄像机以 ONVIF 接入主机；</w:t>
      </w:r>
    </w:p>
    <w:p w14:paraId="7C4EBA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支持常规工作模式和低功耗工作模式，可远程平台控制切换； </w:t>
      </w:r>
    </w:p>
    <w:p w14:paraId="5C940B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highlight w:val="none"/>
          <w:lang w:eastAsia="zh-CN"/>
        </w:rPr>
      </w:pPr>
      <w:r>
        <w:rPr>
          <w:rFonts w:hint="eastAsia" w:ascii="仿宋" w:hAnsi="仿宋" w:eastAsia="仿宋" w:cs="仿宋"/>
          <w:color w:val="auto"/>
          <w:sz w:val="24"/>
          <w:szCs w:val="24"/>
          <w:highlight w:val="none"/>
          <w:lang w:val="en-US" w:eastAsia="zh-CN"/>
        </w:rPr>
        <w:t>支持 VPN 功能，可实现远程管理、主机访问、升级等操作。</w:t>
      </w:r>
    </w:p>
    <w:p w14:paraId="535E53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室外防水防暴拾音器</w:t>
      </w:r>
    </w:p>
    <w:p w14:paraId="3C1709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拾音范围&gt;5米</w:t>
      </w:r>
      <w:r>
        <w:rPr>
          <w:rFonts w:hint="eastAsia" w:ascii="仿宋" w:hAnsi="仿宋" w:eastAsia="仿宋" w:cs="仿宋"/>
          <w:color w:val="auto"/>
          <w:sz w:val="24"/>
          <w:szCs w:val="24"/>
          <w:highlight w:val="none"/>
          <w:lang w:eastAsia="zh-CN"/>
        </w:rPr>
        <w:t>；</w:t>
      </w:r>
    </w:p>
    <w:p w14:paraId="3E69AF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符合IP65标准</w:t>
      </w:r>
      <w:r>
        <w:rPr>
          <w:rFonts w:hint="eastAsia" w:ascii="仿宋" w:hAnsi="仿宋" w:eastAsia="仿宋" w:cs="仿宋"/>
          <w:color w:val="auto"/>
          <w:sz w:val="24"/>
          <w:szCs w:val="24"/>
          <w:highlight w:val="none"/>
          <w:lang w:eastAsia="zh-CN"/>
        </w:rPr>
        <w:t>；</w:t>
      </w:r>
    </w:p>
    <w:p w14:paraId="46610D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灵敏度：</w:t>
      </w:r>
      <w:r>
        <w:rPr>
          <w:rFonts w:hint="eastAsia" w:ascii="仿宋" w:hAnsi="仿宋" w:eastAsia="仿宋" w:cs="仿宋"/>
          <w:color w:val="auto"/>
          <w:sz w:val="24"/>
          <w:szCs w:val="24"/>
          <w:highlight w:val="none"/>
          <w:lang w:val="en-US" w:eastAsia="zh-CN"/>
        </w:rPr>
        <w:t>优于</w:t>
      </w:r>
      <w:r>
        <w:rPr>
          <w:rFonts w:hint="eastAsia" w:ascii="仿宋" w:hAnsi="仿宋" w:eastAsia="仿宋" w:cs="仿宋"/>
          <w:color w:val="auto"/>
          <w:sz w:val="24"/>
          <w:szCs w:val="24"/>
          <w:highlight w:val="none"/>
        </w:rPr>
        <w:t>-48 dB(10.0mV e</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1V at 1 Pa)</w:t>
      </w:r>
      <w:r>
        <w:rPr>
          <w:rFonts w:hint="eastAsia" w:ascii="仿宋" w:hAnsi="仿宋" w:eastAsia="仿宋" w:cs="仿宋"/>
          <w:color w:val="auto"/>
          <w:sz w:val="24"/>
          <w:szCs w:val="24"/>
          <w:highlight w:val="none"/>
          <w:lang w:eastAsia="zh-CN"/>
        </w:rPr>
        <w:t>；</w:t>
      </w:r>
    </w:p>
    <w:p w14:paraId="6B59C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信噪比：60dB（1 kHz 于1 Pa）</w:t>
      </w:r>
      <w:r>
        <w:rPr>
          <w:rFonts w:hint="eastAsia" w:ascii="仿宋" w:hAnsi="仿宋" w:eastAsia="仿宋" w:cs="仿宋"/>
          <w:color w:val="auto"/>
          <w:sz w:val="24"/>
          <w:szCs w:val="24"/>
          <w:highlight w:val="none"/>
          <w:lang w:eastAsia="zh-CN"/>
        </w:rPr>
        <w:t>；</w:t>
      </w:r>
    </w:p>
    <w:p w14:paraId="36C22D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最大音压：120dB 声压（1kHz ≤ 3%THD</w:t>
      </w:r>
      <w:r>
        <w:rPr>
          <w:rFonts w:hint="eastAsia" w:ascii="仿宋" w:hAnsi="仿宋" w:eastAsia="仿宋" w:cs="仿宋"/>
          <w:color w:val="auto"/>
          <w:sz w:val="24"/>
          <w:szCs w:val="24"/>
          <w:highlight w:val="none"/>
          <w:lang w:eastAsia="zh-CN"/>
        </w:rPr>
        <w:t>；</w:t>
      </w:r>
    </w:p>
    <w:p w14:paraId="53DA0F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频率响应：100Hz～15kHz</w:t>
      </w:r>
      <w:r>
        <w:rPr>
          <w:rFonts w:hint="eastAsia" w:ascii="仿宋" w:hAnsi="仿宋" w:eastAsia="仿宋" w:cs="仿宋"/>
          <w:color w:val="auto"/>
          <w:sz w:val="24"/>
          <w:szCs w:val="24"/>
          <w:highlight w:val="none"/>
          <w:lang w:eastAsia="zh-CN"/>
        </w:rPr>
        <w:t>；</w:t>
      </w:r>
    </w:p>
    <w:p w14:paraId="6F436D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输出电平：2.5Vpp/94dB声压</w:t>
      </w:r>
      <w:r>
        <w:rPr>
          <w:rFonts w:hint="eastAsia" w:ascii="仿宋" w:hAnsi="仿宋" w:eastAsia="仿宋" w:cs="仿宋"/>
          <w:color w:val="auto"/>
          <w:sz w:val="24"/>
          <w:szCs w:val="24"/>
          <w:highlight w:val="none"/>
          <w:lang w:eastAsia="zh-CN"/>
        </w:rPr>
        <w:t>。</w:t>
      </w:r>
    </w:p>
    <w:p w14:paraId="1D835546">
      <w:pPr>
        <w:pStyle w:val="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③水位计</w:t>
      </w:r>
    </w:p>
    <w:p w14:paraId="154ACA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供电电压：7～18VDC </w:t>
      </w:r>
    </w:p>
    <w:p w14:paraId="6E7BAD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分辨力：1mm </w:t>
      </w:r>
    </w:p>
    <w:p w14:paraId="587019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通信方式：RS485 应答式 </w:t>
      </w:r>
    </w:p>
    <w:p w14:paraId="3B8EA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量程：&gt;20m（根据需要确定量程） </w:t>
      </w:r>
    </w:p>
    <w:p w14:paraId="3A986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测值精度：≤±0.1%FS </w:t>
      </w:r>
    </w:p>
    <w:p w14:paraId="2216C3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稳定性：&lt;0.1%FS/年 </w:t>
      </w:r>
    </w:p>
    <w:p w14:paraId="5496B4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工作温度：-20℃-60℃ </w:t>
      </w:r>
    </w:p>
    <w:p w14:paraId="3481E2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highlight w:val="none"/>
          <w:lang w:val="en-US" w:eastAsia="zh-CN"/>
        </w:rPr>
      </w:pPr>
      <w:r>
        <w:rPr>
          <w:rFonts w:hint="eastAsia" w:ascii="仿宋" w:hAnsi="仿宋" w:eastAsia="仿宋" w:cs="仿宋"/>
          <w:color w:val="auto"/>
          <w:sz w:val="24"/>
          <w:szCs w:val="24"/>
          <w:highlight w:val="none"/>
          <w:lang w:val="en-US" w:eastAsia="zh-CN"/>
        </w:rPr>
        <w:t>尺寸：Φ39×110mm</w:t>
      </w:r>
    </w:p>
    <w:p w14:paraId="7772A0B6">
      <w:pPr>
        <w:pStyle w:val="4"/>
        <w:rPr>
          <w:rFonts w:hint="eastAsia"/>
          <w:color w:val="auto"/>
          <w:highlight w:val="none"/>
        </w:rPr>
      </w:pPr>
      <w:r>
        <w:rPr>
          <w:rFonts w:hint="eastAsia"/>
          <w:color w:val="auto"/>
          <w:highlight w:val="none"/>
        </w:rPr>
        <w:t>三、服务要求</w:t>
      </w:r>
    </w:p>
    <w:p w14:paraId="2D2D67BE">
      <w:pPr>
        <w:pStyle w:val="18"/>
        <w:spacing w:line="360" w:lineRule="auto"/>
        <w:ind w:firstLine="480" w:firstLineChars="200"/>
        <w:jc w:val="left"/>
        <w:rPr>
          <w:rFonts w:hint="eastAsia" w:ascii="Times New Roman" w:hAnsi="宋体" w:eastAsia="仿宋" w:cs="Times New Roman"/>
          <w:bCs/>
          <w:color w:val="auto"/>
          <w:sz w:val="24"/>
          <w:szCs w:val="24"/>
          <w:highlight w:val="none"/>
        </w:rPr>
      </w:pPr>
      <w:r>
        <w:rPr>
          <w:rFonts w:hint="eastAsia" w:ascii="Times New Roman" w:hAnsi="宋体" w:eastAsia="仿宋" w:cs="Times New Roman"/>
          <w:bCs/>
          <w:color w:val="auto"/>
          <w:sz w:val="24"/>
          <w:szCs w:val="24"/>
          <w:highlight w:val="none"/>
          <w:lang w:val="en-US" w:eastAsia="zh-CN"/>
        </w:rPr>
        <w:t>1</w:t>
      </w:r>
      <w:r>
        <w:rPr>
          <w:rFonts w:hint="eastAsia" w:ascii="Times New Roman" w:hAnsi="宋体" w:eastAsia="仿宋" w:cs="Times New Roman"/>
          <w:bCs/>
          <w:color w:val="auto"/>
          <w:sz w:val="24"/>
          <w:szCs w:val="24"/>
          <w:highlight w:val="none"/>
        </w:rPr>
        <w:t>、洪水预报调度优化</w:t>
      </w:r>
    </w:p>
    <w:p w14:paraId="3D07EAC0">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lang w:val="en-US" w:eastAsia="zh-CN"/>
        </w:rPr>
        <w:t>1</w:t>
      </w: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rPr>
        <w:t>洪水精准预报</w:t>
      </w:r>
    </w:p>
    <w:p w14:paraId="4A961E6B">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在龙河口水库现有的洪水预报调度系统的基础上，充分应用“三道防线”雨水情信息，</w:t>
      </w:r>
      <w:r>
        <w:rPr>
          <w:rFonts w:hint="eastAsia" w:hAnsi="宋体" w:eastAsia="仿宋"/>
          <w:bCs/>
          <w:color w:val="auto"/>
          <w:sz w:val="24"/>
          <w:szCs w:val="24"/>
          <w:highlight w:val="none"/>
          <w:lang w:val="en-US" w:eastAsia="zh-CN"/>
        </w:rPr>
        <w:t>重新建立</w:t>
      </w:r>
      <w:r>
        <w:rPr>
          <w:rFonts w:hint="eastAsia" w:hAnsi="宋体" w:eastAsia="仿宋"/>
          <w:bCs/>
          <w:color w:val="auto"/>
          <w:sz w:val="24"/>
          <w:szCs w:val="24"/>
          <w:highlight w:val="none"/>
        </w:rPr>
        <w:t>洪水预报模型，开展不同预见期洪水预报，并对洪水预报成果进行滚动更新，延长预报预见期；根据历史洪水及时修正龙河口水库洪水预报调度系统中洪水预报模型参数，提高洪水预报精准度。</w:t>
      </w:r>
    </w:p>
    <w:p w14:paraId="1923E894">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lang w:val="en-US" w:eastAsia="zh-CN"/>
        </w:rPr>
        <w:t>2</w:t>
      </w: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rPr>
        <w:t>耦合多源信息的洪水调度决策</w:t>
      </w:r>
    </w:p>
    <w:p w14:paraId="19EA36C6">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综合考虑水库调度任务和调度目标，充分利用实时雨水情监测数据、洪水预报信息和大坝工情评价信息，建立基于滚动时域控制的水库防洪调度技术，基于调度方案效果评价滚动优化水库调度方式，逐步更新执行调度方案，实现预报调度一体化，提高防洪调度的主动性、前瞻性和实时性。调度过程中要合理分配水库的蓄水容量，优化泄洪方式和时机，以最大限度地减少洪水对下游区域的影响。</w:t>
      </w:r>
    </w:p>
    <w:p w14:paraId="698B3386">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2、</w:t>
      </w:r>
      <w:r>
        <w:rPr>
          <w:rFonts w:hint="eastAsia" w:hAnsi="宋体" w:eastAsia="仿宋"/>
          <w:bCs/>
          <w:color w:val="auto"/>
          <w:sz w:val="24"/>
          <w:szCs w:val="24"/>
          <w:highlight w:val="none"/>
        </w:rPr>
        <w:t>大坝安全性态诊断系统</w:t>
      </w:r>
    </w:p>
    <w:p w14:paraId="1709B87F">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基于安全监测、运行管理等大坝安全管理要素信息，建立水库大坝结构行为单测点和多测点智能预测模式，构建数据驱动的大坝运行性态跟踪分析与预报系统，实现水库大坝运行性态分析与预报功能。调用雨水情和水文预报结果，借助大坝安全实测资料，建立龙河口水库大坝安全数据驱动模型和混合模型，实现库坝单测点－多测点效应量的跟踪分析与预测预报，并绘制3S置信带。</w:t>
      </w:r>
    </w:p>
    <w:p w14:paraId="3FC9730B">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3、</w:t>
      </w:r>
      <w:r>
        <w:rPr>
          <w:rFonts w:hint="eastAsia" w:hAnsi="宋体" w:eastAsia="仿宋"/>
          <w:bCs/>
          <w:color w:val="auto"/>
          <w:sz w:val="24"/>
          <w:szCs w:val="24"/>
          <w:highlight w:val="none"/>
        </w:rPr>
        <w:t>汛情分级动态预警体系</w:t>
      </w:r>
    </w:p>
    <w:p w14:paraId="546C8D10">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基于降雨、流量等洪水要素监测数据、山洪预警信息、水库大坝实时监测数据</w:t>
      </w: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lang w:val="en-US" w:eastAsia="zh-CN"/>
        </w:rPr>
        <w:t>和人口热力学</w:t>
      </w:r>
      <w:r>
        <w:rPr>
          <w:rFonts w:hint="eastAsia" w:hAnsi="宋体" w:eastAsia="仿宋"/>
          <w:bCs/>
          <w:color w:val="auto"/>
          <w:sz w:val="24"/>
          <w:szCs w:val="24"/>
          <w:highlight w:val="none"/>
        </w:rPr>
        <w:t>等，确定防洪预警对象，包括临界雨量、水库纳雨能力、河道特征水位等方面。根据预警对象属性特征和监测条件，确定各工程、河段、风险区的警示指标，以及各个预警指标的阈值，并设定不同预警</w:t>
      </w:r>
      <w:r>
        <w:rPr>
          <w:rFonts w:hint="eastAsia" w:hAnsi="宋体" w:eastAsia="仿宋"/>
          <w:bCs/>
          <w:color w:val="auto"/>
          <w:sz w:val="24"/>
          <w:szCs w:val="24"/>
          <w:highlight w:val="none"/>
          <w:lang w:val="en-US" w:eastAsia="zh-CN"/>
        </w:rPr>
        <w:t>等级，</w:t>
      </w:r>
      <w:r>
        <w:rPr>
          <w:rFonts w:hint="eastAsia" w:hAnsi="宋体" w:eastAsia="仿宋"/>
          <w:bCs/>
          <w:color w:val="auto"/>
          <w:sz w:val="24"/>
          <w:szCs w:val="24"/>
          <w:highlight w:val="none"/>
        </w:rPr>
        <w:t>将预警指标实时监测结果或预报结果与阈值进行对比分析，确定预警对象的预警等级，通过短信、网站、APP、微信等形式及时向防汛责任人</w:t>
      </w: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lang w:val="en-US" w:eastAsia="zh-CN"/>
        </w:rPr>
        <w:t>此功能需供应商自行与运营商进行对接，所需相关费用包含在报价内</w:t>
      </w: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rPr>
        <w:t>工程管理单位责任人和受威胁区域群众精准推送预警信息，打通风险预警“最后一公里”。</w:t>
      </w:r>
    </w:p>
    <w:p w14:paraId="25D8C696">
      <w:pPr>
        <w:pStyle w:val="18"/>
        <w:spacing w:line="360" w:lineRule="auto"/>
        <w:ind w:firstLine="480" w:firstLineChars="200"/>
        <w:jc w:val="left"/>
        <w:rPr>
          <w:rFonts w:hint="eastAsia" w:hAnsi="宋体" w:eastAsia="仿宋"/>
          <w:bCs/>
          <w:color w:val="auto"/>
          <w:sz w:val="24"/>
          <w:szCs w:val="24"/>
          <w:highlight w:val="none"/>
          <w:lang w:eastAsia="zh-CN"/>
        </w:rPr>
      </w:pPr>
      <w:r>
        <w:rPr>
          <w:rFonts w:hint="eastAsia" w:hAnsi="宋体" w:eastAsia="仿宋"/>
          <w:bCs/>
          <w:color w:val="auto"/>
          <w:sz w:val="24"/>
          <w:szCs w:val="24"/>
          <w:highlight w:val="none"/>
          <w:lang w:val="en-US" w:eastAsia="zh-CN"/>
        </w:rPr>
        <w:t>4</w:t>
      </w:r>
      <w:r>
        <w:rPr>
          <w:rFonts w:hint="eastAsia" w:hAnsi="宋体" w:eastAsia="仿宋"/>
          <w:bCs/>
          <w:color w:val="auto"/>
          <w:sz w:val="24"/>
          <w:szCs w:val="24"/>
          <w:highlight w:val="none"/>
        </w:rPr>
        <w:t>、工情分级动态预警体系</w:t>
      </w:r>
    </w:p>
    <w:p w14:paraId="0FA4BDFC">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依据工程安全分级分类预警、溃坝及超标准泄洪风险分级分类预警、水库安全风险预警指标体系等，建立龙河口水库安全风险预警指标体系、构建规范科学的预警发布体系、开发龙河口水库大坝安全风险智能预警平台，实现预警提前化。</w:t>
      </w:r>
    </w:p>
    <w:p w14:paraId="6CD12BDC">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5</w:t>
      </w:r>
      <w:r>
        <w:rPr>
          <w:rFonts w:hint="eastAsia" w:hAnsi="宋体" w:eastAsia="仿宋"/>
          <w:bCs/>
          <w:color w:val="auto"/>
          <w:sz w:val="24"/>
          <w:szCs w:val="24"/>
          <w:highlight w:val="none"/>
        </w:rPr>
        <w:t>、调度预演</w:t>
      </w:r>
    </w:p>
    <w:p w14:paraId="5C08E1C1">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综合考虑防洪调度和兴利调度需求，优化水库洪水调度方案多指标比选与迭代调优功能，完善龙河口水库工程调度措施。</w:t>
      </w:r>
    </w:p>
    <w:p w14:paraId="63A2F14C">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6</w:t>
      </w:r>
      <w:r>
        <w:rPr>
          <w:rFonts w:hint="eastAsia" w:hAnsi="宋体" w:eastAsia="仿宋"/>
          <w:bCs/>
          <w:color w:val="auto"/>
          <w:sz w:val="24"/>
          <w:szCs w:val="24"/>
          <w:highlight w:val="none"/>
        </w:rPr>
        <w:t>、洪水风险预演</w:t>
      </w:r>
    </w:p>
    <w:p w14:paraId="34982562">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1）洪水演进正向推演</w:t>
      </w:r>
    </w:p>
    <w:p w14:paraId="7BE9F12D">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实现支持叠加流域内降雨强度，展示预报、设计、历史典型、溃坝洪水等不同工况条件下，河道等涉水对象的数值模拟结果，通过二三维虚拟仿真技术，进行模拟结果的逐时展示，形成动态洪水风险图，包括洪水淹没范围及洪水到达重要防洪对象时间、淹没深度、防汛物资等。</w:t>
      </w:r>
    </w:p>
    <w:p w14:paraId="5E5F9868">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2）洪水演进逆向推演</w:t>
      </w:r>
    </w:p>
    <w:p w14:paraId="2B4B7084">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依据雨水情监测预报、水库调度方案等信息，根据大坝安全诊断模型，分析龙河口水库实时水位下大坝稳定、渗流等安全状态，逆向推演龙河口水库大坝限制运用条件。基于未来降雨预报或假定降雨量，根据下游控制下泄流量要求，逆向推演库水位将达到的位置及上游淹没范围；基于未来降雨预报或假定降雨量，特定库水位限制条件下，逆向推演水库提前预泄量或下泄淹没损失范围等。</w:t>
      </w:r>
    </w:p>
    <w:p w14:paraId="73A77B85">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7</w:t>
      </w:r>
      <w:r>
        <w:rPr>
          <w:rFonts w:hint="eastAsia" w:hAnsi="宋体" w:eastAsia="仿宋"/>
          <w:bCs/>
          <w:color w:val="auto"/>
          <w:sz w:val="24"/>
          <w:szCs w:val="24"/>
          <w:highlight w:val="none"/>
        </w:rPr>
        <w:t>、称重式降雨量测量仪建设</w:t>
      </w:r>
    </w:p>
    <w:p w14:paraId="1CD8BF79">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在龙河口水库工程区设置1个站点，采用称重式降水量监测仪，测量各种条件下的降水，精准提供分钟雨强数据，提高降水数据精度准确度，从而进一步完善“三道防线”雨水情测报体系建设。</w:t>
      </w:r>
    </w:p>
    <w:p w14:paraId="79BC750F">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仪器配备1500mm容量的盛水桶和稳定的机械结构，具有安装、维护、校准简单方便等特点。仪器严格按照SL 21-2006降水量观测规范和SL/T811.4-2021《降水量观测仪器第4部分：称重式雨量计》要求组织生产、装配、检定。</w:t>
      </w:r>
    </w:p>
    <w:p w14:paraId="1E1F83C2">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8</w:t>
      </w:r>
      <w:r>
        <w:rPr>
          <w:rFonts w:hint="eastAsia" w:hAnsi="宋体" w:eastAsia="仿宋"/>
          <w:bCs/>
          <w:color w:val="auto"/>
          <w:sz w:val="24"/>
          <w:szCs w:val="24"/>
          <w:highlight w:val="none"/>
        </w:rPr>
        <w:t>、泄洪一体化智能视频广播预警（4套）</w:t>
      </w:r>
    </w:p>
    <w:p w14:paraId="171B6845">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在下游河道沿途合适地点设置4处泄洪一体化智能视频广播预警系统。一体化洪水智能预警系统设备配置：1个一体化洪水智能预警终端、2个视频摄像头、1个预警喇叭、1个拾音器、1套供电系统、1套防雷系统</w:t>
      </w:r>
      <w:r>
        <w:rPr>
          <w:rFonts w:hint="eastAsia" w:ascii="Times New Roman" w:hAnsi="宋体" w:eastAsia="仿宋" w:cs="Times New Roman"/>
          <w:bCs/>
          <w:color w:val="auto"/>
          <w:sz w:val="24"/>
          <w:szCs w:val="24"/>
          <w:highlight w:val="none"/>
        </w:rPr>
        <w:t>、</w:t>
      </w:r>
      <w:r>
        <w:rPr>
          <w:rFonts w:hint="eastAsia" w:ascii="Times New Roman" w:hAnsi="宋体" w:eastAsia="仿宋" w:cs="Times New Roman"/>
          <w:bCs/>
          <w:color w:val="auto"/>
          <w:sz w:val="24"/>
          <w:szCs w:val="24"/>
          <w:highlight w:val="none"/>
          <w:lang w:val="en-US" w:eastAsia="zh-CN"/>
        </w:rPr>
        <w:t>1</w:t>
      </w:r>
      <w:r>
        <w:rPr>
          <w:rFonts w:hint="eastAsia" w:ascii="Times New Roman" w:hAnsi="宋体" w:eastAsia="仿宋" w:cs="Times New Roman"/>
          <w:bCs/>
          <w:color w:val="auto"/>
          <w:sz w:val="24"/>
          <w:szCs w:val="24"/>
          <w:highlight w:val="none"/>
        </w:rPr>
        <w:t>张物联网卡、1</w:t>
      </w:r>
      <w:r>
        <w:rPr>
          <w:rFonts w:hint="eastAsia" w:hAnsi="宋体" w:eastAsia="仿宋"/>
          <w:bCs/>
          <w:color w:val="auto"/>
          <w:sz w:val="24"/>
          <w:szCs w:val="24"/>
          <w:highlight w:val="none"/>
        </w:rPr>
        <w:t>张视频存储卡等设备。具备设备超限告警、视频AI智能告警等功能。</w:t>
      </w:r>
    </w:p>
    <w:p w14:paraId="605F0F8E">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9</w:t>
      </w:r>
      <w:r>
        <w:rPr>
          <w:rFonts w:hint="eastAsia" w:hAnsi="宋体" w:eastAsia="仿宋"/>
          <w:bCs/>
          <w:color w:val="auto"/>
          <w:sz w:val="24"/>
          <w:szCs w:val="24"/>
          <w:highlight w:val="none"/>
        </w:rPr>
        <w:t>、研发预演系统</w:t>
      </w:r>
    </w:p>
    <w:p w14:paraId="5A3FE9DD">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充分利用已有信息化资源，统筹考虑水库上下游、左右岸全要素信息，研发防洪调度预演、洪水演进正向预演、洪水演进逆向推演等功能的预演系统。</w:t>
      </w:r>
    </w:p>
    <w:p w14:paraId="51D5E5EA">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10</w:t>
      </w:r>
      <w:r>
        <w:rPr>
          <w:rFonts w:hint="eastAsia" w:hAnsi="宋体" w:eastAsia="仿宋"/>
          <w:bCs/>
          <w:color w:val="auto"/>
          <w:sz w:val="24"/>
          <w:szCs w:val="24"/>
          <w:highlight w:val="none"/>
        </w:rPr>
        <w:t>、应急预案数字化</w:t>
      </w:r>
    </w:p>
    <w:p w14:paraId="68CD16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仿宋" w:cs="Times New Roman"/>
          <w:bCs/>
          <w:color w:val="auto"/>
          <w:kern w:val="2"/>
          <w:sz w:val="24"/>
          <w:szCs w:val="24"/>
          <w:highlight w:val="none"/>
          <w:lang w:val="en-US" w:eastAsia="zh-CN" w:bidi="ar-SA"/>
        </w:rPr>
      </w:pPr>
      <w:r>
        <w:rPr>
          <w:rFonts w:hint="eastAsia" w:ascii="Times New Roman" w:hAnsi="宋体" w:eastAsia="仿宋" w:cs="Times New Roman"/>
          <w:bCs/>
          <w:color w:val="auto"/>
          <w:kern w:val="2"/>
          <w:sz w:val="24"/>
          <w:szCs w:val="24"/>
          <w:highlight w:val="none"/>
          <w:lang w:val="en-US" w:eastAsia="zh-CN" w:bidi="ar-SA"/>
        </w:rPr>
        <w:t>1）预案生成管理。结合洪水演进分析结果，对龙河口水库应急预案的人员及社会经济影响、疏散路线、人员安置点等进行分析总结，生成特定场次洪水应急预案，为应急抢险调度提供决策支持（人员及社会经济热力图分析、疏散路线分析、人员安置分析、专家支持分析、抢险队伍分工分析、物资情况分析）。</w:t>
      </w:r>
    </w:p>
    <w:p w14:paraId="2AEE9726">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2）预案结构化管理。预案结构化管理通过对应急预案的结构化分析，提取组织架构、应急任务、触发条件、应急数据和辅助决策要件等关键要素，统一预案要素，规范编制过程，提高预案衔接性与关联度，并且明确各单位应急职责，提高应急处置效率；在应急过程中以模板化信息指令，降低信息传递要素缺失率，加强预案可操作性，并通过多维辅助决策要件，提示决策判断方向，提高应急指挥效能。</w:t>
      </w:r>
    </w:p>
    <w:p w14:paraId="74405BE7">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3）预案执行管理。预案执行管理实现应急过程中指令执行情况、人员物资调度情况等各类信息的反馈记录，实现对应急过程的监管。通过对处置过程的全面监管，提取应急知识，构建应急知识库，为应急处置优化、人员奖惩等工作提供数据支持。</w:t>
      </w:r>
    </w:p>
    <w:p w14:paraId="37CB6A7F">
      <w:pPr>
        <w:pStyle w:val="18"/>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4）预案迭代优化。结合预案知识、灾后评价分析等成果，对预案执行结果进行评估分析，形成预案生成－预案执行－预案分析－预案优化的闭环管理，为下次应急提供支撑。</w:t>
      </w:r>
    </w:p>
    <w:p w14:paraId="268E9559">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auto"/>
          <w:kern w:val="0"/>
          <w:sz w:val="24"/>
          <w:highlight w:val="none"/>
          <w:lang w:val="en-US" w:eastAsia="zh-CN"/>
        </w:rPr>
      </w:pPr>
      <w:r>
        <w:rPr>
          <w:rFonts w:hint="eastAsia" w:ascii="仿宋" w:hAnsi="仿宋" w:eastAsia="仿宋" w:cs="宋体"/>
          <w:snapToGrid w:val="0"/>
          <w:color w:val="auto"/>
          <w:kern w:val="0"/>
          <w:sz w:val="24"/>
          <w:highlight w:val="none"/>
          <w:lang w:val="en-US" w:eastAsia="zh-CN"/>
        </w:rPr>
        <w:t>11、评价报告</w:t>
      </w:r>
    </w:p>
    <w:p w14:paraId="5DB6EF24">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auto"/>
          <w:kern w:val="0"/>
          <w:sz w:val="24"/>
          <w:highlight w:val="none"/>
          <w:lang w:val="en-US" w:eastAsia="zh-CN"/>
        </w:rPr>
      </w:pPr>
      <w:r>
        <w:rPr>
          <w:rFonts w:hint="eastAsia" w:ascii="仿宋" w:hAnsi="仿宋" w:eastAsia="仿宋" w:cs="宋体"/>
          <w:snapToGrid w:val="0"/>
          <w:color w:val="auto"/>
          <w:kern w:val="0"/>
          <w:sz w:val="24"/>
          <w:highlight w:val="none"/>
          <w:lang w:val="en-US" w:eastAsia="zh-CN"/>
        </w:rPr>
        <w:t>依据实际使用情况，编写龙河口水库防洪效益评价报告和龙河口水库灌溉效益评价报告。</w:t>
      </w:r>
    </w:p>
    <w:p w14:paraId="3ABDFA07">
      <w:pPr>
        <w:pStyle w:val="4"/>
        <w:rPr>
          <w:rFonts w:hint="eastAsia" w:eastAsia="宋体" w:cs="Times New Roman"/>
          <w:b/>
          <w:bCs/>
          <w:color w:val="auto"/>
          <w:highlight w:val="none"/>
        </w:rPr>
      </w:pPr>
      <w:r>
        <w:rPr>
          <w:rFonts w:hint="eastAsia" w:eastAsia="宋体" w:cs="Times New Roman"/>
          <w:b/>
          <w:bCs/>
          <w:color w:val="auto"/>
          <w:highlight w:val="none"/>
        </w:rPr>
        <w:t>2、质保期</w:t>
      </w:r>
      <w:r>
        <w:rPr>
          <w:rFonts w:hint="eastAsia" w:eastAsia="宋体" w:cs="Times New Roman"/>
          <w:b/>
          <w:bCs/>
          <w:color w:val="auto"/>
          <w:highlight w:val="none"/>
          <w:lang w:val="en-US" w:eastAsia="zh-CN"/>
        </w:rPr>
        <w:t>及售后</w:t>
      </w:r>
      <w:r>
        <w:rPr>
          <w:rFonts w:hint="eastAsia" w:eastAsia="宋体" w:cs="Times New Roman"/>
          <w:b/>
          <w:bCs/>
          <w:color w:val="auto"/>
          <w:highlight w:val="none"/>
        </w:rPr>
        <w:t>服务要求</w:t>
      </w:r>
    </w:p>
    <w:p w14:paraId="6978C9B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bookmarkStart w:id="4" w:name="_Toc146026743"/>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rPr>
        <w:t>质保期</w:t>
      </w:r>
      <w:bookmarkEnd w:id="4"/>
    </w:p>
    <w:p w14:paraId="1CD344BF">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本项目质保期为成果提交之日起不低于</w:t>
      </w:r>
      <w:r>
        <w:rPr>
          <w:rFonts w:hint="eastAsia" w:ascii="仿宋" w:hAnsi="仿宋" w:eastAsia="仿宋" w:cs="Arial"/>
          <w:snapToGrid w:val="0"/>
          <w:color w:val="auto"/>
          <w:kern w:val="0"/>
          <w:sz w:val="24"/>
          <w:highlight w:val="none"/>
          <w:lang w:val="en-US" w:eastAsia="zh-CN"/>
        </w:rPr>
        <w:t>5</w:t>
      </w:r>
      <w:r>
        <w:rPr>
          <w:rFonts w:hint="eastAsia" w:ascii="仿宋" w:hAnsi="仿宋" w:eastAsia="仿宋" w:cs="Arial"/>
          <w:snapToGrid w:val="0"/>
          <w:color w:val="auto"/>
          <w:kern w:val="0"/>
          <w:sz w:val="24"/>
          <w:highlight w:val="none"/>
        </w:rPr>
        <w:t>年，</w:t>
      </w:r>
      <w:r>
        <w:rPr>
          <w:rFonts w:hint="eastAsia" w:ascii="仿宋" w:hAnsi="仿宋" w:eastAsia="仿宋" w:cs="Arial"/>
          <w:snapToGrid w:val="0"/>
          <w:color w:val="auto"/>
          <w:kern w:val="0"/>
          <w:sz w:val="24"/>
          <w:highlight w:val="none"/>
          <w:lang w:val="en-US" w:eastAsia="zh-CN"/>
        </w:rPr>
        <w:t>如超出5年</w:t>
      </w:r>
      <w:r>
        <w:rPr>
          <w:rFonts w:hint="eastAsia" w:ascii="仿宋" w:hAnsi="仿宋" w:eastAsia="仿宋" w:cs="Arial"/>
          <w:snapToGrid w:val="0"/>
          <w:color w:val="auto"/>
          <w:kern w:val="0"/>
          <w:sz w:val="24"/>
          <w:highlight w:val="none"/>
        </w:rPr>
        <w:t>以报价人自我承诺年限为准。</w:t>
      </w:r>
    </w:p>
    <w:p w14:paraId="36272AB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rPr>
        <w:t>售后服务</w:t>
      </w:r>
    </w:p>
    <w:p w14:paraId="7757785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同意在本合同规定的质保期内，向采购人提供软、硬件系统维护和支持服务（出现问题1小时内响应，需现场解决时24小时之内到达现场）。主要软件、硬件设备在缺陷责任期（质量保证期）内免费提供现场服务。维护和现场技术服务的费用已包含在合同总价中。在本合同规定的质保期结束后，如果采购人需要，</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承诺继续为该系统提供维护和支持服务，具体费用届时由双方协商，另行签署相关合同约定。</w:t>
      </w:r>
    </w:p>
    <w:p w14:paraId="448FADF2">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rPr>
        <w:t>系统运行过程中如果发生故障（如软件故障、配置丢失等），</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必须保证用户在48小时内解决问题，恢复正常运行。</w:t>
      </w:r>
    </w:p>
    <w:p w14:paraId="6D33CCD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须向采购人提供其现场服务联系机构的电话和联系人姓名。并且提供全天候（7×24小时）的热线电话响应服务。</w:t>
      </w:r>
    </w:p>
    <w:p w14:paraId="13257DE5">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4</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有责任在保证安全和质量的前提下提供技术服务，包括：技术咨询、技术资料、技术说明书、使用说明书、维护说明书等。</w:t>
      </w:r>
    </w:p>
    <w:p w14:paraId="0E835DC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5</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rPr>
        <w:t>在系统安装和调测期间，采购人有权派出技术人员参加，</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有义务对其进行指导。</w:t>
      </w:r>
    </w:p>
    <w:p w14:paraId="2C01633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（6）</w:t>
      </w:r>
      <w:r>
        <w:rPr>
          <w:rFonts w:hint="eastAsia" w:ascii="仿宋" w:hAnsi="仿宋" w:eastAsia="仿宋" w:cs="Arial"/>
          <w:snapToGrid w:val="0"/>
          <w:color w:val="auto"/>
          <w:kern w:val="0"/>
          <w:sz w:val="24"/>
          <w:highlight w:val="none"/>
        </w:rPr>
        <w:t>在质量保证期满后，系统运行过程中，采购人发现</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提供的软件存在较严重的缺陷，</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应提供无偿的修改，由此造成的损失由</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负责。</w:t>
      </w:r>
    </w:p>
    <w:p w14:paraId="4080E2C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rPr>
        <w:t>保修责任</w:t>
      </w:r>
    </w:p>
    <w:p w14:paraId="6A35146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承担保修期内的全部技术责任。</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所提供的设备，在保修期内，硬件更换应是免费的，软件应免费升级。</w:t>
      </w:r>
    </w:p>
    <w:p w14:paraId="1E21EFD8">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rPr>
        <w:t>在硬件保修期内，发现由于材料、设备或工艺不良造成设备故障时，</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应研究其故障原因，并迅速修复或免费进行更换。</w:t>
      </w:r>
    </w:p>
    <w:p w14:paraId="1E0B27E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rPr>
        <w:t>在软件保修期内，</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保证由于软件运行过程中出现的问题和由于规范的修定、软件改进优化等原因引起的软件升级均应免费提供。</w:t>
      </w:r>
    </w:p>
    <w:p w14:paraId="07997504">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（4）</w:t>
      </w:r>
      <w:r>
        <w:rPr>
          <w:rFonts w:hint="eastAsia" w:ascii="仿宋" w:hAnsi="仿宋" w:eastAsia="仿宋" w:cs="Arial"/>
          <w:snapToGrid w:val="0"/>
          <w:color w:val="auto"/>
          <w:kern w:val="0"/>
          <w:sz w:val="24"/>
          <w:highlight w:val="none"/>
        </w:rPr>
        <w:t>在保修期内，如果系统发生故障，</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要调查故障原因并修复直至满足最终验收指标和性能的要求，或者更换整个或部分有缺陷的材料，不得长时间影响系统运行。</w:t>
      </w:r>
    </w:p>
    <w:p w14:paraId="1103CF0F">
      <w:pPr>
        <w:widowControl/>
        <w:kinsoku w:val="0"/>
        <w:autoSpaceDE w:val="0"/>
        <w:autoSpaceDN w:val="0"/>
        <w:adjustRightInd w:val="0"/>
        <w:snapToGrid w:val="0"/>
        <w:spacing w:line="360" w:lineRule="auto"/>
        <w:ind w:firstLine="480" w:firstLineChars="200"/>
        <w:jc w:val="left"/>
        <w:textAlignment w:val="baseline"/>
        <w:rPr>
          <w:rFonts w:hint="eastAsia"/>
          <w:color w:val="auto"/>
          <w:highlight w:val="none"/>
          <w:lang w:val="en-US" w:eastAsia="zh-CN"/>
        </w:rPr>
      </w:pPr>
      <w:r>
        <w:rPr>
          <w:rFonts w:hint="eastAsia" w:ascii="仿宋" w:hAnsi="仿宋" w:eastAsia="仿宋" w:cs="Arial"/>
          <w:snapToGrid w:val="0"/>
          <w:color w:val="auto"/>
          <w:kern w:val="0"/>
          <w:sz w:val="24"/>
          <w:highlight w:val="none"/>
          <w:lang w:val="en-US" w:eastAsia="zh-CN"/>
        </w:rPr>
        <w:t>（5）</w:t>
      </w:r>
      <w:r>
        <w:rPr>
          <w:rFonts w:hint="eastAsia" w:ascii="仿宋" w:hAnsi="仿宋" w:eastAsia="仿宋" w:cs="Arial"/>
          <w:snapToGrid w:val="0"/>
          <w:color w:val="auto"/>
          <w:kern w:val="0"/>
          <w:sz w:val="24"/>
          <w:highlight w:val="none"/>
        </w:rPr>
        <w:t>维修后，如果设备配置与初始状态不一致时(如升级或改版)，应附上相应的配置说明。</w:t>
      </w:r>
    </w:p>
    <w:p w14:paraId="330FAFFF">
      <w:pPr>
        <w:pStyle w:val="4"/>
        <w:rPr>
          <w:rFonts w:hint="eastAsia"/>
          <w:color w:val="auto"/>
          <w:highlight w:val="none"/>
        </w:rPr>
      </w:pPr>
      <w:r>
        <w:rPr>
          <w:rFonts w:hint="eastAsia"/>
          <w:color w:val="auto"/>
          <w:highlight w:val="none"/>
        </w:rPr>
        <w:t>四、</w:t>
      </w:r>
      <w:r>
        <w:rPr>
          <w:rFonts w:hint="eastAsia"/>
          <w:color w:val="auto"/>
          <w:highlight w:val="none"/>
          <w:lang w:val="en-US" w:eastAsia="zh-CN"/>
        </w:rPr>
        <w:t>工程量</w:t>
      </w:r>
      <w:r>
        <w:rPr>
          <w:rFonts w:hint="eastAsia"/>
          <w:color w:val="auto"/>
          <w:highlight w:val="none"/>
        </w:rPr>
        <w:t>清单及报价要求</w:t>
      </w:r>
    </w:p>
    <w:p w14:paraId="46D4E3D2">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1、工程量清单</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0"/>
        <w:gridCol w:w="2926"/>
        <w:gridCol w:w="845"/>
        <w:gridCol w:w="845"/>
        <w:gridCol w:w="2943"/>
      </w:tblGrid>
      <w:tr w14:paraId="0AD1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563" w:type="pct"/>
            <w:tcBorders>
              <w:top w:val="single" w:color="auto" w:sz="4" w:space="0"/>
              <w:left w:val="single" w:color="auto" w:sz="4" w:space="0"/>
              <w:bottom w:val="single" w:color="auto" w:sz="4" w:space="0"/>
              <w:right w:val="single" w:color="auto" w:sz="4" w:space="0"/>
            </w:tcBorders>
            <w:noWrap w:val="0"/>
            <w:vAlign w:val="center"/>
          </w:tcPr>
          <w:p w14:paraId="287091F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717" w:type="pct"/>
            <w:tcBorders>
              <w:top w:val="single" w:color="auto" w:sz="4" w:space="0"/>
              <w:left w:val="nil"/>
              <w:bottom w:val="single" w:color="auto" w:sz="4" w:space="0"/>
              <w:right w:val="single" w:color="auto" w:sz="4" w:space="0"/>
            </w:tcBorders>
            <w:noWrap w:val="0"/>
            <w:vAlign w:val="center"/>
          </w:tcPr>
          <w:p w14:paraId="5DEB17E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建设内容</w:t>
            </w:r>
          </w:p>
        </w:tc>
        <w:tc>
          <w:tcPr>
            <w:tcW w:w="496" w:type="pct"/>
            <w:tcBorders>
              <w:top w:val="single" w:color="auto" w:sz="4" w:space="0"/>
              <w:left w:val="nil"/>
              <w:bottom w:val="single" w:color="auto" w:sz="4" w:space="0"/>
              <w:right w:val="single" w:color="auto" w:sz="4" w:space="0"/>
            </w:tcBorders>
            <w:noWrap w:val="0"/>
            <w:vAlign w:val="center"/>
          </w:tcPr>
          <w:p w14:paraId="0D1C868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496" w:type="pct"/>
            <w:tcBorders>
              <w:top w:val="single" w:color="auto" w:sz="4" w:space="0"/>
              <w:left w:val="nil"/>
              <w:bottom w:val="single" w:color="auto" w:sz="4" w:space="0"/>
              <w:right w:val="single" w:color="auto" w:sz="4" w:space="0"/>
            </w:tcBorders>
            <w:noWrap w:val="0"/>
            <w:vAlign w:val="center"/>
          </w:tcPr>
          <w:p w14:paraId="17E8493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726" w:type="pct"/>
            <w:tcBorders>
              <w:top w:val="single" w:color="auto" w:sz="4" w:space="0"/>
              <w:left w:val="nil"/>
              <w:bottom w:val="single" w:color="auto" w:sz="4" w:space="0"/>
              <w:right w:val="single" w:color="auto" w:sz="4" w:space="0"/>
            </w:tcBorders>
            <w:noWrap w:val="0"/>
            <w:vAlign w:val="center"/>
          </w:tcPr>
          <w:p w14:paraId="12B2054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2A1F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58FFAC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17" w:type="pct"/>
            <w:tcBorders>
              <w:top w:val="nil"/>
              <w:left w:val="nil"/>
              <w:bottom w:val="single" w:color="auto" w:sz="4" w:space="0"/>
              <w:right w:val="single" w:color="auto" w:sz="4" w:space="0"/>
            </w:tcBorders>
            <w:noWrap w:val="0"/>
            <w:vAlign w:val="center"/>
          </w:tcPr>
          <w:p w14:paraId="58A7A73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预测</w:t>
            </w:r>
          </w:p>
        </w:tc>
        <w:tc>
          <w:tcPr>
            <w:tcW w:w="496" w:type="pct"/>
            <w:tcBorders>
              <w:top w:val="nil"/>
              <w:left w:val="nil"/>
              <w:bottom w:val="single" w:color="auto" w:sz="4" w:space="0"/>
              <w:right w:val="single" w:color="auto" w:sz="4" w:space="0"/>
            </w:tcBorders>
            <w:noWrap w:val="0"/>
            <w:vAlign w:val="center"/>
          </w:tcPr>
          <w:p w14:paraId="3E426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0B62FA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24D160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298B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194AC1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717" w:type="pct"/>
            <w:tcBorders>
              <w:top w:val="nil"/>
              <w:left w:val="nil"/>
              <w:bottom w:val="single" w:color="auto" w:sz="4" w:space="0"/>
              <w:right w:val="single" w:color="auto" w:sz="4" w:space="0"/>
            </w:tcBorders>
            <w:noWrap w:val="0"/>
            <w:vAlign w:val="center"/>
          </w:tcPr>
          <w:p w14:paraId="41693E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称重式降水量测量仪建设</w:t>
            </w:r>
          </w:p>
        </w:tc>
        <w:tc>
          <w:tcPr>
            <w:tcW w:w="496" w:type="pct"/>
            <w:tcBorders>
              <w:top w:val="nil"/>
              <w:left w:val="nil"/>
              <w:bottom w:val="single" w:color="auto" w:sz="4" w:space="0"/>
              <w:right w:val="single" w:color="auto" w:sz="4" w:space="0"/>
            </w:tcBorders>
            <w:noWrap w:val="0"/>
            <w:vAlign w:val="center"/>
          </w:tcPr>
          <w:p w14:paraId="5A96C9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23D94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6FA686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5451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517B63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717" w:type="pct"/>
            <w:tcBorders>
              <w:top w:val="nil"/>
              <w:left w:val="nil"/>
              <w:bottom w:val="single" w:color="auto" w:sz="4" w:space="0"/>
              <w:right w:val="single" w:color="auto" w:sz="4" w:space="0"/>
            </w:tcBorders>
            <w:noWrap w:val="0"/>
            <w:vAlign w:val="center"/>
          </w:tcPr>
          <w:p w14:paraId="3E244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称重式雨量计</w:t>
            </w:r>
          </w:p>
        </w:tc>
        <w:tc>
          <w:tcPr>
            <w:tcW w:w="496" w:type="pct"/>
            <w:tcBorders>
              <w:top w:val="nil"/>
              <w:left w:val="nil"/>
              <w:bottom w:val="single" w:color="auto" w:sz="4" w:space="0"/>
              <w:right w:val="single" w:color="auto" w:sz="4" w:space="0"/>
            </w:tcBorders>
            <w:noWrap w:val="0"/>
            <w:vAlign w:val="center"/>
          </w:tcPr>
          <w:p w14:paraId="755632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96" w:type="pct"/>
            <w:tcBorders>
              <w:top w:val="nil"/>
              <w:left w:val="nil"/>
              <w:bottom w:val="single" w:color="auto" w:sz="4" w:space="0"/>
              <w:right w:val="single" w:color="auto" w:sz="4" w:space="0"/>
            </w:tcBorders>
            <w:noWrap w:val="0"/>
            <w:vAlign w:val="center"/>
          </w:tcPr>
          <w:p w14:paraId="17CC72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696437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1A85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50919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717" w:type="pct"/>
            <w:tcBorders>
              <w:top w:val="nil"/>
              <w:left w:val="nil"/>
              <w:bottom w:val="single" w:color="auto" w:sz="4" w:space="0"/>
              <w:right w:val="single" w:color="auto" w:sz="4" w:space="0"/>
            </w:tcBorders>
            <w:noWrap w:val="0"/>
            <w:vAlign w:val="center"/>
          </w:tcPr>
          <w:p w14:paraId="2FFD5E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太阳能板（40w）</w:t>
            </w:r>
          </w:p>
        </w:tc>
        <w:tc>
          <w:tcPr>
            <w:tcW w:w="496" w:type="pct"/>
            <w:tcBorders>
              <w:top w:val="nil"/>
              <w:left w:val="nil"/>
              <w:bottom w:val="single" w:color="auto" w:sz="4" w:space="0"/>
              <w:right w:val="single" w:color="auto" w:sz="4" w:space="0"/>
            </w:tcBorders>
            <w:noWrap w:val="0"/>
            <w:vAlign w:val="center"/>
          </w:tcPr>
          <w:p w14:paraId="14BADD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496" w:type="pct"/>
            <w:tcBorders>
              <w:top w:val="nil"/>
              <w:left w:val="nil"/>
              <w:bottom w:val="single" w:color="auto" w:sz="4" w:space="0"/>
              <w:right w:val="single" w:color="auto" w:sz="4" w:space="0"/>
            </w:tcBorders>
            <w:noWrap w:val="0"/>
            <w:vAlign w:val="center"/>
          </w:tcPr>
          <w:p w14:paraId="506EED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40C339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2156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7A0F5A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717" w:type="pct"/>
            <w:tcBorders>
              <w:top w:val="nil"/>
              <w:left w:val="nil"/>
              <w:bottom w:val="single" w:color="auto" w:sz="4" w:space="0"/>
              <w:right w:val="single" w:color="auto" w:sz="4" w:space="0"/>
            </w:tcBorders>
            <w:noWrap w:val="0"/>
            <w:vAlign w:val="center"/>
          </w:tcPr>
          <w:p w14:paraId="403659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胶体蓄电池（40AH）</w:t>
            </w:r>
          </w:p>
        </w:tc>
        <w:tc>
          <w:tcPr>
            <w:tcW w:w="496" w:type="pct"/>
            <w:tcBorders>
              <w:top w:val="nil"/>
              <w:left w:val="nil"/>
              <w:bottom w:val="single" w:color="auto" w:sz="4" w:space="0"/>
              <w:right w:val="single" w:color="auto" w:sz="4" w:space="0"/>
            </w:tcBorders>
            <w:noWrap w:val="0"/>
            <w:vAlign w:val="center"/>
          </w:tcPr>
          <w:p w14:paraId="28F3C4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496" w:type="pct"/>
            <w:tcBorders>
              <w:top w:val="nil"/>
              <w:left w:val="nil"/>
              <w:bottom w:val="single" w:color="auto" w:sz="4" w:space="0"/>
              <w:right w:val="single" w:color="auto" w:sz="4" w:space="0"/>
            </w:tcBorders>
            <w:noWrap w:val="0"/>
            <w:vAlign w:val="center"/>
          </w:tcPr>
          <w:p w14:paraId="5FC1CD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307F97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5E07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47DB8F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1717" w:type="pct"/>
            <w:tcBorders>
              <w:top w:val="nil"/>
              <w:left w:val="nil"/>
              <w:bottom w:val="single" w:color="auto" w:sz="4" w:space="0"/>
              <w:right w:val="single" w:color="auto" w:sz="4" w:space="0"/>
            </w:tcBorders>
            <w:noWrap w:val="0"/>
            <w:vAlign w:val="center"/>
          </w:tcPr>
          <w:p w14:paraId="359CC3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太阳能充电控制器（10A)</w:t>
            </w:r>
          </w:p>
        </w:tc>
        <w:tc>
          <w:tcPr>
            <w:tcW w:w="496" w:type="pct"/>
            <w:tcBorders>
              <w:top w:val="nil"/>
              <w:left w:val="nil"/>
              <w:bottom w:val="single" w:color="auto" w:sz="4" w:space="0"/>
              <w:right w:val="single" w:color="auto" w:sz="4" w:space="0"/>
            </w:tcBorders>
            <w:noWrap w:val="0"/>
            <w:vAlign w:val="center"/>
          </w:tcPr>
          <w:p w14:paraId="3E090C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96" w:type="pct"/>
            <w:tcBorders>
              <w:top w:val="nil"/>
              <w:left w:val="nil"/>
              <w:bottom w:val="single" w:color="auto" w:sz="4" w:space="0"/>
              <w:right w:val="single" w:color="auto" w:sz="4" w:space="0"/>
            </w:tcBorders>
            <w:noWrap w:val="0"/>
            <w:vAlign w:val="center"/>
          </w:tcPr>
          <w:p w14:paraId="405757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05D210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6B45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7DBBD1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717" w:type="pct"/>
            <w:tcBorders>
              <w:top w:val="nil"/>
              <w:left w:val="nil"/>
              <w:bottom w:val="single" w:color="auto" w:sz="4" w:space="0"/>
              <w:right w:val="single" w:color="auto" w:sz="4" w:space="0"/>
            </w:tcBorders>
            <w:noWrap w:val="0"/>
            <w:vAlign w:val="center"/>
          </w:tcPr>
          <w:p w14:paraId="45C0FC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设备箱（500*400*250）</w:t>
            </w:r>
          </w:p>
        </w:tc>
        <w:tc>
          <w:tcPr>
            <w:tcW w:w="496" w:type="pct"/>
            <w:tcBorders>
              <w:top w:val="nil"/>
              <w:left w:val="nil"/>
              <w:bottom w:val="single" w:color="auto" w:sz="4" w:space="0"/>
              <w:right w:val="single" w:color="auto" w:sz="4" w:space="0"/>
            </w:tcBorders>
            <w:noWrap w:val="0"/>
            <w:vAlign w:val="center"/>
          </w:tcPr>
          <w:p w14:paraId="26E68A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96" w:type="pct"/>
            <w:tcBorders>
              <w:top w:val="nil"/>
              <w:left w:val="nil"/>
              <w:bottom w:val="single" w:color="auto" w:sz="4" w:space="0"/>
              <w:right w:val="single" w:color="auto" w:sz="4" w:space="0"/>
            </w:tcBorders>
            <w:noWrap w:val="0"/>
            <w:vAlign w:val="center"/>
          </w:tcPr>
          <w:p w14:paraId="4E2FCB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6EFAEC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2DC1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2DA011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717" w:type="pct"/>
            <w:tcBorders>
              <w:top w:val="nil"/>
              <w:left w:val="nil"/>
              <w:bottom w:val="single" w:color="auto" w:sz="4" w:space="0"/>
              <w:right w:val="single" w:color="auto" w:sz="4" w:space="0"/>
            </w:tcBorders>
            <w:noWrap w:val="0"/>
            <w:vAlign w:val="center"/>
          </w:tcPr>
          <w:p w14:paraId="1234F6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太阳能板支架</w:t>
            </w:r>
          </w:p>
        </w:tc>
        <w:tc>
          <w:tcPr>
            <w:tcW w:w="496" w:type="pct"/>
            <w:tcBorders>
              <w:top w:val="nil"/>
              <w:left w:val="nil"/>
              <w:bottom w:val="single" w:color="auto" w:sz="4" w:space="0"/>
              <w:right w:val="single" w:color="auto" w:sz="4" w:space="0"/>
            </w:tcBorders>
            <w:noWrap w:val="0"/>
            <w:vAlign w:val="center"/>
          </w:tcPr>
          <w:p w14:paraId="0AA6F9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96" w:type="pct"/>
            <w:tcBorders>
              <w:top w:val="nil"/>
              <w:left w:val="nil"/>
              <w:bottom w:val="single" w:color="auto" w:sz="4" w:space="0"/>
              <w:right w:val="single" w:color="auto" w:sz="4" w:space="0"/>
            </w:tcBorders>
            <w:noWrap w:val="0"/>
            <w:vAlign w:val="center"/>
          </w:tcPr>
          <w:p w14:paraId="0A3314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71AADE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0B38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3B2463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717" w:type="pct"/>
            <w:tcBorders>
              <w:top w:val="nil"/>
              <w:left w:val="nil"/>
              <w:bottom w:val="single" w:color="auto" w:sz="4" w:space="0"/>
              <w:right w:val="single" w:color="auto" w:sz="4" w:space="0"/>
            </w:tcBorders>
            <w:noWrap w:val="0"/>
            <w:vAlign w:val="center"/>
          </w:tcPr>
          <w:p w14:paraId="58E663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信号线（RVVP4*0.25）</w:t>
            </w:r>
          </w:p>
        </w:tc>
        <w:tc>
          <w:tcPr>
            <w:tcW w:w="496" w:type="pct"/>
            <w:tcBorders>
              <w:top w:val="nil"/>
              <w:left w:val="nil"/>
              <w:bottom w:val="single" w:color="auto" w:sz="4" w:space="0"/>
              <w:right w:val="single" w:color="auto" w:sz="4" w:space="0"/>
            </w:tcBorders>
            <w:noWrap w:val="0"/>
            <w:vAlign w:val="center"/>
          </w:tcPr>
          <w:p w14:paraId="056E82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96" w:type="pct"/>
            <w:tcBorders>
              <w:top w:val="nil"/>
              <w:left w:val="nil"/>
              <w:bottom w:val="single" w:color="auto" w:sz="4" w:space="0"/>
              <w:right w:val="single" w:color="auto" w:sz="4" w:space="0"/>
            </w:tcBorders>
            <w:noWrap w:val="0"/>
            <w:vAlign w:val="center"/>
          </w:tcPr>
          <w:p w14:paraId="066134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726" w:type="pct"/>
            <w:tcBorders>
              <w:top w:val="nil"/>
              <w:left w:val="nil"/>
              <w:bottom w:val="single" w:color="auto" w:sz="4" w:space="0"/>
              <w:right w:val="single" w:color="auto" w:sz="4" w:space="0"/>
            </w:tcBorders>
            <w:noWrap w:val="0"/>
            <w:vAlign w:val="center"/>
          </w:tcPr>
          <w:p w14:paraId="6FDE18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F71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029E31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1717" w:type="pct"/>
            <w:tcBorders>
              <w:top w:val="nil"/>
              <w:left w:val="nil"/>
              <w:bottom w:val="single" w:color="auto" w:sz="4" w:space="0"/>
              <w:right w:val="single" w:color="auto" w:sz="4" w:space="0"/>
            </w:tcBorders>
            <w:noWrap w:val="0"/>
            <w:vAlign w:val="center"/>
          </w:tcPr>
          <w:p w14:paraId="27081E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电源线(RVV2*1.5)</w:t>
            </w:r>
          </w:p>
        </w:tc>
        <w:tc>
          <w:tcPr>
            <w:tcW w:w="496" w:type="pct"/>
            <w:tcBorders>
              <w:top w:val="nil"/>
              <w:left w:val="nil"/>
              <w:bottom w:val="single" w:color="auto" w:sz="4" w:space="0"/>
              <w:right w:val="single" w:color="auto" w:sz="4" w:space="0"/>
            </w:tcBorders>
            <w:noWrap w:val="0"/>
            <w:vAlign w:val="center"/>
          </w:tcPr>
          <w:p w14:paraId="26D81B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96" w:type="pct"/>
            <w:tcBorders>
              <w:top w:val="nil"/>
              <w:left w:val="nil"/>
              <w:bottom w:val="single" w:color="auto" w:sz="4" w:space="0"/>
              <w:right w:val="single" w:color="auto" w:sz="4" w:space="0"/>
            </w:tcBorders>
            <w:noWrap w:val="0"/>
            <w:vAlign w:val="center"/>
          </w:tcPr>
          <w:p w14:paraId="7853E0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726" w:type="pct"/>
            <w:tcBorders>
              <w:top w:val="nil"/>
              <w:left w:val="nil"/>
              <w:bottom w:val="single" w:color="auto" w:sz="4" w:space="0"/>
              <w:right w:val="single" w:color="auto" w:sz="4" w:space="0"/>
            </w:tcBorders>
            <w:noWrap w:val="0"/>
            <w:vAlign w:val="center"/>
          </w:tcPr>
          <w:p w14:paraId="522097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1BC6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2007B5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1717" w:type="pct"/>
            <w:tcBorders>
              <w:top w:val="nil"/>
              <w:left w:val="nil"/>
              <w:bottom w:val="single" w:color="auto" w:sz="4" w:space="0"/>
              <w:right w:val="single" w:color="auto" w:sz="4" w:space="0"/>
            </w:tcBorders>
            <w:noWrap w:val="0"/>
            <w:vAlign w:val="center"/>
          </w:tcPr>
          <w:p w14:paraId="560807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护线管（PVCφ32）</w:t>
            </w:r>
          </w:p>
        </w:tc>
        <w:tc>
          <w:tcPr>
            <w:tcW w:w="496" w:type="pct"/>
            <w:tcBorders>
              <w:top w:val="nil"/>
              <w:left w:val="nil"/>
              <w:bottom w:val="single" w:color="auto" w:sz="4" w:space="0"/>
              <w:right w:val="single" w:color="auto" w:sz="4" w:space="0"/>
            </w:tcBorders>
            <w:noWrap w:val="0"/>
            <w:vAlign w:val="center"/>
          </w:tcPr>
          <w:p w14:paraId="698A5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96" w:type="pct"/>
            <w:tcBorders>
              <w:top w:val="nil"/>
              <w:left w:val="nil"/>
              <w:bottom w:val="single" w:color="auto" w:sz="4" w:space="0"/>
              <w:right w:val="single" w:color="auto" w:sz="4" w:space="0"/>
            </w:tcBorders>
            <w:noWrap w:val="0"/>
            <w:vAlign w:val="center"/>
          </w:tcPr>
          <w:p w14:paraId="32689C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726" w:type="pct"/>
            <w:tcBorders>
              <w:top w:val="nil"/>
              <w:left w:val="nil"/>
              <w:bottom w:val="single" w:color="auto" w:sz="4" w:space="0"/>
              <w:right w:val="single" w:color="auto" w:sz="4" w:space="0"/>
            </w:tcBorders>
            <w:noWrap w:val="0"/>
            <w:vAlign w:val="center"/>
          </w:tcPr>
          <w:p w14:paraId="7D9A15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CD7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0D16AA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1.1.10</w:t>
            </w:r>
          </w:p>
        </w:tc>
        <w:tc>
          <w:tcPr>
            <w:tcW w:w="1717" w:type="pct"/>
            <w:tcBorders>
              <w:top w:val="nil"/>
              <w:left w:val="nil"/>
              <w:bottom w:val="single" w:color="auto" w:sz="4" w:space="0"/>
              <w:right w:val="single" w:color="auto" w:sz="4" w:space="0"/>
            </w:tcBorders>
            <w:noWrap w:val="0"/>
            <w:vAlign w:val="center"/>
          </w:tcPr>
          <w:p w14:paraId="254FD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标志牌</w:t>
            </w:r>
          </w:p>
        </w:tc>
        <w:tc>
          <w:tcPr>
            <w:tcW w:w="496" w:type="pct"/>
            <w:tcBorders>
              <w:top w:val="nil"/>
              <w:left w:val="nil"/>
              <w:bottom w:val="single" w:color="auto" w:sz="4" w:space="0"/>
              <w:right w:val="single" w:color="auto" w:sz="4" w:space="0"/>
            </w:tcBorders>
            <w:noWrap w:val="0"/>
            <w:vAlign w:val="center"/>
          </w:tcPr>
          <w:p w14:paraId="652AFA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96" w:type="pct"/>
            <w:tcBorders>
              <w:top w:val="nil"/>
              <w:left w:val="nil"/>
              <w:bottom w:val="single" w:color="auto" w:sz="4" w:space="0"/>
              <w:right w:val="single" w:color="auto" w:sz="4" w:space="0"/>
            </w:tcBorders>
            <w:noWrap w:val="0"/>
            <w:vAlign w:val="center"/>
          </w:tcPr>
          <w:p w14:paraId="62A1C8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59CA97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5467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4D7CA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717" w:type="pct"/>
            <w:tcBorders>
              <w:top w:val="nil"/>
              <w:left w:val="nil"/>
              <w:bottom w:val="single" w:color="auto" w:sz="4" w:space="0"/>
              <w:right w:val="single" w:color="auto" w:sz="4" w:space="0"/>
            </w:tcBorders>
            <w:noWrap w:val="0"/>
            <w:vAlign w:val="center"/>
          </w:tcPr>
          <w:p w14:paraId="77796C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泄洪一体化智能视频广播预警（4套）</w:t>
            </w:r>
          </w:p>
        </w:tc>
        <w:tc>
          <w:tcPr>
            <w:tcW w:w="496" w:type="pct"/>
            <w:tcBorders>
              <w:top w:val="nil"/>
              <w:left w:val="nil"/>
              <w:bottom w:val="single" w:color="auto" w:sz="4" w:space="0"/>
              <w:right w:val="single" w:color="auto" w:sz="4" w:space="0"/>
            </w:tcBorders>
            <w:noWrap w:val="0"/>
            <w:vAlign w:val="center"/>
          </w:tcPr>
          <w:p w14:paraId="67906F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6811D3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792168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智能监控、应急广播、远程对讲功能</w:t>
            </w:r>
          </w:p>
        </w:tc>
      </w:tr>
      <w:tr w14:paraId="699B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93113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1717" w:type="pct"/>
            <w:tcBorders>
              <w:top w:val="nil"/>
              <w:left w:val="nil"/>
              <w:bottom w:val="single" w:color="auto" w:sz="4" w:space="0"/>
              <w:right w:val="single" w:color="auto" w:sz="4" w:space="0"/>
            </w:tcBorders>
            <w:noWrap w:val="0"/>
            <w:vAlign w:val="center"/>
          </w:tcPr>
          <w:p w14:paraId="0BA3B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智能预警终端</w:t>
            </w:r>
          </w:p>
        </w:tc>
        <w:tc>
          <w:tcPr>
            <w:tcW w:w="496" w:type="pct"/>
            <w:tcBorders>
              <w:top w:val="nil"/>
              <w:left w:val="nil"/>
              <w:bottom w:val="single" w:color="auto" w:sz="4" w:space="0"/>
              <w:right w:val="single" w:color="auto" w:sz="4" w:space="0"/>
            </w:tcBorders>
            <w:noWrap w:val="0"/>
            <w:vAlign w:val="center"/>
          </w:tcPr>
          <w:p w14:paraId="7E50CC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96" w:type="pct"/>
            <w:tcBorders>
              <w:top w:val="nil"/>
              <w:left w:val="nil"/>
              <w:bottom w:val="single" w:color="auto" w:sz="4" w:space="0"/>
              <w:right w:val="single" w:color="auto" w:sz="4" w:space="0"/>
            </w:tcBorders>
            <w:noWrap w:val="0"/>
            <w:vAlign w:val="center"/>
          </w:tcPr>
          <w:p w14:paraId="58A6A3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187D62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47B0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43F077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717" w:type="pct"/>
            <w:tcBorders>
              <w:top w:val="nil"/>
              <w:left w:val="nil"/>
              <w:bottom w:val="single" w:color="auto" w:sz="4" w:space="0"/>
              <w:right w:val="single" w:color="auto" w:sz="4" w:space="0"/>
            </w:tcBorders>
            <w:noWrap w:val="0"/>
            <w:vAlign w:val="center"/>
          </w:tcPr>
          <w:p w14:paraId="4FB314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控制软件系统</w:t>
            </w:r>
          </w:p>
        </w:tc>
        <w:tc>
          <w:tcPr>
            <w:tcW w:w="496" w:type="pct"/>
            <w:tcBorders>
              <w:top w:val="nil"/>
              <w:left w:val="nil"/>
              <w:bottom w:val="single" w:color="auto" w:sz="4" w:space="0"/>
              <w:right w:val="single" w:color="auto" w:sz="4" w:space="0"/>
            </w:tcBorders>
            <w:noWrap w:val="0"/>
            <w:vAlign w:val="center"/>
          </w:tcPr>
          <w:p w14:paraId="57E938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96" w:type="pct"/>
            <w:tcBorders>
              <w:top w:val="nil"/>
              <w:left w:val="nil"/>
              <w:bottom w:val="single" w:color="auto" w:sz="4" w:space="0"/>
              <w:right w:val="single" w:color="auto" w:sz="4" w:space="0"/>
            </w:tcBorders>
            <w:noWrap w:val="0"/>
            <w:vAlign w:val="center"/>
          </w:tcPr>
          <w:p w14:paraId="7E6E93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6B8B01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089F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477479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1717" w:type="pct"/>
            <w:tcBorders>
              <w:top w:val="nil"/>
              <w:left w:val="nil"/>
              <w:bottom w:val="single" w:color="auto" w:sz="4" w:space="0"/>
              <w:right w:val="single" w:color="auto" w:sz="4" w:space="0"/>
            </w:tcBorders>
            <w:noWrap w:val="0"/>
            <w:vAlign w:val="center"/>
          </w:tcPr>
          <w:p w14:paraId="354ED1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国家版权局核准加密狗及注册码</w:t>
            </w:r>
          </w:p>
        </w:tc>
        <w:tc>
          <w:tcPr>
            <w:tcW w:w="496" w:type="pct"/>
            <w:tcBorders>
              <w:top w:val="nil"/>
              <w:left w:val="nil"/>
              <w:bottom w:val="single" w:color="auto" w:sz="4" w:space="0"/>
              <w:right w:val="single" w:color="auto" w:sz="4" w:space="0"/>
            </w:tcBorders>
            <w:noWrap w:val="0"/>
            <w:vAlign w:val="center"/>
          </w:tcPr>
          <w:p w14:paraId="31D8AF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96" w:type="pct"/>
            <w:tcBorders>
              <w:top w:val="nil"/>
              <w:left w:val="nil"/>
              <w:bottom w:val="single" w:color="auto" w:sz="4" w:space="0"/>
              <w:right w:val="single" w:color="auto" w:sz="4" w:space="0"/>
            </w:tcBorders>
            <w:noWrap w:val="0"/>
            <w:vAlign w:val="center"/>
          </w:tcPr>
          <w:p w14:paraId="52B195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375C0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7996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14AD45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1717" w:type="pct"/>
            <w:tcBorders>
              <w:top w:val="nil"/>
              <w:left w:val="nil"/>
              <w:bottom w:val="single" w:color="auto" w:sz="4" w:space="0"/>
              <w:right w:val="single" w:color="auto" w:sz="4" w:space="0"/>
            </w:tcBorders>
            <w:noWrap w:val="0"/>
            <w:vAlign w:val="center"/>
          </w:tcPr>
          <w:p w14:paraId="365546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网络寻呼话筒</w:t>
            </w:r>
          </w:p>
        </w:tc>
        <w:tc>
          <w:tcPr>
            <w:tcW w:w="496" w:type="pct"/>
            <w:tcBorders>
              <w:top w:val="nil"/>
              <w:left w:val="nil"/>
              <w:bottom w:val="single" w:color="auto" w:sz="4" w:space="0"/>
              <w:right w:val="single" w:color="auto" w:sz="4" w:space="0"/>
            </w:tcBorders>
            <w:noWrap w:val="0"/>
            <w:vAlign w:val="center"/>
          </w:tcPr>
          <w:p w14:paraId="4B3D2E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96" w:type="pct"/>
            <w:tcBorders>
              <w:top w:val="nil"/>
              <w:left w:val="nil"/>
              <w:bottom w:val="single" w:color="auto" w:sz="4" w:space="0"/>
              <w:right w:val="single" w:color="auto" w:sz="4" w:space="0"/>
            </w:tcBorders>
            <w:noWrap w:val="0"/>
            <w:vAlign w:val="center"/>
          </w:tcPr>
          <w:p w14:paraId="7B45AB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087799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FCC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0D89D5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717" w:type="pct"/>
            <w:tcBorders>
              <w:top w:val="nil"/>
              <w:left w:val="nil"/>
              <w:bottom w:val="single" w:color="auto" w:sz="4" w:space="0"/>
              <w:right w:val="single" w:color="auto" w:sz="4" w:space="0"/>
            </w:tcBorders>
            <w:noWrap w:val="0"/>
            <w:vAlign w:val="center"/>
          </w:tcPr>
          <w:p w14:paraId="568BAB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数字网络功放</w:t>
            </w:r>
          </w:p>
        </w:tc>
        <w:tc>
          <w:tcPr>
            <w:tcW w:w="496" w:type="pct"/>
            <w:tcBorders>
              <w:top w:val="nil"/>
              <w:left w:val="nil"/>
              <w:bottom w:val="single" w:color="auto" w:sz="4" w:space="0"/>
              <w:right w:val="single" w:color="auto" w:sz="4" w:space="0"/>
            </w:tcBorders>
            <w:noWrap w:val="0"/>
            <w:vAlign w:val="center"/>
          </w:tcPr>
          <w:p w14:paraId="3D1EAD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96" w:type="pct"/>
            <w:tcBorders>
              <w:top w:val="nil"/>
              <w:left w:val="nil"/>
              <w:bottom w:val="single" w:color="auto" w:sz="4" w:space="0"/>
              <w:right w:val="single" w:color="auto" w:sz="4" w:space="0"/>
            </w:tcBorders>
            <w:noWrap w:val="0"/>
            <w:vAlign w:val="center"/>
          </w:tcPr>
          <w:p w14:paraId="4900DC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315AD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62A4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47D64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1717" w:type="pct"/>
            <w:tcBorders>
              <w:top w:val="nil"/>
              <w:left w:val="nil"/>
              <w:bottom w:val="single" w:color="auto" w:sz="4" w:space="0"/>
              <w:right w:val="single" w:color="auto" w:sz="4" w:space="0"/>
            </w:tcBorders>
            <w:noWrap w:val="0"/>
            <w:vAlign w:val="center"/>
          </w:tcPr>
          <w:p w14:paraId="6D7772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网络红外筒型摄像机</w:t>
            </w:r>
          </w:p>
        </w:tc>
        <w:tc>
          <w:tcPr>
            <w:tcW w:w="496" w:type="pct"/>
            <w:tcBorders>
              <w:top w:val="nil"/>
              <w:left w:val="nil"/>
              <w:bottom w:val="single" w:color="auto" w:sz="4" w:space="0"/>
              <w:right w:val="single" w:color="auto" w:sz="4" w:space="0"/>
            </w:tcBorders>
            <w:noWrap w:val="0"/>
            <w:vAlign w:val="center"/>
          </w:tcPr>
          <w:p w14:paraId="316365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96" w:type="pct"/>
            <w:tcBorders>
              <w:top w:val="nil"/>
              <w:left w:val="nil"/>
              <w:bottom w:val="single" w:color="auto" w:sz="4" w:space="0"/>
              <w:right w:val="single" w:color="auto" w:sz="4" w:space="0"/>
            </w:tcBorders>
            <w:noWrap w:val="0"/>
            <w:vAlign w:val="center"/>
          </w:tcPr>
          <w:p w14:paraId="4471C0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692AF1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42C5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543FB1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1717" w:type="pct"/>
            <w:tcBorders>
              <w:top w:val="nil"/>
              <w:left w:val="nil"/>
              <w:bottom w:val="single" w:color="auto" w:sz="4" w:space="0"/>
              <w:right w:val="single" w:color="auto" w:sz="4" w:space="0"/>
            </w:tcBorders>
            <w:noWrap w:val="0"/>
            <w:vAlign w:val="center"/>
          </w:tcPr>
          <w:p w14:paraId="598C96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网络红外球型摄像机</w:t>
            </w:r>
          </w:p>
        </w:tc>
        <w:tc>
          <w:tcPr>
            <w:tcW w:w="496" w:type="pct"/>
            <w:tcBorders>
              <w:top w:val="nil"/>
              <w:left w:val="nil"/>
              <w:bottom w:val="single" w:color="auto" w:sz="4" w:space="0"/>
              <w:right w:val="single" w:color="auto" w:sz="4" w:space="0"/>
            </w:tcBorders>
            <w:noWrap w:val="0"/>
            <w:vAlign w:val="center"/>
          </w:tcPr>
          <w:p w14:paraId="05AAB1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96" w:type="pct"/>
            <w:tcBorders>
              <w:top w:val="nil"/>
              <w:left w:val="nil"/>
              <w:bottom w:val="single" w:color="auto" w:sz="4" w:space="0"/>
              <w:right w:val="single" w:color="auto" w:sz="4" w:space="0"/>
            </w:tcBorders>
            <w:noWrap w:val="0"/>
            <w:vAlign w:val="center"/>
          </w:tcPr>
          <w:p w14:paraId="600C6C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4FB00A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0726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7291D2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1717" w:type="pct"/>
            <w:tcBorders>
              <w:top w:val="nil"/>
              <w:left w:val="nil"/>
              <w:bottom w:val="single" w:color="auto" w:sz="4" w:space="0"/>
              <w:right w:val="single" w:color="auto" w:sz="4" w:space="0"/>
            </w:tcBorders>
            <w:noWrap w:val="0"/>
            <w:vAlign w:val="center"/>
          </w:tcPr>
          <w:p w14:paraId="61E06E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预警喇叭（100分贝）</w:t>
            </w:r>
          </w:p>
        </w:tc>
        <w:tc>
          <w:tcPr>
            <w:tcW w:w="496" w:type="pct"/>
            <w:tcBorders>
              <w:top w:val="nil"/>
              <w:left w:val="nil"/>
              <w:bottom w:val="single" w:color="auto" w:sz="4" w:space="0"/>
              <w:right w:val="single" w:color="auto" w:sz="4" w:space="0"/>
            </w:tcBorders>
            <w:noWrap w:val="0"/>
            <w:vAlign w:val="center"/>
          </w:tcPr>
          <w:p w14:paraId="4B6896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96" w:type="pct"/>
            <w:tcBorders>
              <w:top w:val="nil"/>
              <w:left w:val="nil"/>
              <w:bottom w:val="single" w:color="auto" w:sz="4" w:space="0"/>
              <w:right w:val="single" w:color="auto" w:sz="4" w:space="0"/>
            </w:tcBorders>
            <w:noWrap w:val="0"/>
            <w:vAlign w:val="center"/>
          </w:tcPr>
          <w:p w14:paraId="2432C4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4F256C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0389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4CE570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1717" w:type="pct"/>
            <w:tcBorders>
              <w:top w:val="nil"/>
              <w:left w:val="nil"/>
              <w:bottom w:val="single" w:color="auto" w:sz="4" w:space="0"/>
              <w:right w:val="single" w:color="auto" w:sz="4" w:space="0"/>
            </w:tcBorders>
            <w:noWrap w:val="0"/>
            <w:vAlign w:val="center"/>
          </w:tcPr>
          <w:p w14:paraId="4049A7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拾音器（20m、主动降噪）</w:t>
            </w:r>
          </w:p>
        </w:tc>
        <w:tc>
          <w:tcPr>
            <w:tcW w:w="496" w:type="pct"/>
            <w:tcBorders>
              <w:top w:val="nil"/>
              <w:left w:val="nil"/>
              <w:bottom w:val="single" w:color="auto" w:sz="4" w:space="0"/>
              <w:right w:val="single" w:color="auto" w:sz="4" w:space="0"/>
            </w:tcBorders>
            <w:noWrap w:val="0"/>
            <w:vAlign w:val="center"/>
          </w:tcPr>
          <w:p w14:paraId="43799B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96" w:type="pct"/>
            <w:tcBorders>
              <w:top w:val="nil"/>
              <w:left w:val="nil"/>
              <w:bottom w:val="single" w:color="auto" w:sz="4" w:space="0"/>
              <w:right w:val="single" w:color="auto" w:sz="4" w:space="0"/>
            </w:tcBorders>
            <w:noWrap w:val="0"/>
            <w:vAlign w:val="center"/>
          </w:tcPr>
          <w:p w14:paraId="3ABF50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5DFC412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w:t>
            </w:r>
          </w:p>
        </w:tc>
      </w:tr>
      <w:tr w14:paraId="2809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2B628D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1.2.10</w:t>
            </w:r>
          </w:p>
        </w:tc>
        <w:tc>
          <w:tcPr>
            <w:tcW w:w="1717" w:type="pct"/>
            <w:tcBorders>
              <w:top w:val="nil"/>
              <w:left w:val="nil"/>
              <w:bottom w:val="single" w:color="auto" w:sz="4" w:space="0"/>
              <w:right w:val="single" w:color="auto" w:sz="4" w:space="0"/>
            </w:tcBorders>
            <w:noWrap w:val="0"/>
            <w:vAlign w:val="center"/>
          </w:tcPr>
          <w:p w14:paraId="7536F1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TF存储卡</w:t>
            </w:r>
          </w:p>
        </w:tc>
        <w:tc>
          <w:tcPr>
            <w:tcW w:w="496" w:type="pct"/>
            <w:tcBorders>
              <w:top w:val="nil"/>
              <w:left w:val="nil"/>
              <w:bottom w:val="single" w:color="auto" w:sz="4" w:space="0"/>
              <w:right w:val="single" w:color="auto" w:sz="4" w:space="0"/>
            </w:tcBorders>
            <w:noWrap w:val="0"/>
            <w:vAlign w:val="center"/>
          </w:tcPr>
          <w:p w14:paraId="60165A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96" w:type="pct"/>
            <w:tcBorders>
              <w:top w:val="nil"/>
              <w:left w:val="nil"/>
              <w:bottom w:val="single" w:color="auto" w:sz="4" w:space="0"/>
              <w:right w:val="single" w:color="auto" w:sz="4" w:space="0"/>
            </w:tcBorders>
            <w:noWrap w:val="0"/>
            <w:vAlign w:val="center"/>
          </w:tcPr>
          <w:p w14:paraId="37B316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726" w:type="pct"/>
            <w:tcBorders>
              <w:top w:val="nil"/>
              <w:left w:val="nil"/>
              <w:bottom w:val="single" w:color="auto" w:sz="4" w:space="0"/>
              <w:right w:val="single" w:color="auto" w:sz="4" w:space="0"/>
            </w:tcBorders>
            <w:noWrap w:val="0"/>
            <w:vAlign w:val="center"/>
          </w:tcPr>
          <w:p w14:paraId="307EBD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6FABC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3D9986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1.2.11</w:t>
            </w:r>
          </w:p>
        </w:tc>
        <w:tc>
          <w:tcPr>
            <w:tcW w:w="1717" w:type="pct"/>
            <w:tcBorders>
              <w:top w:val="nil"/>
              <w:left w:val="nil"/>
              <w:bottom w:val="single" w:color="auto" w:sz="4" w:space="0"/>
              <w:right w:val="single" w:color="auto" w:sz="4" w:space="0"/>
            </w:tcBorders>
            <w:noWrap w:val="0"/>
            <w:vAlign w:val="center"/>
          </w:tcPr>
          <w:p w14:paraId="60AA79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网络二合一防雷器</w:t>
            </w:r>
          </w:p>
        </w:tc>
        <w:tc>
          <w:tcPr>
            <w:tcW w:w="496" w:type="pct"/>
            <w:tcBorders>
              <w:top w:val="nil"/>
              <w:left w:val="nil"/>
              <w:bottom w:val="single" w:color="auto" w:sz="4" w:space="0"/>
              <w:right w:val="single" w:color="auto" w:sz="4" w:space="0"/>
            </w:tcBorders>
            <w:noWrap w:val="0"/>
            <w:vAlign w:val="center"/>
          </w:tcPr>
          <w:p w14:paraId="4B20B9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96" w:type="pct"/>
            <w:tcBorders>
              <w:top w:val="nil"/>
              <w:left w:val="nil"/>
              <w:bottom w:val="single" w:color="auto" w:sz="4" w:space="0"/>
              <w:right w:val="single" w:color="auto" w:sz="4" w:space="0"/>
            </w:tcBorders>
            <w:noWrap w:val="0"/>
            <w:vAlign w:val="center"/>
          </w:tcPr>
          <w:p w14:paraId="351532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5C76B2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AD4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625FE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1.2.12</w:t>
            </w:r>
          </w:p>
        </w:tc>
        <w:tc>
          <w:tcPr>
            <w:tcW w:w="1717" w:type="pct"/>
            <w:tcBorders>
              <w:top w:val="nil"/>
              <w:left w:val="nil"/>
              <w:bottom w:val="single" w:color="auto" w:sz="4" w:space="0"/>
              <w:right w:val="single" w:color="auto" w:sz="4" w:space="0"/>
            </w:tcBorders>
            <w:noWrap w:val="0"/>
            <w:vAlign w:val="center"/>
          </w:tcPr>
          <w:p w14:paraId="2FA889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太阳能板（250W）</w:t>
            </w:r>
          </w:p>
        </w:tc>
        <w:tc>
          <w:tcPr>
            <w:tcW w:w="496" w:type="pct"/>
            <w:tcBorders>
              <w:top w:val="nil"/>
              <w:left w:val="nil"/>
              <w:bottom w:val="single" w:color="auto" w:sz="4" w:space="0"/>
              <w:right w:val="single" w:color="auto" w:sz="4" w:space="0"/>
            </w:tcBorders>
            <w:noWrap w:val="0"/>
            <w:vAlign w:val="center"/>
          </w:tcPr>
          <w:p w14:paraId="583E06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496" w:type="pct"/>
            <w:tcBorders>
              <w:top w:val="nil"/>
              <w:left w:val="nil"/>
              <w:bottom w:val="single" w:color="auto" w:sz="4" w:space="0"/>
              <w:right w:val="single" w:color="auto" w:sz="4" w:space="0"/>
            </w:tcBorders>
            <w:noWrap w:val="0"/>
            <w:vAlign w:val="center"/>
          </w:tcPr>
          <w:p w14:paraId="6E51C4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64C588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16E9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095525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1.2.13</w:t>
            </w:r>
          </w:p>
        </w:tc>
        <w:tc>
          <w:tcPr>
            <w:tcW w:w="1717" w:type="pct"/>
            <w:tcBorders>
              <w:top w:val="nil"/>
              <w:left w:val="nil"/>
              <w:bottom w:val="single" w:color="auto" w:sz="4" w:space="0"/>
              <w:right w:val="single" w:color="auto" w:sz="4" w:space="0"/>
            </w:tcBorders>
            <w:noWrap w:val="0"/>
            <w:vAlign w:val="center"/>
          </w:tcPr>
          <w:p w14:paraId="4DA708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胶体蓄电池（250AH）</w:t>
            </w:r>
          </w:p>
        </w:tc>
        <w:tc>
          <w:tcPr>
            <w:tcW w:w="496" w:type="pct"/>
            <w:tcBorders>
              <w:top w:val="nil"/>
              <w:left w:val="nil"/>
              <w:bottom w:val="single" w:color="auto" w:sz="4" w:space="0"/>
              <w:right w:val="single" w:color="auto" w:sz="4" w:space="0"/>
            </w:tcBorders>
            <w:noWrap w:val="0"/>
            <w:vAlign w:val="center"/>
          </w:tcPr>
          <w:p w14:paraId="0DE44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496" w:type="pct"/>
            <w:tcBorders>
              <w:top w:val="nil"/>
              <w:left w:val="nil"/>
              <w:bottom w:val="single" w:color="auto" w:sz="4" w:space="0"/>
              <w:right w:val="single" w:color="auto" w:sz="4" w:space="0"/>
            </w:tcBorders>
            <w:noWrap w:val="0"/>
            <w:vAlign w:val="center"/>
          </w:tcPr>
          <w:p w14:paraId="34C646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27CC37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432A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60A8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1.2.14</w:t>
            </w:r>
          </w:p>
        </w:tc>
        <w:tc>
          <w:tcPr>
            <w:tcW w:w="1717" w:type="pct"/>
            <w:tcBorders>
              <w:top w:val="nil"/>
              <w:left w:val="nil"/>
              <w:bottom w:val="single" w:color="auto" w:sz="4" w:space="0"/>
              <w:right w:val="single" w:color="auto" w:sz="4" w:space="0"/>
            </w:tcBorders>
            <w:noWrap w:val="0"/>
            <w:vAlign w:val="center"/>
          </w:tcPr>
          <w:p w14:paraId="18BC8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太阳能充电控制器（20A)</w:t>
            </w:r>
          </w:p>
        </w:tc>
        <w:tc>
          <w:tcPr>
            <w:tcW w:w="496" w:type="pct"/>
            <w:tcBorders>
              <w:top w:val="nil"/>
              <w:left w:val="nil"/>
              <w:bottom w:val="single" w:color="auto" w:sz="4" w:space="0"/>
              <w:right w:val="single" w:color="auto" w:sz="4" w:space="0"/>
            </w:tcBorders>
            <w:noWrap w:val="0"/>
            <w:vAlign w:val="center"/>
          </w:tcPr>
          <w:p w14:paraId="18C6BC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96" w:type="pct"/>
            <w:tcBorders>
              <w:top w:val="nil"/>
              <w:left w:val="nil"/>
              <w:bottom w:val="single" w:color="auto" w:sz="4" w:space="0"/>
              <w:right w:val="single" w:color="auto" w:sz="4" w:space="0"/>
            </w:tcBorders>
            <w:noWrap w:val="0"/>
            <w:vAlign w:val="center"/>
          </w:tcPr>
          <w:p w14:paraId="2AD581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0D8B45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1BDFF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76E2FD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w:t>
            </w:r>
          </w:p>
        </w:tc>
        <w:tc>
          <w:tcPr>
            <w:tcW w:w="1717" w:type="pct"/>
            <w:tcBorders>
              <w:top w:val="nil"/>
              <w:left w:val="nil"/>
              <w:bottom w:val="single" w:color="auto" w:sz="4" w:space="0"/>
              <w:right w:val="single" w:color="auto" w:sz="4" w:space="0"/>
            </w:tcBorders>
            <w:noWrap w:val="0"/>
            <w:vAlign w:val="center"/>
          </w:tcPr>
          <w:p w14:paraId="19799D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设备箱（500*400*250）</w:t>
            </w:r>
          </w:p>
        </w:tc>
        <w:tc>
          <w:tcPr>
            <w:tcW w:w="496" w:type="pct"/>
            <w:tcBorders>
              <w:top w:val="nil"/>
              <w:left w:val="nil"/>
              <w:bottom w:val="single" w:color="auto" w:sz="4" w:space="0"/>
              <w:right w:val="single" w:color="auto" w:sz="4" w:space="0"/>
            </w:tcBorders>
            <w:noWrap w:val="0"/>
            <w:vAlign w:val="center"/>
          </w:tcPr>
          <w:p w14:paraId="492CE9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96" w:type="pct"/>
            <w:tcBorders>
              <w:top w:val="nil"/>
              <w:left w:val="nil"/>
              <w:bottom w:val="single" w:color="auto" w:sz="4" w:space="0"/>
              <w:right w:val="single" w:color="auto" w:sz="4" w:space="0"/>
            </w:tcBorders>
            <w:noWrap w:val="0"/>
            <w:vAlign w:val="center"/>
          </w:tcPr>
          <w:p w14:paraId="6D1F17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7EEFAD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2698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745831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w:t>
            </w:r>
          </w:p>
        </w:tc>
        <w:tc>
          <w:tcPr>
            <w:tcW w:w="1717" w:type="pct"/>
            <w:tcBorders>
              <w:top w:val="nil"/>
              <w:left w:val="nil"/>
              <w:bottom w:val="single" w:color="auto" w:sz="4" w:space="0"/>
              <w:right w:val="single" w:color="auto" w:sz="4" w:space="0"/>
            </w:tcBorders>
            <w:noWrap w:val="0"/>
            <w:vAlign w:val="center"/>
          </w:tcPr>
          <w:p w14:paraId="32F7EF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太阳能板支架</w:t>
            </w:r>
          </w:p>
        </w:tc>
        <w:tc>
          <w:tcPr>
            <w:tcW w:w="496" w:type="pct"/>
            <w:tcBorders>
              <w:top w:val="nil"/>
              <w:left w:val="nil"/>
              <w:bottom w:val="single" w:color="auto" w:sz="4" w:space="0"/>
              <w:right w:val="single" w:color="auto" w:sz="4" w:space="0"/>
            </w:tcBorders>
            <w:noWrap w:val="0"/>
            <w:vAlign w:val="center"/>
          </w:tcPr>
          <w:p w14:paraId="4570EE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96" w:type="pct"/>
            <w:tcBorders>
              <w:top w:val="nil"/>
              <w:left w:val="nil"/>
              <w:bottom w:val="single" w:color="auto" w:sz="4" w:space="0"/>
              <w:right w:val="single" w:color="auto" w:sz="4" w:space="0"/>
            </w:tcBorders>
            <w:noWrap w:val="0"/>
            <w:vAlign w:val="center"/>
          </w:tcPr>
          <w:p w14:paraId="291AE8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062ACD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CE8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11F2E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1.2.17</w:t>
            </w:r>
          </w:p>
        </w:tc>
        <w:tc>
          <w:tcPr>
            <w:tcW w:w="1717" w:type="pct"/>
            <w:tcBorders>
              <w:top w:val="nil"/>
              <w:left w:val="nil"/>
              <w:bottom w:val="single" w:color="auto" w:sz="4" w:space="0"/>
              <w:right w:val="single" w:color="auto" w:sz="4" w:space="0"/>
            </w:tcBorders>
            <w:noWrap w:val="0"/>
            <w:vAlign w:val="center"/>
          </w:tcPr>
          <w:p w14:paraId="2853DD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蓄电池地埋箱</w:t>
            </w:r>
          </w:p>
        </w:tc>
        <w:tc>
          <w:tcPr>
            <w:tcW w:w="496" w:type="pct"/>
            <w:tcBorders>
              <w:top w:val="nil"/>
              <w:left w:val="nil"/>
              <w:bottom w:val="single" w:color="auto" w:sz="4" w:space="0"/>
              <w:right w:val="single" w:color="auto" w:sz="4" w:space="0"/>
            </w:tcBorders>
            <w:noWrap w:val="0"/>
            <w:vAlign w:val="center"/>
          </w:tcPr>
          <w:p w14:paraId="1B0368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96" w:type="pct"/>
            <w:tcBorders>
              <w:top w:val="nil"/>
              <w:left w:val="nil"/>
              <w:bottom w:val="single" w:color="auto" w:sz="4" w:space="0"/>
              <w:right w:val="single" w:color="auto" w:sz="4" w:space="0"/>
            </w:tcBorders>
            <w:noWrap w:val="0"/>
            <w:vAlign w:val="center"/>
          </w:tcPr>
          <w:p w14:paraId="584EEF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0A901B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545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4E85AB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1.2.18</w:t>
            </w:r>
          </w:p>
        </w:tc>
        <w:tc>
          <w:tcPr>
            <w:tcW w:w="1717" w:type="pct"/>
            <w:tcBorders>
              <w:top w:val="nil"/>
              <w:left w:val="nil"/>
              <w:bottom w:val="single" w:color="auto" w:sz="4" w:space="0"/>
              <w:right w:val="single" w:color="auto" w:sz="4" w:space="0"/>
            </w:tcBorders>
            <w:noWrap w:val="0"/>
            <w:vAlign w:val="center"/>
          </w:tcPr>
          <w:p w14:paraId="29FAA9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超六类双绞线</w:t>
            </w:r>
          </w:p>
        </w:tc>
        <w:tc>
          <w:tcPr>
            <w:tcW w:w="496" w:type="pct"/>
            <w:tcBorders>
              <w:top w:val="nil"/>
              <w:left w:val="nil"/>
              <w:bottom w:val="single" w:color="auto" w:sz="4" w:space="0"/>
              <w:right w:val="single" w:color="auto" w:sz="4" w:space="0"/>
            </w:tcBorders>
            <w:noWrap w:val="0"/>
            <w:vAlign w:val="center"/>
          </w:tcPr>
          <w:p w14:paraId="393694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96" w:type="pct"/>
            <w:tcBorders>
              <w:top w:val="nil"/>
              <w:left w:val="nil"/>
              <w:bottom w:val="single" w:color="auto" w:sz="4" w:space="0"/>
              <w:right w:val="single" w:color="auto" w:sz="4" w:space="0"/>
            </w:tcBorders>
            <w:noWrap w:val="0"/>
            <w:vAlign w:val="center"/>
          </w:tcPr>
          <w:p w14:paraId="1B00DE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726" w:type="pct"/>
            <w:tcBorders>
              <w:top w:val="nil"/>
              <w:left w:val="nil"/>
              <w:bottom w:val="single" w:color="auto" w:sz="4" w:space="0"/>
              <w:right w:val="single" w:color="auto" w:sz="4" w:space="0"/>
            </w:tcBorders>
            <w:noWrap w:val="0"/>
            <w:vAlign w:val="center"/>
          </w:tcPr>
          <w:p w14:paraId="2492C2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788A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03166B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1.2.19</w:t>
            </w:r>
          </w:p>
        </w:tc>
        <w:tc>
          <w:tcPr>
            <w:tcW w:w="1717" w:type="pct"/>
            <w:tcBorders>
              <w:top w:val="nil"/>
              <w:left w:val="nil"/>
              <w:bottom w:val="single" w:color="auto" w:sz="4" w:space="0"/>
              <w:right w:val="single" w:color="auto" w:sz="4" w:space="0"/>
            </w:tcBorders>
            <w:noWrap w:val="0"/>
            <w:vAlign w:val="center"/>
          </w:tcPr>
          <w:p w14:paraId="2379F5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电源线（RVV2*1.5）</w:t>
            </w:r>
          </w:p>
        </w:tc>
        <w:tc>
          <w:tcPr>
            <w:tcW w:w="496" w:type="pct"/>
            <w:tcBorders>
              <w:top w:val="nil"/>
              <w:left w:val="nil"/>
              <w:bottom w:val="single" w:color="auto" w:sz="4" w:space="0"/>
              <w:right w:val="single" w:color="auto" w:sz="4" w:space="0"/>
            </w:tcBorders>
            <w:noWrap w:val="0"/>
            <w:vAlign w:val="center"/>
          </w:tcPr>
          <w:p w14:paraId="7F8A0D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96" w:type="pct"/>
            <w:tcBorders>
              <w:top w:val="nil"/>
              <w:left w:val="nil"/>
              <w:bottom w:val="single" w:color="auto" w:sz="4" w:space="0"/>
              <w:right w:val="single" w:color="auto" w:sz="4" w:space="0"/>
            </w:tcBorders>
            <w:noWrap w:val="0"/>
            <w:vAlign w:val="center"/>
          </w:tcPr>
          <w:p w14:paraId="3456D1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726" w:type="pct"/>
            <w:tcBorders>
              <w:top w:val="nil"/>
              <w:left w:val="nil"/>
              <w:bottom w:val="single" w:color="auto" w:sz="4" w:space="0"/>
              <w:right w:val="single" w:color="auto" w:sz="4" w:space="0"/>
            </w:tcBorders>
            <w:noWrap w:val="0"/>
            <w:vAlign w:val="center"/>
          </w:tcPr>
          <w:p w14:paraId="55D5FB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47E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36B0D1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1.2.20</w:t>
            </w:r>
          </w:p>
        </w:tc>
        <w:tc>
          <w:tcPr>
            <w:tcW w:w="1717" w:type="pct"/>
            <w:tcBorders>
              <w:top w:val="nil"/>
              <w:left w:val="nil"/>
              <w:bottom w:val="single" w:color="auto" w:sz="4" w:space="0"/>
              <w:right w:val="single" w:color="auto" w:sz="4" w:space="0"/>
            </w:tcBorders>
            <w:noWrap w:val="0"/>
            <w:vAlign w:val="center"/>
          </w:tcPr>
          <w:p w14:paraId="71DCA9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护线管（PVCφ32）</w:t>
            </w:r>
          </w:p>
        </w:tc>
        <w:tc>
          <w:tcPr>
            <w:tcW w:w="496" w:type="pct"/>
            <w:tcBorders>
              <w:top w:val="nil"/>
              <w:left w:val="nil"/>
              <w:bottom w:val="single" w:color="auto" w:sz="4" w:space="0"/>
              <w:right w:val="single" w:color="auto" w:sz="4" w:space="0"/>
            </w:tcBorders>
            <w:noWrap w:val="0"/>
            <w:vAlign w:val="center"/>
          </w:tcPr>
          <w:p w14:paraId="7B521C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96" w:type="pct"/>
            <w:tcBorders>
              <w:top w:val="nil"/>
              <w:left w:val="nil"/>
              <w:bottom w:val="single" w:color="auto" w:sz="4" w:space="0"/>
              <w:right w:val="single" w:color="auto" w:sz="4" w:space="0"/>
            </w:tcBorders>
            <w:noWrap w:val="0"/>
            <w:vAlign w:val="center"/>
          </w:tcPr>
          <w:p w14:paraId="340488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1726" w:type="pct"/>
            <w:tcBorders>
              <w:top w:val="nil"/>
              <w:left w:val="nil"/>
              <w:bottom w:val="single" w:color="auto" w:sz="4" w:space="0"/>
              <w:right w:val="single" w:color="auto" w:sz="4" w:space="0"/>
            </w:tcBorders>
            <w:noWrap w:val="0"/>
            <w:vAlign w:val="center"/>
          </w:tcPr>
          <w:p w14:paraId="321532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0EEC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93756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1.2.21</w:t>
            </w:r>
          </w:p>
        </w:tc>
        <w:tc>
          <w:tcPr>
            <w:tcW w:w="1717" w:type="pct"/>
            <w:tcBorders>
              <w:top w:val="nil"/>
              <w:left w:val="nil"/>
              <w:bottom w:val="single" w:color="auto" w:sz="4" w:space="0"/>
              <w:right w:val="single" w:color="auto" w:sz="4" w:space="0"/>
            </w:tcBorders>
            <w:noWrap w:val="0"/>
            <w:vAlign w:val="center"/>
          </w:tcPr>
          <w:p w14:paraId="762AFB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标识牌</w:t>
            </w:r>
          </w:p>
        </w:tc>
        <w:tc>
          <w:tcPr>
            <w:tcW w:w="496" w:type="pct"/>
            <w:tcBorders>
              <w:top w:val="nil"/>
              <w:left w:val="nil"/>
              <w:bottom w:val="single" w:color="auto" w:sz="4" w:space="0"/>
              <w:right w:val="single" w:color="auto" w:sz="4" w:space="0"/>
            </w:tcBorders>
            <w:noWrap w:val="0"/>
            <w:vAlign w:val="center"/>
          </w:tcPr>
          <w:p w14:paraId="0417B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96" w:type="pct"/>
            <w:tcBorders>
              <w:top w:val="nil"/>
              <w:left w:val="nil"/>
              <w:bottom w:val="single" w:color="auto" w:sz="4" w:space="0"/>
              <w:right w:val="single" w:color="auto" w:sz="4" w:space="0"/>
            </w:tcBorders>
            <w:noWrap w:val="0"/>
            <w:vAlign w:val="center"/>
          </w:tcPr>
          <w:p w14:paraId="4A9607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26" w:type="pct"/>
            <w:tcBorders>
              <w:top w:val="nil"/>
              <w:left w:val="nil"/>
              <w:bottom w:val="single" w:color="auto" w:sz="4" w:space="0"/>
              <w:right w:val="single" w:color="auto" w:sz="4" w:space="0"/>
            </w:tcBorders>
            <w:noWrap w:val="0"/>
            <w:vAlign w:val="center"/>
          </w:tcPr>
          <w:p w14:paraId="138194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27D2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0" w:type="dxa"/>
            <w:tcBorders>
              <w:top w:val="nil"/>
              <w:left w:val="single" w:color="auto" w:sz="4" w:space="0"/>
              <w:bottom w:val="single" w:color="auto" w:sz="4" w:space="0"/>
              <w:right w:val="single" w:color="auto" w:sz="4" w:space="0"/>
            </w:tcBorders>
            <w:noWrap w:val="0"/>
            <w:vAlign w:val="center"/>
          </w:tcPr>
          <w:p w14:paraId="22556A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1.2.22</w:t>
            </w:r>
          </w:p>
        </w:tc>
        <w:tc>
          <w:tcPr>
            <w:tcW w:w="3046" w:type="dxa"/>
            <w:tcBorders>
              <w:top w:val="nil"/>
              <w:left w:val="nil"/>
              <w:bottom w:val="single" w:color="auto" w:sz="4" w:space="0"/>
              <w:right w:val="single" w:color="auto" w:sz="4" w:space="0"/>
            </w:tcBorders>
            <w:noWrap w:val="0"/>
            <w:vAlign w:val="center"/>
          </w:tcPr>
          <w:p w14:paraId="22397B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无线网桥</w:t>
            </w:r>
          </w:p>
        </w:tc>
        <w:tc>
          <w:tcPr>
            <w:tcW w:w="880" w:type="dxa"/>
            <w:tcBorders>
              <w:top w:val="nil"/>
              <w:left w:val="nil"/>
              <w:bottom w:val="single" w:color="auto" w:sz="4" w:space="0"/>
              <w:right w:val="single" w:color="auto" w:sz="4" w:space="0"/>
            </w:tcBorders>
            <w:noWrap w:val="0"/>
            <w:vAlign w:val="center"/>
          </w:tcPr>
          <w:p w14:paraId="2A8D1E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880" w:type="dxa"/>
            <w:tcBorders>
              <w:top w:val="nil"/>
              <w:left w:val="nil"/>
              <w:bottom w:val="single" w:color="auto" w:sz="4" w:space="0"/>
              <w:right w:val="single" w:color="auto" w:sz="4" w:space="0"/>
            </w:tcBorders>
            <w:noWrap w:val="0"/>
            <w:vAlign w:val="center"/>
          </w:tcPr>
          <w:p w14:paraId="0DA222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3062" w:type="dxa"/>
            <w:tcBorders>
              <w:top w:val="nil"/>
              <w:left w:val="nil"/>
              <w:bottom w:val="single" w:color="auto" w:sz="4" w:space="0"/>
              <w:right w:val="single" w:color="auto" w:sz="4" w:space="0"/>
            </w:tcBorders>
            <w:noWrap w:val="0"/>
            <w:vAlign w:val="center"/>
          </w:tcPr>
          <w:p w14:paraId="00A78B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千兆</w:t>
            </w:r>
          </w:p>
        </w:tc>
      </w:tr>
      <w:tr w14:paraId="23D6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0" w:type="dxa"/>
            <w:tcBorders>
              <w:top w:val="nil"/>
              <w:left w:val="single" w:color="auto" w:sz="4" w:space="0"/>
              <w:bottom w:val="single" w:color="auto" w:sz="4" w:space="0"/>
              <w:right w:val="single" w:color="auto" w:sz="4" w:space="0"/>
            </w:tcBorders>
            <w:noWrap w:val="0"/>
            <w:vAlign w:val="center"/>
          </w:tcPr>
          <w:p w14:paraId="0BE7EE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1.2.23</w:t>
            </w:r>
          </w:p>
        </w:tc>
        <w:tc>
          <w:tcPr>
            <w:tcW w:w="3046" w:type="dxa"/>
            <w:tcBorders>
              <w:top w:val="nil"/>
              <w:left w:val="nil"/>
              <w:bottom w:val="single" w:color="auto" w:sz="4" w:space="0"/>
              <w:right w:val="single" w:color="auto" w:sz="4" w:space="0"/>
            </w:tcBorders>
            <w:noWrap w:val="0"/>
            <w:vAlign w:val="center"/>
          </w:tcPr>
          <w:p w14:paraId="3195C07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水位计</w:t>
            </w:r>
          </w:p>
        </w:tc>
        <w:tc>
          <w:tcPr>
            <w:tcW w:w="880" w:type="dxa"/>
            <w:tcBorders>
              <w:top w:val="nil"/>
              <w:left w:val="nil"/>
              <w:bottom w:val="single" w:color="auto" w:sz="4" w:space="0"/>
              <w:right w:val="single" w:color="auto" w:sz="4" w:space="0"/>
            </w:tcBorders>
            <w:noWrap w:val="0"/>
            <w:vAlign w:val="center"/>
          </w:tcPr>
          <w:p w14:paraId="361E1A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880" w:type="dxa"/>
            <w:tcBorders>
              <w:top w:val="nil"/>
              <w:left w:val="nil"/>
              <w:bottom w:val="single" w:color="auto" w:sz="4" w:space="0"/>
              <w:right w:val="single" w:color="auto" w:sz="4" w:space="0"/>
            </w:tcBorders>
            <w:noWrap w:val="0"/>
            <w:vAlign w:val="center"/>
          </w:tcPr>
          <w:p w14:paraId="6F0C49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3062" w:type="dxa"/>
            <w:tcBorders>
              <w:top w:val="nil"/>
              <w:left w:val="nil"/>
              <w:bottom w:val="single" w:color="auto" w:sz="4" w:space="0"/>
              <w:right w:val="single" w:color="auto" w:sz="4" w:space="0"/>
            </w:tcBorders>
            <w:noWrap w:val="0"/>
            <w:vAlign w:val="center"/>
          </w:tcPr>
          <w:p w14:paraId="3215EE6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供电电压：7～18VDC ；分辨力：1mm ；通信方式：RS485 应答式 ；量程：&gt;20m（根据需要确定量程） ；测值精度：≤±0.1%FS ；稳定性：&lt;0.1%FS/年 ；工作温度：-20℃-60℃； 尺寸：Φ39×110mm</w:t>
            </w:r>
          </w:p>
          <w:p w14:paraId="3504B8F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p>
        </w:tc>
      </w:tr>
      <w:tr w14:paraId="18D33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0" w:type="dxa"/>
            <w:tcBorders>
              <w:top w:val="nil"/>
              <w:left w:val="single" w:color="auto" w:sz="4" w:space="0"/>
              <w:bottom w:val="single" w:color="auto" w:sz="4" w:space="0"/>
              <w:right w:val="single" w:color="auto" w:sz="4" w:space="0"/>
            </w:tcBorders>
            <w:noWrap w:val="0"/>
            <w:vAlign w:val="center"/>
          </w:tcPr>
          <w:p w14:paraId="0651BF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1.2.24</w:t>
            </w:r>
          </w:p>
        </w:tc>
        <w:tc>
          <w:tcPr>
            <w:tcW w:w="3046" w:type="dxa"/>
            <w:tcBorders>
              <w:top w:val="nil"/>
              <w:left w:val="nil"/>
              <w:bottom w:val="single" w:color="auto" w:sz="4" w:space="0"/>
              <w:right w:val="single" w:color="auto" w:sz="4" w:space="0"/>
            </w:tcBorders>
            <w:noWrap w:val="0"/>
            <w:vAlign w:val="center"/>
          </w:tcPr>
          <w:p w14:paraId="3F5AD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其它辅料</w:t>
            </w:r>
          </w:p>
        </w:tc>
        <w:tc>
          <w:tcPr>
            <w:tcW w:w="880" w:type="dxa"/>
            <w:tcBorders>
              <w:top w:val="nil"/>
              <w:left w:val="nil"/>
              <w:bottom w:val="single" w:color="auto" w:sz="4" w:space="0"/>
              <w:right w:val="single" w:color="auto" w:sz="4" w:space="0"/>
            </w:tcBorders>
            <w:noWrap w:val="0"/>
            <w:vAlign w:val="center"/>
          </w:tcPr>
          <w:p w14:paraId="2A15AF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80" w:type="dxa"/>
            <w:tcBorders>
              <w:top w:val="nil"/>
              <w:left w:val="nil"/>
              <w:bottom w:val="single" w:color="auto" w:sz="4" w:space="0"/>
              <w:right w:val="single" w:color="auto" w:sz="4" w:space="0"/>
            </w:tcBorders>
            <w:noWrap w:val="0"/>
            <w:vAlign w:val="center"/>
          </w:tcPr>
          <w:p w14:paraId="303B65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062" w:type="dxa"/>
            <w:tcBorders>
              <w:top w:val="nil"/>
              <w:left w:val="nil"/>
              <w:bottom w:val="single" w:color="auto" w:sz="4" w:space="0"/>
              <w:right w:val="single" w:color="auto" w:sz="4" w:space="0"/>
            </w:tcBorders>
            <w:noWrap w:val="0"/>
            <w:vAlign w:val="center"/>
          </w:tcPr>
          <w:p w14:paraId="0D5EE8A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网络配件及线缆</w:t>
            </w:r>
          </w:p>
        </w:tc>
      </w:tr>
      <w:tr w14:paraId="3A04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5736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17" w:type="pct"/>
            <w:tcBorders>
              <w:top w:val="nil"/>
              <w:left w:val="nil"/>
              <w:bottom w:val="single" w:color="auto" w:sz="4" w:space="0"/>
              <w:right w:val="single" w:color="auto" w:sz="4" w:space="0"/>
            </w:tcBorders>
            <w:noWrap w:val="0"/>
            <w:vAlign w:val="center"/>
          </w:tcPr>
          <w:p w14:paraId="2E3A738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预报</w:t>
            </w:r>
          </w:p>
        </w:tc>
        <w:tc>
          <w:tcPr>
            <w:tcW w:w="496" w:type="pct"/>
            <w:tcBorders>
              <w:top w:val="nil"/>
              <w:left w:val="nil"/>
              <w:bottom w:val="single" w:color="auto" w:sz="4" w:space="0"/>
              <w:right w:val="single" w:color="auto" w:sz="4" w:space="0"/>
            </w:tcBorders>
            <w:noWrap w:val="0"/>
            <w:vAlign w:val="center"/>
          </w:tcPr>
          <w:p w14:paraId="584E01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5CE3B2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265DE7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B7A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16BAA8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717" w:type="pct"/>
            <w:tcBorders>
              <w:top w:val="nil"/>
              <w:left w:val="nil"/>
              <w:bottom w:val="single" w:color="auto" w:sz="4" w:space="0"/>
              <w:right w:val="single" w:color="auto" w:sz="4" w:space="0"/>
            </w:tcBorders>
            <w:noWrap w:val="0"/>
            <w:vAlign w:val="center"/>
          </w:tcPr>
          <w:p w14:paraId="74231D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洪水预报调度优化</w:t>
            </w:r>
          </w:p>
        </w:tc>
        <w:tc>
          <w:tcPr>
            <w:tcW w:w="496" w:type="pct"/>
            <w:tcBorders>
              <w:top w:val="nil"/>
              <w:left w:val="nil"/>
              <w:bottom w:val="single" w:color="auto" w:sz="4" w:space="0"/>
              <w:right w:val="single" w:color="auto" w:sz="4" w:space="0"/>
            </w:tcBorders>
            <w:noWrap w:val="0"/>
            <w:vAlign w:val="center"/>
          </w:tcPr>
          <w:p w14:paraId="54B36D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5C717B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05A252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4853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9F2E1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1717" w:type="pct"/>
            <w:tcBorders>
              <w:top w:val="nil"/>
              <w:left w:val="nil"/>
              <w:bottom w:val="single" w:color="auto" w:sz="4" w:space="0"/>
              <w:right w:val="single" w:color="auto" w:sz="4" w:space="0"/>
            </w:tcBorders>
            <w:noWrap w:val="0"/>
            <w:vAlign w:val="center"/>
          </w:tcPr>
          <w:p w14:paraId="63AF85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基于机理模型的洪水精准预报</w:t>
            </w:r>
          </w:p>
        </w:tc>
        <w:tc>
          <w:tcPr>
            <w:tcW w:w="496" w:type="pct"/>
            <w:tcBorders>
              <w:top w:val="nil"/>
              <w:left w:val="nil"/>
              <w:bottom w:val="single" w:color="auto" w:sz="4" w:space="0"/>
              <w:right w:val="single" w:color="auto" w:sz="4" w:space="0"/>
            </w:tcBorders>
            <w:noWrap w:val="0"/>
            <w:vAlign w:val="center"/>
          </w:tcPr>
          <w:p w14:paraId="157EFF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1872A9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08871D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来水精细预报</w:t>
            </w:r>
          </w:p>
        </w:tc>
      </w:tr>
      <w:tr w14:paraId="7749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583D41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1717" w:type="pct"/>
            <w:tcBorders>
              <w:top w:val="nil"/>
              <w:left w:val="nil"/>
              <w:bottom w:val="single" w:color="auto" w:sz="4" w:space="0"/>
              <w:right w:val="single" w:color="auto" w:sz="4" w:space="0"/>
            </w:tcBorders>
            <w:noWrap w:val="0"/>
            <w:vAlign w:val="center"/>
          </w:tcPr>
          <w:p w14:paraId="6AF6C5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基于智能模型的洪水快速模拟</w:t>
            </w:r>
          </w:p>
        </w:tc>
        <w:tc>
          <w:tcPr>
            <w:tcW w:w="496" w:type="pct"/>
            <w:tcBorders>
              <w:top w:val="nil"/>
              <w:left w:val="nil"/>
              <w:bottom w:val="single" w:color="auto" w:sz="4" w:space="0"/>
              <w:right w:val="single" w:color="auto" w:sz="4" w:space="0"/>
            </w:tcBorders>
            <w:noWrap w:val="0"/>
            <w:vAlign w:val="center"/>
          </w:tcPr>
          <w:p w14:paraId="2334B1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756CC5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52B7E7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2137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20654D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1717" w:type="pct"/>
            <w:tcBorders>
              <w:top w:val="nil"/>
              <w:left w:val="nil"/>
              <w:bottom w:val="single" w:color="auto" w:sz="4" w:space="0"/>
              <w:right w:val="single" w:color="auto" w:sz="4" w:space="0"/>
            </w:tcBorders>
            <w:noWrap w:val="0"/>
            <w:vAlign w:val="center"/>
          </w:tcPr>
          <w:p w14:paraId="4D009A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耦合多源信息的洪水调度决策</w:t>
            </w:r>
          </w:p>
        </w:tc>
        <w:tc>
          <w:tcPr>
            <w:tcW w:w="496" w:type="pct"/>
            <w:tcBorders>
              <w:top w:val="nil"/>
              <w:left w:val="nil"/>
              <w:bottom w:val="single" w:color="auto" w:sz="4" w:space="0"/>
              <w:right w:val="single" w:color="auto" w:sz="4" w:space="0"/>
            </w:tcBorders>
            <w:noWrap w:val="0"/>
            <w:vAlign w:val="center"/>
          </w:tcPr>
          <w:p w14:paraId="07F901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544DDD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48C34B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133D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505CD0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717" w:type="pct"/>
            <w:tcBorders>
              <w:top w:val="nil"/>
              <w:left w:val="nil"/>
              <w:bottom w:val="single" w:color="auto" w:sz="4" w:space="0"/>
              <w:right w:val="single" w:color="auto" w:sz="4" w:space="0"/>
            </w:tcBorders>
            <w:noWrap w:val="0"/>
            <w:vAlign w:val="center"/>
          </w:tcPr>
          <w:p w14:paraId="7C8793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大坝安全性态诊断系统</w:t>
            </w:r>
          </w:p>
        </w:tc>
        <w:tc>
          <w:tcPr>
            <w:tcW w:w="496" w:type="pct"/>
            <w:tcBorders>
              <w:top w:val="nil"/>
              <w:left w:val="nil"/>
              <w:bottom w:val="single" w:color="auto" w:sz="4" w:space="0"/>
              <w:right w:val="single" w:color="auto" w:sz="4" w:space="0"/>
            </w:tcBorders>
            <w:noWrap w:val="0"/>
            <w:vAlign w:val="center"/>
          </w:tcPr>
          <w:p w14:paraId="020CAD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5FAF53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419F5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数据驱动、机理驱动、知识驱动</w:t>
            </w:r>
          </w:p>
        </w:tc>
      </w:tr>
      <w:tr w14:paraId="2C08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283857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1717" w:type="pct"/>
            <w:tcBorders>
              <w:top w:val="nil"/>
              <w:left w:val="nil"/>
              <w:bottom w:val="single" w:color="auto" w:sz="4" w:space="0"/>
              <w:right w:val="single" w:color="auto" w:sz="4" w:space="0"/>
            </w:tcBorders>
            <w:noWrap w:val="0"/>
            <w:vAlign w:val="center"/>
          </w:tcPr>
          <w:p w14:paraId="651BCA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数据驱动的大坝安全监控模型</w:t>
            </w:r>
          </w:p>
        </w:tc>
        <w:tc>
          <w:tcPr>
            <w:tcW w:w="496" w:type="pct"/>
            <w:tcBorders>
              <w:top w:val="nil"/>
              <w:left w:val="nil"/>
              <w:bottom w:val="single" w:color="auto" w:sz="4" w:space="0"/>
              <w:right w:val="single" w:color="auto" w:sz="4" w:space="0"/>
            </w:tcBorders>
            <w:noWrap w:val="0"/>
            <w:vAlign w:val="center"/>
          </w:tcPr>
          <w:p w14:paraId="28B42F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70D026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42BD8F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17D9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pct"/>
            <w:tcBorders>
              <w:top w:val="nil"/>
              <w:left w:val="single" w:color="auto" w:sz="4" w:space="0"/>
              <w:bottom w:val="single" w:color="auto" w:sz="4" w:space="0"/>
              <w:right w:val="single" w:color="auto" w:sz="4" w:space="0"/>
            </w:tcBorders>
            <w:noWrap w:val="0"/>
            <w:vAlign w:val="center"/>
          </w:tcPr>
          <w:p w14:paraId="483602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1717" w:type="pct"/>
            <w:tcBorders>
              <w:top w:val="nil"/>
              <w:left w:val="nil"/>
              <w:bottom w:val="single" w:color="auto" w:sz="4" w:space="0"/>
              <w:right w:val="single" w:color="auto" w:sz="4" w:space="0"/>
            </w:tcBorders>
            <w:noWrap w:val="0"/>
            <w:vAlign w:val="center"/>
          </w:tcPr>
          <w:p w14:paraId="0ECFA4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机理驱动的大坝运行性态跟踪分析</w:t>
            </w:r>
          </w:p>
        </w:tc>
        <w:tc>
          <w:tcPr>
            <w:tcW w:w="496" w:type="pct"/>
            <w:tcBorders>
              <w:top w:val="nil"/>
              <w:left w:val="nil"/>
              <w:bottom w:val="single" w:color="auto" w:sz="4" w:space="0"/>
              <w:right w:val="single" w:color="auto" w:sz="4" w:space="0"/>
            </w:tcBorders>
            <w:noWrap w:val="0"/>
            <w:vAlign w:val="center"/>
          </w:tcPr>
          <w:p w14:paraId="2ABEC9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7074F2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5CFFD5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构建水库大坝重点段面和区域的有限元模型</w:t>
            </w:r>
          </w:p>
        </w:tc>
      </w:tr>
      <w:tr w14:paraId="31B0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7A4082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17" w:type="pct"/>
            <w:tcBorders>
              <w:top w:val="nil"/>
              <w:left w:val="nil"/>
              <w:bottom w:val="single" w:color="auto" w:sz="4" w:space="0"/>
              <w:right w:val="single" w:color="auto" w:sz="4" w:space="0"/>
            </w:tcBorders>
            <w:noWrap w:val="0"/>
            <w:vAlign w:val="center"/>
          </w:tcPr>
          <w:p w14:paraId="7619F81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预警</w:t>
            </w:r>
          </w:p>
        </w:tc>
        <w:tc>
          <w:tcPr>
            <w:tcW w:w="496" w:type="pct"/>
            <w:tcBorders>
              <w:top w:val="nil"/>
              <w:left w:val="nil"/>
              <w:bottom w:val="single" w:color="auto" w:sz="4" w:space="0"/>
              <w:right w:val="single" w:color="auto" w:sz="4" w:space="0"/>
            </w:tcBorders>
            <w:noWrap w:val="0"/>
            <w:vAlign w:val="center"/>
          </w:tcPr>
          <w:p w14:paraId="07B4C9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3522A3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2010CD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75D5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3F7E23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717" w:type="pct"/>
            <w:tcBorders>
              <w:top w:val="nil"/>
              <w:left w:val="nil"/>
              <w:bottom w:val="single" w:color="auto" w:sz="4" w:space="0"/>
              <w:right w:val="single" w:color="auto" w:sz="4" w:space="0"/>
            </w:tcBorders>
            <w:noWrap w:val="0"/>
            <w:vAlign w:val="center"/>
          </w:tcPr>
          <w:p w14:paraId="71A34F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构建汛情分级动态预警体系</w:t>
            </w:r>
          </w:p>
        </w:tc>
        <w:tc>
          <w:tcPr>
            <w:tcW w:w="496" w:type="pct"/>
            <w:tcBorders>
              <w:top w:val="nil"/>
              <w:left w:val="nil"/>
              <w:bottom w:val="single" w:color="auto" w:sz="4" w:space="0"/>
              <w:right w:val="single" w:color="auto" w:sz="4" w:space="0"/>
            </w:tcBorders>
            <w:noWrap w:val="0"/>
            <w:vAlign w:val="center"/>
          </w:tcPr>
          <w:p w14:paraId="4A5A6F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0B942E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5304FE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1E9E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14F6F47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3.1.1</w:t>
            </w:r>
          </w:p>
        </w:tc>
        <w:tc>
          <w:tcPr>
            <w:tcW w:w="1717" w:type="pct"/>
            <w:tcBorders>
              <w:top w:val="nil"/>
              <w:left w:val="nil"/>
              <w:bottom w:val="single" w:color="auto" w:sz="4" w:space="0"/>
              <w:right w:val="single" w:color="auto" w:sz="4" w:space="0"/>
            </w:tcBorders>
            <w:noWrap w:val="0"/>
            <w:vAlign w:val="center"/>
          </w:tcPr>
          <w:p w14:paraId="4FE94D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预警要素动态识别</w:t>
            </w:r>
          </w:p>
        </w:tc>
        <w:tc>
          <w:tcPr>
            <w:tcW w:w="496" w:type="pct"/>
            <w:tcBorders>
              <w:top w:val="nil"/>
              <w:left w:val="nil"/>
              <w:bottom w:val="single" w:color="auto" w:sz="4" w:space="0"/>
              <w:right w:val="single" w:color="auto" w:sz="4" w:space="0"/>
            </w:tcBorders>
            <w:noWrap w:val="0"/>
            <w:vAlign w:val="center"/>
          </w:tcPr>
          <w:p w14:paraId="4DEB9B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69FA25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53988FA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w:t>
            </w:r>
          </w:p>
        </w:tc>
      </w:tr>
      <w:tr w14:paraId="1878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200ACC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3.1.2</w:t>
            </w:r>
          </w:p>
        </w:tc>
        <w:tc>
          <w:tcPr>
            <w:tcW w:w="1717" w:type="pct"/>
            <w:tcBorders>
              <w:top w:val="nil"/>
              <w:left w:val="nil"/>
              <w:bottom w:val="single" w:color="auto" w:sz="4" w:space="0"/>
              <w:right w:val="single" w:color="auto" w:sz="4" w:space="0"/>
            </w:tcBorders>
            <w:noWrap w:val="0"/>
            <w:vAlign w:val="center"/>
          </w:tcPr>
          <w:p w14:paraId="7DD94F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预警指标与分级阈值确定</w:t>
            </w:r>
          </w:p>
        </w:tc>
        <w:tc>
          <w:tcPr>
            <w:tcW w:w="496" w:type="pct"/>
            <w:tcBorders>
              <w:top w:val="nil"/>
              <w:left w:val="nil"/>
              <w:bottom w:val="single" w:color="auto" w:sz="4" w:space="0"/>
              <w:right w:val="single" w:color="auto" w:sz="4" w:space="0"/>
            </w:tcBorders>
            <w:noWrap w:val="0"/>
            <w:vAlign w:val="center"/>
          </w:tcPr>
          <w:p w14:paraId="0B1E9C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00D8E4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7B40DB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677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56D6D67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3.1.3</w:t>
            </w:r>
          </w:p>
        </w:tc>
        <w:tc>
          <w:tcPr>
            <w:tcW w:w="1717" w:type="pct"/>
            <w:tcBorders>
              <w:top w:val="nil"/>
              <w:left w:val="nil"/>
              <w:bottom w:val="single" w:color="auto" w:sz="4" w:space="0"/>
              <w:right w:val="single" w:color="auto" w:sz="4" w:space="0"/>
            </w:tcBorders>
            <w:noWrap w:val="0"/>
            <w:vAlign w:val="center"/>
          </w:tcPr>
          <w:p w14:paraId="670F85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预警机制与预警信息发布</w:t>
            </w:r>
          </w:p>
        </w:tc>
        <w:tc>
          <w:tcPr>
            <w:tcW w:w="496" w:type="pct"/>
            <w:tcBorders>
              <w:top w:val="nil"/>
              <w:left w:val="nil"/>
              <w:bottom w:val="single" w:color="auto" w:sz="4" w:space="0"/>
              <w:right w:val="single" w:color="auto" w:sz="4" w:space="0"/>
            </w:tcBorders>
            <w:noWrap w:val="0"/>
            <w:vAlign w:val="center"/>
          </w:tcPr>
          <w:p w14:paraId="73B8BB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28235B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0942A6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2E39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3C8B9B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717" w:type="pct"/>
            <w:tcBorders>
              <w:top w:val="nil"/>
              <w:left w:val="nil"/>
              <w:bottom w:val="single" w:color="auto" w:sz="4" w:space="0"/>
              <w:right w:val="single" w:color="auto" w:sz="4" w:space="0"/>
            </w:tcBorders>
            <w:noWrap w:val="0"/>
            <w:vAlign w:val="center"/>
          </w:tcPr>
          <w:p w14:paraId="4D91E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工情分级动态预警体系</w:t>
            </w:r>
          </w:p>
        </w:tc>
        <w:tc>
          <w:tcPr>
            <w:tcW w:w="496" w:type="pct"/>
            <w:tcBorders>
              <w:top w:val="nil"/>
              <w:left w:val="nil"/>
              <w:bottom w:val="single" w:color="auto" w:sz="4" w:space="0"/>
              <w:right w:val="single" w:color="auto" w:sz="4" w:space="0"/>
            </w:tcBorders>
            <w:noWrap w:val="0"/>
            <w:vAlign w:val="center"/>
          </w:tcPr>
          <w:p w14:paraId="50B8BF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11E932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168C6B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2027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3" w:type="pct"/>
            <w:tcBorders>
              <w:top w:val="nil"/>
              <w:left w:val="single" w:color="auto" w:sz="4" w:space="0"/>
              <w:bottom w:val="single" w:color="auto" w:sz="4" w:space="0"/>
              <w:right w:val="single" w:color="auto" w:sz="4" w:space="0"/>
            </w:tcBorders>
            <w:noWrap w:val="0"/>
            <w:vAlign w:val="center"/>
          </w:tcPr>
          <w:p w14:paraId="04A161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1717" w:type="pct"/>
            <w:tcBorders>
              <w:top w:val="nil"/>
              <w:left w:val="nil"/>
              <w:bottom w:val="single" w:color="auto" w:sz="4" w:space="0"/>
              <w:right w:val="single" w:color="auto" w:sz="4" w:space="0"/>
            </w:tcBorders>
            <w:noWrap w:val="0"/>
            <w:vAlign w:val="center"/>
          </w:tcPr>
          <w:p w14:paraId="482C97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工程安全分级分类预警</w:t>
            </w:r>
          </w:p>
        </w:tc>
        <w:tc>
          <w:tcPr>
            <w:tcW w:w="496" w:type="pct"/>
            <w:tcBorders>
              <w:top w:val="nil"/>
              <w:left w:val="nil"/>
              <w:bottom w:val="single" w:color="auto" w:sz="4" w:space="0"/>
              <w:right w:val="single" w:color="auto" w:sz="4" w:space="0"/>
            </w:tcBorders>
            <w:noWrap w:val="0"/>
            <w:vAlign w:val="center"/>
          </w:tcPr>
          <w:p w14:paraId="579DF0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1B0E52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302C4A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预警要素确定，基于数理统计模型的分级分类预警，基于巡检和隐患信息的分级分类预警，工程险情综合预警</w:t>
            </w:r>
          </w:p>
        </w:tc>
      </w:tr>
      <w:tr w14:paraId="6291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3" w:type="pct"/>
            <w:tcBorders>
              <w:top w:val="nil"/>
              <w:left w:val="single" w:color="auto" w:sz="4" w:space="0"/>
              <w:bottom w:val="single" w:color="auto" w:sz="4" w:space="0"/>
              <w:right w:val="single" w:color="auto" w:sz="4" w:space="0"/>
            </w:tcBorders>
            <w:noWrap w:val="0"/>
            <w:vAlign w:val="center"/>
          </w:tcPr>
          <w:p w14:paraId="099F30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1717" w:type="pct"/>
            <w:tcBorders>
              <w:top w:val="nil"/>
              <w:left w:val="nil"/>
              <w:bottom w:val="single" w:color="auto" w:sz="4" w:space="0"/>
              <w:right w:val="single" w:color="auto" w:sz="4" w:space="0"/>
            </w:tcBorders>
            <w:noWrap w:val="0"/>
            <w:vAlign w:val="center"/>
          </w:tcPr>
          <w:p w14:paraId="0EB197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溃坝及超标准泄洪风险分级分类预警</w:t>
            </w:r>
          </w:p>
        </w:tc>
        <w:tc>
          <w:tcPr>
            <w:tcW w:w="496" w:type="pct"/>
            <w:tcBorders>
              <w:top w:val="nil"/>
              <w:left w:val="nil"/>
              <w:bottom w:val="single" w:color="auto" w:sz="4" w:space="0"/>
              <w:right w:val="single" w:color="auto" w:sz="4" w:space="0"/>
            </w:tcBorders>
            <w:noWrap w:val="0"/>
            <w:vAlign w:val="center"/>
          </w:tcPr>
          <w:p w14:paraId="6A48F4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7B4122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4693E3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预警要素确定，洪水演进计算分析，溃坝及超标准泄洪损失计算，溃坝及超标准泄洪风险预警</w:t>
            </w:r>
          </w:p>
        </w:tc>
      </w:tr>
      <w:tr w14:paraId="30B4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0BD8D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1717" w:type="pct"/>
            <w:tcBorders>
              <w:top w:val="nil"/>
              <w:left w:val="nil"/>
              <w:bottom w:val="single" w:color="auto" w:sz="4" w:space="0"/>
              <w:right w:val="single" w:color="auto" w:sz="4" w:space="0"/>
            </w:tcBorders>
            <w:noWrap w:val="0"/>
            <w:vAlign w:val="center"/>
          </w:tcPr>
          <w:p w14:paraId="356199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水库安全风险预警指标体系</w:t>
            </w:r>
          </w:p>
        </w:tc>
        <w:tc>
          <w:tcPr>
            <w:tcW w:w="496" w:type="pct"/>
            <w:tcBorders>
              <w:top w:val="nil"/>
              <w:left w:val="nil"/>
              <w:bottom w:val="single" w:color="auto" w:sz="4" w:space="0"/>
              <w:right w:val="single" w:color="auto" w:sz="4" w:space="0"/>
            </w:tcBorders>
            <w:noWrap w:val="0"/>
            <w:vAlign w:val="center"/>
          </w:tcPr>
          <w:p w14:paraId="022B9C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3796DC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41CD8F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02D7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0D9FB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1717" w:type="pct"/>
            <w:tcBorders>
              <w:top w:val="nil"/>
              <w:left w:val="nil"/>
              <w:bottom w:val="single" w:color="auto" w:sz="4" w:space="0"/>
              <w:right w:val="single" w:color="auto" w:sz="4" w:space="0"/>
            </w:tcBorders>
            <w:noWrap w:val="0"/>
            <w:vAlign w:val="center"/>
          </w:tcPr>
          <w:p w14:paraId="325CBA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预警发布体系</w:t>
            </w:r>
          </w:p>
        </w:tc>
        <w:tc>
          <w:tcPr>
            <w:tcW w:w="496" w:type="pct"/>
            <w:tcBorders>
              <w:top w:val="nil"/>
              <w:left w:val="nil"/>
              <w:bottom w:val="single" w:color="auto" w:sz="4" w:space="0"/>
              <w:right w:val="single" w:color="auto" w:sz="4" w:space="0"/>
            </w:tcBorders>
            <w:noWrap w:val="0"/>
            <w:vAlign w:val="center"/>
          </w:tcPr>
          <w:p w14:paraId="7E668E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1560E3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794323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662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pct"/>
            <w:tcBorders>
              <w:top w:val="nil"/>
              <w:left w:val="single" w:color="auto" w:sz="4" w:space="0"/>
              <w:bottom w:val="single" w:color="auto" w:sz="4" w:space="0"/>
              <w:right w:val="single" w:color="auto" w:sz="4" w:space="0"/>
            </w:tcBorders>
            <w:noWrap w:val="0"/>
            <w:vAlign w:val="center"/>
          </w:tcPr>
          <w:p w14:paraId="15BE23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1717" w:type="pct"/>
            <w:tcBorders>
              <w:top w:val="nil"/>
              <w:left w:val="nil"/>
              <w:bottom w:val="single" w:color="auto" w:sz="4" w:space="0"/>
              <w:right w:val="single" w:color="auto" w:sz="4" w:space="0"/>
            </w:tcBorders>
            <w:noWrap w:val="0"/>
            <w:vAlign w:val="center"/>
          </w:tcPr>
          <w:p w14:paraId="5397AF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水库大坝安全风险智能预警模块</w:t>
            </w:r>
          </w:p>
        </w:tc>
        <w:tc>
          <w:tcPr>
            <w:tcW w:w="496" w:type="pct"/>
            <w:tcBorders>
              <w:top w:val="nil"/>
              <w:left w:val="nil"/>
              <w:bottom w:val="single" w:color="auto" w:sz="4" w:space="0"/>
              <w:right w:val="single" w:color="auto" w:sz="4" w:space="0"/>
            </w:tcBorders>
            <w:noWrap w:val="0"/>
            <w:vAlign w:val="center"/>
          </w:tcPr>
          <w:p w14:paraId="2B95AF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290870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246D56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预警智能研判，预警信息发布，动态评估跟踪</w:t>
            </w:r>
          </w:p>
        </w:tc>
      </w:tr>
      <w:tr w14:paraId="1105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2704C5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17" w:type="pct"/>
            <w:tcBorders>
              <w:top w:val="nil"/>
              <w:left w:val="nil"/>
              <w:bottom w:val="single" w:color="auto" w:sz="4" w:space="0"/>
              <w:right w:val="single" w:color="auto" w:sz="4" w:space="0"/>
            </w:tcBorders>
            <w:noWrap w:val="0"/>
            <w:vAlign w:val="center"/>
          </w:tcPr>
          <w:p w14:paraId="00742D4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预演</w:t>
            </w:r>
          </w:p>
        </w:tc>
        <w:tc>
          <w:tcPr>
            <w:tcW w:w="496" w:type="pct"/>
            <w:tcBorders>
              <w:top w:val="nil"/>
              <w:left w:val="nil"/>
              <w:bottom w:val="single" w:color="auto" w:sz="4" w:space="0"/>
              <w:right w:val="single" w:color="auto" w:sz="4" w:space="0"/>
            </w:tcBorders>
            <w:noWrap w:val="0"/>
            <w:vAlign w:val="center"/>
          </w:tcPr>
          <w:p w14:paraId="1F62EA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5C7CC2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7DCD6D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5E8F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489F48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717" w:type="pct"/>
            <w:tcBorders>
              <w:top w:val="nil"/>
              <w:left w:val="nil"/>
              <w:bottom w:val="single" w:color="auto" w:sz="4" w:space="0"/>
              <w:right w:val="single" w:color="auto" w:sz="4" w:space="0"/>
            </w:tcBorders>
            <w:noWrap w:val="0"/>
            <w:vAlign w:val="center"/>
          </w:tcPr>
          <w:p w14:paraId="12DBA9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调度预演</w:t>
            </w:r>
          </w:p>
        </w:tc>
        <w:tc>
          <w:tcPr>
            <w:tcW w:w="496" w:type="pct"/>
            <w:tcBorders>
              <w:top w:val="nil"/>
              <w:left w:val="nil"/>
              <w:bottom w:val="single" w:color="auto" w:sz="4" w:space="0"/>
              <w:right w:val="single" w:color="auto" w:sz="4" w:space="0"/>
            </w:tcBorders>
            <w:noWrap w:val="0"/>
            <w:vAlign w:val="center"/>
          </w:tcPr>
          <w:p w14:paraId="51DA56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06CAE8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7119CB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31DF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pct"/>
            <w:tcBorders>
              <w:top w:val="nil"/>
              <w:left w:val="single" w:color="auto" w:sz="4" w:space="0"/>
              <w:bottom w:val="single" w:color="auto" w:sz="4" w:space="0"/>
              <w:right w:val="single" w:color="auto" w:sz="4" w:space="0"/>
            </w:tcBorders>
            <w:noWrap w:val="0"/>
            <w:vAlign w:val="center"/>
          </w:tcPr>
          <w:p w14:paraId="44E5BA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w:t>
            </w:r>
          </w:p>
        </w:tc>
        <w:tc>
          <w:tcPr>
            <w:tcW w:w="1717" w:type="pct"/>
            <w:tcBorders>
              <w:top w:val="nil"/>
              <w:left w:val="nil"/>
              <w:bottom w:val="single" w:color="auto" w:sz="4" w:space="0"/>
              <w:right w:val="single" w:color="auto" w:sz="4" w:space="0"/>
            </w:tcBorders>
            <w:noWrap w:val="0"/>
            <w:vAlign w:val="center"/>
          </w:tcPr>
          <w:p w14:paraId="5C257E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优化水库洪水调度方案多指标比选与迭代调优</w:t>
            </w:r>
          </w:p>
        </w:tc>
        <w:tc>
          <w:tcPr>
            <w:tcW w:w="496" w:type="pct"/>
            <w:tcBorders>
              <w:top w:val="nil"/>
              <w:left w:val="nil"/>
              <w:bottom w:val="single" w:color="auto" w:sz="4" w:space="0"/>
              <w:right w:val="single" w:color="auto" w:sz="4" w:space="0"/>
            </w:tcBorders>
            <w:noWrap w:val="0"/>
            <w:vAlign w:val="center"/>
          </w:tcPr>
          <w:p w14:paraId="52321A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7A886D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3DB21E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282A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679DD3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w:t>
            </w:r>
          </w:p>
        </w:tc>
        <w:tc>
          <w:tcPr>
            <w:tcW w:w="1717" w:type="pct"/>
            <w:tcBorders>
              <w:top w:val="nil"/>
              <w:left w:val="nil"/>
              <w:bottom w:val="single" w:color="auto" w:sz="4" w:space="0"/>
              <w:right w:val="single" w:color="auto" w:sz="4" w:space="0"/>
            </w:tcBorders>
            <w:noWrap w:val="0"/>
            <w:vAlign w:val="center"/>
          </w:tcPr>
          <w:p w14:paraId="2D35D0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优化龙河口水库工程调度措施</w:t>
            </w:r>
          </w:p>
        </w:tc>
        <w:tc>
          <w:tcPr>
            <w:tcW w:w="496" w:type="pct"/>
            <w:tcBorders>
              <w:top w:val="nil"/>
              <w:left w:val="nil"/>
              <w:bottom w:val="single" w:color="auto" w:sz="4" w:space="0"/>
              <w:right w:val="single" w:color="auto" w:sz="4" w:space="0"/>
            </w:tcBorders>
            <w:noWrap w:val="0"/>
            <w:vAlign w:val="center"/>
          </w:tcPr>
          <w:p w14:paraId="3A08C0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1856A5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46B25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6B2A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283AED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717" w:type="pct"/>
            <w:tcBorders>
              <w:top w:val="nil"/>
              <w:left w:val="nil"/>
              <w:bottom w:val="single" w:color="auto" w:sz="4" w:space="0"/>
              <w:right w:val="single" w:color="auto" w:sz="4" w:space="0"/>
            </w:tcBorders>
            <w:noWrap w:val="0"/>
            <w:vAlign w:val="center"/>
          </w:tcPr>
          <w:p w14:paraId="0EA09F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洪水风险预演</w:t>
            </w:r>
          </w:p>
        </w:tc>
        <w:tc>
          <w:tcPr>
            <w:tcW w:w="496" w:type="pct"/>
            <w:tcBorders>
              <w:top w:val="nil"/>
              <w:left w:val="nil"/>
              <w:bottom w:val="single" w:color="auto" w:sz="4" w:space="0"/>
              <w:right w:val="single" w:color="auto" w:sz="4" w:space="0"/>
            </w:tcBorders>
            <w:noWrap w:val="0"/>
            <w:vAlign w:val="center"/>
          </w:tcPr>
          <w:p w14:paraId="324CA8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685F26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407B9D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17F5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37568D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4.2.1</w:t>
            </w:r>
          </w:p>
        </w:tc>
        <w:tc>
          <w:tcPr>
            <w:tcW w:w="1717" w:type="pct"/>
            <w:tcBorders>
              <w:top w:val="nil"/>
              <w:left w:val="nil"/>
              <w:bottom w:val="single" w:color="auto" w:sz="4" w:space="0"/>
              <w:right w:val="single" w:color="auto" w:sz="4" w:space="0"/>
            </w:tcBorders>
            <w:noWrap w:val="0"/>
            <w:vAlign w:val="center"/>
          </w:tcPr>
          <w:p w14:paraId="4141B4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洪水演进正向推演</w:t>
            </w:r>
          </w:p>
        </w:tc>
        <w:tc>
          <w:tcPr>
            <w:tcW w:w="496" w:type="pct"/>
            <w:tcBorders>
              <w:top w:val="nil"/>
              <w:left w:val="nil"/>
              <w:bottom w:val="single" w:color="auto" w:sz="4" w:space="0"/>
              <w:right w:val="single" w:color="auto" w:sz="4" w:space="0"/>
            </w:tcBorders>
            <w:noWrap w:val="0"/>
            <w:vAlign w:val="center"/>
          </w:tcPr>
          <w:p w14:paraId="06BD7B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3D5B7A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490214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48A2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71B302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w:t>
            </w:r>
          </w:p>
        </w:tc>
        <w:tc>
          <w:tcPr>
            <w:tcW w:w="1717" w:type="pct"/>
            <w:tcBorders>
              <w:top w:val="nil"/>
              <w:left w:val="nil"/>
              <w:bottom w:val="single" w:color="auto" w:sz="4" w:space="0"/>
              <w:right w:val="single" w:color="auto" w:sz="4" w:space="0"/>
            </w:tcBorders>
            <w:noWrap w:val="0"/>
            <w:vAlign w:val="center"/>
          </w:tcPr>
          <w:p w14:paraId="6DB3E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洪水演进逆向推演</w:t>
            </w:r>
          </w:p>
        </w:tc>
        <w:tc>
          <w:tcPr>
            <w:tcW w:w="496" w:type="pct"/>
            <w:tcBorders>
              <w:top w:val="nil"/>
              <w:left w:val="nil"/>
              <w:bottom w:val="single" w:color="auto" w:sz="4" w:space="0"/>
              <w:right w:val="single" w:color="auto" w:sz="4" w:space="0"/>
            </w:tcBorders>
            <w:noWrap w:val="0"/>
            <w:vAlign w:val="center"/>
          </w:tcPr>
          <w:p w14:paraId="3A027E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09EA84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6619A1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5491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0CE9EE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717" w:type="pct"/>
            <w:tcBorders>
              <w:top w:val="nil"/>
              <w:left w:val="nil"/>
              <w:bottom w:val="single" w:color="auto" w:sz="4" w:space="0"/>
              <w:right w:val="single" w:color="auto" w:sz="4" w:space="0"/>
            </w:tcBorders>
            <w:noWrap w:val="0"/>
            <w:vAlign w:val="center"/>
          </w:tcPr>
          <w:p w14:paraId="506879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研发预演系统</w:t>
            </w:r>
          </w:p>
        </w:tc>
        <w:tc>
          <w:tcPr>
            <w:tcW w:w="496" w:type="pct"/>
            <w:tcBorders>
              <w:top w:val="nil"/>
              <w:left w:val="nil"/>
              <w:bottom w:val="single" w:color="auto" w:sz="4" w:space="0"/>
              <w:right w:val="single" w:color="auto" w:sz="4" w:space="0"/>
            </w:tcBorders>
            <w:noWrap w:val="0"/>
            <w:vAlign w:val="center"/>
          </w:tcPr>
          <w:p w14:paraId="134E17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7F86C3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741A1F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410A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3D5C019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4.3.1</w:t>
            </w:r>
          </w:p>
        </w:tc>
        <w:tc>
          <w:tcPr>
            <w:tcW w:w="1717" w:type="pct"/>
            <w:tcBorders>
              <w:top w:val="nil"/>
              <w:left w:val="nil"/>
              <w:bottom w:val="single" w:color="auto" w:sz="4" w:space="0"/>
              <w:right w:val="single" w:color="auto" w:sz="4" w:space="0"/>
            </w:tcBorders>
            <w:noWrap w:val="0"/>
            <w:vAlign w:val="center"/>
          </w:tcPr>
          <w:p w14:paraId="15DB36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防洪调度预演</w:t>
            </w:r>
          </w:p>
        </w:tc>
        <w:tc>
          <w:tcPr>
            <w:tcW w:w="496" w:type="pct"/>
            <w:tcBorders>
              <w:top w:val="nil"/>
              <w:left w:val="nil"/>
              <w:bottom w:val="single" w:color="auto" w:sz="4" w:space="0"/>
              <w:right w:val="single" w:color="auto" w:sz="4" w:space="0"/>
            </w:tcBorders>
            <w:noWrap w:val="0"/>
            <w:vAlign w:val="center"/>
          </w:tcPr>
          <w:p w14:paraId="31113C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392218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2D8C527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w:t>
            </w:r>
          </w:p>
        </w:tc>
      </w:tr>
      <w:tr w14:paraId="05EE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019E8DD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4.3.2</w:t>
            </w:r>
          </w:p>
        </w:tc>
        <w:tc>
          <w:tcPr>
            <w:tcW w:w="1717" w:type="pct"/>
            <w:tcBorders>
              <w:top w:val="nil"/>
              <w:left w:val="nil"/>
              <w:bottom w:val="single" w:color="auto" w:sz="4" w:space="0"/>
              <w:right w:val="single" w:color="auto" w:sz="4" w:space="0"/>
            </w:tcBorders>
            <w:noWrap w:val="0"/>
            <w:vAlign w:val="center"/>
          </w:tcPr>
          <w:p w14:paraId="624F0D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洪水演进正向/反向预演</w:t>
            </w:r>
          </w:p>
        </w:tc>
        <w:tc>
          <w:tcPr>
            <w:tcW w:w="496" w:type="pct"/>
            <w:tcBorders>
              <w:top w:val="nil"/>
              <w:left w:val="nil"/>
              <w:bottom w:val="single" w:color="auto" w:sz="4" w:space="0"/>
              <w:right w:val="single" w:color="auto" w:sz="4" w:space="0"/>
            </w:tcBorders>
            <w:noWrap w:val="0"/>
            <w:vAlign w:val="center"/>
          </w:tcPr>
          <w:p w14:paraId="47D55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5A65C0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266B42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1DA4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38F838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17" w:type="pct"/>
            <w:tcBorders>
              <w:top w:val="nil"/>
              <w:left w:val="nil"/>
              <w:bottom w:val="single" w:color="auto" w:sz="4" w:space="0"/>
              <w:right w:val="single" w:color="auto" w:sz="4" w:space="0"/>
            </w:tcBorders>
            <w:noWrap w:val="0"/>
            <w:vAlign w:val="center"/>
          </w:tcPr>
          <w:p w14:paraId="2051E3B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预案</w:t>
            </w:r>
          </w:p>
        </w:tc>
        <w:tc>
          <w:tcPr>
            <w:tcW w:w="496" w:type="pct"/>
            <w:tcBorders>
              <w:top w:val="nil"/>
              <w:left w:val="nil"/>
              <w:bottom w:val="single" w:color="auto" w:sz="4" w:space="0"/>
              <w:right w:val="single" w:color="auto" w:sz="4" w:space="0"/>
            </w:tcBorders>
            <w:noWrap w:val="0"/>
            <w:vAlign w:val="center"/>
          </w:tcPr>
          <w:p w14:paraId="2AD180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27CA6C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6E5348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618C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nil"/>
              <w:left w:val="single" w:color="auto" w:sz="4" w:space="0"/>
              <w:bottom w:val="single" w:color="auto" w:sz="4" w:space="0"/>
              <w:right w:val="single" w:color="auto" w:sz="4" w:space="0"/>
            </w:tcBorders>
            <w:noWrap w:val="0"/>
            <w:vAlign w:val="center"/>
          </w:tcPr>
          <w:p w14:paraId="76A4A4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717" w:type="pct"/>
            <w:tcBorders>
              <w:top w:val="nil"/>
              <w:left w:val="nil"/>
              <w:bottom w:val="single" w:color="auto" w:sz="4" w:space="0"/>
              <w:right w:val="single" w:color="auto" w:sz="4" w:space="0"/>
            </w:tcBorders>
            <w:noWrap w:val="0"/>
            <w:vAlign w:val="center"/>
          </w:tcPr>
          <w:p w14:paraId="48571A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应急预案数字化</w:t>
            </w:r>
          </w:p>
        </w:tc>
        <w:tc>
          <w:tcPr>
            <w:tcW w:w="496" w:type="pct"/>
            <w:tcBorders>
              <w:top w:val="nil"/>
              <w:left w:val="nil"/>
              <w:bottom w:val="single" w:color="auto" w:sz="4" w:space="0"/>
              <w:right w:val="single" w:color="auto" w:sz="4" w:space="0"/>
            </w:tcBorders>
            <w:noWrap w:val="0"/>
            <w:vAlign w:val="center"/>
          </w:tcPr>
          <w:p w14:paraId="0DF9F4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496" w:type="pct"/>
            <w:tcBorders>
              <w:top w:val="nil"/>
              <w:left w:val="nil"/>
              <w:bottom w:val="single" w:color="auto" w:sz="4" w:space="0"/>
              <w:right w:val="single" w:color="auto" w:sz="4" w:space="0"/>
            </w:tcBorders>
            <w:noWrap w:val="0"/>
            <w:vAlign w:val="center"/>
          </w:tcPr>
          <w:p w14:paraId="1FD415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c>
          <w:tcPr>
            <w:tcW w:w="1726" w:type="pct"/>
            <w:tcBorders>
              <w:top w:val="nil"/>
              <w:left w:val="nil"/>
              <w:bottom w:val="single" w:color="auto" w:sz="4" w:space="0"/>
              <w:right w:val="single" w:color="auto" w:sz="4" w:space="0"/>
            </w:tcBorders>
            <w:noWrap w:val="0"/>
            <w:vAlign w:val="center"/>
          </w:tcPr>
          <w:p w14:paraId="2007D4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2047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3" w:type="pct"/>
            <w:tcBorders>
              <w:top w:val="nil"/>
              <w:left w:val="single" w:color="auto" w:sz="4" w:space="0"/>
              <w:bottom w:val="single" w:color="auto" w:sz="4" w:space="0"/>
              <w:right w:val="single" w:color="auto" w:sz="4" w:space="0"/>
            </w:tcBorders>
            <w:noWrap w:val="0"/>
            <w:vAlign w:val="center"/>
          </w:tcPr>
          <w:p w14:paraId="7E679C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5.1.1</w:t>
            </w:r>
          </w:p>
        </w:tc>
        <w:tc>
          <w:tcPr>
            <w:tcW w:w="1717" w:type="pct"/>
            <w:tcBorders>
              <w:top w:val="nil"/>
              <w:left w:val="nil"/>
              <w:bottom w:val="single" w:color="auto" w:sz="4" w:space="0"/>
              <w:right w:val="single" w:color="auto" w:sz="4" w:space="0"/>
            </w:tcBorders>
            <w:noWrap w:val="0"/>
            <w:vAlign w:val="center"/>
          </w:tcPr>
          <w:p w14:paraId="6A061C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预案生成管理</w:t>
            </w:r>
          </w:p>
        </w:tc>
        <w:tc>
          <w:tcPr>
            <w:tcW w:w="496" w:type="pct"/>
            <w:tcBorders>
              <w:top w:val="nil"/>
              <w:left w:val="nil"/>
              <w:bottom w:val="single" w:color="auto" w:sz="4" w:space="0"/>
              <w:right w:val="single" w:color="auto" w:sz="4" w:space="0"/>
            </w:tcBorders>
            <w:noWrap w:val="0"/>
            <w:vAlign w:val="center"/>
          </w:tcPr>
          <w:p w14:paraId="7F235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7F924E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0375CC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人员及社会经济热力图分析，疏散路线分析，人员安置分析，专家支持分析，抢险队伍分工分析，物资情况分析</w:t>
            </w:r>
          </w:p>
        </w:tc>
      </w:tr>
      <w:tr w14:paraId="27DC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3" w:type="pct"/>
            <w:tcBorders>
              <w:top w:val="nil"/>
              <w:left w:val="single" w:color="auto" w:sz="4" w:space="0"/>
              <w:bottom w:val="single" w:color="auto" w:sz="4" w:space="0"/>
              <w:right w:val="single" w:color="auto" w:sz="4" w:space="0"/>
            </w:tcBorders>
            <w:noWrap w:val="0"/>
            <w:vAlign w:val="center"/>
          </w:tcPr>
          <w:p w14:paraId="7AA019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w:t>
            </w:r>
          </w:p>
        </w:tc>
        <w:tc>
          <w:tcPr>
            <w:tcW w:w="1717" w:type="pct"/>
            <w:tcBorders>
              <w:top w:val="nil"/>
              <w:left w:val="nil"/>
              <w:bottom w:val="single" w:color="auto" w:sz="4" w:space="0"/>
              <w:right w:val="single" w:color="auto" w:sz="4" w:space="0"/>
            </w:tcBorders>
            <w:noWrap w:val="0"/>
            <w:vAlign w:val="center"/>
          </w:tcPr>
          <w:p w14:paraId="6B7A48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预案结构化管理</w:t>
            </w:r>
          </w:p>
        </w:tc>
        <w:tc>
          <w:tcPr>
            <w:tcW w:w="496" w:type="pct"/>
            <w:tcBorders>
              <w:top w:val="nil"/>
              <w:left w:val="nil"/>
              <w:bottom w:val="single" w:color="auto" w:sz="4" w:space="0"/>
              <w:right w:val="single" w:color="auto" w:sz="4" w:space="0"/>
            </w:tcBorders>
            <w:noWrap w:val="0"/>
            <w:vAlign w:val="center"/>
          </w:tcPr>
          <w:p w14:paraId="2CBCF9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224F92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368CBB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将应急组织、应急流程、应急处置方式等内容可视化、数字化，组织架构可视化，通过对预案内容的拆解、分析，掌握预案基本知识架构</w:t>
            </w:r>
          </w:p>
        </w:tc>
      </w:tr>
      <w:tr w14:paraId="0632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3" w:type="pct"/>
            <w:tcBorders>
              <w:top w:val="nil"/>
              <w:left w:val="single" w:color="auto" w:sz="4" w:space="0"/>
              <w:bottom w:val="single" w:color="auto" w:sz="4" w:space="0"/>
              <w:right w:val="single" w:color="auto" w:sz="4" w:space="0"/>
            </w:tcBorders>
            <w:noWrap w:val="0"/>
            <w:vAlign w:val="center"/>
          </w:tcPr>
          <w:p w14:paraId="2C8B2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5.1.3</w:t>
            </w:r>
          </w:p>
        </w:tc>
        <w:tc>
          <w:tcPr>
            <w:tcW w:w="1717" w:type="pct"/>
            <w:tcBorders>
              <w:top w:val="nil"/>
              <w:left w:val="nil"/>
              <w:bottom w:val="single" w:color="auto" w:sz="4" w:space="0"/>
              <w:right w:val="single" w:color="auto" w:sz="4" w:space="0"/>
            </w:tcBorders>
            <w:noWrap w:val="0"/>
            <w:vAlign w:val="center"/>
          </w:tcPr>
          <w:p w14:paraId="512EE8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预案执行管理</w:t>
            </w:r>
          </w:p>
        </w:tc>
        <w:tc>
          <w:tcPr>
            <w:tcW w:w="496" w:type="pct"/>
            <w:tcBorders>
              <w:top w:val="nil"/>
              <w:left w:val="nil"/>
              <w:bottom w:val="single" w:color="auto" w:sz="4" w:space="0"/>
              <w:right w:val="single" w:color="auto" w:sz="4" w:space="0"/>
            </w:tcBorders>
            <w:noWrap w:val="0"/>
            <w:vAlign w:val="center"/>
          </w:tcPr>
          <w:p w14:paraId="7EAFF7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101A0B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46BC84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预案执行管理实现应急过程中指令执行情况、人员物资调度情况等各类信息的反馈记录</w:t>
            </w:r>
          </w:p>
        </w:tc>
      </w:tr>
      <w:tr w14:paraId="2144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3" w:type="pct"/>
            <w:tcBorders>
              <w:top w:val="nil"/>
              <w:left w:val="single" w:color="auto" w:sz="4" w:space="0"/>
              <w:bottom w:val="single" w:color="auto" w:sz="4" w:space="0"/>
              <w:right w:val="single" w:color="auto" w:sz="4" w:space="0"/>
            </w:tcBorders>
            <w:noWrap w:val="0"/>
            <w:vAlign w:val="center"/>
          </w:tcPr>
          <w:p w14:paraId="6340C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717" w:type="pct"/>
            <w:tcBorders>
              <w:top w:val="nil"/>
              <w:left w:val="nil"/>
              <w:bottom w:val="single" w:color="auto" w:sz="4" w:space="0"/>
              <w:right w:val="single" w:color="auto" w:sz="4" w:space="0"/>
            </w:tcBorders>
            <w:noWrap w:val="0"/>
            <w:vAlign w:val="center"/>
          </w:tcPr>
          <w:p w14:paraId="54FD11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应急预案迭代优化</w:t>
            </w:r>
          </w:p>
        </w:tc>
        <w:tc>
          <w:tcPr>
            <w:tcW w:w="496" w:type="pct"/>
            <w:tcBorders>
              <w:top w:val="nil"/>
              <w:left w:val="nil"/>
              <w:bottom w:val="single" w:color="auto" w:sz="4" w:space="0"/>
              <w:right w:val="single" w:color="auto" w:sz="4" w:space="0"/>
            </w:tcBorders>
            <w:noWrap w:val="0"/>
            <w:vAlign w:val="center"/>
          </w:tcPr>
          <w:p w14:paraId="2D6947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nil"/>
              <w:left w:val="nil"/>
              <w:bottom w:val="single" w:color="auto" w:sz="4" w:space="0"/>
              <w:right w:val="single" w:color="auto" w:sz="4" w:space="0"/>
            </w:tcBorders>
            <w:noWrap w:val="0"/>
            <w:vAlign w:val="center"/>
          </w:tcPr>
          <w:p w14:paraId="10E68A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nil"/>
              <w:left w:val="nil"/>
              <w:bottom w:val="single" w:color="auto" w:sz="4" w:space="0"/>
              <w:right w:val="single" w:color="auto" w:sz="4" w:space="0"/>
            </w:tcBorders>
            <w:noWrap w:val="0"/>
            <w:vAlign w:val="center"/>
          </w:tcPr>
          <w:p w14:paraId="72BF04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结合预案知识、灾后评价分析等成果，对预案执行结果进行评估分析，形成预案生成-预案执行-预案分析-预案优化的闭环管理</w:t>
            </w:r>
          </w:p>
        </w:tc>
      </w:tr>
      <w:tr w14:paraId="15EE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single" w:color="auto" w:sz="4" w:space="0"/>
              <w:left w:val="single" w:color="auto" w:sz="4" w:space="0"/>
              <w:bottom w:val="single" w:color="auto" w:sz="4" w:space="0"/>
              <w:right w:val="single" w:color="auto" w:sz="4" w:space="0"/>
            </w:tcBorders>
            <w:noWrap w:val="0"/>
            <w:vAlign w:val="center"/>
          </w:tcPr>
          <w:p w14:paraId="25C1FC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17" w:type="pct"/>
            <w:tcBorders>
              <w:top w:val="single" w:color="auto" w:sz="4" w:space="0"/>
              <w:left w:val="single" w:color="auto" w:sz="4" w:space="0"/>
              <w:bottom w:val="single" w:color="auto" w:sz="4" w:space="0"/>
              <w:right w:val="single" w:color="auto" w:sz="4" w:space="0"/>
            </w:tcBorders>
            <w:noWrap w:val="0"/>
            <w:vAlign w:val="center"/>
          </w:tcPr>
          <w:p w14:paraId="5B5E0353">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龙河口水库防洪效益评价报告</w:t>
            </w:r>
          </w:p>
        </w:tc>
        <w:tc>
          <w:tcPr>
            <w:tcW w:w="496" w:type="pct"/>
            <w:tcBorders>
              <w:top w:val="single" w:color="auto" w:sz="4" w:space="0"/>
              <w:left w:val="single" w:color="auto" w:sz="4" w:space="0"/>
              <w:bottom w:val="single" w:color="auto" w:sz="4" w:space="0"/>
              <w:right w:val="single" w:color="auto" w:sz="4" w:space="0"/>
            </w:tcBorders>
            <w:noWrap w:val="0"/>
            <w:vAlign w:val="center"/>
          </w:tcPr>
          <w:p w14:paraId="208FCA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single" w:color="auto" w:sz="4" w:space="0"/>
              <w:left w:val="single" w:color="auto" w:sz="4" w:space="0"/>
              <w:bottom w:val="single" w:color="auto" w:sz="4" w:space="0"/>
              <w:right w:val="single" w:color="auto" w:sz="4" w:space="0"/>
            </w:tcBorders>
            <w:noWrap w:val="0"/>
            <w:vAlign w:val="center"/>
          </w:tcPr>
          <w:p w14:paraId="3C2C87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single" w:color="auto" w:sz="4" w:space="0"/>
              <w:left w:val="single" w:color="auto" w:sz="4" w:space="0"/>
              <w:bottom w:val="single" w:color="auto" w:sz="4" w:space="0"/>
              <w:right w:val="single" w:color="auto" w:sz="4" w:space="0"/>
            </w:tcBorders>
            <w:noWrap w:val="0"/>
            <w:vAlign w:val="center"/>
          </w:tcPr>
          <w:p w14:paraId="2DA7AB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w:t>
            </w:r>
          </w:p>
        </w:tc>
      </w:tr>
      <w:tr w14:paraId="01C5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pct"/>
            <w:tcBorders>
              <w:top w:val="single" w:color="auto" w:sz="4" w:space="0"/>
              <w:left w:val="single" w:color="auto" w:sz="4" w:space="0"/>
              <w:bottom w:val="single" w:color="auto" w:sz="4" w:space="0"/>
              <w:right w:val="single" w:color="auto" w:sz="4" w:space="0"/>
            </w:tcBorders>
            <w:noWrap w:val="0"/>
            <w:vAlign w:val="center"/>
          </w:tcPr>
          <w:p w14:paraId="34E79A3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717" w:type="pct"/>
            <w:tcBorders>
              <w:top w:val="single" w:color="auto" w:sz="4" w:space="0"/>
              <w:left w:val="single" w:color="auto" w:sz="4" w:space="0"/>
              <w:bottom w:val="single" w:color="auto" w:sz="4" w:space="0"/>
              <w:right w:val="single" w:color="auto" w:sz="4" w:space="0"/>
            </w:tcBorders>
            <w:noWrap w:val="0"/>
            <w:vAlign w:val="center"/>
          </w:tcPr>
          <w:p w14:paraId="1ECD034C">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龙河口水库灌溉效益评价报告</w:t>
            </w:r>
          </w:p>
        </w:tc>
        <w:tc>
          <w:tcPr>
            <w:tcW w:w="496" w:type="pct"/>
            <w:tcBorders>
              <w:top w:val="single" w:color="auto" w:sz="4" w:space="0"/>
              <w:left w:val="single" w:color="auto" w:sz="4" w:space="0"/>
              <w:bottom w:val="single" w:color="auto" w:sz="4" w:space="0"/>
              <w:right w:val="single" w:color="auto" w:sz="4" w:space="0"/>
            </w:tcBorders>
            <w:noWrap w:val="0"/>
            <w:vAlign w:val="center"/>
          </w:tcPr>
          <w:p w14:paraId="7439C2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496" w:type="pct"/>
            <w:tcBorders>
              <w:top w:val="single" w:color="auto" w:sz="4" w:space="0"/>
              <w:left w:val="single" w:color="auto" w:sz="4" w:space="0"/>
              <w:bottom w:val="single" w:color="auto" w:sz="4" w:space="0"/>
              <w:right w:val="single" w:color="auto" w:sz="4" w:space="0"/>
            </w:tcBorders>
            <w:noWrap w:val="0"/>
            <w:vAlign w:val="center"/>
          </w:tcPr>
          <w:p w14:paraId="4DC796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726" w:type="pct"/>
            <w:tcBorders>
              <w:top w:val="single" w:color="auto" w:sz="4" w:space="0"/>
              <w:left w:val="single" w:color="auto" w:sz="4" w:space="0"/>
              <w:bottom w:val="single" w:color="auto" w:sz="4" w:space="0"/>
              <w:right w:val="single" w:color="auto" w:sz="4" w:space="0"/>
            </w:tcBorders>
            <w:noWrap w:val="0"/>
            <w:vAlign w:val="center"/>
          </w:tcPr>
          <w:p w14:paraId="61C440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7B84A5CC">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p>
    <w:p w14:paraId="72B7F23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2、报价要求</w:t>
      </w:r>
    </w:p>
    <w:p w14:paraId="7B58EFAA">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（1）供应商最后报价均不得高于磋商文件（公告）列明的项目最高限价，否则其响应文件将被认定为响应无效。</w:t>
      </w:r>
    </w:p>
    <w:p w14:paraId="4E2006C7">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2）供应商报价的全费用综合单价和总价中包含依据采购需求、有关技术标准规定，完成本项目所需的一切工作内容而发生的所有直接费用、间接费用、其它费用、税金等全部费用和利润以及应由成交供应商承担的义务、责任和风险所发生的一切费用。</w:t>
      </w:r>
    </w:p>
    <w:p w14:paraId="1F5BE08F">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（3）成交供应商必须自行配置为保证工程质量等所需要的各类材料、工具、设备设施所需费用含在供应商报价中。</w:t>
      </w:r>
    </w:p>
    <w:p w14:paraId="4D2B629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（4）服务过程中发生的消耗性材料、易损件、低值易耗品、燃油等费用均含在供应商报价的单价和总价中。</w:t>
      </w:r>
    </w:p>
    <w:p w14:paraId="4A5D4A5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5）清单中的数量为采购人根据现场情况估算，实际规格型号和数量可能存在偏差，供应商须自行踏勘现场，充分了解项目情况及施工现场情况，根据现场踏勘情况自行填报价格，所填报价格须包含采购范围内所有内容，供应商成交后综合单价不予调整，供应商应充分考虑上述风险。</w:t>
      </w:r>
    </w:p>
    <w:p w14:paraId="500E4A5D">
      <w:pPr>
        <w:pStyle w:val="4"/>
        <w:rPr>
          <w:rFonts w:hint="eastAsia"/>
          <w:color w:val="auto"/>
          <w:highlight w:val="none"/>
        </w:rPr>
      </w:pPr>
      <w:r>
        <w:rPr>
          <w:rFonts w:hint="eastAsia"/>
          <w:color w:val="auto"/>
          <w:highlight w:val="none"/>
        </w:rPr>
        <w:t>五、其他要求</w:t>
      </w:r>
    </w:p>
    <w:p w14:paraId="14D3CCAF">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1、本项目生产源数据及成果资料可能存在涉密，成交供应商应有完善的保密机制，对所有的生产资料不得外泄。</w:t>
      </w:r>
    </w:p>
    <w:p w14:paraId="4B6AA8D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rPr>
        <w:t>2、本项目涉及野外作业，成交供应商须有完善的安全作业机制，在项目实施中须按照相关安全、保密措</w:t>
      </w:r>
      <w:r>
        <w:rPr>
          <w:rFonts w:hint="eastAsia" w:ascii="仿宋" w:hAnsi="仿宋" w:eastAsia="仿宋" w:cs="Arial"/>
          <w:snapToGrid w:val="0"/>
          <w:color w:val="auto"/>
          <w:kern w:val="0"/>
          <w:sz w:val="24"/>
          <w:highlight w:val="none"/>
          <w:lang w:val="en-US" w:eastAsia="zh-CN"/>
        </w:rPr>
        <w:t>施执行。</w:t>
      </w:r>
    </w:p>
    <w:p w14:paraId="558B8DE5">
      <w:pPr>
        <w:widowControl/>
        <w:kinsoku w:val="0"/>
        <w:autoSpaceDE w:val="0"/>
        <w:autoSpaceDN w:val="0"/>
        <w:adjustRightInd w:val="0"/>
        <w:snapToGrid w:val="0"/>
        <w:spacing w:line="360" w:lineRule="auto"/>
        <w:ind w:firstLine="480" w:firstLineChars="200"/>
        <w:textAlignment w:val="baseline"/>
        <w:rPr>
          <w:rFonts w:hint="eastAsia"/>
          <w:color w:val="auto"/>
          <w:highlight w:val="none"/>
          <w:lang w:val="en-US" w:eastAsia="zh-CN"/>
        </w:rPr>
      </w:pPr>
      <w:r>
        <w:rPr>
          <w:rFonts w:hint="eastAsia" w:ascii="仿宋" w:hAnsi="仿宋" w:eastAsia="仿宋" w:cs="宋体"/>
          <w:snapToGrid w:val="0"/>
          <w:color w:val="auto"/>
          <w:kern w:val="0"/>
          <w:sz w:val="24"/>
          <w:highlight w:val="none"/>
          <w:lang w:val="en-US" w:eastAsia="zh-CN"/>
        </w:rPr>
        <w:t>3、本项目实施前需编制实施方案，方案通过相关部门审查后方可实施。</w:t>
      </w:r>
    </w:p>
    <w:p w14:paraId="04BF274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4、为响应国家智慧水利建设总体部署，本项目建设成果须确保统一接入龙河口水库现代化运行管理矩阵平台。</w:t>
      </w:r>
    </w:p>
    <w:p w14:paraId="50BC4708">
      <w:pPr>
        <w:widowControl/>
        <w:kinsoku w:val="0"/>
        <w:autoSpaceDE w:val="0"/>
        <w:autoSpaceDN w:val="0"/>
        <w:adjustRightInd w:val="0"/>
        <w:snapToGrid w:val="0"/>
        <w:spacing w:line="360" w:lineRule="auto"/>
        <w:ind w:firstLine="480" w:firstLineChars="200"/>
        <w:jc w:val="left"/>
        <w:textAlignment w:val="baseline"/>
        <w:rPr>
          <w:rFonts w:hint="default"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5、成交供应商应保证所提供的产品和服务满足国产化适配要求。</w:t>
      </w:r>
    </w:p>
    <w:p w14:paraId="31AF6D1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6、质量保证措施</w:t>
      </w:r>
    </w:p>
    <w:p w14:paraId="6F978226">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在</w:t>
      </w:r>
      <w:r>
        <w:rPr>
          <w:rFonts w:hint="eastAsia" w:ascii="仿宋" w:hAnsi="仿宋" w:eastAsia="仿宋" w:cs="Arial"/>
          <w:snapToGrid w:val="0"/>
          <w:color w:val="auto"/>
          <w:kern w:val="0"/>
          <w:sz w:val="24"/>
          <w:highlight w:val="none"/>
        </w:rPr>
        <w:t>称重式降雨量测量仪和泄洪一体化智能视频广播预警施工前，</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应编制施工方案，报采购人批准后才能进行施工。施工时应与其他土建工程相结合，合理安排施工工序。</w:t>
      </w:r>
    </w:p>
    <w:p w14:paraId="1F4444D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2）软件开发需按照工作策划、需求分析、概要设计、界面设计、详细设计、编码和单元测试、系统集成和系统集成测试、系统测试、系统安装、软件维护和更正过程、用户培训、用户确认验收、项目总结、项目完成、系统维护、质量管理和软件质量保证过程等组成的‌软件总体实施流程推进开发工作，确保软件按照规划、按时交付。在不同的阶段要进行质量控制。</w:t>
      </w:r>
    </w:p>
    <w:p w14:paraId="5C12957C">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rPr>
        <w:t>针对各项检查中发现的问题，要及时进行处置，同时，整改要有监督、有验证。</w:t>
      </w:r>
    </w:p>
    <w:p w14:paraId="2B828A35">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4</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rPr>
        <w:t>指定各分项质量保证负责人，并经常进行全员的安全生产教育，强化质量意识，以确保为</w:t>
      </w:r>
      <w:r>
        <w:rPr>
          <w:rFonts w:hint="eastAsia" w:ascii="仿宋" w:hAnsi="仿宋" w:eastAsia="仿宋" w:cs="Arial"/>
          <w:snapToGrid w:val="0"/>
          <w:color w:val="auto"/>
          <w:kern w:val="0"/>
          <w:sz w:val="24"/>
          <w:highlight w:val="none"/>
          <w:lang w:eastAsia="zh-CN"/>
        </w:rPr>
        <w:t>采购人</w:t>
      </w:r>
      <w:r>
        <w:rPr>
          <w:rFonts w:hint="eastAsia" w:ascii="仿宋" w:hAnsi="仿宋" w:eastAsia="仿宋" w:cs="Arial"/>
          <w:snapToGrid w:val="0"/>
          <w:color w:val="auto"/>
          <w:kern w:val="0"/>
          <w:sz w:val="24"/>
          <w:highlight w:val="none"/>
        </w:rPr>
        <w:t>提供合格的成果。</w:t>
      </w:r>
    </w:p>
    <w:p w14:paraId="726817E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7、作业</w:t>
      </w:r>
      <w:r>
        <w:rPr>
          <w:rFonts w:hint="eastAsia" w:ascii="仿宋" w:hAnsi="仿宋" w:eastAsia="仿宋" w:cs="Arial"/>
          <w:snapToGrid w:val="0"/>
          <w:color w:val="auto"/>
          <w:kern w:val="0"/>
          <w:sz w:val="24"/>
          <w:highlight w:val="none"/>
        </w:rPr>
        <w:t>安全措施</w:t>
      </w:r>
    </w:p>
    <w:p w14:paraId="7740A998">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应按本合同的有关规定履行其安全保护职责。</w:t>
      </w:r>
    </w:p>
    <w:p w14:paraId="4F9D373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必须遵守国家颁布的有关安全规程。若</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责任区内发生安全事故时，</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应立即按相关安全生产事故应急预案要求进行抢险并通报</w:t>
      </w:r>
      <w:r>
        <w:rPr>
          <w:rFonts w:hint="eastAsia" w:ascii="仿宋" w:hAnsi="仿宋" w:eastAsia="仿宋" w:cs="Arial"/>
          <w:snapToGrid w:val="0"/>
          <w:color w:val="auto"/>
          <w:kern w:val="0"/>
          <w:sz w:val="24"/>
          <w:highlight w:val="none"/>
          <w:lang w:eastAsia="zh-CN"/>
        </w:rPr>
        <w:t>采购人</w:t>
      </w:r>
      <w:r>
        <w:rPr>
          <w:rFonts w:hint="eastAsia" w:ascii="仿宋" w:hAnsi="仿宋" w:eastAsia="仿宋" w:cs="Arial"/>
          <w:snapToGrid w:val="0"/>
          <w:color w:val="auto"/>
          <w:kern w:val="0"/>
          <w:sz w:val="24"/>
          <w:highlight w:val="none"/>
        </w:rPr>
        <w:t>。</w:t>
      </w:r>
    </w:p>
    <w:p w14:paraId="6DAD447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应加强对危险作业的安全检查，建立专门检查机构，配备专职的安检人员。</w:t>
      </w:r>
    </w:p>
    <w:p w14:paraId="4F226B46">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4</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应按照国家劳动保护法的规定，定期发给在现场作业的工作人员必需的劳动保护用品，如安全帽、水鞋、雨衣、手套、手灯、防护面具和安全带等。</w:t>
      </w:r>
    </w:p>
    <w:p w14:paraId="3674F877">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5</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应根据国家相关部门发布的水情和气象预报，做好洪水和气象灾害的防护工作。一旦发现有可能危及人身财产安全的洪水和气象灾害的预兆时，</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应立即采取有效的防洪和防灾措施，以确保人员、财产的安全。</w:t>
      </w:r>
    </w:p>
    <w:p w14:paraId="2137678C">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8、</w:t>
      </w:r>
      <w:r>
        <w:rPr>
          <w:rFonts w:hint="eastAsia" w:ascii="仿宋" w:hAnsi="仿宋" w:eastAsia="仿宋" w:cs="Arial"/>
          <w:snapToGrid w:val="0"/>
          <w:color w:val="auto"/>
          <w:kern w:val="0"/>
          <w:sz w:val="24"/>
          <w:highlight w:val="none"/>
        </w:rPr>
        <w:t>文明、环保措施</w:t>
      </w:r>
    </w:p>
    <w:p w14:paraId="66EE9695">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当贯彻执行“安全第一、预防为主、综合治理”的方针，严格执行国家、行业相关安全规定及采购人相关安全管理制度，全面负责本项目范围内实施过程中的安全文明、环境保护、工业卫生等的管理工作，确保不发生人身及设备事故。</w:t>
      </w:r>
    </w:p>
    <w:p w14:paraId="226719C6">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应明确各级安全职责和安全控制重点，建立完整的安全保证体系和监督体系，制定完善的安全文明施工管理制度，并严格执行。</w:t>
      </w:r>
    </w:p>
    <w:p w14:paraId="11BB6EE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rPr>
        <w:t>项目实施过程中，采购人有权对安全文明工作进行检查，有权对不规范的作业提出改进意见和考核，</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应遵照执行。</w:t>
      </w:r>
    </w:p>
    <w:p w14:paraId="60537BE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9、</w:t>
      </w:r>
      <w:r>
        <w:rPr>
          <w:rFonts w:hint="eastAsia" w:ascii="仿宋" w:hAnsi="仿宋" w:eastAsia="仿宋" w:cs="Arial"/>
          <w:snapToGrid w:val="0"/>
          <w:color w:val="auto"/>
          <w:kern w:val="0"/>
          <w:sz w:val="24"/>
          <w:highlight w:val="none"/>
        </w:rPr>
        <w:t>验收</w:t>
      </w:r>
    </w:p>
    <w:p w14:paraId="24D15A47">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rPr>
        <w:t>在完工验收之前，</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应根据采购人要求对采购人各个项目中的子环节进行检查。对于未达到采购人要求的</w:t>
      </w:r>
      <w:r>
        <w:rPr>
          <w:rFonts w:hint="eastAsia" w:ascii="仿宋" w:hAnsi="仿宋" w:eastAsia="仿宋" w:cs="Arial"/>
          <w:snapToGrid w:val="0"/>
          <w:color w:val="auto"/>
          <w:kern w:val="0"/>
          <w:sz w:val="24"/>
          <w:highlight w:val="none"/>
          <w:lang w:val="en-US" w:eastAsia="zh-CN"/>
        </w:rPr>
        <w:t>成果</w:t>
      </w:r>
      <w:r>
        <w:rPr>
          <w:rFonts w:hint="eastAsia" w:ascii="仿宋" w:hAnsi="仿宋" w:eastAsia="仿宋" w:cs="Arial"/>
          <w:snapToGrid w:val="0"/>
          <w:color w:val="auto"/>
          <w:kern w:val="0"/>
          <w:sz w:val="24"/>
          <w:highlight w:val="none"/>
        </w:rPr>
        <w:t>，卖方应及时补充和修复，并向采购人申请再次鉴定，直至达到采购人的要求。</w:t>
      </w:r>
    </w:p>
    <w:p w14:paraId="725EA2B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rPr>
        <w:t>在成果移交时，</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应同时向采购人移交根据采购人批准的设备和材料及其档案资料，包括</w:t>
      </w:r>
      <w:r>
        <w:rPr>
          <w:rFonts w:hint="eastAsia" w:ascii="仿宋" w:hAnsi="仿宋" w:eastAsia="仿宋" w:cs="Arial"/>
          <w:snapToGrid w:val="0"/>
          <w:color w:val="auto"/>
          <w:kern w:val="0"/>
          <w:sz w:val="24"/>
          <w:highlight w:val="none"/>
          <w:lang w:val="en-US" w:eastAsia="zh-CN"/>
        </w:rPr>
        <w:t>合格证、需求规格说明书、概要设计、详细设计、水文数据</w:t>
      </w:r>
      <w:r>
        <w:rPr>
          <w:rFonts w:hint="eastAsia" w:ascii="仿宋" w:hAnsi="仿宋" w:eastAsia="仿宋" w:cs="Arial"/>
          <w:snapToGrid w:val="0"/>
          <w:color w:val="auto"/>
          <w:kern w:val="0"/>
          <w:sz w:val="24"/>
          <w:highlight w:val="none"/>
        </w:rPr>
        <w:t>等原资料，并以电子文件方式提供整理后的全部资料。所有资料不得随意扩散。</w:t>
      </w:r>
    </w:p>
    <w:p w14:paraId="5C024F5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向</w:t>
      </w:r>
      <w:r>
        <w:rPr>
          <w:rFonts w:hint="eastAsia" w:ascii="仿宋" w:hAnsi="仿宋" w:eastAsia="仿宋" w:cs="Arial"/>
          <w:snapToGrid w:val="0"/>
          <w:color w:val="auto"/>
          <w:kern w:val="0"/>
          <w:sz w:val="24"/>
          <w:highlight w:val="none"/>
          <w:lang w:eastAsia="zh-CN"/>
        </w:rPr>
        <w:t>采购人</w:t>
      </w:r>
      <w:r>
        <w:rPr>
          <w:rFonts w:hint="eastAsia" w:ascii="仿宋" w:hAnsi="仿宋" w:eastAsia="仿宋" w:cs="Arial"/>
          <w:snapToGrid w:val="0"/>
          <w:color w:val="auto"/>
          <w:kern w:val="0"/>
          <w:sz w:val="24"/>
          <w:highlight w:val="none"/>
        </w:rPr>
        <w:t>提供或移交的验收或竣工资料的费用均包括在承包工程的工程款中，买方不另行支付费用。</w:t>
      </w:r>
    </w:p>
    <w:p w14:paraId="2F9684A2">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10、</w:t>
      </w:r>
      <w:r>
        <w:rPr>
          <w:rFonts w:hint="eastAsia" w:ascii="仿宋" w:hAnsi="仿宋" w:eastAsia="仿宋" w:cs="Arial"/>
          <w:snapToGrid w:val="0"/>
          <w:color w:val="auto"/>
          <w:kern w:val="0"/>
          <w:sz w:val="24"/>
          <w:highlight w:val="none"/>
        </w:rPr>
        <w:t>计量与支付</w:t>
      </w:r>
    </w:p>
    <w:p w14:paraId="5FA8A4BB">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1）工程量以工程量报价清单中的计量单位计量，按工程量报价清单中所报的单价和</w:t>
      </w:r>
      <w:r>
        <w:rPr>
          <w:rFonts w:hint="eastAsia" w:ascii="仿宋" w:hAnsi="仿宋" w:eastAsia="仿宋" w:cs="Arial"/>
          <w:snapToGrid w:val="0"/>
          <w:color w:val="auto"/>
          <w:kern w:val="0"/>
          <w:sz w:val="24"/>
          <w:highlight w:val="none"/>
          <w:lang w:eastAsia="zh-CN"/>
        </w:rPr>
        <w:t>采购人</w:t>
      </w:r>
      <w:r>
        <w:rPr>
          <w:rFonts w:hint="eastAsia" w:ascii="仿宋" w:hAnsi="仿宋" w:eastAsia="仿宋" w:cs="Arial"/>
          <w:snapToGrid w:val="0"/>
          <w:color w:val="auto"/>
          <w:kern w:val="0"/>
          <w:sz w:val="24"/>
          <w:highlight w:val="none"/>
        </w:rPr>
        <w:t>认可的工程量进行支付。任何工程量报价清单中未列出的辅助项目费用均视为已包含在工程量报价清单所明列的单价中。</w:t>
      </w:r>
    </w:p>
    <w:p w14:paraId="5DD61DA1">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2）工程量由</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计算，由采购人审核。工程量计算的副本应提交采购人。采购人有权检查工程量计算有关资料的记录原本。</w:t>
      </w:r>
    </w:p>
    <w:p w14:paraId="1A7B6DD1">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3）在施工过程中及保修责任期内，因</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的责任而损坏的仪器设备的修复不予计量和支付。</w:t>
      </w:r>
    </w:p>
    <w:p w14:paraId="6A2862A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4）本合同规定由</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提供的文件、图纸、报告、数据电子文件等均包括在合同范围内，不单独支付费用。</w:t>
      </w:r>
    </w:p>
    <w:p w14:paraId="583EB9B5">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bookmarkStart w:id="5" w:name="_Toc146026745"/>
      <w:r>
        <w:rPr>
          <w:rFonts w:hint="eastAsia" w:ascii="仿宋" w:hAnsi="仿宋" w:eastAsia="仿宋" w:cs="Arial"/>
          <w:snapToGrid w:val="0"/>
          <w:color w:val="auto"/>
          <w:kern w:val="0"/>
          <w:sz w:val="24"/>
          <w:highlight w:val="none"/>
          <w:lang w:val="en-US" w:eastAsia="zh-CN"/>
        </w:rPr>
        <w:t>11、培训</w:t>
      </w:r>
      <w:bookmarkEnd w:id="5"/>
      <w:r>
        <w:rPr>
          <w:rFonts w:hint="eastAsia" w:ascii="仿宋" w:hAnsi="仿宋" w:eastAsia="仿宋" w:cs="Arial"/>
          <w:snapToGrid w:val="0"/>
          <w:color w:val="auto"/>
          <w:kern w:val="0"/>
          <w:sz w:val="24"/>
          <w:highlight w:val="none"/>
          <w:lang w:val="en-US" w:eastAsia="zh-CN"/>
        </w:rPr>
        <w:t>要求</w:t>
      </w:r>
    </w:p>
    <w:p w14:paraId="401971C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rPr>
        <w:t>培训对象与内容</w:t>
      </w:r>
    </w:p>
    <w:p w14:paraId="126DB0C4">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应对采购人的相关人员进行培训，实现依据本合同所规定的系统服务的目标和功能。培训的相关费用已包含在本合同价款中。</w:t>
      </w:r>
    </w:p>
    <w:p w14:paraId="68831006">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中标人应负责采购人技术人员和管理人员的技术培训，培训内容包括以下几个方面：</w:t>
      </w:r>
    </w:p>
    <w:p w14:paraId="498A8C4A">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1）现场培训，操作维护培训可在用户现场进行，由</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指派有经验的工程师完成（不少于2人天）。</w:t>
      </w:r>
    </w:p>
    <w:p w14:paraId="12AB664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2）操作维护培训和高级培训应包括所提供设备的原理和技术性能、操作维护方法、安装调测、排除故障及软件结构、定制和升级等各个方面。</w:t>
      </w:r>
    </w:p>
    <w:p w14:paraId="3374547F">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rPr>
        <w:t>培训目标</w:t>
      </w:r>
    </w:p>
    <w:p w14:paraId="7A4A0A1C">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通过培训，使受培训人员能独立掌握系统的配置、故障诊断、维护管理等技术，使之能适应系统正常运行的需求。</w:t>
      </w:r>
    </w:p>
    <w:p w14:paraId="57634331">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rPr>
        <w:t>培训地点</w:t>
      </w:r>
    </w:p>
    <w:p w14:paraId="2EF9188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现场培训：</w:t>
      </w:r>
      <w:r>
        <w:rPr>
          <w:rFonts w:hint="eastAsia" w:ascii="仿宋" w:hAnsi="仿宋" w:eastAsia="仿宋" w:cs="Arial"/>
          <w:snapToGrid w:val="0"/>
          <w:color w:val="auto"/>
          <w:kern w:val="0"/>
          <w:sz w:val="24"/>
          <w:highlight w:val="none"/>
          <w:lang w:val="en-US" w:eastAsia="zh-CN"/>
        </w:rPr>
        <w:t>龙河口水库</w:t>
      </w:r>
      <w:r>
        <w:rPr>
          <w:rFonts w:hint="eastAsia" w:ascii="仿宋" w:hAnsi="仿宋" w:eastAsia="仿宋" w:cs="Arial"/>
          <w:snapToGrid w:val="0"/>
          <w:color w:val="auto"/>
          <w:kern w:val="0"/>
          <w:sz w:val="24"/>
          <w:highlight w:val="none"/>
        </w:rPr>
        <w:t>。</w:t>
      </w:r>
    </w:p>
    <w:p w14:paraId="2DBF3D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34D40"/>
    <w:rsid w:val="01CF3131"/>
    <w:rsid w:val="02EB4369"/>
    <w:rsid w:val="128357DA"/>
    <w:rsid w:val="12F54353"/>
    <w:rsid w:val="13BF1F9F"/>
    <w:rsid w:val="1BF8711B"/>
    <w:rsid w:val="23B57DCF"/>
    <w:rsid w:val="2BC02859"/>
    <w:rsid w:val="2E7912F8"/>
    <w:rsid w:val="374426E5"/>
    <w:rsid w:val="3D3018A9"/>
    <w:rsid w:val="42E34D40"/>
    <w:rsid w:val="44E97306"/>
    <w:rsid w:val="479E35DD"/>
    <w:rsid w:val="4DA8648A"/>
    <w:rsid w:val="4F5C475A"/>
    <w:rsid w:val="4FB87821"/>
    <w:rsid w:val="55E31AB4"/>
    <w:rsid w:val="583E601C"/>
    <w:rsid w:val="58DF0589"/>
    <w:rsid w:val="59E54BAC"/>
    <w:rsid w:val="5A9A56D9"/>
    <w:rsid w:val="5FDF3861"/>
    <w:rsid w:val="67D550BB"/>
    <w:rsid w:val="67E32A2B"/>
    <w:rsid w:val="6EB11DD4"/>
    <w:rsid w:val="6FDE6FC3"/>
    <w:rsid w:val="70CE214E"/>
    <w:rsid w:val="730A508B"/>
    <w:rsid w:val="7C93323A"/>
    <w:rsid w:val="7F2A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spacing w:line="360" w:lineRule="auto"/>
      <w:jc w:val="center"/>
      <w:outlineLvl w:val="0"/>
    </w:pPr>
    <w:rPr>
      <w:rFonts w:ascii="Calibri" w:hAnsi="Calibri" w:eastAsia="宋体" w:cs="Times New Roman"/>
      <w:b/>
      <w:bCs/>
      <w:kern w:val="44"/>
      <w:sz w:val="32"/>
      <w:szCs w:val="44"/>
    </w:rPr>
  </w:style>
  <w:style w:type="paragraph" w:styleId="4">
    <w:name w:val="heading 2"/>
    <w:basedOn w:val="1"/>
    <w:next w:val="1"/>
    <w:link w:val="13"/>
    <w:autoRedefine/>
    <w:semiHidden/>
    <w:unhideWhenUsed/>
    <w:qFormat/>
    <w:uiPriority w:val="0"/>
    <w:pPr>
      <w:keepNext/>
      <w:keepLines/>
      <w:spacing w:line="360" w:lineRule="auto"/>
      <w:jc w:val="left"/>
      <w:outlineLvl w:val="1"/>
    </w:pPr>
    <w:rPr>
      <w:rFonts w:ascii="Times New Roman" w:hAnsi="Times New Roman" w:eastAsiaTheme="majorEastAsia" w:cstheme="majorBidi"/>
      <w:b/>
      <w:sz w:val="28"/>
    </w:rPr>
  </w:style>
  <w:style w:type="paragraph" w:styleId="5">
    <w:name w:val="heading 3"/>
    <w:basedOn w:val="1"/>
    <w:next w:val="1"/>
    <w:link w:val="14"/>
    <w:semiHidden/>
    <w:unhideWhenUsed/>
    <w:qFormat/>
    <w:uiPriority w:val="0"/>
    <w:pPr>
      <w:autoSpaceDE/>
      <w:autoSpaceDN/>
      <w:spacing w:before="50" w:beforeLines="50" w:beforeAutospacing="0" w:afterAutospacing="0" w:line="360" w:lineRule="auto"/>
      <w:jc w:val="left"/>
      <w:outlineLvl w:val="2"/>
    </w:pPr>
    <w:rPr>
      <w:rFonts w:hint="eastAsia" w:ascii="Times New Roman" w:hAnsi="Times New Roman" w:eastAsia="宋体"/>
      <w:b/>
      <w:kern w:val="0"/>
      <w:sz w:val="24"/>
      <w:szCs w:val="24"/>
    </w:rPr>
  </w:style>
  <w:style w:type="paragraph" w:styleId="6">
    <w:name w:val="heading 4"/>
    <w:basedOn w:val="1"/>
    <w:next w:val="1"/>
    <w:link w:val="16"/>
    <w:semiHidden/>
    <w:unhideWhenUsed/>
    <w:qFormat/>
    <w:uiPriority w:val="0"/>
    <w:pPr>
      <w:keepNext/>
      <w:keepLines/>
      <w:spacing w:line="360" w:lineRule="auto"/>
      <w:outlineLvl w:val="3"/>
    </w:pPr>
    <w:rPr>
      <w:rFonts w:ascii="Times New Roman" w:hAnsi="Times New Roman" w:eastAsia="宋体" w:cs="Times New Roman"/>
      <w:kern w:val="0"/>
      <w:sz w:val="24"/>
    </w:rPr>
  </w:style>
  <w:style w:type="character" w:default="1" w:styleId="12">
    <w:name w:val="Default Paragraph Font"/>
    <w:autoRedefine/>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Plain Text"/>
    <w:basedOn w:val="1"/>
    <w:link w:val="17"/>
    <w:qFormat/>
    <w:uiPriority w:val="0"/>
    <w:rPr>
      <w:rFonts w:ascii="Times New Roman" w:hAnsi="Times New Roman" w:eastAsia="宋体"/>
      <w:kern w:val="0"/>
      <w:sz w:val="20"/>
      <w:szCs w:val="20"/>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Body Text First Indent 2"/>
    <w:basedOn w:val="7"/>
    <w:qFormat/>
    <w:uiPriority w:val="0"/>
    <w:pPr>
      <w:spacing w:line="360" w:lineRule="auto"/>
      <w:ind w:left="0" w:leftChars="0" w:firstLine="420" w:firstLineChars="200"/>
    </w:pPr>
    <w:rPr>
      <w:rFonts w:ascii="Times New Roman" w:hAnsi="Times New Roman" w:eastAsia="宋体"/>
    </w:rPr>
  </w:style>
  <w:style w:type="character" w:customStyle="1" w:styleId="13">
    <w:name w:val="标题 2 字符"/>
    <w:basedOn w:val="12"/>
    <w:link w:val="4"/>
    <w:autoRedefine/>
    <w:qFormat/>
    <w:uiPriority w:val="9"/>
    <w:rPr>
      <w:rFonts w:ascii="Times New Roman" w:hAnsi="Times New Roman" w:eastAsiaTheme="majorEastAsia" w:cstheme="majorBidi"/>
      <w:b/>
      <w:kern w:val="2"/>
      <w:sz w:val="28"/>
      <w:szCs w:val="24"/>
    </w:rPr>
  </w:style>
  <w:style w:type="character" w:customStyle="1" w:styleId="14">
    <w:name w:val="标题 3 字符"/>
    <w:basedOn w:val="12"/>
    <w:link w:val="5"/>
    <w:autoRedefine/>
    <w:qFormat/>
    <w:uiPriority w:val="9"/>
    <w:rPr>
      <w:rFonts w:ascii="Times New Roman" w:hAnsi="Times New Roman" w:eastAsia="宋体"/>
      <w:b/>
      <w:sz w:val="24"/>
      <w:szCs w:val="24"/>
    </w:rPr>
  </w:style>
  <w:style w:type="character" w:customStyle="1" w:styleId="15">
    <w:name w:val="标题 1 字符"/>
    <w:link w:val="3"/>
    <w:autoRedefine/>
    <w:qFormat/>
    <w:uiPriority w:val="0"/>
    <w:rPr>
      <w:rFonts w:ascii="Calibri" w:hAnsi="Calibri" w:eastAsia="宋体" w:cs="Times New Roman"/>
      <w:b/>
      <w:bCs/>
      <w:kern w:val="44"/>
      <w:sz w:val="32"/>
      <w:szCs w:val="44"/>
    </w:rPr>
  </w:style>
  <w:style w:type="character" w:customStyle="1" w:styleId="16">
    <w:name w:val="标题 4 字符"/>
    <w:basedOn w:val="12"/>
    <w:link w:val="6"/>
    <w:autoRedefine/>
    <w:qFormat/>
    <w:uiPriority w:val="0"/>
    <w:rPr>
      <w:rFonts w:ascii="Times New Roman" w:hAnsi="Times New Roman" w:eastAsia="宋体" w:cs="Times New Roman"/>
      <w:sz w:val="24"/>
      <w:szCs w:val="24"/>
    </w:rPr>
  </w:style>
  <w:style w:type="character" w:customStyle="1" w:styleId="17">
    <w:name w:val="纯文本 字符"/>
    <w:link w:val="8"/>
    <w:autoRedefine/>
    <w:qFormat/>
    <w:locked/>
    <w:uiPriority w:val="0"/>
    <w:rPr>
      <w:rFonts w:ascii="Times New Roman" w:hAnsi="Times New Roman" w:eastAsia="宋体"/>
    </w:rPr>
  </w:style>
  <w:style w:type="paragraph" w:customStyle="1" w:styleId="1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2025-01-23T09:09:00Z</dcterms:created>
  <dc:creator>帅帅帅松</dc:creator>
  <cp:lastModifiedBy>帅帅帅松</cp:lastModifiedBy>
  <dcterms:modified xsi:type="dcterms:W3CDTF">2025-01-23T09:09:55Z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DCB2EE8B83454A7F98BB585009A931C0_11</vt:lpwstr>
  </property>
  <property fmtid="{D5CDD505-2E9C-101B-9397-08002B2CF9AE}" pid="4" name="KSOTemplateDocerSaveRecord">
    <vt:lpwstr>eyJoZGlkIjoiOTg5NDdhOTJiMWIyZThiZjhkYzc5MDNiODJjMGNkNmQiLCJ1c2VySWQiOiI2NDg3MzUyMDcifQ==</vt:lpwstr>
  </property>
</Properties>
</file>