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0924">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14:paraId="274C619D">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30904CF8">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66FC8326">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661419AD">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FC1DAF3">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4FD48B9">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26B5B3F4">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7B0A8492">
      <w:pPr>
        <w:adjustRightInd w:val="0"/>
        <w:snapToGrid w:val="0"/>
        <w:spacing w:line="360" w:lineRule="auto"/>
        <w:ind w:firstLine="482"/>
        <w:outlineLvl w:val="1"/>
        <w:rPr>
          <w:rFonts w:ascii="宋体" w:hAnsi="宋体" w:eastAsia="宋体"/>
          <w:b/>
          <w:color w:val="auto"/>
          <w:szCs w:val="21"/>
          <w:highlight w:val="none"/>
        </w:rPr>
      </w:pPr>
      <w:bookmarkStart w:id="0" w:name="_Toc178465410"/>
      <w:bookmarkStart w:id="1" w:name="_Toc2554"/>
      <w:bookmarkStart w:id="2" w:name="_Toc32151"/>
      <w:r>
        <w:rPr>
          <w:rFonts w:hint="eastAsia" w:ascii="宋体" w:hAnsi="宋体" w:eastAsia="宋体"/>
          <w:b/>
          <w:color w:val="auto"/>
          <w:szCs w:val="21"/>
          <w:highlight w:val="none"/>
        </w:rPr>
        <w:t>一、采购需求前附表</w:t>
      </w:r>
      <w:bookmarkEnd w:id="0"/>
      <w:bookmarkEnd w:id="1"/>
      <w:bookmarkEnd w:id="2"/>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4D83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081A2AF">
            <w:pPr>
              <w:pStyle w:val="6"/>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6621D577">
            <w:pPr>
              <w:pStyle w:val="7"/>
              <w:jc w:val="center"/>
              <w:rPr>
                <w:b/>
                <w:color w:val="auto"/>
                <w:highlight w:val="none"/>
              </w:rPr>
            </w:pPr>
            <w:r>
              <w:rPr>
                <w:rFonts w:hint="eastAsia"/>
                <w:b/>
                <w:color w:val="auto"/>
                <w:highlight w:val="none"/>
              </w:rPr>
              <w:t>条款名称</w:t>
            </w:r>
          </w:p>
        </w:tc>
        <w:tc>
          <w:tcPr>
            <w:tcW w:w="5483" w:type="dxa"/>
            <w:noWrap w:val="0"/>
            <w:vAlign w:val="center"/>
          </w:tcPr>
          <w:p w14:paraId="1BCB9E99">
            <w:pPr>
              <w:pStyle w:val="7"/>
              <w:jc w:val="center"/>
              <w:rPr>
                <w:b/>
                <w:color w:val="auto"/>
                <w:highlight w:val="none"/>
              </w:rPr>
            </w:pPr>
            <w:r>
              <w:rPr>
                <w:rFonts w:hint="eastAsia"/>
                <w:b/>
                <w:color w:val="auto"/>
                <w:highlight w:val="none"/>
              </w:rPr>
              <w:t>内容、说明与要求</w:t>
            </w:r>
          </w:p>
        </w:tc>
      </w:tr>
      <w:tr w14:paraId="12A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B8DE403">
            <w:pPr>
              <w:pStyle w:val="6"/>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1525AB97">
            <w:pPr>
              <w:pStyle w:val="7"/>
              <w:rPr>
                <w:b/>
                <w:color w:val="auto"/>
                <w:highlight w:val="none"/>
              </w:rPr>
            </w:pPr>
            <w:r>
              <w:rPr>
                <w:rFonts w:hint="eastAsia"/>
                <w:color w:val="auto"/>
                <w:highlight w:val="none"/>
              </w:rPr>
              <w:t>付款方式</w:t>
            </w:r>
          </w:p>
        </w:tc>
        <w:tc>
          <w:tcPr>
            <w:tcW w:w="5483" w:type="dxa"/>
            <w:noWrap w:val="0"/>
            <w:vAlign w:val="center"/>
          </w:tcPr>
          <w:p w14:paraId="4D6737A0">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6AC968E4">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0A06C3CD">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42F2E9F9">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01CB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5E438CE2">
            <w:pPr>
              <w:pStyle w:val="6"/>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1DFADA47">
            <w:pPr>
              <w:pStyle w:val="7"/>
              <w:rPr>
                <w:b/>
                <w:color w:val="auto"/>
                <w:highlight w:val="none"/>
              </w:rPr>
            </w:pPr>
            <w:r>
              <w:rPr>
                <w:rFonts w:hint="eastAsia"/>
                <w:color w:val="auto"/>
                <w:highlight w:val="none"/>
              </w:rPr>
              <w:t>供货及安装地点</w:t>
            </w:r>
          </w:p>
        </w:tc>
        <w:tc>
          <w:tcPr>
            <w:tcW w:w="5483" w:type="dxa"/>
            <w:noWrap w:val="0"/>
            <w:vAlign w:val="center"/>
          </w:tcPr>
          <w:p w14:paraId="3C3E36BE">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711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12E1D0E">
            <w:pPr>
              <w:pStyle w:val="6"/>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5C9B1088">
            <w:pPr>
              <w:pStyle w:val="7"/>
              <w:rPr>
                <w:b/>
                <w:color w:val="auto"/>
                <w:highlight w:val="none"/>
              </w:rPr>
            </w:pPr>
            <w:r>
              <w:rPr>
                <w:rFonts w:hint="eastAsia"/>
                <w:color w:val="auto"/>
                <w:highlight w:val="none"/>
              </w:rPr>
              <w:t>供货及安装期限</w:t>
            </w:r>
          </w:p>
        </w:tc>
        <w:tc>
          <w:tcPr>
            <w:tcW w:w="5483" w:type="dxa"/>
            <w:noWrap w:val="0"/>
            <w:vAlign w:val="center"/>
          </w:tcPr>
          <w:p w14:paraId="39E24DA1">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90个日历日完成供货、安装、调试、培训等所有工作内容</w:t>
            </w:r>
            <w:r>
              <w:rPr>
                <w:rFonts w:hint="eastAsia" w:ascii="宋体" w:hAnsi="宋体" w:eastAsia="宋体"/>
                <w:bCs/>
                <w:color w:val="auto"/>
                <w:kern w:val="0"/>
                <w:szCs w:val="21"/>
                <w:highlight w:val="none"/>
              </w:rPr>
              <w:t>。</w:t>
            </w:r>
          </w:p>
        </w:tc>
      </w:tr>
      <w:tr w14:paraId="408D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E5138B1">
            <w:pPr>
              <w:pStyle w:val="6"/>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4331ED00">
            <w:pPr>
              <w:pStyle w:val="7"/>
              <w:rPr>
                <w:b/>
                <w:color w:val="auto"/>
                <w:highlight w:val="none"/>
              </w:rPr>
            </w:pPr>
            <w:r>
              <w:rPr>
                <w:rFonts w:hint="eastAsia"/>
                <w:color w:val="auto"/>
                <w:highlight w:val="none"/>
              </w:rPr>
              <w:t>免费质保期</w:t>
            </w:r>
          </w:p>
        </w:tc>
        <w:tc>
          <w:tcPr>
            <w:tcW w:w="5483" w:type="dxa"/>
            <w:noWrap w:val="0"/>
            <w:vAlign w:val="center"/>
          </w:tcPr>
          <w:p w14:paraId="7265A552">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2978475B">
      <w:pPr>
        <w:adjustRightInd w:val="0"/>
        <w:snapToGrid w:val="0"/>
        <w:spacing w:beforeLines="50" w:line="360" w:lineRule="auto"/>
        <w:ind w:firstLine="482"/>
        <w:outlineLvl w:val="1"/>
        <w:rPr>
          <w:rFonts w:ascii="宋体" w:hAnsi="宋体" w:eastAsia="宋体"/>
          <w:b/>
          <w:color w:val="auto"/>
          <w:szCs w:val="21"/>
          <w:highlight w:val="none"/>
        </w:rPr>
      </w:pPr>
      <w:bookmarkStart w:id="3" w:name="_Toc5944"/>
      <w:bookmarkStart w:id="4" w:name="_Toc7671"/>
    </w:p>
    <w:p w14:paraId="2231E81D">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7FFC0732">
      <w:pPr>
        <w:adjustRightInd w:val="0"/>
        <w:snapToGrid w:val="0"/>
        <w:spacing w:beforeLines="50" w:line="360" w:lineRule="auto"/>
        <w:ind w:firstLine="482"/>
        <w:outlineLvl w:val="1"/>
        <w:rPr>
          <w:rFonts w:ascii="宋体" w:hAnsi="宋体" w:eastAsia="宋体"/>
          <w:b/>
          <w:color w:val="auto"/>
          <w:szCs w:val="21"/>
          <w:highlight w:val="none"/>
        </w:rPr>
      </w:pPr>
      <w:bookmarkStart w:id="5" w:name="_Toc178465411"/>
      <w:r>
        <w:rPr>
          <w:rFonts w:hint="eastAsia" w:ascii="宋体" w:hAnsi="宋体" w:eastAsia="宋体"/>
          <w:b/>
          <w:color w:val="auto"/>
          <w:szCs w:val="21"/>
          <w:highlight w:val="none"/>
        </w:rPr>
        <w:t>二、货物需求</w:t>
      </w:r>
      <w:bookmarkEnd w:id="3"/>
      <w:bookmarkEnd w:id="4"/>
      <w:bookmarkEnd w:id="5"/>
    </w:p>
    <w:p w14:paraId="6F164B62">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2"/>
      <w:r>
        <w:rPr>
          <w:rFonts w:hint="eastAsia" w:ascii="宋体" w:hAnsi="宋体" w:eastAsia="宋体"/>
          <w:b/>
          <w:color w:val="auto"/>
          <w:szCs w:val="21"/>
          <w:highlight w:val="none"/>
        </w:rPr>
        <w:t>（一）指标重要性表述</w:t>
      </w:r>
      <w:bookmarkEnd w:id="6"/>
    </w:p>
    <w:tbl>
      <w:tblPr>
        <w:tblStyle w:val="4"/>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7000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409278DD">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3886C454">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28495FB0">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6384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20420030">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15819AE5">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3DF1A55A">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作为评分项，每满足1项得1.25分，共32项。</w:t>
            </w:r>
          </w:p>
        </w:tc>
      </w:tr>
      <w:tr w14:paraId="0AB1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7AB6B010">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2AAB0B97">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48EC686D">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3A6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4FD9CCF8">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1EA7CC21">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1、如某项标识中包含多条技术参数或要求，则该项标识所含内容均需满足或优于招标文件要求，否则不予认可。</w:t>
            </w:r>
          </w:p>
          <w:p w14:paraId="56CEB57D">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2、针对“技术参数及要求”中要求投标文件中提供证明材料的条款：技术参数中明确证明材料类型的，按技术参数中的要求</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技术参数中未明确证明材料类型的，证明材料包括：技术白皮书、产品彩页、官网截图、功能界面截图、说明书功能截图等,提供其中之一即可。未按以上要求提供证明材料的视为负偏离（为便于评审，建议投标人对证明材料中的关键参数进行标注）。</w:t>
            </w:r>
          </w:p>
        </w:tc>
      </w:tr>
    </w:tbl>
    <w:p w14:paraId="01AAFFD6">
      <w:pPr>
        <w:pStyle w:val="2"/>
        <w:adjustRightInd w:val="0"/>
        <w:snapToGrid w:val="0"/>
        <w:ind w:firstLine="422" w:firstLineChars="200"/>
        <w:rPr>
          <w:rFonts w:ascii="宋体" w:hAnsi="宋体" w:eastAsia="宋体" w:cs="宋体"/>
          <w:b/>
          <w:bCs/>
          <w:color w:val="auto"/>
          <w:szCs w:val="21"/>
          <w:highlight w:val="none"/>
          <w:lang w:val="en-US"/>
        </w:rPr>
      </w:pPr>
    </w:p>
    <w:p w14:paraId="33899958">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3"/>
      <w:r>
        <w:rPr>
          <w:rFonts w:hint="eastAsia" w:ascii="宋体" w:hAnsi="宋体" w:eastAsia="宋体"/>
          <w:b/>
          <w:color w:val="auto"/>
          <w:szCs w:val="21"/>
          <w:highlight w:val="none"/>
        </w:rPr>
        <w:t>（二）货物技术参数及要求</w:t>
      </w:r>
      <w:bookmarkEnd w:id="7"/>
    </w:p>
    <w:tbl>
      <w:tblPr>
        <w:tblStyle w:val="4"/>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84"/>
        <w:gridCol w:w="4183"/>
        <w:gridCol w:w="984"/>
        <w:gridCol w:w="668"/>
        <w:gridCol w:w="731"/>
        <w:gridCol w:w="657"/>
      </w:tblGrid>
      <w:tr w14:paraId="6FEC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999FFE0">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184" w:type="dxa"/>
            <w:noWrap w:val="0"/>
            <w:vAlign w:val="center"/>
          </w:tcPr>
          <w:p w14:paraId="7F8A9080">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183" w:type="dxa"/>
            <w:noWrap w:val="0"/>
            <w:vAlign w:val="center"/>
          </w:tcPr>
          <w:p w14:paraId="7D34A600">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984" w:type="dxa"/>
            <w:noWrap w:val="0"/>
            <w:vAlign w:val="center"/>
          </w:tcPr>
          <w:p w14:paraId="4149F6E6">
            <w:pPr>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3CCDA29D">
            <w:pPr>
              <w:wordWrap w:val="0"/>
              <w:topLinePunct/>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668" w:type="dxa"/>
            <w:noWrap w:val="0"/>
            <w:vAlign w:val="center"/>
          </w:tcPr>
          <w:p w14:paraId="5C817BA1">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731" w:type="dxa"/>
            <w:noWrap w:val="0"/>
            <w:vAlign w:val="center"/>
          </w:tcPr>
          <w:p w14:paraId="3630800C">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657" w:type="dxa"/>
            <w:noWrap w:val="0"/>
            <w:vAlign w:val="center"/>
          </w:tcPr>
          <w:p w14:paraId="54D332E9">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3D65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04A4F53">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84" w:type="dxa"/>
            <w:noWrap w:val="0"/>
            <w:vAlign w:val="center"/>
          </w:tcPr>
          <w:p w14:paraId="2A29ABD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大容量冷冻离心机（进口）</w:t>
            </w:r>
          </w:p>
        </w:tc>
        <w:tc>
          <w:tcPr>
            <w:tcW w:w="4183" w:type="dxa"/>
            <w:noWrap w:val="0"/>
            <w:vAlign w:val="center"/>
          </w:tcPr>
          <w:p w14:paraId="054D76D8">
            <w:pPr>
              <w:widowControl/>
              <w:adjustRightInd w:val="0"/>
              <w:snapToGrid w:val="0"/>
              <w:spacing w:line="300" w:lineRule="auto"/>
              <w:jc w:val="left"/>
              <w:textAlignment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一、基本参数</w:t>
            </w:r>
          </w:p>
          <w:p w14:paraId="4ACD1953">
            <w:pPr>
              <w:rPr>
                <w:rFonts w:ascii="宋体" w:hAnsi="宋体" w:eastAsia="宋体" w:cs="Times New Roman"/>
                <w:color w:val="auto"/>
                <w:szCs w:val="24"/>
                <w:highlight w:val="none"/>
              </w:rPr>
            </w:pPr>
            <w:r>
              <w:rPr>
                <w:rFonts w:ascii="宋体" w:hAnsi="宋体" w:eastAsia="宋体" w:cs="Times New Roman"/>
                <w:color w:val="auto"/>
                <w:szCs w:val="24"/>
                <w:highlight w:val="none"/>
              </w:rPr>
              <w:t>1.电机类型：高速无刷免维护感应马达</w:t>
            </w:r>
            <w:r>
              <w:rPr>
                <w:rFonts w:hint="eastAsia" w:ascii="宋体" w:hAnsi="宋体" w:eastAsia="宋体" w:cs="Times New Roman"/>
                <w:color w:val="auto"/>
                <w:szCs w:val="24"/>
                <w:highlight w:val="none"/>
              </w:rPr>
              <w:t>。</w:t>
            </w:r>
          </w:p>
          <w:p w14:paraId="5A7B2631">
            <w:pPr>
              <w:rPr>
                <w:rFonts w:ascii="宋体" w:hAnsi="宋体" w:eastAsia="宋体" w:cs="Times New Roman"/>
                <w:color w:val="auto"/>
                <w:szCs w:val="24"/>
                <w:highlight w:val="none"/>
              </w:rPr>
            </w:pPr>
            <w:r>
              <w:rPr>
                <w:rFonts w:ascii="宋体" w:hAnsi="宋体" w:eastAsia="宋体" w:cs="Times New Roman"/>
                <w:color w:val="auto"/>
                <w:szCs w:val="24"/>
                <w:highlight w:val="none"/>
              </w:rPr>
              <w:t>2.主轴形式：柔性传动轴。</w:t>
            </w:r>
          </w:p>
          <w:p w14:paraId="2B3E1921">
            <w:pPr>
              <w:rPr>
                <w:rFonts w:ascii="宋体" w:hAnsi="宋体" w:eastAsia="宋体" w:cs="Times New Roman"/>
                <w:color w:val="auto"/>
                <w:szCs w:val="24"/>
                <w:highlight w:val="none"/>
              </w:rPr>
            </w:pPr>
            <w:r>
              <w:rPr>
                <w:rFonts w:ascii="宋体" w:hAnsi="宋体" w:eastAsia="宋体" w:cs="Times New Roman"/>
                <w:color w:val="auto"/>
                <w:szCs w:val="24"/>
                <w:highlight w:val="none"/>
              </w:rPr>
              <w:t>■3.主机最大容量：≥4×250ml</w:t>
            </w:r>
            <w:r>
              <w:rPr>
                <w:rFonts w:hint="eastAsia" w:ascii="宋体" w:hAnsi="宋体" w:eastAsia="宋体" w:cs="Times New Roman"/>
                <w:color w:val="auto"/>
                <w:szCs w:val="24"/>
                <w:highlight w:val="none"/>
              </w:rPr>
              <w:t>。</w:t>
            </w:r>
          </w:p>
          <w:p w14:paraId="6D308905">
            <w:pPr>
              <w:rPr>
                <w:rFonts w:ascii="宋体" w:hAnsi="宋体" w:eastAsia="宋体" w:cs="Times New Roman"/>
                <w:color w:val="auto"/>
                <w:szCs w:val="24"/>
                <w:highlight w:val="none"/>
              </w:rPr>
            </w:pPr>
            <w:r>
              <w:rPr>
                <w:rFonts w:ascii="宋体" w:hAnsi="宋体" w:eastAsia="宋体" w:cs="Times New Roman"/>
                <w:color w:val="auto"/>
                <w:szCs w:val="24"/>
                <w:highlight w:val="none"/>
              </w:rPr>
              <w:t>4.主机最大转速：≥15200rpm</w:t>
            </w:r>
            <w:r>
              <w:rPr>
                <w:rFonts w:hint="eastAsia" w:ascii="宋体" w:hAnsi="宋体" w:eastAsia="宋体" w:cs="Times New Roman"/>
                <w:color w:val="auto"/>
                <w:szCs w:val="24"/>
                <w:highlight w:val="none"/>
              </w:rPr>
              <w:t>。</w:t>
            </w:r>
          </w:p>
          <w:p w14:paraId="6AC080AC">
            <w:pPr>
              <w:rPr>
                <w:rFonts w:ascii="宋体" w:hAnsi="宋体" w:eastAsia="宋体" w:cs="Times New Roman"/>
                <w:color w:val="auto"/>
                <w:szCs w:val="24"/>
                <w:highlight w:val="none"/>
              </w:rPr>
            </w:pPr>
            <w:r>
              <w:rPr>
                <w:rFonts w:ascii="宋体" w:hAnsi="宋体" w:eastAsia="宋体" w:cs="Times New Roman"/>
                <w:color w:val="auto"/>
                <w:szCs w:val="24"/>
                <w:highlight w:val="none"/>
              </w:rPr>
              <w:t>■5.转子配置：转子a：≥30孔1.5/2ml角转子,</w:t>
            </w:r>
            <w:r>
              <w:rPr>
                <w:rFonts w:hint="eastAsia" w:ascii="宋体" w:hAnsi="宋体" w:eastAsia="宋体" w:cs="Times New Roman"/>
                <w:color w:val="auto"/>
                <w:szCs w:val="24"/>
                <w:highlight w:val="none"/>
              </w:rPr>
              <w:t>转速</w:t>
            </w:r>
            <w:r>
              <w:rPr>
                <w:rFonts w:ascii="宋体" w:hAnsi="宋体" w:eastAsia="宋体" w:cs="Times New Roman"/>
                <w:color w:val="auto"/>
                <w:szCs w:val="24"/>
                <w:highlight w:val="none"/>
              </w:rPr>
              <w:t>≥</w:t>
            </w:r>
            <w:r>
              <w:rPr>
                <w:rFonts w:hint="eastAsia" w:ascii="宋体" w:hAnsi="宋体" w:eastAsia="宋体" w:cs="Times New Roman"/>
                <w:color w:val="auto"/>
                <w:szCs w:val="24"/>
                <w:highlight w:val="none"/>
              </w:rPr>
              <w:t>15000rpm,RCF</w:t>
            </w:r>
            <w:r>
              <w:rPr>
                <w:rFonts w:ascii="宋体" w:hAnsi="宋体" w:eastAsia="宋体" w:cs="Times New Roman"/>
                <w:color w:val="auto"/>
                <w:szCs w:val="24"/>
                <w:highlight w:val="none"/>
              </w:rPr>
              <w:t>≥</w:t>
            </w:r>
            <w:r>
              <w:rPr>
                <w:rFonts w:hint="eastAsia" w:ascii="宋体" w:hAnsi="宋体" w:eastAsia="宋体" w:cs="Times New Roman"/>
                <w:color w:val="auto"/>
                <w:szCs w:val="24"/>
                <w:highlight w:val="none"/>
              </w:rPr>
              <w:t>25000×g；</w:t>
            </w:r>
            <w:r>
              <w:rPr>
                <w:rFonts w:ascii="宋体" w:hAnsi="宋体" w:eastAsia="宋体" w:cs="Times New Roman"/>
                <w:color w:val="auto"/>
                <w:szCs w:val="24"/>
                <w:highlight w:val="none"/>
              </w:rPr>
              <w:t>转子b：多孔15/50ml高速转子,</w:t>
            </w:r>
            <w:r>
              <w:rPr>
                <w:rFonts w:hint="eastAsia" w:ascii="宋体" w:hAnsi="宋体" w:eastAsia="宋体" w:cs="Times New Roman"/>
                <w:color w:val="auto"/>
                <w:szCs w:val="24"/>
                <w:highlight w:val="none"/>
              </w:rPr>
              <w:t>转速</w:t>
            </w:r>
            <w:r>
              <w:rPr>
                <w:rFonts w:ascii="宋体" w:hAnsi="宋体" w:eastAsia="宋体" w:cs="Times New Roman"/>
                <w:color w:val="auto"/>
                <w:szCs w:val="24"/>
                <w:highlight w:val="none"/>
              </w:rPr>
              <w:t>≥</w:t>
            </w:r>
            <w:r>
              <w:rPr>
                <w:rFonts w:hint="eastAsia" w:ascii="宋体" w:hAnsi="宋体" w:eastAsia="宋体" w:cs="Times New Roman"/>
                <w:color w:val="auto"/>
                <w:szCs w:val="24"/>
                <w:highlight w:val="none"/>
              </w:rPr>
              <w:t>14000rpm,</w:t>
            </w:r>
            <w:r>
              <w:rPr>
                <w:rFonts w:ascii="宋体" w:hAnsi="宋体" w:eastAsia="宋体" w:cs="Times New Roman"/>
                <w:color w:val="auto"/>
                <w:szCs w:val="24"/>
                <w:highlight w:val="none"/>
              </w:rPr>
              <w:t>RCF≥2</w:t>
            </w:r>
            <w:r>
              <w:rPr>
                <w:rFonts w:hint="eastAsia" w:ascii="宋体" w:hAnsi="宋体" w:eastAsia="宋体" w:cs="Times New Roman"/>
                <w:color w:val="auto"/>
                <w:szCs w:val="24"/>
                <w:highlight w:val="none"/>
              </w:rPr>
              <w:t>45</w:t>
            </w:r>
            <w:r>
              <w:rPr>
                <w:rFonts w:ascii="宋体" w:hAnsi="宋体" w:eastAsia="宋体" w:cs="Times New Roman"/>
                <w:color w:val="auto"/>
                <w:szCs w:val="24"/>
                <w:highlight w:val="none"/>
              </w:rPr>
              <w:t>00</w:t>
            </w:r>
            <w:r>
              <w:rPr>
                <w:rFonts w:hint="eastAsia" w:ascii="宋体" w:hAnsi="宋体" w:eastAsia="宋体" w:cs="Times New Roman"/>
                <w:color w:val="auto"/>
                <w:szCs w:val="24"/>
                <w:highlight w:val="none"/>
              </w:rPr>
              <w:t>×</w:t>
            </w:r>
            <w:r>
              <w:rPr>
                <w:rFonts w:ascii="宋体" w:hAnsi="宋体" w:eastAsia="宋体" w:cs="Times New Roman"/>
                <w:color w:val="auto"/>
                <w:szCs w:val="24"/>
                <w:highlight w:val="none"/>
              </w:rPr>
              <w:t>g;</w:t>
            </w:r>
            <w:r>
              <w:rPr>
                <w:rFonts w:hint="eastAsia" w:ascii="宋体" w:hAnsi="宋体" w:eastAsia="宋体" w:cs="Times New Roman"/>
                <w:color w:val="auto"/>
                <w:szCs w:val="24"/>
                <w:highlight w:val="none"/>
              </w:rPr>
              <w:t>变更离心管容量不需要使用适配器。</w:t>
            </w:r>
          </w:p>
          <w:p w14:paraId="38DB91CB">
            <w:pPr>
              <w:rPr>
                <w:rFonts w:ascii="宋体" w:hAnsi="宋体" w:eastAsia="宋体" w:cs="Times New Roman"/>
                <w:color w:val="auto"/>
                <w:szCs w:val="24"/>
                <w:highlight w:val="none"/>
              </w:rPr>
            </w:pPr>
            <w:r>
              <w:rPr>
                <w:rFonts w:ascii="宋体" w:hAnsi="宋体" w:eastAsia="宋体" w:cs="Times New Roman"/>
                <w:color w:val="auto"/>
                <w:szCs w:val="24"/>
                <w:highlight w:val="none"/>
              </w:rPr>
              <w:t>■</w:t>
            </w:r>
            <w:r>
              <w:rPr>
                <w:rFonts w:hint="eastAsia" w:ascii="宋体" w:hAnsi="宋体" w:eastAsia="宋体" w:cs="Times New Roman"/>
                <w:color w:val="auto"/>
                <w:szCs w:val="24"/>
                <w:highlight w:val="none"/>
              </w:rPr>
              <w:t>6</w:t>
            </w:r>
            <w:r>
              <w:rPr>
                <w:rFonts w:ascii="宋体" w:hAnsi="宋体" w:eastAsia="宋体" w:cs="Times New Roman"/>
                <w:color w:val="auto"/>
                <w:szCs w:val="24"/>
                <w:highlight w:val="none"/>
              </w:rPr>
              <w:t>.温控范围：-</w:t>
            </w:r>
            <w:r>
              <w:rPr>
                <w:rFonts w:hint="eastAsia" w:ascii="宋体" w:hAnsi="宋体" w:eastAsia="宋体" w:cs="Times New Roman"/>
                <w:color w:val="auto"/>
                <w:szCs w:val="24"/>
                <w:highlight w:val="none"/>
              </w:rPr>
              <w:t>2</w:t>
            </w:r>
            <w:r>
              <w:rPr>
                <w:rFonts w:ascii="宋体" w:hAnsi="宋体" w:eastAsia="宋体" w:cs="Times New Roman"/>
                <w:color w:val="auto"/>
                <w:szCs w:val="24"/>
                <w:highlight w:val="none"/>
              </w:rPr>
              <w:t>0℃~+40℃</w:t>
            </w:r>
            <w:r>
              <w:rPr>
                <w:rFonts w:hint="eastAsia" w:ascii="宋体" w:hAnsi="宋体" w:eastAsia="宋体" w:cs="Times New Roman"/>
                <w:color w:val="auto"/>
                <w:szCs w:val="24"/>
                <w:highlight w:val="none"/>
              </w:rPr>
              <w:t>。</w:t>
            </w:r>
          </w:p>
          <w:p w14:paraId="38BD4389">
            <w:pPr>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7</w:t>
            </w:r>
            <w:r>
              <w:rPr>
                <w:rFonts w:ascii="宋体" w:hAnsi="宋体" w:eastAsia="宋体" w:cs="Times New Roman"/>
                <w:color w:val="auto"/>
                <w:szCs w:val="24"/>
                <w:highlight w:val="none"/>
              </w:rPr>
              <w:t>.控制方式：彩色触控屏</w:t>
            </w:r>
            <w:r>
              <w:rPr>
                <w:rFonts w:hint="eastAsia" w:ascii="宋体" w:hAnsi="宋体" w:eastAsia="宋体" w:cs="Times New Roman"/>
                <w:color w:val="auto"/>
                <w:szCs w:val="24"/>
                <w:highlight w:val="none"/>
              </w:rPr>
              <w:t>。</w:t>
            </w:r>
          </w:p>
          <w:p w14:paraId="0F8CCFFE">
            <w:pPr>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8</w:t>
            </w:r>
            <w:r>
              <w:rPr>
                <w:rFonts w:ascii="宋体" w:hAnsi="宋体" w:eastAsia="宋体" w:cs="Times New Roman"/>
                <w:color w:val="auto"/>
                <w:szCs w:val="24"/>
                <w:highlight w:val="none"/>
              </w:rPr>
              <w:t>.状态显示：同时显示实际值和预设值（转速，离心力，时间以及转头型号）</w:t>
            </w:r>
            <w:r>
              <w:rPr>
                <w:rFonts w:hint="eastAsia" w:ascii="宋体" w:hAnsi="宋体" w:eastAsia="宋体" w:cs="Times New Roman"/>
                <w:color w:val="auto"/>
                <w:szCs w:val="24"/>
                <w:highlight w:val="none"/>
              </w:rPr>
              <w:t>。</w:t>
            </w:r>
          </w:p>
          <w:p w14:paraId="732C4B29">
            <w:pPr>
              <w:rPr>
                <w:rFonts w:ascii="宋体" w:hAnsi="宋体" w:eastAsia="宋体" w:cs="Times New Roman"/>
                <w:color w:val="auto"/>
                <w:szCs w:val="24"/>
                <w:highlight w:val="none"/>
              </w:rPr>
            </w:pPr>
            <w:r>
              <w:rPr>
                <w:rFonts w:ascii="宋体" w:hAnsi="宋体" w:eastAsia="宋体" w:cs="Times New Roman"/>
                <w:color w:val="auto"/>
                <w:szCs w:val="24"/>
                <w:highlight w:val="none"/>
              </w:rPr>
              <w:t>■</w:t>
            </w:r>
            <w:r>
              <w:rPr>
                <w:rFonts w:hint="eastAsia" w:ascii="宋体" w:hAnsi="宋体" w:eastAsia="宋体" w:cs="Times New Roman"/>
                <w:color w:val="auto"/>
                <w:szCs w:val="24"/>
                <w:highlight w:val="none"/>
              </w:rPr>
              <w:t>9</w:t>
            </w:r>
            <w:r>
              <w:rPr>
                <w:rFonts w:ascii="宋体" w:hAnsi="宋体" w:eastAsia="宋体" w:cs="Times New Roman"/>
                <w:color w:val="auto"/>
                <w:szCs w:val="24"/>
                <w:highlight w:val="none"/>
              </w:rPr>
              <w:t>.在不停机状态下，可以随时修改离心转速及离心时间等参数</w:t>
            </w:r>
            <w:r>
              <w:rPr>
                <w:rFonts w:hint="eastAsia" w:ascii="宋体" w:hAnsi="宋体" w:eastAsia="宋体" w:cs="Times New Roman"/>
                <w:color w:val="auto"/>
                <w:szCs w:val="24"/>
                <w:highlight w:val="none"/>
              </w:rPr>
              <w:t>。</w:t>
            </w:r>
          </w:p>
          <w:p w14:paraId="05846C58">
            <w:pPr>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0</w:t>
            </w:r>
            <w:r>
              <w:rPr>
                <w:rFonts w:ascii="宋体" w:hAnsi="宋体" w:eastAsia="宋体" w:cs="Times New Roman"/>
                <w:color w:val="auto"/>
                <w:szCs w:val="24"/>
                <w:highlight w:val="none"/>
              </w:rPr>
              <w:t>.计时方式：启动计时或到达设定值后计时，两种方式</w:t>
            </w:r>
            <w:r>
              <w:rPr>
                <w:rFonts w:hint="eastAsia" w:ascii="宋体" w:hAnsi="宋体" w:eastAsia="宋体" w:cs="Times New Roman"/>
                <w:color w:val="auto"/>
                <w:szCs w:val="24"/>
                <w:highlight w:val="none"/>
              </w:rPr>
              <w:t>。</w:t>
            </w:r>
          </w:p>
          <w:p w14:paraId="715E263C">
            <w:pPr>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1</w:t>
            </w:r>
            <w:r>
              <w:rPr>
                <w:rFonts w:ascii="宋体" w:hAnsi="宋体" w:eastAsia="宋体" w:cs="Times New Roman"/>
                <w:color w:val="auto"/>
                <w:szCs w:val="24"/>
                <w:highlight w:val="none"/>
              </w:rPr>
              <w:t>.软刹车：动态磁阻反向柔性降速系统</w:t>
            </w:r>
            <w:r>
              <w:rPr>
                <w:rFonts w:hint="eastAsia" w:ascii="宋体" w:hAnsi="宋体" w:eastAsia="宋体" w:cs="Times New Roman"/>
                <w:color w:val="auto"/>
                <w:szCs w:val="24"/>
                <w:highlight w:val="none"/>
              </w:rPr>
              <w:t>。</w:t>
            </w:r>
          </w:p>
          <w:p w14:paraId="1E75A6D4">
            <w:pPr>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2</w:t>
            </w:r>
            <w:r>
              <w:rPr>
                <w:rFonts w:ascii="宋体" w:hAnsi="宋体" w:eastAsia="宋体" w:cs="Times New Roman"/>
                <w:color w:val="auto"/>
                <w:szCs w:val="24"/>
                <w:highlight w:val="none"/>
              </w:rPr>
              <w:t>.转子识别：主机会根据识别到的转子型号，自动限定最大转速，确保运行安全</w:t>
            </w:r>
            <w:r>
              <w:rPr>
                <w:rFonts w:hint="eastAsia" w:ascii="宋体" w:hAnsi="宋体" w:eastAsia="宋体" w:cs="Times New Roman"/>
                <w:color w:val="auto"/>
                <w:szCs w:val="24"/>
                <w:highlight w:val="none"/>
              </w:rPr>
              <w:t>。</w:t>
            </w:r>
          </w:p>
          <w:p w14:paraId="320F573B">
            <w:pPr>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3</w:t>
            </w:r>
            <w:r>
              <w:rPr>
                <w:rFonts w:ascii="宋体" w:hAnsi="宋体" w:eastAsia="宋体" w:cs="Times New Roman"/>
                <w:color w:val="auto"/>
                <w:szCs w:val="24"/>
                <w:highlight w:val="none"/>
              </w:rPr>
              <w:t>.保护系统：平衡监测及温度监测，超限报警、自停</w:t>
            </w:r>
            <w:r>
              <w:rPr>
                <w:rFonts w:hint="eastAsia" w:ascii="宋体" w:hAnsi="宋体" w:eastAsia="宋体" w:cs="Times New Roman"/>
                <w:color w:val="auto"/>
                <w:szCs w:val="24"/>
                <w:highlight w:val="none"/>
              </w:rPr>
              <w:t>。</w:t>
            </w:r>
          </w:p>
          <w:p w14:paraId="66199035">
            <w:pPr>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4</w:t>
            </w:r>
            <w:r>
              <w:rPr>
                <w:rFonts w:ascii="宋体" w:hAnsi="宋体" w:eastAsia="宋体" w:cs="Times New Roman"/>
                <w:color w:val="auto"/>
                <w:szCs w:val="24"/>
                <w:highlight w:val="none"/>
              </w:rPr>
              <w:t>.电控门锁：单手轻按盖板即可触发自动锁定，紧急情况下，可手动解锁</w:t>
            </w:r>
            <w:r>
              <w:rPr>
                <w:rFonts w:hint="eastAsia" w:ascii="宋体" w:hAnsi="宋体" w:eastAsia="宋体" w:cs="Times New Roman"/>
                <w:color w:val="auto"/>
                <w:szCs w:val="24"/>
                <w:highlight w:val="none"/>
              </w:rPr>
              <w:t>。</w:t>
            </w:r>
          </w:p>
        </w:tc>
        <w:tc>
          <w:tcPr>
            <w:tcW w:w="984" w:type="dxa"/>
            <w:noWrap w:val="0"/>
            <w:vAlign w:val="center"/>
          </w:tcPr>
          <w:p w14:paraId="780341E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2A93CF0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1DFE6E3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69D20D93">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r w14:paraId="343F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AB3030E">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84" w:type="dxa"/>
            <w:noWrap w:val="0"/>
            <w:vAlign w:val="center"/>
          </w:tcPr>
          <w:p w14:paraId="3BB21FF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高速冷冻离心机（进口）</w:t>
            </w:r>
          </w:p>
        </w:tc>
        <w:tc>
          <w:tcPr>
            <w:tcW w:w="4183" w:type="dxa"/>
            <w:noWrap w:val="0"/>
            <w:vAlign w:val="center"/>
          </w:tcPr>
          <w:p w14:paraId="7414B5DB">
            <w:pPr>
              <w:widowControl/>
              <w:adjustRightInd w:val="0"/>
              <w:snapToGrid w:val="0"/>
              <w:spacing w:line="300" w:lineRule="auto"/>
              <w:jc w:val="left"/>
              <w:textAlignment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一、基本参数</w:t>
            </w:r>
          </w:p>
          <w:p w14:paraId="539610F7">
            <w:pPr>
              <w:widowControl/>
              <w:adjustRightInd w:val="0"/>
              <w:snapToGrid w:val="0"/>
              <w:spacing w:line="300" w:lineRule="auto"/>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■1.转子配置：转子a：≥24×1.5/2ml，离心力：≥16600×g</w:t>
            </w:r>
            <w:r>
              <w:rPr>
                <w:rFonts w:hint="eastAsia" w:ascii="宋体" w:hAnsi="宋体" w:eastAsia="宋体" w:cs="宋体"/>
                <w:color w:val="auto"/>
                <w:kern w:val="0"/>
                <w:szCs w:val="21"/>
                <w:highlight w:val="none"/>
                <w:lang w:eastAsia="zh-CN"/>
              </w:rPr>
              <w:t>。</w:t>
            </w:r>
          </w:p>
          <w:p w14:paraId="3BC0394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转子b：8×5ml，离心力：≥18400×g。</w:t>
            </w:r>
          </w:p>
          <w:p w14:paraId="75C34F3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■2.温度范围为-20℃至40℃。</w:t>
            </w:r>
          </w:p>
          <w:p w14:paraId="6EE56F8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3.在最高转速时，也可以保持4℃。</w:t>
            </w:r>
          </w:p>
          <w:p w14:paraId="783080F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■4.速度设定为500-15000转/分，最大相对离心力≥22300g。</w:t>
            </w:r>
          </w:p>
          <w:p w14:paraId="6F41923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■5.可编程脉冲模式，最多≥99个程序，每条4行。</w:t>
            </w:r>
          </w:p>
          <w:p w14:paraId="00ED01D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6.自动内部诊断和错误显示。</w:t>
            </w:r>
          </w:p>
          <w:p w14:paraId="70C109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■7.速度精度：±100RPM。</w:t>
            </w:r>
          </w:p>
          <w:p w14:paraId="0550C04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8.运行时间：30s-999min59s。</w:t>
            </w:r>
          </w:p>
          <w:p w14:paraId="669D31B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9.加速/减速时间：＜15seconds/＜16seconds。</w:t>
            </w:r>
          </w:p>
          <w:p w14:paraId="149C590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10.噪音：＜55dB（24slot×2mlrotor）。</w:t>
            </w:r>
          </w:p>
          <w:p w14:paraId="65482D6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11.容许相对湿度：20-80%。</w:t>
            </w:r>
          </w:p>
          <w:p w14:paraId="2B34B43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■12.快速预冷功能，从室温（~21 ℃）降至 4℃≤6min。</w:t>
            </w:r>
          </w:p>
          <w:p w14:paraId="5020F2B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13.低振动，保护样品。</w:t>
            </w:r>
          </w:p>
          <w:p w14:paraId="4361EC1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二、质保期：</w:t>
            </w:r>
            <w:r>
              <w:rPr>
                <w:rFonts w:hint="eastAsia" w:ascii="宋体" w:hAnsi="宋体" w:eastAsia="宋体" w:cs="宋体"/>
                <w:color w:val="auto"/>
                <w:kern w:val="0"/>
                <w:szCs w:val="21"/>
                <w:highlight w:val="none"/>
              </w:rPr>
              <w:t>两年质保，终身维护。</w:t>
            </w:r>
          </w:p>
        </w:tc>
        <w:tc>
          <w:tcPr>
            <w:tcW w:w="984" w:type="dxa"/>
            <w:noWrap w:val="0"/>
            <w:vAlign w:val="center"/>
          </w:tcPr>
          <w:p w14:paraId="628A77E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4BE46E4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240F78A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725C2279">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r w14:paraId="05CC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shd w:val="clear" w:color="auto" w:fill="auto"/>
            <w:noWrap w:val="0"/>
            <w:vAlign w:val="center"/>
          </w:tcPr>
          <w:p w14:paraId="59538D67">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dxa"/>
            <w:shd w:val="clear" w:color="auto" w:fill="FFFFFF"/>
            <w:noWrap w:val="0"/>
            <w:vAlign w:val="center"/>
          </w:tcPr>
          <w:p w14:paraId="693C9963">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生物显微镜（进口）</w:t>
            </w:r>
          </w:p>
        </w:tc>
        <w:tc>
          <w:tcPr>
            <w:tcW w:w="4183" w:type="dxa"/>
            <w:noWrap w:val="0"/>
            <w:vAlign w:val="center"/>
          </w:tcPr>
          <w:p w14:paraId="7E6E20B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■1.光学系统：无限远光学系统；齐焦距离≥45mm。</w:t>
            </w:r>
          </w:p>
          <w:p w14:paraId="597E633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2.光口：手动分光调节，三档位分光，三目镜筒/图像口：100/0、0/100、20/80。</w:t>
            </w:r>
          </w:p>
          <w:p w14:paraId="1942BE6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■3.透射照明：高亮度白色LED照明器；通过使用准直透镜、复眼光学器件和LED照明、在高放大倍率下、在图像边缘也可获得明亮均匀的图像。且在所有放大倍率下均可获得相同的色温，使用寿命≥50000小时。</w:t>
            </w:r>
            <w:r>
              <w:rPr>
                <w:rFonts w:hint="eastAsia" w:ascii="宋体" w:hAnsi="宋体" w:eastAsia="宋体" w:cs="宋体"/>
                <w:b/>
                <w:color w:val="auto"/>
                <w:kern w:val="0"/>
                <w:szCs w:val="21"/>
                <w:highlight w:val="none"/>
              </w:rPr>
              <w:t>（投标文件中提供证明材料）</w:t>
            </w:r>
          </w:p>
          <w:p w14:paraId="265725B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■4.聚焦系统：同轴粗调焦/微调焦，调焦行程≥30mm；粗调焦：9.33mm/转，微调焦：0.1mm/转，微调焦刻度≤1μm。粗调扭矩可调，具有再定焦功能。</w:t>
            </w:r>
            <w:r>
              <w:rPr>
                <w:rFonts w:hint="eastAsia" w:ascii="宋体" w:hAnsi="宋体" w:eastAsia="宋体" w:cs="宋体"/>
                <w:b/>
                <w:color w:val="auto"/>
                <w:kern w:val="0"/>
                <w:szCs w:val="21"/>
                <w:highlight w:val="none"/>
              </w:rPr>
              <w:t>（投标文件中提供证明材料）</w:t>
            </w:r>
          </w:p>
          <w:p w14:paraId="6942C32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5.目镜与目镜筒：三目镜筒,预留相机接口，超宽视野10×目镜，视场数≥25mm。双目镜独立屈光度调整功能。</w:t>
            </w:r>
          </w:p>
          <w:p w14:paraId="7DD0ACF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6.载物台:右手柄陶瓷涂层载物台；确保频繁更换标本而不会损坏载物台表面；行程78（X）×54（Y）mm，带游标校准，载物台手柄高度可调、扭矩可调。</w:t>
            </w:r>
          </w:p>
          <w:p w14:paraId="1ABDD7F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7.聚光镜：阿贝聚光镜，N.A.≥0.9。</w:t>
            </w:r>
          </w:p>
          <w:p w14:paraId="2A429DD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■8.物镜转盘：智能编码型6孔物镜转换器；可软件自动切换和匹配标尺。</w:t>
            </w:r>
            <w:r>
              <w:rPr>
                <w:rFonts w:hint="eastAsia" w:ascii="宋体" w:hAnsi="宋体" w:eastAsia="宋体" w:cs="宋体"/>
                <w:b/>
                <w:color w:val="auto"/>
                <w:kern w:val="0"/>
                <w:szCs w:val="21"/>
                <w:highlight w:val="none"/>
              </w:rPr>
              <w:t>（投标文件中提供证明材料）</w:t>
            </w:r>
          </w:p>
          <w:p w14:paraId="790B7A7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■9.物镜：Plan Achromat(平场消色差物镜)、共5颗物镜、规格不低于以下要求</w:t>
            </w:r>
            <w:r>
              <w:rPr>
                <w:rFonts w:hint="eastAsia" w:ascii="宋体" w:hAnsi="宋体" w:eastAsia="宋体" w:cs="宋体"/>
                <w:b/>
                <w:color w:val="auto"/>
                <w:kern w:val="0"/>
                <w:szCs w:val="21"/>
                <w:highlight w:val="none"/>
              </w:rPr>
              <w:t>（投标文件中提供证明材料）</w:t>
            </w:r>
            <w:r>
              <w:rPr>
                <w:rFonts w:hint="eastAsia" w:ascii="宋体" w:hAnsi="宋体" w:eastAsia="宋体" w:cs="宋体"/>
                <w:color w:val="auto"/>
                <w:kern w:val="0"/>
                <w:szCs w:val="21"/>
                <w:highlight w:val="none"/>
              </w:rPr>
              <w:t>：</w:t>
            </w:r>
          </w:p>
          <w:p w14:paraId="505024B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平场消色差物镜 4× N.A. ≥0.10, W.D.≥30mm，</w:t>
            </w:r>
          </w:p>
          <w:p w14:paraId="6A726FF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平场消色差物镜10× N.A. ≥0.25, W.D.≥10.5mm，</w:t>
            </w:r>
          </w:p>
          <w:p w14:paraId="68DB047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平场消色差物镜20× N.A. ≥0.4, W.D. ≥1.2mm,</w:t>
            </w:r>
          </w:p>
          <w:p w14:paraId="01CF6EC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平场消色差物镜40× N.A. ≥0.65, W.D.≥0.56mm,</w:t>
            </w:r>
          </w:p>
          <w:p w14:paraId="3F8BEC21">
            <w:pPr>
              <w:widowControl/>
              <w:adjustRightInd w:val="0"/>
              <w:snapToGrid w:val="0"/>
              <w:spacing w:line="300" w:lineRule="auto"/>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平场消色差物镜100× N.A. ≥1.25, W.D.≥0.2mm</w:t>
            </w:r>
            <w:r>
              <w:rPr>
                <w:rFonts w:hint="eastAsia" w:ascii="宋体" w:hAnsi="宋体" w:eastAsia="宋体" w:cs="宋体"/>
                <w:color w:val="auto"/>
                <w:kern w:val="0"/>
                <w:szCs w:val="21"/>
                <w:highlight w:val="none"/>
                <w:lang w:eastAsia="zh-CN"/>
              </w:rPr>
              <w:t>。</w:t>
            </w:r>
          </w:p>
          <w:p w14:paraId="1B5FCC7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10.机身前部集成液晶屏幕显示状态，可指示当前物镜名称倍率和光线强度等信息。</w:t>
            </w:r>
          </w:p>
          <w:p w14:paraId="1B41FE8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11.光强管理功能：具有LIM光强管理功能，可自动记忆并再现每种物镜的光线强度水平。</w:t>
            </w:r>
          </w:p>
          <w:p w14:paraId="1ABF7C3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12.ECO功能：具有ECO功能，一段时间没有操作，将自动关闭照明。</w:t>
            </w:r>
          </w:p>
          <w:p w14:paraId="3DAA5901">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13.配摄像头及软件一套；控制终端一台（配置不低于：16G内存/1T 硬盘）。</w:t>
            </w:r>
          </w:p>
        </w:tc>
        <w:tc>
          <w:tcPr>
            <w:tcW w:w="984" w:type="dxa"/>
            <w:noWrap w:val="0"/>
            <w:vAlign w:val="center"/>
          </w:tcPr>
          <w:p w14:paraId="05340A4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7D61DEC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0B90613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D5B4ABB">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r w14:paraId="05C3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065B18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84" w:type="dxa"/>
            <w:noWrap w:val="0"/>
            <w:vAlign w:val="center"/>
          </w:tcPr>
          <w:p w14:paraId="3A19AE90">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体视显微镜（进口）</w:t>
            </w:r>
          </w:p>
        </w:tc>
        <w:tc>
          <w:tcPr>
            <w:tcW w:w="4183" w:type="dxa"/>
            <w:noWrap w:val="0"/>
            <w:vAlign w:val="center"/>
          </w:tcPr>
          <w:p w14:paraId="4EA6F0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■1.变焦镜体：平行(变焦)光学系统；变焦比：≥12.7:1（0.63×-8×）。可看到完整的35mm培养皿视野。</w:t>
            </w:r>
            <w:r>
              <w:rPr>
                <w:rFonts w:hint="eastAsia" w:ascii="宋体" w:hAnsi="宋体" w:eastAsia="宋体" w:cs="宋体"/>
                <w:b/>
                <w:color w:val="auto"/>
                <w:kern w:val="0"/>
                <w:szCs w:val="21"/>
                <w:highlight w:val="none"/>
              </w:rPr>
              <w:t>（投标文件中提供证明材料）</w:t>
            </w:r>
          </w:p>
          <w:p w14:paraId="1C3B685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■2.倍率表示：0.63/1/2/3/4/5/6/8。</w:t>
            </w:r>
            <w:r>
              <w:rPr>
                <w:rFonts w:hint="eastAsia" w:ascii="宋体" w:hAnsi="宋体" w:eastAsia="宋体" w:cs="宋体"/>
                <w:b/>
                <w:color w:val="auto"/>
                <w:kern w:val="0"/>
                <w:szCs w:val="21"/>
                <w:highlight w:val="none"/>
              </w:rPr>
              <w:t>（投标文件中提供证明材料）</w:t>
            </w:r>
          </w:p>
          <w:p w14:paraId="12AA778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■3.综合倍率：3.15×-480×（取决于目镜和物镜）。</w:t>
            </w:r>
          </w:p>
          <w:p w14:paraId="194DB45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4.物镜：平场复消色差 1×物镜，工作距离≥60mm。</w:t>
            </w:r>
          </w:p>
          <w:p w14:paraId="7E0954C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5.目镜：10×目镜一对，视野数≥22。双目屈光度可调节。</w:t>
            </w:r>
          </w:p>
          <w:p w14:paraId="57C4F60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6.镜筒：三目人机学观察镜筒，光瞳间距可调节，倾角15°。可接摄像装置,光路切换比为：100/0,0/100。</w:t>
            </w:r>
          </w:p>
          <w:p w14:paraId="46FB2FC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7.聚焦机构：手动Z轴对焦单元，手动同轴粗微调焦旋钮。调焦范围：50mm。</w:t>
            </w:r>
          </w:p>
          <w:p w14:paraId="5390DAC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■8.物镜转盘：可升级智能物镜转盘，安装2只物镜，可同时实现同轴观察与立体观察。</w:t>
            </w:r>
          </w:p>
          <w:p w14:paraId="340BD6C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■9.底座：LED透射光源底座，具有相干相衬（0CC）高分辨斜照明装置。</w:t>
            </w:r>
            <w:r>
              <w:rPr>
                <w:rFonts w:hint="eastAsia" w:ascii="宋体" w:hAnsi="宋体" w:eastAsia="宋体" w:cs="宋体"/>
                <w:b/>
                <w:color w:val="auto"/>
                <w:kern w:val="0"/>
                <w:szCs w:val="21"/>
                <w:highlight w:val="none"/>
              </w:rPr>
              <w:t>（投标文件中提供证明材料）</w:t>
            </w:r>
          </w:p>
          <w:p w14:paraId="5CAFAE7B">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10.投射光源：LED环形光投射光源。</w:t>
            </w:r>
          </w:p>
        </w:tc>
        <w:tc>
          <w:tcPr>
            <w:tcW w:w="984" w:type="dxa"/>
            <w:noWrap w:val="0"/>
            <w:vAlign w:val="center"/>
          </w:tcPr>
          <w:p w14:paraId="7CA4AA2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21DD155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026B54D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454DBEE0">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r w14:paraId="652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7C40DE5">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4" w:type="dxa"/>
            <w:noWrap w:val="0"/>
            <w:vAlign w:val="center"/>
          </w:tcPr>
          <w:p w14:paraId="2B78EEB5">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荧光倒置显微镜（进口）</w:t>
            </w:r>
          </w:p>
        </w:tc>
        <w:tc>
          <w:tcPr>
            <w:tcW w:w="4183" w:type="dxa"/>
            <w:noWrap w:val="0"/>
            <w:vAlign w:val="top"/>
          </w:tcPr>
          <w:p w14:paraId="3D1560AF">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一、基本参数</w:t>
            </w:r>
          </w:p>
          <w:p w14:paraId="0882E22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1.输出端口：4个输出端口，手动切换，分光比例为目镜端口100%，左端口100%，右端口100%，选装目镜20%/左端80%。最多可升级为6个输出端口，可同时连接多个外接设备。</w:t>
            </w:r>
          </w:p>
          <w:p w14:paraId="03DEA1B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■2.多层光路系统，可加装例如第二个荧光滤光块转盘，发射滤光片转盘，后端口部件和LAPP模块。</w:t>
            </w:r>
            <w:r>
              <w:rPr>
                <w:rFonts w:hint="eastAsia" w:ascii="宋体" w:hAnsi="宋体" w:eastAsia="宋体" w:cs="宋体"/>
                <w:b/>
                <w:color w:val="auto"/>
                <w:kern w:val="0"/>
                <w:szCs w:val="21"/>
                <w:highlight w:val="none"/>
              </w:rPr>
              <w:t>（投标文件中提供证明材料）</w:t>
            </w:r>
          </w:p>
          <w:p w14:paraId="1900B94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3.中间变倍：机身集成中间变倍模块，手动切换1.0×/1.5×。</w:t>
            </w:r>
          </w:p>
          <w:p w14:paraId="3403D29F">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■4.视场数：端口成像视野≥25（F接口）。</w:t>
            </w:r>
            <w:r>
              <w:rPr>
                <w:rFonts w:hint="eastAsia" w:ascii="宋体" w:hAnsi="宋体" w:eastAsia="宋体" w:cs="宋体"/>
                <w:b/>
                <w:color w:val="auto"/>
                <w:kern w:val="0"/>
                <w:szCs w:val="21"/>
                <w:highlight w:val="none"/>
              </w:rPr>
              <w:t>（投标文件中提供证明材料）</w:t>
            </w:r>
          </w:p>
          <w:p w14:paraId="359056F6">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■5.透射照明：高功率LED透射照明，采用复眼透镜设计；集成手动光闸,视场光阑和重复定焦机构,后倾角度≥25度。</w:t>
            </w:r>
            <w:r>
              <w:rPr>
                <w:rFonts w:hint="eastAsia" w:ascii="宋体" w:hAnsi="宋体" w:eastAsia="宋体" w:cs="宋体"/>
                <w:b/>
                <w:color w:val="auto"/>
                <w:kern w:val="0"/>
                <w:szCs w:val="21"/>
                <w:highlight w:val="none"/>
              </w:rPr>
              <w:t>（投标文件中提供证明材料）</w:t>
            </w:r>
          </w:p>
          <w:p w14:paraId="7CAA8B7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6.镜筒和目镜：双目镜筒，10×目镜两只，屈光度均独立可调，视场数≥22。</w:t>
            </w:r>
          </w:p>
          <w:p w14:paraId="75E41526">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7.载物台：精确定位功能手动载物台，行程X57mm×Y36.5mm、长/中/短调节手柄可选。可适用调节销调节行程范围。</w:t>
            </w:r>
          </w:p>
          <w:p w14:paraId="41CBDD0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8.聚光器：≥7工位手动系统聚光镜转盘，聚光镜调节行程≥66mm，长工作距离聚光镜，N.A≥0.52，WD≥30mm。</w:t>
            </w:r>
          </w:p>
          <w:p w14:paraId="006AD6C2">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9.物镜转换器：手动六孔位物镜转换器。</w:t>
            </w:r>
          </w:p>
          <w:p w14:paraId="769186F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10.落射荧光单元：</w:t>
            </w:r>
          </w:p>
          <w:p w14:paraId="73A17F7F">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11.荧光激发块转盘：手动荧光激发块转盘，标准配置≥6个位置旋转盒；带有手动光闸。</w:t>
            </w:r>
          </w:p>
          <w:p w14:paraId="6DA135D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荧光光源：长寿命LED光源，寿命≥20000小时；配备四个LED（385nm、475nm、550nm、621nm）,独立控制器可开关光源和无极调节光源亮度。光源直接耦合进荧光光路，无需对中。软件控制各个波长的输出，可实现所有波长同步调强度或者单个波长分别调节亮度。可即开即关；无需光闸可实现高速实验。</w:t>
            </w:r>
          </w:p>
          <w:p w14:paraId="4ABD4D92">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■13.支持大视野成像的落射荧光照明器配有石英材质的复眼照明透镜，可提供包括紫外在内的广谱的高透过率。</w:t>
            </w:r>
            <w:r>
              <w:rPr>
                <w:rFonts w:hint="eastAsia" w:ascii="宋体" w:hAnsi="宋体" w:eastAsia="宋体" w:cs="宋体"/>
                <w:b/>
                <w:color w:val="auto"/>
                <w:kern w:val="0"/>
                <w:szCs w:val="21"/>
                <w:highlight w:val="none"/>
              </w:rPr>
              <w:t>（投标文件中提供证明材料）</w:t>
            </w:r>
          </w:p>
          <w:p w14:paraId="135AAA8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■14.本次配置四个带通荧光滤光块： DAPI/FITC/YFP/mcherry激发块各1块。配备有噪声消除功能，能消除荧光成像中的杂散光。</w:t>
            </w:r>
            <w:r>
              <w:rPr>
                <w:rFonts w:hint="eastAsia" w:ascii="宋体" w:hAnsi="宋体" w:eastAsia="宋体" w:cs="宋体"/>
                <w:b/>
                <w:color w:val="auto"/>
                <w:kern w:val="0"/>
                <w:szCs w:val="21"/>
                <w:highlight w:val="none"/>
              </w:rPr>
              <w:t>（投标文件中提供证明材料）</w:t>
            </w:r>
          </w:p>
          <w:p w14:paraId="3CC6423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■15.物镜：平场半复消色差相差物镜、共4颗</w:t>
            </w:r>
            <w:r>
              <w:rPr>
                <w:rFonts w:hint="eastAsia" w:ascii="宋体" w:hAnsi="宋体" w:eastAsia="宋体" w:cs="宋体"/>
                <w:b/>
                <w:color w:val="auto"/>
                <w:kern w:val="0"/>
                <w:szCs w:val="21"/>
                <w:highlight w:val="none"/>
              </w:rPr>
              <w:t>（投标文件中提供证明材料）</w:t>
            </w:r>
            <w:r>
              <w:rPr>
                <w:rFonts w:hint="eastAsia" w:ascii="宋体" w:hAnsi="宋体" w:eastAsia="宋体" w:cs="宋体"/>
                <w:color w:val="auto"/>
                <w:kern w:val="0"/>
                <w:szCs w:val="21"/>
                <w:highlight w:val="none"/>
              </w:rPr>
              <w:t>：</w:t>
            </w:r>
          </w:p>
          <w:p w14:paraId="19683615">
            <w:pPr>
              <w:widowControl/>
              <w:adjustRightInd w:val="0"/>
              <w:snapToGrid w:val="0"/>
              <w:spacing w:line="300" w:lineRule="auto"/>
              <w:jc w:val="left"/>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平场半复消色差相差物镜 4× N.A.≥0.13, W.D.≥16.4 mm</w:t>
            </w:r>
            <w:r>
              <w:rPr>
                <w:rFonts w:hint="eastAsia" w:ascii="宋体" w:hAnsi="宋体" w:eastAsia="宋体" w:cs="宋体"/>
                <w:color w:val="auto"/>
                <w:kern w:val="0"/>
                <w:szCs w:val="21"/>
                <w:highlight w:val="none"/>
                <w:lang w:eastAsia="zh-CN"/>
              </w:rPr>
              <w:t>，</w:t>
            </w:r>
          </w:p>
          <w:p w14:paraId="128BE19B">
            <w:pPr>
              <w:widowControl/>
              <w:adjustRightInd w:val="0"/>
              <w:snapToGrid w:val="0"/>
              <w:spacing w:line="300" w:lineRule="auto"/>
              <w:jc w:val="left"/>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平场半复消色差相差物镜10× N.A.≥0.30, W.D.≥15.2 mm</w:t>
            </w:r>
            <w:r>
              <w:rPr>
                <w:rFonts w:hint="eastAsia" w:ascii="宋体" w:hAnsi="宋体" w:eastAsia="宋体" w:cs="宋体"/>
                <w:color w:val="auto"/>
                <w:kern w:val="0"/>
                <w:szCs w:val="21"/>
                <w:highlight w:val="none"/>
                <w:lang w:eastAsia="zh-CN"/>
              </w:rPr>
              <w:t>，</w:t>
            </w:r>
          </w:p>
          <w:p w14:paraId="687825E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超长工作距离平场半复消色差物镜20× N.A.≥0.45, W.D.≥8.2-6.9mm,</w:t>
            </w:r>
          </w:p>
          <w:p w14:paraId="7776CB42">
            <w:pPr>
              <w:widowControl/>
              <w:adjustRightInd w:val="0"/>
              <w:snapToGrid w:val="0"/>
              <w:spacing w:line="300" w:lineRule="auto"/>
              <w:jc w:val="left"/>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超长工作距离平场半复消色差物镜40× N.A.≥ 0.6, W.D.≥3.6-2.8mm</w:t>
            </w:r>
            <w:r>
              <w:rPr>
                <w:rFonts w:hint="eastAsia" w:ascii="宋体" w:hAnsi="宋体" w:eastAsia="宋体" w:cs="宋体"/>
                <w:color w:val="auto"/>
                <w:kern w:val="0"/>
                <w:szCs w:val="21"/>
                <w:highlight w:val="none"/>
                <w:lang w:eastAsia="zh-CN"/>
              </w:rPr>
              <w:t>。</w:t>
            </w:r>
          </w:p>
          <w:p w14:paraId="7E4DE9B7">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二、超高分辨率科研级CMOS成像系统</w:t>
            </w:r>
          </w:p>
          <w:p w14:paraId="447CAD42">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1.图像传感器规格：彩色CMOS图像传感器</w:t>
            </w:r>
            <w:r>
              <w:rPr>
                <w:rFonts w:hint="eastAsia" w:ascii="宋体" w:hAnsi="宋体" w:eastAsia="宋体" w:cs="宋体"/>
                <w:b w:val="0"/>
                <w:bCs w:val="0"/>
                <w:color w:val="auto"/>
                <w:kern w:val="0"/>
                <w:szCs w:val="21"/>
                <w:highlight w:val="none"/>
              </w:rPr>
              <w:t>。</w:t>
            </w:r>
            <w:r>
              <w:rPr>
                <w:rFonts w:hint="eastAsia" w:ascii="宋体" w:hAnsi="宋体" w:eastAsia="宋体" w:cs="宋体"/>
                <w:b/>
                <w:color w:val="auto"/>
                <w:kern w:val="0"/>
                <w:szCs w:val="21"/>
                <w:highlight w:val="none"/>
              </w:rPr>
              <w:t>（投标文件中提供证明材料）</w:t>
            </w:r>
          </w:p>
          <w:p w14:paraId="23F8505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■2.物理像素：≥2390万像素。（非像素位移技术获得）、单次拍摄最大分辨率：≥6000×3984。</w:t>
            </w:r>
          </w:p>
          <w:p w14:paraId="6FF64BA4">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3.响应速度：≤9fps(最大分辨率4908×3264下)。≤66fps(分辨率1920×1080下)。可使用ROI模式。</w:t>
            </w:r>
            <w:r>
              <w:rPr>
                <w:rFonts w:hint="eastAsia" w:ascii="宋体" w:hAnsi="宋体" w:eastAsia="宋体" w:cs="宋体"/>
                <w:b/>
                <w:color w:val="auto"/>
                <w:kern w:val="0"/>
                <w:szCs w:val="21"/>
                <w:highlight w:val="none"/>
              </w:rPr>
              <w:t>（投标文件中提供证明材料）</w:t>
            </w:r>
          </w:p>
          <w:p w14:paraId="4E54F91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4.曝光时间：100微秒-120秒。</w:t>
            </w:r>
          </w:p>
          <w:p w14:paraId="5B8B14A6">
            <w:pPr>
              <w:widowControl/>
              <w:adjustRightInd w:val="0"/>
              <w:snapToGrid w:val="0"/>
              <w:spacing w:line="300" w:lineRule="auto"/>
              <w:jc w:val="left"/>
              <w:textAlignment w:val="top"/>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三、配套控制分析软件</w:t>
            </w:r>
            <w:r>
              <w:rPr>
                <w:rFonts w:hint="eastAsia" w:ascii="宋体" w:hAnsi="宋体" w:eastAsia="宋体" w:cs="宋体"/>
                <w:b/>
                <w:bCs/>
                <w:color w:val="auto"/>
                <w:kern w:val="0"/>
                <w:szCs w:val="21"/>
                <w:highlight w:val="none"/>
                <w:lang w:val="en-US" w:eastAsia="zh-CN"/>
              </w:rPr>
              <w:t>及终端</w:t>
            </w:r>
          </w:p>
          <w:p w14:paraId="4330699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1.原装正版中文软件：主要功能：摄像头控制、单幅图像拍摄/动态图像拍摄；时间序列图像获取；多点图像拍摄；AVI动态流拍摄；物镜定标；直方图显示；手动测量。</w:t>
            </w:r>
          </w:p>
          <w:p w14:paraId="47BD20D1">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2.控制终端一套：配置不低于：16G内存/1T 硬盘/DVD/2G独立显卡/24英</w:t>
            </w:r>
            <w:r>
              <w:rPr>
                <w:rFonts w:ascii="宋体" w:hAnsi="宋体" w:eastAsia="宋体" w:cs="宋体"/>
                <w:color w:val="auto"/>
                <w:kern w:val="0"/>
                <w:szCs w:val="21"/>
                <w:highlight w:val="none"/>
              </w:rPr>
              <w:t>寸</w:t>
            </w:r>
            <w:r>
              <w:rPr>
                <w:rFonts w:hint="eastAsia" w:ascii="宋体" w:hAnsi="宋体" w:eastAsia="宋体" w:cs="宋体"/>
                <w:color w:val="auto"/>
                <w:kern w:val="0"/>
                <w:szCs w:val="21"/>
                <w:highlight w:val="none"/>
              </w:rPr>
              <w:t xml:space="preserve">宽高清显示器1920*1080。 </w:t>
            </w:r>
          </w:p>
          <w:p w14:paraId="7959DA1B">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3.基本配置：</w:t>
            </w:r>
          </w:p>
          <w:p w14:paraId="0CCD6AD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显微镜主机：1套；</w:t>
            </w:r>
          </w:p>
          <w:p w14:paraId="49015DB2">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透射明场照明系统：1套；</w:t>
            </w:r>
          </w:p>
          <w:p w14:paraId="7286109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相差附件：1套；</w:t>
            </w:r>
          </w:p>
          <w:p w14:paraId="4B43619E">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超长工作距离半复消色差平场相差物镜4×、10×、20×、40×：1套；</w:t>
            </w:r>
          </w:p>
          <w:p w14:paraId="218CD3D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荧光附件：1套；</w:t>
            </w:r>
          </w:p>
          <w:p w14:paraId="0CF2C4C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双模式相机及软件：1套；</w:t>
            </w:r>
          </w:p>
          <w:p w14:paraId="6339B73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控制终端：1台；</w:t>
            </w:r>
          </w:p>
          <w:p w14:paraId="461E829B">
            <w:pPr>
              <w:widowControl/>
              <w:adjustRightInd w:val="0"/>
              <w:snapToGrid w:val="0"/>
              <w:spacing w:line="300" w:lineRule="auto"/>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3.8 必配的附件、配件、专用工具、消耗品等。</w:t>
            </w:r>
          </w:p>
        </w:tc>
        <w:tc>
          <w:tcPr>
            <w:tcW w:w="984" w:type="dxa"/>
            <w:noWrap w:val="0"/>
            <w:vAlign w:val="center"/>
          </w:tcPr>
          <w:p w14:paraId="28EC72F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62142C3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520D6E8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是</w:t>
            </w:r>
          </w:p>
        </w:tc>
        <w:tc>
          <w:tcPr>
            <w:tcW w:w="657" w:type="dxa"/>
            <w:noWrap w:val="0"/>
            <w:vAlign w:val="center"/>
          </w:tcPr>
          <w:p w14:paraId="6BFFF3F2">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r w14:paraId="5F78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CF5588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184" w:type="dxa"/>
            <w:noWrap w:val="0"/>
            <w:vAlign w:val="center"/>
          </w:tcPr>
          <w:p w14:paraId="34F785EE">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近红外谷物分析仪（进口）</w:t>
            </w:r>
          </w:p>
        </w:tc>
        <w:tc>
          <w:tcPr>
            <w:tcW w:w="4183" w:type="dxa"/>
            <w:noWrap w:val="0"/>
            <w:vAlign w:val="top"/>
          </w:tcPr>
          <w:p w14:paraId="4E731FEB">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一、基本参数</w:t>
            </w:r>
          </w:p>
          <w:p w14:paraId="2B921F2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■1.波长范围：600-2500nm。</w:t>
            </w:r>
          </w:p>
          <w:p w14:paraId="260FD3A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2.全校准光谱技术，无波长漂移，无杂散光影响。</w:t>
            </w:r>
          </w:p>
          <w:p w14:paraId="4C2B30D6">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3.仪器具备定标模型与数据传输能力，网络化功能，保证各台仪器之间结果的准确及可比性。</w:t>
            </w:r>
          </w:p>
          <w:p w14:paraId="4B783AFB">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4.工作温度：5-40°C。</w:t>
            </w:r>
          </w:p>
          <w:p w14:paraId="520185D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■5.检测器数量：2个，配置扩展型双铟镓砷检测器。</w:t>
            </w:r>
          </w:p>
          <w:p w14:paraId="09A6DF7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■6.检测指标：水分、蛋白、吸水率、含油、异黄酮、亮氨酸、赖氨酸、直链淀粉、芥酸、油酸、亚油酸、亚麻酸等。</w:t>
            </w:r>
          </w:p>
          <w:p w14:paraId="147D3ED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7.具有建立、组合、修正定标曲线和开机自检、结果显示、异常样品标示功能，可升级。可实现数据传输，仪器维护，远程诊断等功能。</w:t>
            </w:r>
          </w:p>
          <w:p w14:paraId="0D54AFED">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■8.预装定标模型，包括小麦、大豆、稻谷、玉米、油菜籽、花生和芝麻等，支持MLR、PLS化学统计模型，支持模型转换，后期定标模型的免费升级。</w:t>
            </w:r>
          </w:p>
          <w:p w14:paraId="58305358">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■9.具有通过分光校准标准品Photometric、波长校准标准品Wavelength、黑度校准标准品Dark三个标准品对仪器进行校准及诊断功能</w:t>
            </w:r>
            <w:r>
              <w:rPr>
                <w:rFonts w:hint="eastAsia" w:ascii="宋体" w:hAnsi="宋体" w:eastAsia="宋体" w:cs="宋体"/>
                <w:b/>
                <w:bCs/>
                <w:color w:val="auto"/>
                <w:kern w:val="0"/>
                <w:szCs w:val="21"/>
                <w:highlight w:val="none"/>
                <w:lang w:eastAsia="zh-CN"/>
              </w:rPr>
              <w:t>（投标文件中提供三个标准品图片）</w:t>
            </w:r>
            <w:r>
              <w:rPr>
                <w:rFonts w:hint="eastAsia" w:ascii="宋体" w:hAnsi="宋体" w:eastAsia="宋体" w:cs="宋体"/>
                <w:color w:val="auto"/>
                <w:kern w:val="0"/>
                <w:szCs w:val="21"/>
                <w:highlight w:val="none"/>
              </w:rPr>
              <w:t>。</w:t>
            </w:r>
          </w:p>
          <w:p w14:paraId="14D27A68">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二、基本配置</w:t>
            </w:r>
          </w:p>
          <w:p w14:paraId="1003ADA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1.主机：1。</w:t>
            </w:r>
          </w:p>
          <w:p w14:paraId="217A551B">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2.样品旋转盘：1个。</w:t>
            </w:r>
          </w:p>
          <w:p w14:paraId="3A4DE8D1">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3.配置≥17英寸高分辨率触摸显示屏的内置处理终端（配置不低于：16G内存/1T 硬盘）：1个 。</w:t>
            </w:r>
          </w:p>
          <w:p w14:paraId="0481A32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4.专用操作软件：1套。</w:t>
            </w:r>
          </w:p>
          <w:p w14:paraId="376C5188">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5.多用途样品基座(适合多形态样品检测)：1个。</w:t>
            </w:r>
          </w:p>
          <w:p w14:paraId="58422AF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6.分光校准标准品、波长校准标准品、黑度校准标准品共3个。</w:t>
            </w:r>
          </w:p>
          <w:p w14:paraId="19FB95D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7.固体颗粒和粉末检测样品杯1个。</w:t>
            </w:r>
          </w:p>
          <w:p w14:paraId="78485BF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8.育种检测样品装置2个。</w:t>
            </w:r>
          </w:p>
          <w:p w14:paraId="346F74B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9.测量大杯：1个。</w:t>
            </w:r>
          </w:p>
          <w:p w14:paraId="125EB492">
            <w:pPr>
              <w:widowControl/>
              <w:adjustRightInd w:val="0"/>
              <w:snapToGrid w:val="0"/>
              <w:spacing w:line="300" w:lineRule="auto"/>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10.测量小杯（育种杯）：1个。</w:t>
            </w:r>
          </w:p>
        </w:tc>
        <w:tc>
          <w:tcPr>
            <w:tcW w:w="984" w:type="dxa"/>
            <w:noWrap w:val="0"/>
            <w:vAlign w:val="center"/>
          </w:tcPr>
          <w:p w14:paraId="310ED01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68" w:type="dxa"/>
            <w:noWrap w:val="0"/>
            <w:vAlign w:val="center"/>
          </w:tcPr>
          <w:p w14:paraId="35E88A9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31" w:type="dxa"/>
            <w:noWrap w:val="0"/>
            <w:vAlign w:val="center"/>
          </w:tcPr>
          <w:p w14:paraId="43837CB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657" w:type="dxa"/>
            <w:noWrap w:val="0"/>
            <w:vAlign w:val="center"/>
          </w:tcPr>
          <w:p w14:paraId="2CA27545">
            <w:pPr>
              <w:widowControl/>
              <w:adjustRightInd w:val="0"/>
              <w:snapToGrid w:val="0"/>
              <w:spacing w:line="300" w:lineRule="auto"/>
              <w:jc w:val="center"/>
              <w:textAlignment w:val="center"/>
              <w:rPr>
                <w:rFonts w:ascii="宋体" w:hAnsi="宋体" w:eastAsia="宋体" w:cs="宋体"/>
                <w:color w:val="auto"/>
                <w:kern w:val="0"/>
                <w:szCs w:val="21"/>
                <w:highlight w:val="none"/>
              </w:rPr>
            </w:pPr>
          </w:p>
        </w:tc>
      </w:tr>
    </w:tbl>
    <w:p w14:paraId="37815832">
      <w:pPr>
        <w:adjustRightInd w:val="0"/>
        <w:snapToGrid w:val="0"/>
        <w:spacing w:beforeLines="50" w:line="360" w:lineRule="auto"/>
        <w:ind w:firstLine="482"/>
        <w:outlineLvl w:val="1"/>
        <w:rPr>
          <w:rFonts w:ascii="宋体" w:hAnsi="宋体" w:eastAsia="宋体"/>
          <w:b/>
          <w:color w:val="auto"/>
          <w:szCs w:val="21"/>
          <w:highlight w:val="none"/>
        </w:rPr>
      </w:pPr>
    </w:p>
    <w:p w14:paraId="30773780">
      <w:pPr>
        <w:spacing w:line="360" w:lineRule="auto"/>
        <w:outlineLvl w:val="1"/>
        <w:rPr>
          <w:rFonts w:ascii="宋体" w:hAnsi="宋体" w:eastAsia="宋体"/>
          <w:b/>
          <w:bCs/>
          <w:color w:val="auto"/>
          <w:szCs w:val="18"/>
          <w:highlight w:val="none"/>
        </w:rPr>
      </w:pPr>
      <w:bookmarkStart w:id="8" w:name="_Toc7421"/>
      <w:bookmarkStart w:id="9" w:name="_Toc178465415"/>
      <w:bookmarkStart w:id="10" w:name="_Toc4843"/>
      <w:r>
        <w:rPr>
          <w:rFonts w:hint="eastAsia" w:ascii="宋体" w:hAnsi="宋体" w:eastAsia="宋体"/>
          <w:b/>
          <w:bCs/>
          <w:color w:val="auto"/>
          <w:szCs w:val="18"/>
          <w:highlight w:val="none"/>
        </w:rPr>
        <w:t>三、报价要求</w:t>
      </w:r>
      <w:bookmarkEnd w:id="8"/>
      <w:bookmarkEnd w:id="9"/>
      <w:bookmarkEnd w:id="10"/>
    </w:p>
    <w:p w14:paraId="6AF4B41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5EFFA261">
      <w:pPr>
        <w:spacing w:line="360" w:lineRule="auto"/>
        <w:outlineLvl w:val="1"/>
        <w:rPr>
          <w:rFonts w:ascii="宋体" w:hAnsi="宋体" w:eastAsia="宋体"/>
          <w:b/>
          <w:bCs/>
          <w:color w:val="auto"/>
          <w:szCs w:val="18"/>
          <w:highlight w:val="none"/>
        </w:rPr>
      </w:pPr>
      <w:bookmarkStart w:id="11" w:name="_Toc178465416"/>
      <w:r>
        <w:rPr>
          <w:rFonts w:hint="eastAsia" w:ascii="宋体" w:hAnsi="宋体" w:eastAsia="宋体"/>
          <w:b/>
          <w:bCs/>
          <w:color w:val="auto"/>
          <w:szCs w:val="18"/>
          <w:highlight w:val="none"/>
        </w:rPr>
        <w:t>四、安装调试、验收试验及质量保证</w:t>
      </w:r>
      <w:bookmarkEnd w:id="11"/>
    </w:p>
    <w:p w14:paraId="57CFE653">
      <w:pPr>
        <w:spacing w:line="360" w:lineRule="auto"/>
        <w:ind w:firstLine="420" w:firstLineChars="200"/>
        <w:rPr>
          <w:rFonts w:ascii="宋体" w:hAnsi="宋体" w:eastAsia="宋体"/>
          <w:color w:val="auto"/>
          <w:highlight w:val="none"/>
        </w:rPr>
      </w:pPr>
      <w:bookmarkStart w:id="12" w:name="_Toc445554754"/>
      <w:bookmarkStart w:id="13" w:name="_Toc455587095"/>
      <w:bookmarkStart w:id="14" w:name="_Toc455587279"/>
      <w:r>
        <w:rPr>
          <w:rFonts w:hint="eastAsia" w:ascii="宋体" w:hAnsi="宋体" w:eastAsia="宋体"/>
          <w:color w:val="auto"/>
          <w:highlight w:val="none"/>
        </w:rPr>
        <w:t>1、中标人在设备安装地点负责安装、调试。</w:t>
      </w:r>
    </w:p>
    <w:p w14:paraId="0FE02AA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4352AF2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47CEDFF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C9469E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7917BBC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595AD92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4999A1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32E47F27">
      <w:pPr>
        <w:spacing w:line="360" w:lineRule="auto"/>
        <w:outlineLvl w:val="1"/>
        <w:rPr>
          <w:rFonts w:ascii="宋体" w:hAnsi="宋体" w:eastAsia="宋体"/>
          <w:b/>
          <w:bCs/>
          <w:color w:val="auto"/>
          <w:szCs w:val="18"/>
          <w:highlight w:val="none"/>
        </w:rPr>
      </w:pPr>
      <w:bookmarkStart w:id="15" w:name="_Toc178465417"/>
      <w:bookmarkStart w:id="16" w:name="_Toc532199627"/>
      <w:bookmarkStart w:id="17" w:name="_Toc72431744"/>
      <w:bookmarkStart w:id="18" w:name="_Toc72431420"/>
      <w:r>
        <w:rPr>
          <w:rFonts w:hint="eastAsia" w:ascii="宋体" w:hAnsi="宋体" w:eastAsia="宋体"/>
          <w:b/>
          <w:bCs/>
          <w:color w:val="auto"/>
          <w:szCs w:val="18"/>
          <w:highlight w:val="none"/>
        </w:rPr>
        <w:t>五、备品备件及专用工具</w:t>
      </w:r>
      <w:bookmarkEnd w:id="15"/>
    </w:p>
    <w:p w14:paraId="564A6792">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51F9AD49">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2"/>
    <w:bookmarkEnd w:id="13"/>
    <w:bookmarkEnd w:id="14"/>
    <w:bookmarkEnd w:id="16"/>
    <w:bookmarkEnd w:id="17"/>
    <w:bookmarkEnd w:id="18"/>
    <w:p w14:paraId="4EE29EB3">
      <w:pPr>
        <w:spacing w:line="360" w:lineRule="auto"/>
        <w:outlineLvl w:val="1"/>
        <w:rPr>
          <w:rFonts w:ascii="宋体" w:hAnsi="宋体" w:eastAsia="宋体"/>
          <w:b/>
          <w:bCs/>
          <w:color w:val="auto"/>
          <w:szCs w:val="18"/>
          <w:highlight w:val="none"/>
        </w:rPr>
      </w:pPr>
      <w:bookmarkStart w:id="19" w:name="_Toc178465418"/>
      <w:r>
        <w:rPr>
          <w:rFonts w:hint="eastAsia" w:ascii="宋体" w:hAnsi="宋体" w:eastAsia="宋体"/>
          <w:b/>
          <w:bCs/>
          <w:color w:val="auto"/>
          <w:szCs w:val="18"/>
          <w:highlight w:val="none"/>
        </w:rPr>
        <w:t>六、包装运输</w:t>
      </w:r>
      <w:bookmarkEnd w:id="19"/>
    </w:p>
    <w:p w14:paraId="529C516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4B8EC4FF">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23FA2A1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32FBC4C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59498F4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0ACCE7A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7FA94DB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78C171FE">
      <w:pPr>
        <w:spacing w:line="360" w:lineRule="auto"/>
        <w:outlineLvl w:val="1"/>
        <w:rPr>
          <w:rFonts w:ascii="宋体" w:hAnsi="宋体" w:eastAsia="宋体"/>
          <w:b/>
          <w:bCs/>
          <w:color w:val="auto"/>
          <w:szCs w:val="18"/>
          <w:highlight w:val="none"/>
        </w:rPr>
      </w:pPr>
      <w:bookmarkStart w:id="20" w:name="_Toc178465419"/>
      <w:r>
        <w:rPr>
          <w:rFonts w:hint="eastAsia" w:ascii="宋体" w:hAnsi="宋体" w:eastAsia="宋体"/>
          <w:b/>
          <w:bCs/>
          <w:color w:val="auto"/>
          <w:szCs w:val="18"/>
          <w:highlight w:val="none"/>
        </w:rPr>
        <w:t>七、技术培训</w:t>
      </w:r>
      <w:bookmarkEnd w:id="20"/>
    </w:p>
    <w:p w14:paraId="43806E6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05B080C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13D2AD9A">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3DEA8DE4">
      <w:pPr>
        <w:spacing w:line="360" w:lineRule="auto"/>
        <w:outlineLvl w:val="1"/>
        <w:rPr>
          <w:rFonts w:ascii="宋体" w:hAnsi="宋体" w:eastAsia="宋体"/>
          <w:b/>
          <w:bCs/>
          <w:color w:val="auto"/>
          <w:szCs w:val="18"/>
          <w:highlight w:val="none"/>
        </w:rPr>
      </w:pPr>
      <w:bookmarkStart w:id="21" w:name="_Toc178465420"/>
      <w:r>
        <w:rPr>
          <w:rFonts w:hint="eastAsia" w:ascii="宋体" w:hAnsi="宋体" w:eastAsia="宋体"/>
          <w:b/>
          <w:bCs/>
          <w:color w:val="auto"/>
          <w:szCs w:val="18"/>
          <w:highlight w:val="none"/>
        </w:rPr>
        <w:t>八、质保及售后服务</w:t>
      </w:r>
      <w:bookmarkEnd w:id="21"/>
    </w:p>
    <w:p w14:paraId="5204FA4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7C625BE9">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B0E52CA">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53AC070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72865AC7">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DgwOWE2N2Y5MWIyN2U3NzI3YzFkMDFlYTRjYzkifQ=="/>
  </w:docVars>
  <w:rsids>
    <w:rsidRoot w:val="699D71C5"/>
    <w:rsid w:val="699D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none" w:color="auto" w:sz="0" w:space="0"/>
      </w:pBdr>
      <w:snapToGrid/>
    </w:pPr>
    <w:rPr>
      <w:rFonts w:ascii="宋体" w:hAnsi="宋体" w:eastAsia="宋体"/>
      <w:bCs/>
      <w:sz w:val="24"/>
      <w:szCs w:val="20"/>
    </w:rPr>
  </w:style>
  <w:style w:type="paragraph" w:customStyle="1" w:styleId="7">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2024-10-11T10:57:00Z</dcterms:created>
  <dc:creator>校对-许美玥</dc:creator>
  <cp:lastModifiedBy>校对-许美玥</cp:lastModifiedBy>
  <dcterms:modified xsi:type="dcterms:W3CDTF">2024-10-11T10:57:50Z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8EA88D9F208848AE98D0CC1166E85C10_11</vt:lpwstr>
  </property>
</Properties>
</file>