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11F08">
      <w:pPr>
        <w:pStyle w:val="3"/>
        <w:widowControl/>
        <w:snapToGrid w:val="0"/>
        <w:spacing w:before="0" w:after="0" w:line="360" w:lineRule="auto"/>
        <w:jc w:val="center"/>
        <w:rPr>
          <w:rFonts w:hint="eastAsia" w:ascii="宋体" w:hAnsi="宋体" w:eastAsia="仿宋"/>
          <w:color w:val="000000"/>
          <w:highlight w:val="none"/>
        </w:rPr>
      </w:pPr>
      <w:bookmarkStart w:id="0" w:name="_Toc445554746"/>
      <w:bookmarkStart w:id="1" w:name="_Toc466024555"/>
      <w:bookmarkStart w:id="2" w:name="_Toc179388343"/>
      <w:r>
        <w:rPr>
          <w:rFonts w:hint="eastAsia" w:ascii="宋体" w:hAnsi="宋体" w:eastAsia="仿宋"/>
          <w:color w:val="000000"/>
          <w:highlight w:val="none"/>
        </w:rPr>
        <w:t>第三章  采购需求</w:t>
      </w:r>
      <w:bookmarkEnd w:id="0"/>
      <w:bookmarkEnd w:id="1"/>
      <w:bookmarkEnd w:id="2"/>
      <w:bookmarkStart w:id="8" w:name="_GoBack"/>
      <w:bookmarkEnd w:id="8"/>
    </w:p>
    <w:p w14:paraId="6C9B0AFD">
      <w:pPr>
        <w:pStyle w:val="4"/>
        <w:rPr>
          <w:rStyle w:val="15"/>
          <w:rFonts w:ascii="宋体" w:hAnsi="宋体" w:eastAsia="仿宋"/>
          <w:b/>
          <w:bCs/>
          <w:color w:val="000000"/>
          <w:sz w:val="24"/>
          <w:szCs w:val="24"/>
          <w:highlight w:val="none"/>
        </w:rPr>
      </w:pPr>
      <w:bookmarkStart w:id="3" w:name="_Toc445554747"/>
      <w:r>
        <w:rPr>
          <w:rStyle w:val="15"/>
          <w:rFonts w:hint="eastAsia" w:ascii="宋体" w:hAnsi="宋体" w:eastAsia="仿宋"/>
          <w:b/>
          <w:bCs/>
          <w:color w:val="000000"/>
          <w:sz w:val="24"/>
          <w:szCs w:val="24"/>
          <w:highlight w:val="none"/>
        </w:rPr>
        <w:t>总体说明</w:t>
      </w:r>
    </w:p>
    <w:p w14:paraId="6244D3FF">
      <w:pPr>
        <w:widowControl/>
        <w:tabs>
          <w:tab w:val="left" w:pos="1406"/>
        </w:tabs>
        <w:snapToGrid w:val="0"/>
        <w:spacing w:line="360" w:lineRule="auto"/>
        <w:ind w:firstLine="480" w:firstLineChars="200"/>
        <w:rPr>
          <w:rFonts w:hint="eastAsia" w:ascii="宋体" w:hAnsi="宋体" w:eastAsia="仿宋"/>
          <w:color w:val="000000"/>
          <w:sz w:val="24"/>
          <w:highlight w:val="none"/>
        </w:rPr>
      </w:pPr>
      <w:r>
        <w:rPr>
          <w:rFonts w:hint="eastAsia" w:ascii="宋体" w:hAnsi="宋体" w:eastAsia="仿宋"/>
          <w:color w:val="000000"/>
          <w:sz w:val="24"/>
          <w:highlight w:val="none"/>
        </w:rPr>
        <w:t>1.1 本章所提出的技术要求是对本次采购的基本要求，并未涉及所有技术细节，也未充分引述有关标准、规范的全部条款。供应商应保证除了满足本技术要求外，还应符合中国国家、行业、地方或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服务提供商</w:t>
      </w:r>
      <w:r>
        <w:rPr>
          <w:rFonts w:hint="eastAsia" w:ascii="宋体" w:hAnsi="宋体" w:eastAsia="仿宋"/>
          <w:color w:val="000000"/>
          <w:sz w:val="24"/>
          <w:highlight w:val="none"/>
        </w:rPr>
        <w:t>所在国的有关强制性标准、规范。当上述标准、规范的有关规定之间存在差异时，应以要求高的为准。</w:t>
      </w:r>
    </w:p>
    <w:p w14:paraId="79715090">
      <w:pPr>
        <w:widowControl/>
        <w:tabs>
          <w:tab w:val="left" w:pos="1406"/>
        </w:tabs>
        <w:snapToGrid w:val="0"/>
        <w:spacing w:line="360" w:lineRule="auto"/>
        <w:ind w:firstLine="480" w:firstLineChars="200"/>
        <w:rPr>
          <w:rFonts w:hint="eastAsia" w:ascii="宋体" w:hAnsi="宋体" w:eastAsia="仿宋"/>
          <w:color w:val="000000"/>
          <w:sz w:val="24"/>
          <w:highlight w:val="none"/>
        </w:rPr>
      </w:pPr>
      <w:r>
        <w:rPr>
          <w:rFonts w:hint="eastAsia" w:ascii="宋体" w:hAnsi="宋体" w:eastAsia="仿宋"/>
          <w:color w:val="000000"/>
          <w:sz w:val="24"/>
          <w:highlight w:val="none"/>
        </w:rPr>
        <w:t>1.2 本章中提及的工艺、材料、设备的标准及品牌或型号（如有）仅起说明作用，并没有强制性。供应商在响应中可以用替代工艺、材料、设备的标准及品牌或型号，但这种替代须实质上满足、等同或优于本章技术要求，同时须提供相关证明材料，否则可能被磋商小组认定为负偏离。</w:t>
      </w:r>
    </w:p>
    <w:p w14:paraId="2D26131B">
      <w:pPr>
        <w:widowControl/>
        <w:tabs>
          <w:tab w:val="left" w:pos="1406"/>
        </w:tabs>
        <w:snapToGrid w:val="0"/>
        <w:spacing w:line="360" w:lineRule="auto"/>
        <w:ind w:firstLine="480" w:firstLineChars="200"/>
        <w:rPr>
          <w:rFonts w:hint="eastAsia" w:ascii="宋体" w:hAnsi="宋体" w:eastAsia="仿宋"/>
          <w:color w:val="000000"/>
          <w:sz w:val="24"/>
          <w:highlight w:val="none"/>
        </w:rPr>
      </w:pPr>
      <w:r>
        <w:rPr>
          <w:rFonts w:hint="eastAsia" w:ascii="宋体" w:hAnsi="宋体" w:eastAsia="仿宋"/>
          <w:color w:val="000000"/>
          <w:sz w:val="24"/>
          <w:highlight w:val="none"/>
        </w:rPr>
        <w:t>1.</w:t>
      </w:r>
      <w:r>
        <w:rPr>
          <w:rFonts w:ascii="宋体" w:hAnsi="宋体" w:eastAsia="仿宋"/>
          <w:color w:val="000000"/>
          <w:sz w:val="24"/>
          <w:highlight w:val="none"/>
        </w:rPr>
        <w:t>3</w:t>
      </w:r>
      <w:r>
        <w:rPr>
          <w:rFonts w:hint="eastAsia" w:ascii="宋体" w:hAnsi="宋体" w:eastAsia="仿宋"/>
          <w:color w:val="000000"/>
          <w:sz w:val="24"/>
          <w:highlight w:val="none"/>
        </w:rPr>
        <w:t xml:space="preserve"> 对于标注“※”条款（如有）的规定见第二章供应商前附表第6.2.3项；实质性变动的内容，须经采购人代表确认。</w:t>
      </w:r>
    </w:p>
    <w:p w14:paraId="29442E77">
      <w:pPr>
        <w:pStyle w:val="2"/>
        <w:ind w:left="0" w:leftChars="0" w:firstLine="0" w:firstLineChars="0"/>
        <w:rPr>
          <w:rFonts w:hint="eastAsia" w:ascii="宋体" w:hAnsi="宋体" w:eastAsia="仿宋"/>
          <w:color w:val="000000"/>
          <w:sz w:val="24"/>
          <w:highlight w:val="none"/>
          <w:lang w:val="en-US" w:eastAsia="zh-CN"/>
        </w:rPr>
      </w:pPr>
      <w:r>
        <w:rPr>
          <w:rStyle w:val="15"/>
          <w:rFonts w:hint="eastAsia" w:ascii="宋体" w:hAnsi="宋体" w:eastAsia="仿宋" w:cs="Times New Roman"/>
          <w:b/>
          <w:bCs/>
          <w:color w:val="000000"/>
          <w:sz w:val="24"/>
          <w:szCs w:val="24"/>
          <w:highlight w:val="none"/>
          <w:lang w:val="en-US" w:eastAsia="zh-CN"/>
        </w:rPr>
        <w:t>一、采购需求前附表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6489"/>
      </w:tblGrid>
      <w:tr w14:paraId="25F8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noWrap w:val="0"/>
            <w:vAlign w:val="center"/>
          </w:tcPr>
          <w:p w14:paraId="45E73AEF">
            <w:pPr>
              <w:widowControl/>
              <w:jc w:val="center"/>
              <w:rPr>
                <w:rFonts w:hint="eastAsia" w:ascii="宋体" w:hAnsi="宋体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"/>
                <w:color w:val="000000"/>
                <w:sz w:val="24"/>
                <w:highlight w:val="none"/>
              </w:rPr>
              <w:t>合同履行期限</w:t>
            </w:r>
          </w:p>
          <w:p w14:paraId="2661D7DA">
            <w:pPr>
              <w:widowControl/>
              <w:jc w:val="center"/>
              <w:rPr>
                <w:rFonts w:hint="eastAsia" w:ascii="宋体" w:hAnsi="宋体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"/>
                <w:color w:val="000000"/>
                <w:sz w:val="24"/>
                <w:highlight w:val="none"/>
              </w:rPr>
              <w:t>（工期）</w:t>
            </w:r>
          </w:p>
        </w:tc>
        <w:tc>
          <w:tcPr>
            <w:tcW w:w="7479" w:type="dxa"/>
            <w:noWrap w:val="0"/>
            <w:vAlign w:val="top"/>
          </w:tcPr>
          <w:p w14:paraId="76EF3F0C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楷体" w:hAnsi="楷体" w:eastAsia="仿宋" w:cs="Calibri"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仿宋" w:cs="Calibri"/>
                <w:color w:val="000000"/>
                <w:sz w:val="24"/>
                <w:highlight w:val="none"/>
                <w:lang w:eastAsia="zh-CN"/>
              </w:rPr>
              <w:t>自进场开工之日起50日历天内</w:t>
            </w:r>
            <w:r>
              <w:rPr>
                <w:rFonts w:hint="eastAsia" w:ascii="楷体" w:hAnsi="楷体" w:eastAsia="仿宋" w:cs="Calibri"/>
                <w:color w:val="000000"/>
                <w:sz w:val="24"/>
                <w:highlight w:val="none"/>
              </w:rPr>
              <w:t>。</w:t>
            </w:r>
          </w:p>
          <w:p w14:paraId="65993691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楷体" w:hAnsi="楷体" w:eastAsia="仿宋" w:cs="Calibri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" w:cs="Calibri"/>
                <w:color w:val="000000"/>
                <w:sz w:val="24"/>
                <w:highlight w:val="none"/>
              </w:rPr>
              <w:t>是否接受负偏离：</w:t>
            </w:r>
            <w:r>
              <w:rPr>
                <w:rFonts w:ascii="Segoe UI Symbol" w:hAnsi="Segoe UI Symbol" w:eastAsia="仿宋" w:cs="Segoe UI Symbol"/>
                <w:color w:val="000000"/>
                <w:sz w:val="24"/>
                <w:highlight w:val="none"/>
              </w:rPr>
              <w:t>☑</w:t>
            </w:r>
            <w:r>
              <w:rPr>
                <w:rFonts w:hint="eastAsia" w:ascii="楷体" w:hAnsi="楷体" w:eastAsia="仿宋" w:cs="Calibri"/>
                <w:color w:val="000000"/>
                <w:sz w:val="24"/>
                <w:highlight w:val="none"/>
              </w:rPr>
              <w:t>不接受</w:t>
            </w:r>
          </w:p>
          <w:p w14:paraId="3A1BA417">
            <w:pPr>
              <w:pStyle w:val="16"/>
              <w:ind w:firstLine="480"/>
              <w:jc w:val="left"/>
              <w:rPr>
                <w:rFonts w:hint="eastAsia" w:ascii="楷体" w:hAnsi="楷体" w:eastAsia="仿宋" w:cs="Calibri"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仿宋" w:cs="Calibri"/>
                <w:color w:val="000000"/>
                <w:sz w:val="24"/>
                <w:highlight w:val="none"/>
              </w:rPr>
              <w:t xml:space="preserve">            □接受：</w:t>
            </w:r>
          </w:p>
          <w:p w14:paraId="3CF3BB57">
            <w:pPr>
              <w:pStyle w:val="16"/>
              <w:ind w:firstLine="2160" w:firstLineChars="900"/>
              <w:jc w:val="left"/>
              <w:rPr>
                <w:rFonts w:hint="eastAsia" w:ascii="宋体" w:hAnsi="宋体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仿宋" w:cs="Calibri"/>
                <w:color w:val="000000"/>
                <w:sz w:val="24"/>
                <w:highlight w:val="none"/>
              </w:rPr>
              <w:t>允许偏离的幅度：</w:t>
            </w:r>
            <w:r>
              <w:rPr>
                <w:rFonts w:hint="eastAsia" w:ascii="宋体" w:hAnsi="宋体" w:eastAsia="仿宋" w:cs="Calibri"/>
                <w:color w:val="000000"/>
                <w:sz w:val="24"/>
                <w:highlight w:val="none"/>
              </w:rPr>
              <w:t>/</w:t>
            </w:r>
          </w:p>
        </w:tc>
      </w:tr>
      <w:tr w14:paraId="418F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noWrap w:val="0"/>
            <w:vAlign w:val="center"/>
          </w:tcPr>
          <w:p w14:paraId="0794F8DF">
            <w:pPr>
              <w:widowControl/>
              <w:jc w:val="center"/>
              <w:rPr>
                <w:rFonts w:ascii="宋体" w:hAnsi="宋体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"/>
                <w:color w:val="000000"/>
                <w:sz w:val="24"/>
                <w:highlight w:val="none"/>
              </w:rPr>
              <w:t>工程地点</w:t>
            </w:r>
          </w:p>
        </w:tc>
        <w:tc>
          <w:tcPr>
            <w:tcW w:w="7479" w:type="dxa"/>
            <w:noWrap w:val="0"/>
            <w:vAlign w:val="top"/>
          </w:tcPr>
          <w:p w14:paraId="6FFF9316">
            <w:pPr>
              <w:pStyle w:val="16"/>
              <w:ind w:firstLine="0" w:firstLineChars="0"/>
              <w:jc w:val="left"/>
              <w:rPr>
                <w:rFonts w:ascii="宋体" w:hAnsi="宋体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合肥市，采购人指定地点</w:t>
            </w:r>
          </w:p>
        </w:tc>
      </w:tr>
      <w:tr w14:paraId="715A9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noWrap w:val="0"/>
            <w:vAlign w:val="center"/>
          </w:tcPr>
          <w:p w14:paraId="45866DCB">
            <w:pPr>
              <w:pStyle w:val="16"/>
              <w:ind w:firstLine="0" w:firstLineChars="0"/>
              <w:jc w:val="center"/>
              <w:rPr>
                <w:rFonts w:ascii="宋体" w:hAnsi="宋体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"/>
                <w:color w:val="000000"/>
                <w:sz w:val="24"/>
                <w:highlight w:val="none"/>
              </w:rPr>
              <w:t>付款方式</w:t>
            </w:r>
          </w:p>
        </w:tc>
        <w:tc>
          <w:tcPr>
            <w:tcW w:w="7479" w:type="dxa"/>
            <w:noWrap w:val="0"/>
            <w:vAlign w:val="top"/>
          </w:tcPr>
          <w:p w14:paraId="0577BA73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eastAsia="仿宋" w:cs="Calibri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" w:cs="Calibri"/>
                <w:b/>
                <w:bCs/>
                <w:color w:val="000000"/>
                <w:sz w:val="24"/>
                <w:highlight w:val="none"/>
              </w:rPr>
              <w:t>预付款支付方式：</w:t>
            </w:r>
          </w:p>
          <w:p w14:paraId="3599D551">
            <w:pPr>
              <w:adjustRightIn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预付款支付比例或金额：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</w:rPr>
              <w:t>合同总价的50%。</w:t>
            </w:r>
          </w:p>
          <w:p w14:paraId="4F1C72AB">
            <w:pPr>
              <w:adjustRightIn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预付款支付期限：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</w:rPr>
              <w:t>合同签订后30天内，承包人向发包人提供同等金额的不可撤销预付款保函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</w:rPr>
              <w:t>保函在项目验收前不得撤销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eastAsia="zh-CN"/>
              </w:rPr>
              <w:t>），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</w:rPr>
              <w:t>发包人支付合同总价的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</w:rPr>
              <w:t>0%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eastAsia="zh-CN"/>
              </w:rPr>
              <w:t>预付款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</w:rPr>
              <w:t>。</w:t>
            </w:r>
          </w:p>
          <w:p w14:paraId="498CEE12">
            <w:pPr>
              <w:adjustRightInd w:val="0"/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仿宋"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预付款扣回的方式：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</w:rPr>
              <w:t>第二个月工程进度款开始扣回预付款，抵扣完成前不再另行支付工程进度款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 xml:space="preserve"> </w:t>
            </w:r>
          </w:p>
          <w:p w14:paraId="6E46248B">
            <w:pPr>
              <w:adjustRightInd w:val="0"/>
              <w:spacing w:line="360" w:lineRule="auto"/>
              <w:jc w:val="left"/>
              <w:rPr>
                <w:rFonts w:ascii="Times New Roman" w:hAnsi="Times New Roman" w:eastAsia="仿宋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highlight w:val="none"/>
              </w:rPr>
              <w:t>预付款担保</w:t>
            </w:r>
          </w:p>
          <w:p w14:paraId="2C70C323">
            <w:pPr>
              <w:adjustRightInd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highlight w:val="none"/>
              </w:rPr>
              <w:t>承包人提交预付款担保的期限：</w:t>
            </w:r>
            <w:r>
              <w:rPr>
                <w:rFonts w:hint="eastAsia" w:ascii="宋体" w:hAnsi="宋体" w:eastAsia="仿宋" w:cs="Calibri"/>
                <w:color w:val="000000"/>
                <w:sz w:val="24"/>
                <w:highlight w:val="none"/>
              </w:rPr>
              <w:t>发包人支付预付款7天前。</w:t>
            </w:r>
          </w:p>
          <w:p w14:paraId="42CD015E">
            <w:pPr>
              <w:adjustRightInd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仿宋" w:cs="Calibri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highlight w:val="none"/>
              </w:rPr>
              <w:t>预付款担保的形式为：</w:t>
            </w:r>
            <w:r>
              <w:rPr>
                <w:rFonts w:hint="eastAsia" w:ascii="宋体" w:hAnsi="宋体" w:eastAsia="仿宋" w:cs="Calibri"/>
                <w:color w:val="000000"/>
                <w:sz w:val="24"/>
                <w:highlight w:val="none"/>
              </w:rPr>
              <w:t>电子保函、纸质保函（纸质银行保函、纸质担保机构担保、纸质保证保险）。</w:t>
            </w:r>
          </w:p>
          <w:p w14:paraId="21A9100C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z w:val="24"/>
                <w:highlight w:val="none"/>
              </w:rPr>
              <w:t>付款周期</w:t>
            </w:r>
          </w:p>
          <w:p w14:paraId="1DA875C7">
            <w:pPr>
              <w:adjustRightInd w:val="0"/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</w:rPr>
              <w:t>工程款按月支付，每月发包人经审核承包人所报工程量后支付合格工程量应付价款的8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</w:rPr>
              <w:t>%；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/>
              </w:rPr>
              <w:t>预付款部分按扣回条款相应扣回；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</w:rPr>
              <w:t>付至合同总价的8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</w:rPr>
              <w:t>％时停止支付；工程变更部分在竣工结算审计批准后支付；工程竣工验收并经竣工结算审计结束后30日内，发包人支付到工程竣工结算总价的97%；余款3%作为工程质量保证金，在自工程竣工验收合格之日起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eastAsia="zh-CN"/>
              </w:rPr>
              <w:t>至质保期满后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</w:rPr>
              <w:t>30日内如承包人无工程质量问题则由发包人向承包人一次性支付。</w:t>
            </w:r>
          </w:p>
          <w:p w14:paraId="3267D296">
            <w:pPr>
              <w:adjustRightInd w:val="0"/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</w:rPr>
              <w:t>发包人支付工程款（进度款），均通过银行转账方式。付款前，承包人应向发包人开具同等金额有效的建安工程发票，否则，发包人不予付款。</w:t>
            </w:r>
          </w:p>
          <w:p w14:paraId="12D6D881">
            <w:pPr>
              <w:pStyle w:val="2"/>
              <w:jc w:val="left"/>
              <w:rPr>
                <w:color w:val="000000"/>
                <w:highlight w:val="none"/>
              </w:rPr>
            </w:pPr>
          </w:p>
          <w:p w14:paraId="45A808C2">
            <w:pPr>
              <w:adjustRightInd w:val="0"/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仿宋"/>
                <w:color w:val="000000"/>
                <w:sz w:val="24"/>
                <w:highlight w:val="none"/>
              </w:rPr>
            </w:pPr>
          </w:p>
          <w:p w14:paraId="66904579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楷体" w:hAnsi="楷体" w:eastAsia="仿宋" w:cs="Calibri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" w:cs="Calibri"/>
                <w:color w:val="000000"/>
                <w:sz w:val="24"/>
                <w:highlight w:val="none"/>
              </w:rPr>
              <w:t>是否接受负偏离：</w:t>
            </w:r>
            <w:r>
              <w:rPr>
                <w:rFonts w:ascii="Segoe UI Symbol" w:hAnsi="Segoe UI Symbol" w:eastAsia="仿宋" w:cs="Segoe UI Symbol"/>
                <w:color w:val="000000"/>
                <w:sz w:val="24"/>
                <w:highlight w:val="none"/>
              </w:rPr>
              <w:t>☑</w:t>
            </w:r>
            <w:r>
              <w:rPr>
                <w:rFonts w:hint="eastAsia" w:ascii="楷体" w:hAnsi="楷体" w:eastAsia="仿宋" w:cs="Calibri"/>
                <w:color w:val="000000"/>
                <w:sz w:val="24"/>
                <w:highlight w:val="none"/>
              </w:rPr>
              <w:t>不接受</w:t>
            </w:r>
          </w:p>
          <w:p w14:paraId="2DF963C9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楷体" w:hAnsi="楷体" w:eastAsia="仿宋" w:cs="Calibri"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仿宋" w:cs="Calibri"/>
                <w:color w:val="000000"/>
                <w:sz w:val="24"/>
                <w:highlight w:val="none"/>
              </w:rPr>
              <w:t xml:space="preserve">                □接受：</w:t>
            </w:r>
          </w:p>
          <w:p w14:paraId="4CEE2393">
            <w:pPr>
              <w:widowControl/>
              <w:adjustRightInd w:val="0"/>
              <w:snapToGrid w:val="0"/>
              <w:spacing w:line="288" w:lineRule="auto"/>
              <w:ind w:firstLine="1920" w:firstLineChars="800"/>
              <w:jc w:val="left"/>
              <w:rPr>
                <w:rFonts w:ascii="宋体" w:hAnsi="宋体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仿宋" w:cs="Calibri"/>
                <w:color w:val="000000"/>
                <w:sz w:val="24"/>
                <w:highlight w:val="none"/>
              </w:rPr>
              <w:t>允许偏离的幅度：</w:t>
            </w:r>
            <w:r>
              <w:rPr>
                <w:rFonts w:hint="eastAsia" w:ascii="仿宋" w:hAnsi="仿宋" w:eastAsia="仿宋" w:cs="仿宋"/>
                <w:iCs/>
                <w:color w:val="000000"/>
                <w:sz w:val="24"/>
                <w:highlight w:val="none"/>
              </w:rPr>
              <w:t>/</w:t>
            </w:r>
          </w:p>
        </w:tc>
      </w:tr>
      <w:tr w14:paraId="2416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noWrap w:val="0"/>
            <w:vAlign w:val="center"/>
          </w:tcPr>
          <w:p w14:paraId="2A15B83C">
            <w:pPr>
              <w:pStyle w:val="16"/>
              <w:ind w:firstLine="0" w:firstLineChars="0"/>
              <w:jc w:val="center"/>
              <w:rPr>
                <w:rFonts w:hint="eastAsia" w:ascii="宋体" w:hAnsi="宋体" w:eastAsia="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"/>
                <w:color w:val="000000"/>
                <w:sz w:val="24"/>
                <w:highlight w:val="none"/>
                <w:lang w:eastAsia="zh-CN"/>
              </w:rPr>
              <w:t>质量保证期</w:t>
            </w:r>
          </w:p>
        </w:tc>
        <w:tc>
          <w:tcPr>
            <w:tcW w:w="7479" w:type="dxa"/>
            <w:noWrap w:val="0"/>
            <w:vAlign w:val="top"/>
          </w:tcPr>
          <w:p w14:paraId="0E0256F7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eastAsia="仿宋" w:cs="Calibri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" w:cs="Calibri"/>
                <w:color w:val="000000"/>
                <w:sz w:val="24"/>
                <w:highlight w:val="none"/>
              </w:rPr>
              <w:t>自工程竣工验收合格之日起</w:t>
            </w:r>
            <w:r>
              <w:rPr>
                <w:rFonts w:hint="eastAsia" w:ascii="宋体" w:hAnsi="宋体" w:eastAsia="仿宋" w:cs="Calibri"/>
                <w:color w:val="000000"/>
                <w:sz w:val="24"/>
                <w:highlight w:val="none"/>
                <w:lang w:val="en-US" w:eastAsia="zh-CN"/>
              </w:rPr>
              <w:t>36</w:t>
            </w:r>
            <w:r>
              <w:rPr>
                <w:rFonts w:hint="eastAsia" w:ascii="宋体" w:hAnsi="宋体" w:eastAsia="仿宋" w:cs="Calibri"/>
                <w:color w:val="000000"/>
                <w:sz w:val="24"/>
                <w:highlight w:val="none"/>
              </w:rPr>
              <w:t>个月</w:t>
            </w:r>
          </w:p>
          <w:p w14:paraId="5BFF20AA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楷体" w:hAnsi="楷体" w:eastAsia="仿宋" w:cs="Calibri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" w:cs="Calibri"/>
                <w:color w:val="000000"/>
                <w:sz w:val="24"/>
                <w:highlight w:val="none"/>
              </w:rPr>
              <w:t>是否接受负偏离：</w:t>
            </w:r>
            <w:r>
              <w:rPr>
                <w:rFonts w:ascii="Segoe UI Symbol" w:hAnsi="Segoe UI Symbol" w:eastAsia="仿宋" w:cs="Segoe UI Symbol"/>
                <w:color w:val="000000"/>
                <w:sz w:val="24"/>
                <w:highlight w:val="none"/>
              </w:rPr>
              <w:t>☑</w:t>
            </w:r>
            <w:r>
              <w:rPr>
                <w:rFonts w:hint="eastAsia" w:ascii="楷体" w:hAnsi="楷体" w:eastAsia="仿宋" w:cs="Calibri"/>
                <w:color w:val="000000"/>
                <w:sz w:val="24"/>
                <w:highlight w:val="none"/>
              </w:rPr>
              <w:t>不接受</w:t>
            </w:r>
          </w:p>
          <w:p w14:paraId="2E767194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楷体" w:hAnsi="楷体" w:eastAsia="仿宋" w:cs="Calibri"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仿宋" w:cs="Calibri"/>
                <w:color w:val="000000"/>
                <w:sz w:val="24"/>
                <w:highlight w:val="none"/>
              </w:rPr>
              <w:t xml:space="preserve">                □接受：</w:t>
            </w:r>
          </w:p>
          <w:p w14:paraId="587A5312">
            <w:pPr>
              <w:pStyle w:val="2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 w:ascii="楷体" w:hAnsi="楷体" w:eastAsia="仿宋" w:cs="Calibri"/>
                <w:color w:val="000000"/>
                <w:sz w:val="24"/>
                <w:highlight w:val="none"/>
              </w:rPr>
              <w:t>允许偏离的幅度：</w:t>
            </w:r>
            <w:r>
              <w:rPr>
                <w:rFonts w:hint="eastAsia" w:ascii="仿宋" w:hAnsi="仿宋" w:eastAsia="仿宋" w:cs="仿宋"/>
                <w:iCs/>
                <w:color w:val="000000"/>
                <w:sz w:val="24"/>
                <w:highlight w:val="none"/>
              </w:rPr>
              <w:t>/</w:t>
            </w:r>
          </w:p>
        </w:tc>
      </w:tr>
      <w:tr w14:paraId="4575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noWrap w:val="0"/>
            <w:vAlign w:val="center"/>
          </w:tcPr>
          <w:p w14:paraId="3632E81F">
            <w:pPr>
              <w:pStyle w:val="17"/>
              <w:widowControl w:val="0"/>
              <w:spacing w:before="0" w:beforeAutospacing="0" w:after="0" w:afterAutospacing="0"/>
              <w:jc w:val="center"/>
              <w:rPr>
                <w:rFonts w:ascii="宋体" w:hAnsi="宋体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" w:cs="Calibri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</w:rPr>
              <w:t>本项目采购标的所属行业</w:t>
            </w:r>
          </w:p>
        </w:tc>
        <w:tc>
          <w:tcPr>
            <w:tcW w:w="7479" w:type="dxa"/>
            <w:noWrap w:val="0"/>
            <w:vAlign w:val="center"/>
          </w:tcPr>
          <w:p w14:paraId="048E47A5">
            <w:pPr>
              <w:jc w:val="left"/>
              <w:rPr>
                <w:rFonts w:ascii="宋体" w:hAnsi="宋体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仿宋" w:cs="Calibri"/>
                <w:color w:val="000000"/>
                <w:sz w:val="24"/>
                <w:highlight w:val="none"/>
              </w:rPr>
              <w:t>所属行业：建筑业</w:t>
            </w:r>
          </w:p>
        </w:tc>
      </w:tr>
    </w:tbl>
    <w:p w14:paraId="7CAFEE68">
      <w:pPr>
        <w:rPr>
          <w:rFonts w:hint="eastAsia"/>
          <w:color w:val="000000"/>
          <w:highlight w:val="none"/>
          <w:lang w:val="en-US" w:eastAsia="zh-CN"/>
        </w:rPr>
      </w:pPr>
    </w:p>
    <w:p w14:paraId="79755734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项目概况及总体要求</w:t>
      </w:r>
    </w:p>
    <w:p w14:paraId="1F6C919D">
      <w:pPr>
        <w:spacing w:before="120" w:after="120" w:line="360" w:lineRule="auto"/>
        <w:ind w:firstLine="482" w:firstLineChars="200"/>
        <w:textAlignment w:val="baseline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1.1 项目概况</w:t>
      </w:r>
    </w:p>
    <w:p w14:paraId="44BA2A13">
      <w:pPr>
        <w:widowControl/>
        <w:tabs>
          <w:tab w:val="left" w:pos="1406"/>
        </w:tabs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安徽省公共卫生临床中心（安徽省传染病医院）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雨污管网改造提升项目。</w:t>
      </w:r>
    </w:p>
    <w:p w14:paraId="0F7B8320">
      <w:pPr>
        <w:spacing w:before="120" w:after="120" w:line="360" w:lineRule="auto"/>
        <w:ind w:firstLine="482" w:firstLineChars="200"/>
        <w:textAlignment w:val="baseline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1.2 施工范围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具体详见磋商文件、图纸及工程量清单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eastAsia="zh-CN"/>
        </w:rPr>
        <w:t>）</w:t>
      </w:r>
    </w:p>
    <w:p w14:paraId="167679D7">
      <w:pPr>
        <w:numPr>
          <w:ilvl w:val="0"/>
          <w:numId w:val="0"/>
        </w:numPr>
        <w:spacing w:line="360" w:lineRule="auto"/>
        <w:ind w:leftChars="0"/>
        <w:jc w:val="both"/>
        <w:outlineLvl w:val="1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  <w:t>（1）改造范围</w:t>
      </w:r>
      <w:bookmarkStart w:id="4" w:name="_Toc30249"/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本次招标为安徽省公共卫生临床中心（安徽省传染病医院）雨污管网改造提升项目，主要内容包括：（1）新增4座智能雨污分流井；（2）雨污进出管网埋地敷设；（3）电气控制系统及各座分流井的进出配线；（4）配套土建开挖回填、基础等设施。项目内容包含图纸及采购需求中工程建设、设备材料的供货、安装、调试、验收、技术服务、培训、售后服务等一切内容，即为本项目提供“交钥匙”服务。项目改造期间必须确保医院正常运营，供应商应考虑施工期间所需的临排措施，确保雨污水排水系统通畅。</w:t>
      </w:r>
    </w:p>
    <w:p w14:paraId="0F2D63EC">
      <w:pPr>
        <w:numPr>
          <w:ilvl w:val="0"/>
          <w:numId w:val="0"/>
        </w:numPr>
        <w:spacing w:line="360" w:lineRule="auto"/>
        <w:ind w:leftChars="0"/>
        <w:jc w:val="both"/>
        <w:outlineLvl w:val="1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  <w:t>（2）总体要求</w:t>
      </w:r>
    </w:p>
    <w:p w14:paraId="43AB680B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项目概况：根据安徽省公共卫生临床中心雨水管网图，院区共有5路雨水汇总管网排至市政管网。分别为：西侧两路DN800排至东淝河路市政管网（北端已施工）；南侧有两路，一路为DN700，一路为DN600排至淮海大道市政管网；东侧有一路DN600排至铜陵北路市政管网。</w:t>
      </w:r>
    </w:p>
    <w:p w14:paraId="02E271F5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设计要求：根据环保相关规范要求，雨水管网需设置雨污分流截止阀，即在医院发生应急事故时，院区雨水不得进入雨水市政管网，需经处理达标后排至市政管网；</w:t>
      </w:r>
    </w:p>
    <w:p w14:paraId="4F6C65C8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设计方案：根据现场情况，拟在院区各路雨水管网末端各设置一座“雨污智能分流井”，正常情况下，液压闸门打开，雨水直接排入市政管网。当发生事故时，手动或自动关闭通往市政管网的液压闸门，分流井内水位升高，根据液位自动开启分流井内的提升泵，将受污染的雨水就近提升至污水井，雨水通过污水管网进入院区污水处理站进行处理，处理达标后排至市政污水管网。</w:t>
      </w:r>
    </w:p>
    <w:p w14:paraId="3A7B7103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雨污智能分流井的控制箱均为双电源箱，要求全部为双电源接入（消防电源接入，出现事故时不得断电），单套分流井接入电源参数：15KW，380V。</w:t>
      </w:r>
    </w:p>
    <w:p w14:paraId="072769A0">
      <w:pPr>
        <w:numPr>
          <w:ilvl w:val="0"/>
          <w:numId w:val="0"/>
        </w:numPr>
        <w:spacing w:line="360" w:lineRule="auto"/>
        <w:ind w:leftChars="0"/>
        <w:jc w:val="both"/>
        <w:outlineLvl w:val="1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  <w:t>（3）规范</w:t>
      </w:r>
      <w:bookmarkEnd w:id="4"/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  <w:t>要求</w:t>
      </w:r>
    </w:p>
    <w:p w14:paraId="224FE977">
      <w:pPr>
        <w:pStyle w:val="10"/>
        <w:numPr>
          <w:ilvl w:val="0"/>
          <w:numId w:val="1"/>
        </w:numPr>
        <w:spacing w:line="360" w:lineRule="auto"/>
        <w:ind w:left="845" w:leftChars="0" w:hanging="425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《医院污水处理工程技术规范》HJ2029-2013</w:t>
      </w:r>
    </w:p>
    <w:p w14:paraId="2FFB1D1B">
      <w:pPr>
        <w:pStyle w:val="10"/>
        <w:numPr>
          <w:ilvl w:val="0"/>
          <w:numId w:val="1"/>
        </w:numPr>
        <w:spacing w:line="360" w:lineRule="auto"/>
        <w:ind w:left="845" w:leftChars="0" w:hanging="425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《医疗机构水污染物排放标准》GB18466-2005</w:t>
      </w:r>
    </w:p>
    <w:p w14:paraId="6628464E">
      <w:pPr>
        <w:pStyle w:val="10"/>
        <w:numPr>
          <w:ilvl w:val="0"/>
          <w:numId w:val="1"/>
        </w:numPr>
        <w:spacing w:line="360" w:lineRule="auto"/>
        <w:ind w:left="845" w:leftChars="0" w:hanging="425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《污水排入城镇下水道水质标准》CJ343-1010</w:t>
      </w:r>
    </w:p>
    <w:p w14:paraId="1D597866">
      <w:pPr>
        <w:pStyle w:val="10"/>
        <w:numPr>
          <w:ilvl w:val="0"/>
          <w:numId w:val="1"/>
        </w:numPr>
        <w:spacing w:line="360" w:lineRule="auto"/>
        <w:ind w:left="845" w:leftChars="0" w:hanging="425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《室外排水设计规范》GB50014-2006（2014版）</w:t>
      </w:r>
    </w:p>
    <w:p w14:paraId="639DE3EC">
      <w:pPr>
        <w:pStyle w:val="10"/>
        <w:numPr>
          <w:ilvl w:val="0"/>
          <w:numId w:val="1"/>
        </w:numPr>
        <w:spacing w:line="360" w:lineRule="auto"/>
        <w:ind w:left="845" w:leftChars="0" w:hanging="425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《建筑给水排水设计规范》GB50015-2010</w:t>
      </w:r>
    </w:p>
    <w:p w14:paraId="5EEA7C3D">
      <w:pPr>
        <w:pStyle w:val="10"/>
        <w:numPr>
          <w:ilvl w:val="0"/>
          <w:numId w:val="1"/>
        </w:numPr>
        <w:spacing w:line="360" w:lineRule="auto"/>
        <w:ind w:left="845" w:leftChars="0" w:hanging="425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《地下工程防水技术规范》GBJ50108-2008</w:t>
      </w:r>
    </w:p>
    <w:p w14:paraId="1C398437">
      <w:pPr>
        <w:pStyle w:val="10"/>
        <w:numPr>
          <w:ilvl w:val="0"/>
          <w:numId w:val="1"/>
        </w:numPr>
        <w:spacing w:line="360" w:lineRule="auto"/>
        <w:ind w:left="845" w:leftChars="0" w:hanging="425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《给水排水工程构筑物结构设计规范》（GB50069－2002）</w:t>
      </w:r>
    </w:p>
    <w:p w14:paraId="255535B8">
      <w:pPr>
        <w:pStyle w:val="10"/>
        <w:numPr>
          <w:ilvl w:val="0"/>
          <w:numId w:val="1"/>
        </w:numPr>
        <w:spacing w:line="360" w:lineRule="auto"/>
        <w:ind w:left="845" w:leftChars="0" w:hanging="425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《给水排水工程钢筋混凝土水池结构设计规程》（CEC138:2002）</w:t>
      </w:r>
    </w:p>
    <w:p w14:paraId="3FB75166">
      <w:pPr>
        <w:pStyle w:val="10"/>
        <w:numPr>
          <w:ilvl w:val="0"/>
          <w:numId w:val="1"/>
        </w:numPr>
        <w:spacing w:line="360" w:lineRule="auto"/>
        <w:ind w:left="845" w:leftChars="0" w:hanging="425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《建筑地面设计规范》GB50037-2013</w:t>
      </w:r>
    </w:p>
    <w:p w14:paraId="19CE1E08">
      <w:pPr>
        <w:pStyle w:val="10"/>
        <w:numPr>
          <w:ilvl w:val="0"/>
          <w:numId w:val="1"/>
        </w:numPr>
        <w:spacing w:line="360" w:lineRule="auto"/>
        <w:ind w:left="845" w:leftChars="0" w:hanging="425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《工业建筑防腐蚀设计规范》GB50046-2008</w:t>
      </w:r>
    </w:p>
    <w:p w14:paraId="44EF3FFF">
      <w:pPr>
        <w:pStyle w:val="10"/>
        <w:numPr>
          <w:ilvl w:val="0"/>
          <w:numId w:val="1"/>
        </w:numPr>
        <w:spacing w:line="360" w:lineRule="auto"/>
        <w:ind w:left="845" w:leftChars="0" w:hanging="425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《机械设备安装工程施工及验收通用规范》GB 50231-2009</w:t>
      </w:r>
    </w:p>
    <w:p w14:paraId="1C55DDE1">
      <w:pPr>
        <w:pStyle w:val="10"/>
        <w:numPr>
          <w:ilvl w:val="0"/>
          <w:numId w:val="1"/>
        </w:numPr>
        <w:spacing w:line="360" w:lineRule="auto"/>
        <w:ind w:left="845" w:leftChars="0" w:hanging="425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《低压配电设计规范》GB50054-2011</w:t>
      </w:r>
    </w:p>
    <w:p w14:paraId="26B99410">
      <w:pPr>
        <w:pStyle w:val="10"/>
        <w:numPr>
          <w:ilvl w:val="0"/>
          <w:numId w:val="1"/>
        </w:numPr>
        <w:spacing w:line="360" w:lineRule="auto"/>
        <w:ind w:left="845" w:leftChars="0" w:hanging="425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《供电系统设计规范》GB50052-2009</w:t>
      </w:r>
    </w:p>
    <w:p w14:paraId="03CD2986">
      <w:pPr>
        <w:pStyle w:val="10"/>
        <w:numPr>
          <w:ilvl w:val="0"/>
          <w:numId w:val="1"/>
        </w:numPr>
        <w:spacing w:line="360" w:lineRule="auto"/>
        <w:ind w:left="845" w:leftChars="0" w:hanging="425" w:firstLineChars="0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项目现场实际情况。</w:t>
      </w:r>
    </w:p>
    <w:p w14:paraId="4C4EA461">
      <w:pPr>
        <w:numPr>
          <w:ilvl w:val="0"/>
          <w:numId w:val="0"/>
        </w:numPr>
        <w:spacing w:line="360" w:lineRule="auto"/>
        <w:ind w:leftChars="0"/>
        <w:jc w:val="both"/>
        <w:outlineLvl w:val="1"/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</w:pPr>
      <w:bookmarkStart w:id="5" w:name="_Toc16570"/>
      <w:r>
        <w:rPr>
          <w:rFonts w:hint="eastAsia" w:ascii="仿宋" w:hAnsi="仿宋" w:eastAsia="仿宋" w:cs="仿宋"/>
          <w:b/>
          <w:color w:val="000000"/>
          <w:sz w:val="24"/>
          <w:szCs w:val="24"/>
          <w:highlight w:val="none"/>
          <w:lang w:val="en-US" w:eastAsia="zh-CN"/>
        </w:rPr>
        <w:t>（4）采购清单</w:t>
      </w:r>
      <w:bookmarkEnd w:id="5"/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840"/>
        <w:gridCol w:w="2932"/>
        <w:gridCol w:w="792"/>
        <w:gridCol w:w="817"/>
        <w:gridCol w:w="2293"/>
      </w:tblGrid>
      <w:tr w14:paraId="228BB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noWrap w:val="0"/>
            <w:vAlign w:val="center"/>
          </w:tcPr>
          <w:p w14:paraId="69EA3F4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noWrap w:val="0"/>
            <w:vAlign w:val="center"/>
          </w:tcPr>
          <w:p w14:paraId="0B0B70B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noWrap w:val="0"/>
            <w:vAlign w:val="center"/>
          </w:tcPr>
          <w:p w14:paraId="48E40C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规格参数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 w14:paraId="05FC57E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noWrap w:val="0"/>
            <w:vAlign w:val="center"/>
          </w:tcPr>
          <w:p w14:paraId="235E6F8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noWrap w:val="0"/>
            <w:vAlign w:val="center"/>
          </w:tcPr>
          <w:p w14:paraId="6F3039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1A277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noWrap w:val="0"/>
            <w:vAlign w:val="center"/>
          </w:tcPr>
          <w:p w14:paraId="1B41E63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noWrap w:val="0"/>
            <w:vAlign w:val="center"/>
          </w:tcPr>
          <w:p w14:paraId="24F68D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1#雨污智能分流井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noWrap w:val="0"/>
            <w:vAlign w:val="center"/>
          </w:tcPr>
          <w:p w14:paraId="20A26B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Φ3000*3500；进口DN700，出口DN800，污水接口DN150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 w14:paraId="41F58EA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817" w:type="dxa"/>
            <w:tcBorders>
              <w:tl2br w:val="nil"/>
              <w:tr2bl w:val="nil"/>
            </w:tcBorders>
            <w:noWrap w:val="0"/>
            <w:vAlign w:val="center"/>
          </w:tcPr>
          <w:p w14:paraId="634B025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noWrap w:val="0"/>
            <w:vAlign w:val="center"/>
          </w:tcPr>
          <w:p w14:paraId="561A35D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具体要求详见图纸和分流井配置表</w:t>
            </w:r>
          </w:p>
        </w:tc>
      </w:tr>
      <w:tr w14:paraId="60951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noWrap w:val="0"/>
            <w:vAlign w:val="center"/>
          </w:tcPr>
          <w:p w14:paraId="237B14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noWrap w:val="0"/>
            <w:vAlign w:val="center"/>
          </w:tcPr>
          <w:p w14:paraId="354AD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2#雨污智能分流井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noWrap w:val="0"/>
            <w:vAlign w:val="center"/>
          </w:tcPr>
          <w:p w14:paraId="4E52C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Φ3000*4300；进口DN700，出口DN800，污水接口DN150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 w14:paraId="249AE16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817" w:type="dxa"/>
            <w:tcBorders>
              <w:tl2br w:val="nil"/>
              <w:tr2bl w:val="nil"/>
            </w:tcBorders>
            <w:noWrap w:val="0"/>
            <w:vAlign w:val="center"/>
          </w:tcPr>
          <w:p w14:paraId="691F68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noWrap w:val="0"/>
            <w:vAlign w:val="center"/>
          </w:tcPr>
          <w:p w14:paraId="717FB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具体要求详见图纸和分流井配置表</w:t>
            </w:r>
          </w:p>
        </w:tc>
      </w:tr>
      <w:tr w14:paraId="2543A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noWrap w:val="0"/>
            <w:vAlign w:val="center"/>
          </w:tcPr>
          <w:p w14:paraId="5C5795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noWrap w:val="0"/>
            <w:vAlign w:val="center"/>
          </w:tcPr>
          <w:p w14:paraId="7D3FB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3#雨污智能分流井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noWrap w:val="0"/>
            <w:vAlign w:val="center"/>
          </w:tcPr>
          <w:p w14:paraId="54ED1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Φ3000*5400；进口DN700，出口DN800，污水接口DN150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 w14:paraId="29A964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817" w:type="dxa"/>
            <w:tcBorders>
              <w:tl2br w:val="nil"/>
              <w:tr2bl w:val="nil"/>
            </w:tcBorders>
            <w:noWrap w:val="0"/>
            <w:vAlign w:val="center"/>
          </w:tcPr>
          <w:p w14:paraId="417775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noWrap w:val="0"/>
            <w:vAlign w:val="center"/>
          </w:tcPr>
          <w:p w14:paraId="79830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具体要求详见图纸和分流井配置表</w:t>
            </w:r>
          </w:p>
        </w:tc>
      </w:tr>
      <w:tr w14:paraId="0B9DB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noWrap w:val="0"/>
            <w:vAlign w:val="center"/>
          </w:tcPr>
          <w:p w14:paraId="66E17D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noWrap w:val="0"/>
            <w:vAlign w:val="center"/>
          </w:tcPr>
          <w:p w14:paraId="54A20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4#雨污智能分流井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noWrap w:val="0"/>
            <w:vAlign w:val="center"/>
          </w:tcPr>
          <w:p w14:paraId="762D8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Φ3000*4300；进口DN700，出口DN800，污水接口DN150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 w14:paraId="72A1A6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817" w:type="dxa"/>
            <w:tcBorders>
              <w:tl2br w:val="nil"/>
              <w:tr2bl w:val="nil"/>
            </w:tcBorders>
            <w:noWrap w:val="0"/>
            <w:vAlign w:val="center"/>
          </w:tcPr>
          <w:p w14:paraId="0620D4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noWrap w:val="0"/>
            <w:vAlign w:val="center"/>
          </w:tcPr>
          <w:p w14:paraId="5592F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具体要求详见图纸和分流井配置表</w:t>
            </w:r>
          </w:p>
        </w:tc>
      </w:tr>
      <w:tr w14:paraId="43E99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noWrap w:val="0"/>
            <w:vAlign w:val="center"/>
          </w:tcPr>
          <w:p w14:paraId="31FA0A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noWrap w:val="0"/>
            <w:vAlign w:val="center"/>
          </w:tcPr>
          <w:p w14:paraId="58BBA2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砼成品雨水检查井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noWrap w:val="0"/>
            <w:vAlign w:val="center"/>
          </w:tcPr>
          <w:p w14:paraId="7EA2DEA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DN800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 w14:paraId="645CB6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座</w:t>
            </w:r>
          </w:p>
        </w:tc>
        <w:tc>
          <w:tcPr>
            <w:tcW w:w="817" w:type="dxa"/>
            <w:tcBorders>
              <w:tl2br w:val="nil"/>
              <w:tr2bl w:val="nil"/>
            </w:tcBorders>
            <w:noWrap w:val="0"/>
            <w:vAlign w:val="center"/>
          </w:tcPr>
          <w:p w14:paraId="36BD5A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noWrap w:val="0"/>
            <w:vAlign w:val="center"/>
          </w:tcPr>
          <w:p w14:paraId="792D85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井深根据图纸管网坡度实测</w:t>
            </w:r>
          </w:p>
        </w:tc>
      </w:tr>
      <w:tr w14:paraId="71445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noWrap w:val="0"/>
            <w:vAlign w:val="center"/>
          </w:tcPr>
          <w:p w14:paraId="4BDC1B2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noWrap w:val="0"/>
            <w:vAlign w:val="center"/>
          </w:tcPr>
          <w:p w14:paraId="5DB55A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PE给水管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noWrap w:val="0"/>
            <w:vAlign w:val="center"/>
          </w:tcPr>
          <w:p w14:paraId="64236E7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DN150，1.0MPA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 w14:paraId="626F94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M</w:t>
            </w:r>
          </w:p>
        </w:tc>
        <w:tc>
          <w:tcPr>
            <w:tcW w:w="817" w:type="dxa"/>
            <w:tcBorders>
              <w:tl2br w:val="nil"/>
              <w:tr2bl w:val="nil"/>
            </w:tcBorders>
            <w:noWrap w:val="0"/>
            <w:vAlign w:val="center"/>
          </w:tcPr>
          <w:p w14:paraId="47AB208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noWrap w:val="0"/>
            <w:vAlign w:val="center"/>
          </w:tcPr>
          <w:p w14:paraId="07359C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包含管沟开挖，管道敷设、现场恢复等</w:t>
            </w:r>
          </w:p>
        </w:tc>
      </w:tr>
      <w:tr w14:paraId="2189C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6" w:type="dxa"/>
            <w:tcBorders>
              <w:tl2br w:val="nil"/>
              <w:tr2bl w:val="nil"/>
            </w:tcBorders>
            <w:noWrap w:val="0"/>
            <w:vAlign w:val="center"/>
          </w:tcPr>
          <w:p w14:paraId="3408D4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840" w:type="dxa"/>
            <w:tcBorders>
              <w:tl2br w:val="nil"/>
              <w:tr2bl w:val="nil"/>
            </w:tcBorders>
            <w:noWrap w:val="0"/>
            <w:vAlign w:val="center"/>
          </w:tcPr>
          <w:p w14:paraId="0E28B3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HDPE波纹管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noWrap w:val="0"/>
            <w:vAlign w:val="center"/>
          </w:tcPr>
          <w:p w14:paraId="12CFA4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DN300，SN8</w:t>
            </w:r>
          </w:p>
        </w:tc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 w14:paraId="2BA8F5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M</w:t>
            </w:r>
          </w:p>
        </w:tc>
        <w:tc>
          <w:tcPr>
            <w:tcW w:w="817" w:type="dxa"/>
            <w:tcBorders>
              <w:tl2br w:val="nil"/>
              <w:tr2bl w:val="nil"/>
            </w:tcBorders>
            <w:noWrap w:val="0"/>
            <w:vAlign w:val="center"/>
          </w:tcPr>
          <w:p w14:paraId="7A8207C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noWrap w:val="0"/>
            <w:vAlign w:val="center"/>
          </w:tcPr>
          <w:p w14:paraId="618213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包含管沟开挖，管道敷设、现场恢复等</w:t>
            </w:r>
          </w:p>
        </w:tc>
      </w:tr>
    </w:tbl>
    <w:p w14:paraId="12A516B7">
      <w:pPr>
        <w:pStyle w:val="10"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备注：1、雨污智能分流井技术要求：包含FRP筒体、粗过滤装置、提升泵、液压转向阀、检修平台、液位控制、COD水质监测仪、PLC控制系统等，具体配置如下：</w:t>
      </w:r>
    </w:p>
    <w:p w14:paraId="45401C7F">
      <w:pPr>
        <w:pStyle w:val="9"/>
        <w:tabs>
          <w:tab w:val="left" w:pos="1418"/>
        </w:tabs>
        <w:ind w:left="0" w:leftChars="0" w:firstLine="0" w:firstLineChars="0"/>
        <w:jc w:val="center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智能雨污分流井主要配置表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047"/>
        <w:gridCol w:w="1773"/>
        <w:gridCol w:w="2475"/>
        <w:gridCol w:w="640"/>
        <w:gridCol w:w="541"/>
        <w:gridCol w:w="2472"/>
      </w:tblGrid>
      <w:tr w14:paraId="5998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B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3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0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材料明细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1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C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3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0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109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一体化泵站筒体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泵筒GRP材质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1-4#各型号尺寸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E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E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5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定制筒体GRP玻璃钢材质加强缠绕,加强厚度20mm，泵坑CFD模拟设计，改善底部淤泥。</w:t>
            </w:r>
          </w:p>
        </w:tc>
      </w:tr>
      <w:tr w14:paraId="7DA0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3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D4A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8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服务平台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D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根据筒体大小定制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D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5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GRP+压花铝板</w:t>
            </w:r>
          </w:p>
        </w:tc>
      </w:tr>
      <w:tr w14:paraId="4BDC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1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AF5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E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安全格珊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F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根据筒体大小定制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3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4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GRP+压花铝板</w:t>
            </w:r>
          </w:p>
        </w:tc>
      </w:tr>
      <w:tr w14:paraId="38B1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6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DAE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D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爬梯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F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根据筒体长度定制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1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304不锈钢</w:t>
            </w:r>
          </w:p>
        </w:tc>
      </w:tr>
      <w:tr w14:paraId="2D1B5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0C2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7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井盖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E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根据筒体大小定制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B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6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5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压花铝板</w:t>
            </w:r>
          </w:p>
        </w:tc>
      </w:tr>
      <w:tr w14:paraId="17597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7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FA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通风管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DN100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D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E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A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304不锈钢</w:t>
            </w:r>
          </w:p>
        </w:tc>
      </w:tr>
      <w:tr w14:paraId="7E10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1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E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水泵系统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2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潜污泵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1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Q=65m3/h,H=15M,N=5.5KW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2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C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凯泉、南方、连成等知名品牌，耦合安装</w:t>
            </w:r>
          </w:p>
        </w:tc>
      </w:tr>
      <w:tr w14:paraId="4C8CB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343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E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自动耦合装置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F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潜水泵配套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铸件</w:t>
            </w:r>
          </w:p>
        </w:tc>
      </w:tr>
      <w:tr w14:paraId="7428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F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A79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导轨和安装附件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C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自动耦合配套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0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0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304不锈钢</w:t>
            </w:r>
          </w:p>
        </w:tc>
      </w:tr>
      <w:tr w14:paraId="7830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038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2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潜污泵提升链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9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根据筒体定制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B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9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304不锈钢</w:t>
            </w:r>
          </w:p>
        </w:tc>
      </w:tr>
      <w:tr w14:paraId="5252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4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63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1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防水电缆和安装附件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根据水泵功率和筒体长度定制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B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F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A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多股铜芯电缆</w:t>
            </w:r>
          </w:p>
        </w:tc>
      </w:tr>
      <w:tr w14:paraId="4947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粗过滤系统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提篮格栅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7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根据流量配套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8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4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304不锈钢</w:t>
            </w:r>
          </w:p>
        </w:tc>
      </w:tr>
      <w:tr w14:paraId="7963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5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2EB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8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导轨和安装附件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5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根据格栅定制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5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304不锈钢</w:t>
            </w:r>
          </w:p>
        </w:tc>
      </w:tr>
      <w:tr w14:paraId="0557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AD1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提升链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根据格栅定制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A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D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304不锈钢</w:t>
            </w:r>
          </w:p>
        </w:tc>
      </w:tr>
      <w:tr w14:paraId="58C53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4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管路系统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进水口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F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1-4#各型号进口尺寸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A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1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GRP</w:t>
            </w:r>
          </w:p>
        </w:tc>
      </w:tr>
      <w:tr w14:paraId="7DA63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EA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5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进水柔性接头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9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1-4#各型号进口尺寸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2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B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4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碳钢法兰/橡胶</w:t>
            </w:r>
          </w:p>
        </w:tc>
      </w:tr>
      <w:tr w14:paraId="5163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A6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E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截污出水口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7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1-4#各型号出口尺寸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D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D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304不锈钢</w:t>
            </w:r>
          </w:p>
        </w:tc>
      </w:tr>
      <w:tr w14:paraId="1EFD6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F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7BD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4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截污出水柔性接头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1-4#各型号出口尺寸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2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C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碳钢法兰/橡胶</w:t>
            </w:r>
          </w:p>
        </w:tc>
      </w:tr>
      <w:tr w14:paraId="2813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C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75D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4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出水口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DN150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A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E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GRP</w:t>
            </w:r>
          </w:p>
        </w:tc>
      </w:tr>
      <w:tr w14:paraId="1FD2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4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B2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出水口柔性接头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6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DN150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E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碳钢法兰/橡胶</w:t>
            </w:r>
          </w:p>
        </w:tc>
      </w:tr>
      <w:tr w14:paraId="2FA0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0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02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A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压力管路系统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DN100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8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6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304不锈钢</w:t>
            </w:r>
          </w:p>
        </w:tc>
      </w:tr>
      <w:tr w14:paraId="2F1AE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42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出水合流管路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DN150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E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E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9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304不锈钢</w:t>
            </w:r>
          </w:p>
        </w:tc>
      </w:tr>
      <w:tr w14:paraId="774F5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3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6B7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9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止回阀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A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DN65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9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0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1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球墨铸铁</w:t>
            </w:r>
          </w:p>
        </w:tc>
      </w:tr>
      <w:tr w14:paraId="58AE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56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A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闸阀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B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DN65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4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0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球墨铸铁</w:t>
            </w:r>
          </w:p>
        </w:tc>
      </w:tr>
      <w:tr w14:paraId="7A61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1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液压转向系统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液动闸门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6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1-4#各型号出口尺寸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2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304不锈钢</w:t>
            </w:r>
          </w:p>
        </w:tc>
      </w:tr>
      <w:tr w14:paraId="1B9B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E1E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6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液压配件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C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油管，接头，阀门等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1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7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304不锈钢</w:t>
            </w:r>
          </w:p>
        </w:tc>
      </w:tr>
      <w:tr w14:paraId="6A580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CE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4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安装附件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不锈钢配套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1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304不锈钢</w:t>
            </w:r>
          </w:p>
        </w:tc>
      </w:tr>
      <w:tr w14:paraId="74646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7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液压动力系统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D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液压动力主机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系统配套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6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系统配套</w:t>
            </w:r>
          </w:p>
        </w:tc>
      </w:tr>
      <w:tr w14:paraId="3785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3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液压智能控制系统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液压智能控制柜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E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根据水质传感器控制雨水污水排放，超标截流，防止倒灌。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5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A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7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柜体304不锈钢，户外双层门，PLC模拟量模块，通讯模块带触摸屏带手机APP远程监控模块。</w:t>
            </w:r>
          </w:p>
        </w:tc>
      </w:tr>
      <w:tr w14:paraId="6B36D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857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水质传感器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D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COD计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9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t>304不锈钢，带通讯读取信号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5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6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t>配套安装支架304不锈钢</w:t>
            </w:r>
          </w:p>
        </w:tc>
      </w:tr>
      <w:tr w14:paraId="61542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液位传感器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投入式液位计（流量计）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304不锈钢防腐蚀4-20MA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5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1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 w:bidi="ar"/>
              </w:rPr>
              <w:t>配套安装支架304不锈钢</w:t>
            </w:r>
          </w:p>
        </w:tc>
      </w:tr>
    </w:tbl>
    <w:p w14:paraId="19D3EBAC">
      <w:pPr>
        <w:pStyle w:val="10"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2、其它要求：</w:t>
      </w:r>
    </w:p>
    <w:p w14:paraId="75F85A17">
      <w:pPr>
        <w:pStyle w:val="10"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（1）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zh-CN" w:eastAsia="zh-CN" w:bidi="ar-SA"/>
        </w:rPr>
        <w:t>所有机电设备要求设置备用，所供设备应符合相应国家的标准，系统设备全自动运行，操作简单，故障率低。</w:t>
      </w:r>
    </w:p>
    <w:p w14:paraId="7335B918">
      <w:pPr>
        <w:pStyle w:val="10"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（2）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zh-CN" w:eastAsia="zh-CN" w:bidi="ar-SA"/>
        </w:rPr>
        <w:t>选用的水泵等设备应是质量可靠、技术先进、效率高且能耗低的设备；</w:t>
      </w:r>
    </w:p>
    <w:p w14:paraId="07FA6CEB">
      <w:pPr>
        <w:pStyle w:val="10"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zh-CN" w:eastAsia="zh-CN" w:bidi="ar-SA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zh-CN" w:eastAsia="zh-CN" w:bidi="ar-SA"/>
        </w:rPr>
        <w:t>）成交供应商应按照所提报的设备清单提供成套设备的供应及安装。</w:t>
      </w:r>
    </w:p>
    <w:p w14:paraId="6CBCE82F">
      <w:pPr>
        <w:pStyle w:val="10"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zh-CN" w:eastAsia="zh-CN" w:bidi="ar-SA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-SA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zh-CN" w:eastAsia="zh-CN" w:bidi="ar-SA"/>
        </w:rPr>
        <w:t>）成交供应商按照国家有关标准和规范进行设备安装、调试。</w:t>
      </w:r>
    </w:p>
    <w:p w14:paraId="7977C873">
      <w:pPr>
        <w:widowControl/>
        <w:tabs>
          <w:tab w:val="left" w:pos="1406"/>
        </w:tabs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zh-CN" w:eastAsia="zh-CN" w:bidi="ar-SA"/>
        </w:rPr>
        <w:t>设备安装完成后，工况良好，且经采购人验收合格后可进行单机无负荷试车。单机无负荷试车成功，设备运行正常，采购人认可后，方可进入单机带负荷试车。当单机调试设备出现故障时，必须先修复或调换直至无故障，才能进行联动调试。单机试车完成后，采购人批准后才进入相关设备的联动试车。联动调试无负荷联动试车成功后，由成交供应商根据进水时间进行联动调试运行并合格。</w:t>
      </w:r>
    </w:p>
    <w:bookmarkEnd w:id="3"/>
    <w:p w14:paraId="7F4C0961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bookmarkStart w:id="6" w:name="_Toc527541657"/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1.3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工程量清单</w:t>
      </w:r>
    </w:p>
    <w:p w14:paraId="244E4841">
      <w:pPr>
        <w:pStyle w:val="18"/>
        <w:snapToGrid w:val="0"/>
        <w:spacing w:line="240" w:lineRule="auto"/>
        <w:ind w:firstLine="482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另行发放。</w:t>
      </w:r>
    </w:p>
    <w:bookmarkEnd w:id="6"/>
    <w:p w14:paraId="2416E9A3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bookmarkStart w:id="7" w:name="_Toc527541659"/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1.4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图纸</w:t>
      </w:r>
      <w:bookmarkEnd w:id="7"/>
    </w:p>
    <w:p w14:paraId="08C54B3C">
      <w:pPr>
        <w:pStyle w:val="18"/>
        <w:snapToGrid w:val="0"/>
        <w:spacing w:line="240" w:lineRule="auto"/>
        <w:ind w:firstLine="482" w:firstLineChars="200"/>
        <w:rPr>
          <w:rFonts w:hint="eastAsia" w:ascii="仿宋" w:hAnsi="仿宋" w:eastAsia="仿宋" w:cs="仿宋"/>
          <w:b w:val="0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另行发放。</w:t>
      </w:r>
    </w:p>
    <w:p w14:paraId="4D7BD0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679EDA"/>
    <w:multiLevelType w:val="singleLevel"/>
    <w:tmpl w:val="2B679EDA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MGYyZjliOTdmMjkzNjdjYzBiZjAxMTUzYjZlOTIifQ=="/>
  </w:docVars>
  <w:rsids>
    <w:rsidRoot w:val="00000000"/>
    <w:rsid w:val="6B5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5">
    <w:name w:val="Body Text"/>
    <w:basedOn w:val="1"/>
    <w:next w:val="6"/>
    <w:qFormat/>
    <w:uiPriority w:val="0"/>
    <w:pPr>
      <w:spacing w:line="460" w:lineRule="exact"/>
    </w:pPr>
    <w:rPr>
      <w:sz w:val="24"/>
    </w:rPr>
  </w:style>
  <w:style w:type="paragraph" w:styleId="6">
    <w:name w:val="Date"/>
    <w:basedOn w:val="1"/>
    <w:next w:val="1"/>
    <w:uiPriority w:val="0"/>
    <w:pPr>
      <w:ind w:left="100" w:leftChars="2500"/>
    </w:pPr>
    <w:rPr>
      <w:rFonts w:ascii="宋体"/>
    </w:rPr>
  </w:style>
  <w:style w:type="paragraph" w:styleId="7">
    <w:name w:val="Body Text Indent"/>
    <w:basedOn w:val="1"/>
    <w:next w:val="8"/>
    <w:qFormat/>
    <w:uiPriority w:val="0"/>
    <w:pPr>
      <w:spacing w:line="400" w:lineRule="exact"/>
      <w:ind w:firstLine="420" w:firstLineChars="200"/>
    </w:pPr>
    <w:rPr>
      <w:rFonts w:ascii="宋体" w:hAnsi="宋体"/>
    </w:rPr>
  </w:style>
  <w:style w:type="paragraph" w:styleId="8">
    <w:name w:val="envelope return"/>
    <w:basedOn w:val="1"/>
    <w:qFormat/>
    <w:uiPriority w:val="0"/>
    <w:pPr>
      <w:widowControl/>
    </w:pPr>
    <w:rPr>
      <w:kern w:val="0"/>
      <w:sz w:val="22"/>
      <w:lang w:eastAsia="en-US"/>
    </w:rPr>
  </w:style>
  <w:style w:type="paragraph" w:styleId="9">
    <w:name w:val="Body Text First Indent"/>
    <w:basedOn w:val="5"/>
    <w:unhideWhenUsed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10">
    <w:name w:val="Body Text First Indent 2"/>
    <w:basedOn w:val="7"/>
    <w:next w:val="1"/>
    <w:qFormat/>
    <w:uiPriority w:val="0"/>
    <w:pPr>
      <w:spacing w:line="360" w:lineRule="auto"/>
      <w:ind w:firstLine="200" w:firstLineChars="200"/>
    </w:pPr>
    <w:rPr>
      <w:rFonts w:ascii="宋体" w:eastAsia="宋体"/>
      <w:sz w:val="21"/>
      <w:szCs w:val="20"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71"/>
    <w:basedOn w:val="13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15">
    <w:name w:val="标题 2 Char Char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</w:style>
  <w:style w:type="paragraph" w:customStyle="1" w:styleId="17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18">
    <w:name w:val="正文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楷体" w:cs="Times New Roman"/>
      <w:b/>
      <w:color w:val="0000FF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2024-10-28T09:11:12Z</dcterms:created>
  <dc:creator>pc</dc:creator>
  <cp:lastModifiedBy>Archer</cp:lastModifiedBy>
  <dcterms:modified xsi:type="dcterms:W3CDTF">2024-10-28T09:11:57Z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42A8CDD6505F4205BCAF3E55B11BD0C7_12</vt:lpwstr>
  </property>
</Properties>
</file>