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EBDCF">
      <w:pPr>
        <w:pStyle w:val="2"/>
        <w:widowControl/>
        <w:snapToGrid w:val="0"/>
        <w:spacing w:before="0" w:after="0" w:line="360" w:lineRule="auto"/>
        <w:jc w:val="center"/>
        <w:rPr>
          <w:rFonts w:hint="eastAsia" w:ascii="黑体" w:hAnsi="黑体" w:eastAsia="黑体"/>
          <w:b w:val="0"/>
          <w:color w:val="auto"/>
        </w:rPr>
      </w:pPr>
      <w:bookmarkStart w:id="0" w:name="_Toc18550"/>
      <w:bookmarkStart w:id="1" w:name="_Toc28788"/>
      <w:bookmarkStart w:id="2" w:name="_Toc528829640"/>
      <w:bookmarkStart w:id="3" w:name="_Toc445554746"/>
      <w:bookmarkStart w:id="4" w:name="_Toc466024555"/>
      <w:bookmarkStart w:id="5" w:name="_Toc10534"/>
      <w:bookmarkStart w:id="6" w:name="_Toc15451"/>
      <w:r>
        <w:rPr>
          <w:rFonts w:hint="eastAsia" w:ascii="宋体" w:hAnsi="宋体"/>
          <w:color w:val="auto"/>
        </w:rPr>
        <w:t>第三章  采购需求及技术规格要求</w:t>
      </w:r>
      <w:bookmarkEnd w:id="0"/>
      <w:bookmarkEnd w:id="1"/>
      <w:bookmarkEnd w:id="2"/>
      <w:bookmarkEnd w:id="3"/>
      <w:bookmarkEnd w:id="4"/>
      <w:bookmarkEnd w:id="5"/>
      <w:bookmarkEnd w:id="6"/>
    </w:p>
    <w:p w14:paraId="7AB6110D">
      <w:pPr>
        <w:widowControl/>
        <w:rPr>
          <w:rFonts w:hint="eastAsia"/>
          <w:color w:val="auto"/>
        </w:rPr>
      </w:pPr>
    </w:p>
    <w:p w14:paraId="5B323BC1">
      <w:pPr>
        <w:spacing w:line="360" w:lineRule="auto"/>
        <w:rPr>
          <w:rFonts w:ascii="宋体" w:hAnsi="宋体" w:eastAsia="宋体"/>
          <w:b/>
          <w:color w:val="auto"/>
          <w:sz w:val="21"/>
          <w:szCs w:val="21"/>
          <w:highlight w:val="none"/>
        </w:rPr>
      </w:pPr>
      <w:r>
        <w:rPr>
          <w:rFonts w:hint="eastAsia" w:ascii="宋体" w:hAnsi="宋体" w:eastAsia="宋体"/>
          <w:b/>
          <w:color w:val="auto"/>
          <w:sz w:val="21"/>
          <w:szCs w:val="21"/>
          <w:highlight w:val="none"/>
        </w:rPr>
        <w:t>前注：</w:t>
      </w:r>
    </w:p>
    <w:p w14:paraId="4D255AE1">
      <w:pPr>
        <w:adjustRightInd w:val="0"/>
        <w:snapToGrid w:val="0"/>
        <w:spacing w:before="96" w:beforeLines="40" w:after="96" w:afterLines="40" w:line="400" w:lineRule="exact"/>
        <w:ind w:firstLine="420" w:firstLineChars="200"/>
        <w:jc w:val="left"/>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1、</w:t>
      </w:r>
      <w:r>
        <w:rPr>
          <w:rFonts w:hint="eastAsia" w:ascii="宋体" w:hAnsi="宋体" w:eastAsia="宋体" w:cs="Times New Roman"/>
          <w:color w:val="auto"/>
          <w:szCs w:val="21"/>
        </w:rPr>
        <w:t>本采购需求中提出的服务方案仅为参考，如无明确限制，投标人可以进行优化，提供满足采购人实际需要的更优（或者性能实质上不低于的）服务方案，且此方案须经评标委员会评审认可。</w:t>
      </w:r>
    </w:p>
    <w:p w14:paraId="6E83FE68">
      <w:pPr>
        <w:adjustRightInd w:val="0"/>
        <w:snapToGrid w:val="0"/>
        <w:spacing w:before="96" w:beforeLines="40" w:after="96" w:afterLines="40" w:line="400" w:lineRule="exact"/>
        <w:ind w:firstLine="420" w:firstLineChars="200"/>
        <w:jc w:val="left"/>
        <w:rPr>
          <w:rFonts w:hint="eastAsia" w:ascii="宋体" w:hAnsi="宋体"/>
          <w:color w:val="auto"/>
          <w:szCs w:val="21"/>
        </w:rPr>
      </w:pPr>
      <w:r>
        <w:rPr>
          <w:rFonts w:hint="eastAsia" w:ascii="宋体" w:hAnsi="宋体" w:eastAsia="宋体" w:cs="Times New Roman"/>
          <w:color w:val="auto"/>
          <w:szCs w:val="21"/>
        </w:rPr>
        <w:t>2、投标供应商应当在投标文件中列出完成本项目并通过验收所需的所有各项服务等明细表及全部费用。中标供应商必须确保整体通过采购人及有关主管部门验收；投标供应商应自行踏勘项目现场，如投标供应商因未及时踏勘现场而导致的报价缺项漏项废标、或中标后无法完工，投标供应商自行承担一切后果；</w:t>
      </w:r>
    </w:p>
    <w:p w14:paraId="57C48A53">
      <w:pPr>
        <w:adjustRightInd w:val="0"/>
        <w:snapToGrid w:val="0"/>
        <w:spacing w:before="96" w:beforeLines="40" w:after="96" w:afterLines="40" w:line="400" w:lineRule="exact"/>
        <w:ind w:firstLine="420" w:firstLineChars="200"/>
        <w:jc w:val="left"/>
        <w:rPr>
          <w:rFonts w:hint="eastAsia" w:ascii="宋体" w:hAnsi="宋体" w:eastAsia="宋体" w:cs="Times New Roman"/>
          <w:color w:val="auto"/>
          <w:szCs w:val="21"/>
        </w:rPr>
      </w:pPr>
      <w:r>
        <w:rPr>
          <w:rFonts w:hint="eastAsia" w:ascii="宋体" w:hAnsi="宋体"/>
          <w:color w:val="auto"/>
          <w:szCs w:val="21"/>
          <w:lang w:val="en-US" w:eastAsia="zh-CN"/>
        </w:rPr>
        <w:t>3</w:t>
      </w:r>
      <w:r>
        <w:rPr>
          <w:rFonts w:hint="eastAsia" w:ascii="宋体" w:hAnsi="宋体"/>
          <w:color w:val="auto"/>
          <w:szCs w:val="21"/>
        </w:rPr>
        <w:t>、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w:t>
      </w:r>
      <w:r>
        <w:rPr>
          <w:rFonts w:hint="eastAsia" w:ascii="宋体" w:hAnsi="宋体" w:eastAsia="宋体" w:cs="Times New Roman"/>
          <w:color w:val="auto"/>
          <w:szCs w:val="21"/>
        </w:rPr>
        <w:t>求标准的绿色包</w:t>
      </w:r>
    </w:p>
    <w:p w14:paraId="6E2C8780">
      <w:pPr>
        <w:adjustRightInd w:val="0"/>
        <w:snapToGrid w:val="0"/>
        <w:spacing w:before="96" w:beforeLines="40" w:after="96" w:afterLines="40" w:line="400" w:lineRule="exact"/>
        <w:ind w:firstLine="420" w:firstLineChars="200"/>
        <w:jc w:val="left"/>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4、</w:t>
      </w:r>
      <w:r>
        <w:rPr>
          <w:rFonts w:hint="eastAsia" w:ascii="宋体" w:hAnsi="宋体" w:eastAsia="宋体" w:cs="Times New Roman"/>
          <w:color w:val="auto"/>
          <w:szCs w:val="21"/>
        </w:rPr>
        <w:t>如采购人允许采用分包方式履行合同的，应当明确可以分包履行的相关内容。</w:t>
      </w:r>
    </w:p>
    <w:p w14:paraId="3B71D6A0">
      <w:pPr>
        <w:bidi w:val="0"/>
        <w:rPr>
          <w:rFonts w:hint="eastAsia"/>
          <w:color w:val="auto"/>
        </w:rPr>
      </w:pPr>
      <w:bookmarkStart w:id="7" w:name="_Toc21798"/>
      <w:bookmarkStart w:id="8" w:name="_Toc4148"/>
      <w:bookmarkStart w:id="9" w:name="_Hlk23621890"/>
    </w:p>
    <w:p w14:paraId="6BF1702D">
      <w:pPr>
        <w:spacing w:line="360" w:lineRule="auto"/>
        <w:ind w:firstLine="437"/>
        <w:outlineLvl w:val="1"/>
        <w:rPr>
          <w:rFonts w:ascii="宋体" w:hAnsi="宋体" w:eastAsia="宋体"/>
          <w:b/>
          <w:color w:val="auto"/>
          <w:sz w:val="21"/>
          <w:szCs w:val="21"/>
          <w:highlight w:val="none"/>
        </w:rPr>
      </w:pPr>
      <w:r>
        <w:rPr>
          <w:rFonts w:hint="eastAsia" w:ascii="宋体" w:hAnsi="宋体" w:eastAsia="宋体"/>
          <w:b/>
          <w:color w:val="auto"/>
          <w:sz w:val="21"/>
          <w:szCs w:val="21"/>
          <w:highlight w:val="none"/>
        </w:rPr>
        <w:t>一、采购需求前附表</w:t>
      </w:r>
      <w:bookmarkEnd w:id="7"/>
      <w:bookmarkEnd w:id="8"/>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5F16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2CF834E9">
            <w:pPr>
              <w:pStyle w:val="10"/>
              <w:pBdr>
                <w:bottom w:val="none" w:color="auto" w:sz="0" w:space="0"/>
              </w:pBdr>
              <w:tabs>
                <w:tab w:val="clear" w:pos="4153"/>
                <w:tab w:val="clear" w:pos="8306"/>
              </w:tabs>
              <w:adjustRightInd/>
              <w:spacing w:line="240" w:lineRule="auto"/>
              <w:textAlignment w:val="auto"/>
              <w:rPr>
                <w:rFonts w:ascii="宋体" w:hAnsi="宋体" w:eastAsia="宋体"/>
                <w:b/>
                <w:color w:val="auto"/>
                <w:kern w:val="2"/>
                <w:sz w:val="21"/>
                <w:szCs w:val="21"/>
                <w:highlight w:val="none"/>
              </w:rPr>
            </w:pPr>
            <w:r>
              <w:rPr>
                <w:rFonts w:hint="eastAsia" w:ascii="宋体" w:hAnsi="宋体" w:eastAsia="宋体"/>
                <w:b/>
                <w:color w:val="auto"/>
                <w:kern w:val="2"/>
                <w:sz w:val="21"/>
                <w:szCs w:val="21"/>
                <w:highlight w:val="none"/>
              </w:rPr>
              <w:t>序号</w:t>
            </w:r>
          </w:p>
        </w:tc>
        <w:tc>
          <w:tcPr>
            <w:tcW w:w="1192" w:type="pct"/>
            <w:noWrap w:val="0"/>
            <w:vAlign w:val="center"/>
          </w:tcPr>
          <w:p w14:paraId="0431D918">
            <w:pPr>
              <w:pStyle w:val="11"/>
              <w:widowControl w:val="0"/>
              <w:spacing w:before="0" w:beforeAutospacing="0" w:after="0" w:afterAutospacing="0" w:line="360" w:lineRule="auto"/>
              <w:rPr>
                <w:rFonts w:ascii="宋体" w:hAnsi="宋体" w:eastAsia="宋体"/>
                <w:bCs w:val="0"/>
                <w:color w:val="auto"/>
                <w:sz w:val="21"/>
                <w:szCs w:val="21"/>
                <w:highlight w:val="none"/>
              </w:rPr>
            </w:pPr>
            <w:r>
              <w:rPr>
                <w:rFonts w:hint="eastAsia" w:ascii="宋体" w:hAnsi="宋体" w:eastAsia="宋体"/>
                <w:bCs w:val="0"/>
                <w:color w:val="auto"/>
                <w:sz w:val="21"/>
                <w:szCs w:val="21"/>
                <w:highlight w:val="none"/>
              </w:rPr>
              <w:t>条款名称</w:t>
            </w:r>
          </w:p>
        </w:tc>
        <w:tc>
          <w:tcPr>
            <w:tcW w:w="3217" w:type="pct"/>
            <w:noWrap w:val="0"/>
            <w:vAlign w:val="center"/>
          </w:tcPr>
          <w:p w14:paraId="05A7B7D4">
            <w:pPr>
              <w:pStyle w:val="11"/>
              <w:widowControl w:val="0"/>
              <w:spacing w:before="0" w:beforeAutospacing="0" w:after="0" w:afterAutospacing="0" w:line="360" w:lineRule="auto"/>
              <w:rPr>
                <w:rFonts w:ascii="宋体" w:hAnsi="宋体" w:eastAsia="宋体"/>
                <w:bCs w:val="0"/>
                <w:color w:val="auto"/>
                <w:sz w:val="21"/>
                <w:szCs w:val="21"/>
                <w:highlight w:val="none"/>
              </w:rPr>
            </w:pPr>
            <w:r>
              <w:rPr>
                <w:rFonts w:hint="eastAsia" w:ascii="宋体" w:hAnsi="宋体" w:eastAsia="宋体"/>
                <w:bCs w:val="0"/>
                <w:color w:val="auto"/>
                <w:sz w:val="21"/>
                <w:szCs w:val="21"/>
                <w:highlight w:val="none"/>
              </w:rPr>
              <w:t>内容、说明与要求</w:t>
            </w:r>
          </w:p>
        </w:tc>
      </w:tr>
      <w:tr w14:paraId="10E1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107289CE">
            <w:pPr>
              <w:pStyle w:val="10"/>
              <w:pBdr>
                <w:bottom w:val="none" w:color="auto" w:sz="0" w:space="0"/>
              </w:pBdr>
              <w:tabs>
                <w:tab w:val="clear" w:pos="4153"/>
                <w:tab w:val="clear" w:pos="8306"/>
              </w:tabs>
              <w:adjustRightInd/>
              <w:spacing w:line="240" w:lineRule="auto"/>
              <w:textAlignment w:val="auto"/>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1</w:t>
            </w:r>
          </w:p>
        </w:tc>
        <w:tc>
          <w:tcPr>
            <w:tcW w:w="1192" w:type="pct"/>
            <w:noWrap w:val="0"/>
            <w:vAlign w:val="center"/>
          </w:tcPr>
          <w:p w14:paraId="7921997D">
            <w:pPr>
              <w:pStyle w:val="11"/>
              <w:widowControl w:val="0"/>
              <w:spacing w:before="0" w:beforeAutospacing="0" w:after="0" w:afterAutospacing="0" w:line="360" w:lineRule="auto"/>
              <w:rPr>
                <w:rFonts w:ascii="宋体" w:hAnsi="宋体" w:eastAsia="宋体"/>
                <w:b w:val="0"/>
                <w:bCs/>
                <w:color w:val="auto"/>
                <w:kern w:val="0"/>
                <w:sz w:val="21"/>
                <w:szCs w:val="21"/>
                <w:highlight w:val="none"/>
                <w:lang w:val="en-US" w:eastAsia="zh-CN" w:bidi="ar-SA"/>
              </w:rPr>
            </w:pPr>
            <w:r>
              <w:rPr>
                <w:rFonts w:hint="eastAsia" w:ascii="宋体" w:hAnsi="宋体" w:eastAsia="宋体"/>
                <w:b w:val="0"/>
                <w:color w:val="auto"/>
                <w:sz w:val="21"/>
                <w:szCs w:val="21"/>
                <w:highlight w:val="none"/>
              </w:rPr>
              <w:t>服务地点</w:t>
            </w:r>
          </w:p>
        </w:tc>
        <w:tc>
          <w:tcPr>
            <w:tcW w:w="6341" w:type="dxa"/>
            <w:noWrap w:val="0"/>
            <w:vAlign w:val="center"/>
          </w:tcPr>
          <w:p w14:paraId="63D43714">
            <w:pPr>
              <w:pStyle w:val="11"/>
              <w:widowControl w:val="0"/>
              <w:spacing w:before="0" w:beforeAutospacing="0" w:after="0" w:afterAutospacing="0" w:line="360" w:lineRule="auto"/>
              <w:jc w:val="both"/>
              <w:rPr>
                <w:rFonts w:ascii="宋体" w:hAnsi="宋体" w:eastAsia="宋体"/>
                <w:b w:val="0"/>
                <w:bCs/>
                <w:color w:val="auto"/>
                <w:kern w:val="0"/>
                <w:sz w:val="21"/>
                <w:szCs w:val="21"/>
                <w:highlight w:val="none"/>
                <w:lang w:val="en-US" w:eastAsia="zh-CN" w:bidi="ar-SA"/>
              </w:rPr>
            </w:pPr>
            <w:r>
              <w:rPr>
                <w:rFonts w:hint="eastAsia" w:ascii="宋体" w:hAnsi="宋体" w:eastAsia="宋体"/>
                <w:b w:val="0"/>
                <w:color w:val="auto"/>
                <w:sz w:val="21"/>
                <w:szCs w:val="21"/>
                <w:highlight w:val="none"/>
                <w:u w:val="none"/>
                <w:lang w:val="en-US" w:eastAsia="zh-CN"/>
              </w:rPr>
              <w:t>安徽工业经济职业技术学院，采购人指定地点</w:t>
            </w:r>
          </w:p>
        </w:tc>
      </w:tr>
      <w:tr w14:paraId="2C49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3B9F2061">
            <w:pPr>
              <w:pStyle w:val="10"/>
              <w:pBdr>
                <w:bottom w:val="none" w:color="auto" w:sz="0" w:space="0"/>
              </w:pBdr>
              <w:tabs>
                <w:tab w:val="clear" w:pos="4153"/>
                <w:tab w:val="clear" w:pos="8306"/>
              </w:tabs>
              <w:adjustRightInd/>
              <w:spacing w:line="240" w:lineRule="auto"/>
              <w:textAlignment w:val="auto"/>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2</w:t>
            </w:r>
          </w:p>
        </w:tc>
        <w:tc>
          <w:tcPr>
            <w:tcW w:w="1192" w:type="pct"/>
            <w:noWrap w:val="0"/>
            <w:vAlign w:val="center"/>
          </w:tcPr>
          <w:p w14:paraId="53A67B13">
            <w:pPr>
              <w:pStyle w:val="11"/>
              <w:widowControl w:val="0"/>
              <w:spacing w:before="0" w:beforeAutospacing="0" w:after="0" w:afterAutospacing="0" w:line="360" w:lineRule="auto"/>
              <w:rPr>
                <w:rFonts w:ascii="宋体" w:hAnsi="宋体" w:eastAsia="宋体"/>
                <w:b w:val="0"/>
                <w:bCs/>
                <w:color w:val="auto"/>
                <w:kern w:val="0"/>
                <w:sz w:val="21"/>
                <w:szCs w:val="21"/>
                <w:highlight w:val="none"/>
                <w:lang w:val="en-US" w:eastAsia="zh-CN" w:bidi="ar-SA"/>
              </w:rPr>
            </w:pPr>
            <w:r>
              <w:rPr>
                <w:rFonts w:hint="eastAsia" w:ascii="宋体" w:hAnsi="宋体" w:eastAsia="宋体"/>
                <w:b w:val="0"/>
                <w:color w:val="auto"/>
                <w:sz w:val="21"/>
                <w:szCs w:val="21"/>
                <w:highlight w:val="none"/>
              </w:rPr>
              <w:t>服务期限</w:t>
            </w:r>
          </w:p>
        </w:tc>
        <w:tc>
          <w:tcPr>
            <w:tcW w:w="6341" w:type="dxa"/>
            <w:noWrap w:val="0"/>
            <w:vAlign w:val="center"/>
          </w:tcPr>
          <w:p w14:paraId="208B61AC">
            <w:pPr>
              <w:widowControl/>
              <w:adjustRightInd w:val="0"/>
              <w:snapToGrid w:val="0"/>
              <w:spacing w:line="288" w:lineRule="auto"/>
              <w:rPr>
                <w:rFonts w:ascii="宋体" w:hAnsi="宋体" w:eastAsia="宋体"/>
                <w:b w:val="0"/>
                <w:bCs/>
                <w:color w:val="auto"/>
                <w:kern w:val="0"/>
                <w:sz w:val="21"/>
                <w:szCs w:val="21"/>
                <w:highlight w:val="none"/>
                <w:lang w:val="en-US" w:eastAsia="zh-CN" w:bidi="ar-SA"/>
              </w:rPr>
            </w:pPr>
            <w:r>
              <w:rPr>
                <w:rFonts w:hint="eastAsia" w:ascii="宋体" w:hAnsi="宋体" w:eastAsia="宋体" w:cs="Calibri"/>
                <w:color w:val="auto"/>
                <w:szCs w:val="21"/>
                <w:lang w:val="en-US" w:eastAsia="zh-CN"/>
              </w:rPr>
              <w:t>合同签订后150个日历日内完成。</w:t>
            </w:r>
          </w:p>
        </w:tc>
      </w:tr>
      <w:tr w14:paraId="34C98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noWrap w:val="0"/>
            <w:vAlign w:val="center"/>
          </w:tcPr>
          <w:p w14:paraId="20642788">
            <w:pPr>
              <w:pStyle w:val="10"/>
              <w:pBdr>
                <w:bottom w:val="none" w:color="auto" w:sz="0" w:space="0"/>
              </w:pBdr>
              <w:tabs>
                <w:tab w:val="clear" w:pos="4153"/>
                <w:tab w:val="clear" w:pos="8306"/>
              </w:tabs>
              <w:adjustRightInd/>
              <w:spacing w:line="240" w:lineRule="auto"/>
              <w:textAlignment w:val="auto"/>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3</w:t>
            </w:r>
          </w:p>
        </w:tc>
        <w:tc>
          <w:tcPr>
            <w:tcW w:w="1192" w:type="pct"/>
            <w:noWrap w:val="0"/>
            <w:vAlign w:val="center"/>
          </w:tcPr>
          <w:p w14:paraId="54141E4D">
            <w:pPr>
              <w:pStyle w:val="11"/>
              <w:widowControl w:val="0"/>
              <w:spacing w:before="0" w:beforeAutospacing="0" w:after="0" w:afterAutospacing="0" w:line="360" w:lineRule="auto"/>
              <w:rPr>
                <w:rFonts w:ascii="宋体" w:hAnsi="宋体" w:eastAsia="宋体"/>
                <w:b w:val="0"/>
                <w:bCs/>
                <w:color w:val="auto"/>
                <w:kern w:val="0"/>
                <w:sz w:val="21"/>
                <w:szCs w:val="21"/>
                <w:highlight w:val="none"/>
                <w:lang w:val="en-US" w:eastAsia="zh-CN" w:bidi="ar-SA"/>
              </w:rPr>
            </w:pPr>
            <w:r>
              <w:rPr>
                <w:rFonts w:hint="eastAsia" w:ascii="宋体" w:hAnsi="宋体" w:eastAsia="宋体"/>
                <w:b w:val="0"/>
                <w:color w:val="auto"/>
                <w:sz w:val="21"/>
                <w:szCs w:val="21"/>
                <w:highlight w:val="none"/>
              </w:rPr>
              <w:t>本项目采购标的名称及所属行业</w:t>
            </w:r>
          </w:p>
        </w:tc>
        <w:tc>
          <w:tcPr>
            <w:tcW w:w="6341" w:type="dxa"/>
            <w:noWrap w:val="0"/>
            <w:vAlign w:val="center"/>
          </w:tcPr>
          <w:p w14:paraId="7CEF97D7">
            <w:pPr>
              <w:spacing w:line="360" w:lineRule="auto"/>
              <w:jc w:val="left"/>
              <w:rPr>
                <w:rFonts w:ascii="宋体" w:hAnsi="宋体" w:eastAsia="宋体"/>
                <w:color w:val="auto"/>
                <w:sz w:val="21"/>
                <w:szCs w:val="21"/>
                <w:highlight w:val="none"/>
              </w:rPr>
            </w:pPr>
            <w:r>
              <w:rPr>
                <w:rFonts w:hint="eastAsia" w:ascii="宋体" w:hAnsi="宋体" w:eastAsia="宋体"/>
                <w:color w:val="auto"/>
                <w:sz w:val="21"/>
                <w:szCs w:val="21"/>
                <w:highlight w:val="none"/>
              </w:rPr>
              <w:t>第</w:t>
            </w:r>
            <w:r>
              <w:rPr>
                <w:rFonts w:hint="eastAsia" w:ascii="宋体" w:hAnsi="宋体" w:eastAsia="宋体"/>
                <w:color w:val="auto"/>
                <w:sz w:val="21"/>
                <w:szCs w:val="21"/>
                <w:highlight w:val="none"/>
                <w:u w:val="none"/>
                <w:lang w:val="en-US" w:eastAsia="zh-CN"/>
              </w:rPr>
              <w:t>1</w:t>
            </w:r>
            <w:r>
              <w:rPr>
                <w:rFonts w:hint="eastAsia" w:ascii="宋体" w:hAnsi="宋体" w:eastAsia="宋体"/>
                <w:color w:val="auto"/>
                <w:sz w:val="21"/>
                <w:szCs w:val="21"/>
                <w:highlight w:val="none"/>
              </w:rPr>
              <w:t>包：</w:t>
            </w:r>
          </w:p>
          <w:p w14:paraId="6E232D92">
            <w:pPr>
              <w:spacing w:line="360" w:lineRule="auto"/>
              <w:jc w:val="left"/>
              <w:rPr>
                <w:rFonts w:ascii="宋体" w:hAnsi="宋体" w:eastAsia="宋体"/>
                <w:color w:val="auto"/>
                <w:sz w:val="21"/>
                <w:szCs w:val="21"/>
                <w:highlight w:val="none"/>
              </w:rPr>
            </w:pPr>
            <w:r>
              <w:rPr>
                <w:rFonts w:hint="eastAsia" w:ascii="宋体" w:hAnsi="宋体" w:eastAsia="宋体"/>
                <w:color w:val="auto"/>
                <w:sz w:val="21"/>
                <w:szCs w:val="21"/>
                <w:highlight w:val="none"/>
              </w:rPr>
              <w:t>标的名称：</w:t>
            </w:r>
            <w:r>
              <w:rPr>
                <w:rFonts w:hint="eastAsia" w:ascii="宋体" w:hAnsi="宋体" w:eastAsia="宋体"/>
                <w:color w:val="auto"/>
                <w:sz w:val="21"/>
                <w:szCs w:val="21"/>
                <w:highlight w:val="none"/>
                <w:lang w:val="en-US" w:eastAsia="zh-CN"/>
              </w:rPr>
              <w:t>人工智能及区块链教学资源库建设</w:t>
            </w:r>
          </w:p>
          <w:p w14:paraId="07FB6D0C">
            <w:pPr>
              <w:spacing w:line="360" w:lineRule="auto"/>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所属行业：</w:t>
            </w:r>
            <w:r>
              <w:rPr>
                <w:rFonts w:hint="eastAsia" w:ascii="宋体" w:hAnsi="宋体" w:eastAsia="宋体"/>
                <w:color w:val="auto"/>
                <w:sz w:val="21"/>
                <w:szCs w:val="21"/>
                <w:highlight w:val="none"/>
                <w:lang w:val="en-US" w:eastAsia="zh-CN"/>
              </w:rPr>
              <w:t>软件和信息技术服务业</w:t>
            </w:r>
          </w:p>
          <w:p w14:paraId="2EF1CF1C">
            <w:pPr>
              <w:spacing w:line="360" w:lineRule="auto"/>
              <w:jc w:val="left"/>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第2包：</w:t>
            </w:r>
          </w:p>
          <w:p w14:paraId="3A52BAE5">
            <w:pPr>
              <w:spacing w:line="360" w:lineRule="auto"/>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标的名称：</w:t>
            </w:r>
            <w:r>
              <w:rPr>
                <w:rFonts w:hint="eastAsia" w:ascii="宋体" w:hAnsi="宋体" w:eastAsia="宋体"/>
                <w:color w:val="auto"/>
                <w:sz w:val="21"/>
                <w:szCs w:val="21"/>
                <w:highlight w:val="none"/>
                <w:lang w:val="en-US" w:eastAsia="zh-CN"/>
              </w:rPr>
              <w:t>职业教育云计算技术应用专业教学资源库《物联网云平台开发实践》课程资源建设</w:t>
            </w:r>
          </w:p>
          <w:p w14:paraId="68527B80">
            <w:pPr>
              <w:spacing w:line="360" w:lineRule="auto"/>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所属行业：</w:t>
            </w:r>
            <w:r>
              <w:rPr>
                <w:rFonts w:hint="eastAsia" w:ascii="宋体" w:hAnsi="宋体" w:eastAsia="宋体" w:cs="Times New Roman"/>
                <w:color w:val="auto"/>
                <w:sz w:val="21"/>
                <w:szCs w:val="21"/>
                <w:highlight w:val="none"/>
                <w:lang w:val="en-US" w:eastAsia="zh-CN"/>
              </w:rPr>
              <w:t>软件和信息技术服务业</w:t>
            </w:r>
          </w:p>
          <w:p w14:paraId="6797E7B2">
            <w:pPr>
              <w:spacing w:line="360" w:lineRule="auto"/>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第</w:t>
            </w: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包：</w:t>
            </w:r>
          </w:p>
          <w:p w14:paraId="1F5A99BF">
            <w:pPr>
              <w:spacing w:line="360" w:lineRule="auto"/>
              <w:jc w:val="left"/>
              <w:rPr>
                <w:rFonts w:ascii="宋体" w:hAnsi="宋体" w:eastAsia="宋体"/>
                <w:color w:val="auto"/>
                <w:sz w:val="21"/>
                <w:szCs w:val="21"/>
                <w:highlight w:val="none"/>
              </w:rPr>
            </w:pPr>
            <w:r>
              <w:rPr>
                <w:rFonts w:hint="eastAsia" w:ascii="宋体" w:hAnsi="宋体" w:eastAsia="宋体"/>
                <w:color w:val="auto"/>
                <w:sz w:val="21"/>
                <w:szCs w:val="21"/>
                <w:highlight w:val="none"/>
              </w:rPr>
              <w:t>标的名称：</w:t>
            </w:r>
            <w:r>
              <w:rPr>
                <w:rFonts w:hint="eastAsia" w:ascii="宋体" w:hAnsi="宋体" w:eastAsia="宋体" w:cs="Times New Roman"/>
                <w:color w:val="auto"/>
                <w:sz w:val="21"/>
                <w:szCs w:val="21"/>
                <w:highlight w:val="none"/>
                <w:lang w:val="en-US" w:eastAsia="zh-CN"/>
              </w:rPr>
              <w:t>国家级教学资源库《影视编辑与制作》课程资源建设</w:t>
            </w:r>
          </w:p>
          <w:p w14:paraId="388A30AC">
            <w:pPr>
              <w:pStyle w:val="5"/>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所属行业</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软件和信息技术服务业</w:t>
            </w:r>
          </w:p>
        </w:tc>
      </w:tr>
    </w:tbl>
    <w:p w14:paraId="17C44D98">
      <w:pPr>
        <w:numPr>
          <w:ilvl w:val="0"/>
          <w:numId w:val="0"/>
        </w:numPr>
        <w:spacing w:line="360" w:lineRule="auto"/>
        <w:ind w:firstLine="422" w:firstLineChars="200"/>
        <w:outlineLvl w:val="1"/>
        <w:rPr>
          <w:rFonts w:hint="eastAsia" w:ascii="宋体" w:hAnsi="宋体" w:eastAsia="宋体"/>
          <w:b/>
          <w:color w:val="auto"/>
          <w:sz w:val="21"/>
          <w:szCs w:val="21"/>
          <w:highlight w:val="none"/>
        </w:rPr>
      </w:pPr>
      <w:bookmarkStart w:id="10" w:name="_Toc8753"/>
      <w:bookmarkStart w:id="11" w:name="_Toc16543"/>
      <w:bookmarkStart w:id="12" w:name="_Hlk16461016"/>
      <w:r>
        <w:rPr>
          <w:rFonts w:hint="eastAsia" w:ascii="宋体" w:hAnsi="宋体" w:eastAsia="宋体"/>
          <w:b/>
          <w:color w:val="auto"/>
          <w:sz w:val="21"/>
          <w:szCs w:val="21"/>
          <w:highlight w:val="none"/>
          <w:lang w:val="en-US" w:eastAsia="zh-CN"/>
        </w:rPr>
        <w:t>二、</w:t>
      </w:r>
      <w:r>
        <w:rPr>
          <w:rFonts w:hint="eastAsia" w:ascii="宋体" w:hAnsi="宋体" w:eastAsia="宋体"/>
          <w:b/>
          <w:color w:val="auto"/>
          <w:sz w:val="21"/>
          <w:szCs w:val="21"/>
          <w:highlight w:val="none"/>
        </w:rPr>
        <w:t>项目概况</w:t>
      </w:r>
      <w:bookmarkEnd w:id="10"/>
      <w:bookmarkEnd w:id="11"/>
    </w:p>
    <w:p w14:paraId="4800551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left"/>
        <w:textAlignment w:val="auto"/>
        <w:rPr>
          <w:color w:val="auto"/>
          <w:sz w:val="21"/>
          <w:szCs w:val="21"/>
        </w:rPr>
      </w:pPr>
      <w:r>
        <w:rPr>
          <w:rFonts w:hint="eastAsia" w:ascii="宋体" w:hAnsi="宋体" w:eastAsia="宋体" w:cs="宋体"/>
          <w:color w:val="auto"/>
          <w:kern w:val="0"/>
          <w:sz w:val="21"/>
          <w:szCs w:val="21"/>
          <w:lang w:val="en-US" w:eastAsia="zh-CN" w:bidi="ar"/>
        </w:rPr>
        <w:t>1包：职业教育专业教学资源库是推进教育数字化战略行动的重要手段，旨在服务师生、服务学校、服务社会，扩大优质资源和服务的有效供给，促进国家职业教育智慧教育平台优化资源存量、扩大资源增量。本项目以国家级资源库的标准建设《分布式账本技术》、《人工智能系统部署与运维》、《智能语音处理及应用开发》、《Python 数据分析》四门课程。</w:t>
      </w:r>
    </w:p>
    <w:p w14:paraId="195E29BE">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1"/>
          <w:szCs w:val="21"/>
        </w:rPr>
      </w:pPr>
    </w:p>
    <w:p w14:paraId="61F0DD10">
      <w:pPr>
        <w:keepNext w:val="0"/>
        <w:keepLines w:val="0"/>
        <w:pageBreakBefore w:val="0"/>
        <w:numPr>
          <w:ilvl w:val="0"/>
          <w:numId w:val="0"/>
        </w:numPr>
        <w:kinsoku/>
        <w:wordWrap/>
        <w:overflowPunct/>
        <w:topLinePunct w:val="0"/>
        <w:autoSpaceDE/>
        <w:autoSpaceDN/>
        <w:bidi w:val="0"/>
        <w:adjustRightInd/>
        <w:snapToGrid/>
        <w:spacing w:line="360" w:lineRule="auto"/>
        <w:ind w:left="437" w:leftChars="0"/>
        <w:textAlignment w:val="auto"/>
        <w:outlineLvl w:val="1"/>
        <w:rPr>
          <w:rFonts w:hint="eastAsia" w:ascii="宋体" w:hAnsi="宋体" w:eastAsia="宋体"/>
          <w:b/>
          <w:color w:val="auto"/>
          <w:sz w:val="21"/>
          <w:szCs w:val="21"/>
          <w:highlight w:val="none"/>
        </w:rPr>
      </w:pPr>
      <w:bookmarkStart w:id="13" w:name="_Toc13016"/>
      <w:bookmarkStart w:id="14" w:name="_Toc27920"/>
      <w:r>
        <w:rPr>
          <w:rFonts w:hint="eastAsia" w:ascii="宋体" w:hAnsi="宋体" w:eastAsia="宋体"/>
          <w:b/>
          <w:color w:val="auto"/>
          <w:sz w:val="21"/>
          <w:szCs w:val="21"/>
          <w:highlight w:val="none"/>
          <w:lang w:val="en-US" w:eastAsia="zh-CN"/>
        </w:rPr>
        <w:t>三、</w:t>
      </w:r>
      <w:r>
        <w:rPr>
          <w:rFonts w:hint="eastAsia" w:ascii="宋体" w:hAnsi="宋体" w:eastAsia="宋体"/>
          <w:b/>
          <w:color w:val="auto"/>
          <w:sz w:val="21"/>
          <w:szCs w:val="21"/>
          <w:highlight w:val="none"/>
        </w:rPr>
        <w:t>服务需求</w:t>
      </w:r>
      <w:bookmarkEnd w:id="13"/>
      <w:bookmarkEnd w:id="14"/>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1906"/>
        <w:gridCol w:w="5458"/>
        <w:gridCol w:w="644"/>
      </w:tblGrid>
      <w:tr w14:paraId="6FD3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noWrap w:val="0"/>
            <w:vAlign w:val="center"/>
          </w:tcPr>
          <w:p w14:paraId="541B3E46">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序号</w:t>
            </w:r>
          </w:p>
        </w:tc>
        <w:tc>
          <w:tcPr>
            <w:tcW w:w="2133" w:type="dxa"/>
            <w:noWrap w:val="0"/>
            <w:vAlign w:val="center"/>
          </w:tcPr>
          <w:p w14:paraId="0A9EE990">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eastAsia="黑体"/>
                <w:color w:val="auto"/>
                <w:sz w:val="21"/>
                <w:szCs w:val="21"/>
                <w:vertAlign w:val="baseline"/>
                <w:lang w:val="en-US" w:eastAsia="zh-CN"/>
              </w:rPr>
            </w:pPr>
            <w:r>
              <w:rPr>
                <w:rFonts w:hint="eastAsia"/>
                <w:color w:val="auto"/>
                <w:sz w:val="21"/>
                <w:szCs w:val="21"/>
                <w:vertAlign w:val="baseline"/>
                <w:lang w:val="en-US" w:eastAsia="zh-CN"/>
              </w:rPr>
              <w:t>课程名称</w:t>
            </w:r>
          </w:p>
        </w:tc>
        <w:tc>
          <w:tcPr>
            <w:tcW w:w="6480" w:type="dxa"/>
            <w:noWrap w:val="0"/>
            <w:vAlign w:val="center"/>
          </w:tcPr>
          <w:p w14:paraId="6327F8D3">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技术要求</w:t>
            </w:r>
          </w:p>
        </w:tc>
        <w:tc>
          <w:tcPr>
            <w:tcW w:w="703" w:type="dxa"/>
            <w:noWrap w:val="0"/>
            <w:vAlign w:val="center"/>
          </w:tcPr>
          <w:p w14:paraId="4E401C21">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数量</w:t>
            </w:r>
          </w:p>
        </w:tc>
      </w:tr>
      <w:tr w14:paraId="3EB4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noWrap w:val="0"/>
            <w:vAlign w:val="center"/>
          </w:tcPr>
          <w:p w14:paraId="5EB6739F">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1</w:t>
            </w:r>
          </w:p>
        </w:tc>
        <w:tc>
          <w:tcPr>
            <w:tcW w:w="2133" w:type="dxa"/>
            <w:noWrap w:val="0"/>
            <w:vAlign w:val="center"/>
          </w:tcPr>
          <w:p w14:paraId="66C159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color w:val="auto"/>
                <w:sz w:val="21"/>
                <w:szCs w:val="21"/>
                <w:vertAlign w:val="baseline"/>
              </w:rPr>
            </w:pPr>
            <w:r>
              <w:rPr>
                <w:rFonts w:hint="eastAsia" w:ascii="宋体" w:hAnsi="宋体" w:eastAsia="宋体" w:cs="宋体"/>
                <w:color w:val="auto"/>
                <w:kern w:val="0"/>
                <w:sz w:val="21"/>
                <w:szCs w:val="21"/>
                <w:lang w:val="en-US" w:eastAsia="zh-CN" w:bidi="ar"/>
              </w:rPr>
              <w:t>《人工智能系统部署 与运维》课程</w:t>
            </w:r>
          </w:p>
        </w:tc>
        <w:tc>
          <w:tcPr>
            <w:tcW w:w="6480" w:type="dxa"/>
            <w:noWrap w:val="0"/>
            <w:vAlign w:val="center"/>
          </w:tcPr>
          <w:p w14:paraId="4043FB4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知识技能点涵盖人工智能基础知识、机器学习和深度学习模型的训练与优化、模型评估与选择、数据预处理与特征工程、云计算平台的使用、容器化技术（如Docker和Kubernetes）的应用、持续集成与持续部署（CI/CD）流程的设计与实现、版本控制工具（如Git）的使用、自动化脚本编写（如Shell、Python）、系统监控与日志管理等。提供不少于</w:t>
            </w:r>
            <w:r>
              <w:rPr>
                <w:rFonts w:hint="default" w:ascii="Times New Roman" w:hAnsi="Times New Roman" w:eastAsia="宋体" w:cs="Times New Roman"/>
                <w:color w:val="auto"/>
                <w:kern w:val="0"/>
                <w:sz w:val="21"/>
                <w:szCs w:val="21"/>
                <w:lang w:val="en-US" w:eastAsia="zh-CN" w:bidi="ar"/>
              </w:rPr>
              <w:t>60</w:t>
            </w:r>
            <w:r>
              <w:rPr>
                <w:rFonts w:hint="eastAsia" w:ascii="宋体" w:hAnsi="宋体" w:eastAsia="宋体" w:cs="宋体"/>
                <w:color w:val="auto"/>
                <w:kern w:val="0"/>
                <w:sz w:val="21"/>
                <w:szCs w:val="21"/>
                <w:lang w:val="en-US" w:eastAsia="zh-CN" w:bidi="ar"/>
              </w:rPr>
              <w:t xml:space="preserve">个案例指导书 </w:t>
            </w:r>
            <w:r>
              <w:rPr>
                <w:rFonts w:hint="default" w:ascii="Times New Roman" w:hAnsi="Times New Roman" w:eastAsia="宋体" w:cs="Times New Roman"/>
                <w:color w:val="auto"/>
                <w:kern w:val="0"/>
                <w:sz w:val="21"/>
                <w:szCs w:val="21"/>
                <w:lang w:val="en-US" w:eastAsia="zh-CN" w:bidi="ar"/>
              </w:rPr>
              <w:t xml:space="preserve">word </w:t>
            </w:r>
            <w:r>
              <w:rPr>
                <w:rFonts w:hint="eastAsia" w:ascii="宋体" w:hAnsi="宋体" w:eastAsia="宋体" w:cs="宋体"/>
                <w:color w:val="auto"/>
                <w:kern w:val="0"/>
                <w:sz w:val="21"/>
                <w:szCs w:val="21"/>
                <w:lang w:val="en-US" w:eastAsia="zh-CN" w:bidi="ar"/>
              </w:rPr>
              <w:t>文档、</w:t>
            </w:r>
            <w:r>
              <w:rPr>
                <w:rFonts w:hint="default" w:ascii="Times New Roman" w:hAnsi="Times New Roman" w:eastAsia="宋体" w:cs="Times New Roman"/>
                <w:color w:val="auto"/>
                <w:kern w:val="0"/>
                <w:sz w:val="21"/>
                <w:szCs w:val="21"/>
                <w:lang w:val="en-US" w:eastAsia="zh-CN" w:bidi="ar"/>
              </w:rPr>
              <w:t>60</w:t>
            </w:r>
            <w:r>
              <w:rPr>
                <w:rFonts w:hint="eastAsia" w:ascii="宋体" w:hAnsi="宋体" w:eastAsia="宋体" w:cs="宋体"/>
                <w:color w:val="auto"/>
                <w:kern w:val="0"/>
                <w:sz w:val="21"/>
                <w:szCs w:val="21"/>
                <w:lang w:val="en-US" w:eastAsia="zh-CN" w:bidi="ar"/>
              </w:rPr>
              <w:t>份源代码压缩包、</w:t>
            </w:r>
            <w:r>
              <w:rPr>
                <w:rFonts w:hint="default" w:ascii="Times New Roman" w:hAnsi="Times New Roman" w:eastAsia="宋体" w:cs="Times New Roman"/>
                <w:color w:val="auto"/>
                <w:kern w:val="0"/>
                <w:sz w:val="21"/>
                <w:szCs w:val="21"/>
                <w:lang w:val="en-US" w:eastAsia="zh-CN" w:bidi="ar"/>
              </w:rPr>
              <w:t>120</w:t>
            </w:r>
            <w:r>
              <w:rPr>
                <w:rFonts w:hint="eastAsia" w:ascii="宋体" w:hAnsi="宋体" w:eastAsia="宋体" w:cs="宋体"/>
                <w:color w:val="auto"/>
                <w:kern w:val="0"/>
                <w:sz w:val="21"/>
                <w:szCs w:val="21"/>
                <w:lang w:val="en-US" w:eastAsia="zh-CN" w:bidi="ar"/>
              </w:rPr>
              <w:t>个实训指导视频、</w:t>
            </w:r>
            <w:r>
              <w:rPr>
                <w:rFonts w:hint="default" w:ascii="Times New Roman" w:hAnsi="Times New Roman" w:eastAsia="宋体" w:cs="Times New Roman"/>
                <w:color w:val="auto"/>
                <w:kern w:val="0"/>
                <w:sz w:val="21"/>
                <w:szCs w:val="21"/>
                <w:lang w:val="en-US" w:eastAsia="zh-CN" w:bidi="ar"/>
              </w:rPr>
              <w:t>180</w:t>
            </w:r>
            <w:r>
              <w:rPr>
                <w:rFonts w:hint="eastAsia" w:ascii="宋体" w:hAnsi="宋体" w:eastAsia="宋体" w:cs="宋体"/>
                <w:color w:val="auto"/>
                <w:kern w:val="0"/>
                <w:sz w:val="21"/>
                <w:szCs w:val="21"/>
                <w:lang w:val="en-US" w:eastAsia="zh-CN" w:bidi="ar"/>
              </w:rPr>
              <w:t>个知识点讲解视频</w:t>
            </w:r>
            <w:r>
              <w:rPr>
                <w:rFonts w:hint="default" w:ascii="Times New Roman" w:hAnsi="Times New Roman" w:eastAsia="宋体" w:cs="Times New Roman"/>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 xml:space="preserve">个动画资源、2个企业案例实训包。 </w:t>
            </w:r>
          </w:p>
          <w:p w14:paraId="2913013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2、案例指导书包含任务说明、任务准备、任务实现步骤、任务总结、考核标准，用于学生操作学习中的过程指导。源代码用于学生学习时的参考，以 </w:t>
            </w:r>
            <w:r>
              <w:rPr>
                <w:rFonts w:hint="default" w:ascii="Times New Roman" w:hAnsi="Times New Roman" w:eastAsia="宋体" w:cs="Times New Roman"/>
                <w:color w:val="auto"/>
                <w:kern w:val="0"/>
                <w:sz w:val="21"/>
                <w:szCs w:val="21"/>
                <w:lang w:val="en-US" w:eastAsia="zh-CN" w:bidi="ar"/>
              </w:rPr>
              <w:t xml:space="preserve">zip </w:t>
            </w:r>
            <w:r>
              <w:rPr>
                <w:rFonts w:hint="eastAsia" w:ascii="宋体" w:hAnsi="宋体" w:eastAsia="宋体" w:cs="宋体"/>
                <w:color w:val="auto"/>
                <w:kern w:val="0"/>
                <w:sz w:val="21"/>
                <w:szCs w:val="21"/>
                <w:lang w:val="en-US" w:eastAsia="zh-CN" w:bidi="ar"/>
              </w:rPr>
              <w:t xml:space="preserve">或 </w:t>
            </w:r>
            <w:r>
              <w:rPr>
                <w:rFonts w:hint="default" w:ascii="Times New Roman" w:hAnsi="Times New Roman" w:eastAsia="宋体" w:cs="Times New Roman"/>
                <w:color w:val="auto"/>
                <w:kern w:val="0"/>
                <w:sz w:val="21"/>
                <w:szCs w:val="21"/>
                <w:lang w:val="en-US" w:eastAsia="zh-CN" w:bidi="ar"/>
              </w:rPr>
              <w:t xml:space="preserve">rar </w:t>
            </w:r>
            <w:r>
              <w:rPr>
                <w:rFonts w:hint="eastAsia" w:ascii="宋体" w:hAnsi="宋体" w:eastAsia="宋体" w:cs="宋体"/>
                <w:color w:val="auto"/>
                <w:kern w:val="0"/>
                <w:sz w:val="21"/>
                <w:szCs w:val="21"/>
                <w:lang w:val="en-US" w:eastAsia="zh-CN" w:bidi="ar"/>
              </w:rPr>
              <w:t xml:space="preserve">等常见格式保存。 </w:t>
            </w:r>
          </w:p>
          <w:p w14:paraId="54E5533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3、实训指导视频对案例的分析或完成过程进行讲解，以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或更高。指导视频至少包含神经网络案例-cifar 分类任务、神经网络案例-分模块构造神经网络、神经网络案例-训练神经网络完成分类任务、神经网络架构-感受神经网络的强大、卷积神经网络的应用、卷积层解释等。 </w:t>
            </w:r>
          </w:p>
          <w:p w14:paraId="50FD14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4、知识讲解视频对完成有关任务所需要的理论知识进行讲解或案例操作讲解，以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 </w:t>
            </w:r>
          </w:p>
          <w:p w14:paraId="2EABFB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5、动画资源具有形象、直观、生动、声、光、色、形，动静结合的优势，可对重点和难点知识点中抽象、难以理解部分进行针对性讲解，给学生提供广阔的想象空间，可以吸引学生的注意力，引起学生的情感共鸣，激发学生浓厚的学习兴趣。采用二维动画建设软件（如 </w:t>
            </w:r>
            <w:r>
              <w:rPr>
                <w:rFonts w:hint="default" w:ascii="Times New Roman" w:hAnsi="Times New Roman" w:eastAsia="宋体" w:cs="Times New Roman"/>
                <w:color w:val="auto"/>
                <w:kern w:val="0"/>
                <w:sz w:val="21"/>
                <w:szCs w:val="21"/>
                <w:lang w:val="en-US" w:eastAsia="zh-CN" w:bidi="ar"/>
              </w:rPr>
              <w:t>FLASH\HTML5</w:t>
            </w:r>
            <w:r>
              <w:rPr>
                <w:rFonts w:hint="eastAsia" w:ascii="宋体" w:hAnsi="宋体" w:eastAsia="宋体" w:cs="宋体"/>
                <w:color w:val="auto"/>
                <w:kern w:val="0"/>
                <w:sz w:val="21"/>
                <w:szCs w:val="21"/>
                <w:lang w:val="en-US" w:eastAsia="zh-CN" w:bidi="ar"/>
              </w:rPr>
              <w:t xml:space="preserve">等）开发完成，输出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或更高。</w:t>
            </w:r>
          </w:p>
          <w:p w14:paraId="4C5BFA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6、企业案例实训包</w:t>
            </w:r>
          </w:p>
          <w:p w14:paraId="2AC951A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（1）图像语义分割实训</w:t>
            </w:r>
          </w:p>
          <w:p w14:paraId="2734C0A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基于BiseNet模型和Cityscape数据集的图像语义分割实训资源，使用TensorFlow进行模型算法构建，实训源代码包括数据集载入、预处理、基于BiseNet模型的算法构建、模型训练、评估、测试、保存，提供完整算法源代码实例及注释讲解。主要内容如下：</w:t>
            </w:r>
          </w:p>
          <w:p w14:paraId="5CEC12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提供完整工程项目包及安装使用说明。</w:t>
            </w:r>
          </w:p>
          <w:p w14:paraId="0EBEC82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提供项目依赖库文件。</w:t>
            </w:r>
          </w:p>
          <w:p w14:paraId="562FF5C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提供Cityscape图像语义分割完整数据集。</w:t>
            </w:r>
          </w:p>
          <w:p w14:paraId="50677B7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提供基于Python开发语言的数据预处理算法源代码实例及注释讲解。</w:t>
            </w:r>
          </w:p>
          <w:p w14:paraId="1D2BCA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提供基于Python开发语言及BiseNet模型的实训算法源代码实例（包括模型构建、训练、评估、测试、保存）、图像语义分割源代码实例及注释讲解。</w:t>
            </w:r>
          </w:p>
          <w:p w14:paraId="4643A83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（2）图像风格转换实训</w:t>
            </w:r>
          </w:p>
          <w:p w14:paraId="1A5FD8A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u w:val="none"/>
                <w:lang w:val="en-US" w:eastAsia="zh-CN" w:bidi="ar"/>
              </w:rPr>
              <w:t>提供基于生成对抗网络GAN模型和COCO 2017数据集的图像风格转换实训资源，使用TensorFlow进行模型算法构建，实训源代码包括数据集载入、预处理、基于</w:t>
            </w:r>
            <w:r>
              <w:rPr>
                <w:rFonts w:hint="eastAsia" w:ascii="宋体" w:hAnsi="宋体" w:eastAsia="宋体" w:cs="宋体"/>
                <w:color w:val="auto"/>
                <w:kern w:val="0"/>
                <w:sz w:val="21"/>
                <w:szCs w:val="21"/>
                <w:highlight w:val="none"/>
                <w:lang w:val="en-US" w:eastAsia="zh-CN" w:bidi="ar"/>
              </w:rPr>
              <w:t>GAN模型的算法构建、模型训练、评估、测试、保存，提供完整算法源代码实例及注释讲解。主要内容如下：</w:t>
            </w:r>
          </w:p>
          <w:p w14:paraId="5A290D1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提供完整工程项目包及安装使用说明。</w:t>
            </w:r>
          </w:p>
          <w:p w14:paraId="74EAF86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提供项目依赖库文件。</w:t>
            </w:r>
          </w:p>
          <w:p w14:paraId="40E13C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提供COCO 2017完整数据集。</w:t>
            </w:r>
          </w:p>
          <w:p w14:paraId="28638E6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提供基于Python开发语言的数据预处理算法源代码实例及注释讲解。</w:t>
            </w:r>
          </w:p>
          <w:p w14:paraId="4E69E19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color w:val="auto"/>
              </w:rPr>
            </w:pPr>
            <w:r>
              <w:rPr>
                <w:rFonts w:hint="eastAsia" w:ascii="宋体" w:hAnsi="宋体" w:eastAsia="宋体" w:cs="宋体"/>
                <w:color w:val="auto"/>
                <w:kern w:val="0"/>
                <w:sz w:val="21"/>
                <w:szCs w:val="21"/>
                <w:highlight w:val="none"/>
                <w:lang w:val="en-US" w:eastAsia="zh-CN" w:bidi="ar"/>
              </w:rPr>
              <w:t>提供基于Python开发语言及GAN模型的实训算法源代码实例（包括模型构建、训练、评估、测试、保存）、图像风格转换源代码实例及注释讲解。</w:t>
            </w:r>
          </w:p>
        </w:tc>
        <w:tc>
          <w:tcPr>
            <w:tcW w:w="703" w:type="dxa"/>
            <w:noWrap w:val="0"/>
            <w:vAlign w:val="center"/>
          </w:tcPr>
          <w:p w14:paraId="0AADE8B2">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eastAsia="黑体"/>
                <w:color w:val="auto"/>
                <w:sz w:val="21"/>
                <w:szCs w:val="21"/>
                <w:vertAlign w:val="baseline"/>
                <w:lang w:val="en-US" w:eastAsia="zh-CN"/>
              </w:rPr>
            </w:pPr>
            <w:r>
              <w:rPr>
                <w:rFonts w:hint="eastAsia"/>
                <w:color w:val="auto"/>
                <w:sz w:val="21"/>
                <w:szCs w:val="21"/>
                <w:vertAlign w:val="baseline"/>
                <w:lang w:val="en-US" w:eastAsia="zh-CN"/>
              </w:rPr>
              <w:t>1项</w:t>
            </w:r>
          </w:p>
        </w:tc>
      </w:tr>
      <w:tr w14:paraId="7E74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noWrap w:val="0"/>
            <w:vAlign w:val="center"/>
          </w:tcPr>
          <w:p w14:paraId="2DC52B17">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2</w:t>
            </w:r>
          </w:p>
        </w:tc>
        <w:tc>
          <w:tcPr>
            <w:tcW w:w="2133" w:type="dxa"/>
            <w:noWrap w:val="0"/>
            <w:vAlign w:val="center"/>
          </w:tcPr>
          <w:p w14:paraId="0E49673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《智能语音处理及应 用开发》课程</w:t>
            </w:r>
          </w:p>
        </w:tc>
        <w:tc>
          <w:tcPr>
            <w:tcW w:w="6480" w:type="dxa"/>
            <w:noWrap w:val="0"/>
            <w:vAlign w:val="center"/>
          </w:tcPr>
          <w:p w14:paraId="678F5F3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知识技能点涵盖语音信号处理基础、语音识别技术、语音合成技术、自然语言处理（NLP）基础、语音数据的采集与标注、特征提取与声学建模、语言模型与解码算法、深度学习在语音处理中的应用等。提供不少于</w:t>
            </w:r>
            <w:r>
              <w:rPr>
                <w:rFonts w:hint="default" w:ascii="宋体" w:hAnsi="宋体" w:eastAsia="宋体" w:cs="宋体"/>
                <w:color w:val="auto"/>
                <w:kern w:val="0"/>
                <w:sz w:val="21"/>
                <w:szCs w:val="21"/>
                <w:lang w:val="en-US" w:eastAsia="zh-CN" w:bidi="ar"/>
              </w:rPr>
              <w:t>60</w:t>
            </w:r>
            <w:r>
              <w:rPr>
                <w:rFonts w:hint="eastAsia" w:ascii="宋体" w:hAnsi="宋体" w:eastAsia="宋体" w:cs="宋体"/>
                <w:color w:val="auto"/>
                <w:kern w:val="0"/>
                <w:sz w:val="21"/>
                <w:szCs w:val="21"/>
                <w:lang w:val="en-US" w:eastAsia="zh-CN" w:bidi="ar"/>
              </w:rPr>
              <w:t xml:space="preserve">个案例指导书 </w:t>
            </w:r>
            <w:r>
              <w:rPr>
                <w:rFonts w:hint="default" w:ascii="宋体" w:hAnsi="宋体" w:eastAsia="宋体" w:cs="宋体"/>
                <w:color w:val="auto"/>
                <w:kern w:val="0"/>
                <w:sz w:val="21"/>
                <w:szCs w:val="21"/>
                <w:lang w:val="en-US" w:eastAsia="zh-CN" w:bidi="ar"/>
              </w:rPr>
              <w:t xml:space="preserve">word </w:t>
            </w:r>
            <w:r>
              <w:rPr>
                <w:rFonts w:hint="eastAsia" w:ascii="宋体" w:hAnsi="宋体" w:eastAsia="宋体" w:cs="宋体"/>
                <w:color w:val="auto"/>
                <w:kern w:val="0"/>
                <w:sz w:val="21"/>
                <w:szCs w:val="21"/>
                <w:lang w:val="en-US" w:eastAsia="zh-CN" w:bidi="ar"/>
              </w:rPr>
              <w:t>文档、</w:t>
            </w:r>
            <w:r>
              <w:rPr>
                <w:rFonts w:hint="default" w:ascii="宋体" w:hAnsi="宋体" w:eastAsia="宋体" w:cs="宋体"/>
                <w:color w:val="auto"/>
                <w:kern w:val="0"/>
                <w:sz w:val="21"/>
                <w:szCs w:val="21"/>
                <w:lang w:val="en-US" w:eastAsia="zh-CN" w:bidi="ar"/>
              </w:rPr>
              <w:t xml:space="preserve">60 </w:t>
            </w:r>
            <w:r>
              <w:rPr>
                <w:rFonts w:hint="eastAsia" w:ascii="宋体" w:hAnsi="宋体" w:eastAsia="宋体" w:cs="宋体"/>
                <w:color w:val="auto"/>
                <w:kern w:val="0"/>
                <w:sz w:val="21"/>
                <w:szCs w:val="21"/>
                <w:lang w:val="en-US" w:eastAsia="zh-CN" w:bidi="ar"/>
              </w:rPr>
              <w:t>份源代码压缩包、</w:t>
            </w:r>
            <w:r>
              <w:rPr>
                <w:rFonts w:hint="default" w:ascii="宋体" w:hAnsi="宋体" w:eastAsia="宋体" w:cs="宋体"/>
                <w:color w:val="auto"/>
                <w:kern w:val="0"/>
                <w:sz w:val="21"/>
                <w:szCs w:val="21"/>
                <w:lang w:val="en-US" w:eastAsia="zh-CN" w:bidi="ar"/>
              </w:rPr>
              <w:t>120</w:t>
            </w:r>
            <w:r>
              <w:rPr>
                <w:rFonts w:hint="eastAsia" w:ascii="宋体" w:hAnsi="宋体" w:eastAsia="宋体" w:cs="宋体"/>
                <w:color w:val="auto"/>
                <w:kern w:val="0"/>
                <w:sz w:val="21"/>
                <w:szCs w:val="21"/>
                <w:lang w:val="en-US" w:eastAsia="zh-CN" w:bidi="ar"/>
              </w:rPr>
              <w:t>个实训指导视频、</w:t>
            </w:r>
            <w:r>
              <w:rPr>
                <w:rFonts w:hint="default" w:ascii="宋体" w:hAnsi="宋体" w:eastAsia="宋体" w:cs="宋体"/>
                <w:color w:val="auto"/>
                <w:kern w:val="0"/>
                <w:sz w:val="21"/>
                <w:szCs w:val="21"/>
                <w:lang w:val="en-US" w:eastAsia="zh-CN" w:bidi="ar"/>
              </w:rPr>
              <w:t>180</w:t>
            </w:r>
            <w:r>
              <w:rPr>
                <w:rFonts w:hint="eastAsia" w:ascii="宋体" w:hAnsi="宋体" w:eastAsia="宋体" w:cs="宋体"/>
                <w:color w:val="auto"/>
                <w:kern w:val="0"/>
                <w:sz w:val="21"/>
                <w:szCs w:val="21"/>
                <w:lang w:val="en-US" w:eastAsia="zh-CN" w:bidi="ar"/>
              </w:rPr>
              <w:t>个知识点讲解视频、</w:t>
            </w:r>
            <w:r>
              <w:rPr>
                <w:rFonts w:hint="default" w:ascii="宋体" w:hAnsi="宋体" w:eastAsia="宋体" w:cs="宋体"/>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 xml:space="preserve">个动画资源、2个企业案例实训包。 </w:t>
            </w:r>
          </w:p>
          <w:p w14:paraId="1AA1718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2、案例指导书包含任务说明、任务准备、任务实现步骤、任务总结、考核标准，用于学生操作学习中的过程指导。 源代码用于学生学习时的参考，以 </w:t>
            </w:r>
            <w:r>
              <w:rPr>
                <w:rFonts w:hint="default" w:ascii="宋体" w:hAnsi="宋体" w:eastAsia="宋体" w:cs="宋体"/>
                <w:color w:val="auto"/>
                <w:kern w:val="0"/>
                <w:sz w:val="21"/>
                <w:szCs w:val="21"/>
                <w:lang w:val="en-US" w:eastAsia="zh-CN" w:bidi="ar"/>
              </w:rPr>
              <w:t xml:space="preserve">zip </w:t>
            </w:r>
            <w:r>
              <w:rPr>
                <w:rFonts w:hint="eastAsia" w:ascii="宋体" w:hAnsi="宋体" w:eastAsia="宋体" w:cs="宋体"/>
                <w:color w:val="auto"/>
                <w:kern w:val="0"/>
                <w:sz w:val="21"/>
                <w:szCs w:val="21"/>
                <w:lang w:val="en-US" w:eastAsia="zh-CN" w:bidi="ar"/>
              </w:rPr>
              <w:t xml:space="preserve">或 </w:t>
            </w:r>
            <w:r>
              <w:rPr>
                <w:rFonts w:hint="default" w:ascii="宋体" w:hAnsi="宋体" w:eastAsia="宋体" w:cs="宋体"/>
                <w:color w:val="auto"/>
                <w:kern w:val="0"/>
                <w:sz w:val="21"/>
                <w:szCs w:val="21"/>
                <w:lang w:val="en-US" w:eastAsia="zh-CN" w:bidi="ar"/>
              </w:rPr>
              <w:t xml:space="preserve">rar </w:t>
            </w:r>
            <w:r>
              <w:rPr>
                <w:rFonts w:hint="eastAsia" w:ascii="宋体" w:hAnsi="宋体" w:eastAsia="宋体" w:cs="宋体"/>
                <w:color w:val="auto"/>
                <w:kern w:val="0"/>
                <w:sz w:val="21"/>
                <w:szCs w:val="21"/>
                <w:lang w:val="en-US" w:eastAsia="zh-CN" w:bidi="ar"/>
              </w:rPr>
              <w:t xml:space="preserve">等常见格式保存。 </w:t>
            </w:r>
          </w:p>
          <w:p w14:paraId="479E9D4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3、实训指导视频对案例的分析或完成过程进行讲解，以 </w:t>
            </w:r>
            <w:r>
              <w:rPr>
                <w:rFonts w:hint="default" w:ascii="宋体" w:hAnsi="宋体" w:eastAsia="宋体" w:cs="宋体"/>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宋体" w:hAnsi="宋体" w:eastAsia="宋体" w:cs="宋体"/>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宋体" w:hAnsi="宋体" w:eastAsia="宋体" w:cs="宋体"/>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或更高。指导视频至少包含自然语言处理与深度学习、语言模型、N-gram 模型、词向量、神经网络模型、Hierarchical Softmax等。 </w:t>
            </w:r>
          </w:p>
          <w:p w14:paraId="703C4E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4、知识讲解视频对完成有关任务所需要的理论知识进行讲解或案例操作讲解，以 </w:t>
            </w:r>
            <w:r>
              <w:rPr>
                <w:rFonts w:hint="default" w:ascii="宋体" w:hAnsi="宋体" w:eastAsia="宋体" w:cs="宋体"/>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宋体" w:hAnsi="宋体" w:eastAsia="宋体" w:cs="宋体"/>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宋体" w:hAnsi="宋体" w:eastAsia="宋体" w:cs="宋体"/>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 </w:t>
            </w:r>
          </w:p>
          <w:p w14:paraId="7014804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5、动画资源具有形象、直观、生动、声、光、色、形，动静结合的优势，可对重点和难点知识点中抽象、难以理解部分进行针对性讲解，给学生提供广阔的想象空间，可以吸引学生的注意力，引起学生的情感共鸣，激发学生浓厚的学习兴趣。采用二维动画建设软件（如 </w:t>
            </w:r>
            <w:r>
              <w:rPr>
                <w:rFonts w:hint="default" w:ascii="宋体" w:hAnsi="宋体" w:eastAsia="宋体" w:cs="宋体"/>
                <w:color w:val="auto"/>
                <w:kern w:val="0"/>
                <w:sz w:val="21"/>
                <w:szCs w:val="21"/>
                <w:lang w:val="en-US" w:eastAsia="zh-CN" w:bidi="ar"/>
              </w:rPr>
              <w:t>FLASH\HTML5</w:t>
            </w:r>
            <w:r>
              <w:rPr>
                <w:rFonts w:hint="eastAsia" w:ascii="宋体" w:hAnsi="宋体" w:eastAsia="宋体" w:cs="宋体"/>
                <w:color w:val="auto"/>
                <w:kern w:val="0"/>
                <w:sz w:val="21"/>
                <w:szCs w:val="21"/>
                <w:lang w:val="en-US" w:eastAsia="zh-CN" w:bidi="ar"/>
              </w:rPr>
              <w:t xml:space="preserve">等）开发完成，输出 </w:t>
            </w:r>
            <w:r>
              <w:rPr>
                <w:rFonts w:hint="default" w:ascii="宋体" w:hAnsi="宋体" w:eastAsia="宋体" w:cs="宋体"/>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宋体" w:hAnsi="宋体" w:eastAsia="宋体" w:cs="宋体"/>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宋体" w:hAnsi="宋体" w:eastAsia="宋体" w:cs="宋体"/>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或更高。</w:t>
            </w:r>
          </w:p>
          <w:p w14:paraId="769892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lang w:val="en-US" w:eastAsia="zh-CN" w:bidi="ar"/>
              </w:rPr>
              <w:t>6、</w:t>
            </w:r>
            <w:r>
              <w:rPr>
                <w:rFonts w:hint="eastAsia" w:ascii="宋体" w:hAnsi="宋体" w:eastAsia="宋体" w:cs="宋体"/>
                <w:color w:val="auto"/>
                <w:kern w:val="0"/>
                <w:sz w:val="21"/>
                <w:szCs w:val="21"/>
                <w:highlight w:val="none"/>
                <w:lang w:val="en-US" w:eastAsia="zh-CN" w:bidi="ar"/>
              </w:rPr>
              <w:t>企业案例实训包</w:t>
            </w:r>
          </w:p>
          <w:p w14:paraId="280EE5C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（1）文本分类实训</w:t>
            </w:r>
            <w:r>
              <w:rPr>
                <w:rFonts w:hint="eastAsia" w:ascii="宋体" w:hAnsi="宋体" w:eastAsia="宋体" w:cs="宋体"/>
                <w:color w:val="auto"/>
                <w:kern w:val="0"/>
                <w:sz w:val="21"/>
                <w:szCs w:val="21"/>
                <w:lang w:val="en-US" w:eastAsia="zh-CN" w:bidi="ar"/>
              </w:rPr>
              <w:tab/>
            </w:r>
          </w:p>
          <w:p w14:paraId="5B8566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基于BERT模型和新闻语料库的文本分类实训资源，使用TensorFlow进行模型算法构建，实训源代码包括数据集载入、预处理、基于BERT模型的算法构建、模型训练、评估、测试、保存，提供完整算法源代码实例及注释讲解。主要内容如下：</w:t>
            </w:r>
          </w:p>
          <w:p w14:paraId="110CD50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提供完整工程项目包及安装使用说明。</w:t>
            </w:r>
          </w:p>
          <w:p w14:paraId="19C51B6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提供项目依赖库文件。</w:t>
            </w:r>
          </w:p>
          <w:p w14:paraId="4185EF5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提供新闻语料库。</w:t>
            </w:r>
          </w:p>
          <w:p w14:paraId="079BC5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提供基于Python开发语言的数据预处理算法源代码实例及注释讲解。</w:t>
            </w:r>
          </w:p>
          <w:p w14:paraId="746D00D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提供基于Python开发语言及BERT模型的实训算法源代码实例（包括模型构建、训练、评估、测试、保存）、文本分类源代码实例及注释讲解。</w:t>
            </w:r>
          </w:p>
          <w:p w14:paraId="2F65FB2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（2）句子相似度分析实训</w:t>
            </w:r>
            <w:r>
              <w:rPr>
                <w:rFonts w:hint="eastAsia" w:ascii="宋体" w:hAnsi="宋体" w:eastAsia="宋体" w:cs="宋体"/>
                <w:color w:val="auto"/>
                <w:kern w:val="0"/>
                <w:sz w:val="21"/>
                <w:szCs w:val="21"/>
                <w:lang w:val="en-US" w:eastAsia="zh-CN" w:bidi="ar"/>
              </w:rPr>
              <w:tab/>
            </w:r>
          </w:p>
          <w:p w14:paraId="2469E7A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基于BERT模型和问题语料库的句子相似度分析实训资源，使用TensorFlow进行模型算法构建，实训源代码包括数据集载入、预处理、基于BERT模型的算法构建、模型训练、评估、测试、保存，提供完整算法源代码实例及注释讲解。主要内容如下：</w:t>
            </w:r>
          </w:p>
          <w:p w14:paraId="4296E1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提供完整工程项目包及安装使用说明。</w:t>
            </w:r>
          </w:p>
          <w:p w14:paraId="3762BF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提供项目依赖库文件。</w:t>
            </w:r>
          </w:p>
          <w:p w14:paraId="44E928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提供问题语料库完整数据集。</w:t>
            </w:r>
          </w:p>
          <w:p w14:paraId="492815E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提供基于Python开发语言的数据预处理算法源代码实例及注释讲解。</w:t>
            </w:r>
          </w:p>
          <w:p w14:paraId="4B656B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提供基于Python开发语言及BERT模型的实训算法源代码实例（包括模型构建、训练、评估、测试、保存）、句子相似度分析源代码实例及注释讲解。 </w:t>
            </w:r>
          </w:p>
        </w:tc>
        <w:tc>
          <w:tcPr>
            <w:tcW w:w="703" w:type="dxa"/>
            <w:noWrap w:val="0"/>
            <w:vAlign w:val="center"/>
          </w:tcPr>
          <w:p w14:paraId="0F6DB27C">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eastAsia="黑体"/>
                <w:color w:val="auto"/>
                <w:sz w:val="21"/>
                <w:szCs w:val="21"/>
                <w:vertAlign w:val="baseline"/>
                <w:lang w:val="en-US" w:eastAsia="zh-CN"/>
              </w:rPr>
            </w:pPr>
            <w:r>
              <w:rPr>
                <w:rFonts w:hint="eastAsia"/>
                <w:color w:val="auto"/>
                <w:sz w:val="21"/>
                <w:szCs w:val="21"/>
                <w:vertAlign w:val="baseline"/>
                <w:lang w:val="en-US" w:eastAsia="zh-CN"/>
              </w:rPr>
              <w:t>1项</w:t>
            </w:r>
          </w:p>
        </w:tc>
      </w:tr>
      <w:tr w14:paraId="7D16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noWrap w:val="0"/>
            <w:vAlign w:val="center"/>
          </w:tcPr>
          <w:p w14:paraId="1CDF7E62">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3</w:t>
            </w:r>
          </w:p>
        </w:tc>
        <w:tc>
          <w:tcPr>
            <w:tcW w:w="2133" w:type="dxa"/>
            <w:noWrap w:val="0"/>
            <w:vAlign w:val="center"/>
          </w:tcPr>
          <w:p w14:paraId="46FCC01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color w:val="auto"/>
                <w:sz w:val="21"/>
                <w:szCs w:val="21"/>
                <w:vertAlign w:val="baseline"/>
              </w:rPr>
            </w:pPr>
            <w:r>
              <w:rPr>
                <w:rFonts w:hint="eastAsia" w:ascii="宋体" w:hAnsi="宋体" w:eastAsia="宋体" w:cs="宋体"/>
                <w:color w:val="auto"/>
                <w:kern w:val="0"/>
                <w:sz w:val="21"/>
                <w:szCs w:val="21"/>
                <w:lang w:val="en-US" w:eastAsia="zh-CN" w:bidi="ar"/>
              </w:rPr>
              <w:t>《Python 数据分析》课程</w:t>
            </w:r>
          </w:p>
        </w:tc>
        <w:tc>
          <w:tcPr>
            <w:tcW w:w="6480" w:type="dxa"/>
            <w:noWrap w:val="0"/>
            <w:vAlign w:val="center"/>
          </w:tcPr>
          <w:p w14:paraId="79EB2C5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1、包含数据处理模块、Python数据分析模块以及数据分析拓展模块。</w:t>
            </w:r>
          </w:p>
          <w:p w14:paraId="0CBBEF1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数据处理模块知识技能点涵盖Python概述、Python基础知识、数据类型进阶、函数与文件操作、面向对象与异常、模块与库、网络爬虫等。提供不少于300个文本资源、240个图形图像资源、160个演示文稿、160个微课资源、27个动画资源、80个交互资源、80个仿真资源、240个知识讲解视频。</w:t>
            </w:r>
          </w:p>
          <w:p w14:paraId="39D76B7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Python数据分析模块知识技能点涵盖Python编程基础、数据结构和算法、数据处理与清洗、使用Pandas进行数据操作与分析、数据可视化工具如Matplotlib和Seaborn的应用、统计分析基础、探索性数据分析（EDA）、数据挖掘技术、时间序列分析、机器学习基础、使用Scikit-learn进行建模与预测等。提供不少于 </w:t>
            </w:r>
            <w:r>
              <w:rPr>
                <w:rFonts w:hint="default" w:ascii="宋体" w:hAnsi="宋体" w:eastAsia="宋体" w:cs="宋体"/>
                <w:color w:val="auto"/>
                <w:kern w:val="0"/>
                <w:sz w:val="21"/>
                <w:szCs w:val="21"/>
                <w:lang w:val="en-US" w:eastAsia="zh-CN" w:bidi="ar"/>
              </w:rPr>
              <w:t xml:space="preserve">60 </w:t>
            </w:r>
            <w:r>
              <w:rPr>
                <w:rFonts w:hint="eastAsia" w:ascii="宋体" w:hAnsi="宋体" w:eastAsia="宋体" w:cs="宋体"/>
                <w:color w:val="auto"/>
                <w:kern w:val="0"/>
                <w:sz w:val="21"/>
                <w:szCs w:val="21"/>
                <w:lang w:val="en-US" w:eastAsia="zh-CN" w:bidi="ar"/>
              </w:rPr>
              <w:t xml:space="preserve">个案例指导书 </w:t>
            </w:r>
            <w:r>
              <w:rPr>
                <w:rFonts w:hint="default" w:ascii="宋体" w:hAnsi="宋体" w:eastAsia="宋体" w:cs="宋体"/>
                <w:color w:val="auto"/>
                <w:kern w:val="0"/>
                <w:sz w:val="21"/>
                <w:szCs w:val="21"/>
                <w:lang w:val="en-US" w:eastAsia="zh-CN" w:bidi="ar"/>
              </w:rPr>
              <w:t xml:space="preserve">word </w:t>
            </w:r>
            <w:r>
              <w:rPr>
                <w:rFonts w:hint="eastAsia" w:ascii="宋体" w:hAnsi="宋体" w:eastAsia="宋体" w:cs="宋体"/>
                <w:color w:val="auto"/>
                <w:kern w:val="0"/>
                <w:sz w:val="21"/>
                <w:szCs w:val="21"/>
                <w:lang w:val="en-US" w:eastAsia="zh-CN" w:bidi="ar"/>
              </w:rPr>
              <w:t>文档、</w:t>
            </w:r>
            <w:r>
              <w:rPr>
                <w:rFonts w:hint="default" w:ascii="宋体" w:hAnsi="宋体" w:eastAsia="宋体" w:cs="宋体"/>
                <w:color w:val="auto"/>
                <w:kern w:val="0"/>
                <w:sz w:val="21"/>
                <w:szCs w:val="21"/>
                <w:lang w:val="en-US" w:eastAsia="zh-CN" w:bidi="ar"/>
              </w:rPr>
              <w:t xml:space="preserve">60 </w:t>
            </w:r>
            <w:r>
              <w:rPr>
                <w:rFonts w:hint="eastAsia" w:ascii="宋体" w:hAnsi="宋体" w:eastAsia="宋体" w:cs="宋体"/>
                <w:color w:val="auto"/>
                <w:kern w:val="0"/>
                <w:sz w:val="21"/>
                <w:szCs w:val="21"/>
                <w:lang w:val="en-US" w:eastAsia="zh-CN" w:bidi="ar"/>
              </w:rPr>
              <w:t>份源代码压缩包、</w:t>
            </w:r>
            <w:r>
              <w:rPr>
                <w:rFonts w:hint="default" w:ascii="宋体" w:hAnsi="宋体" w:eastAsia="宋体" w:cs="宋体"/>
                <w:color w:val="auto"/>
                <w:kern w:val="0"/>
                <w:sz w:val="21"/>
                <w:szCs w:val="21"/>
                <w:lang w:val="en-US" w:eastAsia="zh-CN" w:bidi="ar"/>
              </w:rPr>
              <w:t xml:space="preserve">120 </w:t>
            </w:r>
            <w:r>
              <w:rPr>
                <w:rFonts w:hint="eastAsia" w:ascii="宋体" w:hAnsi="宋体" w:eastAsia="宋体" w:cs="宋体"/>
                <w:color w:val="auto"/>
                <w:kern w:val="0"/>
                <w:sz w:val="21"/>
                <w:szCs w:val="21"/>
                <w:lang w:val="en-US" w:eastAsia="zh-CN" w:bidi="ar"/>
              </w:rPr>
              <w:t>个实训指导视频、</w:t>
            </w:r>
            <w:r>
              <w:rPr>
                <w:rFonts w:hint="default" w:ascii="宋体" w:hAnsi="宋体" w:eastAsia="宋体" w:cs="宋体"/>
                <w:color w:val="auto"/>
                <w:kern w:val="0"/>
                <w:sz w:val="21"/>
                <w:szCs w:val="21"/>
                <w:lang w:val="en-US" w:eastAsia="zh-CN" w:bidi="ar"/>
              </w:rPr>
              <w:t>180</w:t>
            </w:r>
            <w:r>
              <w:rPr>
                <w:rFonts w:hint="eastAsia" w:ascii="宋体" w:hAnsi="宋体" w:eastAsia="宋体" w:cs="宋体"/>
                <w:color w:val="auto"/>
                <w:kern w:val="0"/>
                <w:sz w:val="21"/>
                <w:szCs w:val="21"/>
                <w:lang w:val="en-US" w:eastAsia="zh-CN" w:bidi="ar"/>
              </w:rPr>
              <w:t xml:space="preserve">个知识点讲解视频和 </w:t>
            </w:r>
            <w:r>
              <w:rPr>
                <w:rFonts w:hint="default" w:ascii="宋体" w:hAnsi="宋体" w:eastAsia="宋体" w:cs="宋体"/>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个动画资源。</w:t>
            </w:r>
          </w:p>
          <w:p w14:paraId="61277B6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（3）数据分析拓展模块知识技能点包含</w:t>
            </w:r>
            <w:r>
              <w:rPr>
                <w:rFonts w:hint="eastAsia"/>
                <w:color w:val="auto"/>
              </w:rPr>
              <w:t>大数据分析论述</w:t>
            </w:r>
            <w:r>
              <w:rPr>
                <w:rFonts w:hint="eastAsia"/>
                <w:color w:val="auto"/>
                <w:lang w:eastAsia="zh-CN"/>
              </w:rPr>
              <w:t>、</w:t>
            </w:r>
            <w:r>
              <w:rPr>
                <w:rFonts w:hint="eastAsia"/>
                <w:color w:val="auto"/>
              </w:rPr>
              <w:t>大数据分析平台</w:t>
            </w:r>
            <w:r>
              <w:rPr>
                <w:rFonts w:hint="eastAsia"/>
                <w:color w:val="auto"/>
                <w:lang w:eastAsia="zh-CN"/>
              </w:rPr>
              <w:t>、</w:t>
            </w:r>
            <w:r>
              <w:rPr>
                <w:rFonts w:hint="eastAsia"/>
                <w:color w:val="auto"/>
              </w:rPr>
              <w:t>大数据分析挖掘算法</w:t>
            </w:r>
            <w:r>
              <w:rPr>
                <w:rFonts w:hint="eastAsia"/>
                <w:color w:val="auto"/>
                <w:lang w:eastAsia="zh-CN"/>
              </w:rPr>
              <w:t>、</w:t>
            </w:r>
            <w:r>
              <w:rPr>
                <w:rFonts w:hint="eastAsia"/>
                <w:color w:val="auto"/>
              </w:rPr>
              <w:t>大数据分析挖掘模型</w:t>
            </w:r>
            <w:r>
              <w:rPr>
                <w:rFonts w:hint="eastAsia"/>
                <w:color w:val="auto"/>
                <w:lang w:eastAsia="zh-CN"/>
              </w:rPr>
              <w:t>、</w:t>
            </w:r>
            <w:r>
              <w:rPr>
                <w:rFonts w:hint="eastAsia"/>
                <w:color w:val="auto"/>
              </w:rPr>
              <w:t>企业级大数据分析</w:t>
            </w:r>
            <w:r>
              <w:rPr>
                <w:rFonts w:hint="eastAsia"/>
                <w:color w:val="auto"/>
                <w:lang w:eastAsia="zh-CN"/>
              </w:rPr>
              <w:t>。</w:t>
            </w:r>
            <w:r>
              <w:rPr>
                <w:rFonts w:hint="eastAsia" w:ascii="宋体" w:hAnsi="宋体" w:eastAsia="宋体" w:cs="宋体"/>
                <w:color w:val="auto"/>
                <w:kern w:val="0"/>
                <w:sz w:val="21"/>
                <w:szCs w:val="21"/>
                <w:lang w:val="en-US" w:eastAsia="zh-CN" w:bidi="ar"/>
              </w:rPr>
              <w:t xml:space="preserve">提供不少于270个文本资源、200个图形图像资源、130个演示文稿、130个微课资源、23个动画资源、70个交互资源、70个仿真资源、210个知识讲解视频。 </w:t>
            </w:r>
          </w:p>
          <w:p w14:paraId="4A31FF0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2、文本资源不限于课程标准、教学设计、理论概念、说课稿、学习指南、实验指导书、辅助教材、练习测试等。</w:t>
            </w:r>
          </w:p>
          <w:p w14:paraId="6F2C15F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3、图形图像不限于原理图、流程图、动态图、示意图、拓扑图、层级列表图、思维导图、统计图、案例图、知识结构图、对比图、代码图等。</w:t>
            </w:r>
          </w:p>
          <w:p w14:paraId="4DFBF70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4、演示文稿不限于讲解重点、难点、疑点的知识技能内容的PPT文档。</w:t>
            </w:r>
          </w:p>
          <w:p w14:paraId="648EE3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5、微课资源以PPT为载体，结合PPT动态效果，教师讲解，录制为微课，可结合相关的Flash动画，操作演示，录屏示范等多媒体资源。</w:t>
            </w:r>
          </w:p>
          <w:p w14:paraId="35BA0DB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6、动画资源具有形象、直观、生动、声、光、色、形，动静结合的优势，可对重点和难点知识点中抽象、难以理解部分进行针对性讲解，给学生提供广阔的想象空间，可以吸引学生的注意力，引起学生的情感共鸣，激发学生浓厚的学习兴趣。动画制作先设计制作脚本文档，然后采用二维动画建设软件（如</w:t>
            </w:r>
            <w:r>
              <w:rPr>
                <w:rFonts w:hint="default" w:ascii="Times New Roman" w:hAnsi="Times New Roman" w:eastAsia="宋体" w:cs="Times New Roman"/>
                <w:color w:val="auto"/>
                <w:kern w:val="0"/>
                <w:sz w:val="21"/>
                <w:szCs w:val="21"/>
                <w:lang w:val="en-US" w:eastAsia="zh-CN" w:bidi="ar"/>
              </w:rPr>
              <w:t>FLASH\HTML5</w:t>
            </w:r>
            <w:r>
              <w:rPr>
                <w:rFonts w:hint="eastAsia" w:ascii="宋体" w:hAnsi="宋体" w:eastAsia="宋体" w:cs="宋体"/>
                <w:color w:val="auto"/>
                <w:kern w:val="0"/>
                <w:sz w:val="21"/>
                <w:szCs w:val="21"/>
                <w:lang w:val="en-US" w:eastAsia="zh-CN" w:bidi="ar"/>
              </w:rPr>
              <w:t xml:space="preserve">等）开发完成，输出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或更高。动画至少包含Python内置函数、python数据结构、python文件夹操作、Python异常处理、python字符的格式化输出、变量作用域、利用numpy的矩阵运算提高计算效率。平均每个动画时长不少于2分钟。</w:t>
            </w:r>
          </w:p>
          <w:p w14:paraId="2EF073B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7、交互资源可支持学生动手操作，实现人机交互，点击操作的教学资源。例如体验输入代码、点击按钮播放、习题测试、拖拽体验、模拟操作软件等。</w:t>
            </w:r>
          </w:p>
          <w:p w14:paraId="7DA9BEA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8、虚拟仿真资源要求注重现场感和体验，主要用于展现“看不见、进不去、动不得、难再现”等不能开展现场教学的场景、环境、过程，采用交互动画软件开发完成的虚拟场景。</w:t>
            </w:r>
          </w:p>
          <w:p w14:paraId="5F50510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9、知识讲解视频对完成有关任务所需要的理论知识进行讲解或案例操作讲解，以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 </w:t>
            </w:r>
          </w:p>
          <w:p w14:paraId="26F97A2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10、实训指导视频对案例的分析或完成过程进行讲解，以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或更高。</w:t>
            </w:r>
          </w:p>
          <w:p w14:paraId="1CC0746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11、案例指导书包含任务说明、任务准备、任务实现步骤、任务总结、考核标准，用于学生操作学习中的过程指导。 </w:t>
            </w:r>
            <w:r>
              <w:rPr>
                <w:rFonts w:hint="default" w:ascii="Times New Roman" w:hAnsi="Times New Roman" w:eastAsia="宋体" w:cs="Times New Roman"/>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项源代码用于学生学习时的参考，以 </w:t>
            </w:r>
            <w:r>
              <w:rPr>
                <w:rFonts w:hint="default" w:ascii="Times New Roman" w:hAnsi="Times New Roman" w:eastAsia="宋体" w:cs="Times New Roman"/>
                <w:color w:val="auto"/>
                <w:kern w:val="0"/>
                <w:sz w:val="21"/>
                <w:szCs w:val="21"/>
                <w:lang w:val="en-US" w:eastAsia="zh-CN" w:bidi="ar"/>
              </w:rPr>
              <w:t xml:space="preserve">zip </w:t>
            </w:r>
            <w:r>
              <w:rPr>
                <w:rFonts w:hint="eastAsia" w:ascii="宋体" w:hAnsi="宋体" w:eastAsia="宋体" w:cs="宋体"/>
                <w:color w:val="auto"/>
                <w:kern w:val="0"/>
                <w:sz w:val="21"/>
                <w:szCs w:val="21"/>
                <w:lang w:val="en-US" w:eastAsia="zh-CN" w:bidi="ar"/>
              </w:rPr>
              <w:t xml:space="preserve">或 </w:t>
            </w:r>
            <w:r>
              <w:rPr>
                <w:rFonts w:hint="default" w:ascii="Times New Roman" w:hAnsi="Times New Roman" w:eastAsia="宋体" w:cs="Times New Roman"/>
                <w:color w:val="auto"/>
                <w:kern w:val="0"/>
                <w:sz w:val="21"/>
                <w:szCs w:val="21"/>
                <w:lang w:val="en-US" w:eastAsia="zh-CN" w:bidi="ar"/>
              </w:rPr>
              <w:t xml:space="preserve">rar </w:t>
            </w:r>
            <w:r>
              <w:rPr>
                <w:rFonts w:hint="eastAsia" w:ascii="宋体" w:hAnsi="宋体" w:eastAsia="宋体" w:cs="宋体"/>
                <w:color w:val="auto"/>
                <w:kern w:val="0"/>
                <w:sz w:val="21"/>
                <w:szCs w:val="21"/>
                <w:lang w:val="en-US" w:eastAsia="zh-CN" w:bidi="ar"/>
              </w:rPr>
              <w:t xml:space="preserve">等常见格式保存。 </w:t>
            </w:r>
          </w:p>
        </w:tc>
        <w:tc>
          <w:tcPr>
            <w:tcW w:w="703" w:type="dxa"/>
            <w:noWrap w:val="0"/>
            <w:vAlign w:val="center"/>
          </w:tcPr>
          <w:p w14:paraId="260D0D02">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1"/>
                <w:szCs w:val="21"/>
                <w:vertAlign w:val="baseline"/>
              </w:rPr>
            </w:pPr>
            <w:r>
              <w:rPr>
                <w:rFonts w:hint="eastAsia"/>
                <w:color w:val="auto"/>
                <w:sz w:val="21"/>
                <w:szCs w:val="21"/>
                <w:vertAlign w:val="baseline"/>
                <w:lang w:val="en-US" w:eastAsia="zh-CN"/>
              </w:rPr>
              <w:t>1项</w:t>
            </w:r>
          </w:p>
        </w:tc>
      </w:tr>
      <w:tr w14:paraId="7E0D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 w:type="dxa"/>
            <w:noWrap w:val="0"/>
            <w:vAlign w:val="center"/>
          </w:tcPr>
          <w:p w14:paraId="607B9137">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eastAsia="黑体"/>
                <w:color w:val="auto"/>
                <w:sz w:val="21"/>
                <w:szCs w:val="21"/>
                <w:vertAlign w:val="baseline"/>
                <w:lang w:val="en-US" w:eastAsia="zh-CN"/>
              </w:rPr>
            </w:pPr>
            <w:r>
              <w:rPr>
                <w:rFonts w:hint="eastAsia"/>
                <w:color w:val="auto"/>
                <w:sz w:val="21"/>
                <w:szCs w:val="21"/>
                <w:vertAlign w:val="baseline"/>
                <w:lang w:val="en-US" w:eastAsia="zh-CN"/>
              </w:rPr>
              <w:t>4</w:t>
            </w:r>
          </w:p>
        </w:tc>
        <w:tc>
          <w:tcPr>
            <w:tcW w:w="2133" w:type="dxa"/>
            <w:noWrap w:val="0"/>
            <w:vAlign w:val="center"/>
          </w:tcPr>
          <w:p w14:paraId="2C52910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color w:val="auto"/>
                <w:sz w:val="21"/>
                <w:szCs w:val="21"/>
                <w:vertAlign w:val="baseline"/>
              </w:rPr>
            </w:pPr>
            <w:r>
              <w:rPr>
                <w:rFonts w:hint="eastAsia" w:ascii="宋体" w:hAnsi="宋体" w:eastAsia="宋体" w:cs="宋体"/>
                <w:color w:val="auto"/>
                <w:kern w:val="0"/>
                <w:sz w:val="21"/>
                <w:szCs w:val="21"/>
                <w:lang w:val="en-US" w:eastAsia="zh-CN" w:bidi="ar"/>
              </w:rPr>
              <w:t>《分布式账本技术》课程</w:t>
            </w:r>
          </w:p>
        </w:tc>
        <w:tc>
          <w:tcPr>
            <w:tcW w:w="6480" w:type="dxa"/>
            <w:noWrap w:val="0"/>
            <w:vAlign w:val="center"/>
          </w:tcPr>
          <w:p w14:paraId="33A2E8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1、知识技能点涵盖分布式账本技术的基本概念与原理、区块链基础知识、共识机制（如PoW、PoS、DPoS）的工作原理、智能合约的编写与部署、主流区块链平台的使用、去中心化应用（DApp）的开发等。提供不少于 </w:t>
            </w:r>
            <w:r>
              <w:rPr>
                <w:rFonts w:hint="default" w:ascii="Times New Roman" w:hAnsi="Times New Roman" w:eastAsia="宋体" w:cs="Times New Roman"/>
                <w:color w:val="auto"/>
                <w:kern w:val="0"/>
                <w:sz w:val="21"/>
                <w:szCs w:val="21"/>
                <w:lang w:val="en-US" w:eastAsia="zh-CN" w:bidi="ar"/>
              </w:rPr>
              <w:t xml:space="preserve">60 </w:t>
            </w:r>
            <w:r>
              <w:rPr>
                <w:rFonts w:hint="eastAsia" w:ascii="宋体" w:hAnsi="宋体" w:eastAsia="宋体" w:cs="宋体"/>
                <w:color w:val="auto"/>
                <w:kern w:val="0"/>
                <w:sz w:val="21"/>
                <w:szCs w:val="21"/>
                <w:lang w:val="en-US" w:eastAsia="zh-CN" w:bidi="ar"/>
              </w:rPr>
              <w:t>个文本文档、</w:t>
            </w:r>
            <w:r>
              <w:rPr>
                <w:rFonts w:hint="default" w:ascii="Times New Roman" w:hAnsi="Times New Roman" w:eastAsia="宋体" w:cs="Times New Roman"/>
                <w:color w:val="auto"/>
                <w:kern w:val="0"/>
                <w:sz w:val="21"/>
                <w:szCs w:val="21"/>
                <w:lang w:val="en-US" w:eastAsia="zh-CN" w:bidi="ar"/>
              </w:rPr>
              <w:t xml:space="preserve">60 </w:t>
            </w:r>
            <w:r>
              <w:rPr>
                <w:rFonts w:hint="eastAsia" w:ascii="宋体" w:hAnsi="宋体" w:eastAsia="宋体" w:cs="宋体"/>
                <w:color w:val="auto"/>
                <w:kern w:val="0"/>
                <w:sz w:val="21"/>
                <w:szCs w:val="21"/>
                <w:lang w:val="en-US" w:eastAsia="zh-CN" w:bidi="ar"/>
              </w:rPr>
              <w:t xml:space="preserve">个 </w:t>
            </w:r>
            <w:r>
              <w:rPr>
                <w:rFonts w:hint="default" w:ascii="Times New Roman" w:hAnsi="Times New Roman" w:eastAsia="宋体" w:cs="Times New Roman"/>
                <w:color w:val="auto"/>
                <w:kern w:val="0"/>
                <w:sz w:val="21"/>
                <w:szCs w:val="21"/>
                <w:lang w:val="en-US" w:eastAsia="zh-CN" w:bidi="ar"/>
              </w:rPr>
              <w:t xml:space="preserve">PPT </w:t>
            </w:r>
            <w:r>
              <w:rPr>
                <w:rFonts w:hint="eastAsia" w:ascii="宋体" w:hAnsi="宋体" w:eastAsia="宋体" w:cs="宋体"/>
                <w:color w:val="auto"/>
                <w:kern w:val="0"/>
                <w:sz w:val="21"/>
                <w:szCs w:val="21"/>
                <w:lang w:val="en-US" w:eastAsia="zh-CN" w:bidi="ar"/>
              </w:rPr>
              <w:t>文档、</w:t>
            </w:r>
            <w:r>
              <w:rPr>
                <w:rFonts w:hint="default" w:ascii="Times New Roman" w:hAnsi="Times New Roman" w:eastAsia="宋体" w:cs="Times New Roman"/>
                <w:color w:val="auto"/>
                <w:kern w:val="0"/>
                <w:sz w:val="21"/>
                <w:szCs w:val="21"/>
                <w:lang w:val="en-US" w:eastAsia="zh-CN" w:bidi="ar"/>
              </w:rPr>
              <w:t xml:space="preserve">180 </w:t>
            </w:r>
            <w:r>
              <w:rPr>
                <w:rFonts w:hint="eastAsia" w:ascii="宋体" w:hAnsi="宋体" w:eastAsia="宋体" w:cs="宋体"/>
                <w:color w:val="auto"/>
                <w:kern w:val="0"/>
                <w:sz w:val="21"/>
                <w:szCs w:val="21"/>
                <w:lang w:val="en-US" w:eastAsia="zh-CN" w:bidi="ar"/>
              </w:rPr>
              <w:t>个知识点讲解视频、</w:t>
            </w:r>
            <w:r>
              <w:rPr>
                <w:rFonts w:hint="default" w:ascii="Times New Roman" w:hAnsi="Times New Roman" w:eastAsia="宋体" w:cs="Times New Roman"/>
                <w:color w:val="auto"/>
                <w:kern w:val="0"/>
                <w:sz w:val="21"/>
                <w:szCs w:val="21"/>
                <w:lang w:val="en-US" w:eastAsia="zh-CN" w:bidi="ar"/>
              </w:rPr>
              <w:t xml:space="preserve">120 </w:t>
            </w:r>
            <w:r>
              <w:rPr>
                <w:rFonts w:hint="eastAsia" w:ascii="宋体" w:hAnsi="宋体" w:eastAsia="宋体" w:cs="宋体"/>
                <w:color w:val="auto"/>
                <w:kern w:val="0"/>
                <w:sz w:val="21"/>
                <w:szCs w:val="21"/>
                <w:lang w:val="en-US" w:eastAsia="zh-CN" w:bidi="ar"/>
              </w:rPr>
              <w:t>个微课资源、</w:t>
            </w:r>
            <w:r>
              <w:rPr>
                <w:rFonts w:hint="default" w:ascii="Times New Roman" w:hAnsi="Times New Roman" w:eastAsia="宋体" w:cs="Times New Roman"/>
                <w:color w:val="auto"/>
                <w:kern w:val="0"/>
                <w:sz w:val="21"/>
                <w:szCs w:val="21"/>
                <w:lang w:val="en-US" w:eastAsia="zh-CN" w:bidi="ar"/>
              </w:rPr>
              <w:t>10</w:t>
            </w:r>
            <w:r>
              <w:rPr>
                <w:rFonts w:hint="eastAsia" w:ascii="宋体" w:hAnsi="宋体" w:eastAsia="宋体" w:cs="宋体"/>
                <w:color w:val="auto"/>
                <w:kern w:val="0"/>
                <w:sz w:val="21"/>
                <w:szCs w:val="21"/>
                <w:lang w:val="en-US" w:eastAsia="zh-CN" w:bidi="ar"/>
              </w:rPr>
              <w:t xml:space="preserve">个动画资源、4个企业案例及实训资源1项。2、文本文档不限于课程标准、教学设计、理论概念、说课稿、学习指南、实验指导书、辅助教材、练习测试等内容呈现。 </w:t>
            </w:r>
          </w:p>
          <w:p w14:paraId="4A853AE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3、</w:t>
            </w:r>
            <w:r>
              <w:rPr>
                <w:rFonts w:hint="default" w:ascii="Times New Roman" w:hAnsi="Times New Roman" w:eastAsia="宋体" w:cs="Times New Roman"/>
                <w:color w:val="auto"/>
                <w:kern w:val="0"/>
                <w:sz w:val="21"/>
                <w:szCs w:val="21"/>
                <w:lang w:val="en-US" w:eastAsia="zh-CN" w:bidi="ar"/>
              </w:rPr>
              <w:t xml:space="preserve">PPT </w:t>
            </w:r>
            <w:r>
              <w:rPr>
                <w:rFonts w:hint="eastAsia" w:ascii="宋体" w:hAnsi="宋体" w:eastAsia="宋体" w:cs="宋体"/>
                <w:color w:val="auto"/>
                <w:kern w:val="0"/>
                <w:sz w:val="21"/>
                <w:szCs w:val="21"/>
                <w:lang w:val="en-US" w:eastAsia="zh-CN" w:bidi="ar"/>
              </w:rPr>
              <w:t xml:space="preserve">资源主要是讲解重点、难点、疑点的知识技能内容，平均每个 </w:t>
            </w:r>
            <w:r>
              <w:rPr>
                <w:rFonts w:hint="default" w:ascii="Times New Roman" w:hAnsi="Times New Roman" w:eastAsia="宋体" w:cs="Times New Roman"/>
                <w:color w:val="auto"/>
                <w:kern w:val="0"/>
                <w:sz w:val="21"/>
                <w:szCs w:val="21"/>
                <w:lang w:val="en-US" w:eastAsia="zh-CN" w:bidi="ar"/>
              </w:rPr>
              <w:t xml:space="preserve">PPT </w:t>
            </w:r>
            <w:r>
              <w:rPr>
                <w:rFonts w:hint="eastAsia" w:ascii="宋体" w:hAnsi="宋体" w:eastAsia="宋体" w:cs="宋体"/>
                <w:color w:val="auto"/>
                <w:kern w:val="0"/>
                <w:sz w:val="21"/>
                <w:szCs w:val="21"/>
                <w:lang w:val="en-US" w:eastAsia="zh-CN" w:bidi="ar"/>
              </w:rPr>
              <w:t xml:space="preserve">资源不少于 </w:t>
            </w:r>
            <w:r>
              <w:rPr>
                <w:rFonts w:hint="default" w:ascii="Times New Roman" w:hAnsi="Times New Roman" w:eastAsia="宋体" w:cs="Times New Roman"/>
                <w:color w:val="auto"/>
                <w:kern w:val="0"/>
                <w:sz w:val="21"/>
                <w:szCs w:val="21"/>
                <w:lang w:val="en-US" w:eastAsia="zh-CN" w:bidi="ar"/>
              </w:rPr>
              <w:t xml:space="preserve">10 </w:t>
            </w:r>
            <w:r>
              <w:rPr>
                <w:rFonts w:hint="eastAsia" w:ascii="宋体" w:hAnsi="宋体" w:eastAsia="宋体" w:cs="宋体"/>
                <w:color w:val="auto"/>
                <w:kern w:val="0"/>
                <w:sz w:val="21"/>
                <w:szCs w:val="21"/>
                <w:lang w:val="en-US" w:eastAsia="zh-CN" w:bidi="ar"/>
              </w:rPr>
              <w:t xml:space="preserve">页。 </w:t>
            </w:r>
          </w:p>
          <w:p w14:paraId="3D8244D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4、知识讲解视频对课程具体知识点进行讲解，以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 </w:t>
            </w:r>
          </w:p>
          <w:p w14:paraId="32D8AB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1"/>
                <w:szCs w:val="21"/>
              </w:rPr>
            </w:pPr>
            <w:r>
              <w:rPr>
                <w:rFonts w:hint="eastAsia" w:ascii="宋体" w:hAnsi="宋体" w:eastAsia="宋体" w:cs="宋体"/>
                <w:color w:val="auto"/>
                <w:kern w:val="0"/>
                <w:sz w:val="21"/>
                <w:szCs w:val="21"/>
                <w:lang w:val="en-US" w:eastAsia="zh-CN" w:bidi="ar"/>
              </w:rPr>
              <w:t xml:space="preserve">5、微课资源以 </w:t>
            </w:r>
            <w:r>
              <w:rPr>
                <w:rFonts w:hint="default" w:ascii="Times New Roman" w:hAnsi="Times New Roman" w:eastAsia="宋体" w:cs="Times New Roman"/>
                <w:color w:val="auto"/>
                <w:kern w:val="0"/>
                <w:sz w:val="21"/>
                <w:szCs w:val="21"/>
                <w:lang w:val="en-US" w:eastAsia="zh-CN" w:bidi="ar"/>
              </w:rPr>
              <w:t xml:space="preserve">PPT </w:t>
            </w:r>
            <w:r>
              <w:rPr>
                <w:rFonts w:hint="eastAsia" w:ascii="宋体" w:hAnsi="宋体" w:eastAsia="宋体" w:cs="宋体"/>
                <w:color w:val="auto"/>
                <w:kern w:val="0"/>
                <w:sz w:val="21"/>
                <w:szCs w:val="21"/>
                <w:lang w:val="en-US" w:eastAsia="zh-CN" w:bidi="ar"/>
              </w:rPr>
              <w:t xml:space="preserve">为载体，结合 </w:t>
            </w:r>
            <w:r>
              <w:rPr>
                <w:rFonts w:hint="default" w:ascii="Times New Roman" w:hAnsi="Times New Roman" w:eastAsia="宋体" w:cs="Times New Roman"/>
                <w:color w:val="auto"/>
                <w:kern w:val="0"/>
                <w:sz w:val="21"/>
                <w:szCs w:val="21"/>
                <w:lang w:val="en-US" w:eastAsia="zh-CN" w:bidi="ar"/>
              </w:rPr>
              <w:t xml:space="preserve">PPT </w:t>
            </w:r>
            <w:r>
              <w:rPr>
                <w:rFonts w:hint="eastAsia" w:ascii="宋体" w:hAnsi="宋体" w:eastAsia="宋体" w:cs="宋体"/>
                <w:color w:val="auto"/>
                <w:kern w:val="0"/>
                <w:sz w:val="21"/>
                <w:szCs w:val="21"/>
                <w:lang w:val="en-US" w:eastAsia="zh-CN" w:bidi="ar"/>
              </w:rPr>
              <w:t xml:space="preserve">动态效果，教师讲解，录制为微课，可结合相关的 </w:t>
            </w:r>
            <w:r>
              <w:rPr>
                <w:rFonts w:hint="default" w:ascii="Times New Roman" w:hAnsi="Times New Roman" w:eastAsia="宋体" w:cs="Times New Roman"/>
                <w:color w:val="auto"/>
                <w:kern w:val="0"/>
                <w:sz w:val="21"/>
                <w:szCs w:val="21"/>
                <w:lang w:val="en-US" w:eastAsia="zh-CN" w:bidi="ar"/>
              </w:rPr>
              <w:t xml:space="preserve">Flash </w:t>
            </w:r>
            <w:r>
              <w:rPr>
                <w:rFonts w:hint="eastAsia" w:ascii="宋体" w:hAnsi="宋体" w:eastAsia="宋体" w:cs="宋体"/>
                <w:color w:val="auto"/>
                <w:kern w:val="0"/>
                <w:sz w:val="21"/>
                <w:szCs w:val="21"/>
                <w:lang w:val="en-US" w:eastAsia="zh-CN" w:bidi="ar"/>
              </w:rPr>
              <w:t xml:space="preserve">动画，操作演示，录屏示范等多媒体资源，分辨率建议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 xml:space="preserve">或更高。 </w:t>
            </w:r>
          </w:p>
          <w:p w14:paraId="187BF83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6、动画资源具有形象、直观、生动、声、光、色、形，动静结合的优势，可对重点和难点知识点中抽象、难以理解部分进行针对性讲解，给学生提供广阔的想象空间，可以吸引学生的注意力，引起学生的情感共鸣，激发学生浓厚的学习兴趣。动画制作先设计制作脚本文档，然后采用二维动画建设软件（如</w:t>
            </w:r>
            <w:r>
              <w:rPr>
                <w:rFonts w:hint="default" w:ascii="Times New Roman" w:hAnsi="Times New Roman" w:eastAsia="宋体" w:cs="Times New Roman"/>
                <w:color w:val="auto"/>
                <w:kern w:val="0"/>
                <w:sz w:val="21"/>
                <w:szCs w:val="21"/>
                <w:lang w:val="en-US" w:eastAsia="zh-CN" w:bidi="ar"/>
              </w:rPr>
              <w:t>FLASH\HTML5</w:t>
            </w:r>
            <w:r>
              <w:rPr>
                <w:rFonts w:hint="eastAsia" w:ascii="宋体" w:hAnsi="宋体" w:eastAsia="宋体" w:cs="宋体"/>
                <w:color w:val="auto"/>
                <w:kern w:val="0"/>
                <w:sz w:val="21"/>
                <w:szCs w:val="21"/>
                <w:lang w:val="en-US" w:eastAsia="zh-CN" w:bidi="ar"/>
              </w:rPr>
              <w:t xml:space="preserve">等）开发完成，输出 </w:t>
            </w:r>
            <w:r>
              <w:rPr>
                <w:rFonts w:hint="default" w:ascii="Times New Roman" w:hAnsi="Times New Roman" w:eastAsia="宋体" w:cs="Times New Roman"/>
                <w:color w:val="auto"/>
                <w:kern w:val="0"/>
                <w:sz w:val="21"/>
                <w:szCs w:val="21"/>
                <w:lang w:val="en-US" w:eastAsia="zh-CN" w:bidi="ar"/>
              </w:rPr>
              <w:t xml:space="preserve">mp4 </w:t>
            </w:r>
            <w:r>
              <w:rPr>
                <w:rFonts w:hint="eastAsia" w:ascii="宋体" w:hAnsi="宋体" w:eastAsia="宋体" w:cs="宋体"/>
                <w:color w:val="auto"/>
                <w:kern w:val="0"/>
                <w:sz w:val="21"/>
                <w:szCs w:val="21"/>
                <w:lang w:val="en-US" w:eastAsia="zh-CN" w:bidi="ar"/>
              </w:rPr>
              <w:t xml:space="preserve">格式存储；视频画面清晰、辅以声音讲解，分辨率建议 </w:t>
            </w:r>
            <w:r>
              <w:rPr>
                <w:rFonts w:hint="default" w:ascii="Times New Roman" w:hAnsi="Times New Roman" w:eastAsia="宋体" w:cs="Times New Roman"/>
                <w:color w:val="auto"/>
                <w:kern w:val="0"/>
                <w:sz w:val="21"/>
                <w:szCs w:val="21"/>
                <w:lang w:val="en-US" w:eastAsia="zh-CN" w:bidi="ar"/>
              </w:rPr>
              <w:t>1280</w:t>
            </w:r>
            <w:r>
              <w:rPr>
                <w:rFonts w:hint="eastAsia" w:ascii="宋体" w:hAnsi="宋体" w:eastAsia="宋体" w:cs="宋体"/>
                <w:color w:val="auto"/>
                <w:kern w:val="0"/>
                <w:sz w:val="21"/>
                <w:szCs w:val="21"/>
                <w:lang w:val="en-US" w:eastAsia="zh-CN" w:bidi="ar"/>
              </w:rPr>
              <w:t>×</w:t>
            </w:r>
            <w:r>
              <w:rPr>
                <w:rFonts w:hint="default" w:ascii="Times New Roman" w:hAnsi="Times New Roman" w:eastAsia="宋体" w:cs="Times New Roman"/>
                <w:color w:val="auto"/>
                <w:kern w:val="0"/>
                <w:sz w:val="21"/>
                <w:szCs w:val="21"/>
                <w:lang w:val="en-US" w:eastAsia="zh-CN" w:bidi="ar"/>
              </w:rPr>
              <w:t xml:space="preserve">720 </w:t>
            </w:r>
            <w:r>
              <w:rPr>
                <w:rFonts w:hint="eastAsia" w:ascii="宋体" w:hAnsi="宋体" w:eastAsia="宋体" w:cs="宋体"/>
                <w:color w:val="auto"/>
                <w:kern w:val="0"/>
                <w:sz w:val="21"/>
                <w:szCs w:val="21"/>
                <w:lang w:val="en-US" w:eastAsia="zh-CN" w:bidi="ar"/>
              </w:rPr>
              <w:t>或更高。动画至少包含DES加密算法详解、HTTPS加密算法简介、对称加密和非对称加密、什么是RSA算法、区块链简介、区块链中的非对称加密与数字签名、区块链中的数据层。平均每个动画时长不少于2分钟。</w:t>
            </w:r>
          </w:p>
          <w:p w14:paraId="290416CF">
            <w:pPr>
              <w:pStyle w:val="3"/>
              <w:spacing w:line="360" w:lineRule="auto"/>
              <w:ind w:left="0" w:leftChars="0" w:firstLine="0" w:firstLineChars="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7、企业案例来源于企业项目，经改造而成的真实企业案例，用于学生对企业项目流程的认知和企业业务的了解。提供企业项目的实施过程中的各种文档，包含项目简介、需求分析、项目设计文档（概要设计、详细设计等）、用户使用手册、项目源代码等。案例符合分布式云计算平台、去中心化教育平台、物流追踪系统、食品安全追踪平台、医疗记录管理、智能城市基础设施、保险理赔平台、慈善捐赠平台、电子政务平台、房地产交易平台、环境监测系统、旅游预订平台主题。</w:t>
            </w:r>
          </w:p>
          <w:p w14:paraId="6E482DF0">
            <w:pPr>
              <w:keepNext w:val="0"/>
              <w:keepLines w:val="0"/>
              <w:widowControl/>
              <w:suppressLineNumbers w:val="0"/>
              <w:spacing w:line="360" w:lineRule="auto"/>
              <w:jc w:val="left"/>
              <w:rPr>
                <w:color w:val="auto"/>
                <w:sz w:val="21"/>
                <w:szCs w:val="21"/>
              </w:rPr>
            </w:pPr>
            <w:r>
              <w:rPr>
                <w:rFonts w:hint="eastAsia" w:ascii="宋体" w:hAnsi="宋体" w:eastAsia="宋体" w:cs="宋体"/>
                <w:color w:val="auto"/>
                <w:kern w:val="0"/>
                <w:sz w:val="21"/>
                <w:szCs w:val="21"/>
                <w:lang w:val="en-US" w:eastAsia="zh-CN" w:bidi="ar"/>
              </w:rPr>
              <w:t xml:space="preserve">8、区块链实训资源包含如下内容： </w:t>
            </w:r>
          </w:p>
          <w:p w14:paraId="5B6C6F97">
            <w:pPr>
              <w:keepNext w:val="0"/>
              <w:keepLines w:val="0"/>
              <w:widowControl/>
              <w:suppressLineNumbers w:val="0"/>
              <w:spacing w:line="360" w:lineRule="auto"/>
              <w:jc w:val="left"/>
              <w:rPr>
                <w:color w:val="auto"/>
                <w:sz w:val="21"/>
                <w:szCs w:val="21"/>
              </w:rPr>
            </w:pPr>
            <w:r>
              <w:rPr>
                <w:rFonts w:hint="eastAsia" w:ascii="宋体" w:hAnsi="宋体" w:eastAsia="宋体" w:cs="宋体"/>
                <w:color w:val="auto"/>
                <w:kern w:val="0"/>
                <w:sz w:val="21"/>
                <w:szCs w:val="21"/>
                <w:lang w:val="en-US" w:eastAsia="zh-CN" w:bidi="ar"/>
              </w:rPr>
              <w:t xml:space="preserve">食品溯源业务背景训练任务、智能合约及业务应用源代码； </w:t>
            </w:r>
          </w:p>
          <w:p w14:paraId="146F9C66">
            <w:pPr>
              <w:keepNext w:val="0"/>
              <w:keepLines w:val="0"/>
              <w:widowControl/>
              <w:suppressLineNumbers w:val="0"/>
              <w:spacing w:line="360" w:lineRule="auto"/>
              <w:jc w:val="left"/>
              <w:rPr>
                <w:color w:val="auto"/>
                <w:sz w:val="21"/>
                <w:szCs w:val="21"/>
              </w:rPr>
            </w:pPr>
            <w:r>
              <w:rPr>
                <w:rFonts w:hint="eastAsia" w:ascii="宋体" w:hAnsi="宋体" w:eastAsia="宋体" w:cs="宋体"/>
                <w:color w:val="auto"/>
                <w:kern w:val="0"/>
                <w:sz w:val="21"/>
                <w:szCs w:val="21"/>
                <w:lang w:val="en-US" w:eastAsia="zh-CN" w:bidi="ar"/>
              </w:rPr>
              <w:t xml:space="preserve">供应链金融业务背景训练任务、智能合约及业务应用源代码； </w:t>
            </w:r>
          </w:p>
          <w:p w14:paraId="29492CAD">
            <w:pPr>
              <w:keepNext w:val="0"/>
              <w:keepLines w:val="0"/>
              <w:widowControl/>
              <w:suppressLineNumbers w:val="0"/>
              <w:spacing w:line="360" w:lineRule="auto"/>
              <w:jc w:val="left"/>
              <w:rPr>
                <w:color w:val="auto"/>
                <w:sz w:val="21"/>
                <w:szCs w:val="21"/>
              </w:rPr>
            </w:pPr>
            <w:r>
              <w:rPr>
                <w:rFonts w:hint="eastAsia" w:ascii="宋体" w:hAnsi="宋体" w:eastAsia="宋体" w:cs="宋体"/>
                <w:color w:val="auto"/>
                <w:kern w:val="0"/>
                <w:sz w:val="21"/>
                <w:szCs w:val="21"/>
                <w:lang w:val="en-US" w:eastAsia="zh-CN" w:bidi="ar"/>
              </w:rPr>
              <w:t xml:space="preserve">能源交易业务背景训练任务、智能合约及业务应用源代码； </w:t>
            </w:r>
          </w:p>
          <w:p w14:paraId="1301B34C">
            <w:pPr>
              <w:keepNext w:val="0"/>
              <w:keepLines w:val="0"/>
              <w:widowControl/>
              <w:suppressLineNumbers w:val="0"/>
              <w:spacing w:line="360" w:lineRule="auto"/>
              <w:jc w:val="left"/>
              <w:rPr>
                <w:color w:val="auto"/>
                <w:sz w:val="21"/>
                <w:szCs w:val="21"/>
              </w:rPr>
            </w:pPr>
            <w:r>
              <w:rPr>
                <w:rFonts w:hint="eastAsia" w:ascii="宋体" w:hAnsi="宋体" w:eastAsia="宋体" w:cs="宋体"/>
                <w:color w:val="auto"/>
                <w:kern w:val="0"/>
                <w:sz w:val="21"/>
                <w:szCs w:val="21"/>
                <w:lang w:val="en-US" w:eastAsia="zh-CN" w:bidi="ar"/>
              </w:rPr>
              <w:t xml:space="preserve">电子签章业务背景训练任务、智能合约及业务应用源代码； </w:t>
            </w:r>
          </w:p>
          <w:p w14:paraId="47C739E8">
            <w:pPr>
              <w:pStyle w:val="3"/>
              <w:spacing w:line="360" w:lineRule="auto"/>
              <w:ind w:left="0" w:leftChars="0" w:firstLine="0" w:firstLineChars="0"/>
              <w:rPr>
                <w:rFonts w:hint="default"/>
                <w:color w:val="auto"/>
                <w:lang w:val="en-US"/>
              </w:rPr>
            </w:pPr>
            <w:r>
              <w:rPr>
                <w:rFonts w:hint="eastAsia" w:ascii="宋体" w:hAnsi="宋体" w:eastAsia="宋体" w:cs="宋体"/>
                <w:color w:val="auto"/>
                <w:kern w:val="0"/>
                <w:sz w:val="21"/>
                <w:szCs w:val="21"/>
                <w:lang w:val="en-US" w:eastAsia="zh-CN" w:bidi="ar"/>
              </w:rPr>
              <w:t xml:space="preserve">养老保险业务背景训练任务、智能合约及业务应用源代码。 </w:t>
            </w:r>
          </w:p>
        </w:tc>
        <w:tc>
          <w:tcPr>
            <w:tcW w:w="703" w:type="dxa"/>
            <w:noWrap w:val="0"/>
            <w:vAlign w:val="center"/>
          </w:tcPr>
          <w:p w14:paraId="62CFB5AA">
            <w:pPr>
              <w:pStyle w:val="5"/>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olor w:val="auto"/>
                <w:sz w:val="21"/>
                <w:szCs w:val="21"/>
                <w:vertAlign w:val="baseline"/>
              </w:rPr>
            </w:pPr>
            <w:r>
              <w:rPr>
                <w:rFonts w:hint="eastAsia"/>
                <w:color w:val="auto"/>
                <w:sz w:val="21"/>
                <w:szCs w:val="21"/>
                <w:vertAlign w:val="baseline"/>
                <w:lang w:val="en-US" w:eastAsia="zh-CN"/>
              </w:rPr>
              <w:t>1项</w:t>
            </w:r>
          </w:p>
        </w:tc>
      </w:tr>
    </w:tbl>
    <w:p w14:paraId="06D908CE">
      <w:pPr>
        <w:keepNext w:val="0"/>
        <w:keepLines w:val="0"/>
        <w:pageBreakBefore w:val="0"/>
        <w:numPr>
          <w:ilvl w:val="0"/>
          <w:numId w:val="0"/>
        </w:numPr>
        <w:kinsoku/>
        <w:wordWrap/>
        <w:overflowPunct/>
        <w:topLinePunct w:val="0"/>
        <w:autoSpaceDE/>
        <w:autoSpaceDN/>
        <w:bidi w:val="0"/>
        <w:adjustRightInd/>
        <w:snapToGrid/>
        <w:spacing w:line="360" w:lineRule="auto"/>
        <w:ind w:left="437" w:leftChars="0"/>
        <w:textAlignment w:val="auto"/>
        <w:outlineLvl w:val="1"/>
        <w:rPr>
          <w:rFonts w:hint="eastAsia" w:ascii="宋体" w:hAnsi="宋体" w:eastAsia="宋体"/>
          <w:b/>
          <w:color w:val="auto"/>
          <w:sz w:val="21"/>
          <w:szCs w:val="21"/>
          <w:highlight w:val="none"/>
        </w:rPr>
      </w:pPr>
      <w:bookmarkStart w:id="15" w:name="_Toc16414"/>
      <w:bookmarkStart w:id="16" w:name="_Toc20717"/>
      <w:r>
        <w:rPr>
          <w:rFonts w:hint="eastAsia" w:ascii="宋体" w:hAnsi="宋体" w:eastAsia="宋体"/>
          <w:b/>
          <w:color w:val="auto"/>
          <w:sz w:val="21"/>
          <w:szCs w:val="21"/>
          <w:highlight w:val="none"/>
          <w:lang w:val="en-US" w:eastAsia="zh-CN"/>
        </w:rPr>
        <w:br w:type="textWrapping"/>
      </w:r>
      <w:r>
        <w:rPr>
          <w:rFonts w:hint="eastAsia" w:ascii="宋体" w:hAnsi="宋体" w:eastAsia="宋体"/>
          <w:b/>
          <w:color w:val="auto"/>
          <w:sz w:val="21"/>
          <w:szCs w:val="21"/>
          <w:highlight w:val="none"/>
          <w:lang w:val="en-US" w:eastAsia="zh-CN"/>
        </w:rPr>
        <w:t>四、</w:t>
      </w:r>
      <w:r>
        <w:rPr>
          <w:rFonts w:hint="eastAsia" w:ascii="宋体" w:hAnsi="宋体" w:eastAsia="宋体"/>
          <w:b/>
          <w:color w:val="auto"/>
          <w:sz w:val="21"/>
          <w:szCs w:val="21"/>
          <w:highlight w:val="none"/>
        </w:rPr>
        <w:t>报价要求</w:t>
      </w:r>
      <w:bookmarkEnd w:id="15"/>
      <w:bookmarkEnd w:id="16"/>
    </w:p>
    <w:p w14:paraId="17D9BD0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left"/>
        <w:textAlignment w:val="auto"/>
        <w:rPr>
          <w:color w:val="auto"/>
          <w:sz w:val="21"/>
          <w:szCs w:val="21"/>
        </w:rPr>
      </w:pPr>
      <w:r>
        <w:rPr>
          <w:rFonts w:hint="eastAsia" w:ascii="宋体" w:hAnsi="宋体" w:eastAsia="宋体" w:cs="宋体"/>
          <w:b/>
          <w:bCs/>
          <w:color w:val="auto"/>
          <w:kern w:val="0"/>
          <w:sz w:val="21"/>
          <w:szCs w:val="21"/>
          <w:lang w:val="en-US" w:eastAsia="zh-CN" w:bidi="ar"/>
        </w:rPr>
        <w:t xml:space="preserve">1.本项目报总价，报价不得超过最高限价，否则投标无效。实施过程中采购人将不再增加其他任何后续费用，投标人应自行考虑相关风险。 </w:t>
      </w:r>
    </w:p>
    <w:p w14:paraId="156CD7F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left"/>
        <w:textAlignment w:val="auto"/>
        <w:rPr>
          <w:color w:val="auto"/>
          <w:sz w:val="21"/>
          <w:szCs w:val="21"/>
        </w:rPr>
      </w:pPr>
      <w:r>
        <w:rPr>
          <w:rFonts w:hint="eastAsia" w:ascii="宋体" w:hAnsi="宋体" w:eastAsia="宋体" w:cs="宋体"/>
          <w:color w:val="auto"/>
          <w:kern w:val="0"/>
          <w:sz w:val="21"/>
          <w:szCs w:val="21"/>
          <w:lang w:val="en-US" w:eastAsia="zh-CN" w:bidi="ar"/>
        </w:rPr>
        <w:t>2.投标人的投标报价应遵守《中华人民共和国价格法》。同时，根据《中华人民共和国政府采购法》第三条的规定，为保证公平竞争，</w:t>
      </w:r>
      <w:r>
        <w:rPr>
          <w:rFonts w:hint="eastAsia" w:ascii="宋体" w:hAnsi="宋体" w:eastAsia="宋体" w:cs="宋体"/>
          <w:b/>
          <w:bCs/>
          <w:color w:val="auto"/>
          <w:kern w:val="0"/>
          <w:sz w:val="21"/>
          <w:szCs w:val="21"/>
          <w:lang w:val="en-US" w:eastAsia="zh-CN" w:bidi="ar"/>
        </w:rPr>
        <w:t xml:space="preserve">如有服务主体部分的赠与行为，其投标将被认定为投标无效。 </w:t>
      </w:r>
    </w:p>
    <w:p w14:paraId="6655CD84">
      <w:pPr>
        <w:pStyle w:val="4"/>
        <w:ind w:firstLine="420" w:firstLineChars="0"/>
        <w:rPr>
          <w:color w:val="auto"/>
          <w:sz w:val="21"/>
          <w:szCs w:val="21"/>
        </w:rPr>
      </w:pPr>
      <w:r>
        <w:rPr>
          <w:rFonts w:hint="eastAsia" w:ascii="宋体" w:hAnsi="宋体" w:eastAsia="宋体" w:cs="宋体"/>
          <w:color w:val="auto"/>
          <w:kern w:val="0"/>
          <w:sz w:val="21"/>
          <w:szCs w:val="21"/>
          <w:lang w:val="en-US" w:eastAsia="zh-CN" w:bidi="ar"/>
        </w:rPr>
        <w:t>3.投标价格（单价及总价）应为</w:t>
      </w:r>
      <w:r>
        <w:rPr>
          <w:rFonts w:hint="eastAsia"/>
          <w:color w:val="auto"/>
          <w:lang w:val="en-US" w:eastAsia="zh-CN"/>
        </w:rPr>
        <w:t>完成本项目服务所需的一切费用</w:t>
      </w:r>
      <w:r>
        <w:rPr>
          <w:rFonts w:hint="eastAsia" w:ascii="宋体" w:hAnsi="宋体" w:eastAsia="宋体" w:cs="宋体"/>
          <w:color w:val="auto"/>
          <w:kern w:val="0"/>
          <w:sz w:val="21"/>
          <w:szCs w:val="21"/>
          <w:lang w:val="en-US" w:eastAsia="zh-CN" w:bidi="ar"/>
        </w:rPr>
        <w:t xml:space="preserve">。 </w:t>
      </w:r>
    </w:p>
    <w:p w14:paraId="15062CB4">
      <w:pPr>
        <w:pStyle w:val="4"/>
        <w:ind w:firstLine="420" w:firstLineChars="0"/>
        <w:rPr>
          <w:color w:val="auto"/>
          <w:sz w:val="21"/>
          <w:szCs w:val="21"/>
        </w:rPr>
      </w:pPr>
      <w:r>
        <w:rPr>
          <w:rFonts w:hint="eastAsia" w:ascii="宋体" w:hAnsi="宋体" w:eastAsia="宋体" w:cs="宋体"/>
          <w:color w:val="auto"/>
          <w:kern w:val="0"/>
          <w:sz w:val="21"/>
          <w:szCs w:val="21"/>
          <w:lang w:val="en-US" w:eastAsia="zh-CN" w:bidi="ar"/>
        </w:rPr>
        <w:t>4.投标人应按招标文件要求在相关表格中标明</w:t>
      </w:r>
      <w:r>
        <w:rPr>
          <w:rFonts w:hint="eastAsia"/>
          <w:color w:val="auto"/>
          <w:lang w:val="en-US" w:eastAsia="zh-CN"/>
        </w:rPr>
        <w:t>完成本项目服务及伴随服务</w:t>
      </w:r>
      <w:r>
        <w:rPr>
          <w:rFonts w:hint="eastAsia" w:ascii="宋体" w:hAnsi="宋体" w:eastAsia="宋体" w:cs="宋体"/>
          <w:color w:val="auto"/>
          <w:kern w:val="0"/>
          <w:sz w:val="21"/>
          <w:szCs w:val="21"/>
          <w:lang w:val="en-US" w:eastAsia="zh-CN" w:bidi="ar"/>
        </w:rPr>
        <w:t xml:space="preserve">的单价和总价。 </w:t>
      </w:r>
    </w:p>
    <w:p w14:paraId="142436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left"/>
        <w:textAlignment w:val="auto"/>
        <w:rPr>
          <w:color w:val="auto"/>
        </w:rPr>
      </w:pPr>
      <w:r>
        <w:rPr>
          <w:rFonts w:hint="eastAsia" w:ascii="宋体" w:hAnsi="宋体" w:eastAsia="宋体" w:cs="宋体"/>
          <w:color w:val="auto"/>
          <w:kern w:val="0"/>
          <w:sz w:val="21"/>
          <w:szCs w:val="21"/>
          <w:lang w:val="en-US" w:eastAsia="zh-CN" w:bidi="ar"/>
        </w:rPr>
        <w:t>5.投标人所报的总价在合同履行过程中是固定不变的，不得以任何理由予以变更。</w:t>
      </w:r>
      <w:r>
        <w:rPr>
          <w:rFonts w:hint="eastAsia" w:ascii="宋体" w:hAnsi="宋体" w:eastAsia="宋体" w:cs="宋体"/>
          <w:b/>
          <w:bCs/>
          <w:color w:val="auto"/>
          <w:kern w:val="0"/>
          <w:sz w:val="21"/>
          <w:szCs w:val="21"/>
          <w:lang w:val="en-US" w:eastAsia="zh-CN" w:bidi="ar"/>
        </w:rPr>
        <w:t xml:space="preserve">任何包含价格调整要求的投标，其投标将被认定为投标无效。 </w:t>
      </w:r>
      <w:r>
        <w:rPr>
          <w:rFonts w:hint="eastAsia" w:ascii="宋体" w:hAnsi="宋体" w:eastAsia="宋体" w:cs="宋体"/>
          <w:color w:val="auto"/>
          <w:kern w:val="0"/>
          <w:sz w:val="21"/>
          <w:szCs w:val="21"/>
          <w:lang w:val="en-US" w:eastAsia="zh-CN" w:bidi="ar"/>
        </w:rPr>
        <w:t>每项服务只能有一个投标报价。采购人不接受具有附加条件的报价。除非招标文件另有规定，报价原则上精确到小数点后两位。</w:t>
      </w:r>
    </w:p>
    <w:p w14:paraId="63C7CB2B">
      <w:pPr>
        <w:keepNext w:val="0"/>
        <w:keepLines w:val="0"/>
        <w:pageBreakBefore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color w:val="auto"/>
          <w:sz w:val="21"/>
          <w:szCs w:val="21"/>
          <w:highlight w:val="none"/>
        </w:rPr>
      </w:pPr>
      <w:bookmarkStart w:id="17" w:name="_Toc8283"/>
      <w:bookmarkStart w:id="18" w:name="_Toc18794"/>
      <w:r>
        <w:rPr>
          <w:rFonts w:hint="eastAsia" w:ascii="宋体" w:hAnsi="宋体" w:eastAsia="宋体"/>
          <w:b/>
          <w:color w:val="auto"/>
          <w:sz w:val="21"/>
          <w:szCs w:val="21"/>
          <w:highlight w:val="none"/>
        </w:rPr>
        <w:t>五、其他要求</w:t>
      </w:r>
      <w:bookmarkEnd w:id="17"/>
      <w:bookmarkEnd w:id="18"/>
    </w:p>
    <w:bookmarkEnd w:id="9"/>
    <w:bookmarkEnd w:id="12"/>
    <w:tbl>
      <w:tblPr>
        <w:tblStyle w:val="8"/>
        <w:tblW w:w="0" w:type="auto"/>
        <w:tblInd w:w="5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5185"/>
      </w:tblGrid>
      <w:tr w14:paraId="268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noWrap w:val="0"/>
            <w:vAlign w:val="top"/>
          </w:tcPr>
          <w:p w14:paraId="2398E4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售后服务期</w:t>
            </w:r>
          </w:p>
        </w:tc>
        <w:tc>
          <w:tcPr>
            <w:tcW w:w="5972" w:type="dxa"/>
            <w:noWrap w:val="0"/>
            <w:vAlign w:val="top"/>
          </w:tcPr>
          <w:p w14:paraId="48F0330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自验收合格之日起3年，期间上门免费服务</w:t>
            </w:r>
          </w:p>
        </w:tc>
      </w:tr>
      <w:tr w14:paraId="415B2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noWrap w:val="0"/>
            <w:vAlign w:val="top"/>
          </w:tcPr>
          <w:p w14:paraId="6EFE15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热线支持</w:t>
            </w:r>
          </w:p>
        </w:tc>
        <w:tc>
          <w:tcPr>
            <w:tcW w:w="5972" w:type="dxa"/>
            <w:noWrap w:val="0"/>
            <w:vAlign w:val="top"/>
          </w:tcPr>
          <w:p w14:paraId="1D2472A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7*24 小时</w:t>
            </w:r>
          </w:p>
        </w:tc>
      </w:tr>
      <w:tr w14:paraId="2D37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noWrap w:val="0"/>
            <w:vAlign w:val="top"/>
          </w:tcPr>
          <w:p w14:paraId="0160429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现场支持</w:t>
            </w:r>
          </w:p>
        </w:tc>
        <w:tc>
          <w:tcPr>
            <w:tcW w:w="5972" w:type="dxa"/>
            <w:noWrap w:val="0"/>
            <w:vAlign w:val="top"/>
          </w:tcPr>
          <w:p w14:paraId="5A89DAA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8小时内响应；48小时内解决问题</w:t>
            </w:r>
          </w:p>
        </w:tc>
      </w:tr>
      <w:tr w14:paraId="2F5F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noWrap w:val="0"/>
            <w:vAlign w:val="top"/>
          </w:tcPr>
          <w:p w14:paraId="4D3F8AF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维修技术人员及设备方面的保证措施及收费标准的要求</w:t>
            </w:r>
          </w:p>
        </w:tc>
        <w:tc>
          <w:tcPr>
            <w:tcW w:w="5972" w:type="dxa"/>
            <w:noWrap w:val="0"/>
            <w:vAlign w:val="top"/>
          </w:tcPr>
          <w:p w14:paraId="386BFD2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售后服务期内免费提供，售后服务期结束后按成本价提供</w:t>
            </w:r>
          </w:p>
        </w:tc>
      </w:tr>
      <w:tr w14:paraId="793E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noWrap w:val="0"/>
            <w:vAlign w:val="top"/>
          </w:tcPr>
          <w:p w14:paraId="40F983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培训人员现场培训</w:t>
            </w:r>
          </w:p>
        </w:tc>
        <w:tc>
          <w:tcPr>
            <w:tcW w:w="5972" w:type="dxa"/>
            <w:noWrap w:val="0"/>
            <w:vAlign w:val="top"/>
          </w:tcPr>
          <w:p w14:paraId="5F6D243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b w:val="0"/>
                <w:bCs/>
                <w:color w:val="auto"/>
                <w:sz w:val="21"/>
                <w:szCs w:val="21"/>
                <w:vertAlign w:val="baseline"/>
                <w:lang w:eastAsia="zh-CN"/>
              </w:rPr>
            </w:pPr>
            <w:r>
              <w:rPr>
                <w:rFonts w:hint="eastAsia" w:ascii="宋体" w:hAnsi="宋体" w:eastAsia="宋体" w:cs="宋体"/>
                <w:color w:val="auto"/>
                <w:kern w:val="0"/>
                <w:sz w:val="21"/>
                <w:szCs w:val="21"/>
                <w:lang w:val="en-US" w:eastAsia="zh-CN" w:bidi="ar"/>
              </w:rPr>
              <w:t xml:space="preserve">中标人须提供不少于2天的免费现场培训，培训内容包含且不限于资源库操作、维护等。 </w:t>
            </w:r>
          </w:p>
        </w:tc>
      </w:tr>
    </w:tbl>
    <w:p w14:paraId="7494B82C">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M2NmZWVhY2JiMTE4Mzc5NjM3ODllNGY3ZjE0OTYifQ=="/>
  </w:docVars>
  <w:rsids>
    <w:rsidRoot w:val="22F3359C"/>
    <w:rsid w:val="22F33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annotation text"/>
    <w:basedOn w:val="1"/>
    <w:semiHidden/>
    <w:qFormat/>
    <w:uiPriority w:val="0"/>
    <w:pPr>
      <w:jc w:val="left"/>
    </w:pPr>
  </w:style>
  <w:style w:type="paragraph" w:styleId="5">
    <w:name w:val="Body Text"/>
    <w:basedOn w:val="1"/>
    <w:qFormat/>
    <w:uiPriority w:val="0"/>
    <w:rPr>
      <w:rFonts w:eastAsia="黑体"/>
      <w:sz w:val="36"/>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amp;L"/>
    <w:basedOn w:val="6"/>
    <w:qFormat/>
    <w:uiPriority w:val="99"/>
    <w:pPr>
      <w:pBdr>
        <w:bottom w:val="thinThickSmallGap" w:color="auto" w:sz="18" w:space="1"/>
      </w:pBdr>
      <w:adjustRightInd w:val="0"/>
      <w:snapToGrid/>
      <w:spacing w:line="240" w:lineRule="atLeast"/>
      <w:textAlignment w:val="baseline"/>
    </w:pPr>
    <w:rPr>
      <w:sz w:val="24"/>
      <w:szCs w:val="20"/>
    </w:rPr>
  </w:style>
  <w:style w:type="paragraph" w:customStyle="1" w:styleId="11">
    <w:name w:val="xl31"/>
    <w:basedOn w:val="1"/>
    <w:qFormat/>
    <w:uiPriority w:val="0"/>
    <w:pPr>
      <w:widowControl/>
      <w:spacing w:before="100" w:beforeAutospacing="1" w:after="100" w:afterAutospacing="1"/>
      <w:jc w:val="center"/>
    </w:pPr>
    <w:rPr>
      <w:b/>
      <w:bCs/>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2024-10-25T02:28:00Z</dcterms:created>
  <dc:creator>金晶</dc:creator>
  <cp:lastModifiedBy>金晶</cp:lastModifiedBy>
  <dcterms:modified xsi:type="dcterms:W3CDTF">2024-10-25T02:30:05Z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A30BE8A598024FBEBD6591C56BA863AA_11</vt:lpwstr>
  </property>
</Properties>
</file>