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F443C">
      <w:pPr>
        <w:pStyle w:val="2"/>
        <w:widowControl/>
        <w:snapToGrid w:val="0"/>
        <w:spacing w:before="0" w:after="0" w:line="360" w:lineRule="auto"/>
        <w:jc w:val="center"/>
        <w:rPr>
          <w:rFonts w:hint="eastAsia" w:ascii="黑体" w:hAnsi="黑体" w:eastAsia="黑体"/>
          <w:b w:val="0"/>
          <w:color w:val="auto"/>
        </w:rPr>
      </w:pPr>
      <w:bookmarkStart w:id="0" w:name="_Toc18550"/>
      <w:bookmarkStart w:id="1" w:name="_Toc10534"/>
      <w:bookmarkStart w:id="2" w:name="_Toc466024555"/>
      <w:bookmarkStart w:id="3" w:name="_Toc28788"/>
      <w:bookmarkStart w:id="4" w:name="_Toc445554746"/>
      <w:bookmarkStart w:id="5" w:name="_Toc22354"/>
      <w:bookmarkStart w:id="6" w:name="_Toc528829640"/>
      <w:r>
        <w:rPr>
          <w:rFonts w:hint="eastAsia" w:ascii="宋体" w:hAnsi="宋体"/>
          <w:color w:val="auto"/>
        </w:rPr>
        <w:t>第三章  采购需求及技术规格要求</w:t>
      </w:r>
      <w:bookmarkEnd w:id="0"/>
      <w:bookmarkEnd w:id="1"/>
      <w:bookmarkEnd w:id="2"/>
      <w:bookmarkEnd w:id="3"/>
      <w:bookmarkEnd w:id="4"/>
      <w:bookmarkEnd w:id="5"/>
      <w:bookmarkEnd w:id="6"/>
    </w:p>
    <w:p w14:paraId="4D632B19">
      <w:pPr>
        <w:widowControl/>
        <w:rPr>
          <w:rFonts w:hint="eastAsia"/>
          <w:color w:val="auto"/>
        </w:rPr>
      </w:pPr>
    </w:p>
    <w:p w14:paraId="19BE7662">
      <w:pPr>
        <w:spacing w:line="360" w:lineRule="auto"/>
        <w:rPr>
          <w:rFonts w:ascii="宋体" w:hAnsi="宋体"/>
          <w:b/>
          <w:color w:val="auto"/>
          <w:szCs w:val="21"/>
        </w:rPr>
      </w:pPr>
      <w:r>
        <w:rPr>
          <w:rFonts w:hint="eastAsia" w:ascii="宋体" w:hAnsi="宋体"/>
          <w:b/>
          <w:color w:val="auto"/>
          <w:szCs w:val="21"/>
        </w:rPr>
        <w:t>前注：</w:t>
      </w:r>
    </w:p>
    <w:p w14:paraId="56EFFB62">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1、本采购需求中提出的服务方案仅为参考，如无明确限制，投标人可以进行优化，提供满足采购人实际需要的更优（或者性能实质上不低于的）服务方案，且此方案须经评标委员会评审认可。</w:t>
      </w:r>
    </w:p>
    <w:p w14:paraId="5E311365">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2、投标供应商应当在投标文件中列出完成本项目并通过验收所需的所有各项服务等明细表及全部费用。中标供应商必须确保整体通过采购人及有关主管部门验收；投标供应商应自行踏勘项目现场，如投标供应商因未及时踏勘现场而导致的报价缺项漏项废标、或中标后无法完工，投标供应商自行承担一切后果；</w:t>
      </w:r>
    </w:p>
    <w:p w14:paraId="5963537C">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3、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求标准的绿色包</w:t>
      </w:r>
    </w:p>
    <w:p w14:paraId="1EEC8D68">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color w:val="auto"/>
          <w:szCs w:val="21"/>
        </w:rPr>
        <w:t>4、如采购人允许采用分包方式履行合同的，应当明确可以分包履行的相关内容。</w:t>
      </w:r>
    </w:p>
    <w:p w14:paraId="24B2C7DA">
      <w:pPr>
        <w:spacing w:line="360" w:lineRule="auto"/>
        <w:ind w:firstLine="437"/>
        <w:outlineLvl w:val="9"/>
        <w:rPr>
          <w:rFonts w:hint="eastAsia" w:ascii="宋体" w:hAnsi="宋体"/>
          <w:b/>
          <w:color w:val="auto"/>
          <w:szCs w:val="21"/>
        </w:rPr>
      </w:pPr>
      <w:bookmarkStart w:id="7" w:name="_Toc4148"/>
      <w:bookmarkStart w:id="8" w:name="_Toc21798"/>
      <w:bookmarkStart w:id="9" w:name="_Hlk23621890"/>
    </w:p>
    <w:p w14:paraId="194103AE">
      <w:pPr>
        <w:spacing w:line="360" w:lineRule="auto"/>
        <w:ind w:firstLine="437"/>
        <w:outlineLvl w:val="1"/>
        <w:rPr>
          <w:rFonts w:ascii="宋体" w:hAnsi="宋体"/>
          <w:b/>
          <w:color w:val="auto"/>
          <w:szCs w:val="21"/>
        </w:rPr>
      </w:pPr>
      <w:r>
        <w:rPr>
          <w:rFonts w:hint="eastAsia" w:ascii="宋体" w:hAnsi="宋体"/>
          <w:b/>
          <w:color w:val="auto"/>
          <w:szCs w:val="21"/>
        </w:rPr>
        <w:t>一、采购需求前附表</w:t>
      </w:r>
      <w:bookmarkEnd w:id="7"/>
      <w:bookmarkEnd w:id="8"/>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02EB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75C7B0E7">
            <w:pPr>
              <w:pStyle w:val="9"/>
              <w:pBdr>
                <w:bottom w:val="none" w:color="auto" w:sz="0" w:space="0"/>
              </w:pBdr>
              <w:tabs>
                <w:tab w:val="clear" w:pos="4153"/>
                <w:tab w:val="clear" w:pos="8306"/>
              </w:tabs>
              <w:adjustRightInd/>
              <w:spacing w:line="240" w:lineRule="auto"/>
              <w:textAlignment w:val="auto"/>
              <w:rPr>
                <w:rFonts w:ascii="宋体" w:hAnsi="宋体"/>
                <w:b/>
                <w:color w:val="auto"/>
                <w:kern w:val="2"/>
                <w:sz w:val="21"/>
                <w:szCs w:val="21"/>
              </w:rPr>
            </w:pPr>
            <w:r>
              <w:rPr>
                <w:rFonts w:hint="eastAsia" w:ascii="宋体" w:hAnsi="宋体"/>
                <w:b/>
                <w:color w:val="auto"/>
                <w:kern w:val="2"/>
                <w:sz w:val="21"/>
                <w:szCs w:val="21"/>
              </w:rPr>
              <w:t>序号</w:t>
            </w:r>
          </w:p>
        </w:tc>
        <w:tc>
          <w:tcPr>
            <w:tcW w:w="1192" w:type="pct"/>
            <w:noWrap w:val="0"/>
            <w:vAlign w:val="center"/>
          </w:tcPr>
          <w:p w14:paraId="1C4DE582">
            <w:pPr>
              <w:pStyle w:val="10"/>
              <w:widowControl w:val="0"/>
              <w:spacing w:before="0" w:beforeAutospacing="0" w:after="0" w:afterAutospacing="0" w:line="360" w:lineRule="auto"/>
              <w:rPr>
                <w:rFonts w:ascii="宋体" w:hAnsi="宋体"/>
                <w:bCs w:val="0"/>
                <w:color w:val="auto"/>
                <w:sz w:val="21"/>
                <w:szCs w:val="21"/>
              </w:rPr>
            </w:pPr>
            <w:r>
              <w:rPr>
                <w:rFonts w:hint="eastAsia" w:ascii="宋体" w:hAnsi="宋体"/>
                <w:bCs w:val="0"/>
                <w:color w:val="auto"/>
                <w:sz w:val="21"/>
                <w:szCs w:val="21"/>
              </w:rPr>
              <w:t>条款名称</w:t>
            </w:r>
          </w:p>
        </w:tc>
        <w:tc>
          <w:tcPr>
            <w:tcW w:w="3217" w:type="pct"/>
            <w:noWrap w:val="0"/>
            <w:vAlign w:val="center"/>
          </w:tcPr>
          <w:p w14:paraId="6523B861">
            <w:pPr>
              <w:pStyle w:val="10"/>
              <w:widowControl w:val="0"/>
              <w:spacing w:before="0" w:beforeAutospacing="0" w:after="0" w:afterAutospacing="0" w:line="360" w:lineRule="auto"/>
              <w:rPr>
                <w:rFonts w:ascii="宋体" w:hAnsi="宋体"/>
                <w:bCs w:val="0"/>
                <w:color w:val="auto"/>
                <w:sz w:val="21"/>
                <w:szCs w:val="21"/>
              </w:rPr>
            </w:pPr>
            <w:r>
              <w:rPr>
                <w:rFonts w:hint="eastAsia" w:ascii="宋体" w:hAnsi="宋体"/>
                <w:bCs w:val="0"/>
                <w:color w:val="auto"/>
                <w:sz w:val="21"/>
                <w:szCs w:val="21"/>
              </w:rPr>
              <w:t>内容、说明与要求</w:t>
            </w:r>
          </w:p>
        </w:tc>
      </w:tr>
      <w:tr w14:paraId="1626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4DC38207">
            <w:pPr>
              <w:pStyle w:val="9"/>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1</w:t>
            </w:r>
          </w:p>
        </w:tc>
        <w:tc>
          <w:tcPr>
            <w:tcW w:w="1192" w:type="pct"/>
            <w:noWrap w:val="0"/>
            <w:vAlign w:val="center"/>
          </w:tcPr>
          <w:p w14:paraId="19B3D124">
            <w:pPr>
              <w:pStyle w:val="10"/>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服务地点</w:t>
            </w:r>
          </w:p>
        </w:tc>
        <w:tc>
          <w:tcPr>
            <w:tcW w:w="3217" w:type="pct"/>
            <w:noWrap w:val="0"/>
            <w:vAlign w:val="center"/>
          </w:tcPr>
          <w:p w14:paraId="6FB5E28B">
            <w:pPr>
              <w:pStyle w:val="10"/>
              <w:widowControl w:val="0"/>
              <w:spacing w:before="0" w:beforeAutospacing="0" w:after="0" w:afterAutospacing="0" w:line="360" w:lineRule="auto"/>
              <w:jc w:val="both"/>
              <w:rPr>
                <w:rFonts w:ascii="宋体" w:hAnsi="宋体"/>
                <w:b w:val="0"/>
                <w:color w:val="auto"/>
                <w:sz w:val="21"/>
                <w:szCs w:val="21"/>
              </w:rPr>
            </w:pPr>
            <w:r>
              <w:rPr>
                <w:rFonts w:hint="eastAsia" w:ascii="宋体" w:hAnsi="宋体"/>
                <w:b w:val="0"/>
                <w:color w:val="auto"/>
                <w:sz w:val="21"/>
                <w:szCs w:val="21"/>
              </w:rPr>
              <w:t>安徽工业经济职业技术学院，采购人指定地点</w:t>
            </w:r>
          </w:p>
        </w:tc>
      </w:tr>
      <w:tr w14:paraId="5F93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7E486414">
            <w:pPr>
              <w:pStyle w:val="9"/>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2</w:t>
            </w:r>
          </w:p>
        </w:tc>
        <w:tc>
          <w:tcPr>
            <w:tcW w:w="1192" w:type="pct"/>
            <w:noWrap w:val="0"/>
            <w:vAlign w:val="center"/>
          </w:tcPr>
          <w:p w14:paraId="7C9B8B4C">
            <w:pPr>
              <w:pStyle w:val="10"/>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服务期限</w:t>
            </w:r>
          </w:p>
        </w:tc>
        <w:tc>
          <w:tcPr>
            <w:tcW w:w="3217" w:type="pct"/>
            <w:noWrap w:val="0"/>
            <w:vAlign w:val="center"/>
          </w:tcPr>
          <w:p w14:paraId="6E4833F9">
            <w:pPr>
              <w:widowControl/>
              <w:adjustRightInd w:val="0"/>
              <w:snapToGrid w:val="0"/>
              <w:spacing w:line="288" w:lineRule="auto"/>
              <w:rPr>
                <w:rFonts w:ascii="宋体" w:hAnsi="宋体"/>
                <w:bCs/>
                <w:color w:val="auto"/>
                <w:kern w:val="0"/>
                <w:szCs w:val="21"/>
              </w:rPr>
            </w:pPr>
            <w:r>
              <w:rPr>
                <w:rFonts w:hint="eastAsia" w:ascii="宋体" w:hAnsi="宋体" w:cs="Calibri"/>
                <w:color w:val="auto"/>
                <w:szCs w:val="21"/>
              </w:rPr>
              <w:t>合同签订后150个日历日内完成；</w:t>
            </w:r>
          </w:p>
        </w:tc>
      </w:tr>
      <w:tr w14:paraId="274C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12C534E7">
            <w:pPr>
              <w:pStyle w:val="9"/>
              <w:pBdr>
                <w:bottom w:val="none" w:color="auto" w:sz="0" w:space="0"/>
              </w:pBdr>
              <w:tabs>
                <w:tab w:val="clear" w:pos="4153"/>
                <w:tab w:val="clear" w:pos="8306"/>
              </w:tabs>
              <w:adjustRightInd/>
              <w:spacing w:line="240" w:lineRule="auto"/>
              <w:textAlignment w:val="auto"/>
              <w:rPr>
                <w:rFonts w:ascii="宋体" w:hAnsi="宋体"/>
                <w:bCs/>
                <w:color w:val="auto"/>
                <w:kern w:val="2"/>
                <w:sz w:val="21"/>
                <w:szCs w:val="21"/>
              </w:rPr>
            </w:pPr>
            <w:r>
              <w:rPr>
                <w:rFonts w:hint="eastAsia" w:ascii="宋体" w:hAnsi="宋体"/>
                <w:bCs/>
                <w:color w:val="auto"/>
                <w:kern w:val="2"/>
                <w:sz w:val="21"/>
                <w:szCs w:val="21"/>
              </w:rPr>
              <w:t>3</w:t>
            </w:r>
          </w:p>
        </w:tc>
        <w:tc>
          <w:tcPr>
            <w:tcW w:w="1192" w:type="pct"/>
            <w:noWrap w:val="0"/>
            <w:vAlign w:val="center"/>
          </w:tcPr>
          <w:p w14:paraId="1578E237">
            <w:pPr>
              <w:pStyle w:val="10"/>
              <w:widowControl w:val="0"/>
              <w:spacing w:before="0" w:beforeAutospacing="0" w:after="0" w:afterAutospacing="0" w:line="360" w:lineRule="auto"/>
              <w:rPr>
                <w:rFonts w:ascii="宋体" w:hAnsi="宋体"/>
                <w:b w:val="0"/>
                <w:color w:val="auto"/>
                <w:sz w:val="21"/>
                <w:szCs w:val="21"/>
              </w:rPr>
            </w:pPr>
            <w:r>
              <w:rPr>
                <w:rFonts w:hint="eastAsia" w:ascii="宋体" w:hAnsi="宋体"/>
                <w:b w:val="0"/>
                <w:color w:val="auto"/>
                <w:sz w:val="21"/>
                <w:szCs w:val="21"/>
              </w:rPr>
              <w:t>本项目采购标的名称及所属行业</w:t>
            </w:r>
          </w:p>
        </w:tc>
        <w:tc>
          <w:tcPr>
            <w:tcW w:w="3217" w:type="pct"/>
            <w:noWrap w:val="0"/>
            <w:vAlign w:val="center"/>
          </w:tcPr>
          <w:p w14:paraId="26059234">
            <w:pPr>
              <w:spacing w:line="360" w:lineRule="auto"/>
              <w:jc w:val="left"/>
              <w:rPr>
                <w:rFonts w:ascii="宋体" w:hAnsi="宋体"/>
                <w:color w:val="auto"/>
                <w:szCs w:val="21"/>
              </w:rPr>
            </w:pPr>
            <w:r>
              <w:rPr>
                <w:rFonts w:hint="eastAsia" w:ascii="宋体" w:hAnsi="宋体"/>
                <w:color w:val="auto"/>
                <w:szCs w:val="21"/>
              </w:rPr>
              <w:t>第1包：</w:t>
            </w:r>
          </w:p>
          <w:p w14:paraId="224E17D1">
            <w:pPr>
              <w:spacing w:line="360" w:lineRule="auto"/>
              <w:jc w:val="left"/>
              <w:rPr>
                <w:rFonts w:ascii="宋体" w:hAnsi="宋体"/>
                <w:color w:val="auto"/>
                <w:szCs w:val="21"/>
              </w:rPr>
            </w:pPr>
            <w:r>
              <w:rPr>
                <w:rFonts w:hint="eastAsia" w:ascii="宋体" w:hAnsi="宋体"/>
                <w:color w:val="auto"/>
                <w:szCs w:val="21"/>
              </w:rPr>
              <w:t>标的名称：人工智能及区块链教学资源库建设</w:t>
            </w:r>
          </w:p>
          <w:p w14:paraId="3DCD399B">
            <w:pPr>
              <w:spacing w:line="360" w:lineRule="auto"/>
              <w:jc w:val="left"/>
              <w:rPr>
                <w:rFonts w:hint="eastAsia" w:ascii="宋体" w:hAnsi="宋体"/>
                <w:color w:val="auto"/>
                <w:szCs w:val="21"/>
              </w:rPr>
            </w:pPr>
            <w:r>
              <w:rPr>
                <w:rFonts w:hint="eastAsia" w:ascii="宋体" w:hAnsi="宋体"/>
                <w:color w:val="auto"/>
                <w:szCs w:val="21"/>
              </w:rPr>
              <w:t>所属行业：软件和信息技术服务业</w:t>
            </w:r>
          </w:p>
          <w:p w14:paraId="1AC93C27">
            <w:pPr>
              <w:spacing w:line="360" w:lineRule="auto"/>
              <w:jc w:val="left"/>
              <w:rPr>
                <w:rFonts w:hint="eastAsia" w:ascii="宋体" w:hAnsi="宋体"/>
                <w:color w:val="auto"/>
                <w:szCs w:val="21"/>
              </w:rPr>
            </w:pPr>
            <w:r>
              <w:rPr>
                <w:rFonts w:hint="eastAsia" w:ascii="宋体" w:hAnsi="宋体"/>
                <w:color w:val="auto"/>
                <w:szCs w:val="21"/>
              </w:rPr>
              <w:t>第2包：</w:t>
            </w:r>
          </w:p>
          <w:p w14:paraId="237A9E83">
            <w:pPr>
              <w:spacing w:line="360" w:lineRule="auto"/>
              <w:jc w:val="left"/>
              <w:rPr>
                <w:rFonts w:hint="eastAsia" w:ascii="宋体" w:hAnsi="宋体"/>
                <w:color w:val="auto"/>
                <w:szCs w:val="21"/>
              </w:rPr>
            </w:pPr>
            <w:r>
              <w:rPr>
                <w:rFonts w:hint="eastAsia" w:ascii="宋体" w:hAnsi="宋体"/>
                <w:color w:val="auto"/>
                <w:szCs w:val="21"/>
              </w:rPr>
              <w:t>标的名称：职业教育云计算技术应用专业教学资源库《物联网云平台开发实践》课程资源建设</w:t>
            </w:r>
          </w:p>
          <w:p w14:paraId="1054502E">
            <w:pPr>
              <w:spacing w:line="360" w:lineRule="auto"/>
              <w:jc w:val="left"/>
              <w:rPr>
                <w:rFonts w:hint="eastAsia" w:ascii="宋体" w:hAnsi="宋体"/>
                <w:color w:val="auto"/>
                <w:szCs w:val="21"/>
              </w:rPr>
            </w:pPr>
            <w:r>
              <w:rPr>
                <w:rFonts w:hint="eastAsia" w:ascii="宋体" w:hAnsi="宋体"/>
                <w:color w:val="auto"/>
                <w:szCs w:val="21"/>
              </w:rPr>
              <w:t>所属行业：软件和信息技术服务业</w:t>
            </w:r>
          </w:p>
          <w:p w14:paraId="7648CCB9">
            <w:pPr>
              <w:spacing w:line="360" w:lineRule="auto"/>
              <w:jc w:val="left"/>
              <w:rPr>
                <w:rFonts w:hint="eastAsia" w:ascii="宋体" w:hAnsi="宋体"/>
                <w:color w:val="auto"/>
                <w:szCs w:val="21"/>
              </w:rPr>
            </w:pPr>
            <w:r>
              <w:rPr>
                <w:rFonts w:hint="eastAsia" w:ascii="宋体" w:hAnsi="宋体"/>
                <w:color w:val="auto"/>
                <w:szCs w:val="21"/>
              </w:rPr>
              <w:t>第3包：</w:t>
            </w:r>
          </w:p>
          <w:p w14:paraId="5B33C294">
            <w:pPr>
              <w:spacing w:line="360" w:lineRule="auto"/>
              <w:jc w:val="left"/>
              <w:rPr>
                <w:rFonts w:hint="eastAsia" w:ascii="宋体" w:hAnsi="宋体" w:eastAsia="宋体"/>
                <w:color w:val="auto"/>
                <w:szCs w:val="21"/>
                <w:lang w:eastAsia="zh-CN"/>
              </w:rPr>
            </w:pPr>
            <w:r>
              <w:rPr>
                <w:rFonts w:hint="eastAsia" w:ascii="宋体" w:hAnsi="宋体"/>
                <w:color w:val="auto"/>
                <w:szCs w:val="21"/>
              </w:rPr>
              <w:t>标的名称：</w:t>
            </w:r>
            <w:r>
              <w:rPr>
                <w:rFonts w:hint="eastAsia" w:ascii="宋体" w:hAnsi="宋体"/>
                <w:color w:val="auto"/>
                <w:szCs w:val="21"/>
                <w:lang w:eastAsia="zh-CN"/>
              </w:rPr>
              <w:t>国家级教学资源库《影视编辑与制作》课程资源建设</w:t>
            </w:r>
          </w:p>
          <w:p w14:paraId="09777C55">
            <w:pPr>
              <w:pStyle w:val="4"/>
              <w:rPr>
                <w:rFonts w:hint="eastAsia" w:ascii="宋体" w:hAnsi="宋体" w:eastAsia="宋体"/>
                <w:color w:val="auto"/>
                <w:sz w:val="21"/>
                <w:szCs w:val="21"/>
              </w:rPr>
            </w:pPr>
            <w:r>
              <w:rPr>
                <w:rFonts w:hint="eastAsia" w:ascii="宋体" w:hAnsi="宋体" w:eastAsia="宋体"/>
                <w:color w:val="auto"/>
                <w:sz w:val="21"/>
                <w:szCs w:val="21"/>
              </w:rPr>
              <w:t>所属行业：软件和信息技术服务业</w:t>
            </w:r>
          </w:p>
        </w:tc>
      </w:tr>
      <w:tr w14:paraId="2864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04E428C2">
            <w:pPr>
              <w:pStyle w:val="9"/>
              <w:pBdr>
                <w:bottom w:val="none" w:color="auto" w:sz="0" w:space="0"/>
              </w:pBdr>
              <w:tabs>
                <w:tab w:val="clear" w:pos="4153"/>
                <w:tab w:val="clear" w:pos="8306"/>
              </w:tabs>
              <w:adjustRightInd/>
              <w:spacing w:line="240" w:lineRule="auto"/>
              <w:textAlignment w:val="auto"/>
              <w:rPr>
                <w:rFonts w:hint="eastAsia" w:ascii="宋体" w:hAnsi="宋体" w:eastAsia="宋体"/>
                <w:bCs/>
                <w:color w:val="auto"/>
                <w:kern w:val="2"/>
                <w:sz w:val="21"/>
                <w:szCs w:val="21"/>
                <w:lang w:val="en-US" w:eastAsia="zh-CN"/>
              </w:rPr>
            </w:pPr>
            <w:bookmarkStart w:id="10" w:name="_Toc16543"/>
            <w:bookmarkStart w:id="11" w:name="_Hlk16461016"/>
            <w:r>
              <w:rPr>
                <w:rFonts w:hint="eastAsia" w:ascii="宋体" w:hAnsi="宋体"/>
                <w:bCs/>
                <w:color w:val="auto"/>
                <w:kern w:val="2"/>
                <w:sz w:val="21"/>
                <w:szCs w:val="21"/>
                <w:lang w:val="en-US" w:eastAsia="zh-CN"/>
              </w:rPr>
              <w:t>4</w:t>
            </w:r>
          </w:p>
        </w:tc>
        <w:tc>
          <w:tcPr>
            <w:tcW w:w="1192" w:type="pct"/>
            <w:noWrap w:val="0"/>
            <w:vAlign w:val="center"/>
          </w:tcPr>
          <w:p w14:paraId="6B2A79C9">
            <w:pPr>
              <w:pStyle w:val="10"/>
              <w:widowControl w:val="0"/>
              <w:spacing w:before="0" w:beforeAutospacing="0" w:after="0" w:afterAutospacing="0" w:line="360" w:lineRule="auto"/>
              <w:rPr>
                <w:rFonts w:hint="eastAsia" w:ascii="宋体" w:hAnsi="宋体" w:eastAsia="宋体"/>
                <w:b w:val="0"/>
                <w:color w:val="auto"/>
                <w:sz w:val="21"/>
                <w:szCs w:val="21"/>
                <w:lang w:val="en-US" w:eastAsia="zh-CN"/>
              </w:rPr>
            </w:pPr>
            <w:r>
              <w:rPr>
                <w:rFonts w:hint="eastAsia" w:ascii="宋体" w:hAnsi="宋体"/>
                <w:b w:val="0"/>
                <w:color w:val="auto"/>
                <w:sz w:val="21"/>
                <w:szCs w:val="21"/>
              </w:rPr>
              <w:t>标识符号及含义</w:t>
            </w:r>
          </w:p>
        </w:tc>
        <w:tc>
          <w:tcPr>
            <w:tcW w:w="3217" w:type="pct"/>
            <w:noWrap w:val="0"/>
            <w:vAlign w:val="center"/>
          </w:tcPr>
          <w:p w14:paraId="591978FE">
            <w:pPr>
              <w:pStyle w:val="3"/>
              <w:rPr>
                <w:rFonts w:ascii="宋体" w:hAnsi="宋体" w:cs="宋体"/>
                <w:color w:val="auto"/>
                <w:szCs w:val="21"/>
              </w:rPr>
            </w:pPr>
            <w:r>
              <w:rPr>
                <w:rFonts w:ascii="宋体" w:hAnsi="宋体" w:cs="宋体"/>
                <w:color w:val="auto"/>
                <w:szCs w:val="21"/>
              </w:rPr>
              <w:t>▲</w:t>
            </w:r>
            <w:r>
              <w:rPr>
                <w:rFonts w:hint="eastAsia"/>
                <w:color w:val="auto"/>
              </w:rPr>
              <w:t>代表重要指标，每满足一项得1分，共19项，共计 19分。</w:t>
            </w:r>
            <w:r>
              <w:rPr>
                <w:rFonts w:ascii="宋体" w:hAnsi="宋体" w:cs="宋体"/>
                <w:color w:val="auto"/>
                <w:szCs w:val="21"/>
              </w:rPr>
              <w:t>加▲技术指标需提供运行功能截图，未按要求提供</w:t>
            </w:r>
            <w:r>
              <w:rPr>
                <w:rFonts w:hint="eastAsia" w:ascii="宋体" w:hAnsi="宋体" w:cs="宋体"/>
                <w:color w:val="auto"/>
                <w:szCs w:val="21"/>
              </w:rPr>
              <w:t>的</w:t>
            </w:r>
            <w:r>
              <w:rPr>
                <w:rFonts w:ascii="宋体" w:hAnsi="宋体" w:cs="宋体"/>
                <w:color w:val="auto"/>
                <w:szCs w:val="21"/>
              </w:rPr>
              <w:t>按技术不满足</w:t>
            </w:r>
            <w:r>
              <w:rPr>
                <w:rFonts w:hint="eastAsia" w:ascii="宋体" w:hAnsi="宋体" w:cs="宋体"/>
                <w:color w:val="auto"/>
                <w:szCs w:val="21"/>
              </w:rPr>
              <w:t>处理，不得分</w:t>
            </w:r>
            <w:r>
              <w:rPr>
                <w:rFonts w:ascii="宋体" w:hAnsi="宋体" w:cs="宋体"/>
                <w:color w:val="auto"/>
                <w:szCs w:val="21"/>
              </w:rPr>
              <w:t>。</w:t>
            </w:r>
          </w:p>
          <w:p w14:paraId="62D97821">
            <w:pPr>
              <w:pStyle w:val="3"/>
              <w:rPr>
                <w:rFonts w:hint="eastAsia" w:ascii="宋体" w:hAnsi="宋体" w:eastAsia="宋体"/>
                <w:color w:val="auto"/>
                <w:sz w:val="21"/>
                <w:szCs w:val="21"/>
              </w:rPr>
            </w:pPr>
            <w:r>
              <w:rPr>
                <w:rFonts w:ascii="宋体" w:hAnsi="宋体" w:eastAsia="宋体" w:cs="宋体"/>
                <w:color w:val="auto"/>
                <w:szCs w:val="21"/>
              </w:rPr>
              <w:t>未标符号的为一般参数，投标文件中无需列明，但在合同签订后将作为履约验收的依据，</w:t>
            </w:r>
            <w:r>
              <w:rPr>
                <w:rFonts w:ascii="宋体" w:hAnsi="宋体" w:eastAsia="宋体" w:cs="宋体"/>
                <w:b/>
                <w:bCs/>
                <w:color w:val="auto"/>
                <w:szCs w:val="21"/>
              </w:rPr>
              <w:t>投标人在投标文件中提供相关承诺函扫描件，承诺函格式自拟，但须明确体现上述内容，否则投标无效</w:t>
            </w:r>
            <w:r>
              <w:rPr>
                <w:rFonts w:hint="eastAsia" w:ascii="宋体" w:hAnsi="宋体" w:eastAsia="宋体" w:cs="宋体"/>
                <w:b/>
                <w:bCs/>
                <w:color w:val="auto"/>
                <w:szCs w:val="21"/>
                <w:lang w:eastAsia="zh-CN"/>
              </w:rPr>
              <w:t>。</w:t>
            </w:r>
          </w:p>
        </w:tc>
      </w:tr>
    </w:tbl>
    <w:p w14:paraId="42E41630">
      <w:pPr>
        <w:spacing w:line="360" w:lineRule="auto"/>
        <w:rPr>
          <w:rFonts w:hint="eastAsia" w:ascii="宋体" w:hAnsi="宋体"/>
          <w:b/>
          <w:color w:val="auto"/>
          <w:szCs w:val="21"/>
        </w:rPr>
      </w:pPr>
    </w:p>
    <w:p w14:paraId="7CF7E410">
      <w:pPr>
        <w:spacing w:line="360" w:lineRule="auto"/>
        <w:ind w:firstLine="422" w:firstLineChars="200"/>
        <w:outlineLvl w:val="1"/>
        <w:rPr>
          <w:rFonts w:hint="eastAsia" w:ascii="宋体" w:hAnsi="宋体"/>
          <w:b/>
          <w:color w:val="auto"/>
          <w:szCs w:val="21"/>
        </w:rPr>
      </w:pPr>
      <w:bookmarkStart w:id="12" w:name="_Toc8753"/>
      <w:r>
        <w:rPr>
          <w:rFonts w:hint="eastAsia" w:ascii="宋体" w:hAnsi="宋体"/>
          <w:b/>
          <w:color w:val="auto"/>
          <w:szCs w:val="21"/>
        </w:rPr>
        <w:t>二、项目概况</w:t>
      </w:r>
      <w:bookmarkEnd w:id="10"/>
      <w:bookmarkEnd w:id="12"/>
    </w:p>
    <w:p w14:paraId="5A6F463A">
      <w:pPr>
        <w:widowControl/>
        <w:spacing w:line="360" w:lineRule="auto"/>
        <w:ind w:firstLine="420"/>
        <w:jc w:val="left"/>
        <w:rPr>
          <w:color w:val="auto"/>
          <w:szCs w:val="21"/>
        </w:rPr>
      </w:pPr>
      <w:r>
        <w:rPr>
          <w:rFonts w:hint="eastAsia" w:ascii="宋体" w:hAnsi="宋体" w:cs="宋体"/>
          <w:color w:val="auto"/>
          <w:kern w:val="0"/>
          <w:szCs w:val="21"/>
          <w:lang w:bidi="ar"/>
        </w:rPr>
        <w:t>3包：本项目主要用于计算机专业国家级教学资源库建设采购使用。主要内容包括：徽派技艺传承与创新资源库及非遗文化中《影视编辑与制作》课程教学资源、微课程视频制作、二维动画制作、虚拟仿真操作视频制作、课程知识图谱建设、数字教材出版，旨在推动人工智能技术与教育教学深度融合，建设智慧课程，以教师数字化教学设计与实施能力提升为目标，架构可视化知识图谱课程体系，根据不同学习者的背景和基础智能匹配学习资源，基于学习者的行为数据，提供个性化、精准化的效果反馈和路径推荐，实现高效的自适应学习；基于 AI 助教，进行知识答疑、资源推荐、智能检测与查重、学习督促提醒等，构建虚实融合、“师/生/机”三元交互的教学新范式，塑造“智能+”高等教育新生态。</w:t>
      </w:r>
    </w:p>
    <w:p w14:paraId="1990F0E1">
      <w:pPr>
        <w:pStyle w:val="4"/>
        <w:spacing w:line="360" w:lineRule="auto"/>
        <w:rPr>
          <w:rFonts w:hint="eastAsia"/>
          <w:color w:val="auto"/>
          <w:sz w:val="21"/>
          <w:szCs w:val="21"/>
        </w:rPr>
      </w:pPr>
    </w:p>
    <w:p w14:paraId="67D0F252">
      <w:pPr>
        <w:spacing w:line="360" w:lineRule="auto"/>
        <w:ind w:left="437"/>
        <w:outlineLvl w:val="1"/>
        <w:rPr>
          <w:rFonts w:ascii="宋体" w:hAnsi="宋体"/>
          <w:b w:val="0"/>
          <w:bCs/>
          <w:color w:val="auto"/>
          <w:szCs w:val="21"/>
        </w:rPr>
      </w:pPr>
      <w:bookmarkStart w:id="13" w:name="_Toc27920"/>
      <w:bookmarkStart w:id="14" w:name="_Toc13016"/>
      <w:r>
        <w:rPr>
          <w:rFonts w:hint="eastAsia" w:ascii="宋体" w:hAnsi="宋体"/>
          <w:b/>
          <w:color w:val="auto"/>
          <w:szCs w:val="21"/>
        </w:rPr>
        <w:t>三、服务需求</w:t>
      </w:r>
      <w:bookmarkEnd w:id="13"/>
      <w:bookmarkEnd w:id="14"/>
      <w:r>
        <w:rPr>
          <w:rFonts w:hint="eastAsia" w:ascii="宋体" w:hAnsi="宋体"/>
          <w:b/>
          <w:color w:val="auto"/>
          <w:szCs w:val="21"/>
        </w:rPr>
        <w:br w:type="textWrapping"/>
      </w:r>
      <w:r>
        <w:rPr>
          <w:rFonts w:hint="eastAsia" w:ascii="宋体" w:hAnsi="宋体"/>
          <w:b w:val="0"/>
          <w:bCs/>
          <w:color w:val="auto"/>
          <w:szCs w:val="21"/>
        </w:rPr>
        <w:t>（1）</w:t>
      </w:r>
    </w:p>
    <w:p w14:paraId="3A71E85D">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1.数字化教材</w:t>
      </w:r>
    </w:p>
    <w:p w14:paraId="1F0E626A">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建设目标：围绕专业核心课程体系，联合企业开发契合真实生产的融媒体教材，促进教材改革。</w:t>
      </w:r>
    </w:p>
    <w:p w14:paraId="403546ED">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建设任务:  数字化教材。</w:t>
      </w:r>
    </w:p>
    <w:p w14:paraId="15867A91">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建设要求：数字化出版，要有视频、动画、AI、VR等；立体化、趣味化、互动化、个性化。</w:t>
      </w:r>
    </w:p>
    <w:p w14:paraId="3093342C">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2.特色培训项目</w:t>
      </w:r>
    </w:p>
    <w:p w14:paraId="5431C3AE">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建设目标：建立企业需求的培训</w:t>
      </w:r>
      <w:r>
        <w:rPr>
          <w:rFonts w:hint="eastAsia" w:ascii="宋体" w:hAnsi="宋体"/>
          <w:b w:val="0"/>
          <w:bCs/>
          <w:color w:val="auto"/>
          <w:szCs w:val="21"/>
          <w:lang w:eastAsia="zh-CN"/>
        </w:rPr>
        <w:t>项目</w:t>
      </w:r>
      <w:r>
        <w:rPr>
          <w:rFonts w:hint="eastAsia" w:ascii="宋体" w:hAnsi="宋体"/>
          <w:b w:val="0"/>
          <w:bCs/>
          <w:color w:val="auto"/>
          <w:szCs w:val="21"/>
        </w:rPr>
        <w:t>，实现资源库服务社会功能。</w:t>
      </w:r>
    </w:p>
    <w:p w14:paraId="6FB9FE7C">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建设任务：培训包；培调手册；开展技术培训。</w:t>
      </w:r>
    </w:p>
    <w:p w14:paraId="16F4D296">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建设要求：能够融入企业的前沿生产技术和真实案例。</w:t>
      </w:r>
    </w:p>
    <w:p w14:paraId="59E8E54C">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 xml:space="preserve">特色培训项目中的培训包：培训手册（提供不少于60个案例指导书 word 文档、120个实训指导视频、180个知识点讲解视频、10个动画资源、2个企业案例实训包。 </w:t>
      </w:r>
    </w:p>
    <w:p w14:paraId="2CA47465">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建设要求：一是课程资源类型多样，要有文本和图形类；视频类；动画类；虚拟仿真类等；二是文本类和图形类资源数量占比不超过30%，原创资源占比不低于70%；课程素材的技术规范。</w:t>
      </w:r>
    </w:p>
    <w:p w14:paraId="6822A7FA">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 xml:space="preserve">3.课程层面资源 </w:t>
      </w:r>
    </w:p>
    <w:p w14:paraId="530BAF52">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 xml:space="preserve">3.1课程层面 </w:t>
      </w:r>
    </w:p>
    <w:p w14:paraId="3D20A84D">
      <w:pPr>
        <w:spacing w:line="360" w:lineRule="auto"/>
        <w:ind w:left="437"/>
        <w:outlineLvl w:val="1"/>
        <w:rPr>
          <w:rFonts w:hint="eastAsia" w:ascii="宋体" w:hAnsi="宋体" w:eastAsia="宋体"/>
          <w:b w:val="0"/>
          <w:bCs/>
          <w:color w:val="auto"/>
          <w:szCs w:val="21"/>
          <w:lang w:eastAsia="zh-CN"/>
        </w:rPr>
      </w:pPr>
      <w:r>
        <w:rPr>
          <w:rFonts w:hint="eastAsia" w:ascii="宋体" w:hAnsi="宋体"/>
          <w:b w:val="0"/>
          <w:bCs/>
          <w:color w:val="auto"/>
          <w:szCs w:val="21"/>
        </w:rPr>
        <w:t>建设目标：依据课程体系构建要求，将优质教学资源数字化并推广应用， 实现资源共建共享，均衡普惠。 服务</w:t>
      </w:r>
      <w:r>
        <w:rPr>
          <w:rFonts w:hint="eastAsia" w:ascii="宋体" w:hAnsi="宋体"/>
          <w:b w:val="0"/>
          <w:bCs/>
          <w:color w:val="auto"/>
          <w:szCs w:val="21"/>
          <w:lang w:val="en-US" w:eastAsia="zh-CN"/>
        </w:rPr>
        <w:t>相近各</w:t>
      </w:r>
      <w:r>
        <w:rPr>
          <w:rFonts w:hint="eastAsia" w:ascii="宋体" w:hAnsi="宋体"/>
          <w:b w:val="0"/>
          <w:bCs/>
          <w:color w:val="auto"/>
          <w:szCs w:val="21"/>
        </w:rPr>
        <w:t>专业的非遗类，文化类的素材、积件、模块及课程等</w:t>
      </w:r>
      <w:r>
        <w:rPr>
          <w:rFonts w:hint="eastAsia" w:ascii="宋体" w:hAnsi="宋体"/>
          <w:b w:val="0"/>
          <w:bCs/>
          <w:color w:val="auto"/>
          <w:szCs w:val="21"/>
          <w:lang w:eastAsia="zh-CN"/>
        </w:rPr>
        <w:t>。</w:t>
      </w:r>
    </w:p>
    <w:p w14:paraId="5479E082">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 xml:space="preserve">建设要求：一是课程资源类型多样，要有文本和图形类；视频类；动画 类；虚拟仿真类等；二是文本类和图形类资源数量占比不超过30%，原创资源 占比不低于70%，资源库每年更新不低于70%；课程素材的技术规范；统一命 名；课程标准；课程建设规划等。 </w:t>
      </w:r>
    </w:p>
    <w:p w14:paraId="67613CD0">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3.2课程考核资源</w:t>
      </w:r>
    </w:p>
    <w:p w14:paraId="565AF5C7">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建设目标：建立考察综合实践能力的题型，改革考核评价方式，促进考核改革。</w:t>
      </w:r>
    </w:p>
    <w:p w14:paraId="62D3BFB7">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建设任务：每门专业核心课程均需建立试题库；与企业研制职业能力考核评价标准；开展测试。</w:t>
      </w:r>
    </w:p>
    <w:p w14:paraId="6890A5D6">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建设要求：覆盖所有的教学内容；每门专业核心课程；适当减少客观题，增加综合实践能力。</w:t>
      </w:r>
    </w:p>
    <w:p w14:paraId="16911DA8">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3.3制度层面资源</w:t>
      </w:r>
    </w:p>
    <w:p w14:paraId="2877A92B">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建设目标：建立资源审核、应用推广及安全保障机制，保障资源库运行。</w:t>
      </w:r>
    </w:p>
    <w:p w14:paraId="2137E9E5">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建设任务：审核制度；应用推广制度；资源库平台安保机制；学习使用激励机制等。</w:t>
      </w:r>
    </w:p>
    <w:p w14:paraId="240EB2CD">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建设要求：主持或参与学校的相关专业师生应用覆盖面不低于80%，满意度不低于90%，推广扩大使用用户。</w:t>
      </w:r>
    </w:p>
    <w:p w14:paraId="7C133E7F">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3.4课程教学资源</w:t>
      </w:r>
    </w:p>
    <w:p w14:paraId="4D7BB03E">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开发类型多样的优质数字化教学资源，文本类和图形(图像)类资源数量占比不超过30%，原创资源占比不低于70%，资源库每年更新比例不低于10%。鼓励合理运用视频类、动画类、虚拟仿真类等资源创设教学场景，解决教学重点和难点问题。建立课程素材的技术规范，统一命名规则，标注含有专业名称、课程名称、知识(技能)名称、是否原创等属性字段。探索推进开源课程建设，实现优质课程资源共建共享、均衡普惠。</w:t>
      </w:r>
    </w:p>
    <w:p w14:paraId="7DE29E8A">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3.5评测考核资源</w:t>
      </w:r>
    </w:p>
    <w:p w14:paraId="6B0CF26C">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每门专业核心课程均需建立试题库，题库中的试题应覆盖课程标准所规定的全部教学内容，适当减少客观题型，增加综合实践能力的题型。鼓励改革考核评价方式，根据岗位人才标准和要求，联合企业共同研制职业能力考核评价标准，开发职业能力考核评价试题，开展职业能力训练和测试。</w:t>
      </w:r>
    </w:p>
    <w:p w14:paraId="09A7205C">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4.质量指标</w:t>
      </w:r>
    </w:p>
    <w:p w14:paraId="2D52877B">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学生用户人数：2000</w:t>
      </w:r>
    </w:p>
    <w:p w14:paraId="509760D3">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教师用户人数：50</w:t>
      </w:r>
    </w:p>
    <w:p w14:paraId="12A3F759">
      <w:pPr>
        <w:spacing w:line="360" w:lineRule="auto"/>
        <w:ind w:left="437"/>
        <w:outlineLvl w:val="1"/>
        <w:rPr>
          <w:rFonts w:hint="eastAsia" w:ascii="宋体" w:hAnsi="宋体"/>
          <w:b w:val="0"/>
          <w:bCs/>
          <w:color w:val="auto"/>
          <w:szCs w:val="21"/>
        </w:rPr>
      </w:pPr>
      <w:r>
        <w:rPr>
          <w:rFonts w:hint="eastAsia" w:ascii="宋体" w:hAnsi="宋体"/>
          <w:b w:val="0"/>
          <w:bCs/>
          <w:color w:val="auto"/>
          <w:szCs w:val="21"/>
        </w:rPr>
        <w:t>企业用户人数：40</w:t>
      </w:r>
    </w:p>
    <w:tbl>
      <w:tblPr>
        <w:tblStyle w:val="7"/>
        <w:tblW w:w="0" w:type="auto"/>
        <w:tblInd w:w="4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2335"/>
        <w:gridCol w:w="5004"/>
      </w:tblGrid>
      <w:tr w14:paraId="4FBE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14:paraId="5F1D1BA0">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2335" w:type="dxa"/>
            <w:noWrap w:val="0"/>
            <w:vAlign w:val="top"/>
          </w:tcPr>
          <w:p w14:paraId="7614D84B">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建设内容</w:t>
            </w:r>
          </w:p>
        </w:tc>
        <w:tc>
          <w:tcPr>
            <w:tcW w:w="5004" w:type="dxa"/>
            <w:noWrap w:val="0"/>
            <w:vAlign w:val="top"/>
          </w:tcPr>
          <w:p w14:paraId="60358FE6">
            <w:pPr>
              <w:pStyle w:val="4"/>
              <w:spacing w:line="360" w:lineRule="auto"/>
              <w:rPr>
                <w:rFonts w:ascii="宋体" w:hAnsi="宋体" w:eastAsia="宋体" w:cs="宋体"/>
                <w:color w:val="auto"/>
                <w:sz w:val="21"/>
                <w:szCs w:val="21"/>
              </w:rPr>
            </w:pPr>
            <w:r>
              <w:rPr>
                <w:rFonts w:hint="eastAsia" w:ascii="宋体" w:hAnsi="宋体" w:eastAsia="宋体" w:cs="宋体"/>
                <w:color w:val="auto"/>
                <w:sz w:val="21"/>
                <w:szCs w:val="21"/>
              </w:rPr>
              <w:t>要求</w:t>
            </w:r>
          </w:p>
        </w:tc>
      </w:tr>
      <w:tr w14:paraId="3FFE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14:paraId="327BE198">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335" w:type="dxa"/>
            <w:noWrap w:val="0"/>
            <w:vAlign w:val="top"/>
          </w:tcPr>
          <w:p w14:paraId="66A45B68">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《影视编辑与制作》课程资源建设</w:t>
            </w:r>
          </w:p>
        </w:tc>
        <w:tc>
          <w:tcPr>
            <w:tcW w:w="5004" w:type="dxa"/>
            <w:noWrap w:val="0"/>
            <w:vAlign w:val="top"/>
          </w:tcPr>
          <w:p w14:paraId="3E2C9486">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1.可视化的知识图谱： 1 套 </w:t>
            </w:r>
          </w:p>
          <w:p w14:paraId="7D81FAA2">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2.视频资源：240 个 </w:t>
            </w:r>
          </w:p>
          <w:p w14:paraId="6552400D">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3.微课资源：65 个 </w:t>
            </w:r>
          </w:p>
          <w:p w14:paraId="03560294">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4.虚拟仿真资源：1 个 </w:t>
            </w:r>
          </w:p>
          <w:p w14:paraId="61F98CAB">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5.动画类资源：6 个 </w:t>
            </w:r>
          </w:p>
          <w:p w14:paraId="6317709C">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6.文本类资源：105 个 </w:t>
            </w:r>
          </w:p>
          <w:p w14:paraId="41A30B4F">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7.题库：200 套</w:t>
            </w:r>
          </w:p>
          <w:p w14:paraId="700997D4">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 xml:space="preserve">8.开发特色培训资源项目 </w:t>
            </w:r>
          </w:p>
          <w:p w14:paraId="5B5F1447">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9.虚拟教学团队</w:t>
            </w:r>
          </w:p>
        </w:tc>
      </w:tr>
      <w:tr w14:paraId="785A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14:paraId="766215A0">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335" w:type="dxa"/>
            <w:noWrap w:val="0"/>
            <w:vAlign w:val="top"/>
          </w:tcPr>
          <w:p w14:paraId="0DA49FDE">
            <w:pPr>
              <w:pStyle w:val="4"/>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数字化教材</w:t>
            </w:r>
          </w:p>
        </w:tc>
        <w:tc>
          <w:tcPr>
            <w:tcW w:w="5004" w:type="dxa"/>
            <w:noWrap w:val="0"/>
            <w:vAlign w:val="top"/>
          </w:tcPr>
          <w:p w14:paraId="4AE8FC17">
            <w:pPr>
              <w:widowControl/>
              <w:spacing w:line="360" w:lineRule="auto"/>
              <w:jc w:val="left"/>
              <w:rPr>
                <w:rFonts w:hint="eastAsia" w:ascii="宋体" w:hAnsi="宋体" w:cs="宋体"/>
                <w:color w:val="auto"/>
                <w:szCs w:val="21"/>
              </w:rPr>
            </w:pPr>
            <w:r>
              <w:rPr>
                <w:rFonts w:hint="eastAsia" w:ascii="宋体" w:hAnsi="宋体" w:cs="宋体"/>
                <w:color w:val="auto"/>
                <w:kern w:val="0"/>
                <w:szCs w:val="21"/>
                <w:lang w:bidi="ar"/>
              </w:rPr>
              <w:t>《影视编辑与制作》数字教材出版</w:t>
            </w:r>
          </w:p>
        </w:tc>
      </w:tr>
      <w:tr w14:paraId="4CD0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14:paraId="66E7758A">
            <w:pPr>
              <w:pStyle w:val="4"/>
              <w:spacing w:line="360" w:lineRule="auto"/>
              <w:rPr>
                <w:rFonts w:hint="eastAsia" w:ascii="宋体" w:hAnsi="宋体" w:eastAsia="宋体" w:cs="宋体"/>
                <w:color w:val="auto"/>
                <w:sz w:val="21"/>
                <w:szCs w:val="21"/>
              </w:rPr>
            </w:pPr>
            <w:bookmarkStart w:id="15" w:name="_Toc20717"/>
            <w:bookmarkStart w:id="16" w:name="_Toc16414"/>
            <w:r>
              <w:rPr>
                <w:rFonts w:hint="eastAsia" w:ascii="宋体" w:hAnsi="宋体" w:eastAsia="宋体" w:cs="宋体"/>
                <w:color w:val="auto"/>
                <w:sz w:val="21"/>
                <w:szCs w:val="21"/>
              </w:rPr>
              <w:t>3</w:t>
            </w:r>
          </w:p>
        </w:tc>
        <w:tc>
          <w:tcPr>
            <w:tcW w:w="2335" w:type="dxa"/>
            <w:noWrap w:val="0"/>
            <w:vAlign w:val="top"/>
          </w:tcPr>
          <w:p w14:paraId="03A11FA7">
            <w:pPr>
              <w:pStyle w:val="4"/>
              <w:spacing w:line="360" w:lineRule="auto"/>
              <w:rPr>
                <w:rFonts w:ascii="宋体" w:hAnsi="宋体" w:eastAsia="宋体" w:cs="宋体"/>
                <w:color w:val="auto"/>
                <w:sz w:val="21"/>
                <w:szCs w:val="21"/>
              </w:rPr>
            </w:pPr>
            <w:r>
              <w:rPr>
                <w:rFonts w:hint="eastAsia" w:ascii="宋体" w:hAnsi="宋体" w:eastAsia="宋体" w:cs="宋体"/>
                <w:color w:val="auto"/>
                <w:sz w:val="21"/>
                <w:szCs w:val="21"/>
              </w:rPr>
              <w:t>特色培训项目</w:t>
            </w:r>
          </w:p>
        </w:tc>
        <w:tc>
          <w:tcPr>
            <w:tcW w:w="5004" w:type="dxa"/>
            <w:noWrap w:val="0"/>
            <w:vAlign w:val="top"/>
          </w:tcPr>
          <w:p w14:paraId="7C595D9B">
            <w:pPr>
              <w:rPr>
                <w:rFonts w:hint="eastAsia" w:ascii="宋体" w:hAnsi="宋体" w:cs="宋体"/>
                <w:color w:val="auto"/>
                <w:kern w:val="0"/>
                <w:szCs w:val="21"/>
                <w:lang w:bidi="ar"/>
              </w:rPr>
            </w:pPr>
            <w:r>
              <w:rPr>
                <w:rFonts w:hint="eastAsia"/>
                <w:color w:val="auto"/>
                <w:highlight w:val="yellow"/>
              </w:rPr>
              <w:t>培训手册（</w:t>
            </w:r>
            <w:r>
              <w:rPr>
                <w:rFonts w:hint="eastAsia" w:ascii="宋体" w:hAnsi="宋体" w:cs="宋体"/>
                <w:color w:val="auto"/>
                <w:kern w:val="0"/>
                <w:szCs w:val="21"/>
                <w:highlight w:val="yellow"/>
                <w:lang w:bidi="ar"/>
              </w:rPr>
              <w:t>不少于</w:t>
            </w:r>
            <w:r>
              <w:rPr>
                <w:color w:val="auto"/>
                <w:kern w:val="0"/>
                <w:szCs w:val="21"/>
                <w:highlight w:val="yellow"/>
                <w:lang w:bidi="ar"/>
              </w:rPr>
              <w:t>60</w:t>
            </w:r>
            <w:r>
              <w:rPr>
                <w:rFonts w:hint="eastAsia" w:ascii="宋体" w:hAnsi="宋体" w:cs="宋体"/>
                <w:color w:val="auto"/>
                <w:kern w:val="0"/>
                <w:szCs w:val="21"/>
                <w:highlight w:val="yellow"/>
                <w:lang w:bidi="ar"/>
              </w:rPr>
              <w:t xml:space="preserve">个案例指导书 </w:t>
            </w:r>
            <w:r>
              <w:rPr>
                <w:color w:val="auto"/>
                <w:kern w:val="0"/>
                <w:szCs w:val="21"/>
                <w:highlight w:val="yellow"/>
                <w:lang w:bidi="ar"/>
              </w:rPr>
              <w:t xml:space="preserve">word </w:t>
            </w:r>
            <w:r>
              <w:rPr>
                <w:rFonts w:hint="eastAsia" w:ascii="宋体" w:hAnsi="宋体" w:cs="宋体"/>
                <w:color w:val="auto"/>
                <w:kern w:val="0"/>
                <w:szCs w:val="21"/>
                <w:highlight w:val="yellow"/>
                <w:lang w:bidi="ar"/>
              </w:rPr>
              <w:t>文档、</w:t>
            </w:r>
            <w:r>
              <w:rPr>
                <w:color w:val="auto"/>
                <w:kern w:val="0"/>
                <w:szCs w:val="21"/>
                <w:highlight w:val="yellow"/>
                <w:lang w:bidi="ar"/>
              </w:rPr>
              <w:t>120</w:t>
            </w:r>
            <w:r>
              <w:rPr>
                <w:rFonts w:hint="eastAsia" w:ascii="宋体" w:hAnsi="宋体" w:cs="宋体"/>
                <w:color w:val="auto"/>
                <w:kern w:val="0"/>
                <w:szCs w:val="21"/>
                <w:highlight w:val="yellow"/>
                <w:lang w:bidi="ar"/>
              </w:rPr>
              <w:t>个实训指导视频、180个知识点讲解视频</w:t>
            </w:r>
            <w:r>
              <w:rPr>
                <w:rFonts w:hint="eastAsia" w:ascii="宋体" w:hAnsi="宋体" w:cs="宋体"/>
                <w:color w:val="auto"/>
                <w:kern w:val="0"/>
                <w:szCs w:val="21"/>
                <w:highlight w:val="yellow"/>
                <w:lang w:eastAsia="zh-CN" w:bidi="ar"/>
              </w:rPr>
              <w:t>、</w:t>
            </w:r>
            <w:r>
              <w:rPr>
                <w:rFonts w:hint="eastAsia" w:ascii="宋体" w:hAnsi="宋体" w:cs="宋体"/>
                <w:color w:val="auto"/>
                <w:kern w:val="0"/>
                <w:szCs w:val="21"/>
                <w:highlight w:val="yellow"/>
                <w:lang w:bidi="ar"/>
              </w:rPr>
              <w:t xml:space="preserve">10个动画资源、2个企业案例实训包。 </w:t>
            </w:r>
            <w:r>
              <w:rPr>
                <w:rFonts w:hint="eastAsia"/>
                <w:color w:val="auto"/>
                <w:highlight w:val="yellow"/>
              </w:rPr>
              <w:t>）</w:t>
            </w:r>
          </w:p>
        </w:tc>
      </w:tr>
    </w:tbl>
    <w:p w14:paraId="53EA7332">
      <w:pPr>
        <w:spacing w:line="360" w:lineRule="auto"/>
        <w:ind w:left="437"/>
        <w:outlineLvl w:val="9"/>
        <w:rPr>
          <w:rFonts w:hint="eastAsia" w:ascii="宋体" w:hAnsi="宋体"/>
          <w:b/>
          <w:color w:val="auto"/>
          <w:szCs w:val="21"/>
        </w:rPr>
      </w:pPr>
    </w:p>
    <w:p w14:paraId="2BFC904A">
      <w:pPr>
        <w:spacing w:line="360" w:lineRule="auto"/>
        <w:ind w:left="437"/>
        <w:outlineLvl w:val="1"/>
        <w:rPr>
          <w:rFonts w:hint="eastAsia" w:ascii="宋体" w:hAnsi="宋体"/>
          <w:b/>
          <w:color w:val="auto"/>
          <w:szCs w:val="21"/>
        </w:rPr>
      </w:pPr>
      <w:r>
        <w:rPr>
          <w:rFonts w:hint="eastAsia" w:ascii="宋体" w:hAnsi="宋体"/>
          <w:b/>
          <w:color w:val="auto"/>
          <w:szCs w:val="21"/>
        </w:rPr>
        <w:t>（2）功能参数及技术要求</w:t>
      </w:r>
    </w:p>
    <w:p w14:paraId="300A566E">
      <w:pPr>
        <w:spacing w:line="360" w:lineRule="auto"/>
        <w:ind w:left="437"/>
        <w:outlineLvl w:val="1"/>
        <w:rPr>
          <w:rFonts w:hint="eastAsia" w:ascii="宋体" w:hAnsi="宋体"/>
          <w:b/>
          <w:color w:val="auto"/>
          <w:szCs w:val="21"/>
        </w:rPr>
      </w:pPr>
      <w:r>
        <w:rPr>
          <w:rFonts w:hint="eastAsia" w:ascii="宋体" w:hAnsi="宋体"/>
          <w:b/>
          <w:color w:val="auto"/>
          <w:szCs w:val="21"/>
        </w:rPr>
        <w:t>一、《影视编辑与制作》课程资源建设</w:t>
      </w:r>
    </w:p>
    <w:p w14:paraId="165C2C8A">
      <w:pPr>
        <w:spacing w:line="360" w:lineRule="auto"/>
        <w:ind w:left="437"/>
        <w:outlineLvl w:val="1"/>
        <w:rPr>
          <w:rFonts w:hint="eastAsia" w:ascii="宋体" w:hAnsi="宋体"/>
          <w:bCs/>
          <w:color w:val="auto"/>
          <w:szCs w:val="21"/>
        </w:rPr>
      </w:pPr>
      <w:r>
        <w:rPr>
          <w:rFonts w:hint="eastAsia" w:ascii="宋体" w:hAnsi="宋体"/>
          <w:bCs/>
          <w:color w:val="auto"/>
          <w:szCs w:val="21"/>
        </w:rPr>
        <w:t>1、总体要求</w:t>
      </w:r>
    </w:p>
    <w:p w14:paraId="571C6429">
      <w:pPr>
        <w:spacing w:line="360" w:lineRule="auto"/>
        <w:ind w:left="437"/>
        <w:outlineLvl w:val="1"/>
        <w:rPr>
          <w:rFonts w:hint="eastAsia" w:ascii="宋体" w:hAnsi="宋体"/>
          <w:bCs/>
          <w:color w:val="auto"/>
          <w:szCs w:val="21"/>
        </w:rPr>
      </w:pPr>
      <w:r>
        <w:rPr>
          <w:rFonts w:hint="eastAsia" w:ascii="宋体" w:hAnsi="宋体"/>
          <w:bCs/>
          <w:color w:val="auto"/>
          <w:szCs w:val="21"/>
        </w:rPr>
        <w:t>多种拍摄形式供老师选择</w:t>
      </w:r>
    </w:p>
    <w:p w14:paraId="7425E201">
      <w:pPr>
        <w:spacing w:line="360" w:lineRule="auto"/>
        <w:ind w:left="437"/>
        <w:outlineLvl w:val="1"/>
        <w:rPr>
          <w:rFonts w:hint="eastAsia" w:ascii="宋体" w:hAnsi="宋体"/>
          <w:bCs/>
          <w:color w:val="auto"/>
          <w:szCs w:val="21"/>
        </w:rPr>
      </w:pPr>
      <w:r>
        <w:rPr>
          <w:rFonts w:hint="eastAsia" w:ascii="宋体" w:hAnsi="宋体"/>
          <w:bCs/>
          <w:color w:val="auto"/>
          <w:szCs w:val="21"/>
        </w:rPr>
        <w:t>1.1外景实拍：外景实拍将拍摄内容与自然风光、自然环境相结合，让人物形象更加丰满立体，整个构图也会显得富有变化性，比内景拍摄有更多的选择。</w:t>
      </w:r>
    </w:p>
    <w:p w14:paraId="6EBEDFE0">
      <w:pPr>
        <w:spacing w:line="360" w:lineRule="auto"/>
        <w:ind w:left="437"/>
        <w:outlineLvl w:val="1"/>
        <w:rPr>
          <w:rFonts w:hint="eastAsia" w:ascii="宋体" w:hAnsi="宋体"/>
          <w:bCs/>
          <w:color w:val="auto"/>
          <w:szCs w:val="21"/>
        </w:rPr>
      </w:pPr>
      <w:r>
        <w:rPr>
          <w:rFonts w:hint="eastAsia" w:ascii="宋体" w:hAnsi="宋体"/>
          <w:bCs/>
          <w:color w:val="auto"/>
          <w:szCs w:val="21"/>
        </w:rPr>
        <w:t>1.2内景实拍：内景实拍主要用于特定场所下的实操类课程，例如化学或者生物专业的课程会选择在实验室中拍摄。在讲课过程中，教师会亲自进行操作或由学生配合操作等。</w:t>
      </w:r>
    </w:p>
    <w:p w14:paraId="6DD1B1E4">
      <w:pPr>
        <w:spacing w:line="360" w:lineRule="auto"/>
        <w:ind w:left="437"/>
        <w:outlineLvl w:val="1"/>
        <w:rPr>
          <w:rFonts w:hint="eastAsia" w:ascii="宋体" w:hAnsi="宋体"/>
          <w:bCs/>
          <w:color w:val="auto"/>
          <w:szCs w:val="21"/>
        </w:rPr>
      </w:pPr>
      <w:r>
        <w:rPr>
          <w:rFonts w:hint="eastAsia" w:ascii="宋体" w:hAnsi="宋体"/>
          <w:bCs/>
          <w:color w:val="auto"/>
          <w:szCs w:val="21"/>
        </w:rPr>
        <w:t>1.3棚拍抠像：棚拍抠像是在绿背景或者蓝背景前进行拍摄，后期制作人员通过技术手段去掉绿色或者蓝色，再加上任意背景，这种拍摄方式将课程其他素材与教师讲解相融合，教师出镜或不出镜可自由切换，可以更突出地体现课程重点。棚拍抠像是最简单也最常用的一种课程拍摄方式，灵活度较大。</w:t>
      </w:r>
    </w:p>
    <w:p w14:paraId="242531E8">
      <w:pPr>
        <w:spacing w:line="360" w:lineRule="auto"/>
        <w:ind w:left="437"/>
        <w:outlineLvl w:val="1"/>
        <w:rPr>
          <w:rFonts w:hint="eastAsia" w:ascii="宋体" w:hAnsi="宋体"/>
          <w:bCs/>
          <w:color w:val="auto"/>
          <w:szCs w:val="21"/>
        </w:rPr>
      </w:pPr>
      <w:r>
        <w:rPr>
          <w:rFonts w:hint="eastAsia" w:ascii="宋体" w:hAnsi="宋体"/>
          <w:bCs/>
          <w:color w:val="auto"/>
          <w:szCs w:val="21"/>
        </w:rPr>
        <w:t>1.4棚拍实景：棚拍实景是采用专业录影棚进行拍摄，拍摄场景可根据教学内容定制，可布置出不同年代和不同氛围的教学环境，不受时间、天气和季节等因素的制约，保证全天候拍摄。其拍摄效率高且拍摄效果并不逊色于实际的外景，拍摄过程安全可靠，可以满足绝大多数制作的需求。</w:t>
      </w:r>
    </w:p>
    <w:p w14:paraId="59E8F73F">
      <w:pPr>
        <w:spacing w:line="360" w:lineRule="auto"/>
        <w:ind w:left="437"/>
        <w:outlineLvl w:val="1"/>
        <w:rPr>
          <w:rFonts w:hint="eastAsia" w:ascii="宋体" w:hAnsi="宋体"/>
          <w:bCs/>
          <w:color w:val="auto"/>
          <w:szCs w:val="21"/>
        </w:rPr>
      </w:pPr>
      <w:r>
        <w:rPr>
          <w:rFonts w:hint="eastAsia" w:ascii="宋体" w:hAnsi="宋体"/>
          <w:bCs/>
          <w:color w:val="auto"/>
          <w:szCs w:val="21"/>
        </w:rPr>
        <w:t>1.5录屏讲解：软件操作类常常使用录屏讲解的方式，简单容易操作，效率较高。</w:t>
      </w:r>
    </w:p>
    <w:p w14:paraId="6CA3814B">
      <w:pPr>
        <w:spacing w:line="360" w:lineRule="auto"/>
        <w:ind w:left="437"/>
        <w:outlineLvl w:val="1"/>
        <w:rPr>
          <w:rFonts w:ascii="宋体" w:hAnsi="宋体"/>
          <w:bCs/>
          <w:color w:val="auto"/>
          <w:szCs w:val="21"/>
        </w:rPr>
      </w:pPr>
      <w:r>
        <w:rPr>
          <w:rFonts w:hint="eastAsia" w:ascii="宋体" w:hAnsi="宋体"/>
          <w:bCs/>
          <w:color w:val="auto"/>
          <w:szCs w:val="21"/>
        </w:rPr>
        <w:t>1.6</w:t>
      </w:r>
      <w:r>
        <w:rPr>
          <w:rFonts w:ascii="宋体" w:hAnsi="宋体"/>
          <w:bCs/>
          <w:color w:val="auto"/>
          <w:szCs w:val="21"/>
        </w:rPr>
        <w:t>知识图谱</w:t>
      </w:r>
      <w:r>
        <w:rPr>
          <w:rFonts w:hint="eastAsia" w:ascii="宋体" w:hAnsi="宋体"/>
          <w:bCs/>
          <w:color w:val="auto"/>
          <w:szCs w:val="21"/>
        </w:rPr>
        <w:t>：</w:t>
      </w:r>
      <w:r>
        <w:rPr>
          <w:rFonts w:ascii="宋体" w:hAnsi="宋体"/>
          <w:bCs/>
          <w:color w:val="auto"/>
          <w:szCs w:val="21"/>
        </w:rPr>
        <w:t>知识图谱建设是一个高度复杂且系统的工程，它涉及到知识抽取、表示、关联以及管理的多个环节。知识图谱作为一种新兴的数据组织和处理技术，能够有效地整合和优化教育资源，提高教育质量和效率。</w:t>
      </w:r>
    </w:p>
    <w:p w14:paraId="4A7B90E7">
      <w:pPr>
        <w:spacing w:line="360" w:lineRule="auto"/>
        <w:ind w:left="437"/>
        <w:outlineLvl w:val="1"/>
        <w:rPr>
          <w:rFonts w:ascii="宋体" w:hAnsi="宋体"/>
          <w:bCs/>
          <w:color w:val="auto"/>
          <w:szCs w:val="21"/>
        </w:rPr>
      </w:pPr>
      <w:r>
        <w:rPr>
          <w:rFonts w:hint="eastAsia" w:ascii="宋体" w:hAnsi="宋体"/>
          <w:bCs/>
          <w:color w:val="auto"/>
          <w:szCs w:val="21"/>
        </w:rPr>
        <w:t>1.7</w:t>
      </w:r>
      <w:r>
        <w:rPr>
          <w:rFonts w:ascii="宋体" w:hAnsi="宋体"/>
          <w:bCs/>
          <w:color w:val="auto"/>
          <w:szCs w:val="21"/>
        </w:rPr>
        <w:t>视频资源</w:t>
      </w:r>
      <w:r>
        <w:rPr>
          <w:rFonts w:hint="eastAsia" w:ascii="宋体" w:hAnsi="宋体"/>
          <w:bCs/>
          <w:color w:val="auto"/>
          <w:szCs w:val="21"/>
        </w:rPr>
        <w:t>：</w:t>
      </w:r>
      <w:r>
        <w:rPr>
          <w:rFonts w:ascii="宋体" w:hAnsi="宋体"/>
          <w:bCs/>
          <w:color w:val="auto"/>
          <w:szCs w:val="21"/>
        </w:rPr>
        <w:t>视频资源在课程建设中具有重要意义。它不仅提供了高效的学习方式，强化了学习记忆，还提供了个性化的学习体验和多样化的教学方法。通过分享和扩散，微课视频资源可以推动知识的传播和共享，促进教育的进步和发展。</w:t>
      </w:r>
      <w:r>
        <w:rPr>
          <w:rFonts w:hint="eastAsia" w:ascii="宋体" w:hAnsi="宋体" w:cs="宋体"/>
          <w:color w:val="auto"/>
          <w:kern w:val="0"/>
          <w:szCs w:val="21"/>
          <w:lang w:bidi="ar"/>
        </w:rPr>
        <w:t xml:space="preserve">知识讲解视频对完成有关任务所需要的理论知识进行讲解或案例操作讲解，以 </w:t>
      </w:r>
      <w:r>
        <w:rPr>
          <w:color w:val="auto"/>
          <w:kern w:val="0"/>
          <w:szCs w:val="21"/>
          <w:lang w:bidi="ar"/>
        </w:rPr>
        <w:t xml:space="preserve">mp4 </w:t>
      </w:r>
      <w:r>
        <w:rPr>
          <w:rFonts w:hint="eastAsia" w:ascii="宋体" w:hAnsi="宋体" w:cs="宋体"/>
          <w:color w:val="auto"/>
          <w:kern w:val="0"/>
          <w:szCs w:val="21"/>
          <w:lang w:bidi="ar"/>
        </w:rPr>
        <w:t xml:space="preserve">格式存储；视频画面清晰、辅以声音讲解，分辨率建议 </w:t>
      </w:r>
      <w:r>
        <w:rPr>
          <w:color w:val="auto"/>
          <w:kern w:val="0"/>
          <w:szCs w:val="21"/>
          <w:lang w:bidi="ar"/>
        </w:rPr>
        <w:t>1280</w:t>
      </w:r>
      <w:r>
        <w:rPr>
          <w:rFonts w:hint="eastAsia" w:ascii="宋体" w:hAnsi="宋体" w:cs="宋体"/>
          <w:color w:val="auto"/>
          <w:kern w:val="0"/>
          <w:szCs w:val="21"/>
          <w:lang w:bidi="ar"/>
        </w:rPr>
        <w:t>×</w:t>
      </w:r>
      <w:r>
        <w:rPr>
          <w:color w:val="auto"/>
          <w:kern w:val="0"/>
          <w:szCs w:val="21"/>
          <w:lang w:bidi="ar"/>
        </w:rPr>
        <w:t xml:space="preserve">720 </w:t>
      </w:r>
      <w:r>
        <w:rPr>
          <w:rFonts w:hint="eastAsia" w:ascii="宋体" w:hAnsi="宋体" w:cs="宋体"/>
          <w:color w:val="auto"/>
          <w:kern w:val="0"/>
          <w:szCs w:val="21"/>
          <w:lang w:bidi="ar"/>
        </w:rPr>
        <w:t>或更高。时长5-15分钟。</w:t>
      </w:r>
    </w:p>
    <w:p w14:paraId="7C95CB38">
      <w:pPr>
        <w:spacing w:line="360" w:lineRule="auto"/>
        <w:ind w:left="437"/>
        <w:outlineLvl w:val="1"/>
        <w:rPr>
          <w:rFonts w:hint="eastAsia" w:ascii="宋体" w:hAnsi="宋体" w:cs="宋体"/>
          <w:color w:val="auto"/>
          <w:kern w:val="0"/>
          <w:szCs w:val="21"/>
          <w:lang w:bidi="ar"/>
        </w:rPr>
      </w:pPr>
      <w:r>
        <w:rPr>
          <w:rFonts w:hint="eastAsia" w:ascii="宋体" w:hAnsi="宋体"/>
          <w:bCs/>
          <w:color w:val="auto"/>
          <w:szCs w:val="21"/>
        </w:rPr>
        <w:t>1.8</w:t>
      </w:r>
      <w:r>
        <w:rPr>
          <w:rFonts w:ascii="宋体" w:hAnsi="宋体"/>
          <w:bCs/>
          <w:color w:val="auto"/>
          <w:szCs w:val="21"/>
        </w:rPr>
        <w:t>微课资源</w:t>
      </w:r>
      <w:r>
        <w:rPr>
          <w:rFonts w:hint="eastAsia" w:ascii="宋体" w:hAnsi="宋体"/>
          <w:bCs/>
          <w:color w:val="auto"/>
          <w:szCs w:val="21"/>
        </w:rPr>
        <w:t>：</w:t>
      </w:r>
      <w:r>
        <w:rPr>
          <w:rFonts w:ascii="宋体" w:hAnsi="宋体"/>
          <w:bCs/>
          <w:color w:val="auto"/>
          <w:szCs w:val="21"/>
        </w:rPr>
        <w:t>微课视频资源是指短小、精准的教学视频，旨在通过简洁明了的方式传达特定的知识点或教学内容，微课视频通常持续时间较短，一般在5</w:t>
      </w:r>
      <w:r>
        <w:rPr>
          <w:rFonts w:hint="eastAsia" w:ascii="宋体" w:hAnsi="宋体"/>
          <w:bCs/>
          <w:color w:val="auto"/>
          <w:szCs w:val="21"/>
          <w:lang w:val="en-US" w:eastAsia="zh-CN"/>
        </w:rPr>
        <w:t>-</w:t>
      </w:r>
      <w:r>
        <w:rPr>
          <w:rFonts w:ascii="宋体" w:hAnsi="宋体"/>
          <w:bCs/>
          <w:color w:val="auto"/>
          <w:szCs w:val="21"/>
        </w:rPr>
        <w:t>15分钟之间，涵盖一个特定的主题或概念。这些视频资源可以通过在线平台、移动应用或其他适合的媒介进行分发和观看。</w:t>
      </w:r>
      <w:r>
        <w:rPr>
          <w:rFonts w:hint="eastAsia" w:ascii="宋体" w:hAnsi="宋体"/>
          <w:bCs/>
          <w:color w:val="auto"/>
          <w:szCs w:val="21"/>
        </w:rPr>
        <w:br w:type="textWrapping"/>
      </w:r>
      <w:r>
        <w:rPr>
          <w:rFonts w:hint="eastAsia" w:ascii="宋体" w:hAnsi="宋体"/>
          <w:bCs/>
          <w:color w:val="auto"/>
          <w:szCs w:val="21"/>
        </w:rPr>
        <w:t>1.9</w:t>
      </w:r>
      <w:r>
        <w:rPr>
          <w:rFonts w:ascii="宋体" w:hAnsi="宋体"/>
          <w:bCs/>
          <w:color w:val="auto"/>
          <w:szCs w:val="21"/>
        </w:rPr>
        <w:t>虚拟仿真</w:t>
      </w:r>
      <w:r>
        <w:rPr>
          <w:rFonts w:hint="eastAsia" w:ascii="宋体" w:hAnsi="宋体"/>
          <w:bCs/>
          <w:color w:val="auto"/>
          <w:szCs w:val="21"/>
        </w:rPr>
        <w:t>：</w:t>
      </w:r>
      <w:r>
        <w:rPr>
          <w:rFonts w:hint="eastAsia" w:ascii="宋体" w:hAnsi="宋体" w:eastAsia="宋体" w:cs="宋体"/>
          <w:color w:val="auto"/>
          <w:kern w:val="0"/>
          <w:sz w:val="21"/>
          <w:szCs w:val="21"/>
          <w:lang w:val="en-US" w:eastAsia="zh-CN" w:bidi="ar"/>
        </w:rPr>
        <w:t>虚拟仿真资源要求注重现场感和体验，主要用于展现“看不见、进不去、动不得、难再现”等不能开展现场教学的场景、环境、过程，采用交互动画软件开发完成的虚拟场景，具备稳定安全的开放运行模式，准确适宜的实验教学内容。</w:t>
      </w:r>
      <w:r>
        <w:rPr>
          <w:rFonts w:hint="eastAsia" w:ascii="宋体" w:hAnsi="宋体" w:cs="宋体"/>
          <w:color w:val="auto"/>
          <w:kern w:val="0"/>
          <w:szCs w:val="21"/>
          <w:lang w:bidi="ar"/>
        </w:rPr>
        <w:t>可支持学生动手操作，实现人机交互，点击操作的教学资源。例如体验输入</w:t>
      </w:r>
      <w:r>
        <w:rPr>
          <w:rFonts w:hint="eastAsia" w:ascii="宋体" w:hAnsi="宋体" w:cs="宋体"/>
          <w:color w:val="auto"/>
          <w:kern w:val="0"/>
          <w:szCs w:val="21"/>
          <w:lang w:val="en-US" w:eastAsia="zh-CN" w:bidi="ar"/>
        </w:rPr>
        <w:t>内容</w:t>
      </w:r>
      <w:r>
        <w:rPr>
          <w:rFonts w:hint="eastAsia" w:ascii="宋体" w:hAnsi="宋体" w:cs="宋体"/>
          <w:color w:val="auto"/>
          <w:kern w:val="0"/>
          <w:szCs w:val="21"/>
          <w:lang w:bidi="ar"/>
        </w:rPr>
        <w:t>、点击按钮播放、习题测试、拖拽体验、模拟操作等。</w:t>
      </w:r>
    </w:p>
    <w:p w14:paraId="6A45431F">
      <w:pPr>
        <w:spacing w:line="360" w:lineRule="auto"/>
        <w:ind w:left="437" w:firstLine="420" w:firstLineChars="200"/>
        <w:outlineLvl w:val="1"/>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虚拟仿真教学简介视频时长控制在5分钟以内，项目教学引导视频时长控制在5-10分钟以内。画面清晰、图像稳定，声音与画面同步且无杂音。解说应采用标准普通话配音。分辨率：1920*1080 25P或以上；编码：H.264，H.264/AVC High Profile Level 4.2或以上；封装格式：MP4；码流：不小于5Mbps。</w:t>
      </w:r>
    </w:p>
    <w:p w14:paraId="3D11696D">
      <w:pPr>
        <w:spacing w:line="360" w:lineRule="auto"/>
        <w:ind w:left="437"/>
        <w:outlineLvl w:val="1"/>
        <w:rPr>
          <w:rFonts w:ascii="宋体" w:hAnsi="宋体"/>
          <w:bCs/>
          <w:color w:val="auto"/>
          <w:szCs w:val="21"/>
        </w:rPr>
      </w:pPr>
      <w:r>
        <w:rPr>
          <w:rFonts w:hint="eastAsia" w:ascii="宋体" w:hAnsi="宋体"/>
          <w:bCs/>
          <w:color w:val="auto"/>
          <w:szCs w:val="21"/>
        </w:rPr>
        <w:t>1.10</w:t>
      </w:r>
      <w:r>
        <w:rPr>
          <w:rFonts w:ascii="宋体" w:hAnsi="宋体"/>
          <w:bCs/>
          <w:color w:val="auto"/>
          <w:szCs w:val="21"/>
        </w:rPr>
        <w:t>动画资源</w:t>
      </w:r>
      <w:r>
        <w:rPr>
          <w:rFonts w:hint="eastAsia" w:ascii="宋体" w:hAnsi="宋体"/>
          <w:bCs/>
          <w:color w:val="auto"/>
          <w:szCs w:val="21"/>
        </w:rPr>
        <w:t>：</w:t>
      </w:r>
      <w:r>
        <w:rPr>
          <w:rFonts w:ascii="宋体" w:hAnsi="宋体"/>
          <w:bCs/>
          <w:color w:val="auto"/>
          <w:szCs w:val="21"/>
        </w:rPr>
        <w:t>二维动画是一种利用计算机技术创建的动态影像，通过在连续的画面中快速播放，产生连贯的运动效果。它可以以图像、矢量、骨骼或粒子等形式呈现，具有生动、形象和具体的表达效果。动画适用于各种课程和内容：科学和工程类课程：动画可以用于模拟和演示科学实验、物理原理、化学反应等，帮助学生更好地理解和观察现象。历史和文化类课程：通过动画，可以重现历史事件、人物传记或文化传统，使学生更加身临其境地感受历史和文化的魅力。数学和逻辑类课程：动画可以用于可视化数学概念、几何原理和逻辑推理，使抽象的数学概念更加形象化和易于理解。语言和艺术类课程：动画可以用于教授语言发音、语法规则、艺术创作等，通过形象化的表达方式提高学习效果。</w:t>
      </w:r>
    </w:p>
    <w:p w14:paraId="3308CCBE">
      <w:pPr>
        <w:spacing w:line="360" w:lineRule="auto"/>
        <w:ind w:left="437"/>
        <w:outlineLvl w:val="1"/>
        <w:rPr>
          <w:rFonts w:ascii="宋体" w:hAnsi="宋体" w:cs="宋体"/>
          <w:color w:val="auto"/>
          <w:kern w:val="0"/>
          <w:szCs w:val="21"/>
          <w:lang w:bidi="ar"/>
        </w:rPr>
      </w:pPr>
      <w:r>
        <w:rPr>
          <w:rFonts w:hint="eastAsia" w:ascii="宋体" w:hAnsi="宋体" w:cs="宋体"/>
          <w:color w:val="auto"/>
          <w:kern w:val="0"/>
          <w:szCs w:val="21"/>
          <w:lang w:bidi="ar"/>
        </w:rPr>
        <w:t xml:space="preserve">动画资源具有形象、直观、生动、声、光、色、形，动静结合的优势，可对重点和难点知识点中抽象、难以理解部分进行针对性讲解，给学生提供广阔的想象空间，可以吸引学生的注意力，引起学生的情感共鸣，激发学生浓厚的学习兴趣。动画制作先设计制作脚本文档，然后采用二维动画建设软件（如ANIMATE </w:t>
      </w:r>
      <w:r>
        <w:rPr>
          <w:color w:val="auto"/>
          <w:kern w:val="0"/>
          <w:szCs w:val="21"/>
          <w:lang w:bidi="ar"/>
        </w:rPr>
        <w:t>\HTML5</w:t>
      </w:r>
      <w:r>
        <w:rPr>
          <w:rFonts w:hint="eastAsia" w:ascii="宋体" w:hAnsi="宋体" w:cs="宋体"/>
          <w:color w:val="auto"/>
          <w:kern w:val="0"/>
          <w:szCs w:val="21"/>
          <w:lang w:bidi="ar"/>
        </w:rPr>
        <w:t xml:space="preserve">等）开发完成，输出 </w:t>
      </w:r>
      <w:r>
        <w:rPr>
          <w:color w:val="auto"/>
          <w:kern w:val="0"/>
          <w:szCs w:val="21"/>
          <w:lang w:bidi="ar"/>
        </w:rPr>
        <w:t xml:space="preserve">mp4 </w:t>
      </w:r>
      <w:r>
        <w:rPr>
          <w:rFonts w:hint="eastAsia" w:ascii="宋体" w:hAnsi="宋体" w:cs="宋体"/>
          <w:color w:val="auto"/>
          <w:kern w:val="0"/>
          <w:szCs w:val="21"/>
          <w:lang w:bidi="ar"/>
        </w:rPr>
        <w:t>格式存储；视频画面清晰、辅以声音讲解，分辨率</w:t>
      </w:r>
      <w:r>
        <w:rPr>
          <w:rFonts w:hint="eastAsia" w:ascii="宋体" w:hAnsi="宋体" w:cs="宋体"/>
          <w:color w:val="auto"/>
          <w:kern w:val="0"/>
          <w:szCs w:val="21"/>
          <w:lang w:val="en-US" w:eastAsia="zh-CN" w:bidi="ar"/>
        </w:rPr>
        <w:t>不低于</w:t>
      </w:r>
      <w:r>
        <w:rPr>
          <w:rFonts w:hint="eastAsia" w:ascii="宋体" w:hAnsi="宋体" w:cs="宋体"/>
          <w:color w:val="auto"/>
          <w:kern w:val="0"/>
          <w:szCs w:val="21"/>
          <w:lang w:bidi="ar"/>
        </w:rPr>
        <w:t xml:space="preserve"> </w:t>
      </w:r>
      <w:r>
        <w:rPr>
          <w:color w:val="auto"/>
          <w:kern w:val="0"/>
          <w:szCs w:val="21"/>
          <w:lang w:bidi="ar"/>
        </w:rPr>
        <w:t>1280</w:t>
      </w:r>
      <w:r>
        <w:rPr>
          <w:rFonts w:hint="eastAsia" w:ascii="宋体" w:hAnsi="宋体" w:cs="宋体"/>
          <w:color w:val="auto"/>
          <w:kern w:val="0"/>
          <w:szCs w:val="21"/>
          <w:lang w:bidi="ar"/>
        </w:rPr>
        <w:t>×</w:t>
      </w:r>
      <w:r>
        <w:rPr>
          <w:color w:val="auto"/>
          <w:kern w:val="0"/>
          <w:szCs w:val="21"/>
          <w:lang w:bidi="ar"/>
        </w:rPr>
        <w:t>720</w:t>
      </w:r>
      <w:r>
        <w:rPr>
          <w:rFonts w:hint="eastAsia" w:ascii="宋体" w:hAnsi="宋体" w:cs="宋体"/>
          <w:color w:val="auto"/>
          <w:kern w:val="0"/>
          <w:szCs w:val="21"/>
          <w:lang w:bidi="ar"/>
        </w:rPr>
        <w:t>。平均每个动画时长不少于2分钟。</w:t>
      </w:r>
    </w:p>
    <w:p w14:paraId="66A7BD1D">
      <w:pPr>
        <w:widowControl/>
        <w:spacing w:line="360" w:lineRule="auto"/>
        <w:ind w:left="630" w:leftChars="200" w:hanging="210" w:hangingChars="100"/>
        <w:jc w:val="left"/>
        <w:rPr>
          <w:rFonts w:hint="eastAsia" w:ascii="宋体" w:hAnsi="宋体" w:cs="宋体"/>
          <w:color w:val="auto"/>
          <w:kern w:val="0"/>
          <w:szCs w:val="21"/>
          <w:lang w:bidi="ar"/>
        </w:rPr>
      </w:pPr>
      <w:r>
        <w:rPr>
          <w:rFonts w:hint="eastAsia" w:ascii="宋体" w:hAnsi="宋体"/>
          <w:bCs/>
          <w:color w:val="auto"/>
          <w:szCs w:val="21"/>
        </w:rPr>
        <w:t>1.11</w:t>
      </w:r>
      <w:r>
        <w:rPr>
          <w:rFonts w:ascii="宋体" w:hAnsi="宋体"/>
          <w:bCs/>
          <w:color w:val="auto"/>
          <w:szCs w:val="21"/>
        </w:rPr>
        <w:t>文本资源</w:t>
      </w:r>
      <w:r>
        <w:rPr>
          <w:rFonts w:hint="eastAsia" w:ascii="宋体" w:hAnsi="宋体"/>
          <w:bCs/>
          <w:color w:val="auto"/>
          <w:szCs w:val="21"/>
        </w:rPr>
        <w:t>：</w:t>
      </w:r>
      <w:r>
        <w:rPr>
          <w:rFonts w:ascii="宋体" w:hAnsi="宋体"/>
          <w:bCs/>
          <w:color w:val="auto"/>
          <w:szCs w:val="21"/>
        </w:rPr>
        <w:t>包含课程标准、电子教案、人才培养方案等</w:t>
      </w:r>
      <w:r>
        <w:rPr>
          <w:rFonts w:hint="eastAsia" w:ascii="宋体" w:hAnsi="宋体"/>
          <w:bCs/>
          <w:color w:val="auto"/>
          <w:szCs w:val="21"/>
        </w:rPr>
        <w:t>。</w:t>
      </w:r>
      <w:r>
        <w:rPr>
          <w:rFonts w:hint="eastAsia" w:ascii="宋体" w:hAnsi="宋体" w:cs="宋体"/>
          <w:color w:val="auto"/>
          <w:kern w:val="0"/>
          <w:szCs w:val="21"/>
          <w:lang w:bidi="ar"/>
        </w:rPr>
        <w:t>文本资源不限于课程标准、教学设计</w:t>
      </w:r>
    </w:p>
    <w:p w14:paraId="6278C34D">
      <w:pPr>
        <w:widowControl/>
        <w:spacing w:line="360" w:lineRule="auto"/>
        <w:ind w:left="630" w:leftChars="200" w:hanging="210" w:hangingChars="100"/>
        <w:jc w:val="left"/>
        <w:rPr>
          <w:rFonts w:hint="eastAsia" w:ascii="宋体" w:hAnsi="宋体"/>
          <w:bCs/>
          <w:color w:val="auto"/>
          <w:szCs w:val="21"/>
        </w:rPr>
      </w:pPr>
      <w:r>
        <w:rPr>
          <w:rFonts w:hint="eastAsia" w:ascii="宋体" w:hAnsi="宋体" w:cs="宋体"/>
          <w:color w:val="auto"/>
          <w:kern w:val="0"/>
          <w:szCs w:val="21"/>
          <w:lang w:bidi="ar"/>
        </w:rPr>
        <w:t>理论概念、说课稿、学习指南、实验指导书、辅助教材、练习测试等。</w:t>
      </w:r>
    </w:p>
    <w:p w14:paraId="55B2DC4C">
      <w:pPr>
        <w:spacing w:line="360" w:lineRule="auto"/>
        <w:ind w:left="437"/>
        <w:outlineLvl w:val="1"/>
        <w:rPr>
          <w:rFonts w:ascii="宋体" w:hAnsi="宋体"/>
          <w:bCs/>
          <w:color w:val="auto"/>
          <w:szCs w:val="21"/>
        </w:rPr>
      </w:pPr>
      <w:r>
        <w:rPr>
          <w:rFonts w:hint="eastAsia" w:ascii="宋体" w:hAnsi="宋体"/>
          <w:bCs/>
          <w:color w:val="auto"/>
          <w:szCs w:val="21"/>
        </w:rPr>
        <w:t>1.12</w:t>
      </w:r>
      <w:r>
        <w:rPr>
          <w:rFonts w:ascii="宋体" w:hAnsi="宋体"/>
          <w:bCs/>
          <w:color w:val="auto"/>
          <w:szCs w:val="21"/>
        </w:rPr>
        <w:t>题库</w:t>
      </w:r>
      <w:r>
        <w:rPr>
          <w:rFonts w:hint="eastAsia" w:ascii="宋体" w:hAnsi="宋体"/>
          <w:bCs/>
          <w:color w:val="auto"/>
          <w:szCs w:val="21"/>
        </w:rPr>
        <w:t>：</w:t>
      </w:r>
      <w:r>
        <w:rPr>
          <w:rFonts w:ascii="宋体" w:hAnsi="宋体"/>
          <w:bCs/>
          <w:color w:val="auto"/>
          <w:szCs w:val="21"/>
        </w:rPr>
        <w:t>按照项目来划分自然练习单元，用于课内练习的习题或课后布置给学生完成的作业；其练习内容涵盖每个知识技能点，每个知识技能点的习题分为基础、提升、综合三个难度系数层次，为评价考核学生的学习成果，并提供参考答案与详细解析；每个项目设置一套综合模拟考评卷；期中期末各一套考评卷；题型包括判断、单选题、多选题、简答题、案例分析等多种题型。</w:t>
      </w:r>
    </w:p>
    <w:p w14:paraId="17D8DD59">
      <w:pPr>
        <w:spacing w:line="360" w:lineRule="auto"/>
        <w:ind w:left="437"/>
        <w:outlineLvl w:val="1"/>
        <w:rPr>
          <w:rFonts w:ascii="宋体" w:hAnsi="宋体"/>
          <w:bCs/>
          <w:color w:val="auto"/>
          <w:szCs w:val="21"/>
        </w:rPr>
      </w:pPr>
      <w:r>
        <w:rPr>
          <w:rFonts w:hint="eastAsia" w:ascii="宋体" w:hAnsi="宋体"/>
          <w:bCs/>
          <w:color w:val="auto"/>
          <w:szCs w:val="21"/>
        </w:rPr>
        <w:t>1.13</w:t>
      </w:r>
      <w:r>
        <w:rPr>
          <w:rFonts w:ascii="宋体" w:hAnsi="宋体"/>
          <w:bCs/>
          <w:color w:val="auto"/>
          <w:szCs w:val="21"/>
        </w:rPr>
        <w:t>开发特色培训资源</w:t>
      </w:r>
      <w:r>
        <w:rPr>
          <w:rFonts w:hint="eastAsia" w:ascii="宋体" w:hAnsi="宋体"/>
          <w:bCs/>
          <w:color w:val="auto"/>
          <w:szCs w:val="21"/>
        </w:rPr>
        <w:t>：</w:t>
      </w:r>
      <w:r>
        <w:rPr>
          <w:rFonts w:ascii="宋体" w:hAnsi="宋体"/>
          <w:bCs/>
          <w:color w:val="auto"/>
          <w:szCs w:val="21"/>
        </w:rPr>
        <w:t>特色培训资源的类型包括文本、演示文稿、图形图像、音频、视频、动画和虚拟仿真等，应充分利用信息技术提高资源的交互性和现代感 。</w:t>
      </w:r>
    </w:p>
    <w:p w14:paraId="733D3D27">
      <w:pPr>
        <w:spacing w:line="360" w:lineRule="auto"/>
        <w:ind w:left="437"/>
        <w:outlineLvl w:val="1"/>
        <w:rPr>
          <w:rFonts w:hint="default" w:ascii="宋体" w:hAnsi="宋体" w:eastAsia="宋体" w:cs="宋体"/>
          <w:color w:val="auto"/>
          <w:kern w:val="0"/>
          <w:szCs w:val="21"/>
          <w:highlight w:val="yellow"/>
          <w:lang w:val="en-US" w:eastAsia="zh-CN" w:bidi="ar"/>
        </w:rPr>
      </w:pPr>
      <w:r>
        <w:rPr>
          <w:rFonts w:hint="eastAsia" w:ascii="宋体" w:hAnsi="宋体" w:cs="宋体"/>
          <w:color w:val="auto"/>
          <w:kern w:val="0"/>
          <w:szCs w:val="21"/>
          <w:highlight w:val="yellow"/>
          <w:lang w:bidi="ar"/>
        </w:rPr>
        <w:t xml:space="preserve">实训指导视频对案例的分析或完成过程进行讲解，以 </w:t>
      </w:r>
      <w:r>
        <w:rPr>
          <w:rFonts w:ascii="宋体" w:hAnsi="宋体" w:cs="宋体"/>
          <w:color w:val="auto"/>
          <w:kern w:val="0"/>
          <w:szCs w:val="21"/>
          <w:highlight w:val="yellow"/>
          <w:lang w:bidi="ar"/>
        </w:rPr>
        <w:t xml:space="preserve">mp4 </w:t>
      </w:r>
      <w:r>
        <w:rPr>
          <w:rFonts w:hint="eastAsia" w:ascii="宋体" w:hAnsi="宋体" w:cs="宋体"/>
          <w:color w:val="auto"/>
          <w:kern w:val="0"/>
          <w:szCs w:val="21"/>
          <w:highlight w:val="yellow"/>
          <w:lang w:bidi="ar"/>
        </w:rPr>
        <w:t>格式存储；视频画面清晰、辅以声音讲解，分辨率</w:t>
      </w:r>
      <w:r>
        <w:rPr>
          <w:rFonts w:hint="eastAsia" w:ascii="宋体" w:hAnsi="宋体" w:cs="宋体"/>
          <w:color w:val="auto"/>
          <w:kern w:val="0"/>
          <w:szCs w:val="21"/>
          <w:highlight w:val="yellow"/>
          <w:lang w:val="en-US" w:eastAsia="zh-CN" w:bidi="ar"/>
        </w:rPr>
        <w:t>不低于</w:t>
      </w:r>
      <w:r>
        <w:rPr>
          <w:rFonts w:hint="eastAsia" w:ascii="宋体" w:hAnsi="宋体" w:cs="宋体"/>
          <w:color w:val="auto"/>
          <w:kern w:val="0"/>
          <w:szCs w:val="21"/>
          <w:highlight w:val="yellow"/>
          <w:lang w:bidi="ar"/>
        </w:rPr>
        <w:t xml:space="preserve"> </w:t>
      </w:r>
      <w:r>
        <w:rPr>
          <w:rFonts w:ascii="宋体" w:hAnsi="宋体" w:cs="宋体"/>
          <w:color w:val="auto"/>
          <w:kern w:val="0"/>
          <w:szCs w:val="21"/>
          <w:highlight w:val="yellow"/>
          <w:lang w:bidi="ar"/>
        </w:rPr>
        <w:t>1280</w:t>
      </w:r>
      <w:r>
        <w:rPr>
          <w:rFonts w:hint="eastAsia" w:ascii="宋体" w:hAnsi="宋体" w:cs="宋体"/>
          <w:color w:val="auto"/>
          <w:kern w:val="0"/>
          <w:szCs w:val="21"/>
          <w:highlight w:val="yellow"/>
          <w:lang w:bidi="ar"/>
        </w:rPr>
        <w:t>×</w:t>
      </w:r>
      <w:r>
        <w:rPr>
          <w:rFonts w:ascii="宋体" w:hAnsi="宋体" w:cs="宋体"/>
          <w:color w:val="auto"/>
          <w:kern w:val="0"/>
          <w:szCs w:val="21"/>
          <w:highlight w:val="yellow"/>
          <w:lang w:bidi="ar"/>
        </w:rPr>
        <w:t>720</w:t>
      </w:r>
      <w:r>
        <w:rPr>
          <w:rFonts w:hint="eastAsia" w:ascii="宋体" w:hAnsi="宋体" w:cs="宋体"/>
          <w:color w:val="auto"/>
          <w:kern w:val="0"/>
          <w:szCs w:val="21"/>
          <w:highlight w:val="yellow"/>
          <w:lang w:eastAsia="zh-CN" w:bidi="ar"/>
        </w:rPr>
        <w:t>，</w:t>
      </w:r>
      <w:r>
        <w:rPr>
          <w:rFonts w:hint="eastAsia" w:ascii="宋体" w:hAnsi="宋体" w:cs="宋体"/>
          <w:color w:val="auto"/>
          <w:kern w:val="0"/>
          <w:szCs w:val="21"/>
          <w:highlight w:val="yellow"/>
          <w:lang w:val="en-US" w:eastAsia="zh-CN" w:bidi="ar"/>
        </w:rPr>
        <w:t>时长5-15分钟。</w:t>
      </w:r>
    </w:p>
    <w:p w14:paraId="767A48BF">
      <w:pPr>
        <w:spacing w:line="360" w:lineRule="auto"/>
        <w:ind w:left="437"/>
        <w:outlineLvl w:val="1"/>
        <w:rPr>
          <w:rFonts w:hint="eastAsia" w:ascii="宋体" w:hAnsi="宋体"/>
          <w:bCs/>
          <w:color w:val="auto"/>
          <w:szCs w:val="21"/>
          <w:highlight w:val="yellow"/>
        </w:rPr>
      </w:pPr>
      <w:r>
        <w:rPr>
          <w:rFonts w:hint="eastAsia" w:ascii="宋体" w:hAnsi="宋体" w:cs="宋体"/>
          <w:color w:val="auto"/>
          <w:kern w:val="0"/>
          <w:szCs w:val="21"/>
          <w:highlight w:val="yellow"/>
          <w:lang w:bidi="ar"/>
        </w:rPr>
        <w:t>案例指导书包含任务说明、任务准备、任务实现步骤、任务总结、考核标准，用于学生操作学习中的过程指导。</w:t>
      </w:r>
    </w:p>
    <w:p w14:paraId="2A3F11E5">
      <w:pPr>
        <w:spacing w:line="360" w:lineRule="auto"/>
        <w:ind w:left="437"/>
        <w:outlineLvl w:val="1"/>
        <w:rPr>
          <w:rFonts w:hint="eastAsia" w:ascii="宋体" w:hAnsi="宋体"/>
          <w:bCs/>
          <w:color w:val="auto"/>
          <w:szCs w:val="21"/>
        </w:rPr>
      </w:pPr>
      <w:r>
        <w:rPr>
          <w:rFonts w:hint="eastAsia" w:ascii="宋体" w:hAnsi="宋体"/>
          <w:bCs/>
          <w:color w:val="auto"/>
          <w:szCs w:val="21"/>
        </w:rPr>
        <w:t>1.14</w:t>
      </w:r>
      <w:r>
        <w:rPr>
          <w:rFonts w:hint="eastAsia" w:ascii="宋体" w:hAnsi="宋体" w:cs="宋体"/>
          <w:color w:val="auto"/>
          <w:kern w:val="0"/>
          <w:szCs w:val="21"/>
          <w:lang w:bidi="ar"/>
        </w:rPr>
        <w:t>虚拟教学团队</w:t>
      </w:r>
    </w:p>
    <w:p w14:paraId="6E92D639">
      <w:pPr>
        <w:spacing w:line="360" w:lineRule="auto"/>
        <w:ind w:left="437"/>
        <w:outlineLvl w:val="1"/>
        <w:rPr>
          <w:rFonts w:hint="eastAsia" w:ascii="宋体" w:hAnsi="宋体" w:cs="宋体"/>
          <w:color w:val="auto"/>
          <w:kern w:val="0"/>
          <w:szCs w:val="21"/>
          <w:lang w:bidi="ar"/>
        </w:rPr>
      </w:pPr>
      <w:r>
        <w:rPr>
          <w:rFonts w:hint="eastAsia" w:ascii="宋体" w:hAnsi="宋体" w:cs="宋体"/>
          <w:color w:val="auto"/>
          <w:kern w:val="0"/>
          <w:szCs w:val="21"/>
          <w:lang w:bidi="ar"/>
        </w:rPr>
        <w:t>2D数字人普通定制</w:t>
      </w:r>
    </w:p>
    <w:p w14:paraId="3DF418A2">
      <w:pPr>
        <w:spacing w:line="360" w:lineRule="auto"/>
        <w:ind w:left="437"/>
        <w:outlineLvl w:val="1"/>
        <w:rPr>
          <w:rFonts w:hint="eastAsia" w:ascii="宋体" w:hAnsi="宋体"/>
          <w:bCs/>
          <w:color w:val="auto"/>
          <w:szCs w:val="21"/>
        </w:rPr>
      </w:pPr>
      <w:r>
        <w:rPr>
          <w:rFonts w:hint="eastAsia" w:ascii="宋体" w:hAnsi="宋体"/>
          <w:bCs/>
          <w:color w:val="auto"/>
          <w:szCs w:val="21"/>
        </w:rPr>
        <w:t>（1）形象设计：基于教师的面部特征、身材比例等基本信息，设计出一个符合教师形象的2D数字人。</w:t>
      </w:r>
    </w:p>
    <w:p w14:paraId="3A1D102F">
      <w:pPr>
        <w:spacing w:line="360" w:lineRule="auto"/>
        <w:ind w:left="437"/>
        <w:outlineLvl w:val="1"/>
        <w:rPr>
          <w:rFonts w:hint="eastAsia" w:ascii="宋体" w:hAnsi="宋体"/>
          <w:bCs/>
          <w:color w:val="auto"/>
          <w:szCs w:val="21"/>
        </w:rPr>
      </w:pPr>
      <w:r>
        <w:rPr>
          <w:rFonts w:hint="eastAsia" w:ascii="宋体" w:hAnsi="宋体"/>
          <w:bCs/>
          <w:color w:val="auto"/>
          <w:szCs w:val="21"/>
        </w:rPr>
        <w:t>（2）动画效果：为数字人添加基本的动画效果，如眨眼、微笑、点头等，使其更具生动性和表现力。</w:t>
      </w:r>
    </w:p>
    <w:p w14:paraId="378F3157">
      <w:pPr>
        <w:spacing w:line="360" w:lineRule="auto"/>
        <w:ind w:left="437"/>
        <w:outlineLvl w:val="1"/>
        <w:rPr>
          <w:rFonts w:hint="eastAsia" w:ascii="宋体" w:hAnsi="宋体"/>
          <w:bCs/>
          <w:color w:val="auto"/>
          <w:szCs w:val="21"/>
        </w:rPr>
      </w:pPr>
      <w:r>
        <w:rPr>
          <w:rFonts w:hint="eastAsia" w:ascii="宋体" w:hAnsi="宋体"/>
          <w:bCs/>
          <w:color w:val="auto"/>
          <w:szCs w:val="21"/>
        </w:rPr>
        <w:t>TTS声音普通定制</w:t>
      </w:r>
    </w:p>
    <w:p w14:paraId="6B34268E">
      <w:pPr>
        <w:spacing w:line="360" w:lineRule="auto"/>
        <w:ind w:left="437"/>
        <w:outlineLvl w:val="1"/>
        <w:rPr>
          <w:rFonts w:hint="eastAsia" w:ascii="宋体" w:hAnsi="宋体"/>
          <w:bCs/>
          <w:color w:val="auto"/>
          <w:szCs w:val="21"/>
        </w:rPr>
      </w:pPr>
      <w:r>
        <w:rPr>
          <w:rFonts w:hint="eastAsia" w:ascii="宋体" w:hAnsi="宋体"/>
          <w:bCs/>
          <w:color w:val="auto"/>
          <w:szCs w:val="21"/>
        </w:rPr>
        <w:t>（1）语音采集：线下录制教师的语音数据，确保数据的清晰度和准确性。录音过程中可以引导教师以不同的语速、语调和音量进行朗读，以便生成更自然的声音模型。</w:t>
      </w:r>
    </w:p>
    <w:p w14:paraId="2FA45A6B">
      <w:pPr>
        <w:spacing w:line="360" w:lineRule="auto"/>
        <w:ind w:left="437"/>
        <w:outlineLvl w:val="1"/>
        <w:rPr>
          <w:rFonts w:hint="eastAsia" w:ascii="宋体" w:hAnsi="宋体"/>
          <w:bCs/>
          <w:color w:val="auto"/>
          <w:szCs w:val="21"/>
        </w:rPr>
      </w:pPr>
      <w:r>
        <w:rPr>
          <w:rFonts w:hint="eastAsia" w:ascii="宋体" w:hAnsi="宋体"/>
          <w:bCs/>
          <w:color w:val="auto"/>
          <w:szCs w:val="21"/>
        </w:rPr>
        <w:t>（2）语音合成：利用文本到语音（TTS）技术，将教师的语音数据转化为声音模型。这个模型可以根据输入的文本生成教师的声音，实现语音合成功能。</w:t>
      </w:r>
    </w:p>
    <w:p w14:paraId="13636DD6">
      <w:pPr>
        <w:spacing w:line="360" w:lineRule="auto"/>
        <w:ind w:left="437"/>
        <w:outlineLvl w:val="1"/>
        <w:rPr>
          <w:rFonts w:hint="eastAsia" w:ascii="宋体" w:hAnsi="宋体"/>
          <w:bCs/>
          <w:color w:val="auto"/>
          <w:szCs w:val="21"/>
        </w:rPr>
      </w:pPr>
      <w:r>
        <w:rPr>
          <w:rFonts w:hint="eastAsia" w:ascii="宋体" w:hAnsi="宋体"/>
          <w:bCs/>
          <w:color w:val="auto"/>
          <w:szCs w:val="21"/>
        </w:rPr>
        <w:t>克隆数字人及声音</w:t>
      </w:r>
    </w:p>
    <w:p w14:paraId="0E261C20">
      <w:pPr>
        <w:spacing w:line="360" w:lineRule="auto"/>
        <w:ind w:left="437"/>
        <w:outlineLvl w:val="1"/>
        <w:rPr>
          <w:rFonts w:hint="eastAsia" w:ascii="宋体" w:hAnsi="宋体"/>
          <w:bCs/>
          <w:color w:val="auto"/>
          <w:szCs w:val="21"/>
        </w:rPr>
      </w:pPr>
      <w:r>
        <w:rPr>
          <w:rFonts w:hint="eastAsia" w:ascii="宋体" w:hAnsi="宋体"/>
          <w:bCs/>
          <w:color w:val="auto"/>
          <w:szCs w:val="21"/>
        </w:rPr>
        <w:t>（1）数据处理：将录制的视频和音频数据进行预处理，如去噪、标准化等，以提高数据质量。</w:t>
      </w:r>
    </w:p>
    <w:p w14:paraId="5146DED4">
      <w:pPr>
        <w:spacing w:line="360" w:lineRule="auto"/>
        <w:ind w:left="437"/>
        <w:outlineLvl w:val="1"/>
        <w:rPr>
          <w:rFonts w:hint="eastAsia" w:ascii="宋体" w:hAnsi="宋体"/>
          <w:bCs/>
          <w:color w:val="auto"/>
          <w:szCs w:val="21"/>
        </w:rPr>
      </w:pPr>
      <w:r>
        <w:rPr>
          <w:rFonts w:hint="eastAsia" w:ascii="宋体" w:hAnsi="宋体"/>
          <w:bCs/>
          <w:color w:val="auto"/>
          <w:szCs w:val="21"/>
        </w:rPr>
        <w:t>（2）深度学习训练：利用深度学习技术，对视频和音频数据进行训练，生成专属的克隆数字人及克隆声音。训练过程中可以不断调整和优化模型参数，以达到更好的效果。</w:t>
      </w:r>
    </w:p>
    <w:p w14:paraId="700C5126">
      <w:pPr>
        <w:spacing w:line="360" w:lineRule="auto"/>
        <w:ind w:left="437"/>
        <w:outlineLvl w:val="1"/>
        <w:rPr>
          <w:rFonts w:hint="eastAsia" w:ascii="宋体" w:hAnsi="宋体"/>
          <w:bCs/>
          <w:color w:val="auto"/>
          <w:szCs w:val="21"/>
        </w:rPr>
      </w:pPr>
      <w:r>
        <w:rPr>
          <w:rFonts w:hint="eastAsia" w:ascii="宋体" w:hAnsi="宋体"/>
          <w:bCs/>
          <w:color w:val="auto"/>
          <w:szCs w:val="21"/>
        </w:rPr>
        <w:t>（3）功能支持：支持数字人讲授课程知识点形成视频。用户可以将课程知识点输入到系统中，由数字人进行讲授并生成相应的视频。这些视频可以用于在线教学、微课制作等多种场景。</w:t>
      </w:r>
    </w:p>
    <w:p w14:paraId="5255A6B1">
      <w:pPr>
        <w:spacing w:line="360" w:lineRule="auto"/>
        <w:ind w:left="437"/>
        <w:outlineLvl w:val="1"/>
        <w:rPr>
          <w:rFonts w:hint="eastAsia" w:ascii="宋体" w:hAnsi="宋体"/>
          <w:bCs/>
          <w:color w:val="auto"/>
          <w:szCs w:val="21"/>
        </w:rPr>
      </w:pPr>
      <w:r>
        <w:rPr>
          <w:rFonts w:hint="eastAsia" w:ascii="宋体" w:hAnsi="宋体"/>
          <w:bCs/>
          <w:color w:val="auto"/>
          <w:szCs w:val="21"/>
        </w:rPr>
        <w:t>2、具体要求</w:t>
      </w:r>
    </w:p>
    <w:p w14:paraId="2EE21CAA">
      <w:pPr>
        <w:spacing w:line="360" w:lineRule="auto"/>
        <w:ind w:left="437"/>
        <w:outlineLvl w:val="1"/>
        <w:rPr>
          <w:rFonts w:hint="eastAsia" w:ascii="宋体" w:hAnsi="宋体"/>
          <w:bCs/>
          <w:color w:val="auto"/>
          <w:szCs w:val="21"/>
        </w:rPr>
      </w:pPr>
      <w:r>
        <w:rPr>
          <w:rFonts w:hint="eastAsia" w:ascii="宋体" w:hAnsi="宋体"/>
          <w:bCs/>
          <w:color w:val="auto"/>
          <w:szCs w:val="21"/>
        </w:rPr>
        <w:t>2.1课程拍摄要求</w:t>
      </w:r>
    </w:p>
    <w:tbl>
      <w:tblPr>
        <w:tblStyle w:val="7"/>
        <w:tblW w:w="4751" w:type="pct"/>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863"/>
        <w:gridCol w:w="1294"/>
        <w:gridCol w:w="5236"/>
      </w:tblGrid>
      <w:tr w14:paraId="4CBF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shd w:val="clear" w:color="000000" w:fill="FFFFFF"/>
            <w:noWrap w:val="0"/>
            <w:vAlign w:val="center"/>
          </w:tcPr>
          <w:p w14:paraId="2E152F4B">
            <w:pPr>
              <w:spacing w:line="360" w:lineRule="auto"/>
              <w:outlineLvl w:val="1"/>
              <w:rPr>
                <w:rFonts w:hint="eastAsia" w:ascii="宋体" w:hAnsi="宋体"/>
                <w:bCs/>
                <w:color w:val="auto"/>
                <w:szCs w:val="21"/>
              </w:rPr>
            </w:pPr>
            <w:r>
              <w:rPr>
                <w:rFonts w:hint="eastAsia" w:ascii="宋体" w:hAnsi="宋体"/>
                <w:bCs/>
                <w:color w:val="auto"/>
                <w:szCs w:val="21"/>
              </w:rPr>
              <w:t>课程</w:t>
            </w:r>
          </w:p>
          <w:p w14:paraId="5FA621F8">
            <w:pPr>
              <w:spacing w:line="360" w:lineRule="auto"/>
              <w:outlineLvl w:val="1"/>
              <w:rPr>
                <w:rFonts w:hint="eastAsia" w:ascii="宋体" w:hAnsi="宋体"/>
                <w:bCs/>
                <w:color w:val="auto"/>
                <w:szCs w:val="21"/>
              </w:rPr>
            </w:pPr>
            <w:r>
              <w:rPr>
                <w:rFonts w:hint="eastAsia" w:ascii="宋体" w:hAnsi="宋体"/>
                <w:bCs/>
                <w:color w:val="auto"/>
                <w:szCs w:val="21"/>
              </w:rPr>
              <w:t>级别</w:t>
            </w:r>
          </w:p>
        </w:tc>
        <w:tc>
          <w:tcPr>
            <w:tcW w:w="460" w:type="pct"/>
            <w:shd w:val="clear" w:color="000000" w:fill="FFFFFF"/>
            <w:noWrap w:val="0"/>
            <w:vAlign w:val="center"/>
          </w:tcPr>
          <w:p w14:paraId="6CD3C00B">
            <w:pPr>
              <w:spacing w:line="360" w:lineRule="auto"/>
              <w:outlineLvl w:val="1"/>
              <w:rPr>
                <w:rFonts w:hint="eastAsia" w:ascii="宋体" w:hAnsi="宋体"/>
                <w:bCs/>
                <w:color w:val="auto"/>
                <w:szCs w:val="21"/>
              </w:rPr>
            </w:pPr>
            <w:r>
              <w:rPr>
                <w:rFonts w:hint="eastAsia" w:ascii="宋体" w:hAnsi="宋体"/>
                <w:bCs/>
                <w:color w:val="auto"/>
                <w:szCs w:val="21"/>
              </w:rPr>
              <w:t>流程</w:t>
            </w:r>
          </w:p>
        </w:tc>
        <w:tc>
          <w:tcPr>
            <w:tcW w:w="823" w:type="pct"/>
            <w:shd w:val="clear" w:color="000000" w:fill="FFFFFF"/>
            <w:noWrap w:val="0"/>
            <w:vAlign w:val="center"/>
          </w:tcPr>
          <w:p w14:paraId="539D76EB">
            <w:pPr>
              <w:spacing w:line="360" w:lineRule="auto"/>
              <w:outlineLvl w:val="1"/>
              <w:rPr>
                <w:rFonts w:hint="eastAsia" w:ascii="宋体" w:hAnsi="宋体"/>
                <w:bCs/>
                <w:color w:val="auto"/>
                <w:szCs w:val="21"/>
              </w:rPr>
            </w:pPr>
            <w:r>
              <w:rPr>
                <w:rFonts w:hint="eastAsia" w:ascii="宋体" w:hAnsi="宋体"/>
                <w:bCs/>
                <w:color w:val="auto"/>
                <w:szCs w:val="21"/>
              </w:rPr>
              <w:t>配置</w:t>
            </w:r>
          </w:p>
        </w:tc>
        <w:tc>
          <w:tcPr>
            <w:tcW w:w="3256" w:type="pct"/>
            <w:shd w:val="clear" w:color="000000" w:fill="FFFFFF"/>
            <w:noWrap w:val="0"/>
            <w:vAlign w:val="center"/>
          </w:tcPr>
          <w:p w14:paraId="1F524D1C">
            <w:pPr>
              <w:spacing w:line="360" w:lineRule="auto"/>
              <w:ind w:left="437"/>
              <w:outlineLvl w:val="1"/>
              <w:rPr>
                <w:rFonts w:hint="eastAsia" w:ascii="宋体" w:hAnsi="宋体"/>
                <w:bCs/>
                <w:color w:val="auto"/>
                <w:szCs w:val="21"/>
              </w:rPr>
            </w:pPr>
            <w:r>
              <w:rPr>
                <w:rFonts w:hint="eastAsia" w:ascii="宋体" w:hAnsi="宋体"/>
                <w:bCs/>
                <w:color w:val="auto"/>
                <w:szCs w:val="21"/>
              </w:rPr>
              <w:t>服务项目</w:t>
            </w:r>
          </w:p>
        </w:tc>
      </w:tr>
      <w:tr w14:paraId="774E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restart"/>
            <w:shd w:val="clear" w:color="000000" w:fill="FFFFFF"/>
            <w:noWrap w:val="0"/>
            <w:vAlign w:val="center"/>
          </w:tcPr>
          <w:p w14:paraId="1D432AA8">
            <w:pPr>
              <w:spacing w:line="360" w:lineRule="auto"/>
              <w:outlineLvl w:val="1"/>
              <w:rPr>
                <w:rFonts w:hint="eastAsia" w:ascii="宋体" w:hAnsi="宋体"/>
                <w:bCs/>
                <w:color w:val="auto"/>
                <w:szCs w:val="21"/>
              </w:rPr>
            </w:pPr>
            <w:r>
              <w:rPr>
                <w:rFonts w:hint="eastAsia" w:ascii="宋体" w:hAnsi="宋体"/>
                <w:bCs/>
                <w:color w:val="auto"/>
                <w:szCs w:val="21"/>
              </w:rPr>
              <w:t>国家级资源库微课制作标准</w:t>
            </w:r>
          </w:p>
        </w:tc>
        <w:tc>
          <w:tcPr>
            <w:tcW w:w="460" w:type="pct"/>
            <w:vMerge w:val="restart"/>
            <w:shd w:val="clear" w:color="000000" w:fill="FFFFFF"/>
            <w:noWrap w:val="0"/>
            <w:vAlign w:val="center"/>
          </w:tcPr>
          <w:p w14:paraId="01F599E2">
            <w:pPr>
              <w:spacing w:line="360" w:lineRule="auto"/>
              <w:outlineLvl w:val="1"/>
              <w:rPr>
                <w:rFonts w:hint="eastAsia" w:ascii="宋体" w:hAnsi="宋体"/>
                <w:bCs/>
                <w:color w:val="auto"/>
                <w:szCs w:val="21"/>
              </w:rPr>
            </w:pPr>
            <w:r>
              <w:rPr>
                <w:rFonts w:hint="eastAsia" w:ascii="宋体" w:hAnsi="宋体"/>
                <w:bCs/>
                <w:color w:val="auto"/>
                <w:szCs w:val="21"/>
              </w:rPr>
              <w:t>前期准备</w:t>
            </w:r>
          </w:p>
        </w:tc>
        <w:tc>
          <w:tcPr>
            <w:tcW w:w="823" w:type="pct"/>
            <w:shd w:val="clear" w:color="000000" w:fill="FFFFFF"/>
            <w:noWrap w:val="0"/>
            <w:vAlign w:val="center"/>
          </w:tcPr>
          <w:p w14:paraId="5C1A347E">
            <w:pPr>
              <w:spacing w:line="360" w:lineRule="auto"/>
              <w:outlineLvl w:val="1"/>
              <w:rPr>
                <w:rFonts w:hint="eastAsia" w:ascii="宋体" w:hAnsi="宋体"/>
                <w:bCs/>
                <w:color w:val="auto"/>
                <w:szCs w:val="21"/>
              </w:rPr>
            </w:pPr>
            <w:r>
              <w:rPr>
                <w:rFonts w:hint="eastAsia" w:ascii="宋体" w:hAnsi="宋体"/>
                <w:bCs/>
                <w:color w:val="auto"/>
                <w:szCs w:val="21"/>
              </w:rPr>
              <w:t>项目经理</w:t>
            </w:r>
          </w:p>
        </w:tc>
        <w:tc>
          <w:tcPr>
            <w:tcW w:w="3256" w:type="pct"/>
            <w:shd w:val="clear" w:color="000000" w:fill="FFFFFF"/>
            <w:noWrap w:val="0"/>
            <w:vAlign w:val="center"/>
          </w:tcPr>
          <w:p w14:paraId="3E263C3C">
            <w:pPr>
              <w:spacing w:line="360" w:lineRule="auto"/>
              <w:ind w:left="437"/>
              <w:outlineLvl w:val="1"/>
              <w:rPr>
                <w:rFonts w:hint="eastAsia" w:ascii="宋体" w:hAnsi="宋体"/>
                <w:bCs/>
                <w:color w:val="auto"/>
                <w:szCs w:val="21"/>
              </w:rPr>
            </w:pPr>
            <w:r>
              <w:rPr>
                <w:rFonts w:hint="eastAsia" w:ascii="宋体" w:hAnsi="宋体"/>
                <w:bCs/>
                <w:color w:val="auto"/>
                <w:szCs w:val="21"/>
              </w:rPr>
              <w:t>与老师、学校深度沟通收集材料</w:t>
            </w:r>
          </w:p>
        </w:tc>
      </w:tr>
      <w:tr w14:paraId="436D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459" w:type="pct"/>
            <w:vMerge w:val="continue"/>
            <w:shd w:val="clear" w:color="auto" w:fill="auto"/>
            <w:noWrap w:val="0"/>
            <w:vAlign w:val="center"/>
          </w:tcPr>
          <w:p w14:paraId="16AE0713">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0C410C3B">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25CD37EE">
            <w:pPr>
              <w:spacing w:line="360" w:lineRule="auto"/>
              <w:outlineLvl w:val="1"/>
              <w:rPr>
                <w:rFonts w:hint="eastAsia" w:ascii="宋体" w:hAnsi="宋体"/>
                <w:bCs/>
                <w:color w:val="auto"/>
                <w:szCs w:val="21"/>
              </w:rPr>
            </w:pPr>
            <w:r>
              <w:rPr>
                <w:rFonts w:hint="eastAsia" w:ascii="宋体" w:hAnsi="宋体"/>
                <w:bCs/>
                <w:color w:val="auto"/>
                <w:szCs w:val="21"/>
              </w:rPr>
              <w:t>创意设计</w:t>
            </w:r>
          </w:p>
        </w:tc>
        <w:tc>
          <w:tcPr>
            <w:tcW w:w="3256" w:type="pct"/>
            <w:shd w:val="clear" w:color="000000" w:fill="FFFFFF"/>
            <w:noWrap w:val="0"/>
            <w:vAlign w:val="center"/>
          </w:tcPr>
          <w:p w14:paraId="0D0C6CF9">
            <w:pPr>
              <w:spacing w:line="360" w:lineRule="auto"/>
              <w:ind w:left="437"/>
              <w:outlineLvl w:val="1"/>
              <w:rPr>
                <w:rFonts w:hint="eastAsia" w:ascii="宋体" w:hAnsi="宋体"/>
                <w:bCs/>
                <w:color w:val="auto"/>
                <w:szCs w:val="21"/>
              </w:rPr>
            </w:pPr>
            <w:r>
              <w:rPr>
                <w:rFonts w:hint="eastAsia" w:ascii="宋体" w:hAnsi="宋体"/>
                <w:bCs/>
                <w:color w:val="auto"/>
                <w:szCs w:val="21"/>
              </w:rPr>
              <w:t>根据课程提供创意思路</w:t>
            </w:r>
          </w:p>
        </w:tc>
      </w:tr>
      <w:tr w14:paraId="2139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7837A846">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6EA0248E">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51CBB54D">
            <w:pPr>
              <w:spacing w:line="360" w:lineRule="auto"/>
              <w:outlineLvl w:val="1"/>
              <w:rPr>
                <w:rFonts w:hint="eastAsia" w:ascii="宋体" w:hAnsi="宋体"/>
                <w:bCs/>
                <w:color w:val="auto"/>
                <w:szCs w:val="21"/>
              </w:rPr>
            </w:pPr>
            <w:r>
              <w:rPr>
                <w:rFonts w:hint="eastAsia" w:ascii="宋体" w:hAnsi="宋体"/>
                <w:bCs/>
                <w:color w:val="auto"/>
                <w:szCs w:val="21"/>
              </w:rPr>
              <w:t>教学设计师</w:t>
            </w:r>
          </w:p>
        </w:tc>
        <w:tc>
          <w:tcPr>
            <w:tcW w:w="3256" w:type="pct"/>
            <w:shd w:val="clear" w:color="000000" w:fill="FFFFFF"/>
            <w:noWrap w:val="0"/>
            <w:vAlign w:val="center"/>
          </w:tcPr>
          <w:p w14:paraId="356A7D34">
            <w:pPr>
              <w:spacing w:line="360" w:lineRule="auto"/>
              <w:ind w:left="437"/>
              <w:outlineLvl w:val="1"/>
              <w:rPr>
                <w:rFonts w:hint="eastAsia" w:ascii="宋体" w:hAnsi="宋体"/>
                <w:bCs/>
                <w:color w:val="auto"/>
                <w:szCs w:val="21"/>
              </w:rPr>
            </w:pPr>
            <w:r>
              <w:rPr>
                <w:rFonts w:hint="eastAsia" w:ascii="宋体" w:hAnsi="宋体"/>
                <w:bCs/>
                <w:color w:val="auto"/>
                <w:szCs w:val="21"/>
              </w:rPr>
              <w:t>对教学活动及拍摄形式的策划设计</w:t>
            </w:r>
          </w:p>
        </w:tc>
      </w:tr>
      <w:tr w14:paraId="0532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59" w:type="pct"/>
            <w:vMerge w:val="continue"/>
            <w:shd w:val="clear" w:color="auto" w:fill="auto"/>
            <w:noWrap w:val="0"/>
            <w:vAlign w:val="center"/>
          </w:tcPr>
          <w:p w14:paraId="26A683F9">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28EC51BD">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3400446D">
            <w:pPr>
              <w:spacing w:line="360" w:lineRule="auto"/>
              <w:outlineLvl w:val="1"/>
              <w:rPr>
                <w:rFonts w:hint="eastAsia" w:ascii="宋体" w:hAnsi="宋体"/>
                <w:bCs/>
                <w:color w:val="auto"/>
                <w:szCs w:val="21"/>
              </w:rPr>
            </w:pPr>
            <w:r>
              <w:rPr>
                <w:rFonts w:hint="eastAsia" w:ascii="宋体" w:hAnsi="宋体"/>
                <w:bCs/>
                <w:color w:val="auto"/>
                <w:szCs w:val="21"/>
              </w:rPr>
              <w:t>拍摄培训师1人</w:t>
            </w:r>
          </w:p>
        </w:tc>
        <w:tc>
          <w:tcPr>
            <w:tcW w:w="3256" w:type="pct"/>
            <w:shd w:val="clear" w:color="000000" w:fill="FFFFFF"/>
            <w:noWrap w:val="0"/>
            <w:vAlign w:val="center"/>
          </w:tcPr>
          <w:p w14:paraId="374B9D19">
            <w:pPr>
              <w:spacing w:line="360" w:lineRule="auto"/>
              <w:ind w:left="437"/>
              <w:outlineLvl w:val="1"/>
              <w:rPr>
                <w:rFonts w:hint="eastAsia" w:ascii="宋体" w:hAnsi="宋体"/>
                <w:bCs/>
                <w:color w:val="auto"/>
                <w:szCs w:val="21"/>
              </w:rPr>
            </w:pPr>
            <w:r>
              <w:rPr>
                <w:rFonts w:hint="eastAsia" w:ascii="宋体" w:hAnsi="宋体"/>
                <w:bCs/>
                <w:color w:val="auto"/>
                <w:szCs w:val="21"/>
              </w:rPr>
              <w:t>辅导老师对镜头的适应、引导老师拍出更自然的课程，辅助老师进行着装的选择。</w:t>
            </w:r>
          </w:p>
        </w:tc>
      </w:tr>
      <w:tr w14:paraId="159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600766FE">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610EB4AE">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21BE645E">
            <w:pPr>
              <w:spacing w:line="360" w:lineRule="auto"/>
              <w:outlineLvl w:val="1"/>
              <w:rPr>
                <w:rFonts w:hint="eastAsia" w:ascii="宋体" w:hAnsi="宋体"/>
                <w:bCs/>
                <w:color w:val="auto"/>
                <w:szCs w:val="21"/>
              </w:rPr>
            </w:pPr>
            <w:r>
              <w:rPr>
                <w:rFonts w:hint="eastAsia" w:ascii="宋体" w:hAnsi="宋体"/>
                <w:bCs/>
                <w:color w:val="auto"/>
                <w:szCs w:val="21"/>
              </w:rPr>
              <w:t>片头策划1人</w:t>
            </w:r>
          </w:p>
        </w:tc>
        <w:tc>
          <w:tcPr>
            <w:tcW w:w="3256" w:type="pct"/>
            <w:shd w:val="clear" w:color="000000" w:fill="FFFFFF"/>
            <w:noWrap w:val="0"/>
            <w:vAlign w:val="center"/>
          </w:tcPr>
          <w:p w14:paraId="3AE3730F">
            <w:pPr>
              <w:spacing w:line="360" w:lineRule="auto"/>
              <w:ind w:left="437"/>
              <w:outlineLvl w:val="1"/>
              <w:rPr>
                <w:rFonts w:hint="eastAsia" w:ascii="宋体" w:hAnsi="宋体"/>
                <w:bCs/>
                <w:color w:val="auto"/>
                <w:szCs w:val="21"/>
              </w:rPr>
            </w:pPr>
            <w:r>
              <w:rPr>
                <w:rFonts w:hint="eastAsia" w:ascii="宋体" w:hAnsi="宋体"/>
                <w:bCs/>
                <w:color w:val="auto"/>
                <w:szCs w:val="21"/>
              </w:rPr>
              <w:t>根据课程量身定做课程片头5-15秒</w:t>
            </w:r>
          </w:p>
        </w:tc>
      </w:tr>
      <w:tr w14:paraId="2572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459" w:type="pct"/>
            <w:vMerge w:val="continue"/>
            <w:shd w:val="clear" w:color="auto" w:fill="auto"/>
            <w:noWrap w:val="0"/>
            <w:vAlign w:val="center"/>
          </w:tcPr>
          <w:p w14:paraId="2FF89FA9">
            <w:pPr>
              <w:spacing w:line="360" w:lineRule="auto"/>
              <w:ind w:left="437"/>
              <w:outlineLvl w:val="9"/>
              <w:rPr>
                <w:rFonts w:hint="eastAsia" w:ascii="宋体" w:hAnsi="宋体"/>
                <w:bCs/>
                <w:color w:val="auto"/>
                <w:szCs w:val="21"/>
              </w:rPr>
            </w:pPr>
          </w:p>
        </w:tc>
        <w:tc>
          <w:tcPr>
            <w:tcW w:w="460" w:type="pct"/>
            <w:vMerge w:val="restart"/>
            <w:shd w:val="clear" w:color="000000" w:fill="FFFFFF"/>
            <w:noWrap w:val="0"/>
            <w:vAlign w:val="center"/>
          </w:tcPr>
          <w:p w14:paraId="100CFE32">
            <w:pPr>
              <w:spacing w:line="360" w:lineRule="auto"/>
              <w:outlineLvl w:val="1"/>
              <w:rPr>
                <w:rFonts w:hint="eastAsia" w:ascii="宋体" w:hAnsi="宋体"/>
                <w:bCs/>
                <w:color w:val="auto"/>
                <w:szCs w:val="21"/>
              </w:rPr>
            </w:pPr>
            <w:r>
              <w:rPr>
                <w:rFonts w:hint="eastAsia" w:ascii="宋体" w:hAnsi="宋体"/>
                <w:bCs/>
                <w:color w:val="auto"/>
                <w:szCs w:val="21"/>
              </w:rPr>
              <w:t>中期拍摄</w:t>
            </w:r>
          </w:p>
        </w:tc>
        <w:tc>
          <w:tcPr>
            <w:tcW w:w="823" w:type="pct"/>
            <w:shd w:val="clear" w:color="000000" w:fill="FFFFFF"/>
            <w:noWrap w:val="0"/>
            <w:vAlign w:val="center"/>
          </w:tcPr>
          <w:p w14:paraId="6ABF0FCC">
            <w:pPr>
              <w:spacing w:line="360" w:lineRule="auto"/>
              <w:outlineLvl w:val="1"/>
              <w:rPr>
                <w:rFonts w:hint="eastAsia" w:ascii="宋体" w:hAnsi="宋体"/>
                <w:bCs/>
                <w:color w:val="auto"/>
                <w:szCs w:val="21"/>
              </w:rPr>
            </w:pPr>
            <w:r>
              <w:rPr>
                <w:rFonts w:hint="eastAsia" w:ascii="宋体" w:hAnsi="宋体"/>
                <w:bCs/>
                <w:color w:val="auto"/>
                <w:szCs w:val="21"/>
              </w:rPr>
              <w:t>影视级别专业摄像团队</w:t>
            </w:r>
          </w:p>
        </w:tc>
        <w:tc>
          <w:tcPr>
            <w:tcW w:w="3256" w:type="pct"/>
            <w:shd w:val="clear" w:color="000000" w:fill="FFFFFF"/>
            <w:noWrap w:val="0"/>
            <w:vAlign w:val="center"/>
          </w:tcPr>
          <w:p w14:paraId="2A69A114">
            <w:pPr>
              <w:spacing w:line="360" w:lineRule="auto"/>
              <w:ind w:left="437"/>
              <w:outlineLvl w:val="1"/>
              <w:rPr>
                <w:rFonts w:hint="eastAsia" w:ascii="宋体" w:hAnsi="宋体"/>
                <w:bCs/>
                <w:color w:val="auto"/>
                <w:szCs w:val="21"/>
              </w:rPr>
            </w:pPr>
            <w:r>
              <w:rPr>
                <w:rFonts w:hint="eastAsia" w:ascii="宋体" w:hAnsi="宋体"/>
                <w:bCs/>
                <w:color w:val="auto"/>
                <w:szCs w:val="21"/>
              </w:rPr>
              <w:t>片头拍摄：高清</w:t>
            </w:r>
            <w:r>
              <w:rPr>
                <w:rFonts w:hint="eastAsia" w:ascii="宋体" w:hAnsi="宋体"/>
                <w:bCs/>
                <w:color w:val="auto"/>
                <w:szCs w:val="21"/>
                <w:lang w:eastAsia="zh-CN"/>
              </w:rPr>
              <w:t>摄像机</w:t>
            </w:r>
            <w:r>
              <w:rPr>
                <w:rFonts w:hint="eastAsia" w:ascii="宋体" w:hAnsi="宋体"/>
                <w:bCs/>
                <w:color w:val="auto"/>
                <w:szCs w:val="21"/>
              </w:rPr>
              <w:t>、升降机、轨道、大摇臂、灯光</w:t>
            </w:r>
          </w:p>
        </w:tc>
      </w:tr>
      <w:tr w14:paraId="502A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459" w:type="pct"/>
            <w:vMerge w:val="continue"/>
            <w:shd w:val="clear" w:color="auto" w:fill="auto"/>
            <w:noWrap w:val="0"/>
            <w:vAlign w:val="center"/>
          </w:tcPr>
          <w:p w14:paraId="09DC3480">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EE58413">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01CBC85A">
            <w:pPr>
              <w:spacing w:line="360" w:lineRule="auto"/>
              <w:outlineLvl w:val="1"/>
              <w:rPr>
                <w:rFonts w:hint="eastAsia" w:ascii="宋体" w:hAnsi="宋体"/>
                <w:bCs/>
                <w:color w:val="auto"/>
                <w:szCs w:val="21"/>
              </w:rPr>
            </w:pPr>
            <w:r>
              <w:rPr>
                <w:rFonts w:hint="eastAsia" w:ascii="宋体" w:hAnsi="宋体"/>
                <w:bCs/>
                <w:color w:val="auto"/>
                <w:szCs w:val="21"/>
              </w:rPr>
              <w:t>影视级别专业摄像2-3人</w:t>
            </w:r>
          </w:p>
        </w:tc>
        <w:tc>
          <w:tcPr>
            <w:tcW w:w="3256" w:type="pct"/>
            <w:shd w:val="clear" w:color="000000" w:fill="FFFFFF"/>
            <w:noWrap w:val="0"/>
            <w:vAlign w:val="center"/>
          </w:tcPr>
          <w:p w14:paraId="1747E062">
            <w:pPr>
              <w:spacing w:line="360" w:lineRule="auto"/>
              <w:ind w:left="437"/>
              <w:outlineLvl w:val="1"/>
              <w:rPr>
                <w:rFonts w:hint="eastAsia" w:ascii="宋体" w:hAnsi="宋体"/>
                <w:bCs/>
                <w:color w:val="auto"/>
                <w:szCs w:val="21"/>
              </w:rPr>
            </w:pPr>
            <w:r>
              <w:rPr>
                <w:rFonts w:hint="eastAsia" w:ascii="宋体" w:hAnsi="宋体"/>
                <w:bCs/>
                <w:color w:val="auto"/>
                <w:szCs w:val="21"/>
              </w:rPr>
              <w:t>摄像师，进行拍摄前的白平衡调试、机位的摆放、音频设备的测试，对课程的进度进行实时</w:t>
            </w:r>
            <w:r>
              <w:rPr>
                <w:rFonts w:hint="eastAsia" w:ascii="宋体" w:hAnsi="宋体"/>
                <w:bCs/>
                <w:color w:val="auto"/>
                <w:szCs w:val="21"/>
                <w:lang w:eastAsia="zh-CN"/>
              </w:rPr>
              <w:t>地</w:t>
            </w:r>
            <w:r>
              <w:rPr>
                <w:rFonts w:hint="eastAsia" w:ascii="宋体" w:hAnsi="宋体"/>
                <w:bCs/>
                <w:color w:val="auto"/>
                <w:szCs w:val="21"/>
              </w:rPr>
              <w:t>记录、撰写通告，负责灯光的调试。</w:t>
            </w:r>
          </w:p>
        </w:tc>
      </w:tr>
      <w:tr w14:paraId="0A08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459" w:type="pct"/>
            <w:vMerge w:val="continue"/>
            <w:shd w:val="clear" w:color="auto" w:fill="auto"/>
            <w:noWrap w:val="0"/>
            <w:vAlign w:val="center"/>
          </w:tcPr>
          <w:p w14:paraId="51BE2153">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468A342B">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57642131">
            <w:pPr>
              <w:spacing w:line="360" w:lineRule="auto"/>
              <w:outlineLvl w:val="1"/>
              <w:rPr>
                <w:rFonts w:hint="eastAsia" w:ascii="宋体" w:hAnsi="宋体"/>
                <w:bCs/>
                <w:color w:val="auto"/>
                <w:szCs w:val="21"/>
              </w:rPr>
            </w:pPr>
            <w:r>
              <w:rPr>
                <w:rFonts w:hint="eastAsia" w:ascii="宋体" w:hAnsi="宋体"/>
                <w:bCs/>
                <w:color w:val="auto"/>
                <w:szCs w:val="21"/>
              </w:rPr>
              <w:t>摄像设备要求</w:t>
            </w:r>
          </w:p>
        </w:tc>
        <w:tc>
          <w:tcPr>
            <w:tcW w:w="3256" w:type="pct"/>
            <w:shd w:val="clear" w:color="000000" w:fill="FFFFFF"/>
            <w:noWrap w:val="0"/>
            <w:vAlign w:val="center"/>
          </w:tcPr>
          <w:p w14:paraId="38B71E24">
            <w:pPr>
              <w:spacing w:line="360" w:lineRule="auto"/>
              <w:ind w:left="437"/>
              <w:outlineLvl w:val="1"/>
              <w:rPr>
                <w:rFonts w:hint="eastAsia" w:ascii="宋体" w:hAnsi="宋体"/>
                <w:bCs/>
                <w:color w:val="auto"/>
                <w:szCs w:val="21"/>
              </w:rPr>
            </w:pPr>
            <w:r>
              <w:rPr>
                <w:rFonts w:hint="eastAsia" w:ascii="宋体" w:hAnsi="宋体"/>
                <w:bCs/>
                <w:color w:val="auto"/>
                <w:szCs w:val="21"/>
              </w:rPr>
              <w:t>1.课程拍摄机器采用35mm 4K高清专业摄像机；提供至少双机位拍摄。配置至少2组单反镜头：24mm-105mm  小于或等于f4.0 常规镜头；24mm-70mm f2.8变焦镜头</w:t>
            </w:r>
            <w:r>
              <w:rPr>
                <w:rFonts w:hint="eastAsia" w:ascii="宋体" w:hAnsi="宋体"/>
                <w:bCs/>
                <w:color w:val="auto"/>
                <w:szCs w:val="21"/>
              </w:rPr>
              <w:br w:type="textWrapping"/>
            </w:r>
            <w:r>
              <w:rPr>
                <w:rFonts w:hint="eastAsia" w:ascii="宋体" w:hAnsi="宋体"/>
                <w:bCs/>
                <w:color w:val="auto"/>
                <w:szCs w:val="21"/>
              </w:rPr>
              <w:t>2.音频设备：与摄像机相同品牌的专业无线麦克风</w:t>
            </w:r>
          </w:p>
        </w:tc>
      </w:tr>
      <w:tr w14:paraId="307D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098BDBCC">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43D54F9">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4B112FF3">
            <w:pPr>
              <w:spacing w:line="360" w:lineRule="auto"/>
              <w:outlineLvl w:val="1"/>
              <w:rPr>
                <w:rFonts w:hint="eastAsia" w:ascii="宋体" w:hAnsi="宋体"/>
                <w:bCs/>
                <w:color w:val="auto"/>
                <w:szCs w:val="21"/>
              </w:rPr>
            </w:pPr>
            <w:r>
              <w:rPr>
                <w:rFonts w:hint="eastAsia" w:ascii="宋体" w:hAnsi="宋体"/>
                <w:bCs/>
                <w:color w:val="auto"/>
                <w:szCs w:val="21"/>
              </w:rPr>
              <w:t>化妆师1人</w:t>
            </w:r>
          </w:p>
        </w:tc>
        <w:tc>
          <w:tcPr>
            <w:tcW w:w="3256" w:type="pct"/>
            <w:shd w:val="clear" w:color="000000" w:fill="FFFFFF"/>
            <w:noWrap w:val="0"/>
            <w:vAlign w:val="center"/>
          </w:tcPr>
          <w:p w14:paraId="4F91977D">
            <w:pPr>
              <w:spacing w:line="360" w:lineRule="auto"/>
              <w:ind w:left="437"/>
              <w:outlineLvl w:val="1"/>
              <w:rPr>
                <w:rFonts w:hint="eastAsia" w:ascii="宋体" w:hAnsi="宋体"/>
                <w:bCs/>
                <w:color w:val="auto"/>
                <w:szCs w:val="21"/>
              </w:rPr>
            </w:pPr>
            <w:r>
              <w:rPr>
                <w:rFonts w:hint="eastAsia" w:ascii="宋体" w:hAnsi="宋体"/>
                <w:bCs/>
                <w:color w:val="auto"/>
                <w:szCs w:val="21"/>
              </w:rPr>
              <w:t>提供符合微课拍摄效果的专业化妆服务，服装搭配服务</w:t>
            </w:r>
          </w:p>
        </w:tc>
      </w:tr>
      <w:tr w14:paraId="392F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59" w:type="pct"/>
            <w:vMerge w:val="continue"/>
            <w:shd w:val="clear" w:color="auto" w:fill="auto"/>
            <w:noWrap w:val="0"/>
            <w:vAlign w:val="center"/>
          </w:tcPr>
          <w:p w14:paraId="6B8D2673">
            <w:pPr>
              <w:spacing w:line="360" w:lineRule="auto"/>
              <w:ind w:left="437"/>
              <w:outlineLvl w:val="9"/>
              <w:rPr>
                <w:rFonts w:hint="eastAsia" w:ascii="宋体" w:hAnsi="宋体"/>
                <w:bCs/>
                <w:color w:val="auto"/>
                <w:szCs w:val="21"/>
              </w:rPr>
            </w:pPr>
          </w:p>
        </w:tc>
        <w:tc>
          <w:tcPr>
            <w:tcW w:w="460" w:type="pct"/>
            <w:vMerge w:val="restart"/>
            <w:shd w:val="clear" w:color="000000" w:fill="FFFFFF"/>
            <w:noWrap w:val="0"/>
            <w:vAlign w:val="center"/>
          </w:tcPr>
          <w:p w14:paraId="71B6A28A">
            <w:pPr>
              <w:spacing w:line="360" w:lineRule="auto"/>
              <w:ind w:left="437"/>
              <w:outlineLvl w:val="1"/>
              <w:rPr>
                <w:rFonts w:hint="eastAsia" w:ascii="宋体" w:hAnsi="宋体"/>
                <w:bCs/>
                <w:color w:val="auto"/>
                <w:szCs w:val="21"/>
              </w:rPr>
            </w:pPr>
            <w:r>
              <w:rPr>
                <w:rFonts w:hint="eastAsia" w:ascii="宋体" w:hAnsi="宋体"/>
                <w:bCs/>
                <w:color w:val="auto"/>
                <w:szCs w:val="21"/>
              </w:rPr>
              <w:t>后期制作</w:t>
            </w:r>
          </w:p>
        </w:tc>
        <w:tc>
          <w:tcPr>
            <w:tcW w:w="823" w:type="pct"/>
            <w:shd w:val="clear" w:color="000000" w:fill="FFFFFF"/>
            <w:noWrap w:val="0"/>
            <w:vAlign w:val="center"/>
          </w:tcPr>
          <w:p w14:paraId="11E0C551">
            <w:pPr>
              <w:spacing w:line="360" w:lineRule="auto"/>
              <w:outlineLvl w:val="1"/>
              <w:rPr>
                <w:rFonts w:hint="eastAsia" w:ascii="宋体" w:hAnsi="宋体"/>
                <w:bCs/>
                <w:color w:val="auto"/>
                <w:szCs w:val="21"/>
              </w:rPr>
            </w:pPr>
            <w:r>
              <w:rPr>
                <w:rFonts w:hint="eastAsia" w:ascii="宋体" w:hAnsi="宋体"/>
                <w:bCs/>
                <w:color w:val="auto"/>
                <w:szCs w:val="21"/>
              </w:rPr>
              <w:t>专业后期团队</w:t>
            </w:r>
          </w:p>
        </w:tc>
        <w:tc>
          <w:tcPr>
            <w:tcW w:w="3256" w:type="pct"/>
            <w:shd w:val="clear" w:color="000000" w:fill="FFFFFF"/>
            <w:noWrap w:val="0"/>
            <w:vAlign w:val="center"/>
          </w:tcPr>
          <w:p w14:paraId="23107496">
            <w:pPr>
              <w:spacing w:line="360" w:lineRule="auto"/>
              <w:ind w:left="437"/>
              <w:outlineLvl w:val="1"/>
              <w:rPr>
                <w:rFonts w:hint="eastAsia" w:ascii="宋体" w:hAnsi="宋体"/>
                <w:bCs/>
                <w:color w:val="auto"/>
                <w:szCs w:val="21"/>
              </w:rPr>
            </w:pPr>
            <w:r>
              <w:rPr>
                <w:rFonts w:hint="eastAsia" w:ascii="宋体" w:hAnsi="宋体"/>
                <w:bCs/>
                <w:color w:val="auto"/>
                <w:szCs w:val="21"/>
              </w:rPr>
              <w:t xml:space="preserve"> 高端数字后期剪辑设备</w:t>
            </w:r>
          </w:p>
        </w:tc>
      </w:tr>
      <w:tr w14:paraId="2ED1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1D373C13">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4D178E94">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5EC9BB79">
            <w:pPr>
              <w:spacing w:line="360" w:lineRule="auto"/>
              <w:outlineLvl w:val="1"/>
              <w:rPr>
                <w:rFonts w:hint="eastAsia" w:ascii="宋体" w:hAnsi="宋体"/>
                <w:bCs/>
                <w:color w:val="auto"/>
                <w:szCs w:val="21"/>
              </w:rPr>
            </w:pPr>
            <w:r>
              <w:rPr>
                <w:rFonts w:hint="eastAsia" w:ascii="宋体" w:hAnsi="宋体"/>
                <w:bCs/>
                <w:color w:val="auto"/>
                <w:szCs w:val="21"/>
              </w:rPr>
              <w:t>片头制作师1人</w:t>
            </w:r>
          </w:p>
        </w:tc>
        <w:tc>
          <w:tcPr>
            <w:tcW w:w="3256" w:type="pct"/>
            <w:shd w:val="clear" w:color="000000" w:fill="FFFFFF"/>
            <w:noWrap w:val="0"/>
            <w:vAlign w:val="center"/>
          </w:tcPr>
          <w:p w14:paraId="5BBFB458">
            <w:pPr>
              <w:spacing w:line="360" w:lineRule="auto"/>
              <w:ind w:left="437"/>
              <w:outlineLvl w:val="1"/>
              <w:rPr>
                <w:rFonts w:hint="eastAsia" w:ascii="宋体" w:hAnsi="宋体"/>
                <w:bCs/>
                <w:color w:val="auto"/>
                <w:szCs w:val="21"/>
              </w:rPr>
            </w:pPr>
            <w:r>
              <w:rPr>
                <w:rFonts w:hint="eastAsia" w:ascii="宋体" w:hAnsi="宋体"/>
                <w:bCs/>
                <w:color w:val="auto"/>
                <w:szCs w:val="21"/>
              </w:rPr>
              <w:t>根据量身定做的课程片头进行制作、包装、特效等一系列处理</w:t>
            </w:r>
          </w:p>
        </w:tc>
      </w:tr>
      <w:tr w14:paraId="1F68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3776AB39">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BB2554E">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5C01C20D">
            <w:pPr>
              <w:spacing w:line="360" w:lineRule="auto"/>
              <w:outlineLvl w:val="1"/>
              <w:rPr>
                <w:rFonts w:hint="eastAsia" w:ascii="宋体" w:hAnsi="宋体"/>
                <w:bCs/>
                <w:color w:val="auto"/>
                <w:szCs w:val="21"/>
              </w:rPr>
            </w:pPr>
            <w:r>
              <w:rPr>
                <w:rFonts w:hint="eastAsia" w:ascii="宋体" w:hAnsi="宋体"/>
                <w:bCs/>
                <w:color w:val="auto"/>
                <w:szCs w:val="21"/>
              </w:rPr>
              <w:t>课程精剪师2人</w:t>
            </w:r>
          </w:p>
        </w:tc>
        <w:tc>
          <w:tcPr>
            <w:tcW w:w="3256" w:type="pct"/>
            <w:shd w:val="clear" w:color="000000" w:fill="FFFFFF"/>
            <w:noWrap w:val="0"/>
            <w:vAlign w:val="center"/>
          </w:tcPr>
          <w:p w14:paraId="1E2C9B42">
            <w:pPr>
              <w:spacing w:line="360" w:lineRule="auto"/>
              <w:ind w:left="437"/>
              <w:outlineLvl w:val="1"/>
              <w:rPr>
                <w:rFonts w:hint="eastAsia" w:ascii="宋体" w:hAnsi="宋体"/>
                <w:bCs/>
                <w:color w:val="auto"/>
                <w:szCs w:val="21"/>
              </w:rPr>
            </w:pPr>
            <w:r>
              <w:rPr>
                <w:rFonts w:hint="eastAsia" w:ascii="宋体" w:hAnsi="宋体"/>
                <w:bCs/>
                <w:color w:val="auto"/>
                <w:szCs w:val="21"/>
              </w:rPr>
              <w:t>对课程进行精准剪辑（软件：After Effects；Premiere）</w:t>
            </w:r>
          </w:p>
        </w:tc>
      </w:tr>
      <w:tr w14:paraId="2651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5DF8AF09">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BDE39EB">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27E50F69">
            <w:pPr>
              <w:spacing w:line="360" w:lineRule="auto"/>
              <w:outlineLvl w:val="1"/>
              <w:rPr>
                <w:rFonts w:hint="eastAsia" w:ascii="宋体" w:hAnsi="宋体"/>
                <w:bCs/>
                <w:color w:val="auto"/>
                <w:szCs w:val="21"/>
              </w:rPr>
            </w:pPr>
            <w:r>
              <w:rPr>
                <w:rFonts w:hint="eastAsia" w:ascii="宋体" w:hAnsi="宋体"/>
                <w:bCs/>
                <w:color w:val="auto"/>
                <w:szCs w:val="21"/>
              </w:rPr>
              <w:t>调色师1人</w:t>
            </w:r>
          </w:p>
        </w:tc>
        <w:tc>
          <w:tcPr>
            <w:tcW w:w="3256" w:type="pct"/>
            <w:shd w:val="clear" w:color="000000" w:fill="FFFFFF"/>
            <w:noWrap w:val="0"/>
            <w:vAlign w:val="center"/>
          </w:tcPr>
          <w:p w14:paraId="6825CD53">
            <w:pPr>
              <w:spacing w:line="360" w:lineRule="auto"/>
              <w:ind w:left="437"/>
              <w:outlineLvl w:val="1"/>
              <w:rPr>
                <w:rFonts w:hint="eastAsia" w:ascii="宋体" w:hAnsi="宋体"/>
                <w:bCs/>
                <w:color w:val="auto"/>
                <w:szCs w:val="21"/>
              </w:rPr>
            </w:pPr>
            <w:r>
              <w:rPr>
                <w:rFonts w:hint="eastAsia" w:ascii="宋体" w:hAnsi="宋体"/>
                <w:bCs/>
                <w:color w:val="auto"/>
                <w:szCs w:val="21"/>
              </w:rPr>
              <w:t>运用软件调色系统进行调色</w:t>
            </w:r>
          </w:p>
        </w:tc>
      </w:tr>
      <w:tr w14:paraId="7FB2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095116E7">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AD2E3C9">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0FCE1A58">
            <w:pPr>
              <w:spacing w:line="360" w:lineRule="auto"/>
              <w:outlineLvl w:val="1"/>
              <w:rPr>
                <w:rFonts w:hint="eastAsia" w:ascii="宋体" w:hAnsi="宋体"/>
                <w:bCs/>
                <w:color w:val="auto"/>
                <w:szCs w:val="21"/>
              </w:rPr>
            </w:pPr>
            <w:r>
              <w:rPr>
                <w:rFonts w:hint="eastAsia" w:ascii="宋体" w:hAnsi="宋体"/>
                <w:bCs/>
                <w:color w:val="auto"/>
                <w:szCs w:val="21"/>
              </w:rPr>
              <w:t>特效包装师1</w:t>
            </w:r>
          </w:p>
        </w:tc>
        <w:tc>
          <w:tcPr>
            <w:tcW w:w="3256" w:type="pct"/>
            <w:shd w:val="clear" w:color="000000" w:fill="FFFFFF"/>
            <w:noWrap w:val="0"/>
            <w:vAlign w:val="center"/>
          </w:tcPr>
          <w:p w14:paraId="5C717325">
            <w:pPr>
              <w:spacing w:line="360" w:lineRule="auto"/>
              <w:ind w:left="437"/>
              <w:outlineLvl w:val="1"/>
              <w:rPr>
                <w:rFonts w:hint="eastAsia" w:ascii="宋体" w:hAnsi="宋体"/>
                <w:bCs/>
                <w:color w:val="auto"/>
                <w:szCs w:val="21"/>
              </w:rPr>
            </w:pPr>
            <w:r>
              <w:rPr>
                <w:rFonts w:hint="eastAsia" w:ascii="宋体" w:hAnsi="宋体"/>
                <w:bCs/>
                <w:color w:val="auto"/>
                <w:szCs w:val="21"/>
              </w:rPr>
              <w:t>After Effects；Premiere；Photoshop等软件</w:t>
            </w:r>
          </w:p>
        </w:tc>
      </w:tr>
      <w:tr w14:paraId="27F9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6864C1A8">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29C56C94">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186FA1AA">
            <w:pPr>
              <w:spacing w:line="360" w:lineRule="auto"/>
              <w:outlineLvl w:val="1"/>
              <w:rPr>
                <w:rFonts w:hint="eastAsia" w:ascii="宋体" w:hAnsi="宋体"/>
                <w:bCs/>
                <w:color w:val="auto"/>
                <w:szCs w:val="21"/>
              </w:rPr>
            </w:pPr>
            <w:r>
              <w:rPr>
                <w:rFonts w:hint="eastAsia" w:ascii="宋体" w:hAnsi="宋体"/>
                <w:bCs/>
                <w:color w:val="auto"/>
                <w:szCs w:val="21"/>
              </w:rPr>
              <w:t>二维动画师</w:t>
            </w:r>
          </w:p>
        </w:tc>
        <w:tc>
          <w:tcPr>
            <w:tcW w:w="3256" w:type="pct"/>
            <w:shd w:val="clear" w:color="000000" w:fill="FFFFFF"/>
            <w:noWrap w:val="0"/>
            <w:vAlign w:val="center"/>
          </w:tcPr>
          <w:p w14:paraId="15225F51">
            <w:pPr>
              <w:spacing w:line="360" w:lineRule="auto"/>
              <w:ind w:left="437"/>
              <w:outlineLvl w:val="1"/>
              <w:rPr>
                <w:rFonts w:hint="eastAsia" w:ascii="宋体" w:hAnsi="宋体"/>
                <w:bCs/>
                <w:color w:val="auto"/>
                <w:szCs w:val="21"/>
              </w:rPr>
            </w:pPr>
            <w:r>
              <w:rPr>
                <w:rFonts w:hint="eastAsia" w:ascii="宋体" w:hAnsi="宋体"/>
                <w:bCs/>
                <w:color w:val="auto"/>
                <w:szCs w:val="21"/>
              </w:rPr>
              <w:t>根据课程需要制作二维</w:t>
            </w:r>
          </w:p>
        </w:tc>
      </w:tr>
      <w:tr w14:paraId="60CE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9" w:type="pct"/>
            <w:vMerge w:val="continue"/>
            <w:shd w:val="clear" w:color="auto" w:fill="auto"/>
            <w:noWrap w:val="0"/>
            <w:vAlign w:val="center"/>
          </w:tcPr>
          <w:p w14:paraId="485B3825">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55E6CD65">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50E75E06">
            <w:pPr>
              <w:spacing w:line="360" w:lineRule="auto"/>
              <w:outlineLvl w:val="1"/>
              <w:rPr>
                <w:rFonts w:hint="eastAsia" w:ascii="宋体" w:hAnsi="宋体"/>
                <w:bCs/>
                <w:color w:val="auto"/>
                <w:szCs w:val="21"/>
              </w:rPr>
            </w:pPr>
            <w:r>
              <w:rPr>
                <w:rFonts w:hint="eastAsia" w:ascii="宋体" w:hAnsi="宋体"/>
                <w:bCs/>
                <w:color w:val="auto"/>
                <w:szCs w:val="21"/>
              </w:rPr>
              <w:t>字幕制作1人</w:t>
            </w:r>
          </w:p>
        </w:tc>
        <w:tc>
          <w:tcPr>
            <w:tcW w:w="3256" w:type="pct"/>
            <w:shd w:val="clear" w:color="000000" w:fill="FFFFFF"/>
            <w:noWrap w:val="0"/>
            <w:vAlign w:val="center"/>
          </w:tcPr>
          <w:p w14:paraId="53CCCF48">
            <w:pPr>
              <w:spacing w:line="360" w:lineRule="auto"/>
              <w:ind w:left="437"/>
              <w:outlineLvl w:val="1"/>
              <w:rPr>
                <w:rFonts w:hint="eastAsia" w:ascii="宋体" w:hAnsi="宋体"/>
                <w:bCs/>
                <w:color w:val="auto"/>
                <w:szCs w:val="21"/>
              </w:rPr>
            </w:pPr>
            <w:r>
              <w:rPr>
                <w:rFonts w:hint="eastAsia" w:ascii="宋体" w:hAnsi="宋体"/>
                <w:bCs/>
                <w:color w:val="auto"/>
                <w:szCs w:val="21"/>
              </w:rPr>
              <w:t>对课程进行字幕的制作、校对、内嵌或外挂字幕等</w:t>
            </w:r>
          </w:p>
        </w:tc>
      </w:tr>
      <w:tr w14:paraId="53A8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59" w:type="pct"/>
            <w:vMerge w:val="continue"/>
            <w:shd w:val="clear" w:color="auto" w:fill="auto"/>
            <w:noWrap w:val="0"/>
            <w:vAlign w:val="center"/>
          </w:tcPr>
          <w:p w14:paraId="6F7A62C7">
            <w:pPr>
              <w:spacing w:line="360" w:lineRule="auto"/>
              <w:ind w:left="437"/>
              <w:outlineLvl w:val="9"/>
              <w:rPr>
                <w:rFonts w:hint="eastAsia" w:ascii="宋体" w:hAnsi="宋体"/>
                <w:bCs/>
                <w:color w:val="auto"/>
                <w:szCs w:val="21"/>
              </w:rPr>
            </w:pPr>
          </w:p>
        </w:tc>
        <w:tc>
          <w:tcPr>
            <w:tcW w:w="460" w:type="pct"/>
            <w:vMerge w:val="continue"/>
            <w:shd w:val="clear" w:color="auto" w:fill="auto"/>
            <w:noWrap w:val="0"/>
            <w:vAlign w:val="center"/>
          </w:tcPr>
          <w:p w14:paraId="3DF21FE1">
            <w:pPr>
              <w:spacing w:line="360" w:lineRule="auto"/>
              <w:ind w:left="437"/>
              <w:outlineLvl w:val="9"/>
              <w:rPr>
                <w:rFonts w:hint="eastAsia" w:ascii="宋体" w:hAnsi="宋体"/>
                <w:bCs/>
                <w:color w:val="auto"/>
                <w:szCs w:val="21"/>
              </w:rPr>
            </w:pPr>
          </w:p>
        </w:tc>
        <w:tc>
          <w:tcPr>
            <w:tcW w:w="823" w:type="pct"/>
            <w:shd w:val="clear" w:color="000000" w:fill="FFFFFF"/>
            <w:noWrap w:val="0"/>
            <w:vAlign w:val="center"/>
          </w:tcPr>
          <w:p w14:paraId="442AB129">
            <w:pPr>
              <w:spacing w:line="360" w:lineRule="auto"/>
              <w:outlineLvl w:val="1"/>
              <w:rPr>
                <w:rFonts w:hint="eastAsia" w:ascii="宋体" w:hAnsi="宋体"/>
                <w:bCs/>
                <w:color w:val="auto"/>
                <w:szCs w:val="21"/>
              </w:rPr>
            </w:pPr>
            <w:r>
              <w:rPr>
                <w:rFonts w:hint="eastAsia" w:ascii="宋体" w:hAnsi="宋体"/>
                <w:bCs/>
                <w:color w:val="auto"/>
                <w:szCs w:val="21"/>
              </w:rPr>
              <w:t>视频格式转换1人</w:t>
            </w:r>
          </w:p>
        </w:tc>
        <w:tc>
          <w:tcPr>
            <w:tcW w:w="3256" w:type="pct"/>
            <w:shd w:val="clear" w:color="000000" w:fill="FFFFFF"/>
            <w:noWrap w:val="0"/>
            <w:vAlign w:val="center"/>
          </w:tcPr>
          <w:p w14:paraId="70D92A0C">
            <w:pPr>
              <w:spacing w:line="360" w:lineRule="auto"/>
              <w:ind w:left="437"/>
              <w:outlineLvl w:val="1"/>
              <w:rPr>
                <w:rFonts w:hint="eastAsia" w:ascii="宋体" w:hAnsi="宋体"/>
                <w:bCs/>
                <w:color w:val="auto"/>
                <w:szCs w:val="21"/>
              </w:rPr>
            </w:pPr>
            <w:r>
              <w:rPr>
                <w:rFonts w:hint="eastAsia" w:ascii="宋体" w:hAnsi="宋体"/>
                <w:bCs/>
                <w:color w:val="auto"/>
                <w:szCs w:val="21"/>
              </w:rPr>
              <w:t>根据学校要求把成品视频转换成高清或标清等标准格式，（AVI、MP4、MOV、FLV）等</w:t>
            </w:r>
          </w:p>
        </w:tc>
      </w:tr>
      <w:tr w14:paraId="3797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59" w:type="pct"/>
            <w:vMerge w:val="continue"/>
            <w:shd w:val="clear" w:color="auto" w:fill="auto"/>
            <w:noWrap w:val="0"/>
            <w:vAlign w:val="center"/>
          </w:tcPr>
          <w:p w14:paraId="44851073">
            <w:pPr>
              <w:spacing w:line="360" w:lineRule="auto"/>
              <w:ind w:left="437"/>
              <w:outlineLvl w:val="9"/>
              <w:rPr>
                <w:rFonts w:hint="eastAsia" w:ascii="宋体" w:hAnsi="宋体"/>
                <w:bCs/>
                <w:color w:val="auto"/>
                <w:szCs w:val="21"/>
              </w:rPr>
            </w:pPr>
          </w:p>
        </w:tc>
        <w:tc>
          <w:tcPr>
            <w:tcW w:w="460" w:type="pct"/>
            <w:shd w:val="clear" w:color="000000" w:fill="FFFFFF"/>
            <w:noWrap w:val="0"/>
            <w:vAlign w:val="center"/>
          </w:tcPr>
          <w:p w14:paraId="6574C075">
            <w:pPr>
              <w:spacing w:line="360" w:lineRule="auto"/>
              <w:outlineLvl w:val="1"/>
              <w:rPr>
                <w:rFonts w:hint="eastAsia" w:ascii="宋体" w:hAnsi="宋体"/>
                <w:bCs/>
                <w:color w:val="auto"/>
                <w:szCs w:val="21"/>
              </w:rPr>
            </w:pPr>
            <w:r>
              <w:rPr>
                <w:rFonts w:hint="eastAsia" w:ascii="宋体" w:hAnsi="宋体"/>
                <w:bCs/>
                <w:color w:val="auto"/>
                <w:szCs w:val="21"/>
              </w:rPr>
              <w:t>后期修改</w:t>
            </w:r>
          </w:p>
        </w:tc>
        <w:tc>
          <w:tcPr>
            <w:tcW w:w="823" w:type="pct"/>
            <w:shd w:val="clear" w:color="000000" w:fill="FFFFFF"/>
            <w:noWrap w:val="0"/>
            <w:vAlign w:val="center"/>
          </w:tcPr>
          <w:p w14:paraId="52CC1D14">
            <w:pPr>
              <w:spacing w:line="360" w:lineRule="auto"/>
              <w:outlineLvl w:val="1"/>
              <w:rPr>
                <w:rFonts w:hint="eastAsia" w:ascii="宋体" w:hAnsi="宋体"/>
                <w:bCs/>
                <w:color w:val="auto"/>
                <w:szCs w:val="21"/>
              </w:rPr>
            </w:pPr>
            <w:r>
              <w:rPr>
                <w:rFonts w:hint="eastAsia" w:ascii="宋体" w:hAnsi="宋体"/>
                <w:bCs/>
                <w:color w:val="auto"/>
                <w:szCs w:val="21"/>
              </w:rPr>
              <w:t>修改人员1人</w:t>
            </w:r>
          </w:p>
        </w:tc>
        <w:tc>
          <w:tcPr>
            <w:tcW w:w="3256" w:type="pct"/>
            <w:shd w:val="clear" w:color="000000" w:fill="FFFFFF"/>
            <w:noWrap w:val="0"/>
            <w:vAlign w:val="center"/>
          </w:tcPr>
          <w:p w14:paraId="7FBD689F">
            <w:pPr>
              <w:spacing w:line="360" w:lineRule="auto"/>
              <w:ind w:left="437"/>
              <w:outlineLvl w:val="1"/>
              <w:rPr>
                <w:rFonts w:hint="eastAsia" w:ascii="宋体" w:hAnsi="宋体"/>
                <w:bCs/>
                <w:color w:val="auto"/>
                <w:szCs w:val="21"/>
              </w:rPr>
            </w:pPr>
            <w:r>
              <w:rPr>
                <w:rFonts w:hint="eastAsia" w:ascii="宋体" w:hAnsi="宋体"/>
                <w:bCs/>
                <w:color w:val="auto"/>
                <w:szCs w:val="21"/>
              </w:rPr>
              <w:t>根据老师要求对视频、知识点、特效</w:t>
            </w:r>
            <w:r>
              <w:rPr>
                <w:rFonts w:hint="eastAsia" w:ascii="宋体" w:hAnsi="宋体"/>
                <w:bCs/>
                <w:color w:val="auto"/>
                <w:szCs w:val="21"/>
                <w:lang w:val="en-US" w:eastAsia="zh-CN"/>
              </w:rPr>
              <w:t>等</w:t>
            </w:r>
            <w:r>
              <w:rPr>
                <w:rFonts w:hint="eastAsia" w:ascii="宋体" w:hAnsi="宋体"/>
                <w:bCs/>
                <w:color w:val="auto"/>
                <w:szCs w:val="21"/>
              </w:rPr>
              <w:t>进行修改</w:t>
            </w:r>
          </w:p>
        </w:tc>
      </w:tr>
    </w:tbl>
    <w:p w14:paraId="15117493">
      <w:pPr>
        <w:spacing w:line="360" w:lineRule="auto"/>
        <w:outlineLvl w:val="9"/>
        <w:rPr>
          <w:rFonts w:hint="eastAsia" w:ascii="宋体" w:hAnsi="宋体"/>
          <w:bCs/>
          <w:color w:val="auto"/>
          <w:szCs w:val="21"/>
        </w:rPr>
      </w:pPr>
    </w:p>
    <w:p w14:paraId="3F5ACDAA">
      <w:pPr>
        <w:spacing w:line="360" w:lineRule="auto"/>
        <w:ind w:left="210" w:leftChars="100" w:firstLine="210" w:firstLineChars="100"/>
        <w:jc w:val="left"/>
        <w:rPr>
          <w:rFonts w:ascii="宋体" w:hAnsi="宋体" w:cs="宋体"/>
          <w:color w:val="auto"/>
          <w:szCs w:val="21"/>
        </w:rPr>
      </w:pPr>
      <w:r>
        <w:rPr>
          <w:rFonts w:hint="eastAsia" w:ascii="宋体" w:hAnsi="宋体" w:cs="宋体"/>
          <w:color w:val="auto"/>
          <w:szCs w:val="21"/>
        </w:rPr>
        <w:t>3、技术要求</w:t>
      </w:r>
      <w:bookmarkStart w:id="17" w:name="_Toc13470217"/>
    </w:p>
    <w:p w14:paraId="24A1D2C5">
      <w:pPr>
        <w:spacing w:line="360" w:lineRule="auto"/>
        <w:ind w:left="210" w:leftChars="100" w:firstLine="210" w:firstLineChars="100"/>
        <w:jc w:val="left"/>
        <w:rPr>
          <w:rFonts w:ascii="宋体" w:hAnsi="宋体" w:cs="宋体"/>
          <w:color w:val="auto"/>
          <w:szCs w:val="21"/>
        </w:rPr>
      </w:pPr>
      <w:r>
        <w:rPr>
          <w:rFonts w:hint="eastAsia" w:ascii="宋体" w:hAnsi="宋体"/>
          <w:bCs/>
          <w:color w:val="auto"/>
          <w:szCs w:val="21"/>
        </w:rPr>
        <w:t>3.1</w:t>
      </w:r>
      <w:r>
        <w:rPr>
          <w:rFonts w:hint="eastAsia" w:ascii="宋体" w:hAnsi="宋体" w:cs="宋体"/>
          <w:color w:val="auto"/>
          <w:szCs w:val="21"/>
        </w:rPr>
        <w:t>视频类素材技术要求</w:t>
      </w:r>
      <w:bookmarkEnd w:id="17"/>
    </w:p>
    <w:tbl>
      <w:tblPr>
        <w:tblStyle w:val="7"/>
        <w:tblW w:w="4999" w:type="pct"/>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7" w:type="dxa"/>
          <w:left w:w="2" w:type="dxa"/>
          <w:bottom w:w="0" w:type="dxa"/>
          <w:right w:w="14" w:type="dxa"/>
        </w:tblCellMar>
      </w:tblPr>
      <w:tblGrid>
        <w:gridCol w:w="1232"/>
        <w:gridCol w:w="7091"/>
      </w:tblGrid>
      <w:tr w14:paraId="0A1E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shd w:val="clear" w:color="auto" w:fill="FFFFFF"/>
            <w:noWrap w:val="0"/>
            <w:vAlign w:val="top"/>
          </w:tcPr>
          <w:p w14:paraId="32F279F1">
            <w:pPr>
              <w:spacing w:line="360" w:lineRule="auto"/>
              <w:ind w:left="437"/>
              <w:outlineLvl w:val="1"/>
              <w:rPr>
                <w:rFonts w:hint="eastAsia" w:ascii="宋体" w:hAnsi="宋体"/>
                <w:bCs/>
                <w:color w:val="auto"/>
                <w:szCs w:val="21"/>
              </w:rPr>
            </w:pPr>
            <w:r>
              <w:rPr>
                <w:rFonts w:hint="eastAsia" w:ascii="宋体" w:hAnsi="宋体"/>
                <w:bCs/>
                <w:color w:val="auto"/>
                <w:szCs w:val="21"/>
              </w:rPr>
              <w:t>软件版本</w:t>
            </w:r>
          </w:p>
        </w:tc>
        <w:tc>
          <w:tcPr>
            <w:tcW w:w="4259" w:type="pct"/>
            <w:shd w:val="clear" w:color="auto" w:fill="FFFFFF"/>
            <w:noWrap w:val="0"/>
            <w:vAlign w:val="top"/>
          </w:tcPr>
          <w:p w14:paraId="16392ADE">
            <w:pPr>
              <w:spacing w:line="360" w:lineRule="auto"/>
              <w:ind w:left="437"/>
              <w:outlineLvl w:val="1"/>
              <w:rPr>
                <w:rFonts w:hint="eastAsia" w:ascii="宋体" w:hAnsi="宋体"/>
                <w:bCs/>
                <w:color w:val="auto"/>
                <w:szCs w:val="21"/>
              </w:rPr>
            </w:pPr>
            <w:r>
              <w:rPr>
                <w:rFonts w:hint="eastAsia" w:ascii="宋体" w:hAnsi="宋体"/>
                <w:bCs/>
                <w:color w:val="auto"/>
                <w:szCs w:val="21"/>
              </w:rPr>
              <w:t>文件制作所用的系统版本不低于windows XP；</w:t>
            </w:r>
          </w:p>
        </w:tc>
      </w:tr>
      <w:tr w14:paraId="47BE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shd w:val="clear" w:color="auto" w:fill="FFFFFF"/>
            <w:noWrap w:val="0"/>
            <w:vAlign w:val="center"/>
          </w:tcPr>
          <w:p w14:paraId="70C2BE74">
            <w:pPr>
              <w:spacing w:line="360" w:lineRule="auto"/>
              <w:ind w:left="437"/>
              <w:outlineLvl w:val="1"/>
              <w:rPr>
                <w:rFonts w:hint="eastAsia" w:ascii="宋体" w:hAnsi="宋体"/>
                <w:bCs/>
                <w:color w:val="auto"/>
                <w:szCs w:val="21"/>
              </w:rPr>
            </w:pPr>
            <w:r>
              <w:rPr>
                <w:rFonts w:hint="eastAsia" w:ascii="宋体" w:hAnsi="宋体"/>
                <w:bCs/>
                <w:color w:val="auto"/>
                <w:szCs w:val="21"/>
              </w:rPr>
              <w:t>文件格式</w:t>
            </w:r>
          </w:p>
        </w:tc>
        <w:tc>
          <w:tcPr>
            <w:tcW w:w="4259" w:type="pct"/>
            <w:shd w:val="clear" w:color="auto" w:fill="FFFFFF"/>
            <w:noWrap w:val="0"/>
            <w:vAlign w:val="top"/>
          </w:tcPr>
          <w:p w14:paraId="4F22DA69">
            <w:pPr>
              <w:spacing w:line="360" w:lineRule="auto"/>
              <w:ind w:left="437"/>
              <w:outlineLvl w:val="1"/>
              <w:rPr>
                <w:rFonts w:hint="eastAsia" w:ascii="宋体" w:hAnsi="宋体"/>
                <w:bCs/>
                <w:color w:val="auto"/>
                <w:szCs w:val="21"/>
              </w:rPr>
            </w:pPr>
            <w:r>
              <w:rPr>
                <w:rFonts w:hint="eastAsia" w:ascii="宋体" w:hAnsi="宋体"/>
                <w:bCs/>
                <w:color w:val="auto"/>
                <w:szCs w:val="21"/>
              </w:rPr>
              <w:t>采用MOV或MP4格式，录制时内部如果有图片及其他音视频文件则在后期编辑时直接导入，以保证清晰度和视频的完整度；</w:t>
            </w:r>
          </w:p>
        </w:tc>
      </w:tr>
      <w:tr w14:paraId="2916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vMerge w:val="restart"/>
            <w:shd w:val="clear" w:color="auto" w:fill="FFFFFF"/>
            <w:noWrap w:val="0"/>
            <w:vAlign w:val="center"/>
          </w:tcPr>
          <w:p w14:paraId="78B9F446">
            <w:pPr>
              <w:spacing w:line="360" w:lineRule="auto"/>
              <w:ind w:left="437"/>
              <w:outlineLvl w:val="1"/>
              <w:rPr>
                <w:rFonts w:hint="eastAsia" w:ascii="宋体" w:hAnsi="宋体"/>
                <w:bCs/>
                <w:color w:val="auto"/>
                <w:szCs w:val="21"/>
              </w:rPr>
            </w:pPr>
            <w:r>
              <w:rPr>
                <w:rFonts w:hint="eastAsia" w:ascii="宋体" w:hAnsi="宋体"/>
                <w:bCs/>
                <w:color w:val="auto"/>
                <w:szCs w:val="21"/>
              </w:rPr>
              <w:t>设计要求</w:t>
            </w:r>
          </w:p>
        </w:tc>
        <w:tc>
          <w:tcPr>
            <w:tcW w:w="4259" w:type="pct"/>
            <w:shd w:val="clear" w:color="auto" w:fill="FFFFFF"/>
            <w:noWrap w:val="0"/>
            <w:vAlign w:val="top"/>
          </w:tcPr>
          <w:p w14:paraId="747A14FA">
            <w:pPr>
              <w:spacing w:line="360" w:lineRule="auto"/>
              <w:ind w:left="437"/>
              <w:outlineLvl w:val="1"/>
              <w:rPr>
                <w:rFonts w:hint="eastAsia" w:ascii="宋体" w:hAnsi="宋体"/>
                <w:bCs/>
                <w:color w:val="auto"/>
                <w:szCs w:val="21"/>
              </w:rPr>
            </w:pPr>
            <w:r>
              <w:rPr>
                <w:rFonts w:hint="eastAsia" w:ascii="宋体" w:hAnsi="宋体"/>
                <w:bCs/>
                <w:color w:val="auto"/>
                <w:szCs w:val="21"/>
              </w:rPr>
              <w:t>教学录像按教学单元录制；</w:t>
            </w:r>
          </w:p>
        </w:tc>
      </w:tr>
      <w:tr w14:paraId="4EA9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vMerge w:val="continue"/>
            <w:shd w:val="clear" w:color="auto" w:fill="FFFFFF"/>
            <w:noWrap w:val="0"/>
            <w:vAlign w:val="top"/>
          </w:tcPr>
          <w:p w14:paraId="6C695B6C">
            <w:pPr>
              <w:spacing w:line="360" w:lineRule="auto"/>
              <w:ind w:left="437"/>
              <w:outlineLvl w:val="9"/>
              <w:rPr>
                <w:rFonts w:hint="eastAsia" w:ascii="宋体" w:hAnsi="宋体"/>
                <w:bCs/>
                <w:color w:val="auto"/>
                <w:szCs w:val="21"/>
              </w:rPr>
            </w:pPr>
          </w:p>
        </w:tc>
        <w:tc>
          <w:tcPr>
            <w:tcW w:w="4259" w:type="pct"/>
            <w:shd w:val="clear" w:color="auto" w:fill="FFFFFF"/>
            <w:noWrap w:val="0"/>
            <w:vAlign w:val="top"/>
          </w:tcPr>
          <w:p w14:paraId="03B4925D">
            <w:pPr>
              <w:spacing w:line="360" w:lineRule="auto"/>
              <w:ind w:left="437"/>
              <w:outlineLvl w:val="1"/>
              <w:rPr>
                <w:rFonts w:hint="eastAsia" w:ascii="宋体" w:hAnsi="宋体"/>
                <w:bCs/>
                <w:color w:val="auto"/>
                <w:szCs w:val="21"/>
              </w:rPr>
            </w:pPr>
            <w:r>
              <w:rPr>
                <w:rFonts w:hint="eastAsia" w:ascii="宋体" w:hAnsi="宋体"/>
                <w:bCs/>
                <w:color w:val="auto"/>
                <w:szCs w:val="21"/>
              </w:rPr>
              <w:t>录像环境光线充足、安静，教师衣着得体，讲话清晰，板书清楚；</w:t>
            </w:r>
          </w:p>
        </w:tc>
      </w:tr>
      <w:tr w14:paraId="2E30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1843" w:hRule="atLeast"/>
        </w:trPr>
        <w:tc>
          <w:tcPr>
            <w:tcW w:w="740" w:type="pct"/>
            <w:vMerge w:val="continue"/>
            <w:shd w:val="clear" w:color="auto" w:fill="FFFFFF"/>
            <w:noWrap w:val="0"/>
            <w:vAlign w:val="top"/>
          </w:tcPr>
          <w:p w14:paraId="4DB160F4">
            <w:pPr>
              <w:spacing w:line="360" w:lineRule="auto"/>
              <w:ind w:left="437"/>
              <w:outlineLvl w:val="9"/>
              <w:rPr>
                <w:rFonts w:hint="eastAsia" w:ascii="宋体" w:hAnsi="宋体"/>
                <w:bCs/>
                <w:color w:val="auto"/>
                <w:szCs w:val="21"/>
              </w:rPr>
            </w:pPr>
          </w:p>
        </w:tc>
        <w:tc>
          <w:tcPr>
            <w:tcW w:w="4259" w:type="pct"/>
            <w:shd w:val="clear" w:color="auto" w:fill="FFFFFF"/>
            <w:noWrap w:val="0"/>
            <w:vAlign w:val="top"/>
          </w:tcPr>
          <w:p w14:paraId="43CB8FCB">
            <w:pPr>
              <w:spacing w:line="360" w:lineRule="auto"/>
              <w:ind w:left="437"/>
              <w:outlineLvl w:val="1"/>
              <w:rPr>
                <w:rFonts w:hint="eastAsia" w:ascii="宋体" w:hAnsi="宋体"/>
                <w:bCs/>
                <w:color w:val="auto"/>
                <w:szCs w:val="21"/>
              </w:rPr>
            </w:pPr>
            <w:r>
              <w:rPr>
                <w:rFonts w:hint="eastAsia" w:ascii="宋体" w:hAnsi="宋体"/>
                <w:bCs/>
                <w:color w:val="auto"/>
                <w:szCs w:val="21"/>
              </w:rPr>
              <w:t>为保证成片画面质量，成交供应商需确保采用影视级专业设备进行视频拍摄，具体技术参数参照如下：视频压缩采用H.264(MPEG-4 Part10：profile=main, level=3.0)编码方式，码流率256 Kbps以上，帧率不低于25 fps，分辨率不低于720×576（4:3）或1024×576（16:9）；统一拍摄格式 1080 mp4 25p （如无特殊情况，不需升格和延时拍摄）；多机位拍摄要统一色温；</w:t>
            </w:r>
          </w:p>
        </w:tc>
      </w:tr>
      <w:tr w14:paraId="677C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vMerge w:val="continue"/>
            <w:shd w:val="clear" w:color="auto" w:fill="FFFFFF"/>
            <w:noWrap w:val="0"/>
            <w:vAlign w:val="top"/>
          </w:tcPr>
          <w:p w14:paraId="4CC3364F">
            <w:pPr>
              <w:spacing w:line="360" w:lineRule="auto"/>
              <w:ind w:left="437"/>
              <w:outlineLvl w:val="9"/>
              <w:rPr>
                <w:rFonts w:hint="eastAsia" w:ascii="宋体" w:hAnsi="宋体"/>
                <w:bCs/>
                <w:color w:val="auto"/>
                <w:szCs w:val="21"/>
              </w:rPr>
            </w:pPr>
          </w:p>
        </w:tc>
        <w:tc>
          <w:tcPr>
            <w:tcW w:w="4259" w:type="pct"/>
            <w:shd w:val="clear" w:color="auto" w:fill="FFFFFF"/>
            <w:noWrap w:val="0"/>
            <w:vAlign w:val="top"/>
          </w:tcPr>
          <w:p w14:paraId="59021E07">
            <w:pPr>
              <w:spacing w:line="360" w:lineRule="auto"/>
              <w:ind w:left="437"/>
              <w:outlineLvl w:val="1"/>
              <w:rPr>
                <w:rFonts w:hint="eastAsia" w:ascii="宋体" w:hAnsi="宋体"/>
                <w:bCs/>
                <w:color w:val="auto"/>
                <w:szCs w:val="21"/>
              </w:rPr>
            </w:pPr>
            <w:r>
              <w:rPr>
                <w:rFonts w:hint="eastAsia" w:ascii="宋体" w:hAnsi="宋体"/>
                <w:bCs/>
                <w:color w:val="auto"/>
                <w:szCs w:val="21"/>
              </w:rPr>
              <w:t xml:space="preserve">声音和画面要求同步，无交流声或其他杂音等缺陷，无明显失真、放音过冲、过弱。伴音清晰、饱满、圆润，无失真、噪声杂音干扰、音量忽大忽小现象。解说声与现场声、背景音乐无明显比例失调。音频信噪比不低于48 dB； </w:t>
            </w:r>
          </w:p>
        </w:tc>
      </w:tr>
      <w:tr w14:paraId="1620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4" w:type="dxa"/>
          </w:tblCellMar>
        </w:tblPrEx>
        <w:trPr>
          <w:trHeight w:val="334" w:hRule="atLeast"/>
        </w:trPr>
        <w:tc>
          <w:tcPr>
            <w:tcW w:w="740" w:type="pct"/>
            <w:vMerge w:val="continue"/>
            <w:shd w:val="clear" w:color="auto" w:fill="FFFFFF"/>
            <w:noWrap w:val="0"/>
            <w:vAlign w:val="top"/>
          </w:tcPr>
          <w:p w14:paraId="6FF9D535">
            <w:pPr>
              <w:spacing w:line="360" w:lineRule="auto"/>
              <w:ind w:left="437"/>
              <w:outlineLvl w:val="9"/>
              <w:rPr>
                <w:rFonts w:hint="eastAsia" w:ascii="宋体" w:hAnsi="宋体"/>
                <w:bCs/>
                <w:color w:val="auto"/>
                <w:szCs w:val="21"/>
              </w:rPr>
            </w:pPr>
          </w:p>
        </w:tc>
        <w:tc>
          <w:tcPr>
            <w:tcW w:w="4259" w:type="pct"/>
            <w:shd w:val="clear" w:color="auto" w:fill="FFFFFF"/>
            <w:noWrap w:val="0"/>
            <w:vAlign w:val="top"/>
          </w:tcPr>
          <w:p w14:paraId="73A242C4">
            <w:pPr>
              <w:spacing w:line="360" w:lineRule="auto"/>
              <w:ind w:left="437"/>
              <w:outlineLvl w:val="1"/>
              <w:rPr>
                <w:rFonts w:hint="eastAsia" w:ascii="宋体" w:hAnsi="宋体"/>
                <w:bCs/>
                <w:color w:val="auto"/>
                <w:szCs w:val="21"/>
              </w:rPr>
            </w:pPr>
            <w:r>
              <w:rPr>
                <w:rFonts w:hint="eastAsia" w:ascii="宋体" w:hAnsi="宋体"/>
                <w:bCs/>
                <w:color w:val="auto"/>
                <w:szCs w:val="21"/>
              </w:rPr>
              <w:t xml:space="preserve">字幕要使用符合国家标准的规范字，不出现繁体字、异体字(国家规定的除外)、错别字；字幕的字体、大小、色彩搭配、摆放位置、停留时间、出入屏方式力求与其他要素（画面、解说词、音乐）配合适当，不能破坏原有画面； </w:t>
            </w:r>
          </w:p>
        </w:tc>
      </w:tr>
    </w:tbl>
    <w:p w14:paraId="3A6587D2">
      <w:pPr>
        <w:spacing w:line="360" w:lineRule="auto"/>
        <w:jc w:val="left"/>
        <w:rPr>
          <w:rFonts w:ascii="宋体" w:hAnsi="宋体" w:cs="宋体"/>
          <w:color w:val="auto"/>
        </w:rPr>
      </w:pPr>
      <w:bookmarkStart w:id="18" w:name="_Toc13470218"/>
    </w:p>
    <w:p w14:paraId="12EA78B6">
      <w:pPr>
        <w:spacing w:line="360" w:lineRule="auto"/>
        <w:ind w:left="437"/>
        <w:outlineLvl w:val="1"/>
        <w:rPr>
          <w:rFonts w:hint="eastAsia" w:ascii="宋体" w:hAnsi="宋体"/>
          <w:bCs/>
          <w:color w:val="auto"/>
          <w:szCs w:val="21"/>
        </w:rPr>
      </w:pPr>
      <w:r>
        <w:rPr>
          <w:rFonts w:hint="eastAsia" w:ascii="宋体" w:hAnsi="宋体"/>
          <w:bCs/>
          <w:color w:val="auto"/>
          <w:szCs w:val="21"/>
        </w:rPr>
        <w:t>3.2文稿类素材技术要求</w:t>
      </w:r>
      <w:bookmarkEnd w:id="18"/>
    </w:p>
    <w:tbl>
      <w:tblPr>
        <w:tblStyle w:val="7"/>
        <w:tblW w:w="4999" w:type="pct"/>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7" w:type="dxa"/>
          <w:left w:w="7" w:type="dxa"/>
          <w:bottom w:w="0" w:type="dxa"/>
          <w:right w:w="0" w:type="dxa"/>
        </w:tblCellMar>
      </w:tblPr>
      <w:tblGrid>
        <w:gridCol w:w="1427"/>
        <w:gridCol w:w="6889"/>
      </w:tblGrid>
      <w:tr w14:paraId="7B01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65" w:hRule="atLeast"/>
        </w:trPr>
        <w:tc>
          <w:tcPr>
            <w:tcW w:w="858" w:type="pct"/>
            <w:shd w:val="clear" w:color="auto" w:fill="FFFFFF"/>
            <w:noWrap w:val="0"/>
            <w:vAlign w:val="top"/>
          </w:tcPr>
          <w:p w14:paraId="1B8BEF69">
            <w:pPr>
              <w:spacing w:line="360" w:lineRule="auto"/>
              <w:jc w:val="center"/>
              <w:rPr>
                <w:rFonts w:ascii="宋体" w:hAnsi="宋体" w:cs="宋体"/>
                <w:color w:val="auto"/>
                <w:szCs w:val="21"/>
              </w:rPr>
            </w:pPr>
            <w:r>
              <w:rPr>
                <w:rFonts w:hint="eastAsia" w:ascii="宋体" w:hAnsi="宋体" w:cs="宋体"/>
                <w:color w:val="auto"/>
                <w:szCs w:val="21"/>
              </w:rPr>
              <w:t>软件版本</w:t>
            </w:r>
          </w:p>
        </w:tc>
        <w:tc>
          <w:tcPr>
            <w:tcW w:w="4142" w:type="pct"/>
            <w:shd w:val="clear" w:color="auto" w:fill="FFFFFF"/>
            <w:noWrap w:val="0"/>
            <w:vAlign w:val="top"/>
          </w:tcPr>
          <w:p w14:paraId="75410FD6">
            <w:pPr>
              <w:spacing w:line="360" w:lineRule="auto"/>
              <w:jc w:val="left"/>
              <w:rPr>
                <w:rFonts w:ascii="宋体" w:hAnsi="宋体" w:cs="宋体"/>
                <w:color w:val="auto"/>
                <w:szCs w:val="21"/>
              </w:rPr>
            </w:pPr>
            <w:r>
              <w:rPr>
                <w:rFonts w:hint="eastAsia" w:ascii="宋体" w:hAnsi="宋体" w:cs="宋体"/>
                <w:color w:val="auto"/>
                <w:szCs w:val="21"/>
              </w:rPr>
              <w:t>文件制作所用的软件版本不低于Microsoft Office 2020；</w:t>
            </w:r>
          </w:p>
        </w:tc>
      </w:tr>
      <w:tr w14:paraId="6B93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90" w:hRule="atLeast"/>
        </w:trPr>
        <w:tc>
          <w:tcPr>
            <w:tcW w:w="858" w:type="pct"/>
            <w:shd w:val="clear" w:color="auto" w:fill="FFFFFF"/>
            <w:noWrap w:val="0"/>
            <w:vAlign w:val="center"/>
          </w:tcPr>
          <w:p w14:paraId="034C20F9">
            <w:pPr>
              <w:spacing w:line="360" w:lineRule="auto"/>
              <w:jc w:val="center"/>
              <w:rPr>
                <w:rFonts w:ascii="宋体" w:hAnsi="宋体" w:cs="宋体"/>
                <w:color w:val="auto"/>
                <w:szCs w:val="21"/>
              </w:rPr>
            </w:pPr>
            <w:r>
              <w:rPr>
                <w:rFonts w:hint="eastAsia" w:ascii="宋体" w:hAnsi="宋体" w:cs="宋体"/>
                <w:color w:val="auto"/>
                <w:szCs w:val="21"/>
              </w:rPr>
              <w:t>文件格式</w:t>
            </w:r>
          </w:p>
        </w:tc>
        <w:tc>
          <w:tcPr>
            <w:tcW w:w="4141" w:type="pct"/>
            <w:shd w:val="clear" w:color="auto" w:fill="FFFFFF"/>
            <w:noWrap w:val="0"/>
            <w:vAlign w:val="top"/>
          </w:tcPr>
          <w:p w14:paraId="3DAB994B">
            <w:pPr>
              <w:spacing w:line="360" w:lineRule="auto"/>
              <w:jc w:val="left"/>
              <w:rPr>
                <w:rFonts w:ascii="宋体" w:hAnsi="宋体" w:cs="宋体"/>
                <w:color w:val="auto"/>
                <w:szCs w:val="21"/>
              </w:rPr>
            </w:pPr>
            <w:r>
              <w:rPr>
                <w:rFonts w:hint="eastAsia" w:ascii="宋体" w:hAnsi="宋体" w:cs="宋体"/>
                <w:color w:val="auto"/>
                <w:szCs w:val="21"/>
              </w:rPr>
              <w:t xml:space="preserve">采用PPT或PPTX格式。如果有内嵌音频、视频或动画，则应在相应目录单独提供一份未嵌入的文件。同时提供关于最佳播放效果的软件版本说明； </w:t>
            </w:r>
          </w:p>
        </w:tc>
      </w:tr>
      <w:tr w14:paraId="7D86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restart"/>
            <w:shd w:val="clear" w:color="auto" w:fill="FFFFFF"/>
            <w:noWrap w:val="0"/>
            <w:vAlign w:val="center"/>
          </w:tcPr>
          <w:p w14:paraId="0E3E97C9">
            <w:pPr>
              <w:spacing w:line="360" w:lineRule="auto"/>
              <w:jc w:val="center"/>
              <w:rPr>
                <w:rFonts w:ascii="宋体" w:hAnsi="宋体" w:cs="宋体"/>
                <w:color w:val="auto"/>
                <w:szCs w:val="21"/>
              </w:rPr>
            </w:pPr>
            <w:r>
              <w:rPr>
                <w:rFonts w:hint="eastAsia" w:ascii="宋体" w:hAnsi="宋体" w:cs="宋体"/>
                <w:color w:val="auto"/>
                <w:szCs w:val="21"/>
              </w:rPr>
              <w:t>模板应用</w:t>
            </w:r>
          </w:p>
        </w:tc>
        <w:tc>
          <w:tcPr>
            <w:tcW w:w="4141" w:type="pct"/>
            <w:shd w:val="clear" w:color="auto" w:fill="FFFFFF"/>
            <w:noWrap w:val="0"/>
            <w:vAlign w:val="top"/>
          </w:tcPr>
          <w:p w14:paraId="0B751E54">
            <w:pPr>
              <w:spacing w:line="360" w:lineRule="auto"/>
              <w:jc w:val="left"/>
              <w:rPr>
                <w:rFonts w:ascii="宋体" w:hAnsi="宋体" w:cs="宋体"/>
                <w:color w:val="auto"/>
                <w:szCs w:val="21"/>
              </w:rPr>
            </w:pPr>
            <w:r>
              <w:rPr>
                <w:rFonts w:hint="eastAsia" w:ascii="宋体" w:hAnsi="宋体" w:cs="宋体"/>
                <w:color w:val="auto"/>
                <w:szCs w:val="21"/>
              </w:rPr>
              <w:t xml:space="preserve">模板朴素、大方，颜色适宜，便于长时间观看；在模板的适当位置标明课程名称、模块（章或节）序号与模块（章或节）的名称； </w:t>
            </w:r>
          </w:p>
        </w:tc>
      </w:tr>
      <w:tr w14:paraId="34FA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25B4A004">
            <w:pPr>
              <w:spacing w:line="360" w:lineRule="auto"/>
              <w:jc w:val="center"/>
              <w:rPr>
                <w:rFonts w:ascii="宋体" w:hAnsi="宋体" w:cs="宋体"/>
                <w:color w:val="auto"/>
                <w:szCs w:val="21"/>
              </w:rPr>
            </w:pPr>
          </w:p>
        </w:tc>
        <w:tc>
          <w:tcPr>
            <w:tcW w:w="4141" w:type="pct"/>
            <w:shd w:val="clear" w:color="auto" w:fill="FFFFFF"/>
            <w:noWrap w:val="0"/>
            <w:vAlign w:val="top"/>
          </w:tcPr>
          <w:p w14:paraId="6E21D404">
            <w:pPr>
              <w:pStyle w:val="3"/>
              <w:rPr>
                <w:color w:val="auto"/>
                <w:szCs w:val="21"/>
              </w:rPr>
            </w:pPr>
            <w:r>
              <w:rPr>
                <w:rFonts w:hint="eastAsia" w:ascii="宋体" w:hAnsi="宋体" w:cs="宋体"/>
                <w:color w:val="auto"/>
                <w:szCs w:val="21"/>
              </w:rPr>
              <w:t>多个页面的相同元素，如背景、按钮、标题、页码等，以模板为标准进行统一；</w:t>
            </w:r>
          </w:p>
        </w:tc>
      </w:tr>
      <w:tr w14:paraId="7294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restart"/>
            <w:shd w:val="clear" w:color="auto" w:fill="FFFFFF"/>
            <w:noWrap w:val="0"/>
            <w:vAlign w:val="center"/>
          </w:tcPr>
          <w:p w14:paraId="5917603D">
            <w:pPr>
              <w:spacing w:line="360" w:lineRule="auto"/>
              <w:jc w:val="center"/>
              <w:rPr>
                <w:rFonts w:ascii="宋体" w:hAnsi="宋体" w:cs="宋体"/>
                <w:color w:val="auto"/>
                <w:szCs w:val="21"/>
              </w:rPr>
            </w:pPr>
            <w:r>
              <w:rPr>
                <w:rFonts w:hint="eastAsia" w:ascii="宋体" w:hAnsi="宋体" w:cs="宋体"/>
                <w:color w:val="auto"/>
                <w:szCs w:val="21"/>
              </w:rPr>
              <w:t>版式设计</w:t>
            </w:r>
          </w:p>
        </w:tc>
        <w:tc>
          <w:tcPr>
            <w:tcW w:w="4141" w:type="pct"/>
            <w:shd w:val="clear" w:color="auto" w:fill="FFFFFF"/>
            <w:noWrap w:val="0"/>
            <w:vAlign w:val="top"/>
          </w:tcPr>
          <w:p w14:paraId="4058DC6C">
            <w:pPr>
              <w:spacing w:line="360" w:lineRule="auto"/>
              <w:jc w:val="left"/>
              <w:rPr>
                <w:rFonts w:ascii="宋体" w:hAnsi="宋体" w:cs="宋体"/>
                <w:color w:val="auto"/>
                <w:szCs w:val="21"/>
              </w:rPr>
            </w:pPr>
            <w:r>
              <w:rPr>
                <w:rFonts w:hint="eastAsia" w:ascii="宋体" w:hAnsi="宋体" w:cs="宋体"/>
                <w:color w:val="auto"/>
                <w:szCs w:val="21"/>
              </w:rPr>
              <w:t xml:space="preserve">每页版面的字数不宜太多。正文字号应不小于24磅字，使用Windows系统默认字体，不使用特殊字体，如有特殊字体需要应转化为图形文件； </w:t>
            </w:r>
          </w:p>
        </w:tc>
      </w:tr>
      <w:tr w14:paraId="5B1C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02F192F1">
            <w:pPr>
              <w:spacing w:line="360" w:lineRule="auto"/>
              <w:jc w:val="left"/>
              <w:rPr>
                <w:rFonts w:ascii="宋体" w:hAnsi="宋体" w:cs="宋体"/>
                <w:color w:val="auto"/>
                <w:szCs w:val="21"/>
              </w:rPr>
            </w:pPr>
          </w:p>
        </w:tc>
        <w:tc>
          <w:tcPr>
            <w:tcW w:w="4141" w:type="pct"/>
            <w:shd w:val="clear" w:color="auto" w:fill="FFFFFF"/>
            <w:noWrap w:val="0"/>
            <w:vAlign w:val="top"/>
          </w:tcPr>
          <w:p w14:paraId="4F4D410D">
            <w:pPr>
              <w:spacing w:line="360" w:lineRule="auto"/>
              <w:jc w:val="left"/>
              <w:rPr>
                <w:rFonts w:ascii="宋体" w:hAnsi="宋体" w:cs="宋体"/>
                <w:color w:val="auto"/>
                <w:szCs w:val="21"/>
              </w:rPr>
            </w:pPr>
            <w:r>
              <w:rPr>
                <w:rFonts w:hint="eastAsia" w:ascii="宋体" w:hAnsi="宋体" w:cs="宋体"/>
                <w:color w:val="auto"/>
                <w:szCs w:val="21"/>
              </w:rPr>
              <w:t xml:space="preserve">文字要醒目，避免使用与背景色相近的字体颜色； </w:t>
            </w:r>
          </w:p>
        </w:tc>
      </w:tr>
      <w:tr w14:paraId="5F1A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70D7B18C">
            <w:pPr>
              <w:spacing w:line="360" w:lineRule="auto"/>
              <w:jc w:val="left"/>
              <w:rPr>
                <w:rFonts w:ascii="宋体" w:hAnsi="宋体" w:cs="宋体"/>
                <w:color w:val="auto"/>
                <w:szCs w:val="21"/>
              </w:rPr>
            </w:pPr>
          </w:p>
        </w:tc>
        <w:tc>
          <w:tcPr>
            <w:tcW w:w="4141" w:type="pct"/>
            <w:shd w:val="clear" w:color="auto" w:fill="FFFFFF"/>
            <w:noWrap w:val="0"/>
            <w:vAlign w:val="top"/>
          </w:tcPr>
          <w:p w14:paraId="716FA4C5">
            <w:pPr>
              <w:pStyle w:val="3"/>
              <w:rPr>
                <w:rFonts w:ascii="宋体" w:hAnsi="宋体" w:cs="宋体"/>
                <w:color w:val="auto"/>
                <w:szCs w:val="21"/>
              </w:rPr>
            </w:pPr>
            <w:r>
              <w:rPr>
                <w:rFonts w:hint="eastAsia" w:ascii="宋体" w:hAnsi="宋体" w:cs="宋体"/>
                <w:color w:val="auto"/>
                <w:szCs w:val="21"/>
              </w:rPr>
              <w:t>页面行距建议为1.2-1.5</w:t>
            </w:r>
            <w:r>
              <w:rPr>
                <w:rFonts w:hint="eastAsia" w:ascii="宋体" w:hAnsi="宋体" w:cs="宋体"/>
                <w:color w:val="auto"/>
                <w:szCs w:val="21"/>
                <w:lang w:eastAsia="zh-CN"/>
              </w:rPr>
              <w:t>倍</w:t>
            </w:r>
            <w:r>
              <w:rPr>
                <w:rFonts w:hint="eastAsia" w:ascii="宋体" w:hAnsi="宋体" w:cs="宋体"/>
                <w:color w:val="auto"/>
                <w:szCs w:val="21"/>
              </w:rPr>
              <w:t>左右，可适当增大或减小；</w:t>
            </w:r>
          </w:p>
        </w:tc>
      </w:tr>
      <w:tr w14:paraId="7284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7E815908">
            <w:pPr>
              <w:spacing w:line="360" w:lineRule="auto"/>
              <w:jc w:val="left"/>
              <w:rPr>
                <w:rFonts w:ascii="宋体" w:hAnsi="宋体" w:cs="宋体"/>
                <w:color w:val="auto"/>
                <w:szCs w:val="21"/>
              </w:rPr>
            </w:pPr>
          </w:p>
        </w:tc>
        <w:tc>
          <w:tcPr>
            <w:tcW w:w="4141" w:type="pct"/>
            <w:shd w:val="clear" w:color="auto" w:fill="FFFFFF"/>
            <w:noWrap w:val="0"/>
            <w:vAlign w:val="top"/>
          </w:tcPr>
          <w:p w14:paraId="2BD9AE81">
            <w:pPr>
              <w:spacing w:line="360" w:lineRule="auto"/>
              <w:jc w:val="left"/>
              <w:rPr>
                <w:rFonts w:ascii="宋体" w:hAnsi="宋体" w:cs="宋体"/>
                <w:color w:val="auto"/>
                <w:szCs w:val="21"/>
              </w:rPr>
            </w:pPr>
            <w:r>
              <w:rPr>
                <w:rFonts w:hint="eastAsia" w:ascii="宋体" w:hAnsi="宋体" w:cs="宋体"/>
                <w:color w:val="auto"/>
                <w:szCs w:val="21"/>
              </w:rPr>
              <w:t xml:space="preserve">页面设计的原则是版面内容的分布美观大方； </w:t>
            </w:r>
          </w:p>
        </w:tc>
      </w:tr>
      <w:tr w14:paraId="7B68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48D06467">
            <w:pPr>
              <w:spacing w:line="360" w:lineRule="auto"/>
              <w:jc w:val="left"/>
              <w:rPr>
                <w:rFonts w:ascii="宋体" w:hAnsi="宋体" w:cs="宋体"/>
                <w:color w:val="auto"/>
                <w:szCs w:val="21"/>
              </w:rPr>
            </w:pPr>
          </w:p>
        </w:tc>
        <w:tc>
          <w:tcPr>
            <w:tcW w:w="4141" w:type="pct"/>
            <w:shd w:val="clear" w:color="auto" w:fill="FFFFFF"/>
            <w:noWrap w:val="0"/>
            <w:vAlign w:val="top"/>
          </w:tcPr>
          <w:p w14:paraId="47376A78">
            <w:pPr>
              <w:spacing w:line="360" w:lineRule="auto"/>
              <w:jc w:val="left"/>
              <w:rPr>
                <w:rFonts w:ascii="宋体" w:hAnsi="宋体" w:cs="宋体"/>
                <w:color w:val="auto"/>
                <w:szCs w:val="21"/>
              </w:rPr>
            </w:pPr>
            <w:r>
              <w:rPr>
                <w:rFonts w:hint="eastAsia" w:ascii="宋体" w:hAnsi="宋体" w:cs="宋体"/>
                <w:color w:val="auto"/>
                <w:szCs w:val="21"/>
              </w:rPr>
              <w:t xml:space="preserve">恰当使用组合：某些插图中位置相对固定的文本框、数学公式以及图片等应采用组合方式，避免产生相对位移； </w:t>
            </w:r>
          </w:p>
        </w:tc>
      </w:tr>
      <w:tr w14:paraId="2F8E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7" w:type="dxa"/>
            <w:bottom w:w="0" w:type="dxa"/>
            <w:right w:w="0" w:type="dxa"/>
          </w:tblCellMar>
        </w:tblPrEx>
        <w:trPr>
          <w:trHeight w:val="334" w:hRule="atLeast"/>
        </w:trPr>
        <w:tc>
          <w:tcPr>
            <w:tcW w:w="858" w:type="pct"/>
            <w:vMerge w:val="continue"/>
            <w:shd w:val="clear" w:color="auto" w:fill="FFFFFF"/>
            <w:noWrap w:val="0"/>
            <w:vAlign w:val="top"/>
          </w:tcPr>
          <w:p w14:paraId="18703F1D">
            <w:pPr>
              <w:spacing w:line="360" w:lineRule="auto"/>
              <w:jc w:val="left"/>
              <w:rPr>
                <w:rFonts w:ascii="宋体" w:hAnsi="宋体" w:cs="宋体"/>
                <w:color w:val="auto"/>
                <w:szCs w:val="21"/>
              </w:rPr>
            </w:pPr>
          </w:p>
        </w:tc>
        <w:tc>
          <w:tcPr>
            <w:tcW w:w="4141" w:type="pct"/>
            <w:shd w:val="clear" w:color="auto" w:fill="FFFFFF"/>
            <w:noWrap w:val="0"/>
            <w:vAlign w:val="top"/>
          </w:tcPr>
          <w:p w14:paraId="349B3CF0">
            <w:pPr>
              <w:pStyle w:val="3"/>
              <w:rPr>
                <w:color w:val="auto"/>
                <w:szCs w:val="21"/>
              </w:rPr>
            </w:pPr>
            <w:r>
              <w:rPr>
                <w:rFonts w:hint="eastAsia" w:ascii="宋体" w:hAnsi="宋体" w:cs="宋体"/>
                <w:color w:val="auto"/>
                <w:szCs w:val="21"/>
              </w:rPr>
              <w:t>根据课程特色设计符合风格的版式设计，字体清晰，背景色彩搭配美观。</w:t>
            </w:r>
          </w:p>
          <w:p w14:paraId="6146A0BF">
            <w:pPr>
              <w:spacing w:line="360" w:lineRule="auto"/>
              <w:jc w:val="left"/>
              <w:rPr>
                <w:rFonts w:ascii="宋体" w:hAnsi="宋体" w:cs="宋体"/>
                <w:color w:val="auto"/>
                <w:szCs w:val="21"/>
              </w:rPr>
            </w:pPr>
          </w:p>
        </w:tc>
      </w:tr>
    </w:tbl>
    <w:p w14:paraId="1D2731B4">
      <w:pPr>
        <w:spacing w:line="276" w:lineRule="auto"/>
        <w:jc w:val="left"/>
        <w:rPr>
          <w:rFonts w:ascii="宋体" w:hAnsi="宋体" w:cs="宋体"/>
          <w:color w:val="auto"/>
          <w:szCs w:val="21"/>
        </w:rPr>
      </w:pPr>
      <w:bookmarkStart w:id="19" w:name="_Toc13470219"/>
    </w:p>
    <w:p w14:paraId="232424F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3.3二维动画技术要求</w:t>
      </w:r>
      <w:bookmarkEnd w:id="19"/>
    </w:p>
    <w:tbl>
      <w:tblPr>
        <w:tblStyle w:val="7"/>
        <w:tblpPr w:leftFromText="180" w:rightFromText="180" w:vertAnchor="text" w:horzAnchor="page" w:tblpX="1129" w:tblpY="474"/>
        <w:tblOverlap w:val="never"/>
        <w:tblW w:w="4999"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7" w:type="dxa"/>
          <w:left w:w="2" w:type="dxa"/>
          <w:bottom w:w="0" w:type="dxa"/>
          <w:right w:w="15" w:type="dxa"/>
        </w:tblCellMar>
      </w:tblPr>
      <w:tblGrid>
        <w:gridCol w:w="1395"/>
        <w:gridCol w:w="6929"/>
      </w:tblGrid>
      <w:tr w14:paraId="3153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5" w:type="dxa"/>
          </w:tblCellMar>
        </w:tblPrEx>
        <w:trPr>
          <w:trHeight w:val="334" w:hRule="atLeast"/>
        </w:trPr>
        <w:tc>
          <w:tcPr>
            <w:tcW w:w="838" w:type="pct"/>
            <w:shd w:val="clear" w:color="auto" w:fill="FFFFFF"/>
            <w:noWrap w:val="0"/>
            <w:vAlign w:val="top"/>
          </w:tcPr>
          <w:p w14:paraId="723F39D6">
            <w:pPr>
              <w:spacing w:line="360" w:lineRule="auto"/>
              <w:jc w:val="center"/>
              <w:rPr>
                <w:rFonts w:ascii="宋体" w:hAnsi="宋体" w:cs="宋体"/>
                <w:color w:val="auto"/>
                <w:szCs w:val="21"/>
              </w:rPr>
            </w:pPr>
            <w:r>
              <w:rPr>
                <w:rFonts w:hint="eastAsia" w:ascii="宋体" w:hAnsi="宋体" w:cs="宋体"/>
                <w:color w:val="auto"/>
                <w:szCs w:val="21"/>
              </w:rPr>
              <w:t>文件格式</w:t>
            </w:r>
          </w:p>
        </w:tc>
        <w:tc>
          <w:tcPr>
            <w:tcW w:w="4161" w:type="pct"/>
            <w:shd w:val="clear" w:color="auto" w:fill="FFFFFF"/>
            <w:noWrap w:val="0"/>
            <w:vAlign w:val="top"/>
          </w:tcPr>
          <w:p w14:paraId="4272DAA3">
            <w:pPr>
              <w:spacing w:line="360" w:lineRule="auto"/>
              <w:jc w:val="left"/>
              <w:rPr>
                <w:rFonts w:ascii="宋体" w:hAnsi="宋体" w:cs="宋体"/>
                <w:color w:val="auto"/>
                <w:szCs w:val="21"/>
              </w:rPr>
            </w:pPr>
            <w:r>
              <w:rPr>
                <w:rFonts w:hint="eastAsia" w:ascii="宋体" w:hAnsi="宋体" w:cs="宋体"/>
                <w:color w:val="auto"/>
                <w:szCs w:val="21"/>
              </w:rPr>
              <w:t>扩展名：*.mp4</w:t>
            </w:r>
          </w:p>
        </w:tc>
      </w:tr>
      <w:tr w14:paraId="66C1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5" w:type="dxa"/>
          </w:tblCellMar>
        </w:tblPrEx>
        <w:trPr>
          <w:trHeight w:val="334" w:hRule="atLeast"/>
        </w:trPr>
        <w:tc>
          <w:tcPr>
            <w:tcW w:w="838" w:type="pct"/>
            <w:shd w:val="clear" w:color="auto" w:fill="FFFFFF"/>
            <w:noWrap w:val="0"/>
            <w:vAlign w:val="top"/>
          </w:tcPr>
          <w:p w14:paraId="50ED80F1">
            <w:pPr>
              <w:spacing w:line="360" w:lineRule="auto"/>
              <w:jc w:val="center"/>
              <w:rPr>
                <w:rFonts w:ascii="宋体" w:hAnsi="宋体" w:cs="宋体"/>
                <w:color w:val="auto"/>
                <w:szCs w:val="21"/>
              </w:rPr>
            </w:pPr>
            <w:r>
              <w:rPr>
                <w:rFonts w:hint="eastAsia" w:ascii="宋体" w:hAnsi="宋体" w:cs="宋体"/>
                <w:color w:val="auto"/>
                <w:szCs w:val="21"/>
              </w:rPr>
              <w:t>软件版本</w:t>
            </w:r>
          </w:p>
        </w:tc>
        <w:tc>
          <w:tcPr>
            <w:tcW w:w="4161" w:type="pct"/>
            <w:shd w:val="clear" w:color="auto" w:fill="FFFFFF"/>
            <w:noWrap w:val="0"/>
            <w:vAlign w:val="top"/>
          </w:tcPr>
          <w:p w14:paraId="0711891E">
            <w:pPr>
              <w:spacing w:line="360" w:lineRule="auto"/>
              <w:jc w:val="left"/>
              <w:rPr>
                <w:rFonts w:ascii="宋体" w:hAnsi="宋体" w:cs="宋体"/>
                <w:color w:val="auto"/>
                <w:szCs w:val="21"/>
              </w:rPr>
            </w:pPr>
            <w:r>
              <w:rPr>
                <w:rFonts w:hint="eastAsia" w:ascii="宋体" w:hAnsi="宋体" w:cs="宋体"/>
                <w:color w:val="auto"/>
                <w:szCs w:val="21"/>
              </w:rPr>
              <w:t>Anmiate cc 2020及以上版本</w:t>
            </w:r>
          </w:p>
        </w:tc>
      </w:tr>
      <w:tr w14:paraId="0921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5" w:type="dxa"/>
          </w:tblCellMar>
        </w:tblPrEx>
        <w:trPr>
          <w:trHeight w:val="334" w:hRule="atLeast"/>
        </w:trPr>
        <w:tc>
          <w:tcPr>
            <w:tcW w:w="838" w:type="pct"/>
            <w:shd w:val="clear" w:color="auto" w:fill="FFFFFF"/>
            <w:noWrap w:val="0"/>
            <w:vAlign w:val="center"/>
          </w:tcPr>
          <w:p w14:paraId="6890A71A">
            <w:pPr>
              <w:spacing w:line="360" w:lineRule="auto"/>
              <w:jc w:val="center"/>
              <w:rPr>
                <w:rFonts w:ascii="宋体" w:hAnsi="宋体" w:cs="宋体"/>
                <w:color w:val="auto"/>
                <w:szCs w:val="21"/>
              </w:rPr>
            </w:pPr>
            <w:r>
              <w:rPr>
                <w:rFonts w:hint="eastAsia" w:ascii="宋体" w:hAnsi="宋体" w:cs="宋体"/>
                <w:color w:val="auto"/>
                <w:szCs w:val="21"/>
              </w:rPr>
              <w:t>技术要求</w:t>
            </w:r>
          </w:p>
        </w:tc>
        <w:tc>
          <w:tcPr>
            <w:tcW w:w="4161" w:type="pct"/>
            <w:shd w:val="clear" w:color="auto" w:fill="FFFFFF"/>
            <w:noWrap w:val="0"/>
            <w:vAlign w:val="top"/>
          </w:tcPr>
          <w:p w14:paraId="7D25093F">
            <w:pPr>
              <w:spacing w:line="360" w:lineRule="auto"/>
              <w:jc w:val="left"/>
              <w:rPr>
                <w:rFonts w:ascii="宋体" w:hAnsi="宋体" w:cs="宋体"/>
                <w:color w:val="auto"/>
                <w:szCs w:val="21"/>
              </w:rPr>
            </w:pPr>
            <w:r>
              <w:rPr>
                <w:rFonts w:hint="eastAsia" w:ascii="宋体" w:hAnsi="宋体" w:cs="宋体"/>
                <w:color w:val="auto"/>
                <w:szCs w:val="21"/>
              </w:rPr>
              <w:t>（1）动画的开始要有醒目的标题，标题能够体现动画所表现的内容；</w:t>
            </w:r>
          </w:p>
          <w:p w14:paraId="15305110">
            <w:pPr>
              <w:spacing w:line="360" w:lineRule="auto"/>
              <w:jc w:val="left"/>
              <w:rPr>
                <w:rFonts w:ascii="宋体" w:hAnsi="宋体" w:cs="宋体"/>
                <w:color w:val="auto"/>
                <w:szCs w:val="21"/>
              </w:rPr>
            </w:pPr>
            <w:r>
              <w:rPr>
                <w:rFonts w:hint="eastAsia" w:ascii="宋体" w:hAnsi="宋体" w:cs="宋体"/>
                <w:color w:val="auto"/>
                <w:szCs w:val="21"/>
              </w:rPr>
              <w:t>（2）动画中如果有文字，文字要醒目，文字的字体、字号与内容协调，字体颜色避免与背景相近；</w:t>
            </w:r>
          </w:p>
          <w:p w14:paraId="1F10B600">
            <w:pPr>
              <w:spacing w:line="360" w:lineRule="auto"/>
              <w:jc w:val="left"/>
              <w:rPr>
                <w:rFonts w:ascii="宋体" w:hAnsi="宋体" w:cs="宋体"/>
                <w:color w:val="auto"/>
                <w:szCs w:val="21"/>
              </w:rPr>
            </w:pPr>
            <w:r>
              <w:rPr>
                <w:rFonts w:hint="eastAsia" w:ascii="宋体" w:hAnsi="宋体" w:cs="宋体"/>
                <w:color w:val="auto"/>
                <w:szCs w:val="21"/>
              </w:rPr>
              <w:t>（3）动画色彩造型应和谐，画面简洁清晰，界面友好；</w:t>
            </w:r>
          </w:p>
          <w:p w14:paraId="5159887F">
            <w:pPr>
              <w:spacing w:line="360" w:lineRule="auto"/>
              <w:jc w:val="left"/>
              <w:rPr>
                <w:rFonts w:ascii="宋体" w:hAnsi="宋体" w:cs="宋体"/>
                <w:color w:val="auto"/>
                <w:szCs w:val="21"/>
              </w:rPr>
            </w:pPr>
            <w:r>
              <w:rPr>
                <w:rFonts w:hint="eastAsia" w:ascii="宋体" w:hAnsi="宋体" w:cs="宋体"/>
                <w:color w:val="auto"/>
                <w:szCs w:val="21"/>
              </w:rPr>
              <w:t>（4）动画连续，节奏合适，帧和帧之间的关联性要强；</w:t>
            </w:r>
          </w:p>
          <w:p w14:paraId="199C5846">
            <w:pPr>
              <w:spacing w:line="360" w:lineRule="auto"/>
              <w:jc w:val="left"/>
              <w:rPr>
                <w:rFonts w:ascii="宋体" w:hAnsi="宋体" w:cs="宋体"/>
                <w:color w:val="auto"/>
                <w:szCs w:val="21"/>
              </w:rPr>
            </w:pPr>
            <w:r>
              <w:rPr>
                <w:rFonts w:hint="eastAsia" w:ascii="宋体" w:hAnsi="宋体" w:cs="宋体"/>
                <w:color w:val="auto"/>
                <w:szCs w:val="21"/>
              </w:rPr>
              <w:t>（5）解说配音应标准，无噪音，声音悦耳，音量适当，快慢适度；</w:t>
            </w:r>
          </w:p>
          <w:p w14:paraId="7B7C3AB8">
            <w:pPr>
              <w:spacing w:line="360" w:lineRule="auto"/>
              <w:jc w:val="left"/>
              <w:rPr>
                <w:rFonts w:ascii="宋体" w:hAnsi="宋体" w:cs="宋体"/>
                <w:color w:val="auto"/>
                <w:szCs w:val="21"/>
              </w:rPr>
            </w:pPr>
            <w:r>
              <w:rPr>
                <w:rFonts w:hint="eastAsia" w:ascii="宋体" w:hAnsi="宋体" w:cs="宋体"/>
                <w:color w:val="auto"/>
                <w:szCs w:val="21"/>
              </w:rPr>
              <w:t>（6）动画背景音乐音量不宜过大，音乐与内容相符；</w:t>
            </w:r>
          </w:p>
          <w:p w14:paraId="3FCB1294">
            <w:pPr>
              <w:spacing w:line="360" w:lineRule="auto"/>
              <w:jc w:val="left"/>
              <w:rPr>
                <w:rFonts w:ascii="宋体" w:hAnsi="宋体" w:cs="宋体"/>
                <w:color w:val="auto"/>
                <w:szCs w:val="21"/>
              </w:rPr>
            </w:pPr>
            <w:r>
              <w:rPr>
                <w:rFonts w:hint="eastAsia" w:ascii="宋体" w:hAnsi="宋体" w:cs="宋体"/>
                <w:color w:val="auto"/>
                <w:szCs w:val="21"/>
              </w:rPr>
              <w:t>（7）动画演播过程要流畅，静止画面时间不宜过长；</w:t>
            </w:r>
          </w:p>
          <w:p w14:paraId="73D22A58">
            <w:pPr>
              <w:spacing w:line="360" w:lineRule="auto"/>
              <w:jc w:val="left"/>
              <w:rPr>
                <w:rFonts w:ascii="宋体" w:hAnsi="宋体" w:cs="宋体"/>
                <w:color w:val="auto"/>
                <w:szCs w:val="21"/>
              </w:rPr>
            </w:pPr>
            <w:r>
              <w:rPr>
                <w:rFonts w:hint="eastAsia" w:ascii="宋体" w:hAnsi="宋体" w:cs="宋体"/>
                <w:color w:val="auto"/>
                <w:szCs w:val="21"/>
              </w:rPr>
              <w:t>（8）动画内容符合我国法律法规，尊重各民族的风俗习惯；</w:t>
            </w:r>
          </w:p>
          <w:p w14:paraId="0FE496BD">
            <w:pPr>
              <w:spacing w:line="360" w:lineRule="auto"/>
              <w:jc w:val="left"/>
              <w:rPr>
                <w:rFonts w:ascii="宋体" w:hAnsi="宋体" w:cs="宋体"/>
                <w:color w:val="auto"/>
                <w:szCs w:val="21"/>
              </w:rPr>
            </w:pPr>
            <w:r>
              <w:rPr>
                <w:rFonts w:hint="eastAsia" w:ascii="宋体" w:hAnsi="宋体" w:cs="宋体"/>
                <w:color w:val="auto"/>
                <w:szCs w:val="21"/>
              </w:rPr>
              <w:t>（9）储存方式：交互动画采用swf格式；其他动画保存mp4格式；</w:t>
            </w:r>
            <w:r>
              <w:rPr>
                <w:rFonts w:hint="eastAsia" w:ascii="宋体" w:hAnsi="宋体" w:cs="宋体"/>
                <w:color w:val="auto"/>
                <w:szCs w:val="21"/>
              </w:rPr>
              <w:br w:type="textWrapping"/>
            </w:r>
            <w:r>
              <w:rPr>
                <w:rFonts w:hint="eastAsia" w:ascii="宋体" w:hAnsi="宋体" w:cs="宋体"/>
                <w:color w:val="auto"/>
                <w:szCs w:val="21"/>
              </w:rPr>
              <w:t>（10）压缩方式:H264，视频格式mp4，帧率25，码率不低于1500。分辨率1920*1080，16：9；</w:t>
            </w:r>
          </w:p>
          <w:p w14:paraId="1DAC36A5">
            <w:pPr>
              <w:pStyle w:val="3"/>
              <w:rPr>
                <w:color w:val="auto"/>
                <w:szCs w:val="21"/>
              </w:rPr>
            </w:pPr>
            <w:r>
              <w:rPr>
                <w:rFonts w:hint="eastAsia" w:ascii="宋体" w:hAnsi="宋体" w:cs="宋体"/>
                <w:color w:val="auto"/>
                <w:szCs w:val="21"/>
              </w:rPr>
              <w:t>（11）字幕，不能出现标点符号，特殊地方需要引号或者书名号，标点用半角空格。</w:t>
            </w:r>
          </w:p>
        </w:tc>
      </w:tr>
      <w:tr w14:paraId="48C0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7" w:type="dxa"/>
            <w:left w:w="2" w:type="dxa"/>
            <w:bottom w:w="0" w:type="dxa"/>
            <w:right w:w="15" w:type="dxa"/>
          </w:tblCellMar>
        </w:tblPrEx>
        <w:trPr>
          <w:trHeight w:val="1040" w:hRule="atLeast"/>
        </w:trPr>
        <w:tc>
          <w:tcPr>
            <w:tcW w:w="838" w:type="pct"/>
            <w:shd w:val="clear" w:color="auto" w:fill="FFFFFF"/>
            <w:noWrap w:val="0"/>
            <w:vAlign w:val="center"/>
          </w:tcPr>
          <w:p w14:paraId="745418C1">
            <w:pPr>
              <w:spacing w:line="360" w:lineRule="auto"/>
              <w:jc w:val="center"/>
              <w:rPr>
                <w:rFonts w:ascii="宋体" w:hAnsi="宋体" w:cs="宋体"/>
                <w:color w:val="auto"/>
                <w:szCs w:val="21"/>
              </w:rPr>
            </w:pPr>
            <w:r>
              <w:rPr>
                <w:rFonts w:hint="eastAsia" w:ascii="宋体" w:hAnsi="宋体" w:cs="宋体"/>
                <w:color w:val="auto"/>
                <w:szCs w:val="21"/>
              </w:rPr>
              <w:t>内容要求</w:t>
            </w:r>
          </w:p>
        </w:tc>
        <w:tc>
          <w:tcPr>
            <w:tcW w:w="4161" w:type="pct"/>
            <w:shd w:val="clear" w:color="auto" w:fill="FFFFFF"/>
            <w:noWrap w:val="0"/>
            <w:vAlign w:val="top"/>
          </w:tcPr>
          <w:p w14:paraId="6020B970">
            <w:pPr>
              <w:pStyle w:val="3"/>
              <w:rPr>
                <w:rFonts w:ascii="宋体" w:hAnsi="宋体" w:cs="宋体"/>
                <w:color w:val="auto"/>
                <w:szCs w:val="21"/>
              </w:rPr>
            </w:pPr>
            <w:r>
              <w:rPr>
                <w:rFonts w:hint="eastAsia" w:ascii="宋体" w:hAnsi="宋体" w:cs="宋体"/>
                <w:color w:val="auto"/>
                <w:szCs w:val="21"/>
              </w:rPr>
              <w:t>根据老师选定的知识点设计与制作动画，动画流畅、清晰。</w:t>
            </w:r>
          </w:p>
        </w:tc>
      </w:tr>
    </w:tbl>
    <w:p w14:paraId="7A0ECC5A">
      <w:pPr>
        <w:spacing w:line="276" w:lineRule="auto"/>
        <w:jc w:val="left"/>
        <w:rPr>
          <w:rFonts w:ascii="宋体" w:hAnsi="宋体" w:cs="宋体"/>
          <w:color w:val="auto"/>
        </w:rPr>
      </w:pPr>
      <w:bookmarkStart w:id="20" w:name="_Toc535313473"/>
      <w:bookmarkStart w:id="21" w:name="_Toc13470222"/>
    </w:p>
    <w:bookmarkEnd w:id="20"/>
    <w:bookmarkEnd w:id="21"/>
    <w:p w14:paraId="6C6FD53E">
      <w:pPr>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3.4虚拟仿真</w:t>
      </w:r>
    </w:p>
    <w:tbl>
      <w:tblPr>
        <w:tblStyle w:val="7"/>
        <w:tblW w:w="4940" w:type="pct"/>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4" w:type="dxa"/>
          <w:left w:w="108" w:type="dxa"/>
          <w:bottom w:w="0" w:type="dxa"/>
          <w:right w:w="36" w:type="dxa"/>
        </w:tblCellMar>
      </w:tblPr>
      <w:tblGrid>
        <w:gridCol w:w="1264"/>
        <w:gridCol w:w="7085"/>
      </w:tblGrid>
      <w:tr w14:paraId="3CB1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4" w:type="dxa"/>
            <w:left w:w="108" w:type="dxa"/>
            <w:bottom w:w="0" w:type="dxa"/>
            <w:right w:w="36" w:type="dxa"/>
          </w:tblCellMar>
        </w:tblPrEx>
        <w:trPr>
          <w:trHeight w:val="334" w:hRule="atLeast"/>
        </w:trPr>
        <w:tc>
          <w:tcPr>
            <w:tcW w:w="757" w:type="pct"/>
            <w:shd w:val="clear" w:color="auto" w:fill="FFFFFF"/>
            <w:noWrap w:val="0"/>
            <w:vAlign w:val="center"/>
          </w:tcPr>
          <w:p w14:paraId="77D8EFDB">
            <w:pPr>
              <w:spacing w:line="360" w:lineRule="auto"/>
              <w:jc w:val="center"/>
              <w:rPr>
                <w:rFonts w:hint="eastAsia" w:ascii="宋体" w:hAnsi="宋体" w:cs="宋体"/>
                <w:color w:val="auto"/>
                <w:szCs w:val="21"/>
              </w:rPr>
            </w:pPr>
            <w:r>
              <w:rPr>
                <w:rFonts w:hint="eastAsia" w:ascii="宋体" w:hAnsi="宋体" w:cs="宋体"/>
                <w:color w:val="auto"/>
                <w:szCs w:val="21"/>
              </w:rPr>
              <w:t>模型参数</w:t>
            </w:r>
          </w:p>
          <w:p w14:paraId="7DA5C970">
            <w:pPr>
              <w:spacing w:line="360" w:lineRule="auto"/>
              <w:jc w:val="center"/>
              <w:rPr>
                <w:rFonts w:ascii="宋体" w:hAnsi="宋体" w:cs="宋体"/>
                <w:color w:val="auto"/>
                <w:szCs w:val="21"/>
              </w:rPr>
            </w:pPr>
          </w:p>
        </w:tc>
        <w:tc>
          <w:tcPr>
            <w:tcW w:w="4242" w:type="pct"/>
            <w:shd w:val="clear" w:color="auto" w:fill="FFFFFF"/>
            <w:noWrap w:val="0"/>
            <w:vAlign w:val="top"/>
          </w:tcPr>
          <w:p w14:paraId="46FA2DCD">
            <w:pPr>
              <w:spacing w:line="360" w:lineRule="auto"/>
              <w:jc w:val="left"/>
              <w:rPr>
                <w:rFonts w:hint="eastAsia" w:ascii="宋体" w:hAnsi="宋体" w:cs="宋体"/>
                <w:color w:val="auto"/>
                <w:szCs w:val="21"/>
              </w:rPr>
            </w:pPr>
            <w:r>
              <w:rPr>
                <w:rFonts w:hint="eastAsia" w:ascii="宋体" w:hAnsi="宋体" w:cs="宋体"/>
                <w:color w:val="auto"/>
                <w:szCs w:val="21"/>
              </w:rPr>
              <w:t>（1）应具有漫游（职业场景、设施设备）、演示（操作规程、安全禁忌）、互动（仪器操作）；采用三维建模实现。</w:t>
            </w:r>
          </w:p>
          <w:p w14:paraId="667E8C51">
            <w:pPr>
              <w:spacing w:line="360" w:lineRule="auto"/>
              <w:jc w:val="left"/>
              <w:rPr>
                <w:rFonts w:hint="eastAsia" w:ascii="宋体" w:hAnsi="宋体" w:cs="宋体"/>
                <w:color w:val="auto"/>
                <w:szCs w:val="21"/>
              </w:rPr>
            </w:pPr>
            <w:r>
              <w:rPr>
                <w:rFonts w:hint="eastAsia" w:ascii="宋体" w:hAnsi="宋体" w:cs="宋体"/>
                <w:color w:val="auto"/>
                <w:szCs w:val="21"/>
              </w:rPr>
              <w:t>（2）内容符合相关职业标准、技术规范、业务规程和行业属性，无科学性错误；</w:t>
            </w:r>
          </w:p>
          <w:p w14:paraId="06DA1A43">
            <w:pPr>
              <w:spacing w:line="360" w:lineRule="auto"/>
              <w:jc w:val="left"/>
              <w:rPr>
                <w:rFonts w:hint="eastAsia" w:ascii="宋体" w:hAnsi="宋体" w:cs="宋体"/>
                <w:color w:val="auto"/>
                <w:szCs w:val="21"/>
              </w:rPr>
            </w:pPr>
            <w:r>
              <w:rPr>
                <w:rFonts w:hint="eastAsia" w:ascii="宋体" w:hAnsi="宋体" w:cs="宋体"/>
                <w:color w:val="auto"/>
                <w:szCs w:val="21"/>
              </w:rPr>
              <w:t>（3）若其中包含少数民族或外国语言文字信息，应遵循其原内容完整性，使用原语言进行处理；</w:t>
            </w:r>
          </w:p>
          <w:p w14:paraId="4C2DE31F">
            <w:pPr>
              <w:spacing w:line="360" w:lineRule="auto"/>
              <w:jc w:val="left"/>
              <w:rPr>
                <w:rFonts w:hint="eastAsia" w:ascii="宋体" w:hAnsi="宋体" w:cs="宋体"/>
                <w:color w:val="auto"/>
                <w:szCs w:val="21"/>
              </w:rPr>
            </w:pPr>
            <w:r>
              <w:rPr>
                <w:rFonts w:hint="eastAsia" w:ascii="宋体" w:hAnsi="宋体" w:cs="宋体"/>
                <w:color w:val="auto"/>
                <w:szCs w:val="21"/>
              </w:rPr>
              <w:t>（4）具有本地存盘功能，防止因意外导致数据丢失。</w:t>
            </w:r>
          </w:p>
          <w:p w14:paraId="0AD7D946">
            <w:pPr>
              <w:spacing w:line="360" w:lineRule="auto"/>
              <w:jc w:val="left"/>
              <w:rPr>
                <w:rFonts w:hint="eastAsia" w:ascii="宋体" w:hAnsi="宋体" w:cs="宋体"/>
                <w:color w:val="auto"/>
                <w:szCs w:val="21"/>
              </w:rPr>
            </w:pPr>
            <w:r>
              <w:rPr>
                <w:rFonts w:hint="eastAsia" w:ascii="宋体" w:hAnsi="宋体" w:cs="宋体"/>
                <w:color w:val="auto"/>
                <w:szCs w:val="21"/>
              </w:rPr>
              <w:t>（5）项目具有可拓展性，如有必要，可将内容转化为虚拟现实内容；</w:t>
            </w:r>
          </w:p>
          <w:p w14:paraId="29E8D139">
            <w:pPr>
              <w:spacing w:line="360" w:lineRule="auto"/>
              <w:jc w:val="left"/>
              <w:rPr>
                <w:rFonts w:ascii="宋体" w:hAnsi="宋体" w:cs="宋体"/>
                <w:color w:val="auto"/>
                <w:szCs w:val="21"/>
              </w:rPr>
            </w:pPr>
            <w:r>
              <w:rPr>
                <w:rFonts w:hint="eastAsia" w:ascii="宋体" w:hAnsi="宋体" w:cs="宋体"/>
                <w:color w:val="auto"/>
                <w:szCs w:val="21"/>
              </w:rPr>
              <w:t xml:space="preserve">（6）为方便使用仿真和资源应具有很好的扩展性，应在PC端，VR虚拟现实一体机等多种应用端。服务方应能方便地提供多种资源应用方式，不限于移动学习、AR-增强现实学习系统、整合到交互式教材学习系统、教学资源库平台、学习平台等各种资源应用平台。 </w:t>
            </w:r>
          </w:p>
        </w:tc>
      </w:tr>
      <w:tr w14:paraId="6161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4" w:type="dxa"/>
            <w:left w:w="108" w:type="dxa"/>
            <w:bottom w:w="0" w:type="dxa"/>
            <w:right w:w="36" w:type="dxa"/>
          </w:tblCellMar>
        </w:tblPrEx>
        <w:trPr>
          <w:trHeight w:val="334" w:hRule="atLeast"/>
        </w:trPr>
        <w:tc>
          <w:tcPr>
            <w:tcW w:w="757" w:type="pct"/>
            <w:shd w:val="clear" w:color="auto" w:fill="FFFFFF"/>
            <w:noWrap w:val="0"/>
            <w:vAlign w:val="center"/>
          </w:tcPr>
          <w:p w14:paraId="1CAD25B3">
            <w:pPr>
              <w:spacing w:line="360" w:lineRule="auto"/>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演示及介绍视频要求</w:t>
            </w:r>
          </w:p>
        </w:tc>
        <w:tc>
          <w:tcPr>
            <w:tcW w:w="4242" w:type="pct"/>
            <w:shd w:val="clear" w:color="auto" w:fill="FFFFFF"/>
            <w:noWrap w:val="0"/>
            <w:vAlign w:val="top"/>
          </w:tcPr>
          <w:p w14:paraId="15A4C4BE">
            <w:pPr>
              <w:spacing w:line="360" w:lineRule="auto"/>
              <w:outlineLvl w:val="1"/>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虚拟仿真教学简介视频时长控制在5分钟以内，项目教学引导视频时长控制在5-10分钟以内。画面清晰、图像稳定，声音与画面同步且无杂音。解说应采用标准普通话配音。分辨率：1920*1080 25P或以上；编码：H.264，H.264/AVC High Profile Level 4.2或以上；封装格式：MP4；码流：不小于5Mbps。</w:t>
            </w:r>
          </w:p>
          <w:p w14:paraId="6743DB6D">
            <w:pPr>
              <w:spacing w:line="360" w:lineRule="auto"/>
              <w:jc w:val="left"/>
              <w:rPr>
                <w:rFonts w:hint="eastAsia" w:ascii="宋体" w:hAnsi="宋体" w:cs="宋体"/>
                <w:color w:val="auto"/>
                <w:szCs w:val="21"/>
              </w:rPr>
            </w:pPr>
          </w:p>
        </w:tc>
      </w:tr>
    </w:tbl>
    <w:p w14:paraId="5BF48F2C">
      <w:pPr>
        <w:spacing w:line="360" w:lineRule="auto"/>
        <w:ind w:firstLine="420" w:firstLineChars="200"/>
        <w:jc w:val="left"/>
        <w:rPr>
          <w:rFonts w:hint="eastAsia" w:ascii="宋体" w:hAnsi="宋体" w:cs="宋体"/>
          <w:color w:val="auto"/>
          <w:szCs w:val="21"/>
        </w:rPr>
      </w:pPr>
    </w:p>
    <w:p w14:paraId="0D58A3E8">
      <w:pPr>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 AR增强现实学习系统</w:t>
      </w:r>
    </w:p>
    <w:tbl>
      <w:tblPr>
        <w:tblStyle w:val="7"/>
        <w:tblW w:w="4913" w:type="pct"/>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7172"/>
      </w:tblGrid>
      <w:tr w14:paraId="010A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18" w:type="pct"/>
            <w:tcBorders>
              <w:top w:val="single" w:color="auto" w:sz="4" w:space="0"/>
              <w:left w:val="single" w:color="auto" w:sz="4" w:space="0"/>
              <w:bottom w:val="single" w:color="auto" w:sz="4" w:space="0"/>
              <w:right w:val="single" w:color="auto" w:sz="4" w:space="0"/>
            </w:tcBorders>
            <w:noWrap w:val="0"/>
            <w:vAlign w:val="center"/>
          </w:tcPr>
          <w:p w14:paraId="1F272ECB">
            <w:pPr>
              <w:spacing w:line="360" w:lineRule="auto"/>
              <w:jc w:val="center"/>
              <w:rPr>
                <w:rFonts w:hint="eastAsia" w:ascii="宋体" w:hAnsi="宋体" w:cs="宋体"/>
                <w:color w:val="auto"/>
                <w:szCs w:val="21"/>
              </w:rPr>
            </w:pPr>
            <w:r>
              <w:rPr>
                <w:rFonts w:hint="eastAsia" w:ascii="宋体" w:hAnsi="宋体" w:cs="宋体"/>
                <w:color w:val="auto"/>
                <w:szCs w:val="21"/>
              </w:rPr>
              <w:t>AR-增强现实学习系统</w:t>
            </w:r>
          </w:p>
        </w:tc>
        <w:tc>
          <w:tcPr>
            <w:tcW w:w="4281" w:type="pct"/>
            <w:tcBorders>
              <w:top w:val="single" w:color="auto" w:sz="4" w:space="0"/>
              <w:left w:val="single" w:color="auto" w:sz="4" w:space="0"/>
              <w:bottom w:val="single" w:color="auto" w:sz="4" w:space="0"/>
              <w:right w:val="single" w:color="auto" w:sz="4" w:space="0"/>
            </w:tcBorders>
            <w:noWrap w:val="0"/>
            <w:vAlign w:val="center"/>
          </w:tcPr>
          <w:p w14:paraId="73FE52F9">
            <w:pPr>
              <w:pStyle w:val="6"/>
              <w:spacing w:line="360" w:lineRule="atLeast"/>
              <w:rPr>
                <w:rFonts w:hint="eastAsia" w:cs="宋体"/>
                <w:color w:val="auto"/>
                <w:kern w:val="2"/>
                <w:sz w:val="21"/>
                <w:szCs w:val="21"/>
              </w:rPr>
            </w:pPr>
            <w:r>
              <w:rPr>
                <w:bCs/>
                <w:color w:val="auto"/>
                <w:kern w:val="2"/>
                <w:sz w:val="21"/>
                <w:szCs w:val="21"/>
              </w:rPr>
              <w:t>▲</w:t>
            </w:r>
            <w:r>
              <w:rPr>
                <w:rFonts w:hint="eastAsia" w:cs="宋体"/>
                <w:color w:val="auto"/>
                <w:kern w:val="2"/>
                <w:sz w:val="21"/>
                <w:szCs w:val="21"/>
              </w:rPr>
              <w:t>（1）.双指滑动屏幕实现缩放，单指滑动屏幕实现360度旋转。</w:t>
            </w:r>
          </w:p>
          <w:p w14:paraId="77D63D4E">
            <w:pPr>
              <w:pStyle w:val="6"/>
              <w:spacing w:line="360" w:lineRule="atLeast"/>
              <w:rPr>
                <w:rFonts w:hint="eastAsia" w:cs="宋体"/>
                <w:color w:val="auto"/>
                <w:kern w:val="2"/>
                <w:sz w:val="21"/>
                <w:szCs w:val="21"/>
              </w:rPr>
            </w:pPr>
            <w:r>
              <w:rPr>
                <w:bCs/>
                <w:color w:val="auto"/>
                <w:kern w:val="2"/>
                <w:sz w:val="21"/>
                <w:szCs w:val="21"/>
              </w:rPr>
              <w:t>▲</w:t>
            </w:r>
            <w:r>
              <w:rPr>
                <w:rFonts w:hint="eastAsia" w:cs="宋体"/>
                <w:color w:val="auto"/>
                <w:kern w:val="2"/>
                <w:sz w:val="21"/>
                <w:szCs w:val="21"/>
              </w:rPr>
              <w:t>（2）模型类可实现播放拆分动画，炸开显示各个元件，炸开的按钮再次组装起来。整个过程都可以双指滑动屏幕实现缩放，单指滑动屏幕实现360度旋转。</w:t>
            </w:r>
          </w:p>
          <w:p w14:paraId="22E5773A">
            <w:pPr>
              <w:pStyle w:val="6"/>
              <w:spacing w:line="360" w:lineRule="atLeast"/>
              <w:rPr>
                <w:rFonts w:hint="eastAsia" w:cs="宋体"/>
                <w:color w:val="auto"/>
                <w:kern w:val="2"/>
                <w:sz w:val="21"/>
                <w:szCs w:val="21"/>
              </w:rPr>
            </w:pPr>
            <w:r>
              <w:rPr>
                <w:bCs/>
                <w:color w:val="auto"/>
                <w:kern w:val="2"/>
                <w:sz w:val="21"/>
                <w:szCs w:val="21"/>
              </w:rPr>
              <w:t>▲</w:t>
            </w:r>
            <w:r>
              <w:rPr>
                <w:rFonts w:hint="eastAsia" w:cs="宋体"/>
                <w:color w:val="auto"/>
                <w:kern w:val="2"/>
                <w:sz w:val="21"/>
                <w:szCs w:val="21"/>
              </w:rPr>
              <w:t>（3）模型类可实现点击按钮，高亮显示某个元件，其余元件透明，可以突出高亮元件在整个模型中的位置。</w:t>
            </w:r>
          </w:p>
          <w:p w14:paraId="2E187AF4">
            <w:pPr>
              <w:spacing w:line="360" w:lineRule="auto"/>
              <w:jc w:val="left"/>
              <w:rPr>
                <w:rFonts w:hint="eastAsia" w:ascii="宋体" w:hAnsi="宋体" w:cs="宋体"/>
                <w:color w:val="auto"/>
                <w:szCs w:val="21"/>
              </w:rPr>
            </w:pPr>
            <w:r>
              <w:rPr>
                <w:rFonts w:ascii="宋体" w:hAnsi="宋体"/>
                <w:bCs/>
                <w:color w:val="auto"/>
                <w:szCs w:val="21"/>
              </w:rPr>
              <w:t>▲</w:t>
            </w:r>
            <w:r>
              <w:rPr>
                <w:rFonts w:hint="eastAsia" w:ascii="宋体" w:hAnsi="宋体" w:cs="宋体"/>
                <w:color w:val="auto"/>
                <w:szCs w:val="21"/>
              </w:rPr>
              <w:t>（4）整个操作过程中，都可以重置，把模型恢复初始状态。</w:t>
            </w:r>
          </w:p>
        </w:tc>
      </w:tr>
    </w:tbl>
    <w:p w14:paraId="504AB5E1">
      <w:pPr>
        <w:spacing w:line="360" w:lineRule="auto"/>
        <w:ind w:left="437"/>
        <w:outlineLvl w:val="9"/>
        <w:rPr>
          <w:rFonts w:hint="eastAsia" w:ascii="宋体" w:hAnsi="宋体"/>
          <w:bCs/>
          <w:color w:val="auto"/>
          <w:szCs w:val="21"/>
        </w:rPr>
      </w:pPr>
    </w:p>
    <w:p w14:paraId="418BE1C0">
      <w:pPr>
        <w:spacing w:line="360" w:lineRule="auto"/>
        <w:ind w:left="437"/>
        <w:outlineLvl w:val="1"/>
        <w:rPr>
          <w:rFonts w:hint="eastAsia" w:ascii="宋体" w:hAnsi="宋体"/>
          <w:b/>
          <w:color w:val="auto"/>
          <w:szCs w:val="21"/>
        </w:rPr>
      </w:pPr>
      <w:r>
        <w:rPr>
          <w:rFonts w:hint="eastAsia" w:ascii="宋体" w:hAnsi="宋体"/>
          <w:b/>
          <w:color w:val="auto"/>
          <w:szCs w:val="21"/>
        </w:rPr>
        <w:t>二、《影视编辑与制作》数字教材出版服务</w:t>
      </w:r>
    </w:p>
    <w:p w14:paraId="29A0B7F3">
      <w:pPr>
        <w:spacing w:line="360" w:lineRule="auto"/>
        <w:ind w:left="437"/>
        <w:outlineLvl w:val="1"/>
        <w:rPr>
          <w:rFonts w:ascii="宋体" w:hAnsi="宋体"/>
          <w:bCs/>
          <w:color w:val="auto"/>
          <w:szCs w:val="21"/>
        </w:rPr>
      </w:pPr>
      <w:r>
        <w:rPr>
          <w:rFonts w:hint="eastAsia" w:ascii="宋体" w:hAnsi="宋体"/>
          <w:bCs/>
          <w:color w:val="auto"/>
          <w:szCs w:val="21"/>
        </w:rPr>
        <w:t>1、总体要求</w:t>
      </w:r>
    </w:p>
    <w:p w14:paraId="57AA108A">
      <w:pPr>
        <w:spacing w:line="360" w:lineRule="auto"/>
        <w:ind w:left="437"/>
        <w:outlineLvl w:val="1"/>
        <w:rPr>
          <w:rFonts w:ascii="宋体" w:hAnsi="宋体"/>
          <w:bCs/>
          <w:color w:val="auto"/>
          <w:szCs w:val="21"/>
        </w:rPr>
      </w:pPr>
      <w:r>
        <w:rPr>
          <w:rFonts w:ascii="宋体" w:hAnsi="宋体"/>
          <w:bCs/>
          <w:color w:val="auto"/>
          <w:szCs w:val="21"/>
        </w:rPr>
        <w:t>（1）稿件由</w:t>
      </w:r>
      <w:r>
        <w:rPr>
          <w:rFonts w:hint="eastAsia" w:ascii="宋体" w:hAnsi="宋体"/>
          <w:bCs/>
          <w:color w:val="auto"/>
          <w:szCs w:val="21"/>
        </w:rPr>
        <w:t>校方</w:t>
      </w:r>
      <w:r>
        <w:rPr>
          <w:rFonts w:ascii="宋体" w:hAnsi="宋体"/>
          <w:bCs/>
          <w:color w:val="auto"/>
          <w:szCs w:val="21"/>
        </w:rPr>
        <w:t>提供，保证作品不侵犯他人著作权、专有出版权或其他合法权益，保证作品中无侵犯他人名誉权、 肖像权、姓名权、名称权、商标权等合法权益的内容。保证稿件中不含有重大失实或政治性问题的内容，不含有法律法规禁止的其他内容。</w:t>
      </w:r>
      <w:r>
        <w:rPr>
          <w:rFonts w:hint="eastAsia" w:ascii="宋体" w:hAnsi="宋体"/>
          <w:bCs/>
          <w:color w:val="auto"/>
          <w:szCs w:val="21"/>
        </w:rPr>
        <w:t>中标方负责出版服务工作，</w:t>
      </w:r>
      <w:r>
        <w:rPr>
          <w:rFonts w:ascii="宋体" w:hAnsi="宋体"/>
          <w:bCs/>
          <w:color w:val="auto"/>
          <w:szCs w:val="21"/>
        </w:rPr>
        <w:t>所有教材稿件在正式出版前须经学校审核定稿。</w:t>
      </w:r>
    </w:p>
    <w:p w14:paraId="7B933925">
      <w:pPr>
        <w:spacing w:line="360" w:lineRule="auto"/>
        <w:ind w:left="437"/>
        <w:outlineLvl w:val="1"/>
        <w:rPr>
          <w:rFonts w:ascii="宋体" w:hAnsi="宋体"/>
          <w:bCs/>
          <w:color w:val="auto"/>
          <w:szCs w:val="21"/>
        </w:rPr>
      </w:pPr>
      <w:r>
        <w:rPr>
          <w:rFonts w:ascii="宋体" w:hAnsi="宋体"/>
          <w:bCs/>
          <w:color w:val="auto"/>
          <w:szCs w:val="21"/>
        </w:rPr>
        <w:t>（2）书号：每本教材均需要有单独的国际标准书号，可在中宣部国家版本数据中心官网（网址：https://pdc.capub.cn）查询到相关信息，国内公开发行，正式出版后出版社为作者出具出版编写证明。</w:t>
      </w:r>
    </w:p>
    <w:p w14:paraId="0DEECA6B">
      <w:pPr>
        <w:spacing w:line="360" w:lineRule="auto"/>
        <w:ind w:left="437"/>
        <w:outlineLvl w:val="1"/>
        <w:rPr>
          <w:rFonts w:ascii="宋体" w:hAnsi="宋体"/>
          <w:bCs/>
          <w:color w:val="auto"/>
          <w:szCs w:val="21"/>
        </w:rPr>
      </w:pPr>
      <w:r>
        <w:rPr>
          <w:rFonts w:ascii="宋体" w:hAnsi="宋体"/>
          <w:bCs/>
          <w:color w:val="auto"/>
          <w:szCs w:val="21"/>
        </w:rPr>
        <w:t>（3）教材质量：符合《图书质量管理规定》要求及教育主管部门政策和文件要求。</w:t>
      </w:r>
    </w:p>
    <w:p w14:paraId="300F4C08">
      <w:pPr>
        <w:spacing w:line="360" w:lineRule="auto"/>
        <w:ind w:left="437"/>
        <w:outlineLvl w:val="1"/>
        <w:rPr>
          <w:rFonts w:ascii="宋体" w:hAnsi="宋体"/>
          <w:bCs/>
          <w:color w:val="auto"/>
          <w:szCs w:val="21"/>
        </w:rPr>
      </w:pPr>
      <w:r>
        <w:rPr>
          <w:rFonts w:hint="eastAsia" w:ascii="宋体" w:hAnsi="宋体" w:cs="宋体"/>
          <w:color w:val="auto"/>
          <w:szCs w:val="21"/>
          <w:shd w:val="clear" w:color="auto" w:fill="95EC69"/>
        </w:rPr>
        <w:t>交互式数字教材</w:t>
      </w:r>
      <w:r>
        <w:rPr>
          <w:rFonts w:hint="eastAsia" w:ascii="宋体" w:hAnsi="宋体" w:cs="宋体"/>
          <w:color w:val="auto"/>
        </w:rPr>
        <w:t>学习系统</w:t>
      </w:r>
      <w:r>
        <w:rPr>
          <w:rFonts w:ascii="宋体" w:hAnsi="宋体"/>
          <w:bCs/>
          <w:color w:val="auto"/>
          <w:szCs w:val="21"/>
        </w:rPr>
        <w:t>:</w:t>
      </w:r>
    </w:p>
    <w:p w14:paraId="5840188D">
      <w:pPr>
        <w:spacing w:line="360" w:lineRule="auto"/>
        <w:ind w:left="437" w:firstLine="420" w:firstLineChars="200"/>
        <w:outlineLvl w:val="1"/>
        <w:rPr>
          <w:rFonts w:ascii="宋体" w:hAnsi="宋体"/>
          <w:bCs/>
          <w:color w:val="auto"/>
          <w:szCs w:val="21"/>
        </w:rPr>
      </w:pPr>
      <w:r>
        <w:rPr>
          <w:rFonts w:ascii="宋体" w:hAnsi="宋体"/>
          <w:bCs/>
          <w:color w:val="auto"/>
          <w:szCs w:val="21"/>
        </w:rPr>
        <w:t>数字教材不但包含传统纸质教材的全部内容，同时还包含了教学资料包、微课、慕课、动画、AR、仿真等配套教学资源，将分散的教学资源有机地整合到一起，使每本数字教材都成为教学精品课级别的教学产品。数字教材还具有诸多交互功能，可以大大激发学生的学习兴趣，更可以满足教师对优质内容资源的需求，提高教学效率。</w:t>
      </w:r>
    </w:p>
    <w:p w14:paraId="38B9DE2A">
      <w:pPr>
        <w:spacing w:line="360" w:lineRule="auto"/>
        <w:ind w:left="437"/>
        <w:outlineLvl w:val="1"/>
        <w:rPr>
          <w:rFonts w:ascii="宋体" w:hAnsi="宋体"/>
          <w:bCs/>
          <w:color w:val="auto"/>
          <w:szCs w:val="21"/>
        </w:rPr>
      </w:pPr>
      <w:r>
        <w:rPr>
          <w:rFonts w:ascii="宋体" w:hAnsi="宋体"/>
          <w:bCs/>
          <w:color w:val="auto"/>
          <w:szCs w:val="21"/>
        </w:rPr>
        <w:t>▲①笔记：书籍下载完成后,打开书籍,长摁想要做笔记的部分,则可以做笔记,笔记可以修改和取消.</w:t>
      </w:r>
    </w:p>
    <w:p w14:paraId="2DE0A0F5">
      <w:pPr>
        <w:spacing w:line="360" w:lineRule="auto"/>
        <w:ind w:left="437"/>
        <w:outlineLvl w:val="1"/>
        <w:rPr>
          <w:rFonts w:ascii="宋体" w:hAnsi="宋体"/>
          <w:bCs/>
          <w:color w:val="auto"/>
          <w:szCs w:val="21"/>
        </w:rPr>
      </w:pPr>
      <w:r>
        <w:rPr>
          <w:rFonts w:ascii="宋体" w:hAnsi="宋体"/>
          <w:bCs/>
          <w:color w:val="auto"/>
          <w:szCs w:val="21"/>
        </w:rPr>
        <w:t>▲②书籍设置：用户可以根据自己的习惯对书籍背景进行设置,提供五种书籍背景以便于用户选择,同时为日间阅读和夜晚阅读两种模式.用户也可以根据习惯设置字体的大小.</w:t>
      </w:r>
    </w:p>
    <w:p w14:paraId="46B319EC">
      <w:pPr>
        <w:spacing w:line="360" w:lineRule="auto"/>
        <w:ind w:left="437"/>
        <w:outlineLvl w:val="1"/>
        <w:rPr>
          <w:rFonts w:ascii="宋体" w:hAnsi="宋体"/>
          <w:bCs/>
          <w:color w:val="auto"/>
          <w:szCs w:val="21"/>
        </w:rPr>
      </w:pPr>
      <w:r>
        <w:rPr>
          <w:rFonts w:ascii="宋体" w:hAnsi="宋体"/>
          <w:bCs/>
          <w:color w:val="auto"/>
          <w:szCs w:val="21"/>
        </w:rPr>
        <w:t>▲③书签：书籍提供书签功能,书签用于记录用户上次阅读的地方.用户点击书籍中间会出现设置、目录、模式、阅读进度、上下章的选择，目录则可以看到书籍目录列表、笔记和书签。</w:t>
      </w:r>
    </w:p>
    <w:p w14:paraId="4B75F29F">
      <w:pPr>
        <w:spacing w:line="360" w:lineRule="auto"/>
        <w:ind w:left="437"/>
        <w:outlineLvl w:val="1"/>
        <w:rPr>
          <w:rFonts w:ascii="宋体" w:hAnsi="宋体"/>
          <w:bCs/>
          <w:color w:val="auto"/>
          <w:szCs w:val="21"/>
        </w:rPr>
      </w:pPr>
      <w:r>
        <w:rPr>
          <w:rFonts w:ascii="宋体" w:hAnsi="宋体"/>
          <w:bCs/>
          <w:color w:val="auto"/>
          <w:szCs w:val="21"/>
        </w:rPr>
        <w:t>（1）教师端：</w:t>
      </w:r>
    </w:p>
    <w:p w14:paraId="09806531">
      <w:pPr>
        <w:spacing w:line="360" w:lineRule="auto"/>
        <w:ind w:left="437"/>
        <w:outlineLvl w:val="1"/>
        <w:rPr>
          <w:rFonts w:ascii="宋体" w:hAnsi="宋体"/>
          <w:bCs/>
          <w:color w:val="auto"/>
          <w:szCs w:val="21"/>
        </w:rPr>
      </w:pPr>
      <w:r>
        <w:rPr>
          <w:rFonts w:ascii="宋体" w:hAnsi="宋体"/>
          <w:bCs/>
          <w:color w:val="auto"/>
          <w:szCs w:val="21"/>
        </w:rPr>
        <w:t>①创建班级：教师通过创建班级发放班级邀请码，学生只有通过邀请码才能加入班级。</w:t>
      </w:r>
    </w:p>
    <w:p w14:paraId="36B896F4">
      <w:pPr>
        <w:spacing w:line="360" w:lineRule="auto"/>
        <w:ind w:left="437"/>
        <w:outlineLvl w:val="1"/>
        <w:rPr>
          <w:rFonts w:ascii="宋体" w:hAnsi="宋体"/>
          <w:bCs/>
          <w:color w:val="auto"/>
          <w:szCs w:val="21"/>
        </w:rPr>
      </w:pPr>
      <w:r>
        <w:rPr>
          <w:rFonts w:ascii="宋体" w:hAnsi="宋体"/>
          <w:bCs/>
          <w:color w:val="auto"/>
          <w:szCs w:val="21"/>
        </w:rPr>
        <w:t>②设置签到：教师可以在课堂上设置签到，让学生进行签到。签到形式有图形签到和数字签到两种。</w:t>
      </w:r>
    </w:p>
    <w:p w14:paraId="7A5C24E9">
      <w:pPr>
        <w:spacing w:line="360" w:lineRule="auto"/>
        <w:ind w:left="437"/>
        <w:outlineLvl w:val="1"/>
        <w:rPr>
          <w:rFonts w:ascii="宋体" w:hAnsi="宋体"/>
          <w:bCs/>
          <w:color w:val="auto"/>
          <w:szCs w:val="21"/>
        </w:rPr>
      </w:pPr>
      <w:r>
        <w:rPr>
          <w:rFonts w:ascii="宋体" w:hAnsi="宋体"/>
          <w:bCs/>
          <w:color w:val="auto"/>
          <w:szCs w:val="21"/>
        </w:rPr>
        <w:t>③设置通知消息：教师可以设置通知班级内的同学去完成作业或者考试。</w:t>
      </w:r>
    </w:p>
    <w:p w14:paraId="4536927F">
      <w:pPr>
        <w:spacing w:line="360" w:lineRule="auto"/>
        <w:ind w:left="437"/>
        <w:outlineLvl w:val="1"/>
        <w:rPr>
          <w:rFonts w:ascii="宋体" w:hAnsi="宋体"/>
          <w:bCs/>
          <w:color w:val="auto"/>
          <w:szCs w:val="21"/>
        </w:rPr>
      </w:pPr>
      <w:r>
        <w:rPr>
          <w:rFonts w:ascii="宋体" w:hAnsi="宋体"/>
          <w:bCs/>
          <w:color w:val="auto"/>
          <w:szCs w:val="21"/>
        </w:rPr>
        <w:t>④设置考试和作业：教师端可以布置作业设置考试。</w:t>
      </w:r>
    </w:p>
    <w:p w14:paraId="5C87BC67">
      <w:pPr>
        <w:spacing w:line="360" w:lineRule="auto"/>
        <w:ind w:left="437"/>
        <w:outlineLvl w:val="1"/>
        <w:rPr>
          <w:rFonts w:ascii="宋体" w:hAnsi="宋体"/>
          <w:bCs/>
          <w:color w:val="auto"/>
          <w:szCs w:val="21"/>
        </w:rPr>
      </w:pPr>
      <w:r>
        <w:rPr>
          <w:rFonts w:ascii="宋体" w:hAnsi="宋体"/>
          <w:bCs/>
          <w:color w:val="auto"/>
          <w:szCs w:val="21"/>
        </w:rPr>
        <w:t>⑤批阅作业：学生完成作业或者考试后，教师端可以直接批阅，批阅完成后，教师可以查看考试或者作业的统计，多少人完成，多少人未完成，客观题每个选项的人数。按照从高到低的分数进行排名。</w:t>
      </w:r>
    </w:p>
    <w:p w14:paraId="6992DAC0">
      <w:pPr>
        <w:spacing w:line="360" w:lineRule="auto"/>
        <w:ind w:left="437"/>
        <w:outlineLvl w:val="1"/>
        <w:rPr>
          <w:rFonts w:ascii="宋体" w:hAnsi="宋体"/>
          <w:bCs/>
          <w:color w:val="auto"/>
          <w:szCs w:val="21"/>
        </w:rPr>
      </w:pPr>
      <w:r>
        <w:rPr>
          <w:rFonts w:ascii="宋体" w:hAnsi="宋体"/>
          <w:bCs/>
          <w:color w:val="auto"/>
          <w:szCs w:val="21"/>
        </w:rPr>
        <w:t>⑥设置讨论：教师可以设置讨论，学生参与讨论，教师也能参与讨论、相互点赞。教师也可以关闭讨论。</w:t>
      </w:r>
    </w:p>
    <w:p w14:paraId="0141C599">
      <w:pPr>
        <w:spacing w:line="360" w:lineRule="auto"/>
        <w:ind w:left="437"/>
        <w:outlineLvl w:val="1"/>
        <w:rPr>
          <w:rFonts w:ascii="宋体" w:hAnsi="宋体"/>
          <w:bCs/>
          <w:color w:val="auto"/>
          <w:szCs w:val="21"/>
        </w:rPr>
      </w:pPr>
      <w:r>
        <w:rPr>
          <w:rFonts w:ascii="宋体" w:hAnsi="宋体"/>
          <w:bCs/>
          <w:color w:val="auto"/>
          <w:szCs w:val="21"/>
        </w:rPr>
        <w:t>⑦设置抢答：教师可以设置一个抢答、由学生端抢答，先抢先答。抢完不答，教师可以重新发起抢答，抢完不答的学生则无法再次进行此问题的抢答。</w:t>
      </w:r>
    </w:p>
    <w:p w14:paraId="40A63393">
      <w:pPr>
        <w:spacing w:line="360" w:lineRule="auto"/>
        <w:ind w:left="437"/>
        <w:outlineLvl w:val="1"/>
        <w:rPr>
          <w:rFonts w:ascii="宋体" w:hAnsi="宋体"/>
          <w:bCs/>
          <w:color w:val="auto"/>
          <w:szCs w:val="21"/>
        </w:rPr>
      </w:pPr>
      <w:r>
        <w:rPr>
          <w:rFonts w:ascii="宋体" w:hAnsi="宋体"/>
          <w:bCs/>
          <w:color w:val="auto"/>
          <w:szCs w:val="21"/>
        </w:rPr>
        <w:t>⑧设置班级：教师可以设置班级图片，查看班级邀请码，修改班级名称，修改班级状态（开启和关闭）。</w:t>
      </w:r>
    </w:p>
    <w:p w14:paraId="345A40F9">
      <w:pPr>
        <w:spacing w:line="360" w:lineRule="auto"/>
        <w:ind w:left="437"/>
        <w:outlineLvl w:val="1"/>
        <w:rPr>
          <w:rFonts w:ascii="宋体" w:hAnsi="宋体"/>
          <w:bCs/>
          <w:color w:val="auto"/>
          <w:szCs w:val="21"/>
        </w:rPr>
      </w:pPr>
      <w:r>
        <w:rPr>
          <w:rFonts w:ascii="宋体" w:hAnsi="宋体"/>
          <w:bCs/>
          <w:color w:val="auto"/>
          <w:szCs w:val="21"/>
        </w:rPr>
        <w:t>（2）学生端：</w:t>
      </w:r>
    </w:p>
    <w:p w14:paraId="42081F26">
      <w:pPr>
        <w:spacing w:line="360" w:lineRule="auto"/>
        <w:ind w:left="437"/>
        <w:outlineLvl w:val="1"/>
        <w:rPr>
          <w:rFonts w:ascii="宋体" w:hAnsi="宋体"/>
          <w:bCs/>
          <w:color w:val="auto"/>
          <w:szCs w:val="21"/>
        </w:rPr>
      </w:pPr>
      <w:r>
        <w:rPr>
          <w:rFonts w:ascii="宋体" w:hAnsi="宋体"/>
          <w:bCs/>
          <w:color w:val="auto"/>
          <w:szCs w:val="21"/>
        </w:rPr>
        <w:t>▲①加入班级：学生只能通过教师发放的邀请码加入班级，一本书下，学生最多只能加入两个班级。</w:t>
      </w:r>
    </w:p>
    <w:p w14:paraId="792FA09A">
      <w:pPr>
        <w:spacing w:line="360" w:lineRule="auto"/>
        <w:ind w:left="437"/>
        <w:outlineLvl w:val="1"/>
        <w:rPr>
          <w:rFonts w:ascii="宋体" w:hAnsi="宋体"/>
          <w:bCs/>
          <w:color w:val="auto"/>
          <w:szCs w:val="21"/>
        </w:rPr>
      </w:pPr>
      <w:r>
        <w:rPr>
          <w:rFonts w:ascii="宋体" w:hAnsi="宋体"/>
          <w:bCs/>
          <w:color w:val="auto"/>
          <w:szCs w:val="21"/>
        </w:rPr>
        <w:t>▲②作业和考试：教师设置了作业或者考试后，学生端则会接到推送消息提醒，有新的作业或者考试。学生提交完作业可以查看自己的完成情况，但无法修改。教师端批阅完，学生可以查看自己的作业或者试卷的对错得分及教师评语。</w:t>
      </w:r>
    </w:p>
    <w:p w14:paraId="7904E70F">
      <w:pPr>
        <w:spacing w:line="360" w:lineRule="auto"/>
        <w:ind w:left="437"/>
        <w:outlineLvl w:val="1"/>
        <w:rPr>
          <w:rFonts w:ascii="宋体" w:hAnsi="宋体"/>
          <w:bCs/>
          <w:color w:val="auto"/>
          <w:szCs w:val="21"/>
        </w:rPr>
      </w:pPr>
      <w:r>
        <w:rPr>
          <w:rFonts w:ascii="宋体" w:hAnsi="宋体"/>
          <w:bCs/>
          <w:color w:val="auto"/>
          <w:szCs w:val="21"/>
        </w:rPr>
        <w:t>▲③讨论：教师端发起讨论，学生参与讨论，并且相互点赞。</w:t>
      </w:r>
    </w:p>
    <w:p w14:paraId="0A1034D3">
      <w:pPr>
        <w:spacing w:line="360" w:lineRule="auto"/>
        <w:ind w:left="437"/>
        <w:outlineLvl w:val="1"/>
        <w:rPr>
          <w:rFonts w:ascii="宋体" w:hAnsi="宋体"/>
          <w:bCs/>
          <w:color w:val="auto"/>
          <w:szCs w:val="21"/>
        </w:rPr>
      </w:pPr>
      <w:r>
        <w:rPr>
          <w:rFonts w:ascii="宋体" w:hAnsi="宋体"/>
          <w:bCs/>
          <w:color w:val="auto"/>
          <w:szCs w:val="21"/>
        </w:rPr>
        <w:t>▲④抢答：教师端设置抢答后，学生可以抢答回答问题，抢答问题不答，将无法再次进行此问题的抢答。</w:t>
      </w:r>
    </w:p>
    <w:p w14:paraId="54A3F98B">
      <w:pPr>
        <w:spacing w:line="360" w:lineRule="auto"/>
        <w:ind w:left="437"/>
        <w:outlineLvl w:val="1"/>
        <w:rPr>
          <w:rFonts w:ascii="宋体" w:hAnsi="宋体"/>
          <w:bCs/>
          <w:color w:val="auto"/>
          <w:szCs w:val="21"/>
        </w:rPr>
      </w:pPr>
      <w:r>
        <w:rPr>
          <w:rFonts w:ascii="宋体" w:hAnsi="宋体"/>
          <w:bCs/>
          <w:color w:val="auto"/>
          <w:szCs w:val="21"/>
        </w:rPr>
        <w:t>▲⑤笔记：支持学生在读书学习时可以随时做笔记。</w:t>
      </w:r>
    </w:p>
    <w:p w14:paraId="330439E4">
      <w:pPr>
        <w:spacing w:line="360" w:lineRule="auto"/>
        <w:ind w:left="437"/>
        <w:outlineLvl w:val="1"/>
        <w:rPr>
          <w:rFonts w:ascii="宋体" w:hAnsi="宋体"/>
          <w:bCs/>
          <w:color w:val="auto"/>
          <w:szCs w:val="21"/>
        </w:rPr>
      </w:pPr>
      <w:r>
        <w:rPr>
          <w:rFonts w:ascii="宋体" w:hAnsi="宋体"/>
          <w:bCs/>
          <w:color w:val="auto"/>
          <w:szCs w:val="21"/>
        </w:rPr>
        <w:t xml:space="preserve">  ⑥视频、词条：支持查看书中的视频和词条。视频可以播放、词条有解释。</w:t>
      </w:r>
    </w:p>
    <w:p w14:paraId="315E0D6D">
      <w:pPr>
        <w:spacing w:line="360" w:lineRule="auto"/>
        <w:ind w:left="437"/>
        <w:outlineLvl w:val="1"/>
        <w:rPr>
          <w:rFonts w:ascii="宋体" w:hAnsi="宋体"/>
          <w:bCs/>
          <w:color w:val="auto"/>
          <w:szCs w:val="21"/>
        </w:rPr>
      </w:pPr>
      <w:r>
        <w:rPr>
          <w:rFonts w:ascii="宋体" w:hAnsi="宋体"/>
          <w:bCs/>
          <w:color w:val="auto"/>
          <w:szCs w:val="21"/>
        </w:rPr>
        <w:t>▲⑦活动：在班级内，可以查看班级的所有活动、正在进行的活动、已经完成的活动。</w:t>
      </w:r>
    </w:p>
    <w:p w14:paraId="6BF055D9">
      <w:pPr>
        <w:spacing w:line="360" w:lineRule="auto"/>
        <w:ind w:left="437"/>
        <w:outlineLvl w:val="1"/>
        <w:rPr>
          <w:rFonts w:ascii="宋体" w:hAnsi="宋体"/>
          <w:bCs/>
          <w:color w:val="auto"/>
          <w:szCs w:val="21"/>
        </w:rPr>
      </w:pPr>
      <w:r>
        <w:rPr>
          <w:rFonts w:ascii="宋体" w:hAnsi="宋体"/>
          <w:bCs/>
          <w:color w:val="auto"/>
          <w:szCs w:val="21"/>
        </w:rPr>
        <w:t>▲⑧成员：班级可以查看班级的成员、加入人数。</w:t>
      </w:r>
    </w:p>
    <w:p w14:paraId="43D0B879">
      <w:pPr>
        <w:spacing w:line="360" w:lineRule="auto"/>
        <w:ind w:left="437"/>
        <w:outlineLvl w:val="1"/>
        <w:rPr>
          <w:rFonts w:ascii="宋体" w:hAnsi="宋体"/>
          <w:bCs/>
          <w:color w:val="auto"/>
          <w:szCs w:val="21"/>
        </w:rPr>
      </w:pPr>
      <w:r>
        <w:rPr>
          <w:rFonts w:ascii="宋体" w:hAnsi="宋体"/>
          <w:bCs/>
          <w:color w:val="auto"/>
          <w:szCs w:val="21"/>
        </w:rPr>
        <w:t>▲⑨我的书架：展示用户下载的书籍。</w:t>
      </w:r>
    </w:p>
    <w:p w14:paraId="0823141D">
      <w:pPr>
        <w:spacing w:line="360" w:lineRule="auto"/>
        <w:ind w:left="437"/>
        <w:outlineLvl w:val="1"/>
        <w:rPr>
          <w:rFonts w:ascii="宋体" w:hAnsi="宋体"/>
          <w:bCs/>
          <w:color w:val="auto"/>
          <w:szCs w:val="21"/>
        </w:rPr>
      </w:pPr>
      <w:r>
        <w:rPr>
          <w:rFonts w:ascii="宋体" w:hAnsi="宋体"/>
          <w:bCs/>
          <w:color w:val="auto"/>
          <w:szCs w:val="21"/>
        </w:rPr>
        <w:t>▲⑩我的班级：学生端显示用户加入的班级，教师端显示创建的班级。</w:t>
      </w:r>
    </w:p>
    <w:p w14:paraId="20A552EB">
      <w:pPr>
        <w:spacing w:line="360" w:lineRule="auto"/>
        <w:ind w:left="437"/>
        <w:outlineLvl w:val="1"/>
        <w:rPr>
          <w:rFonts w:hint="eastAsia" w:ascii="宋体" w:hAnsi="宋体"/>
          <w:b/>
          <w:color w:val="auto"/>
          <w:szCs w:val="21"/>
        </w:rPr>
      </w:pPr>
      <w:r>
        <w:rPr>
          <w:rFonts w:ascii="宋体" w:hAnsi="宋体"/>
          <w:bCs/>
          <w:color w:val="auto"/>
          <w:szCs w:val="21"/>
        </w:rPr>
        <w:t>⑪设置：设置用户的基本信息：修改头像、昵称、性别。查看当前版本。</w:t>
      </w:r>
    </w:p>
    <w:p w14:paraId="0F340C81">
      <w:pPr>
        <w:spacing w:line="360" w:lineRule="auto"/>
        <w:ind w:left="437"/>
        <w:outlineLvl w:val="1"/>
        <w:rPr>
          <w:rFonts w:ascii="宋体" w:hAnsi="宋体"/>
          <w:bCs/>
          <w:color w:val="auto"/>
          <w:szCs w:val="21"/>
        </w:rPr>
      </w:pPr>
      <w:r>
        <w:rPr>
          <w:rFonts w:hint="eastAsia" w:ascii="宋体" w:hAnsi="宋体"/>
          <w:b/>
          <w:color w:val="auto"/>
          <w:szCs w:val="21"/>
        </w:rPr>
        <w:t>三、</w:t>
      </w:r>
      <w:r>
        <w:rPr>
          <w:rFonts w:ascii="宋体" w:hAnsi="宋体"/>
          <w:b/>
          <w:color w:val="auto"/>
          <w:szCs w:val="21"/>
        </w:rPr>
        <w:t>虚拟仿真实训教学管理及资源共享平台</w:t>
      </w:r>
      <w:r>
        <w:rPr>
          <w:rFonts w:ascii="宋体" w:hAnsi="宋体"/>
          <w:b/>
          <w:color w:val="auto"/>
          <w:szCs w:val="21"/>
        </w:rPr>
        <w:br w:type="textWrapping"/>
      </w:r>
      <w:r>
        <w:rPr>
          <w:rFonts w:ascii="宋体" w:hAnsi="宋体"/>
          <w:bCs/>
          <w:color w:val="auto"/>
          <w:szCs w:val="21"/>
        </w:rPr>
        <w:t>1.平台提供虚拟仿真学习路径，将虚拟仿真学习流程详细分解为理论知识、学习资源、随堂练习、理论考核、虚拟训练等过程；</w:t>
      </w:r>
      <w:r>
        <w:rPr>
          <w:rFonts w:ascii="宋体" w:hAnsi="宋体"/>
          <w:bCs/>
          <w:color w:val="auto"/>
          <w:szCs w:val="21"/>
        </w:rPr>
        <w:br w:type="textWrapping"/>
      </w:r>
      <w:r>
        <w:rPr>
          <w:rFonts w:ascii="宋体" w:hAnsi="宋体"/>
          <w:bCs/>
          <w:color w:val="auto"/>
          <w:szCs w:val="21"/>
        </w:rPr>
        <w:t>2.管理员可于虚拟仿真平台进行虚拟仿真实训课程创建，所有的虚拟仿真实训课程模块基于平台采用在线实训，无需下载到本地。</w:t>
      </w:r>
    </w:p>
    <w:p w14:paraId="01ECCC54">
      <w:pPr>
        <w:spacing w:line="360" w:lineRule="auto"/>
        <w:ind w:left="437"/>
        <w:outlineLvl w:val="1"/>
        <w:rPr>
          <w:rFonts w:ascii="宋体" w:hAnsi="宋体"/>
          <w:bCs/>
          <w:color w:val="auto"/>
          <w:szCs w:val="21"/>
        </w:rPr>
      </w:pPr>
      <w:r>
        <w:rPr>
          <w:rFonts w:ascii="宋体" w:hAnsi="宋体"/>
          <w:bCs/>
          <w:color w:val="auto"/>
          <w:szCs w:val="21"/>
        </w:rPr>
        <w:t>3.学生可于平台进行在线虚拟仿真学习，可于个人中心查看各个虚拟仿真的学习情况，对自己的学情进行分析统计；</w:t>
      </w:r>
      <w:r>
        <w:rPr>
          <w:rFonts w:ascii="宋体" w:hAnsi="宋体"/>
          <w:bCs/>
          <w:color w:val="auto"/>
          <w:szCs w:val="21"/>
        </w:rPr>
        <w:br w:type="textWrapping"/>
      </w:r>
      <w:r>
        <w:rPr>
          <w:rFonts w:ascii="宋体" w:hAnsi="宋体"/>
          <w:bCs/>
          <w:color w:val="auto"/>
          <w:szCs w:val="21"/>
        </w:rPr>
        <w:t>4.教师可于虚拟仿真平台进行虚拟仿真实训课程预览，可于个人中心查看自己所关联的所有学生的虚拟仿真实训的学习情况，通过统计分析数据直观查看学生学习薄弱点。</w:t>
      </w:r>
    </w:p>
    <w:p w14:paraId="7BC7FC22">
      <w:pPr>
        <w:spacing w:line="360" w:lineRule="auto"/>
        <w:ind w:left="437"/>
        <w:outlineLvl w:val="1"/>
        <w:rPr>
          <w:rFonts w:ascii="宋体" w:hAnsi="宋体"/>
          <w:bCs/>
          <w:color w:val="auto"/>
          <w:szCs w:val="21"/>
        </w:rPr>
      </w:pPr>
      <w:r>
        <w:rPr>
          <w:rFonts w:ascii="宋体" w:hAnsi="宋体"/>
          <w:bCs/>
          <w:color w:val="auto"/>
          <w:szCs w:val="21"/>
        </w:rPr>
        <w:t>5.门户首页可以展示虚拟仿真线上课程数量、浏览量和热门学科数量。</w:t>
      </w:r>
    </w:p>
    <w:p w14:paraId="41EA5BEB">
      <w:pPr>
        <w:spacing w:line="360" w:lineRule="auto"/>
        <w:ind w:left="437"/>
        <w:outlineLvl w:val="1"/>
        <w:rPr>
          <w:rFonts w:ascii="宋体" w:hAnsi="宋体"/>
          <w:bCs/>
          <w:color w:val="auto"/>
          <w:szCs w:val="21"/>
        </w:rPr>
      </w:pPr>
      <w:r>
        <w:rPr>
          <w:rFonts w:ascii="宋体" w:hAnsi="宋体"/>
          <w:bCs/>
          <w:color w:val="auto"/>
          <w:szCs w:val="21"/>
        </w:rPr>
        <w:t>▲6.可以展示当前热门虚拟仿真课程，课程包含学校的国家级，省级其他课程。实训界面可展示虚拟仿真操作参与人数，评分，责任人，学校名称、实训名称及实训封面等信息。</w:t>
      </w:r>
    </w:p>
    <w:p w14:paraId="7B99726C">
      <w:pPr>
        <w:spacing w:line="360" w:lineRule="auto"/>
        <w:ind w:left="437"/>
        <w:outlineLvl w:val="1"/>
        <w:rPr>
          <w:rFonts w:ascii="宋体" w:hAnsi="宋体"/>
          <w:bCs/>
          <w:color w:val="auto"/>
          <w:szCs w:val="21"/>
        </w:rPr>
      </w:pPr>
      <w:r>
        <w:rPr>
          <w:rFonts w:ascii="宋体" w:hAnsi="宋体"/>
          <w:bCs/>
          <w:color w:val="auto"/>
          <w:szCs w:val="21"/>
        </w:rPr>
        <w:t>7.首页可以展示与学校合作的相关学校名称，选择后可以查看相关院校信息。</w:t>
      </w:r>
    </w:p>
    <w:p w14:paraId="782E293C">
      <w:pPr>
        <w:spacing w:line="360" w:lineRule="auto"/>
        <w:ind w:left="437"/>
        <w:outlineLvl w:val="1"/>
        <w:rPr>
          <w:rFonts w:ascii="宋体" w:hAnsi="宋体"/>
          <w:bCs/>
          <w:color w:val="auto"/>
          <w:szCs w:val="21"/>
        </w:rPr>
      </w:pPr>
      <w:r>
        <w:rPr>
          <w:rFonts w:ascii="宋体" w:hAnsi="宋体"/>
          <w:bCs/>
          <w:color w:val="auto"/>
          <w:szCs w:val="21"/>
        </w:rPr>
        <w:t>（1）实训中心</w:t>
      </w:r>
    </w:p>
    <w:p w14:paraId="4C8E4403">
      <w:pPr>
        <w:spacing w:line="360" w:lineRule="auto"/>
        <w:ind w:left="437"/>
        <w:outlineLvl w:val="1"/>
        <w:rPr>
          <w:rFonts w:ascii="宋体" w:hAnsi="宋体"/>
          <w:bCs/>
          <w:color w:val="auto"/>
          <w:szCs w:val="21"/>
        </w:rPr>
      </w:pPr>
      <w:r>
        <w:rPr>
          <w:rFonts w:ascii="宋体" w:hAnsi="宋体"/>
          <w:bCs/>
          <w:color w:val="auto"/>
          <w:szCs w:val="21"/>
        </w:rPr>
        <w:t>1.展示实训首页，实训项目列表和实训课程介绍，点击去实训按钮后，可进入相关实训界面。</w:t>
      </w:r>
    </w:p>
    <w:p w14:paraId="1FF04605">
      <w:pPr>
        <w:spacing w:line="360" w:lineRule="auto"/>
        <w:ind w:left="437"/>
        <w:outlineLvl w:val="1"/>
        <w:rPr>
          <w:rFonts w:ascii="宋体" w:hAnsi="宋体"/>
          <w:bCs/>
          <w:color w:val="auto"/>
          <w:szCs w:val="21"/>
        </w:rPr>
      </w:pPr>
      <w:r>
        <w:rPr>
          <w:rFonts w:ascii="宋体" w:hAnsi="宋体"/>
          <w:bCs/>
          <w:color w:val="auto"/>
          <w:szCs w:val="21"/>
        </w:rPr>
        <w:t>2.虚拟仿真实训课程分类，能够按照职教目录19大类及二级类目进行展示，点击相应类目后可以显示类目相关的实训课程。</w:t>
      </w:r>
    </w:p>
    <w:p w14:paraId="0AC6F7BE">
      <w:pPr>
        <w:spacing w:line="360" w:lineRule="auto"/>
        <w:ind w:left="437"/>
        <w:outlineLvl w:val="1"/>
        <w:rPr>
          <w:rFonts w:ascii="宋体" w:hAnsi="宋体"/>
          <w:bCs/>
          <w:color w:val="auto"/>
          <w:szCs w:val="21"/>
        </w:rPr>
      </w:pPr>
      <w:r>
        <w:rPr>
          <w:rFonts w:ascii="宋体" w:hAnsi="宋体"/>
          <w:bCs/>
          <w:color w:val="auto"/>
          <w:szCs w:val="21"/>
        </w:rPr>
        <w:t>3.课程分类可按照级别及类别划分，至少包括国家一流课程，省级一流课程，公共课程，公共基础课程、专业核心课程等，点击不同类别显示相应的课程，方便用户选择检索。</w:t>
      </w:r>
    </w:p>
    <w:p w14:paraId="4A755678">
      <w:pPr>
        <w:spacing w:line="360" w:lineRule="auto"/>
        <w:ind w:left="437"/>
        <w:outlineLvl w:val="1"/>
        <w:rPr>
          <w:rFonts w:ascii="宋体" w:hAnsi="宋体"/>
          <w:bCs/>
          <w:color w:val="auto"/>
          <w:szCs w:val="21"/>
        </w:rPr>
      </w:pPr>
      <w:r>
        <w:rPr>
          <w:rFonts w:ascii="宋体" w:hAnsi="宋体"/>
          <w:bCs/>
          <w:color w:val="auto"/>
          <w:szCs w:val="21"/>
        </w:rPr>
        <w:t>4.搜索功能：可以通过学校名称，负责人，课程名称等关键字进行搜索，快速查找虚拟仿真相关实训资源。</w:t>
      </w:r>
    </w:p>
    <w:p w14:paraId="0FB23253">
      <w:pPr>
        <w:spacing w:line="360" w:lineRule="auto"/>
        <w:ind w:left="437"/>
        <w:outlineLvl w:val="1"/>
        <w:rPr>
          <w:rFonts w:ascii="宋体" w:hAnsi="宋体"/>
          <w:bCs/>
          <w:color w:val="auto"/>
          <w:szCs w:val="21"/>
        </w:rPr>
      </w:pPr>
      <w:r>
        <w:rPr>
          <w:rFonts w:ascii="宋体" w:hAnsi="宋体"/>
          <w:bCs/>
          <w:color w:val="auto"/>
          <w:szCs w:val="21"/>
        </w:rPr>
        <w:t>▲5.数据统计功能：可以按照国家一流课程、省级一流课程、其他实训/实验课程、基础练习型、专业基础课程、专业核心课程、实验人次、平均时长、覆盖高校等类别进行统计，并点击各类别后能够显示和关闭相应课程数据。并能够统计平台所覆盖的课程和覆盖的知识点数据。</w:t>
      </w:r>
    </w:p>
    <w:p w14:paraId="0AE5806F">
      <w:pPr>
        <w:spacing w:line="360" w:lineRule="auto"/>
        <w:ind w:left="437"/>
        <w:outlineLvl w:val="1"/>
        <w:rPr>
          <w:rFonts w:ascii="宋体" w:hAnsi="宋体"/>
          <w:bCs/>
          <w:color w:val="auto"/>
          <w:szCs w:val="21"/>
        </w:rPr>
      </w:pPr>
      <w:r>
        <w:rPr>
          <w:rFonts w:ascii="宋体" w:hAnsi="宋体"/>
          <w:bCs/>
          <w:color w:val="auto"/>
          <w:szCs w:val="21"/>
        </w:rPr>
        <w:t>▲6.虚拟仿真实训课程展示功能：展示虚拟仿真相关信息，包括虚拟仿真介绍，虚拟仿真展示视频，教学目标，实验原理，实验教学步骤，实验结果等。</w:t>
      </w:r>
    </w:p>
    <w:p w14:paraId="136FEAF0">
      <w:pPr>
        <w:spacing w:line="360" w:lineRule="auto"/>
        <w:ind w:left="437"/>
        <w:outlineLvl w:val="1"/>
        <w:rPr>
          <w:rFonts w:ascii="宋体" w:hAnsi="宋体"/>
          <w:bCs/>
          <w:color w:val="auto"/>
          <w:szCs w:val="21"/>
        </w:rPr>
      </w:pPr>
      <w:r>
        <w:rPr>
          <w:rFonts w:ascii="宋体" w:hAnsi="宋体"/>
          <w:bCs/>
          <w:color w:val="auto"/>
          <w:szCs w:val="21"/>
        </w:rPr>
        <w:t>7.学生点击去实训按钮后可进入虚拟仿真流程界面并在线开展实训任务。</w:t>
      </w:r>
    </w:p>
    <w:p w14:paraId="74ABF046">
      <w:pPr>
        <w:spacing w:line="360" w:lineRule="auto"/>
        <w:ind w:left="437"/>
        <w:outlineLvl w:val="1"/>
        <w:rPr>
          <w:rFonts w:ascii="宋体" w:hAnsi="宋体"/>
          <w:bCs/>
          <w:color w:val="auto"/>
          <w:szCs w:val="21"/>
        </w:rPr>
      </w:pPr>
      <w:r>
        <w:rPr>
          <w:rFonts w:ascii="宋体" w:hAnsi="宋体"/>
          <w:bCs/>
          <w:color w:val="auto"/>
          <w:szCs w:val="21"/>
        </w:rPr>
        <w:t>（2）工作台</w:t>
      </w:r>
    </w:p>
    <w:p w14:paraId="304D8F45">
      <w:pPr>
        <w:spacing w:line="360" w:lineRule="auto"/>
        <w:ind w:left="437"/>
        <w:outlineLvl w:val="1"/>
        <w:rPr>
          <w:rFonts w:ascii="宋体" w:hAnsi="宋体"/>
          <w:bCs/>
          <w:color w:val="auto"/>
          <w:szCs w:val="21"/>
        </w:rPr>
      </w:pPr>
      <w:r>
        <w:rPr>
          <w:rFonts w:ascii="宋体" w:hAnsi="宋体"/>
          <w:bCs/>
          <w:color w:val="auto"/>
          <w:szCs w:val="21"/>
        </w:rPr>
        <w:t>1.工作台主页可以查看虚拟仿真平台服务器的运行状态，包括服务器信息、磁盘使用情况（磁盘类型、总大小、可用大小）、内存情况（总内存、已用内存、剩余内存、使用率）、CPU运行情况（CPU核心数、系统CPU使用率、系统使用率、当前CPU空闲率）等，以便管理人员及时了解平台运行情况。</w:t>
      </w:r>
    </w:p>
    <w:p w14:paraId="38A27911">
      <w:pPr>
        <w:spacing w:line="360" w:lineRule="auto"/>
        <w:ind w:left="437"/>
        <w:outlineLvl w:val="1"/>
        <w:rPr>
          <w:rFonts w:ascii="宋体" w:hAnsi="宋体"/>
          <w:bCs/>
          <w:color w:val="auto"/>
          <w:szCs w:val="21"/>
        </w:rPr>
      </w:pPr>
      <w:r>
        <w:rPr>
          <w:rFonts w:ascii="宋体" w:hAnsi="宋体"/>
          <w:bCs/>
          <w:color w:val="auto"/>
          <w:szCs w:val="21"/>
        </w:rPr>
        <w:t>2.管理员可以在系统管理页面对用户、角色、部门、岗位、字典、日志等进行管理。</w:t>
      </w:r>
    </w:p>
    <w:p w14:paraId="40BC7418">
      <w:pPr>
        <w:spacing w:line="360" w:lineRule="auto"/>
        <w:ind w:left="437"/>
        <w:outlineLvl w:val="1"/>
        <w:rPr>
          <w:rFonts w:ascii="宋体" w:hAnsi="宋体"/>
          <w:bCs/>
          <w:color w:val="auto"/>
          <w:szCs w:val="21"/>
        </w:rPr>
      </w:pPr>
      <w:r>
        <w:rPr>
          <w:rFonts w:ascii="宋体" w:hAnsi="宋体"/>
          <w:bCs/>
          <w:color w:val="auto"/>
          <w:szCs w:val="21"/>
        </w:rPr>
        <w:t>3.日志管理需包含操作日志（至少包括请求方式、系统模块、操作类型、操作IP地址、地点及操作状态等）、登录日志（至少包括登录日期、登录状态、用户名称、登录IP地址、登录地点、登录浏览器、操作系统等）。</w:t>
      </w:r>
    </w:p>
    <w:p w14:paraId="640EF4BD">
      <w:pPr>
        <w:spacing w:line="360" w:lineRule="auto"/>
        <w:ind w:left="437"/>
        <w:outlineLvl w:val="1"/>
        <w:rPr>
          <w:rFonts w:ascii="宋体" w:hAnsi="宋体"/>
          <w:bCs/>
          <w:color w:val="auto"/>
          <w:szCs w:val="21"/>
        </w:rPr>
      </w:pPr>
      <w:r>
        <w:rPr>
          <w:rFonts w:ascii="宋体" w:hAnsi="宋体"/>
          <w:bCs/>
          <w:color w:val="auto"/>
          <w:szCs w:val="21"/>
        </w:rPr>
        <w:t>4.用户管理页面可以对账号、用户姓名、手机号、头像、性别、邮箱、所属学校、账号状态等信息进行删除、修改、添加操作。</w:t>
      </w:r>
    </w:p>
    <w:p w14:paraId="1E389407">
      <w:pPr>
        <w:spacing w:line="360" w:lineRule="auto"/>
        <w:ind w:left="437"/>
        <w:outlineLvl w:val="1"/>
        <w:rPr>
          <w:rFonts w:hint="eastAsia" w:ascii="宋体" w:hAnsi="宋体"/>
          <w:bCs/>
          <w:color w:val="auto"/>
          <w:szCs w:val="21"/>
        </w:rPr>
      </w:pPr>
      <w:r>
        <w:rPr>
          <w:rFonts w:ascii="宋体" w:hAnsi="宋体"/>
          <w:bCs/>
          <w:color w:val="auto"/>
          <w:szCs w:val="21"/>
        </w:rPr>
        <w:t>5.学校管理包括学校列表和学校专业管理。学校列表可以对学校名称、logo、地区、详细地址、联系电话、办学性质、办学特色、状态等信息进行添加、删除、修改操作。专业管理可以包含新职教目录19大类及二级类目录级别管理，包括删除、添加、修改等功能。专业管理页面功能包括专业名称、图标、所属学校、排序、级数、创建时间等内容</w:t>
      </w:r>
    </w:p>
    <w:bookmarkEnd w:id="15"/>
    <w:bookmarkEnd w:id="16"/>
    <w:p w14:paraId="76BB17D3">
      <w:pPr>
        <w:spacing w:line="360" w:lineRule="auto"/>
        <w:ind w:left="437"/>
        <w:outlineLvl w:val="1"/>
        <w:rPr>
          <w:rFonts w:hint="eastAsia" w:ascii="宋体" w:hAnsi="宋体"/>
          <w:b/>
          <w:color w:val="auto"/>
          <w:szCs w:val="21"/>
        </w:rPr>
      </w:pPr>
      <w:r>
        <w:rPr>
          <w:rFonts w:hint="eastAsia" w:ascii="宋体" w:hAnsi="宋体"/>
          <w:b/>
          <w:color w:val="auto"/>
          <w:szCs w:val="21"/>
        </w:rPr>
        <w:br w:type="textWrapping"/>
      </w:r>
      <w:r>
        <w:rPr>
          <w:rFonts w:hint="eastAsia" w:ascii="宋体" w:hAnsi="宋体"/>
          <w:b/>
          <w:color w:val="auto"/>
          <w:szCs w:val="21"/>
        </w:rPr>
        <w:t>四、报价要求</w:t>
      </w:r>
    </w:p>
    <w:p w14:paraId="2AEEF3B2">
      <w:pPr>
        <w:widowControl/>
        <w:spacing w:line="360" w:lineRule="auto"/>
        <w:ind w:left="210" w:leftChars="100" w:firstLine="422" w:firstLineChars="200"/>
        <w:jc w:val="left"/>
        <w:rPr>
          <w:color w:val="auto"/>
          <w:szCs w:val="21"/>
        </w:rPr>
      </w:pPr>
      <w:r>
        <w:rPr>
          <w:rFonts w:hint="eastAsia" w:ascii="宋体" w:hAnsi="宋体" w:cs="宋体"/>
          <w:b/>
          <w:bCs/>
          <w:color w:val="auto"/>
          <w:kern w:val="0"/>
          <w:szCs w:val="21"/>
          <w:lang w:bidi="ar"/>
        </w:rPr>
        <w:t xml:space="preserve">1.本项目报总价，报价不得超过最高限价，否则投标无效。实施过程中采购人将不再增加其他任何后续费用，投标人应自行考虑相关风险。 </w:t>
      </w:r>
    </w:p>
    <w:p w14:paraId="3B7A8267">
      <w:pPr>
        <w:widowControl/>
        <w:spacing w:line="360" w:lineRule="auto"/>
        <w:ind w:left="210" w:leftChars="100" w:firstLine="420" w:firstLineChars="200"/>
        <w:jc w:val="left"/>
        <w:rPr>
          <w:color w:val="auto"/>
          <w:szCs w:val="21"/>
        </w:rPr>
      </w:pPr>
      <w:r>
        <w:rPr>
          <w:rFonts w:hint="eastAsia" w:ascii="宋体" w:hAnsi="宋体" w:cs="宋体"/>
          <w:color w:val="auto"/>
          <w:kern w:val="0"/>
          <w:szCs w:val="21"/>
          <w:lang w:bidi="ar"/>
        </w:rPr>
        <w:t>2.投标人的投标报价应遵守《中华人民共和国价格法》。同时，根据《中华人民共和国政府采购法》第三条的规定，为保证公平竞争，</w:t>
      </w:r>
      <w:r>
        <w:rPr>
          <w:rFonts w:hint="eastAsia" w:ascii="宋体" w:hAnsi="宋体" w:cs="宋体"/>
          <w:b/>
          <w:bCs/>
          <w:color w:val="auto"/>
          <w:kern w:val="0"/>
          <w:szCs w:val="21"/>
          <w:lang w:bidi="ar"/>
        </w:rPr>
        <w:t xml:space="preserve">如有服务主体部分的赠与行为，其投标将被认定为投标无效。 </w:t>
      </w:r>
    </w:p>
    <w:p w14:paraId="0A5EA709">
      <w:pPr>
        <w:widowControl/>
        <w:spacing w:line="360" w:lineRule="auto"/>
        <w:ind w:left="210" w:leftChars="100" w:firstLine="420" w:firstLineChars="200"/>
        <w:jc w:val="left"/>
        <w:rPr>
          <w:color w:val="auto"/>
          <w:szCs w:val="21"/>
        </w:rPr>
      </w:pPr>
      <w:r>
        <w:rPr>
          <w:rFonts w:hint="eastAsia" w:ascii="宋体" w:hAnsi="宋体" w:cs="宋体"/>
          <w:color w:val="auto"/>
          <w:kern w:val="0"/>
          <w:szCs w:val="21"/>
          <w:lang w:bidi="ar"/>
        </w:rPr>
        <w:t xml:space="preserve">3.投标价格（单价及总价）应为完成本项目服务所需的一切费用。 </w:t>
      </w:r>
    </w:p>
    <w:p w14:paraId="476267C4">
      <w:pPr>
        <w:widowControl/>
        <w:spacing w:line="360" w:lineRule="auto"/>
        <w:ind w:firstLine="630" w:firstLineChars="300"/>
        <w:jc w:val="left"/>
        <w:rPr>
          <w:color w:val="auto"/>
          <w:szCs w:val="21"/>
        </w:rPr>
      </w:pPr>
      <w:r>
        <w:rPr>
          <w:rFonts w:hint="eastAsia" w:ascii="宋体" w:hAnsi="宋体" w:cs="宋体"/>
          <w:color w:val="auto"/>
          <w:kern w:val="0"/>
          <w:szCs w:val="21"/>
          <w:lang w:bidi="ar"/>
        </w:rPr>
        <w:t xml:space="preserve">4.投标人应按招标文件要求在相关表格中标明完成本项目服务及伴随服务的单价和总价。 </w:t>
      </w:r>
    </w:p>
    <w:p w14:paraId="58322C74">
      <w:pPr>
        <w:widowControl/>
        <w:spacing w:line="360" w:lineRule="auto"/>
        <w:ind w:left="210" w:leftChars="100" w:firstLine="420" w:firstLineChars="200"/>
        <w:jc w:val="left"/>
        <w:rPr>
          <w:color w:val="auto"/>
        </w:rPr>
      </w:pPr>
      <w:r>
        <w:rPr>
          <w:rFonts w:hint="eastAsia" w:ascii="宋体" w:hAnsi="宋体" w:cs="宋体"/>
          <w:color w:val="auto"/>
          <w:kern w:val="0"/>
          <w:szCs w:val="21"/>
          <w:lang w:bidi="ar"/>
        </w:rPr>
        <w:t>5.投标人所报的各分项投标</w:t>
      </w:r>
      <w:r>
        <w:rPr>
          <w:rFonts w:hint="eastAsia" w:ascii="宋体" w:hAnsi="宋体" w:cs="宋体"/>
          <w:color w:val="auto"/>
          <w:kern w:val="0"/>
          <w:szCs w:val="21"/>
          <w:lang w:eastAsia="zh-CN" w:bidi="ar"/>
        </w:rPr>
        <w:t>总</w:t>
      </w:r>
      <w:r>
        <w:rPr>
          <w:rFonts w:hint="eastAsia" w:ascii="宋体" w:hAnsi="宋体" w:cs="宋体"/>
          <w:color w:val="auto"/>
          <w:kern w:val="0"/>
          <w:szCs w:val="21"/>
          <w:lang w:bidi="ar"/>
        </w:rPr>
        <w:t>价在合同履行过程中是固定不变的，不得以任何理由予以变更。</w:t>
      </w:r>
      <w:r>
        <w:rPr>
          <w:rFonts w:hint="eastAsia" w:ascii="宋体" w:hAnsi="宋体" w:cs="宋体"/>
          <w:b/>
          <w:bCs/>
          <w:color w:val="auto"/>
          <w:kern w:val="0"/>
          <w:szCs w:val="21"/>
          <w:lang w:bidi="ar"/>
        </w:rPr>
        <w:t xml:space="preserve">任何包含价格调整要求的投标，其投标将被认定为投标无效。 </w:t>
      </w:r>
      <w:r>
        <w:rPr>
          <w:rFonts w:hint="eastAsia" w:ascii="宋体" w:hAnsi="宋体" w:cs="宋体"/>
          <w:color w:val="auto"/>
          <w:kern w:val="0"/>
          <w:szCs w:val="21"/>
          <w:lang w:bidi="ar"/>
        </w:rPr>
        <w:t>每种货物只能有一个投标报价。采购人不接受具有附加条件的报价。除非招标文件另有规定，报价原则上精确到小数点后两位。</w:t>
      </w:r>
    </w:p>
    <w:p w14:paraId="6FBFDC96">
      <w:pPr>
        <w:pStyle w:val="4"/>
        <w:spacing w:line="360" w:lineRule="auto"/>
        <w:ind w:left="437" w:firstLine="420"/>
        <w:rPr>
          <w:rFonts w:hint="eastAsia"/>
          <w:color w:val="auto"/>
          <w:sz w:val="21"/>
          <w:szCs w:val="21"/>
        </w:rPr>
      </w:pPr>
      <w:bookmarkStart w:id="24" w:name="_GoBack"/>
      <w:bookmarkEnd w:id="24"/>
    </w:p>
    <w:p w14:paraId="2ADEB0C8">
      <w:pPr>
        <w:spacing w:line="360" w:lineRule="auto"/>
        <w:ind w:firstLine="437"/>
        <w:outlineLvl w:val="1"/>
        <w:rPr>
          <w:rFonts w:hint="eastAsia" w:ascii="宋体" w:hAnsi="宋体"/>
          <w:b/>
          <w:color w:val="auto"/>
          <w:szCs w:val="21"/>
        </w:rPr>
      </w:pPr>
      <w:bookmarkStart w:id="22" w:name="_Toc18794"/>
      <w:bookmarkStart w:id="23" w:name="_Toc8283"/>
      <w:r>
        <w:rPr>
          <w:rFonts w:hint="eastAsia" w:ascii="宋体" w:hAnsi="宋体"/>
          <w:b/>
          <w:color w:val="auto"/>
          <w:szCs w:val="21"/>
        </w:rPr>
        <w:t>五、其他要求</w:t>
      </w:r>
      <w:bookmarkEnd w:id="22"/>
      <w:bookmarkEnd w:id="23"/>
    </w:p>
    <w:bookmarkEnd w:id="9"/>
    <w:bookmarkEnd w:id="11"/>
    <w:p w14:paraId="22435F5A">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5.1 培训要求： </w:t>
      </w:r>
    </w:p>
    <w:p w14:paraId="5C96E09F">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（1）成交供应商须提供课程建设运行服务及必要的支撑技术培训服务。 </w:t>
      </w:r>
    </w:p>
    <w:p w14:paraId="6814E97E">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（2）成交供应商须提供至少 5 次总计不低于 8 学时针对老师和学生的系统应用操作培训服务。 </w:t>
      </w:r>
    </w:p>
    <w:p w14:paraId="5F939F3A">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（3）成交供应商须提供包含课程资源建设流程及注意事项等具体落地的培训工作。 </w:t>
      </w:r>
    </w:p>
    <w:p w14:paraId="63051F2D">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5.2 其他服务要求： </w:t>
      </w:r>
    </w:p>
    <w:p w14:paraId="080BC752">
      <w:pPr>
        <w:widowControl/>
        <w:spacing w:line="360" w:lineRule="auto"/>
        <w:ind w:left="420" w:firstLine="420"/>
        <w:jc w:val="left"/>
        <w:rPr>
          <w:color w:val="auto"/>
          <w:szCs w:val="21"/>
        </w:rPr>
      </w:pPr>
      <w:r>
        <w:rPr>
          <w:rFonts w:hint="eastAsia" w:ascii="宋体" w:hAnsi="宋体" w:cs="宋体"/>
          <w:color w:val="auto"/>
          <w:kern w:val="0"/>
          <w:szCs w:val="21"/>
          <w:lang w:bidi="ar"/>
        </w:rPr>
        <w:t>（1）在项目实施过程</w:t>
      </w:r>
      <w:r>
        <w:rPr>
          <w:rFonts w:hint="eastAsia" w:ascii="宋体" w:hAnsi="宋体" w:cs="宋体"/>
          <w:color w:val="auto"/>
          <w:kern w:val="0"/>
          <w:szCs w:val="21"/>
          <w:lang w:eastAsia="zh-CN" w:bidi="ar"/>
        </w:rPr>
        <w:t>中</w:t>
      </w:r>
      <w:r>
        <w:rPr>
          <w:rFonts w:hint="eastAsia" w:ascii="宋体" w:hAnsi="宋体" w:cs="宋体"/>
          <w:color w:val="auto"/>
          <w:kern w:val="0"/>
          <w:szCs w:val="21"/>
          <w:lang w:bidi="ar"/>
        </w:rPr>
        <w:t xml:space="preserve">，成交供应商需承诺指定专人负责与采购人保持长期的联系与服务。 </w:t>
      </w:r>
    </w:p>
    <w:p w14:paraId="21A46169">
      <w:pPr>
        <w:widowControl/>
        <w:spacing w:line="360" w:lineRule="auto"/>
        <w:ind w:left="420" w:firstLine="420"/>
        <w:jc w:val="left"/>
        <w:rPr>
          <w:color w:val="auto"/>
          <w:szCs w:val="21"/>
        </w:rPr>
      </w:pPr>
      <w:r>
        <w:rPr>
          <w:rFonts w:hint="eastAsia" w:ascii="宋体" w:hAnsi="宋体" w:cs="宋体"/>
          <w:color w:val="auto"/>
          <w:kern w:val="0"/>
          <w:szCs w:val="21"/>
          <w:lang w:bidi="ar"/>
        </w:rPr>
        <w:t xml:space="preserve">（2）成交供应商须提供完整的平台配套的产品资料，包括系统安装使用手册、系统功能模块说明书、用户使用手册、帮助文档等。 </w:t>
      </w:r>
    </w:p>
    <w:p w14:paraId="64B4DA07">
      <w:pPr>
        <w:widowControl/>
        <w:spacing w:line="360" w:lineRule="auto"/>
        <w:ind w:left="420" w:firstLine="420"/>
        <w:jc w:val="left"/>
        <w:rPr>
          <w:rFonts w:hint="eastAsia" w:ascii="宋体" w:hAnsi="宋体" w:cs="宋体"/>
          <w:color w:val="auto"/>
          <w:kern w:val="0"/>
          <w:szCs w:val="21"/>
          <w:lang w:bidi="ar"/>
        </w:rPr>
      </w:pPr>
      <w:r>
        <w:rPr>
          <w:rFonts w:hint="eastAsia" w:ascii="宋体" w:hAnsi="宋体" w:cs="宋体"/>
          <w:color w:val="auto"/>
          <w:kern w:val="0"/>
          <w:szCs w:val="21"/>
          <w:lang w:bidi="ar"/>
        </w:rPr>
        <w:t>（3）供应商所安排的服务人员分工明细，资源制作前协商响应时间为 1 个工作日；资源制作细节处理以 QQ、微信等便捷交流方式，达到随时回复的要求。</w:t>
      </w:r>
    </w:p>
    <w:p w14:paraId="4C4B5216">
      <w:pPr>
        <w:widowControl/>
        <w:spacing w:line="360" w:lineRule="auto"/>
        <w:ind w:left="420" w:firstLine="420"/>
        <w:jc w:val="left"/>
        <w:rPr>
          <w:rFonts w:hint="eastAsia" w:ascii="宋体" w:hAnsi="宋体" w:cs="宋体"/>
          <w:color w:val="auto"/>
          <w:kern w:val="0"/>
          <w:szCs w:val="21"/>
          <w:lang w:bidi="ar"/>
        </w:rPr>
      </w:pPr>
      <w:r>
        <w:rPr>
          <w:rFonts w:hint="eastAsia" w:ascii="宋体" w:hAnsi="宋体" w:cs="宋体"/>
          <w:color w:val="auto"/>
          <w:kern w:val="0"/>
          <w:szCs w:val="21"/>
          <w:lang w:val="en-US" w:eastAsia="zh-CN" w:bidi="ar"/>
        </w:rPr>
        <w:t>（4）自验收合格之日起3年，期间上门免费服务。</w:t>
      </w:r>
    </w:p>
    <w:p w14:paraId="60E3CA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M2NmZWVhY2JiMTE4Mzc5NjM3ODllNGY3ZjE0OTYifQ=="/>
  </w:docVars>
  <w:rsids>
    <w:rsidRoot w:val="2FB72737"/>
    <w:rsid w:val="2FB7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qFormat/>
    <w:uiPriority w:val="0"/>
    <w:rPr>
      <w:rFonts w:eastAsia="黑体"/>
      <w:sz w:val="36"/>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color w:val="000000"/>
      <w:kern w:val="0"/>
      <w:sz w:val="24"/>
    </w:rPr>
  </w:style>
  <w:style w:type="paragraph" w:customStyle="1" w:styleId="9">
    <w:name w:val="D&amp;L"/>
    <w:basedOn w:val="5"/>
    <w:uiPriority w:val="99"/>
    <w:pPr>
      <w:pBdr>
        <w:bottom w:val="thinThickSmallGap" w:color="auto" w:sz="18" w:space="1"/>
      </w:pBdr>
      <w:adjustRightInd w:val="0"/>
      <w:snapToGrid/>
      <w:spacing w:line="240" w:lineRule="atLeast"/>
      <w:textAlignment w:val="baseline"/>
    </w:pPr>
    <w:rPr>
      <w:sz w:val="24"/>
      <w:szCs w:val="20"/>
    </w:rPr>
  </w:style>
  <w:style w:type="paragraph" w:customStyle="1" w:styleId="10">
    <w:name w:val="xl31"/>
    <w:basedOn w:val="1"/>
    <w:qFormat/>
    <w:uiPriority w:val="0"/>
    <w:pPr>
      <w:widowControl/>
      <w:spacing w:before="100" w:beforeAutospacing="1" w:after="100" w:afterAutospacing="1"/>
      <w:jc w:val="center"/>
    </w:pPr>
    <w:rPr>
      <w:b/>
      <w:bCs/>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2024-10-25T02:31:00Z</dcterms:created>
  <dc:creator>金晶</dc:creator>
  <cp:lastModifiedBy>金晶</cp:lastModifiedBy>
  <dcterms:modified xsi:type="dcterms:W3CDTF">2024-10-25T02:31:24Z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481BDCECB3CB43BAAF47C39B4AF93EC6_11</vt:lpwstr>
  </property>
</Properties>
</file>