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A9A837">
      <w:pPr>
        <w:tabs>
          <w:tab w:val="left" w:pos="315"/>
          <w:tab w:val="left" w:pos="8820"/>
        </w:tabs>
        <w:spacing w:beforeLines="100" w:afterLines="50" w:line="500" w:lineRule="exact"/>
        <w:ind w:right="267" w:rightChars="127"/>
        <w:jc w:val="center"/>
        <w:rPr>
          <w:rFonts w:ascii="宋体" w:hAnsi="宋体" w:eastAsia="宋体"/>
          <w:b/>
          <w:bCs/>
          <w:sz w:val="52"/>
          <w:szCs w:val="52"/>
          <w:highlight w:val="none"/>
        </w:rPr>
      </w:pPr>
    </w:p>
    <w:p w14:paraId="5A8CE21A">
      <w:pPr>
        <w:tabs>
          <w:tab w:val="left" w:pos="315"/>
          <w:tab w:val="left" w:pos="8820"/>
        </w:tabs>
        <w:spacing w:beforeLines="100" w:afterLines="50" w:line="500" w:lineRule="exact"/>
        <w:ind w:right="267" w:rightChars="127"/>
        <w:jc w:val="center"/>
        <w:rPr>
          <w:rFonts w:ascii="宋体" w:hAnsi="宋体" w:eastAsia="宋体"/>
          <w:b/>
          <w:bCs/>
          <w:sz w:val="52"/>
          <w:szCs w:val="52"/>
          <w:highlight w:val="none"/>
        </w:rPr>
      </w:pPr>
    </w:p>
    <w:p w14:paraId="759E8020">
      <w:pPr>
        <w:tabs>
          <w:tab w:val="left" w:pos="315"/>
          <w:tab w:val="left" w:pos="8820"/>
        </w:tabs>
        <w:spacing w:beforeLines="100" w:afterLines="50" w:line="500" w:lineRule="exact"/>
        <w:ind w:right="267" w:rightChars="127"/>
        <w:jc w:val="center"/>
        <w:rPr>
          <w:rFonts w:ascii="宋体" w:hAnsi="宋体" w:eastAsia="宋体"/>
          <w:b/>
          <w:bCs/>
          <w:sz w:val="52"/>
          <w:szCs w:val="52"/>
          <w:highlight w:val="none"/>
        </w:rPr>
      </w:pPr>
      <w:bookmarkStart w:id="0" w:name="_Hlk9544796"/>
      <w:r>
        <w:rPr>
          <w:rFonts w:hint="eastAsia" w:ascii="宋体" w:hAnsi="宋体" w:eastAsia="宋体"/>
          <w:b/>
          <w:bCs/>
          <w:sz w:val="52"/>
          <w:szCs w:val="52"/>
          <w:highlight w:val="none"/>
        </w:rPr>
        <w:t>安徽省政府采购项目</w:t>
      </w:r>
    </w:p>
    <w:p w14:paraId="6FAFCE49">
      <w:pPr>
        <w:tabs>
          <w:tab w:val="left" w:pos="315"/>
          <w:tab w:val="left" w:pos="8820"/>
        </w:tabs>
        <w:spacing w:beforeLines="100" w:afterLines="50" w:line="500" w:lineRule="exact"/>
        <w:ind w:right="267" w:rightChars="127"/>
        <w:jc w:val="center"/>
        <w:rPr>
          <w:rFonts w:ascii="宋体" w:hAnsi="宋体" w:eastAsia="宋体"/>
          <w:b/>
          <w:bCs/>
          <w:sz w:val="52"/>
          <w:szCs w:val="52"/>
          <w:highlight w:val="none"/>
        </w:rPr>
      </w:pPr>
      <w:r>
        <w:rPr>
          <w:rFonts w:hint="eastAsia" w:ascii="宋体" w:hAnsi="宋体" w:eastAsia="宋体"/>
          <w:b/>
          <w:bCs/>
          <w:sz w:val="52"/>
          <w:szCs w:val="52"/>
          <w:highlight w:val="none"/>
        </w:rPr>
        <w:t>公开招标文件示范文本</w:t>
      </w:r>
      <w:bookmarkEnd w:id="0"/>
      <w:r>
        <w:rPr>
          <w:rFonts w:hint="eastAsia" w:ascii="宋体" w:hAnsi="宋体" w:eastAsia="宋体"/>
          <w:b/>
          <w:bCs/>
          <w:sz w:val="52"/>
          <w:szCs w:val="52"/>
          <w:highlight w:val="none"/>
        </w:rPr>
        <w:t>（货物类）</w:t>
      </w:r>
    </w:p>
    <w:p w14:paraId="7A450629">
      <w:pPr>
        <w:tabs>
          <w:tab w:val="left" w:pos="315"/>
          <w:tab w:val="left" w:pos="8820"/>
        </w:tabs>
        <w:spacing w:beforeLines="100" w:afterLines="50" w:line="500" w:lineRule="exact"/>
        <w:ind w:right="267" w:rightChars="127"/>
        <w:jc w:val="center"/>
        <w:rPr>
          <w:rFonts w:ascii="宋体" w:hAnsi="宋体" w:eastAsia="宋体"/>
          <w:b/>
          <w:bCs/>
          <w:sz w:val="52"/>
          <w:szCs w:val="52"/>
          <w:highlight w:val="none"/>
        </w:rPr>
      </w:pPr>
      <w:r>
        <w:rPr>
          <w:rFonts w:hint="eastAsia" w:ascii="宋体" w:hAnsi="宋体" w:eastAsia="宋体"/>
          <w:b/>
          <w:bCs/>
          <w:sz w:val="52"/>
          <w:szCs w:val="52"/>
          <w:highlight w:val="none"/>
        </w:rPr>
        <w:t>（2024年版）</w:t>
      </w:r>
    </w:p>
    <w:p w14:paraId="67068956">
      <w:pPr>
        <w:tabs>
          <w:tab w:val="left" w:pos="315"/>
          <w:tab w:val="left" w:pos="8820"/>
        </w:tabs>
        <w:spacing w:beforeLines="100" w:afterLines="50" w:line="500" w:lineRule="exact"/>
        <w:ind w:right="267" w:rightChars="127"/>
        <w:jc w:val="center"/>
        <w:rPr>
          <w:rFonts w:ascii="宋体" w:hAnsi="宋体" w:eastAsia="宋体"/>
          <w:b/>
          <w:bCs/>
          <w:sz w:val="44"/>
          <w:szCs w:val="44"/>
          <w:highlight w:val="none"/>
        </w:rPr>
      </w:pPr>
    </w:p>
    <w:p w14:paraId="72D03699">
      <w:pPr>
        <w:tabs>
          <w:tab w:val="left" w:pos="315"/>
          <w:tab w:val="left" w:pos="8820"/>
        </w:tabs>
        <w:spacing w:beforeLines="100" w:afterLines="50" w:line="500" w:lineRule="exact"/>
        <w:ind w:right="267" w:rightChars="127"/>
        <w:jc w:val="center"/>
        <w:rPr>
          <w:rFonts w:ascii="宋体" w:hAnsi="宋体" w:eastAsia="宋体"/>
          <w:b/>
          <w:bCs/>
          <w:sz w:val="44"/>
          <w:szCs w:val="44"/>
          <w:highlight w:val="none"/>
        </w:rPr>
      </w:pPr>
    </w:p>
    <w:p w14:paraId="55E55FDC">
      <w:pPr>
        <w:tabs>
          <w:tab w:val="left" w:pos="315"/>
          <w:tab w:val="left" w:pos="8820"/>
        </w:tabs>
        <w:spacing w:beforeLines="100" w:afterLines="50" w:line="500" w:lineRule="exact"/>
        <w:ind w:right="267" w:rightChars="127"/>
        <w:jc w:val="center"/>
        <w:rPr>
          <w:rFonts w:ascii="宋体" w:hAnsi="宋体" w:eastAsia="宋体"/>
          <w:b/>
          <w:bCs/>
          <w:sz w:val="44"/>
          <w:szCs w:val="44"/>
          <w:highlight w:val="none"/>
        </w:rPr>
      </w:pPr>
    </w:p>
    <w:p w14:paraId="5B97CE7C">
      <w:pPr>
        <w:tabs>
          <w:tab w:val="left" w:pos="315"/>
          <w:tab w:val="left" w:pos="8820"/>
        </w:tabs>
        <w:spacing w:beforeLines="100" w:afterLines="50" w:line="500" w:lineRule="exact"/>
        <w:ind w:right="267" w:rightChars="127"/>
        <w:jc w:val="center"/>
        <w:rPr>
          <w:rFonts w:ascii="宋体" w:hAnsi="宋体" w:eastAsia="宋体"/>
          <w:b/>
          <w:bCs/>
          <w:sz w:val="44"/>
          <w:szCs w:val="44"/>
          <w:highlight w:val="none"/>
        </w:rPr>
      </w:pPr>
    </w:p>
    <w:p w14:paraId="220CA583">
      <w:pPr>
        <w:tabs>
          <w:tab w:val="left" w:pos="315"/>
          <w:tab w:val="left" w:pos="8820"/>
        </w:tabs>
        <w:spacing w:beforeLines="100" w:afterLines="50" w:line="500" w:lineRule="exact"/>
        <w:ind w:right="267" w:rightChars="127"/>
        <w:jc w:val="center"/>
        <w:rPr>
          <w:rFonts w:ascii="宋体" w:hAnsi="宋体" w:eastAsia="宋体"/>
          <w:b/>
          <w:bCs/>
          <w:sz w:val="44"/>
          <w:szCs w:val="44"/>
          <w:highlight w:val="none"/>
        </w:rPr>
      </w:pPr>
    </w:p>
    <w:p w14:paraId="28F3F363">
      <w:pPr>
        <w:tabs>
          <w:tab w:val="left" w:pos="2410"/>
        </w:tabs>
        <w:autoSpaceDE w:val="0"/>
        <w:autoSpaceDN w:val="0"/>
        <w:adjustRightInd w:val="0"/>
        <w:snapToGrid w:val="0"/>
        <w:spacing w:line="360" w:lineRule="auto"/>
        <w:ind w:firstLine="723" w:firstLineChars="200"/>
        <w:rPr>
          <w:rFonts w:ascii="宋体" w:hAnsi="宋体" w:eastAsia="宋体"/>
          <w:b/>
          <w:spacing w:val="20"/>
          <w:kern w:val="0"/>
          <w:sz w:val="32"/>
          <w:szCs w:val="32"/>
          <w:highlight w:val="none"/>
        </w:rPr>
      </w:pPr>
      <w:r>
        <w:rPr>
          <w:rFonts w:hint="eastAsia" w:ascii="宋体" w:hAnsi="宋体" w:eastAsia="宋体"/>
          <w:b/>
          <w:spacing w:val="20"/>
          <w:kern w:val="0"/>
          <w:sz w:val="32"/>
          <w:szCs w:val="32"/>
          <w:highlight w:val="none"/>
        </w:rPr>
        <w:t>项目名称：淮南师范学院校园智慧安全项目</w:t>
      </w:r>
    </w:p>
    <w:p w14:paraId="68CE95F6">
      <w:pPr>
        <w:tabs>
          <w:tab w:val="left" w:pos="2410"/>
        </w:tabs>
        <w:autoSpaceDE w:val="0"/>
        <w:autoSpaceDN w:val="0"/>
        <w:adjustRightInd w:val="0"/>
        <w:snapToGrid w:val="0"/>
        <w:spacing w:line="360" w:lineRule="auto"/>
        <w:ind w:firstLine="723" w:firstLineChars="200"/>
        <w:rPr>
          <w:rFonts w:hint="eastAsia" w:ascii="宋体" w:hAnsi="宋体" w:eastAsia="宋体"/>
          <w:b/>
          <w:spacing w:val="20"/>
          <w:kern w:val="0"/>
          <w:sz w:val="32"/>
          <w:szCs w:val="32"/>
          <w:highlight w:val="none"/>
          <w:lang w:eastAsia="zh-CN"/>
        </w:rPr>
      </w:pPr>
      <w:r>
        <w:rPr>
          <w:rFonts w:hint="eastAsia" w:ascii="宋体" w:hAnsi="宋体" w:eastAsia="宋体"/>
          <w:b/>
          <w:spacing w:val="20"/>
          <w:kern w:val="0"/>
          <w:sz w:val="32"/>
          <w:szCs w:val="32"/>
          <w:highlight w:val="none"/>
        </w:rPr>
        <w:t>项目编号：</w:t>
      </w:r>
      <w:r>
        <w:rPr>
          <w:rFonts w:hint="eastAsia" w:ascii="宋体" w:hAnsi="宋体" w:eastAsia="宋体" w:cs="宋体"/>
          <w:b/>
          <w:spacing w:val="20"/>
          <w:kern w:val="0"/>
          <w:sz w:val="32"/>
          <w:szCs w:val="32"/>
          <w:highlight w:val="none"/>
          <w:lang w:eastAsia="zh-CN"/>
        </w:rPr>
        <w:t>24AT186051608724</w:t>
      </w:r>
    </w:p>
    <w:p w14:paraId="79745A4D">
      <w:pPr>
        <w:tabs>
          <w:tab w:val="left" w:pos="2410"/>
        </w:tabs>
        <w:autoSpaceDE w:val="0"/>
        <w:autoSpaceDN w:val="0"/>
        <w:adjustRightInd w:val="0"/>
        <w:snapToGrid w:val="0"/>
        <w:spacing w:line="360" w:lineRule="auto"/>
        <w:ind w:firstLine="723" w:firstLineChars="200"/>
        <w:rPr>
          <w:rFonts w:ascii="宋体" w:hAnsi="宋体" w:eastAsia="宋体"/>
          <w:b/>
          <w:spacing w:val="20"/>
          <w:kern w:val="0"/>
          <w:sz w:val="32"/>
          <w:szCs w:val="32"/>
          <w:highlight w:val="none"/>
        </w:rPr>
      </w:pPr>
      <w:r>
        <w:rPr>
          <w:rFonts w:hint="eastAsia" w:ascii="宋体" w:hAnsi="宋体" w:eastAsia="宋体"/>
          <w:b/>
          <w:spacing w:val="20"/>
          <w:kern w:val="0"/>
          <w:sz w:val="32"/>
          <w:szCs w:val="32"/>
          <w:highlight w:val="none"/>
        </w:rPr>
        <w:t>采 购 人：淮南师范学院</w:t>
      </w:r>
    </w:p>
    <w:p w14:paraId="253C96B0">
      <w:pPr>
        <w:tabs>
          <w:tab w:val="left" w:pos="2410"/>
        </w:tabs>
        <w:autoSpaceDE w:val="0"/>
        <w:autoSpaceDN w:val="0"/>
        <w:adjustRightInd w:val="0"/>
        <w:snapToGrid w:val="0"/>
        <w:spacing w:line="360" w:lineRule="auto"/>
        <w:ind w:firstLine="723" w:firstLineChars="200"/>
        <w:rPr>
          <w:rFonts w:ascii="宋体" w:hAnsi="宋体" w:eastAsia="宋体"/>
          <w:b/>
          <w:spacing w:val="20"/>
          <w:kern w:val="0"/>
          <w:sz w:val="32"/>
          <w:szCs w:val="32"/>
          <w:highlight w:val="none"/>
        </w:rPr>
      </w:pPr>
      <w:r>
        <w:rPr>
          <w:rFonts w:hint="eastAsia" w:ascii="宋体" w:hAnsi="宋体" w:eastAsia="宋体"/>
          <w:b/>
          <w:spacing w:val="20"/>
          <w:kern w:val="0"/>
          <w:sz w:val="32"/>
          <w:szCs w:val="32"/>
          <w:highlight w:val="none"/>
        </w:rPr>
        <w:t>采购代理机构：</w:t>
      </w:r>
      <w:r>
        <w:rPr>
          <w:rFonts w:hint="eastAsia" w:ascii="宋体" w:hAnsi="宋体" w:eastAsia="宋体" w:cs="宋体"/>
          <w:b/>
          <w:spacing w:val="20"/>
          <w:kern w:val="0"/>
          <w:sz w:val="32"/>
          <w:szCs w:val="32"/>
          <w:highlight w:val="none"/>
        </w:rPr>
        <w:t>安徽安天利信工程管理股份有限公司</w:t>
      </w:r>
    </w:p>
    <w:p w14:paraId="49D7700D">
      <w:pPr>
        <w:tabs>
          <w:tab w:val="left" w:pos="315"/>
          <w:tab w:val="left" w:pos="8820"/>
        </w:tabs>
        <w:spacing w:beforeLines="100" w:afterLines="50" w:line="500" w:lineRule="exact"/>
        <w:ind w:right="267" w:rightChars="127"/>
        <w:jc w:val="center"/>
        <w:rPr>
          <w:rFonts w:ascii="宋体" w:hAnsi="宋体" w:eastAsia="宋体"/>
          <w:b/>
          <w:bCs/>
          <w:sz w:val="44"/>
          <w:szCs w:val="44"/>
          <w:highlight w:val="none"/>
        </w:rPr>
      </w:pPr>
    </w:p>
    <w:p w14:paraId="7C27F60C">
      <w:pPr>
        <w:tabs>
          <w:tab w:val="left" w:pos="2410"/>
        </w:tabs>
        <w:autoSpaceDE w:val="0"/>
        <w:autoSpaceDN w:val="0"/>
        <w:adjustRightInd w:val="0"/>
        <w:snapToGrid w:val="0"/>
        <w:spacing w:line="360" w:lineRule="auto"/>
        <w:jc w:val="center"/>
        <w:rPr>
          <w:rFonts w:ascii="宋体" w:hAnsi="宋体" w:eastAsia="宋体" w:cs="宋体"/>
          <w:b/>
          <w:sz w:val="36"/>
          <w:highlight w:val="none"/>
        </w:rPr>
      </w:pPr>
      <w:r>
        <w:rPr>
          <w:rFonts w:hint="eastAsia" w:ascii="宋体" w:hAnsi="宋体" w:eastAsia="宋体" w:cs="宋体"/>
          <w:b/>
          <w:sz w:val="36"/>
          <w:highlight w:val="none"/>
          <w:u w:val="single"/>
        </w:rPr>
        <w:t>2024</w:t>
      </w:r>
      <w:r>
        <w:rPr>
          <w:rFonts w:hint="eastAsia" w:ascii="宋体" w:hAnsi="宋体" w:eastAsia="宋体" w:cs="宋体"/>
          <w:b/>
          <w:sz w:val="36"/>
          <w:highlight w:val="none"/>
        </w:rPr>
        <w:t>年</w:t>
      </w:r>
      <w:r>
        <w:rPr>
          <w:rFonts w:hint="eastAsia" w:ascii="宋体" w:hAnsi="宋体" w:eastAsia="宋体" w:cs="宋体"/>
          <w:b/>
          <w:sz w:val="36"/>
          <w:highlight w:val="none"/>
          <w:u w:val="single"/>
        </w:rPr>
        <w:t>12</w:t>
      </w:r>
      <w:r>
        <w:rPr>
          <w:rFonts w:hint="eastAsia" w:ascii="宋体" w:hAnsi="宋体" w:eastAsia="宋体" w:cs="宋体"/>
          <w:b/>
          <w:sz w:val="36"/>
          <w:highlight w:val="none"/>
        </w:rPr>
        <w:t>月</w:t>
      </w:r>
    </w:p>
    <w:p w14:paraId="4F05AA92">
      <w:pPr>
        <w:tabs>
          <w:tab w:val="left" w:pos="2410"/>
        </w:tabs>
        <w:autoSpaceDE w:val="0"/>
        <w:autoSpaceDN w:val="0"/>
        <w:adjustRightInd w:val="0"/>
        <w:snapToGrid w:val="0"/>
        <w:spacing w:line="360" w:lineRule="auto"/>
        <w:jc w:val="center"/>
        <w:rPr>
          <w:rFonts w:ascii="宋体" w:hAnsi="宋体" w:eastAsia="宋体"/>
          <w:b/>
          <w:sz w:val="36"/>
          <w:highlight w:val="none"/>
        </w:rPr>
      </w:pPr>
      <w:r>
        <w:rPr>
          <w:rFonts w:ascii="宋体" w:hAnsi="宋体" w:eastAsia="宋体"/>
          <w:b/>
          <w:sz w:val="36"/>
          <w:highlight w:val="none"/>
        </w:rPr>
        <w:br w:type="page"/>
      </w:r>
    </w:p>
    <w:p w14:paraId="1FFEBEB8">
      <w:pPr>
        <w:tabs>
          <w:tab w:val="left" w:pos="2410"/>
        </w:tabs>
        <w:autoSpaceDE w:val="0"/>
        <w:autoSpaceDN w:val="0"/>
        <w:adjustRightInd w:val="0"/>
        <w:snapToGrid w:val="0"/>
        <w:spacing w:line="360" w:lineRule="auto"/>
        <w:jc w:val="center"/>
        <w:rPr>
          <w:rFonts w:ascii="宋体" w:hAnsi="宋体" w:eastAsia="宋体"/>
          <w:b/>
          <w:sz w:val="28"/>
          <w:highlight w:val="none"/>
        </w:rPr>
      </w:pPr>
      <w:r>
        <w:rPr>
          <w:rFonts w:hint="eastAsia" w:ascii="宋体" w:hAnsi="宋体" w:eastAsia="宋体"/>
          <w:b/>
          <w:sz w:val="28"/>
          <w:highlight w:val="none"/>
        </w:rPr>
        <w:t>目  录</w:t>
      </w:r>
    </w:p>
    <w:p w14:paraId="279B6BE2">
      <w:pPr>
        <w:pStyle w:val="18"/>
        <w:tabs>
          <w:tab w:val="right" w:leader="dot" w:pos="8306"/>
        </w:tabs>
        <w:rPr>
          <w:highlight w:val="none"/>
        </w:rPr>
      </w:pPr>
      <w:r>
        <w:rPr>
          <w:rFonts w:asciiTheme="minorEastAsia" w:hAnsiTheme="minorEastAsia"/>
          <w:b/>
          <w:sz w:val="24"/>
          <w:szCs w:val="24"/>
          <w:highlight w:val="none"/>
        </w:rPr>
        <w:fldChar w:fldCharType="begin"/>
      </w:r>
      <w:r>
        <w:rPr>
          <w:rFonts w:hint="eastAsia" w:asciiTheme="minorEastAsia" w:hAnsiTheme="minorEastAsia"/>
          <w:b/>
          <w:sz w:val="24"/>
          <w:szCs w:val="24"/>
          <w:highlight w:val="none"/>
        </w:rPr>
        <w:instrText xml:space="preserve">TOC \o "1-2" \h \z \u</w:instrText>
      </w:r>
      <w:r>
        <w:rPr>
          <w:rFonts w:asciiTheme="minorEastAsia" w:hAnsiTheme="minorEastAsia"/>
          <w:b/>
          <w:sz w:val="24"/>
          <w:szCs w:val="24"/>
          <w:highlight w:val="none"/>
        </w:rPr>
        <w:fldChar w:fldCharType="separate"/>
      </w:r>
      <w:r>
        <w:rPr>
          <w:highlight w:val="none"/>
        </w:rPr>
        <w:fldChar w:fldCharType="begin"/>
      </w:r>
      <w:r>
        <w:rPr>
          <w:highlight w:val="none"/>
        </w:rPr>
        <w:instrText xml:space="preserve"> HYPERLINK \l "_Toc4123" </w:instrText>
      </w:r>
      <w:r>
        <w:rPr>
          <w:highlight w:val="none"/>
        </w:rPr>
        <w:fldChar w:fldCharType="separate"/>
      </w:r>
      <w:r>
        <w:rPr>
          <w:rFonts w:hint="eastAsia" w:ascii="宋体" w:hAnsi="宋体"/>
          <w:bCs/>
          <w:szCs w:val="44"/>
          <w:highlight w:val="none"/>
        </w:rPr>
        <w:t>第一章  招标公告</w:t>
      </w:r>
      <w:r>
        <w:rPr>
          <w:highlight w:val="none"/>
        </w:rPr>
        <w:tab/>
      </w:r>
      <w:r>
        <w:rPr>
          <w:highlight w:val="none"/>
        </w:rPr>
        <w:fldChar w:fldCharType="begin"/>
      </w:r>
      <w:r>
        <w:rPr>
          <w:highlight w:val="none"/>
        </w:rPr>
        <w:instrText xml:space="preserve"> PAGEREF _Toc4123 \h </w:instrText>
      </w:r>
      <w:r>
        <w:rPr>
          <w:highlight w:val="none"/>
        </w:rPr>
        <w:fldChar w:fldCharType="separate"/>
      </w:r>
      <w:r>
        <w:rPr>
          <w:highlight w:val="none"/>
        </w:rPr>
        <w:t>3</w:t>
      </w:r>
      <w:r>
        <w:rPr>
          <w:highlight w:val="none"/>
        </w:rPr>
        <w:fldChar w:fldCharType="end"/>
      </w:r>
      <w:r>
        <w:rPr>
          <w:highlight w:val="none"/>
        </w:rPr>
        <w:fldChar w:fldCharType="end"/>
      </w:r>
    </w:p>
    <w:p w14:paraId="0476CBC9">
      <w:pPr>
        <w:pStyle w:val="18"/>
        <w:tabs>
          <w:tab w:val="right" w:leader="dot" w:pos="8306"/>
        </w:tabs>
        <w:rPr>
          <w:highlight w:val="none"/>
        </w:rPr>
      </w:pPr>
      <w:r>
        <w:rPr>
          <w:highlight w:val="none"/>
        </w:rPr>
        <w:fldChar w:fldCharType="begin"/>
      </w:r>
      <w:r>
        <w:rPr>
          <w:highlight w:val="none"/>
        </w:rPr>
        <w:instrText xml:space="preserve"> HYPERLINK \l "_Toc30868" </w:instrText>
      </w:r>
      <w:r>
        <w:rPr>
          <w:highlight w:val="none"/>
        </w:rPr>
        <w:fldChar w:fldCharType="separate"/>
      </w:r>
      <w:r>
        <w:rPr>
          <w:rFonts w:hint="eastAsia" w:asciiTheme="minorEastAsia" w:hAnsiTheme="minorEastAsia"/>
          <w:highlight w:val="none"/>
        </w:rPr>
        <w:t>第二章</w:t>
      </w:r>
      <w:r>
        <w:rPr>
          <w:rFonts w:hint="eastAsia" w:asciiTheme="minorEastAsia" w:hAnsiTheme="minorEastAsia"/>
          <w:highlight w:val="none"/>
          <w:lang w:val="en-US" w:eastAsia="zh-CN"/>
        </w:rPr>
        <w:t xml:space="preserve">  </w:t>
      </w:r>
      <w:r>
        <w:rPr>
          <w:rFonts w:asciiTheme="minorEastAsia" w:hAnsiTheme="minorEastAsia"/>
          <w:highlight w:val="none"/>
        </w:rPr>
        <w:t>投标人须知</w:t>
      </w:r>
      <w:r>
        <w:rPr>
          <w:highlight w:val="none"/>
        </w:rPr>
        <w:tab/>
      </w:r>
      <w:r>
        <w:rPr>
          <w:highlight w:val="none"/>
        </w:rPr>
        <w:fldChar w:fldCharType="begin"/>
      </w:r>
      <w:r>
        <w:rPr>
          <w:highlight w:val="none"/>
        </w:rPr>
        <w:instrText xml:space="preserve"> PAGEREF _Toc30868 \h </w:instrText>
      </w:r>
      <w:r>
        <w:rPr>
          <w:highlight w:val="none"/>
        </w:rPr>
        <w:fldChar w:fldCharType="separate"/>
      </w:r>
      <w:r>
        <w:rPr>
          <w:highlight w:val="none"/>
        </w:rPr>
        <w:t>6</w:t>
      </w:r>
      <w:r>
        <w:rPr>
          <w:highlight w:val="none"/>
        </w:rPr>
        <w:fldChar w:fldCharType="end"/>
      </w:r>
      <w:r>
        <w:rPr>
          <w:highlight w:val="none"/>
        </w:rPr>
        <w:fldChar w:fldCharType="end"/>
      </w:r>
    </w:p>
    <w:p w14:paraId="2B5FBD43">
      <w:pPr>
        <w:pStyle w:val="18"/>
        <w:tabs>
          <w:tab w:val="right" w:leader="dot" w:pos="8306"/>
        </w:tabs>
        <w:rPr>
          <w:highlight w:val="none"/>
        </w:rPr>
      </w:pPr>
      <w:r>
        <w:rPr>
          <w:highlight w:val="none"/>
        </w:rPr>
        <w:fldChar w:fldCharType="begin"/>
      </w:r>
      <w:r>
        <w:rPr>
          <w:highlight w:val="none"/>
        </w:rPr>
        <w:instrText xml:space="preserve"> HYPERLINK \l "_Toc5980" </w:instrText>
      </w:r>
      <w:r>
        <w:rPr>
          <w:highlight w:val="none"/>
        </w:rPr>
        <w:fldChar w:fldCharType="separate"/>
      </w:r>
      <w:r>
        <w:rPr>
          <w:rFonts w:hint="eastAsia" w:asciiTheme="minorEastAsia" w:hAnsiTheme="minorEastAsia"/>
          <w:highlight w:val="none"/>
        </w:rPr>
        <w:t>第三章  采购需求</w:t>
      </w:r>
      <w:r>
        <w:rPr>
          <w:highlight w:val="none"/>
        </w:rPr>
        <w:tab/>
      </w:r>
      <w:r>
        <w:rPr>
          <w:highlight w:val="none"/>
        </w:rPr>
        <w:fldChar w:fldCharType="begin"/>
      </w:r>
      <w:r>
        <w:rPr>
          <w:highlight w:val="none"/>
        </w:rPr>
        <w:instrText xml:space="preserve"> PAGEREF _Toc5980 \h </w:instrText>
      </w:r>
      <w:r>
        <w:rPr>
          <w:highlight w:val="none"/>
        </w:rPr>
        <w:fldChar w:fldCharType="separate"/>
      </w:r>
      <w:r>
        <w:rPr>
          <w:highlight w:val="none"/>
        </w:rPr>
        <w:t>23</w:t>
      </w:r>
      <w:r>
        <w:rPr>
          <w:highlight w:val="none"/>
        </w:rPr>
        <w:fldChar w:fldCharType="end"/>
      </w:r>
      <w:r>
        <w:rPr>
          <w:highlight w:val="none"/>
        </w:rPr>
        <w:fldChar w:fldCharType="end"/>
      </w:r>
    </w:p>
    <w:p w14:paraId="1DADD4D3">
      <w:pPr>
        <w:pStyle w:val="18"/>
        <w:tabs>
          <w:tab w:val="right" w:leader="dot" w:pos="8306"/>
        </w:tabs>
        <w:rPr>
          <w:highlight w:val="none"/>
        </w:rPr>
      </w:pPr>
      <w:r>
        <w:rPr>
          <w:highlight w:val="none"/>
        </w:rPr>
        <w:fldChar w:fldCharType="begin"/>
      </w:r>
      <w:r>
        <w:rPr>
          <w:highlight w:val="none"/>
        </w:rPr>
        <w:instrText xml:space="preserve"> HYPERLINK \l "_Toc4099" </w:instrText>
      </w:r>
      <w:r>
        <w:rPr>
          <w:highlight w:val="none"/>
        </w:rPr>
        <w:fldChar w:fldCharType="separate"/>
      </w:r>
      <w:r>
        <w:rPr>
          <w:rFonts w:hint="eastAsia" w:asciiTheme="minorEastAsia" w:hAnsiTheme="minorEastAsia"/>
          <w:highlight w:val="none"/>
        </w:rPr>
        <w:t>第四章  评标方法和标准（综合评分法）</w:t>
      </w:r>
      <w:r>
        <w:rPr>
          <w:highlight w:val="none"/>
        </w:rPr>
        <w:tab/>
      </w:r>
      <w:r>
        <w:rPr>
          <w:highlight w:val="none"/>
        </w:rPr>
        <w:fldChar w:fldCharType="begin"/>
      </w:r>
      <w:r>
        <w:rPr>
          <w:highlight w:val="none"/>
        </w:rPr>
        <w:instrText xml:space="preserve"> PAGEREF _Toc4099 \h </w:instrText>
      </w:r>
      <w:r>
        <w:rPr>
          <w:highlight w:val="none"/>
        </w:rPr>
        <w:fldChar w:fldCharType="separate"/>
      </w:r>
      <w:r>
        <w:rPr>
          <w:highlight w:val="none"/>
        </w:rPr>
        <w:t>45</w:t>
      </w:r>
      <w:r>
        <w:rPr>
          <w:highlight w:val="none"/>
        </w:rPr>
        <w:fldChar w:fldCharType="end"/>
      </w:r>
      <w:r>
        <w:rPr>
          <w:highlight w:val="none"/>
        </w:rPr>
        <w:fldChar w:fldCharType="end"/>
      </w:r>
    </w:p>
    <w:p w14:paraId="04B1EE46">
      <w:pPr>
        <w:pStyle w:val="18"/>
        <w:tabs>
          <w:tab w:val="right" w:leader="dot" w:pos="8306"/>
        </w:tabs>
        <w:rPr>
          <w:highlight w:val="none"/>
        </w:rPr>
      </w:pPr>
      <w:r>
        <w:rPr>
          <w:highlight w:val="none"/>
        </w:rPr>
        <w:fldChar w:fldCharType="begin"/>
      </w:r>
      <w:r>
        <w:rPr>
          <w:highlight w:val="none"/>
        </w:rPr>
        <w:instrText xml:space="preserve"> HYPERLINK \l "_Toc32658" </w:instrText>
      </w:r>
      <w:r>
        <w:rPr>
          <w:highlight w:val="none"/>
        </w:rPr>
        <w:fldChar w:fldCharType="separate"/>
      </w:r>
      <w:r>
        <w:rPr>
          <w:rFonts w:hint="eastAsia" w:asciiTheme="minorEastAsia" w:hAnsiTheme="minorEastAsia"/>
          <w:highlight w:val="none"/>
        </w:rPr>
        <w:t xml:space="preserve">第五章  </w:t>
      </w:r>
      <w:r>
        <w:rPr>
          <w:rFonts w:asciiTheme="minorEastAsia" w:hAnsiTheme="minorEastAsia"/>
          <w:highlight w:val="none"/>
        </w:rPr>
        <w:t>政府采购合同</w:t>
      </w:r>
      <w:r>
        <w:rPr>
          <w:highlight w:val="none"/>
        </w:rPr>
        <w:tab/>
      </w:r>
      <w:r>
        <w:rPr>
          <w:highlight w:val="none"/>
        </w:rPr>
        <w:fldChar w:fldCharType="begin"/>
      </w:r>
      <w:r>
        <w:rPr>
          <w:highlight w:val="none"/>
        </w:rPr>
        <w:instrText xml:space="preserve"> PAGEREF _Toc32658 \h </w:instrText>
      </w:r>
      <w:r>
        <w:rPr>
          <w:highlight w:val="none"/>
        </w:rPr>
        <w:fldChar w:fldCharType="separate"/>
      </w:r>
      <w:r>
        <w:rPr>
          <w:highlight w:val="none"/>
        </w:rPr>
        <w:t>54</w:t>
      </w:r>
      <w:r>
        <w:rPr>
          <w:highlight w:val="none"/>
        </w:rPr>
        <w:fldChar w:fldCharType="end"/>
      </w:r>
      <w:r>
        <w:rPr>
          <w:highlight w:val="none"/>
        </w:rPr>
        <w:fldChar w:fldCharType="end"/>
      </w:r>
    </w:p>
    <w:p w14:paraId="042DD741">
      <w:pPr>
        <w:pStyle w:val="18"/>
        <w:tabs>
          <w:tab w:val="right" w:leader="dot" w:pos="8306"/>
        </w:tabs>
        <w:rPr>
          <w:highlight w:val="none"/>
        </w:rPr>
      </w:pPr>
      <w:r>
        <w:rPr>
          <w:highlight w:val="none"/>
        </w:rPr>
        <w:fldChar w:fldCharType="begin"/>
      </w:r>
      <w:r>
        <w:rPr>
          <w:highlight w:val="none"/>
        </w:rPr>
        <w:instrText xml:space="preserve"> HYPERLINK \l "_Toc20621" </w:instrText>
      </w:r>
      <w:r>
        <w:rPr>
          <w:highlight w:val="none"/>
        </w:rPr>
        <w:fldChar w:fldCharType="separate"/>
      </w:r>
      <w:r>
        <w:rPr>
          <w:rFonts w:hint="eastAsia" w:asciiTheme="minorEastAsia" w:hAnsiTheme="minorEastAsia"/>
          <w:highlight w:val="none"/>
        </w:rPr>
        <w:t>第六章  投标文件格式</w:t>
      </w:r>
      <w:r>
        <w:rPr>
          <w:highlight w:val="none"/>
        </w:rPr>
        <w:tab/>
      </w:r>
      <w:r>
        <w:rPr>
          <w:highlight w:val="none"/>
        </w:rPr>
        <w:fldChar w:fldCharType="begin"/>
      </w:r>
      <w:r>
        <w:rPr>
          <w:highlight w:val="none"/>
        </w:rPr>
        <w:instrText xml:space="preserve"> PAGEREF _Toc20621 \h </w:instrText>
      </w:r>
      <w:r>
        <w:rPr>
          <w:highlight w:val="none"/>
        </w:rPr>
        <w:fldChar w:fldCharType="separate"/>
      </w:r>
      <w:r>
        <w:rPr>
          <w:highlight w:val="none"/>
        </w:rPr>
        <w:t>65</w:t>
      </w:r>
      <w:r>
        <w:rPr>
          <w:highlight w:val="none"/>
        </w:rPr>
        <w:fldChar w:fldCharType="end"/>
      </w:r>
      <w:r>
        <w:rPr>
          <w:highlight w:val="none"/>
        </w:rPr>
        <w:fldChar w:fldCharType="end"/>
      </w:r>
    </w:p>
    <w:p w14:paraId="12A5A37D">
      <w:pPr>
        <w:pStyle w:val="18"/>
        <w:tabs>
          <w:tab w:val="right" w:leader="dot" w:pos="8306"/>
        </w:tabs>
        <w:rPr>
          <w:highlight w:val="none"/>
        </w:rPr>
      </w:pPr>
      <w:r>
        <w:rPr>
          <w:highlight w:val="none"/>
        </w:rPr>
        <w:fldChar w:fldCharType="begin"/>
      </w:r>
      <w:r>
        <w:rPr>
          <w:highlight w:val="none"/>
        </w:rPr>
        <w:instrText xml:space="preserve"> HYPERLINK \l "_Toc4077" </w:instrText>
      </w:r>
      <w:r>
        <w:rPr>
          <w:highlight w:val="none"/>
        </w:rPr>
        <w:fldChar w:fldCharType="separate"/>
      </w:r>
      <w:r>
        <w:rPr>
          <w:rFonts w:hint="eastAsia" w:asciiTheme="minorEastAsia" w:hAnsiTheme="minorEastAsia"/>
          <w:highlight w:val="none"/>
        </w:rPr>
        <w:t>第七章</w:t>
      </w:r>
      <w:r>
        <w:rPr>
          <w:rFonts w:hint="eastAsia" w:ascii="宋体" w:hAnsi="宋体" w:eastAsia="宋体"/>
          <w:bCs/>
          <w:highlight w:val="none"/>
        </w:rPr>
        <w:t xml:space="preserve">  政府采购</w:t>
      </w:r>
      <w:r>
        <w:rPr>
          <w:rFonts w:hint="eastAsia" w:asciiTheme="minorEastAsia" w:hAnsiTheme="minorEastAsia"/>
          <w:highlight w:val="none"/>
        </w:rPr>
        <w:t>供应</w:t>
      </w:r>
      <w:r>
        <w:rPr>
          <w:rFonts w:hint="eastAsia" w:ascii="宋体" w:hAnsi="宋体" w:eastAsia="宋体"/>
          <w:bCs/>
          <w:highlight w:val="none"/>
        </w:rPr>
        <w:t>商询问函和质疑函范本</w:t>
      </w:r>
      <w:r>
        <w:rPr>
          <w:highlight w:val="none"/>
        </w:rPr>
        <w:tab/>
      </w:r>
      <w:r>
        <w:rPr>
          <w:highlight w:val="none"/>
        </w:rPr>
        <w:fldChar w:fldCharType="begin"/>
      </w:r>
      <w:r>
        <w:rPr>
          <w:highlight w:val="none"/>
        </w:rPr>
        <w:instrText xml:space="preserve"> PAGEREF _Toc4077 \h </w:instrText>
      </w:r>
      <w:r>
        <w:rPr>
          <w:highlight w:val="none"/>
        </w:rPr>
        <w:fldChar w:fldCharType="separate"/>
      </w:r>
      <w:r>
        <w:rPr>
          <w:highlight w:val="none"/>
        </w:rPr>
        <w:t>81</w:t>
      </w:r>
      <w:r>
        <w:rPr>
          <w:highlight w:val="none"/>
        </w:rPr>
        <w:fldChar w:fldCharType="end"/>
      </w:r>
      <w:r>
        <w:rPr>
          <w:highlight w:val="none"/>
        </w:rPr>
        <w:fldChar w:fldCharType="end"/>
      </w:r>
    </w:p>
    <w:p w14:paraId="5EF3F933">
      <w:pPr>
        <w:pStyle w:val="18"/>
        <w:tabs>
          <w:tab w:val="right" w:leader="dot" w:pos="8306"/>
        </w:tabs>
        <w:rPr>
          <w:highlight w:val="none"/>
        </w:rPr>
      </w:pPr>
      <w:r>
        <w:rPr>
          <w:highlight w:val="none"/>
        </w:rPr>
        <w:fldChar w:fldCharType="begin"/>
      </w:r>
      <w:r>
        <w:rPr>
          <w:highlight w:val="none"/>
        </w:rPr>
        <w:instrText xml:space="preserve"> HYPERLINK \l "_Toc14907" </w:instrText>
      </w:r>
      <w:r>
        <w:rPr>
          <w:highlight w:val="none"/>
        </w:rPr>
        <w:fldChar w:fldCharType="separate"/>
      </w:r>
      <w:r>
        <w:rPr>
          <w:rFonts w:hint="eastAsia" w:ascii="宋体" w:hAnsi="宋体" w:eastAsia="宋体"/>
          <w:bCs/>
          <w:highlight w:val="none"/>
        </w:rPr>
        <w:t>第八章 安天智采全流程电子招投标注意事项</w:t>
      </w:r>
      <w:r>
        <w:rPr>
          <w:highlight w:val="none"/>
        </w:rPr>
        <w:tab/>
      </w:r>
      <w:r>
        <w:rPr>
          <w:highlight w:val="none"/>
        </w:rPr>
        <w:fldChar w:fldCharType="begin"/>
      </w:r>
      <w:r>
        <w:rPr>
          <w:highlight w:val="none"/>
        </w:rPr>
        <w:instrText xml:space="preserve"> PAGEREF _Toc14907 \h </w:instrText>
      </w:r>
      <w:r>
        <w:rPr>
          <w:highlight w:val="none"/>
        </w:rPr>
        <w:fldChar w:fldCharType="separate"/>
      </w:r>
      <w:r>
        <w:rPr>
          <w:highlight w:val="none"/>
        </w:rPr>
        <w:t>84</w:t>
      </w:r>
      <w:r>
        <w:rPr>
          <w:highlight w:val="none"/>
        </w:rPr>
        <w:fldChar w:fldCharType="end"/>
      </w:r>
      <w:r>
        <w:rPr>
          <w:highlight w:val="none"/>
        </w:rPr>
        <w:fldChar w:fldCharType="end"/>
      </w:r>
    </w:p>
    <w:p w14:paraId="153E9DBB">
      <w:pPr>
        <w:spacing w:line="360" w:lineRule="auto"/>
        <w:rPr>
          <w:rFonts w:asciiTheme="minorEastAsia" w:hAnsiTheme="minorEastAsia" w:eastAsiaTheme="minorEastAsia"/>
          <w:b/>
          <w:sz w:val="32"/>
          <w:highlight w:val="none"/>
        </w:rPr>
      </w:pPr>
      <w:r>
        <w:rPr>
          <w:rFonts w:asciiTheme="minorEastAsia" w:hAnsiTheme="minorEastAsia" w:eastAsiaTheme="minorEastAsia"/>
          <w:szCs w:val="24"/>
          <w:highlight w:val="none"/>
        </w:rPr>
        <w:fldChar w:fldCharType="end"/>
      </w:r>
    </w:p>
    <w:p w14:paraId="7E01E91E">
      <w:pPr>
        <w:pStyle w:val="9"/>
        <w:rPr>
          <w:highlight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3576FD23">
      <w:pPr>
        <w:widowControl/>
        <w:shd w:val="clear" w:color="auto" w:fill="FFFFFF"/>
        <w:spacing w:beforeLines="50" w:afterLines="50" w:line="360" w:lineRule="atLeast"/>
        <w:jc w:val="center"/>
        <w:outlineLvl w:val="0"/>
        <w:rPr>
          <w:rFonts w:ascii="宋体" w:hAnsi="宋体"/>
          <w:b/>
          <w:bCs/>
          <w:sz w:val="44"/>
          <w:szCs w:val="44"/>
          <w:highlight w:val="none"/>
        </w:rPr>
      </w:pPr>
      <w:bookmarkStart w:id="1" w:name="_Toc907"/>
      <w:bookmarkStart w:id="2" w:name="_Toc4123"/>
      <w:r>
        <w:rPr>
          <w:rFonts w:hint="eastAsia" w:ascii="宋体" w:hAnsi="宋体"/>
          <w:b/>
          <w:bCs/>
          <w:sz w:val="44"/>
          <w:szCs w:val="44"/>
          <w:highlight w:val="none"/>
        </w:rPr>
        <w:t>第一章  招标公告</w:t>
      </w:r>
      <w:bookmarkEnd w:id="1"/>
      <w:bookmarkEnd w:id="2"/>
    </w:p>
    <w:p w14:paraId="29F76A20">
      <w:pPr>
        <w:pBdr>
          <w:top w:val="single" w:color="auto" w:sz="4" w:space="1"/>
          <w:left w:val="single" w:color="auto" w:sz="4" w:space="4"/>
          <w:bottom w:val="single" w:color="auto" w:sz="4" w:space="1"/>
          <w:right w:val="single" w:color="auto" w:sz="4" w:space="4"/>
        </w:pBdr>
        <w:spacing w:line="360" w:lineRule="auto"/>
        <w:ind w:firstLine="560" w:firstLineChars="200"/>
        <w:rPr>
          <w:rFonts w:ascii="仿宋" w:hAnsi="仿宋" w:eastAsia="仿宋"/>
          <w:sz w:val="28"/>
          <w:szCs w:val="28"/>
          <w:highlight w:val="none"/>
        </w:rPr>
      </w:pPr>
      <w:bookmarkStart w:id="3" w:name="_Toc528760025"/>
      <w:bookmarkStart w:id="4" w:name="_Toc445554685"/>
      <w:bookmarkStart w:id="5" w:name="_Toc241459614"/>
      <w:bookmarkStart w:id="6" w:name="_Toc466024497"/>
      <w:r>
        <w:rPr>
          <w:rFonts w:hint="eastAsia" w:ascii="仿宋" w:hAnsi="仿宋" w:eastAsia="仿宋"/>
          <w:sz w:val="28"/>
          <w:szCs w:val="28"/>
          <w:highlight w:val="none"/>
        </w:rPr>
        <w:t>项目概况</w:t>
      </w:r>
    </w:p>
    <w:p w14:paraId="3AAB8CD5">
      <w:pPr>
        <w:pBdr>
          <w:top w:val="single" w:color="auto" w:sz="4" w:space="1"/>
          <w:left w:val="single" w:color="auto" w:sz="4" w:space="4"/>
          <w:bottom w:val="single" w:color="auto" w:sz="4" w:space="1"/>
          <w:right w:val="single" w:color="auto" w:sz="4" w:space="4"/>
        </w:pBd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淮南师范学院校园智慧安全项目招标项目的潜在投标人</w:t>
      </w:r>
      <w:r>
        <w:rPr>
          <w:rFonts w:hint="eastAsia" w:ascii="仿宋" w:hAnsi="仿宋" w:eastAsia="仿宋"/>
          <w:b w:val="0"/>
          <w:bCs w:val="0"/>
          <w:sz w:val="28"/>
          <w:szCs w:val="28"/>
          <w:highlight w:val="none"/>
        </w:rPr>
        <w:t>应在安天智采电子交易系统（www.xinecai.com）</w:t>
      </w:r>
      <w:r>
        <w:rPr>
          <w:rFonts w:hint="eastAsia" w:ascii="仿宋" w:hAnsi="仿宋" w:eastAsia="仿宋"/>
          <w:sz w:val="28"/>
          <w:szCs w:val="28"/>
          <w:highlight w:val="none"/>
        </w:rPr>
        <w:t>获取采购文件，并于202</w:t>
      </w:r>
      <w:r>
        <w:rPr>
          <w:rFonts w:hint="eastAsia" w:ascii="仿宋" w:hAnsi="仿宋" w:eastAsia="仿宋"/>
          <w:sz w:val="28"/>
          <w:szCs w:val="28"/>
          <w:highlight w:val="none"/>
          <w:lang w:val="en-US" w:eastAsia="zh-CN"/>
        </w:rPr>
        <w:t>5</w:t>
      </w:r>
      <w:r>
        <w:rPr>
          <w:rFonts w:hint="eastAsia" w:ascii="仿宋" w:hAnsi="仿宋" w:eastAsia="仿宋"/>
          <w:sz w:val="28"/>
          <w:szCs w:val="28"/>
          <w:highlight w:val="none"/>
        </w:rPr>
        <w:t>年</w:t>
      </w:r>
      <w:r>
        <w:rPr>
          <w:rFonts w:hint="eastAsia" w:ascii="仿宋" w:hAnsi="仿宋" w:eastAsia="仿宋"/>
          <w:sz w:val="28"/>
          <w:szCs w:val="28"/>
          <w:highlight w:val="none"/>
          <w:lang w:val="en-US" w:eastAsia="zh-CN"/>
        </w:rPr>
        <w:t>1</w:t>
      </w:r>
      <w:r>
        <w:rPr>
          <w:rFonts w:hint="eastAsia" w:ascii="仿宋" w:hAnsi="仿宋" w:eastAsia="仿宋" w:cs="Times New Roman"/>
          <w:sz w:val="28"/>
          <w:szCs w:val="28"/>
          <w:highlight w:val="none"/>
        </w:rPr>
        <w:t>月</w:t>
      </w:r>
      <w:r>
        <w:rPr>
          <w:rFonts w:hint="eastAsia" w:ascii="仿宋" w:hAnsi="仿宋" w:eastAsia="仿宋" w:cs="Times New Roman"/>
          <w:sz w:val="28"/>
          <w:szCs w:val="28"/>
          <w:highlight w:val="none"/>
          <w:lang w:val="en-US" w:eastAsia="zh-CN"/>
        </w:rPr>
        <w:t>17</w:t>
      </w:r>
      <w:r>
        <w:rPr>
          <w:rFonts w:hint="eastAsia" w:ascii="仿宋" w:hAnsi="仿宋" w:eastAsia="仿宋" w:cs="Times New Roman"/>
          <w:sz w:val="28"/>
          <w:szCs w:val="28"/>
          <w:highlight w:val="none"/>
        </w:rPr>
        <w:t>日</w:t>
      </w:r>
      <w:r>
        <w:rPr>
          <w:rFonts w:hint="eastAsia" w:ascii="仿宋" w:hAnsi="仿宋" w:eastAsia="仿宋" w:cs="Times New Roman"/>
          <w:sz w:val="28"/>
          <w:szCs w:val="28"/>
          <w:highlight w:val="none"/>
          <w:lang w:val="en-US" w:eastAsia="zh-CN"/>
        </w:rPr>
        <w:t>09</w:t>
      </w:r>
      <w:r>
        <w:rPr>
          <w:rFonts w:hint="eastAsia" w:ascii="仿宋" w:hAnsi="仿宋" w:eastAsia="仿宋" w:cs="Times New Roman"/>
          <w:sz w:val="28"/>
          <w:szCs w:val="28"/>
          <w:highlight w:val="none"/>
        </w:rPr>
        <w:t>时30</w:t>
      </w:r>
      <w:r>
        <w:rPr>
          <w:rFonts w:hint="eastAsia" w:ascii="仿宋" w:hAnsi="仿宋" w:eastAsia="仿宋"/>
          <w:sz w:val="28"/>
          <w:szCs w:val="28"/>
          <w:highlight w:val="none"/>
        </w:rPr>
        <w:t>分</w:t>
      </w:r>
      <w:r>
        <w:rPr>
          <w:rFonts w:hint="eastAsia" w:ascii="仿宋" w:hAnsi="仿宋" w:eastAsia="仿宋"/>
          <w:bCs/>
          <w:sz w:val="28"/>
          <w:szCs w:val="28"/>
          <w:highlight w:val="none"/>
        </w:rPr>
        <w:t>（北京时间）前提交响应</w:t>
      </w:r>
      <w:r>
        <w:rPr>
          <w:rFonts w:ascii="仿宋" w:hAnsi="仿宋" w:eastAsia="仿宋"/>
          <w:bCs/>
          <w:sz w:val="28"/>
          <w:szCs w:val="28"/>
          <w:highlight w:val="none"/>
        </w:rPr>
        <w:t>文件</w:t>
      </w:r>
      <w:r>
        <w:rPr>
          <w:rFonts w:hint="eastAsia" w:ascii="仿宋" w:hAnsi="仿宋" w:eastAsia="仿宋"/>
          <w:sz w:val="28"/>
          <w:szCs w:val="28"/>
          <w:highlight w:val="none"/>
        </w:rPr>
        <w:t>。</w:t>
      </w:r>
    </w:p>
    <w:p w14:paraId="296A5F9C">
      <w:pPr>
        <w:keepNext/>
        <w:keepLines/>
        <w:spacing w:line="360" w:lineRule="auto"/>
        <w:outlineLvl w:val="1"/>
        <w:rPr>
          <w:rFonts w:ascii="黑体" w:hAnsi="黑体" w:eastAsia="黑体" w:cs="宋体"/>
          <w:bCs/>
          <w:sz w:val="28"/>
          <w:szCs w:val="28"/>
          <w:highlight w:val="none"/>
        </w:rPr>
      </w:pPr>
      <w:bookmarkStart w:id="7" w:name="_Toc21429"/>
      <w:bookmarkStart w:id="8" w:name="_Toc23845"/>
      <w:bookmarkStart w:id="9" w:name="_Toc8785"/>
      <w:bookmarkStart w:id="10" w:name="_Toc28359012"/>
      <w:bookmarkStart w:id="11" w:name="_Toc35393798"/>
      <w:bookmarkStart w:id="12" w:name="_Toc35393629"/>
      <w:bookmarkStart w:id="13" w:name="_Toc28359089"/>
      <w:r>
        <w:rPr>
          <w:rFonts w:hint="eastAsia" w:ascii="黑体" w:hAnsi="黑体" w:eastAsia="黑体" w:cs="宋体"/>
          <w:bCs/>
          <w:sz w:val="28"/>
          <w:szCs w:val="28"/>
          <w:highlight w:val="none"/>
        </w:rPr>
        <w:t>一、项目基本情况</w:t>
      </w:r>
      <w:bookmarkEnd w:id="7"/>
      <w:bookmarkEnd w:id="8"/>
      <w:bookmarkEnd w:id="9"/>
      <w:bookmarkEnd w:id="10"/>
      <w:bookmarkEnd w:id="11"/>
      <w:bookmarkEnd w:id="12"/>
      <w:bookmarkEnd w:id="13"/>
    </w:p>
    <w:p w14:paraId="36A9A5CC">
      <w:pPr>
        <w:spacing w:line="360" w:lineRule="auto"/>
        <w:ind w:firstLine="560" w:firstLineChars="200"/>
        <w:rPr>
          <w:rFonts w:hint="eastAsia" w:ascii="仿宋" w:hAnsi="仿宋" w:eastAsia="仿宋"/>
          <w:sz w:val="28"/>
          <w:szCs w:val="28"/>
          <w:highlight w:val="none"/>
          <w:lang w:eastAsia="zh-CN"/>
        </w:rPr>
      </w:pPr>
      <w:r>
        <w:rPr>
          <w:rFonts w:hint="eastAsia" w:ascii="仿宋" w:hAnsi="仿宋" w:eastAsia="仿宋"/>
          <w:sz w:val="28"/>
          <w:szCs w:val="28"/>
          <w:highlight w:val="none"/>
        </w:rPr>
        <w:t>项目编号：</w:t>
      </w:r>
      <w:r>
        <w:rPr>
          <w:rFonts w:hint="eastAsia" w:ascii="仿宋" w:hAnsi="仿宋" w:eastAsia="仿宋"/>
          <w:sz w:val="28"/>
          <w:szCs w:val="28"/>
          <w:highlight w:val="none"/>
          <w:lang w:eastAsia="zh-CN"/>
        </w:rPr>
        <w:t>24AT186051608724</w:t>
      </w:r>
    </w:p>
    <w:p w14:paraId="6E6813FE">
      <w:pPr>
        <w:spacing w:line="360" w:lineRule="auto"/>
        <w:ind w:firstLine="560" w:firstLineChars="200"/>
        <w:rPr>
          <w:rFonts w:ascii="仿宋" w:hAnsi="仿宋" w:eastAsia="仿宋"/>
          <w:sz w:val="28"/>
          <w:szCs w:val="28"/>
          <w:highlight w:val="none"/>
          <w:u w:val="single"/>
        </w:rPr>
      </w:pPr>
      <w:r>
        <w:rPr>
          <w:rFonts w:hint="eastAsia" w:ascii="仿宋" w:hAnsi="仿宋" w:eastAsia="仿宋"/>
          <w:sz w:val="28"/>
          <w:szCs w:val="28"/>
          <w:highlight w:val="none"/>
        </w:rPr>
        <w:t>项目名称：淮南师范学院校园智慧安全项目</w:t>
      </w:r>
    </w:p>
    <w:p w14:paraId="75837236">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预算金额：5,060,000.00元</w:t>
      </w:r>
    </w:p>
    <w:p w14:paraId="667D4148">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最高限价：第1包3,140,000.00元、第2包1,920,000.00元</w:t>
      </w:r>
    </w:p>
    <w:p w14:paraId="0B4EB4FE">
      <w:pPr>
        <w:pStyle w:val="24"/>
        <w:ind w:right="-21" w:firstLine="560" w:firstLineChars="200"/>
        <w:rPr>
          <w:rFonts w:ascii="仿宋" w:hAnsi="仿宋" w:eastAsia="仿宋"/>
          <w:sz w:val="28"/>
          <w:szCs w:val="28"/>
          <w:highlight w:val="none"/>
          <w:u w:val="single"/>
        </w:rPr>
      </w:pPr>
      <w:r>
        <w:rPr>
          <w:rFonts w:hint="eastAsia" w:ascii="仿宋" w:hAnsi="仿宋" w:eastAsia="仿宋"/>
          <w:sz w:val="28"/>
          <w:szCs w:val="28"/>
          <w:highlight w:val="none"/>
        </w:rPr>
        <w:t>采购需求：</w:t>
      </w:r>
      <w:r>
        <w:rPr>
          <w:rFonts w:hint="eastAsia" w:ascii="仿宋" w:hAnsi="仿宋" w:eastAsia="仿宋"/>
          <w:sz w:val="28"/>
          <w:szCs w:val="28"/>
          <w:highlight w:val="none"/>
          <w:lang w:val="en-US"/>
        </w:rPr>
        <w:t>本项目第1包校园重点区域监控升级建设，</w:t>
      </w:r>
      <w:r>
        <w:rPr>
          <w:rFonts w:hint="eastAsia" w:ascii="仿宋" w:hAnsi="仿宋" w:eastAsia="仿宋" w:cs="仿宋"/>
          <w:sz w:val="28"/>
          <w:szCs w:val="28"/>
          <w:highlight w:val="none"/>
        </w:rPr>
        <w:t>针对校宿舍区域及校园重点区域（包括朝阳校区和泉山校区）增加视频监控设备，视频存储至少90天；升级建设智慧安防平台，形成统一平台，统一管理、统一存储；</w:t>
      </w:r>
      <w:r>
        <w:rPr>
          <w:rFonts w:hint="eastAsia" w:ascii="仿宋" w:hAnsi="仿宋" w:eastAsia="仿宋"/>
          <w:sz w:val="28"/>
          <w:szCs w:val="28"/>
          <w:highlight w:val="none"/>
          <w:lang w:val="en-US"/>
        </w:rPr>
        <w:t>第2包学生宿舍智慧消防平台及消控终端建设，</w:t>
      </w:r>
      <w:r>
        <w:rPr>
          <w:rFonts w:hint="eastAsia" w:ascii="仿宋" w:hAnsi="仿宋" w:eastAsia="仿宋" w:cs="仿宋"/>
          <w:sz w:val="28"/>
          <w:szCs w:val="28"/>
          <w:highlight w:val="none"/>
        </w:rPr>
        <w:t>针对学生宿舍及宿管房间（包括朝阳校区、泉山校区）安装烟感并建设智慧消防平台，新建的平台需纳管接入现有消防设备，并与校安防平台形成安消一体化平台，</w:t>
      </w:r>
      <w:r>
        <w:rPr>
          <w:rFonts w:hint="eastAsia" w:ascii="仿宋" w:hAnsi="仿宋" w:eastAsia="仿宋"/>
          <w:sz w:val="28"/>
          <w:szCs w:val="28"/>
          <w:highlight w:val="none"/>
          <w:lang w:val="en-US"/>
        </w:rPr>
        <w:t>具体详见附件采购需求</w:t>
      </w:r>
      <w:r>
        <w:rPr>
          <w:rFonts w:hint="eastAsia" w:ascii="仿宋" w:hAnsi="仿宋" w:eastAsia="仿宋"/>
          <w:sz w:val="28"/>
          <w:szCs w:val="28"/>
          <w:highlight w:val="none"/>
        </w:rPr>
        <w:t>。</w:t>
      </w:r>
    </w:p>
    <w:p w14:paraId="44D40E85">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合同履行期限：60个日历日</w:t>
      </w:r>
    </w:p>
    <w:p w14:paraId="04CF5D6A">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本项目不接受联合体。</w:t>
      </w:r>
    </w:p>
    <w:p w14:paraId="50EAAB18">
      <w:pPr>
        <w:keepNext/>
        <w:keepLines/>
        <w:spacing w:line="360" w:lineRule="auto"/>
        <w:outlineLvl w:val="1"/>
        <w:rPr>
          <w:rFonts w:ascii="黑体" w:hAnsi="黑体" w:eastAsia="黑体" w:cs="宋体"/>
          <w:bCs/>
          <w:sz w:val="28"/>
          <w:szCs w:val="28"/>
          <w:highlight w:val="none"/>
        </w:rPr>
      </w:pPr>
      <w:bookmarkStart w:id="14" w:name="_Toc35393630"/>
      <w:bookmarkStart w:id="15" w:name="_Toc24906"/>
      <w:bookmarkStart w:id="16" w:name="_Toc28359090"/>
      <w:bookmarkStart w:id="17" w:name="_Toc12162"/>
      <w:bookmarkStart w:id="18" w:name="_Toc35393799"/>
      <w:bookmarkStart w:id="19" w:name="_Toc28359013"/>
      <w:bookmarkStart w:id="20" w:name="_Toc82"/>
      <w:r>
        <w:rPr>
          <w:rFonts w:hint="eastAsia" w:ascii="黑体" w:hAnsi="黑体" w:eastAsia="黑体" w:cs="宋体"/>
          <w:bCs/>
          <w:sz w:val="28"/>
          <w:szCs w:val="28"/>
          <w:highlight w:val="none"/>
        </w:rPr>
        <w:t>二、申请人的资格要求</w:t>
      </w:r>
      <w:bookmarkEnd w:id="14"/>
      <w:bookmarkEnd w:id="15"/>
      <w:bookmarkEnd w:id="16"/>
      <w:bookmarkEnd w:id="17"/>
      <w:bookmarkEnd w:id="18"/>
      <w:bookmarkEnd w:id="19"/>
      <w:bookmarkEnd w:id="20"/>
    </w:p>
    <w:p w14:paraId="1A342B97">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1.满足《中华人民共和国政府采购法》第二十二条规定；</w:t>
      </w:r>
    </w:p>
    <w:p w14:paraId="48C6C198">
      <w:pPr>
        <w:spacing w:line="360" w:lineRule="auto"/>
        <w:ind w:firstLine="560" w:firstLineChars="200"/>
        <w:rPr>
          <w:rFonts w:ascii="仿宋" w:hAnsi="仿宋" w:eastAsia="仿宋"/>
          <w:sz w:val="28"/>
          <w:szCs w:val="28"/>
          <w:highlight w:val="none"/>
        </w:rPr>
      </w:pPr>
      <w:bookmarkStart w:id="21" w:name="_Toc28359014"/>
      <w:bookmarkStart w:id="22" w:name="_Toc28359091"/>
      <w:r>
        <w:rPr>
          <w:rFonts w:ascii="仿宋" w:hAnsi="仿宋" w:eastAsia="仿宋"/>
          <w:sz w:val="28"/>
          <w:szCs w:val="28"/>
          <w:highlight w:val="none"/>
        </w:rPr>
        <w:t>2</w:t>
      </w:r>
      <w:r>
        <w:rPr>
          <w:rFonts w:hint="eastAsia" w:ascii="仿宋" w:hAnsi="仿宋" w:eastAsia="仿宋"/>
          <w:sz w:val="28"/>
          <w:szCs w:val="28"/>
          <w:highlight w:val="none"/>
        </w:rPr>
        <w:t>.落实政府采购政策需满足的资格要求：</w:t>
      </w:r>
      <w:r>
        <w:rPr>
          <w:rFonts w:hint="eastAsia" w:ascii="仿宋" w:hAnsi="仿宋" w:eastAsia="仿宋" w:cs="仿宋"/>
          <w:sz w:val="28"/>
          <w:szCs w:val="28"/>
          <w:highlight w:val="none"/>
        </w:rPr>
        <w:t>无；</w:t>
      </w:r>
    </w:p>
    <w:p w14:paraId="503849D7">
      <w:pPr>
        <w:spacing w:line="360" w:lineRule="auto"/>
        <w:ind w:firstLine="560" w:firstLineChars="200"/>
        <w:rPr>
          <w:rFonts w:ascii="仿宋" w:hAnsi="仿宋" w:eastAsia="仿宋" w:cs="Times New Roman"/>
          <w:sz w:val="28"/>
          <w:szCs w:val="28"/>
          <w:highlight w:val="none"/>
        </w:rPr>
      </w:pPr>
      <w:r>
        <w:rPr>
          <w:rFonts w:hint="eastAsia" w:ascii="仿宋" w:hAnsi="仿宋" w:eastAsia="仿宋"/>
          <w:sz w:val="28"/>
          <w:szCs w:val="28"/>
          <w:highlight w:val="none"/>
        </w:rPr>
        <w:t>3.本项目的特定资格要求：无</w:t>
      </w:r>
      <w:r>
        <w:rPr>
          <w:rFonts w:hint="eastAsia" w:ascii="仿宋" w:hAnsi="仿宋" w:eastAsia="仿宋" w:cs="Times New Roman"/>
          <w:sz w:val="28"/>
          <w:szCs w:val="28"/>
          <w:highlight w:val="none"/>
        </w:rPr>
        <w:t>。</w:t>
      </w:r>
    </w:p>
    <w:p w14:paraId="7DB4F0AE">
      <w:pPr>
        <w:keepNext/>
        <w:keepLines/>
        <w:spacing w:line="360" w:lineRule="auto"/>
        <w:outlineLvl w:val="1"/>
        <w:rPr>
          <w:rFonts w:ascii="黑体" w:hAnsi="黑体" w:eastAsia="黑体" w:cs="宋体"/>
          <w:bCs/>
          <w:sz w:val="28"/>
          <w:szCs w:val="28"/>
          <w:highlight w:val="none"/>
        </w:rPr>
      </w:pPr>
      <w:bookmarkStart w:id="23" w:name="_Toc8757"/>
      <w:bookmarkStart w:id="24" w:name="_Toc106"/>
      <w:bookmarkStart w:id="25" w:name="_Toc3363"/>
      <w:bookmarkStart w:id="26" w:name="_Toc35393800"/>
      <w:bookmarkStart w:id="27" w:name="_Toc35393631"/>
      <w:r>
        <w:rPr>
          <w:rFonts w:hint="eastAsia" w:ascii="黑体" w:hAnsi="黑体" w:eastAsia="黑体" w:cs="宋体"/>
          <w:bCs/>
          <w:sz w:val="28"/>
          <w:szCs w:val="28"/>
          <w:highlight w:val="none"/>
        </w:rPr>
        <w:t>三、获取采购文件</w:t>
      </w:r>
      <w:bookmarkEnd w:id="21"/>
      <w:bookmarkEnd w:id="22"/>
      <w:bookmarkEnd w:id="23"/>
      <w:bookmarkEnd w:id="24"/>
      <w:bookmarkEnd w:id="25"/>
      <w:bookmarkEnd w:id="26"/>
      <w:bookmarkEnd w:id="27"/>
    </w:p>
    <w:p w14:paraId="0806E38F">
      <w:pPr>
        <w:spacing w:line="360" w:lineRule="auto"/>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rPr>
        <w:t>时间：2024年</w:t>
      </w:r>
      <w:r>
        <w:rPr>
          <w:rFonts w:hint="eastAsia" w:ascii="仿宋" w:hAnsi="仿宋" w:eastAsia="仿宋"/>
          <w:sz w:val="28"/>
          <w:szCs w:val="28"/>
          <w:highlight w:val="none"/>
          <w:lang w:val="en-US" w:eastAsia="zh-CN"/>
        </w:rPr>
        <w:t>12</w:t>
      </w:r>
      <w:r>
        <w:rPr>
          <w:rFonts w:hint="eastAsia" w:ascii="仿宋" w:hAnsi="仿宋" w:eastAsia="仿宋" w:cs="Times New Roman"/>
          <w:sz w:val="28"/>
          <w:szCs w:val="28"/>
          <w:highlight w:val="none"/>
        </w:rPr>
        <w:t>月</w:t>
      </w:r>
      <w:r>
        <w:rPr>
          <w:rFonts w:hint="eastAsia" w:ascii="仿宋" w:hAnsi="仿宋" w:eastAsia="仿宋" w:cs="Times New Roman"/>
          <w:sz w:val="28"/>
          <w:szCs w:val="28"/>
          <w:highlight w:val="none"/>
          <w:lang w:val="en-US" w:eastAsia="zh-CN"/>
        </w:rPr>
        <w:t>27</w:t>
      </w:r>
      <w:r>
        <w:rPr>
          <w:rFonts w:hint="eastAsia" w:ascii="仿宋" w:hAnsi="仿宋" w:eastAsia="仿宋" w:cs="Times New Roman"/>
          <w:sz w:val="28"/>
          <w:szCs w:val="28"/>
          <w:highlight w:val="none"/>
        </w:rPr>
        <w:t>日</w:t>
      </w:r>
      <w:r>
        <w:rPr>
          <w:rFonts w:hint="eastAsia" w:ascii="仿宋" w:hAnsi="仿宋" w:eastAsia="仿宋" w:cs="宋体"/>
          <w:sz w:val="28"/>
          <w:szCs w:val="28"/>
          <w:highlight w:val="none"/>
        </w:rPr>
        <w:t>至202</w:t>
      </w:r>
      <w:r>
        <w:rPr>
          <w:rFonts w:hint="eastAsia" w:ascii="仿宋" w:hAnsi="仿宋" w:eastAsia="仿宋" w:cs="宋体"/>
          <w:sz w:val="28"/>
          <w:szCs w:val="28"/>
          <w:highlight w:val="none"/>
          <w:lang w:val="en-US" w:eastAsia="zh-CN"/>
        </w:rPr>
        <w:t>5</w:t>
      </w:r>
      <w:r>
        <w:rPr>
          <w:rFonts w:hint="eastAsia" w:ascii="仿宋" w:hAnsi="仿宋" w:eastAsia="仿宋" w:cs="宋体"/>
          <w:sz w:val="28"/>
          <w:szCs w:val="28"/>
          <w:highlight w:val="none"/>
        </w:rPr>
        <w:t>年</w:t>
      </w:r>
      <w:r>
        <w:rPr>
          <w:rFonts w:hint="eastAsia" w:ascii="仿宋" w:hAnsi="仿宋" w:eastAsia="仿宋"/>
          <w:sz w:val="28"/>
          <w:szCs w:val="28"/>
          <w:highlight w:val="none"/>
          <w:lang w:val="en-US" w:eastAsia="zh-CN"/>
        </w:rPr>
        <w:t>1</w:t>
      </w:r>
      <w:r>
        <w:rPr>
          <w:rFonts w:hint="eastAsia" w:ascii="仿宋" w:hAnsi="仿宋" w:eastAsia="仿宋" w:cs="Times New Roman"/>
          <w:sz w:val="28"/>
          <w:szCs w:val="28"/>
          <w:highlight w:val="none"/>
        </w:rPr>
        <w:t>月</w:t>
      </w:r>
      <w:r>
        <w:rPr>
          <w:rFonts w:hint="eastAsia" w:ascii="仿宋" w:hAnsi="仿宋" w:eastAsia="仿宋" w:cs="Times New Roman"/>
          <w:sz w:val="28"/>
          <w:szCs w:val="28"/>
          <w:highlight w:val="none"/>
          <w:lang w:val="en-US" w:eastAsia="zh-CN"/>
        </w:rPr>
        <w:t>6</w:t>
      </w:r>
      <w:r>
        <w:rPr>
          <w:rFonts w:hint="eastAsia" w:ascii="仿宋" w:hAnsi="仿宋" w:eastAsia="仿宋" w:cs="Times New Roman"/>
          <w:sz w:val="28"/>
          <w:szCs w:val="28"/>
          <w:highlight w:val="none"/>
        </w:rPr>
        <w:t>日</w:t>
      </w:r>
      <w:r>
        <w:rPr>
          <w:rFonts w:hint="eastAsia" w:ascii="仿宋" w:hAnsi="仿宋" w:eastAsia="仿宋" w:cs="宋体"/>
          <w:sz w:val="28"/>
          <w:szCs w:val="28"/>
          <w:highlight w:val="none"/>
        </w:rPr>
        <w:t>，每天上午9:00至12:00，下午12:00至17:00（北京时间，法定节假日除外）</w:t>
      </w:r>
    </w:p>
    <w:p w14:paraId="3505224C">
      <w:pPr>
        <w:spacing w:line="360" w:lineRule="auto"/>
        <w:ind w:firstLine="560" w:firstLineChars="200"/>
        <w:rPr>
          <w:rFonts w:ascii="仿宋" w:hAnsi="仿宋" w:eastAsia="仿宋" w:cs="宋体"/>
          <w:sz w:val="28"/>
          <w:szCs w:val="28"/>
          <w:highlight w:val="none"/>
        </w:rPr>
      </w:pPr>
      <w:bookmarkStart w:id="28" w:name="_Toc28359092"/>
      <w:bookmarkStart w:id="29" w:name="_Toc35393632"/>
      <w:bookmarkStart w:id="30" w:name="_Toc35393801"/>
      <w:bookmarkStart w:id="31" w:name="_Toc28359015"/>
      <w:r>
        <w:rPr>
          <w:rFonts w:hint="eastAsia" w:ascii="仿宋" w:hAnsi="仿宋" w:eastAsia="仿宋" w:cs="宋体"/>
          <w:sz w:val="28"/>
          <w:szCs w:val="28"/>
          <w:highlight w:val="none"/>
        </w:rPr>
        <w:t>地点：</w:t>
      </w:r>
      <w:r>
        <w:rPr>
          <w:rFonts w:hint="eastAsia" w:ascii="仿宋" w:hAnsi="仿宋" w:eastAsia="仿宋"/>
          <w:sz w:val="28"/>
          <w:szCs w:val="28"/>
          <w:highlight w:val="none"/>
        </w:rPr>
        <w:t>安天智采电子交易系统（www.xinecai.com）</w:t>
      </w:r>
    </w:p>
    <w:p w14:paraId="36C446E6">
      <w:pPr>
        <w:spacing w:line="360" w:lineRule="auto"/>
        <w:ind w:firstLine="560" w:firstLineChars="200"/>
        <w:rPr>
          <w:rFonts w:ascii="仿宋" w:hAnsi="仿宋" w:eastAsia="仿宋"/>
          <w:sz w:val="28"/>
          <w:szCs w:val="28"/>
          <w:highlight w:val="none"/>
        </w:rPr>
      </w:pPr>
      <w:r>
        <w:rPr>
          <w:rFonts w:hint="eastAsia" w:ascii="仿宋" w:hAnsi="仿宋" w:eastAsia="仿宋" w:cs="宋体"/>
          <w:sz w:val="28"/>
          <w:szCs w:val="28"/>
          <w:highlight w:val="none"/>
        </w:rPr>
        <w:t>方式：网上获取。具体操作参见安天智采操作手册，安天智采服务热线：400-050-9988</w:t>
      </w:r>
    </w:p>
    <w:p w14:paraId="5A1485B3">
      <w:pPr>
        <w:spacing w:line="360" w:lineRule="auto"/>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rPr>
        <w:t>售价：免费</w:t>
      </w:r>
    </w:p>
    <w:p w14:paraId="1DC3E0B2">
      <w:pPr>
        <w:keepNext/>
        <w:keepLines/>
        <w:spacing w:line="360" w:lineRule="auto"/>
        <w:outlineLvl w:val="1"/>
        <w:rPr>
          <w:rFonts w:ascii="黑体" w:hAnsi="黑体" w:eastAsia="黑体" w:cs="宋体"/>
          <w:bCs/>
          <w:sz w:val="28"/>
          <w:szCs w:val="28"/>
          <w:highlight w:val="none"/>
        </w:rPr>
      </w:pPr>
      <w:bookmarkStart w:id="32" w:name="_Toc23762"/>
      <w:bookmarkStart w:id="33" w:name="_Toc17861"/>
      <w:bookmarkStart w:id="34" w:name="_Toc20178"/>
      <w:r>
        <w:rPr>
          <w:rFonts w:hint="eastAsia" w:ascii="黑体" w:hAnsi="黑体" w:eastAsia="黑体" w:cs="宋体"/>
          <w:bCs/>
          <w:sz w:val="28"/>
          <w:szCs w:val="28"/>
          <w:highlight w:val="none"/>
        </w:rPr>
        <w:t>四、</w:t>
      </w:r>
      <w:bookmarkEnd w:id="28"/>
      <w:bookmarkEnd w:id="29"/>
      <w:bookmarkEnd w:id="30"/>
      <w:bookmarkEnd w:id="31"/>
      <w:bookmarkEnd w:id="32"/>
      <w:bookmarkEnd w:id="33"/>
      <w:r>
        <w:rPr>
          <w:rFonts w:hint="eastAsia" w:ascii="黑体" w:hAnsi="黑体" w:eastAsia="黑体" w:cs="宋体"/>
          <w:bCs/>
          <w:sz w:val="28"/>
          <w:szCs w:val="28"/>
          <w:highlight w:val="none"/>
        </w:rPr>
        <w:t>提交投标文件截止时间、开标时间和地点</w:t>
      </w:r>
      <w:bookmarkEnd w:id="34"/>
    </w:p>
    <w:p w14:paraId="6CE992E4">
      <w:pPr>
        <w:ind w:firstLine="560" w:firstLineChars="200"/>
        <w:rPr>
          <w:rFonts w:ascii="仿宋" w:hAnsi="仿宋" w:eastAsia="仿宋"/>
          <w:bCs/>
          <w:sz w:val="28"/>
          <w:szCs w:val="28"/>
          <w:highlight w:val="none"/>
          <w:u w:val="single"/>
        </w:rPr>
      </w:pPr>
      <w:bookmarkStart w:id="35" w:name="_Toc35393633"/>
      <w:bookmarkStart w:id="36" w:name="_Toc24188"/>
      <w:bookmarkStart w:id="37" w:name="_Toc28359016"/>
      <w:bookmarkStart w:id="38" w:name="_Toc35393802"/>
      <w:bookmarkStart w:id="39" w:name="_Toc17546"/>
      <w:bookmarkStart w:id="40" w:name="_Toc28359093"/>
      <w:r>
        <w:rPr>
          <w:rFonts w:hint="eastAsia" w:ascii="仿宋" w:hAnsi="仿宋" w:eastAsia="仿宋"/>
          <w:sz w:val="28"/>
          <w:szCs w:val="28"/>
          <w:highlight w:val="none"/>
        </w:rPr>
        <w:t>202</w:t>
      </w:r>
      <w:r>
        <w:rPr>
          <w:rFonts w:hint="eastAsia" w:ascii="仿宋" w:hAnsi="仿宋" w:eastAsia="仿宋"/>
          <w:sz w:val="28"/>
          <w:szCs w:val="28"/>
          <w:highlight w:val="none"/>
          <w:lang w:val="en-US" w:eastAsia="zh-CN"/>
        </w:rPr>
        <w:t>5</w:t>
      </w:r>
      <w:r>
        <w:rPr>
          <w:rFonts w:hint="eastAsia" w:ascii="仿宋" w:hAnsi="仿宋" w:eastAsia="仿宋"/>
          <w:sz w:val="28"/>
          <w:szCs w:val="28"/>
          <w:highlight w:val="none"/>
        </w:rPr>
        <w:t>年</w:t>
      </w:r>
      <w:r>
        <w:rPr>
          <w:rFonts w:hint="eastAsia" w:ascii="仿宋" w:hAnsi="仿宋" w:eastAsia="仿宋"/>
          <w:sz w:val="28"/>
          <w:szCs w:val="28"/>
          <w:highlight w:val="none"/>
          <w:lang w:val="en-US" w:eastAsia="zh-CN"/>
        </w:rPr>
        <w:t>1</w:t>
      </w:r>
      <w:r>
        <w:rPr>
          <w:rFonts w:hint="eastAsia" w:ascii="仿宋" w:hAnsi="仿宋" w:eastAsia="仿宋" w:cs="Times New Roman"/>
          <w:sz w:val="28"/>
          <w:szCs w:val="28"/>
          <w:highlight w:val="none"/>
        </w:rPr>
        <w:t>月</w:t>
      </w:r>
      <w:r>
        <w:rPr>
          <w:rFonts w:hint="eastAsia" w:ascii="仿宋" w:hAnsi="仿宋" w:eastAsia="仿宋" w:cs="Times New Roman"/>
          <w:sz w:val="28"/>
          <w:szCs w:val="28"/>
          <w:highlight w:val="none"/>
          <w:lang w:val="en-US" w:eastAsia="zh-CN"/>
        </w:rPr>
        <w:t>17</w:t>
      </w:r>
      <w:r>
        <w:rPr>
          <w:rFonts w:hint="eastAsia" w:ascii="仿宋" w:hAnsi="仿宋" w:eastAsia="仿宋" w:cs="Times New Roman"/>
          <w:sz w:val="28"/>
          <w:szCs w:val="28"/>
          <w:highlight w:val="none"/>
        </w:rPr>
        <w:t>日</w:t>
      </w:r>
      <w:r>
        <w:rPr>
          <w:rFonts w:hint="eastAsia" w:ascii="仿宋" w:hAnsi="仿宋" w:eastAsia="仿宋" w:cs="Times New Roman"/>
          <w:sz w:val="28"/>
          <w:szCs w:val="28"/>
          <w:highlight w:val="none"/>
          <w:lang w:val="en-US" w:eastAsia="zh-CN"/>
        </w:rPr>
        <w:t>09</w:t>
      </w:r>
      <w:r>
        <w:rPr>
          <w:rFonts w:hint="eastAsia" w:ascii="仿宋" w:hAnsi="仿宋" w:eastAsia="仿宋" w:cs="Times New Roman"/>
          <w:sz w:val="28"/>
          <w:szCs w:val="28"/>
          <w:highlight w:val="none"/>
        </w:rPr>
        <w:t>时30</w:t>
      </w:r>
      <w:r>
        <w:rPr>
          <w:rFonts w:hint="eastAsia" w:ascii="仿宋" w:hAnsi="仿宋" w:eastAsia="仿宋"/>
          <w:sz w:val="28"/>
          <w:szCs w:val="28"/>
          <w:highlight w:val="none"/>
        </w:rPr>
        <w:t>分</w:t>
      </w:r>
      <w:r>
        <w:rPr>
          <w:rFonts w:hint="eastAsia" w:ascii="仿宋" w:hAnsi="仿宋" w:eastAsia="仿宋"/>
          <w:bCs/>
          <w:sz w:val="28"/>
          <w:szCs w:val="28"/>
          <w:highlight w:val="none"/>
        </w:rPr>
        <w:t>（北京时间）</w:t>
      </w:r>
    </w:p>
    <w:p w14:paraId="6B9D4D06">
      <w:pPr>
        <w:ind w:firstLine="560" w:firstLineChars="200"/>
        <w:rPr>
          <w:rFonts w:ascii="仿宋" w:hAnsi="仿宋" w:eastAsia="仿宋"/>
          <w:b w:val="0"/>
          <w:bCs w:val="0"/>
          <w:sz w:val="28"/>
          <w:szCs w:val="28"/>
          <w:highlight w:val="none"/>
          <w:u w:val="single"/>
        </w:rPr>
      </w:pPr>
      <w:r>
        <w:rPr>
          <w:rFonts w:hint="eastAsia" w:ascii="仿宋" w:hAnsi="仿宋" w:eastAsia="仿宋"/>
          <w:sz w:val="28"/>
          <w:szCs w:val="28"/>
          <w:highlight w:val="none"/>
        </w:rPr>
        <w:t>地点：</w:t>
      </w:r>
      <w:r>
        <w:rPr>
          <w:rFonts w:hint="eastAsia" w:ascii="仿宋" w:hAnsi="仿宋" w:eastAsia="仿宋"/>
          <w:b w:val="0"/>
          <w:bCs w:val="0"/>
          <w:sz w:val="28"/>
          <w:szCs w:val="28"/>
          <w:highlight w:val="none"/>
        </w:rPr>
        <w:t>安天智采电子交易系统（www.xinecai.com）</w:t>
      </w:r>
    </w:p>
    <w:p w14:paraId="3031D1C7">
      <w:pPr>
        <w:spacing w:line="360" w:lineRule="auto"/>
        <w:rPr>
          <w:rFonts w:ascii="黑体" w:hAnsi="黑体" w:eastAsia="黑体" w:cs="宋体"/>
          <w:bCs/>
          <w:sz w:val="28"/>
          <w:szCs w:val="28"/>
          <w:highlight w:val="none"/>
        </w:rPr>
      </w:pPr>
      <w:r>
        <w:rPr>
          <w:rFonts w:hint="eastAsia" w:ascii="黑体" w:hAnsi="黑体" w:eastAsia="黑体" w:cs="宋体"/>
          <w:bCs/>
          <w:sz w:val="28"/>
          <w:szCs w:val="28"/>
          <w:highlight w:val="none"/>
        </w:rPr>
        <w:t>五、</w:t>
      </w:r>
      <w:bookmarkEnd w:id="35"/>
      <w:bookmarkEnd w:id="36"/>
      <w:bookmarkEnd w:id="37"/>
      <w:bookmarkEnd w:id="38"/>
      <w:bookmarkEnd w:id="39"/>
      <w:bookmarkEnd w:id="40"/>
      <w:bookmarkStart w:id="41" w:name="_Toc28359094"/>
      <w:bookmarkStart w:id="42" w:name="_Toc28359017"/>
      <w:bookmarkStart w:id="43" w:name="_Toc35393803"/>
      <w:bookmarkStart w:id="44" w:name="_Toc22437"/>
      <w:bookmarkStart w:id="45" w:name="_Toc27889"/>
      <w:bookmarkStart w:id="46" w:name="_Toc35393634"/>
      <w:r>
        <w:rPr>
          <w:rFonts w:hint="eastAsia" w:ascii="黑体" w:hAnsi="黑体" w:eastAsia="黑体" w:cs="宋体"/>
          <w:bCs/>
          <w:sz w:val="28"/>
          <w:szCs w:val="28"/>
          <w:highlight w:val="none"/>
        </w:rPr>
        <w:t>公告期限</w:t>
      </w:r>
      <w:bookmarkEnd w:id="41"/>
      <w:bookmarkEnd w:id="42"/>
      <w:bookmarkEnd w:id="43"/>
      <w:bookmarkEnd w:id="44"/>
      <w:bookmarkEnd w:id="45"/>
      <w:bookmarkEnd w:id="46"/>
    </w:p>
    <w:p w14:paraId="0FFAE968">
      <w:pPr>
        <w:spacing w:line="360" w:lineRule="auto"/>
        <w:ind w:firstLine="560" w:firstLineChars="200"/>
        <w:rPr>
          <w:rFonts w:ascii="仿宋" w:hAnsi="仿宋" w:eastAsia="仿宋" w:cs="宋体"/>
          <w:kern w:val="0"/>
          <w:sz w:val="28"/>
          <w:szCs w:val="28"/>
          <w:highlight w:val="none"/>
        </w:rPr>
      </w:pPr>
      <w:r>
        <w:rPr>
          <w:rFonts w:hint="eastAsia" w:ascii="仿宋" w:hAnsi="仿宋" w:eastAsia="仿宋" w:cs="宋体"/>
          <w:kern w:val="0"/>
          <w:sz w:val="28"/>
          <w:szCs w:val="28"/>
          <w:highlight w:val="none"/>
        </w:rPr>
        <w:t>自本公告发布之日起</w:t>
      </w:r>
      <w:r>
        <w:rPr>
          <w:rFonts w:hint="eastAsia" w:ascii="仿宋" w:hAnsi="仿宋" w:eastAsia="仿宋" w:cs="宋体"/>
          <w:kern w:val="0"/>
          <w:sz w:val="28"/>
          <w:szCs w:val="28"/>
          <w:highlight w:val="none"/>
          <w:lang w:val="en-US" w:eastAsia="zh-CN"/>
        </w:rPr>
        <w:t>5</w:t>
      </w:r>
      <w:r>
        <w:rPr>
          <w:rFonts w:hint="eastAsia" w:ascii="仿宋" w:hAnsi="仿宋" w:eastAsia="仿宋" w:cs="宋体"/>
          <w:kern w:val="0"/>
          <w:sz w:val="28"/>
          <w:szCs w:val="28"/>
          <w:highlight w:val="none"/>
        </w:rPr>
        <w:t>个工作日。</w:t>
      </w:r>
    </w:p>
    <w:p w14:paraId="73A2A818">
      <w:pPr>
        <w:keepNext/>
        <w:keepLines/>
        <w:spacing w:line="360" w:lineRule="auto"/>
        <w:outlineLvl w:val="1"/>
        <w:rPr>
          <w:rFonts w:ascii="黑体" w:hAnsi="黑体" w:eastAsia="黑体" w:cs="宋体"/>
          <w:bCs/>
          <w:sz w:val="28"/>
          <w:szCs w:val="28"/>
          <w:highlight w:val="none"/>
        </w:rPr>
      </w:pPr>
      <w:bookmarkStart w:id="47" w:name="_Toc16121"/>
      <w:bookmarkStart w:id="48" w:name="_Toc35393804"/>
      <w:bookmarkStart w:id="49" w:name="_Toc19648"/>
      <w:bookmarkStart w:id="50" w:name="_Toc35393635"/>
      <w:bookmarkStart w:id="51" w:name="_Toc31616"/>
      <w:r>
        <w:rPr>
          <w:rFonts w:hint="eastAsia" w:ascii="黑体" w:hAnsi="黑体" w:eastAsia="黑体" w:cs="宋体"/>
          <w:bCs/>
          <w:sz w:val="28"/>
          <w:szCs w:val="28"/>
          <w:highlight w:val="none"/>
        </w:rPr>
        <w:t>六、其他补充事宜</w:t>
      </w:r>
      <w:bookmarkEnd w:id="47"/>
      <w:bookmarkEnd w:id="48"/>
      <w:bookmarkEnd w:id="49"/>
      <w:bookmarkEnd w:id="50"/>
      <w:bookmarkEnd w:id="51"/>
    </w:p>
    <w:p w14:paraId="5B352F28">
      <w:pPr>
        <w:spacing w:line="360" w:lineRule="auto"/>
        <w:ind w:firstLine="560" w:firstLineChars="200"/>
        <w:rPr>
          <w:rFonts w:ascii="仿宋" w:hAnsi="仿宋" w:eastAsia="仿宋" w:cs="宋体"/>
          <w:kern w:val="0"/>
          <w:sz w:val="28"/>
          <w:szCs w:val="28"/>
          <w:highlight w:val="none"/>
        </w:rPr>
      </w:pPr>
      <w:r>
        <w:rPr>
          <w:rFonts w:hint="eastAsia" w:ascii="仿宋" w:hAnsi="仿宋" w:eastAsia="仿宋" w:cs="宋体"/>
          <w:kern w:val="0"/>
          <w:sz w:val="28"/>
          <w:szCs w:val="28"/>
          <w:highlight w:val="none"/>
        </w:rPr>
        <w:t>1.本项目落实节能环保、中小微型企业扶持等相关政府采购政策。</w:t>
      </w:r>
    </w:p>
    <w:p w14:paraId="62DDE4D0">
      <w:pPr>
        <w:spacing w:line="360" w:lineRule="auto"/>
        <w:ind w:firstLine="560" w:firstLineChars="200"/>
        <w:rPr>
          <w:rFonts w:ascii="仿宋" w:hAnsi="仿宋" w:eastAsia="仿宋" w:cs="宋体"/>
          <w:kern w:val="0"/>
          <w:sz w:val="28"/>
          <w:szCs w:val="28"/>
          <w:highlight w:val="none"/>
        </w:rPr>
      </w:pPr>
      <w:r>
        <w:rPr>
          <w:rFonts w:hint="eastAsia" w:ascii="仿宋" w:hAnsi="仿宋" w:eastAsia="仿宋" w:cs="宋体"/>
          <w:kern w:val="0"/>
          <w:sz w:val="28"/>
          <w:szCs w:val="28"/>
          <w:highlight w:val="none"/>
        </w:rPr>
        <w:t>2.申请人应合理安排采购文件获取时间，特别是网络速度慢的地区防止在系统关闭前网络拥堵无法操作。如果因计算机及网络故障造成无法完成采购文件获取，责任自负。</w:t>
      </w:r>
    </w:p>
    <w:p w14:paraId="0866309A">
      <w:pPr>
        <w:spacing w:line="360" w:lineRule="auto"/>
        <w:ind w:firstLine="560" w:firstLineChars="200"/>
        <w:rPr>
          <w:rFonts w:ascii="仿宋" w:hAnsi="仿宋" w:eastAsia="仿宋" w:cs="宋体"/>
          <w:kern w:val="0"/>
          <w:sz w:val="28"/>
          <w:szCs w:val="28"/>
          <w:highlight w:val="none"/>
        </w:rPr>
      </w:pPr>
      <w:r>
        <w:rPr>
          <w:rFonts w:hint="eastAsia" w:ascii="仿宋" w:hAnsi="仿宋" w:eastAsia="仿宋" w:cs="宋体"/>
          <w:kern w:val="0"/>
          <w:sz w:val="28"/>
          <w:szCs w:val="28"/>
          <w:highlight w:val="none"/>
        </w:rPr>
        <w:t>3.根据《政府采购促进中小企业发展管理办法》（财库〔2020〕46号）第六条规定，本次采购项目符合不专门面向中小企业预留采购份额情形：按照本办法规定预留采购份额无法确保充分供应、充分竞争，或者存在可能影响政府采购目标实现的情形。投标人如对此项内容有疑问，可按招标文件约定提出询问或质疑。</w:t>
      </w:r>
    </w:p>
    <w:p w14:paraId="44A2DC63">
      <w:pPr>
        <w:keepNext/>
        <w:keepLines/>
        <w:spacing w:line="360" w:lineRule="auto"/>
        <w:outlineLvl w:val="1"/>
        <w:rPr>
          <w:rFonts w:ascii="黑体" w:hAnsi="黑体" w:eastAsia="黑体" w:cs="宋体"/>
          <w:bCs/>
          <w:sz w:val="28"/>
          <w:szCs w:val="28"/>
          <w:highlight w:val="none"/>
        </w:rPr>
      </w:pPr>
      <w:bookmarkStart w:id="52" w:name="_Toc31512"/>
      <w:bookmarkStart w:id="53" w:name="_Toc28359018"/>
      <w:bookmarkStart w:id="54" w:name="_Toc31387"/>
      <w:bookmarkStart w:id="55" w:name="_Toc5133"/>
      <w:bookmarkStart w:id="56" w:name="_Toc35393636"/>
      <w:bookmarkStart w:id="57" w:name="_Toc28359095"/>
      <w:bookmarkStart w:id="58" w:name="_Toc35393805"/>
      <w:r>
        <w:rPr>
          <w:rFonts w:hint="eastAsia" w:ascii="黑体" w:hAnsi="黑体" w:eastAsia="黑体" w:cs="宋体"/>
          <w:bCs/>
          <w:sz w:val="28"/>
          <w:szCs w:val="28"/>
          <w:highlight w:val="none"/>
        </w:rPr>
        <w:t>八、凡对本次采购提出询问，请按</w:t>
      </w:r>
      <w:r>
        <w:rPr>
          <w:rFonts w:ascii="黑体" w:hAnsi="黑体" w:eastAsia="黑体" w:cs="宋体"/>
          <w:bCs/>
          <w:sz w:val="28"/>
          <w:szCs w:val="28"/>
          <w:highlight w:val="none"/>
        </w:rPr>
        <w:t>以下方式</w:t>
      </w:r>
      <w:r>
        <w:rPr>
          <w:rFonts w:hint="eastAsia" w:ascii="黑体" w:hAnsi="黑体" w:eastAsia="黑体" w:cs="宋体"/>
          <w:bCs/>
          <w:sz w:val="28"/>
          <w:szCs w:val="28"/>
          <w:highlight w:val="none"/>
        </w:rPr>
        <w:t>联系。</w:t>
      </w:r>
      <w:bookmarkEnd w:id="52"/>
      <w:bookmarkEnd w:id="53"/>
      <w:bookmarkEnd w:id="54"/>
      <w:bookmarkEnd w:id="55"/>
      <w:bookmarkEnd w:id="56"/>
      <w:bookmarkEnd w:id="57"/>
      <w:bookmarkEnd w:id="58"/>
    </w:p>
    <w:p w14:paraId="437FBCB3">
      <w:pPr>
        <w:spacing w:line="360" w:lineRule="auto"/>
        <w:ind w:firstLine="560" w:firstLineChars="200"/>
        <w:jc w:val="left"/>
        <w:rPr>
          <w:rFonts w:ascii="仿宋" w:hAnsi="仿宋" w:eastAsia="仿宋" w:cs="宋体"/>
          <w:sz w:val="28"/>
          <w:szCs w:val="28"/>
          <w:highlight w:val="none"/>
        </w:rPr>
      </w:pPr>
      <w:r>
        <w:rPr>
          <w:rFonts w:hint="eastAsia" w:ascii="仿宋" w:hAnsi="仿宋" w:eastAsia="仿宋" w:cs="宋体"/>
          <w:sz w:val="28"/>
          <w:szCs w:val="28"/>
          <w:highlight w:val="none"/>
        </w:rPr>
        <w:t>1.采购人信息</w:t>
      </w:r>
    </w:p>
    <w:p w14:paraId="06948C6B">
      <w:pPr>
        <w:spacing w:line="360" w:lineRule="auto"/>
        <w:ind w:firstLine="560" w:firstLineChars="200"/>
        <w:jc w:val="left"/>
        <w:rPr>
          <w:rFonts w:ascii="仿宋" w:hAnsi="仿宋" w:eastAsia="仿宋" w:cs="宋体"/>
          <w:sz w:val="28"/>
          <w:szCs w:val="28"/>
          <w:highlight w:val="none"/>
        </w:rPr>
      </w:pPr>
      <w:r>
        <w:rPr>
          <w:rFonts w:hint="eastAsia" w:ascii="仿宋" w:hAnsi="仿宋" w:eastAsia="仿宋" w:cs="宋体"/>
          <w:sz w:val="28"/>
          <w:szCs w:val="28"/>
          <w:highlight w:val="none"/>
        </w:rPr>
        <w:t>名  称：淮南师范学院</w:t>
      </w:r>
    </w:p>
    <w:p w14:paraId="66A29818">
      <w:pPr>
        <w:spacing w:line="360" w:lineRule="auto"/>
        <w:ind w:firstLine="560" w:firstLineChars="200"/>
        <w:jc w:val="left"/>
        <w:rPr>
          <w:rFonts w:ascii="仿宋" w:hAnsi="仿宋" w:eastAsia="仿宋" w:cs="宋体"/>
          <w:sz w:val="28"/>
          <w:szCs w:val="28"/>
          <w:highlight w:val="none"/>
        </w:rPr>
      </w:pPr>
      <w:r>
        <w:rPr>
          <w:rFonts w:hint="eastAsia" w:ascii="仿宋" w:hAnsi="仿宋" w:eastAsia="仿宋" w:cs="宋体"/>
          <w:sz w:val="28"/>
          <w:szCs w:val="28"/>
          <w:highlight w:val="none"/>
        </w:rPr>
        <w:t>地  址：</w:t>
      </w:r>
      <w:r>
        <w:rPr>
          <w:rFonts w:hint="eastAsia" w:ascii="仿宋" w:hAnsi="仿宋" w:eastAsia="仿宋" w:cs="宋体"/>
          <w:bCs/>
          <w:sz w:val="28"/>
          <w:szCs w:val="28"/>
          <w:highlight w:val="none"/>
        </w:rPr>
        <w:t>淮南市洞山西路</w:t>
      </w:r>
    </w:p>
    <w:p w14:paraId="0DC8FA50">
      <w:pPr>
        <w:spacing w:line="360" w:lineRule="auto"/>
        <w:ind w:firstLine="560" w:firstLineChars="200"/>
        <w:jc w:val="left"/>
        <w:rPr>
          <w:rFonts w:ascii="仿宋" w:hAnsi="仿宋" w:eastAsia="仿宋" w:cs="宋体"/>
          <w:sz w:val="28"/>
          <w:szCs w:val="28"/>
          <w:highlight w:val="none"/>
        </w:rPr>
      </w:pPr>
      <w:r>
        <w:rPr>
          <w:rFonts w:hint="eastAsia" w:ascii="仿宋" w:hAnsi="仿宋" w:eastAsia="仿宋" w:cs="宋体"/>
          <w:sz w:val="28"/>
          <w:szCs w:val="28"/>
          <w:highlight w:val="none"/>
        </w:rPr>
        <w:t>联系方式：0554-6863560、6863696</w:t>
      </w:r>
    </w:p>
    <w:p w14:paraId="7DB63103">
      <w:pPr>
        <w:spacing w:line="360" w:lineRule="auto"/>
        <w:ind w:firstLine="560" w:firstLineChars="200"/>
        <w:jc w:val="left"/>
        <w:rPr>
          <w:rFonts w:ascii="仿宋" w:hAnsi="仿宋" w:eastAsia="仿宋" w:cs="宋体"/>
          <w:sz w:val="28"/>
          <w:szCs w:val="28"/>
          <w:highlight w:val="none"/>
        </w:rPr>
      </w:pPr>
      <w:r>
        <w:rPr>
          <w:rFonts w:hint="eastAsia" w:ascii="仿宋" w:hAnsi="仿宋" w:eastAsia="仿宋" w:cs="宋体"/>
          <w:sz w:val="28"/>
          <w:szCs w:val="28"/>
          <w:highlight w:val="none"/>
        </w:rPr>
        <w:t>2.采购代理机构信息</w:t>
      </w:r>
    </w:p>
    <w:p w14:paraId="55C75FBC">
      <w:pPr>
        <w:spacing w:line="360" w:lineRule="auto"/>
        <w:ind w:firstLine="560" w:firstLineChars="200"/>
        <w:jc w:val="left"/>
        <w:rPr>
          <w:rFonts w:ascii="仿宋" w:hAnsi="仿宋" w:eastAsia="仿宋" w:cs="宋体"/>
          <w:sz w:val="28"/>
          <w:szCs w:val="28"/>
          <w:highlight w:val="none"/>
        </w:rPr>
      </w:pPr>
      <w:r>
        <w:rPr>
          <w:rFonts w:hint="eastAsia" w:ascii="仿宋" w:hAnsi="仿宋" w:eastAsia="仿宋" w:cs="宋体"/>
          <w:sz w:val="28"/>
          <w:szCs w:val="28"/>
          <w:highlight w:val="none"/>
        </w:rPr>
        <w:t>名  称：安徽安天利信工程管理股份有限公司</w:t>
      </w:r>
    </w:p>
    <w:p w14:paraId="08B31149">
      <w:pPr>
        <w:spacing w:line="360" w:lineRule="auto"/>
        <w:ind w:firstLine="560" w:firstLineChars="200"/>
        <w:jc w:val="left"/>
        <w:rPr>
          <w:rFonts w:ascii="仿宋" w:hAnsi="仿宋" w:eastAsia="仿宋" w:cs="宋体"/>
          <w:sz w:val="28"/>
          <w:szCs w:val="28"/>
          <w:highlight w:val="none"/>
        </w:rPr>
      </w:pPr>
      <w:r>
        <w:rPr>
          <w:rFonts w:hint="eastAsia" w:ascii="仿宋" w:hAnsi="仿宋" w:eastAsia="仿宋" w:cs="宋体"/>
          <w:sz w:val="28"/>
          <w:szCs w:val="28"/>
          <w:highlight w:val="none"/>
        </w:rPr>
        <w:t>地  址：合肥市蜀山区蜀鑫路69号（创业大道与蜀鑫路西南角）</w:t>
      </w:r>
    </w:p>
    <w:p w14:paraId="3D21188A">
      <w:pPr>
        <w:spacing w:line="360" w:lineRule="auto"/>
        <w:ind w:firstLine="560" w:firstLineChars="200"/>
        <w:jc w:val="left"/>
        <w:rPr>
          <w:rFonts w:ascii="仿宋" w:hAnsi="仿宋" w:eastAsia="仿宋" w:cs="宋体"/>
          <w:kern w:val="0"/>
          <w:sz w:val="28"/>
          <w:szCs w:val="28"/>
          <w:highlight w:val="none"/>
        </w:rPr>
      </w:pPr>
      <w:r>
        <w:rPr>
          <w:rFonts w:hint="eastAsia" w:ascii="仿宋" w:hAnsi="仿宋" w:eastAsia="仿宋" w:cs="宋体"/>
          <w:sz w:val="28"/>
          <w:szCs w:val="28"/>
          <w:highlight w:val="none"/>
        </w:rPr>
        <w:t>联系方式：</w:t>
      </w:r>
      <w:r>
        <w:rPr>
          <w:rFonts w:hint="eastAsia" w:ascii="仿宋" w:hAnsi="仿宋" w:eastAsia="仿宋" w:cs="宋体"/>
          <w:kern w:val="0"/>
          <w:sz w:val="28"/>
          <w:szCs w:val="28"/>
          <w:highlight w:val="none"/>
        </w:rPr>
        <w:t>0551-63736299/18655196512</w:t>
      </w:r>
    </w:p>
    <w:p w14:paraId="409D1CED">
      <w:pPr>
        <w:spacing w:line="360" w:lineRule="auto"/>
        <w:ind w:firstLine="560" w:firstLineChars="200"/>
        <w:jc w:val="left"/>
        <w:rPr>
          <w:rFonts w:ascii="仿宋" w:hAnsi="仿宋" w:eastAsia="仿宋" w:cs="宋体"/>
          <w:sz w:val="28"/>
          <w:szCs w:val="28"/>
          <w:highlight w:val="none"/>
        </w:rPr>
      </w:pPr>
      <w:r>
        <w:rPr>
          <w:rFonts w:hint="eastAsia" w:ascii="仿宋" w:hAnsi="仿宋" w:eastAsia="仿宋" w:cs="宋体"/>
          <w:sz w:val="28"/>
          <w:szCs w:val="28"/>
          <w:highlight w:val="none"/>
        </w:rPr>
        <w:t>3.项目联系方式</w:t>
      </w:r>
    </w:p>
    <w:p w14:paraId="2B0A3228">
      <w:pPr>
        <w:spacing w:line="360" w:lineRule="auto"/>
        <w:ind w:firstLine="560" w:firstLineChars="200"/>
        <w:jc w:val="left"/>
        <w:rPr>
          <w:rFonts w:ascii="仿宋" w:hAnsi="仿宋" w:eastAsia="仿宋" w:cs="宋体"/>
          <w:sz w:val="28"/>
          <w:szCs w:val="28"/>
          <w:highlight w:val="none"/>
        </w:rPr>
      </w:pPr>
      <w:r>
        <w:rPr>
          <w:rFonts w:hint="eastAsia" w:ascii="仿宋" w:hAnsi="仿宋" w:eastAsia="仿宋" w:cs="宋体"/>
          <w:sz w:val="28"/>
          <w:szCs w:val="28"/>
          <w:highlight w:val="none"/>
        </w:rPr>
        <w:t>项目联系人：</w:t>
      </w:r>
      <w:r>
        <w:rPr>
          <w:rFonts w:hint="eastAsia" w:ascii="仿宋" w:hAnsi="仿宋" w:eastAsia="仿宋" w:cs="宋体"/>
          <w:kern w:val="0"/>
          <w:sz w:val="28"/>
          <w:szCs w:val="28"/>
          <w:highlight w:val="none"/>
        </w:rPr>
        <w:t>李庆/顾春燕</w:t>
      </w:r>
    </w:p>
    <w:p w14:paraId="2B2F4C56">
      <w:pPr>
        <w:spacing w:line="360" w:lineRule="auto"/>
        <w:ind w:firstLine="560" w:firstLineChars="200"/>
        <w:rPr>
          <w:rFonts w:ascii="仿宋" w:hAnsi="仿宋" w:eastAsia="仿宋" w:cs="宋体"/>
          <w:kern w:val="0"/>
          <w:sz w:val="28"/>
          <w:szCs w:val="28"/>
          <w:highlight w:val="none"/>
        </w:rPr>
      </w:pPr>
      <w:r>
        <w:rPr>
          <w:rFonts w:hint="eastAsia" w:ascii="仿宋" w:hAnsi="仿宋" w:eastAsia="仿宋" w:cs="宋体"/>
          <w:sz w:val="28"/>
          <w:szCs w:val="28"/>
          <w:highlight w:val="none"/>
        </w:rPr>
        <w:t>电  话：</w:t>
      </w:r>
      <w:r>
        <w:rPr>
          <w:rFonts w:hint="eastAsia" w:ascii="仿宋" w:hAnsi="仿宋" w:eastAsia="仿宋" w:cs="宋体"/>
          <w:kern w:val="0"/>
          <w:sz w:val="28"/>
          <w:szCs w:val="28"/>
          <w:highlight w:val="none"/>
        </w:rPr>
        <w:t>0551-63736299/18655196512</w:t>
      </w:r>
    </w:p>
    <w:bookmarkEnd w:id="3"/>
    <w:bookmarkEnd w:id="4"/>
    <w:bookmarkEnd w:id="5"/>
    <w:bookmarkEnd w:id="6"/>
    <w:p w14:paraId="5E6535D6">
      <w:pPr>
        <w:spacing w:line="360" w:lineRule="auto"/>
        <w:ind w:firstLine="560" w:firstLineChars="200"/>
        <w:rPr>
          <w:rFonts w:ascii="仿宋" w:hAnsi="仿宋" w:eastAsia="仿宋" w:cs="宋体"/>
          <w:kern w:val="0"/>
          <w:sz w:val="28"/>
          <w:szCs w:val="28"/>
          <w:highlight w:val="none"/>
        </w:rPr>
      </w:pPr>
      <w:r>
        <w:rPr>
          <w:rFonts w:hint="eastAsia" w:ascii="仿宋" w:hAnsi="仿宋" w:eastAsia="仿宋" w:cs="宋体"/>
          <w:kern w:val="0"/>
          <w:sz w:val="28"/>
          <w:szCs w:val="28"/>
          <w:highlight w:val="none"/>
        </w:rPr>
        <w:br w:type="page"/>
      </w:r>
    </w:p>
    <w:p w14:paraId="407BED00">
      <w:pPr>
        <w:spacing w:line="360" w:lineRule="auto"/>
        <w:jc w:val="center"/>
        <w:outlineLvl w:val="0"/>
        <w:rPr>
          <w:rFonts w:asciiTheme="minorEastAsia" w:hAnsiTheme="minorEastAsia" w:eastAsiaTheme="minorEastAsia"/>
          <w:b/>
          <w:sz w:val="28"/>
          <w:highlight w:val="none"/>
        </w:rPr>
      </w:pPr>
      <w:bookmarkStart w:id="59" w:name="_Toc30868"/>
      <w:r>
        <w:rPr>
          <w:rFonts w:hint="eastAsia" w:asciiTheme="minorEastAsia" w:hAnsiTheme="minorEastAsia" w:eastAsiaTheme="minorEastAsia"/>
          <w:b/>
          <w:sz w:val="28"/>
          <w:highlight w:val="none"/>
        </w:rPr>
        <w:t>第二章</w:t>
      </w:r>
      <w:r>
        <w:rPr>
          <w:rFonts w:asciiTheme="minorEastAsia" w:hAnsiTheme="minorEastAsia" w:eastAsiaTheme="minorEastAsia"/>
          <w:b/>
          <w:sz w:val="28"/>
          <w:highlight w:val="none"/>
        </w:rPr>
        <w:t>投标人须知</w:t>
      </w:r>
      <w:bookmarkEnd w:id="59"/>
    </w:p>
    <w:p w14:paraId="39B5E8E8">
      <w:pPr>
        <w:spacing w:line="360" w:lineRule="auto"/>
        <w:jc w:val="center"/>
        <w:outlineLvl w:val="1"/>
        <w:rPr>
          <w:rFonts w:asciiTheme="minorEastAsia" w:hAnsiTheme="minorEastAsia" w:eastAsiaTheme="minorEastAsia"/>
          <w:b/>
          <w:sz w:val="24"/>
          <w:highlight w:val="none"/>
        </w:rPr>
      </w:pPr>
      <w:bookmarkStart w:id="60" w:name="_Toc7178"/>
      <w:bookmarkStart w:id="61" w:name="_Toc3114"/>
      <w:bookmarkStart w:id="62" w:name="_Toc6391"/>
      <w:r>
        <w:rPr>
          <w:rFonts w:hint="eastAsia" w:asciiTheme="minorEastAsia" w:hAnsiTheme="minorEastAsia" w:eastAsiaTheme="minorEastAsia"/>
          <w:b/>
          <w:sz w:val="24"/>
          <w:highlight w:val="none"/>
        </w:rPr>
        <w:t>一、</w:t>
      </w:r>
      <w:r>
        <w:rPr>
          <w:rFonts w:asciiTheme="minorEastAsia" w:hAnsiTheme="minorEastAsia" w:eastAsiaTheme="minorEastAsia"/>
          <w:b/>
          <w:sz w:val="24"/>
          <w:highlight w:val="none"/>
        </w:rPr>
        <w:t>投标人须知前附表</w:t>
      </w:r>
      <w:bookmarkEnd w:id="60"/>
      <w:bookmarkEnd w:id="61"/>
      <w:bookmarkEnd w:id="62"/>
    </w:p>
    <w:p w14:paraId="735A9976">
      <w:pPr>
        <w:spacing w:line="360" w:lineRule="auto"/>
        <w:ind w:firstLine="435"/>
        <w:rPr>
          <w:rFonts w:ascii="宋体" w:hAnsi="宋体" w:eastAsia="宋体"/>
          <w:sz w:val="24"/>
          <w:szCs w:val="18"/>
          <w:highlight w:val="none"/>
        </w:rPr>
      </w:pPr>
      <w:r>
        <w:rPr>
          <w:rFonts w:hint="eastAsia" w:ascii="宋体" w:hAnsi="宋体" w:eastAsia="宋体"/>
          <w:b/>
          <w:bCs/>
          <w:sz w:val="24"/>
          <w:szCs w:val="18"/>
          <w:highlight w:val="none"/>
        </w:rPr>
        <w:t>注：</w:t>
      </w:r>
      <w:r>
        <w:rPr>
          <w:rFonts w:hint="eastAsia" w:ascii="宋体" w:hAnsi="宋体" w:eastAsia="宋体"/>
          <w:sz w:val="24"/>
          <w:szCs w:val="18"/>
          <w:highlight w:val="none"/>
        </w:rPr>
        <w:t>本表是本项目的具体要求，是对投标人须知的具体补充和修改，如有不一致，以本表为准。</w:t>
      </w:r>
    </w:p>
    <w:tbl>
      <w:tblPr>
        <w:tblStyle w:val="26"/>
        <w:tblW w:w="50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1474"/>
        <w:gridCol w:w="6177"/>
      </w:tblGrid>
      <w:tr w14:paraId="47558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47DA69A">
            <w:pPr>
              <w:pStyle w:val="34"/>
              <w:widowControl w:val="0"/>
              <w:spacing w:before="0" w:beforeAutospacing="0" w:after="0" w:afterAutospacing="0"/>
              <w:rPr>
                <w:rFonts w:ascii="宋体" w:hAnsi="宋体" w:eastAsia="宋体"/>
                <w:bCs w:val="0"/>
                <w:kern w:val="2"/>
                <w:sz w:val="24"/>
                <w:szCs w:val="20"/>
                <w:highlight w:val="none"/>
              </w:rPr>
            </w:pPr>
            <w:r>
              <w:rPr>
                <w:rFonts w:hint="eastAsia" w:ascii="宋体" w:hAnsi="宋体" w:eastAsia="宋体"/>
                <w:bCs w:val="0"/>
                <w:kern w:val="2"/>
                <w:sz w:val="24"/>
                <w:szCs w:val="20"/>
                <w:highlight w:val="none"/>
              </w:rPr>
              <w:t>条款号</w:t>
            </w:r>
          </w:p>
        </w:tc>
        <w:tc>
          <w:tcPr>
            <w:tcW w:w="851" w:type="pct"/>
            <w:vAlign w:val="center"/>
          </w:tcPr>
          <w:p w14:paraId="46FDEAEA">
            <w:pPr>
              <w:pStyle w:val="34"/>
              <w:widowControl w:val="0"/>
              <w:spacing w:before="0" w:beforeAutospacing="0" w:after="0" w:afterAutospacing="0"/>
              <w:rPr>
                <w:rFonts w:ascii="宋体" w:hAnsi="宋体" w:eastAsia="宋体"/>
                <w:bCs w:val="0"/>
                <w:kern w:val="2"/>
                <w:sz w:val="24"/>
                <w:szCs w:val="20"/>
                <w:highlight w:val="none"/>
              </w:rPr>
            </w:pPr>
            <w:r>
              <w:rPr>
                <w:rFonts w:hint="eastAsia" w:ascii="宋体" w:hAnsi="宋体" w:eastAsia="宋体"/>
                <w:bCs w:val="0"/>
                <w:kern w:val="2"/>
                <w:sz w:val="24"/>
                <w:szCs w:val="20"/>
                <w:highlight w:val="none"/>
              </w:rPr>
              <w:t>条款名称</w:t>
            </w:r>
          </w:p>
        </w:tc>
        <w:tc>
          <w:tcPr>
            <w:tcW w:w="3567" w:type="pct"/>
            <w:vAlign w:val="center"/>
          </w:tcPr>
          <w:p w14:paraId="3F9F0EF6">
            <w:pPr>
              <w:pStyle w:val="34"/>
              <w:widowControl w:val="0"/>
              <w:spacing w:before="0" w:beforeAutospacing="0" w:after="0" w:afterAutospacing="0"/>
              <w:rPr>
                <w:rFonts w:ascii="宋体" w:hAnsi="宋体" w:eastAsia="宋体"/>
                <w:bCs w:val="0"/>
                <w:kern w:val="2"/>
                <w:sz w:val="24"/>
                <w:szCs w:val="20"/>
                <w:highlight w:val="none"/>
              </w:rPr>
            </w:pPr>
            <w:r>
              <w:rPr>
                <w:rFonts w:hint="eastAsia" w:ascii="宋体" w:hAnsi="宋体" w:eastAsia="宋体"/>
                <w:bCs w:val="0"/>
                <w:kern w:val="2"/>
                <w:sz w:val="24"/>
                <w:szCs w:val="20"/>
                <w:highlight w:val="none"/>
              </w:rPr>
              <w:t>内容、说明与要求</w:t>
            </w:r>
          </w:p>
        </w:tc>
      </w:tr>
      <w:tr w14:paraId="225CD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90F2BC6">
            <w:pPr>
              <w:pStyle w:val="35"/>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5</w:t>
            </w:r>
            <w:r>
              <w:rPr>
                <w:rFonts w:ascii="宋体" w:hAnsi="宋体" w:eastAsia="宋体"/>
                <w:bCs/>
                <w:kern w:val="2"/>
                <w:highlight w:val="none"/>
              </w:rPr>
              <w:t>.</w:t>
            </w:r>
            <w:r>
              <w:rPr>
                <w:rFonts w:hint="eastAsia" w:ascii="宋体" w:hAnsi="宋体" w:eastAsia="宋体"/>
                <w:bCs/>
                <w:kern w:val="2"/>
                <w:highlight w:val="none"/>
              </w:rPr>
              <w:t>2</w:t>
            </w:r>
          </w:p>
        </w:tc>
        <w:tc>
          <w:tcPr>
            <w:tcW w:w="851" w:type="pct"/>
            <w:vAlign w:val="center"/>
          </w:tcPr>
          <w:p w14:paraId="036906E2">
            <w:pPr>
              <w:pStyle w:val="34"/>
              <w:widowControl w:val="0"/>
              <w:spacing w:before="0" w:beforeAutospacing="0" w:after="0" w:afterAutospacing="0" w:line="360" w:lineRule="auto"/>
              <w:jc w:val="left"/>
              <w:rPr>
                <w:rFonts w:ascii="宋体" w:hAnsi="宋体" w:eastAsia="宋体"/>
                <w:b w:val="0"/>
                <w:sz w:val="24"/>
                <w:highlight w:val="none"/>
              </w:rPr>
            </w:pPr>
            <w:r>
              <w:rPr>
                <w:rFonts w:hint="eastAsia" w:ascii="宋体" w:hAnsi="宋体" w:eastAsia="宋体"/>
                <w:b w:val="0"/>
                <w:sz w:val="24"/>
                <w:highlight w:val="none"/>
              </w:rPr>
              <w:t>现场考察或标前答疑会</w:t>
            </w:r>
          </w:p>
        </w:tc>
        <w:tc>
          <w:tcPr>
            <w:tcW w:w="3567" w:type="pct"/>
            <w:vAlign w:val="center"/>
          </w:tcPr>
          <w:p w14:paraId="3EDFED98">
            <w:pPr>
              <w:spacing w:line="360" w:lineRule="auto"/>
              <w:rPr>
                <w:rFonts w:ascii="宋体" w:hAnsi="宋体" w:eastAsia="宋体"/>
                <w:sz w:val="24"/>
                <w:highlight w:val="none"/>
              </w:rPr>
            </w:pPr>
            <w:r>
              <w:rPr>
                <w:rFonts w:hint="eastAsia" w:ascii="宋体" w:hAnsi="宋体" w:eastAsia="宋体"/>
                <w:bCs/>
                <w:sz w:val="24"/>
                <w:szCs w:val="24"/>
                <w:highlight w:val="none"/>
              </w:rPr>
              <w:t>☑</w:t>
            </w:r>
            <w:r>
              <w:rPr>
                <w:rFonts w:hint="eastAsia" w:ascii="宋体" w:hAnsi="宋体" w:eastAsia="宋体"/>
                <w:sz w:val="24"/>
                <w:highlight w:val="none"/>
              </w:rPr>
              <w:t>不组织或不召开</w:t>
            </w:r>
          </w:p>
          <w:p w14:paraId="7AE0E651">
            <w:pPr>
              <w:spacing w:line="360" w:lineRule="auto"/>
              <w:rPr>
                <w:rFonts w:ascii="宋体" w:hAnsi="宋体" w:eastAsia="宋体"/>
                <w:sz w:val="24"/>
                <w:highlight w:val="none"/>
              </w:rPr>
            </w:pPr>
            <w:r>
              <w:rPr>
                <w:rFonts w:hint="eastAsia" w:ascii="宋体" w:hAnsi="宋体" w:eastAsia="宋体"/>
                <w:sz w:val="24"/>
                <w:highlight w:val="none"/>
              </w:rPr>
              <w:t>由投标人自行决定是否踏勘项目现场。</w:t>
            </w:r>
          </w:p>
          <w:p w14:paraId="3DDBE76F">
            <w:pPr>
              <w:spacing w:line="360" w:lineRule="auto"/>
              <w:rPr>
                <w:rFonts w:ascii="宋体" w:hAnsi="宋体" w:eastAsia="宋体"/>
                <w:sz w:val="24"/>
                <w:highlight w:val="none"/>
              </w:rPr>
            </w:pPr>
            <w:r>
              <w:rPr>
                <w:rFonts w:hint="eastAsia" w:ascii="宋体" w:hAnsi="宋体" w:eastAsia="宋体"/>
                <w:sz w:val="24"/>
                <w:highlight w:val="none"/>
              </w:rPr>
              <w:t>□</w:t>
            </w:r>
            <w:r>
              <w:rPr>
                <w:rFonts w:hint="eastAsia" w:ascii="宋体" w:hAnsi="宋体" w:eastAsia="宋体"/>
                <w:bCs/>
                <w:sz w:val="24"/>
                <w:highlight w:val="none"/>
              </w:rPr>
              <w:t>统一组织或统一召开</w:t>
            </w:r>
          </w:p>
          <w:p w14:paraId="330BFBB3">
            <w:pPr>
              <w:spacing w:line="360" w:lineRule="auto"/>
              <w:rPr>
                <w:rFonts w:ascii="宋体" w:hAnsi="宋体" w:eastAsia="宋体"/>
                <w:bCs/>
                <w:sz w:val="24"/>
                <w:highlight w:val="none"/>
                <w:u w:val="single"/>
              </w:rPr>
            </w:pPr>
            <w:r>
              <w:rPr>
                <w:rFonts w:hint="eastAsia" w:ascii="宋体" w:hAnsi="宋体" w:eastAsia="宋体"/>
                <w:bCs/>
                <w:sz w:val="24"/>
                <w:highlight w:val="none"/>
              </w:rPr>
              <w:t>时间：年月日时分</w:t>
            </w:r>
          </w:p>
          <w:p w14:paraId="54B8989B">
            <w:pPr>
              <w:spacing w:line="360" w:lineRule="auto"/>
              <w:rPr>
                <w:rFonts w:ascii="宋体" w:hAnsi="宋体" w:eastAsia="宋体"/>
                <w:bCs/>
                <w:sz w:val="24"/>
                <w:highlight w:val="none"/>
                <w:u w:val="single"/>
              </w:rPr>
            </w:pPr>
            <w:r>
              <w:rPr>
                <w:rFonts w:hint="eastAsia" w:ascii="宋体" w:hAnsi="宋体" w:eastAsia="宋体"/>
                <w:bCs/>
                <w:sz w:val="24"/>
                <w:highlight w:val="none"/>
              </w:rPr>
              <w:t>地点：</w:t>
            </w:r>
          </w:p>
          <w:p w14:paraId="50A2A42B">
            <w:pPr>
              <w:spacing w:line="360" w:lineRule="auto"/>
              <w:rPr>
                <w:rFonts w:ascii="宋体" w:hAnsi="宋体" w:eastAsia="宋体"/>
                <w:bCs/>
                <w:sz w:val="24"/>
                <w:highlight w:val="none"/>
                <w:u w:val="single"/>
              </w:rPr>
            </w:pPr>
            <w:r>
              <w:rPr>
                <w:rFonts w:hint="eastAsia" w:ascii="宋体" w:hAnsi="宋体" w:eastAsia="宋体"/>
                <w:bCs/>
                <w:sz w:val="24"/>
                <w:highlight w:val="none"/>
              </w:rPr>
              <w:t>联系人及联系电话：</w:t>
            </w:r>
          </w:p>
          <w:p w14:paraId="489B6C30">
            <w:pPr>
              <w:pStyle w:val="34"/>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Cs w:val="0"/>
                <w:sz w:val="24"/>
                <w:highlight w:val="none"/>
              </w:rPr>
              <w:t>注：如投标人未参加采购人统一组织的现场考察或采购人统一召开的标前答疑会，视同放弃现场考察或标前答疑会，由此引起的一切责任由投标人自行承担。</w:t>
            </w:r>
          </w:p>
        </w:tc>
      </w:tr>
      <w:tr w14:paraId="70905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F2058E0">
            <w:pPr>
              <w:pStyle w:val="35"/>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6</w:t>
            </w:r>
            <w:r>
              <w:rPr>
                <w:rFonts w:ascii="宋体" w:hAnsi="宋体" w:eastAsia="宋体"/>
                <w:bCs/>
                <w:kern w:val="2"/>
                <w:highlight w:val="none"/>
              </w:rPr>
              <w:t>.1</w:t>
            </w:r>
          </w:p>
        </w:tc>
        <w:tc>
          <w:tcPr>
            <w:tcW w:w="851" w:type="pct"/>
            <w:vAlign w:val="center"/>
          </w:tcPr>
          <w:p w14:paraId="5E3EB958">
            <w:pPr>
              <w:pStyle w:val="34"/>
              <w:widowControl w:val="0"/>
              <w:spacing w:before="0" w:beforeAutospacing="0" w:after="0" w:afterAutospacing="0"/>
              <w:jc w:val="left"/>
              <w:rPr>
                <w:rFonts w:ascii="宋体" w:hAnsi="宋体" w:eastAsia="宋体"/>
                <w:b w:val="0"/>
                <w:sz w:val="24"/>
                <w:highlight w:val="none"/>
              </w:rPr>
            </w:pPr>
            <w:r>
              <w:rPr>
                <w:rFonts w:hint="eastAsia" w:ascii="宋体" w:hAnsi="宋体" w:eastAsia="宋体"/>
                <w:b w:val="0"/>
                <w:sz w:val="24"/>
                <w:highlight w:val="none"/>
              </w:rPr>
              <w:t>网上询问截止时间</w:t>
            </w:r>
          </w:p>
        </w:tc>
        <w:tc>
          <w:tcPr>
            <w:tcW w:w="3567" w:type="pct"/>
            <w:vAlign w:val="center"/>
          </w:tcPr>
          <w:p w14:paraId="49729AE2">
            <w:pPr>
              <w:pStyle w:val="34"/>
              <w:widowControl w:val="0"/>
              <w:spacing w:before="0" w:beforeAutospacing="0" w:after="0" w:afterAutospacing="0"/>
              <w:jc w:val="both"/>
              <w:rPr>
                <w:rFonts w:ascii="宋体" w:hAnsi="宋体" w:eastAsia="宋体"/>
                <w:b w:val="0"/>
                <w:sz w:val="24"/>
                <w:highlight w:val="none"/>
              </w:rPr>
            </w:pPr>
            <w:r>
              <w:rPr>
                <w:rFonts w:hint="eastAsia" w:ascii="宋体" w:hAnsi="宋体" w:eastAsia="宋体"/>
                <w:b w:val="0"/>
                <w:sz w:val="24"/>
                <w:highlight w:val="none"/>
              </w:rPr>
              <w:t>提交投标文件截止时间前10日</w:t>
            </w:r>
          </w:p>
        </w:tc>
      </w:tr>
      <w:tr w14:paraId="66BAD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99D3D99">
            <w:pPr>
              <w:pStyle w:val="35"/>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7</w:t>
            </w:r>
            <w:r>
              <w:rPr>
                <w:rFonts w:ascii="宋体" w:hAnsi="宋体" w:eastAsia="宋体"/>
                <w:bCs/>
                <w:kern w:val="2"/>
                <w:highlight w:val="none"/>
              </w:rPr>
              <w:t>.1</w:t>
            </w:r>
          </w:p>
        </w:tc>
        <w:tc>
          <w:tcPr>
            <w:tcW w:w="851" w:type="pct"/>
            <w:vAlign w:val="center"/>
          </w:tcPr>
          <w:p w14:paraId="5BF43E1D">
            <w:pPr>
              <w:pStyle w:val="34"/>
              <w:widowControl w:val="0"/>
              <w:spacing w:before="0" w:beforeAutospacing="0" w:after="0" w:afterAutospacing="0"/>
              <w:jc w:val="left"/>
              <w:rPr>
                <w:rFonts w:ascii="宋体" w:hAnsi="宋体" w:eastAsia="宋体"/>
                <w:b w:val="0"/>
                <w:sz w:val="24"/>
                <w:highlight w:val="none"/>
              </w:rPr>
            </w:pPr>
            <w:r>
              <w:rPr>
                <w:rFonts w:hint="eastAsia" w:ascii="宋体" w:hAnsi="宋体" w:eastAsia="宋体"/>
                <w:b w:val="0"/>
                <w:sz w:val="24"/>
                <w:highlight w:val="none"/>
              </w:rPr>
              <w:t>包别划分</w:t>
            </w:r>
          </w:p>
        </w:tc>
        <w:tc>
          <w:tcPr>
            <w:tcW w:w="3567" w:type="pct"/>
            <w:vAlign w:val="center"/>
          </w:tcPr>
          <w:p w14:paraId="6E7D03B0">
            <w:pPr>
              <w:pStyle w:val="34"/>
              <w:widowControl w:val="0"/>
              <w:spacing w:before="0" w:beforeAutospacing="0" w:after="0" w:afterAutospacing="0" w:line="360" w:lineRule="auto"/>
              <w:jc w:val="both"/>
              <w:rPr>
                <w:rFonts w:ascii="宋体" w:hAnsi="宋体" w:eastAsia="宋体"/>
                <w:b w:val="0"/>
                <w:sz w:val="24"/>
                <w:highlight w:val="none"/>
              </w:rPr>
            </w:pPr>
            <w:r>
              <w:rPr>
                <w:rFonts w:ascii="宋体" w:hAnsi="宋体" w:eastAsia="宋体"/>
                <w:b w:val="0"/>
                <w:bCs w:val="0"/>
                <w:sz w:val="24"/>
                <w:szCs w:val="24"/>
                <w:highlight w:val="none"/>
              </w:rPr>
              <w:t>□</w:t>
            </w:r>
            <w:r>
              <w:rPr>
                <w:rFonts w:ascii="宋体" w:hAnsi="宋体" w:eastAsia="宋体"/>
                <w:b w:val="0"/>
                <w:sz w:val="24"/>
                <w:highlight w:val="none"/>
              </w:rPr>
              <w:t xml:space="preserve">不分包     </w:t>
            </w:r>
            <w:r>
              <w:rPr>
                <w:rFonts w:hint="eastAsia" w:ascii="宋体" w:hAnsi="宋体" w:eastAsia="宋体"/>
                <w:b w:val="0"/>
                <w:sz w:val="24"/>
                <w:highlight w:val="none"/>
              </w:rPr>
              <w:t>☑</w:t>
            </w:r>
            <w:r>
              <w:rPr>
                <w:rFonts w:ascii="宋体" w:hAnsi="宋体" w:eastAsia="宋体"/>
                <w:b w:val="0"/>
                <w:sz w:val="24"/>
                <w:highlight w:val="none"/>
              </w:rPr>
              <w:t xml:space="preserve">分为 </w:t>
            </w:r>
            <w:r>
              <w:rPr>
                <w:rFonts w:hint="eastAsia" w:ascii="宋体" w:hAnsi="宋体" w:eastAsia="宋体"/>
                <w:b w:val="0"/>
                <w:sz w:val="24"/>
                <w:highlight w:val="none"/>
              </w:rPr>
              <w:t>2</w:t>
            </w:r>
            <w:r>
              <w:rPr>
                <w:rFonts w:ascii="宋体" w:hAnsi="宋体" w:eastAsia="宋体"/>
                <w:b w:val="0"/>
                <w:sz w:val="24"/>
                <w:highlight w:val="none"/>
              </w:rPr>
              <w:t xml:space="preserve"> 个包</w:t>
            </w:r>
          </w:p>
          <w:p w14:paraId="3C7D26A4">
            <w:pPr>
              <w:pStyle w:val="34"/>
              <w:widowControl w:val="0"/>
              <w:spacing w:before="0" w:beforeAutospacing="0" w:after="0" w:afterAutospacing="0" w:line="360" w:lineRule="auto"/>
              <w:jc w:val="both"/>
              <w:rPr>
                <w:rFonts w:hint="default" w:ascii="宋体" w:hAnsi="宋体" w:eastAsia="宋体"/>
                <w:b w:val="0"/>
                <w:sz w:val="24"/>
                <w:highlight w:val="none"/>
                <w:u w:val="single"/>
                <w:lang w:val="en-US" w:eastAsia="zh-CN"/>
              </w:rPr>
            </w:pPr>
            <w:r>
              <w:rPr>
                <w:rFonts w:hint="eastAsia" w:ascii="宋体" w:hAnsi="宋体" w:eastAsia="宋体"/>
                <w:b w:val="0"/>
                <w:sz w:val="24"/>
                <w:highlight w:val="none"/>
              </w:rPr>
              <w:t>投标人对多个包进行投标的中标</w:t>
            </w:r>
            <w:r>
              <w:rPr>
                <w:rFonts w:ascii="宋体" w:hAnsi="宋体" w:eastAsia="宋体"/>
                <w:b w:val="0"/>
                <w:sz w:val="24"/>
                <w:highlight w:val="none"/>
              </w:rPr>
              <w:t>包</w:t>
            </w:r>
            <w:r>
              <w:rPr>
                <w:rFonts w:hint="eastAsia" w:ascii="宋体" w:hAnsi="宋体" w:eastAsia="宋体"/>
                <w:b w:val="0"/>
                <w:sz w:val="24"/>
                <w:highlight w:val="none"/>
              </w:rPr>
              <w:t>数规定：</w:t>
            </w:r>
            <w:r>
              <w:rPr>
                <w:rFonts w:hint="eastAsia" w:ascii="宋体" w:hAnsi="宋体" w:eastAsia="宋体"/>
                <w:b w:val="0"/>
                <w:sz w:val="24"/>
                <w:highlight w:val="none"/>
                <w:u w:val="single"/>
                <w:lang w:val="en-US" w:eastAsia="zh-CN"/>
              </w:rPr>
              <w:t>兼投兼中</w:t>
            </w:r>
          </w:p>
        </w:tc>
      </w:tr>
      <w:tr w14:paraId="724A4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81" w:type="pct"/>
            <w:vAlign w:val="center"/>
          </w:tcPr>
          <w:p w14:paraId="7EA6EA10">
            <w:pPr>
              <w:pStyle w:val="35"/>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10</w:t>
            </w:r>
            <w:r>
              <w:rPr>
                <w:rFonts w:ascii="宋体" w:hAnsi="宋体" w:eastAsia="宋体"/>
                <w:bCs/>
                <w:kern w:val="2"/>
                <w:highlight w:val="none"/>
              </w:rPr>
              <w:t>.1</w:t>
            </w:r>
          </w:p>
        </w:tc>
        <w:tc>
          <w:tcPr>
            <w:tcW w:w="851" w:type="pct"/>
            <w:vAlign w:val="center"/>
          </w:tcPr>
          <w:p w14:paraId="62840E8E">
            <w:pPr>
              <w:pStyle w:val="34"/>
              <w:widowControl w:val="0"/>
              <w:spacing w:before="0" w:beforeAutospacing="0" w:after="0" w:afterAutospacing="0" w:line="360" w:lineRule="auto"/>
              <w:jc w:val="left"/>
              <w:rPr>
                <w:rFonts w:ascii="宋体" w:hAnsi="宋体" w:eastAsia="宋体"/>
                <w:b w:val="0"/>
                <w:sz w:val="24"/>
                <w:highlight w:val="none"/>
              </w:rPr>
            </w:pPr>
            <w:r>
              <w:rPr>
                <w:rFonts w:hint="eastAsia" w:ascii="宋体" w:hAnsi="宋体" w:eastAsia="宋体"/>
                <w:b w:val="0"/>
                <w:sz w:val="24"/>
                <w:highlight w:val="none"/>
              </w:rPr>
              <w:t>投标保证金</w:t>
            </w:r>
          </w:p>
        </w:tc>
        <w:tc>
          <w:tcPr>
            <w:tcW w:w="3567" w:type="pct"/>
            <w:vAlign w:val="center"/>
          </w:tcPr>
          <w:p w14:paraId="7AA68F38">
            <w:pPr>
              <w:spacing w:line="360" w:lineRule="auto"/>
              <w:rPr>
                <w:highlight w:val="none"/>
              </w:rPr>
            </w:pPr>
            <w:r>
              <w:rPr>
                <w:rFonts w:hint="eastAsia" w:ascii="宋体" w:hAnsi="宋体" w:eastAsia="宋体"/>
                <w:bCs/>
                <w:kern w:val="0"/>
                <w:sz w:val="24"/>
                <w:szCs w:val="28"/>
                <w:highlight w:val="none"/>
              </w:rPr>
              <w:t>不收取</w:t>
            </w:r>
          </w:p>
        </w:tc>
      </w:tr>
      <w:tr w14:paraId="47565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B5FA51D">
            <w:pPr>
              <w:pStyle w:val="35"/>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11</w:t>
            </w:r>
            <w:r>
              <w:rPr>
                <w:rFonts w:ascii="宋体" w:hAnsi="宋体" w:eastAsia="宋体"/>
                <w:bCs/>
                <w:kern w:val="2"/>
                <w:highlight w:val="none"/>
              </w:rPr>
              <w:t>.1</w:t>
            </w:r>
          </w:p>
        </w:tc>
        <w:tc>
          <w:tcPr>
            <w:tcW w:w="851" w:type="pct"/>
            <w:vAlign w:val="center"/>
          </w:tcPr>
          <w:p w14:paraId="1679FE00">
            <w:pPr>
              <w:pStyle w:val="34"/>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投标有效期</w:t>
            </w:r>
          </w:p>
        </w:tc>
        <w:tc>
          <w:tcPr>
            <w:tcW w:w="3567" w:type="pct"/>
            <w:vAlign w:val="center"/>
          </w:tcPr>
          <w:p w14:paraId="62A9BA0B">
            <w:pPr>
              <w:pStyle w:val="34"/>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u w:val="single"/>
              </w:rPr>
              <w:t>120</w:t>
            </w:r>
            <w:r>
              <w:rPr>
                <w:rFonts w:hint="eastAsia" w:ascii="宋体" w:hAnsi="宋体" w:eastAsia="宋体"/>
                <w:b w:val="0"/>
                <w:sz w:val="24"/>
                <w:highlight w:val="none"/>
              </w:rPr>
              <w:t>日历日</w:t>
            </w:r>
          </w:p>
        </w:tc>
      </w:tr>
      <w:tr w14:paraId="47718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179F9D7">
            <w:pPr>
              <w:pStyle w:val="35"/>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13</w:t>
            </w:r>
            <w:r>
              <w:rPr>
                <w:rFonts w:ascii="宋体" w:hAnsi="宋体" w:eastAsia="宋体"/>
                <w:bCs/>
                <w:kern w:val="2"/>
                <w:highlight w:val="none"/>
              </w:rPr>
              <w:t>.</w:t>
            </w:r>
            <w:r>
              <w:rPr>
                <w:rFonts w:hint="eastAsia" w:ascii="宋体" w:hAnsi="宋体" w:eastAsia="宋体"/>
                <w:bCs/>
                <w:kern w:val="2"/>
                <w:highlight w:val="none"/>
              </w:rPr>
              <w:t>1</w:t>
            </w:r>
          </w:p>
        </w:tc>
        <w:tc>
          <w:tcPr>
            <w:tcW w:w="851" w:type="pct"/>
            <w:vAlign w:val="center"/>
          </w:tcPr>
          <w:p w14:paraId="5CC4196B">
            <w:pPr>
              <w:pStyle w:val="34"/>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投标文件解密时间</w:t>
            </w:r>
          </w:p>
        </w:tc>
        <w:tc>
          <w:tcPr>
            <w:tcW w:w="3567" w:type="pct"/>
            <w:vAlign w:val="center"/>
          </w:tcPr>
          <w:p w14:paraId="043D2F04">
            <w:pPr>
              <w:pStyle w:val="34"/>
              <w:widowControl w:val="0"/>
              <w:spacing w:before="0" w:beforeAutospacing="0" w:after="0" w:afterAutospacing="0" w:line="360" w:lineRule="auto"/>
              <w:jc w:val="both"/>
              <w:rPr>
                <w:rFonts w:ascii="宋体" w:hAnsi="宋体" w:eastAsia="宋体"/>
                <w:b w:val="0"/>
                <w:sz w:val="24"/>
                <w:highlight w:val="none"/>
                <w:u w:val="single"/>
              </w:rPr>
            </w:pPr>
            <w:r>
              <w:rPr>
                <w:rFonts w:hint="eastAsia" w:ascii="宋体" w:hAnsi="宋体" w:eastAsia="宋体"/>
                <w:b w:val="0"/>
                <w:sz w:val="24"/>
                <w:highlight w:val="none"/>
              </w:rPr>
              <w:t>投标截止时间后</w:t>
            </w:r>
            <w:r>
              <w:rPr>
                <w:rFonts w:hint="eastAsia" w:ascii="宋体" w:hAnsi="宋体" w:eastAsia="宋体"/>
                <w:b w:val="0"/>
                <w:sz w:val="24"/>
                <w:highlight w:val="none"/>
                <w:u w:val="single"/>
              </w:rPr>
              <w:t xml:space="preserve">  30 </w:t>
            </w:r>
            <w:r>
              <w:rPr>
                <w:rFonts w:hint="eastAsia" w:ascii="宋体" w:hAnsi="宋体" w:eastAsia="宋体"/>
                <w:b w:val="0"/>
                <w:sz w:val="24"/>
                <w:highlight w:val="none"/>
              </w:rPr>
              <w:t>分钟内</w:t>
            </w:r>
          </w:p>
        </w:tc>
      </w:tr>
      <w:tr w14:paraId="07E05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D4D138D">
            <w:pPr>
              <w:pStyle w:val="35"/>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14.1</w:t>
            </w:r>
          </w:p>
        </w:tc>
        <w:tc>
          <w:tcPr>
            <w:tcW w:w="851" w:type="pct"/>
            <w:vAlign w:val="center"/>
          </w:tcPr>
          <w:p w14:paraId="05E4B7D8">
            <w:pPr>
              <w:pStyle w:val="34"/>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资格审查</w:t>
            </w:r>
          </w:p>
        </w:tc>
        <w:tc>
          <w:tcPr>
            <w:tcW w:w="3567" w:type="pct"/>
            <w:vAlign w:val="center"/>
          </w:tcPr>
          <w:p w14:paraId="71C98780">
            <w:pPr>
              <w:pStyle w:val="34"/>
              <w:widowControl w:val="0"/>
              <w:spacing w:before="0" w:beforeAutospacing="0" w:after="0" w:afterAutospacing="0" w:line="360" w:lineRule="auto"/>
              <w:jc w:val="both"/>
              <w:rPr>
                <w:rFonts w:ascii="宋体" w:hAnsi="宋体" w:eastAsia="宋体"/>
                <w:b w:val="0"/>
                <w:bCs w:val="0"/>
                <w:sz w:val="24"/>
                <w:highlight w:val="none"/>
              </w:rPr>
            </w:pPr>
            <w:r>
              <w:rPr>
                <w:rFonts w:hint="eastAsia" w:ascii="宋体" w:hAnsi="宋体" w:eastAsia="宋体"/>
                <w:b w:val="0"/>
                <w:bCs w:val="0"/>
                <w:sz w:val="24"/>
                <w:szCs w:val="24"/>
                <w:highlight w:val="none"/>
              </w:rPr>
              <w:t>☑</w:t>
            </w:r>
            <w:r>
              <w:rPr>
                <w:rFonts w:hint="eastAsia" w:ascii="宋体" w:hAnsi="宋体" w:eastAsia="宋体"/>
                <w:b w:val="0"/>
                <w:bCs w:val="0"/>
                <w:sz w:val="24"/>
                <w:highlight w:val="none"/>
              </w:rPr>
              <w:t>采购人审查</w:t>
            </w:r>
          </w:p>
          <w:p w14:paraId="0C99AE32">
            <w:pPr>
              <w:pStyle w:val="34"/>
              <w:widowControl w:val="0"/>
              <w:spacing w:before="0" w:beforeAutospacing="0" w:after="0" w:afterAutospacing="0" w:line="360" w:lineRule="auto"/>
              <w:jc w:val="both"/>
              <w:rPr>
                <w:rFonts w:ascii="宋体" w:hAnsi="宋体" w:eastAsia="宋体"/>
                <w:b w:val="0"/>
                <w:sz w:val="24"/>
                <w:highlight w:val="none"/>
                <w:u w:val="single"/>
              </w:rPr>
            </w:pPr>
            <w:r>
              <w:rPr>
                <w:rFonts w:ascii="宋体" w:hAnsi="宋体" w:eastAsia="宋体"/>
                <w:b w:val="0"/>
                <w:bCs w:val="0"/>
                <w:sz w:val="24"/>
                <w:szCs w:val="24"/>
                <w:highlight w:val="none"/>
              </w:rPr>
              <w:t>□</w:t>
            </w:r>
            <w:r>
              <w:rPr>
                <w:rFonts w:hint="eastAsia" w:ascii="宋体" w:hAnsi="宋体" w:eastAsia="宋体"/>
                <w:b w:val="0"/>
                <w:bCs w:val="0"/>
                <w:sz w:val="24"/>
                <w:highlight w:val="none"/>
              </w:rPr>
              <w:t>采购人出具委托函委托采购代理机构进行审查</w:t>
            </w:r>
          </w:p>
        </w:tc>
      </w:tr>
      <w:tr w14:paraId="407B1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77D66B6">
            <w:pPr>
              <w:pStyle w:val="35"/>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17</w:t>
            </w:r>
            <w:r>
              <w:rPr>
                <w:rFonts w:ascii="宋体" w:hAnsi="宋体" w:eastAsia="宋体"/>
                <w:bCs/>
                <w:kern w:val="2"/>
                <w:highlight w:val="none"/>
              </w:rPr>
              <w:t>.2</w:t>
            </w:r>
          </w:p>
        </w:tc>
        <w:tc>
          <w:tcPr>
            <w:tcW w:w="851" w:type="pct"/>
            <w:vAlign w:val="center"/>
          </w:tcPr>
          <w:p w14:paraId="09901358">
            <w:pPr>
              <w:pStyle w:val="34"/>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评标方法</w:t>
            </w:r>
          </w:p>
        </w:tc>
        <w:tc>
          <w:tcPr>
            <w:tcW w:w="3567" w:type="pct"/>
            <w:vAlign w:val="center"/>
          </w:tcPr>
          <w:p w14:paraId="4C805D01">
            <w:pPr>
              <w:pStyle w:val="34"/>
              <w:widowControl w:val="0"/>
              <w:spacing w:before="0" w:beforeAutospacing="0" w:after="0" w:afterAutospacing="0" w:line="360" w:lineRule="auto"/>
              <w:jc w:val="both"/>
              <w:rPr>
                <w:rFonts w:ascii="宋体" w:hAnsi="宋体" w:eastAsia="宋体"/>
                <w:b w:val="0"/>
                <w:sz w:val="24"/>
                <w:highlight w:val="none"/>
              </w:rPr>
            </w:pPr>
            <w:r>
              <w:rPr>
                <w:rFonts w:ascii="宋体" w:hAnsi="宋体" w:eastAsia="宋体"/>
                <w:b w:val="0"/>
                <w:bCs w:val="0"/>
                <w:sz w:val="24"/>
                <w:szCs w:val="24"/>
                <w:highlight w:val="none"/>
              </w:rPr>
              <w:t>□</w:t>
            </w:r>
            <w:r>
              <w:rPr>
                <w:rFonts w:hint="eastAsia" w:ascii="宋体" w:hAnsi="宋体" w:eastAsia="宋体"/>
                <w:b w:val="0"/>
                <w:sz w:val="24"/>
                <w:highlight w:val="none"/>
              </w:rPr>
              <w:t>最低评标价法</w:t>
            </w:r>
          </w:p>
          <w:p w14:paraId="1BF3A1FC">
            <w:pPr>
              <w:pStyle w:val="34"/>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bCs w:val="0"/>
                <w:sz w:val="24"/>
                <w:szCs w:val="24"/>
                <w:highlight w:val="none"/>
              </w:rPr>
              <w:t>☑</w:t>
            </w:r>
            <w:r>
              <w:rPr>
                <w:rFonts w:hint="eastAsia" w:ascii="宋体" w:hAnsi="宋体" w:eastAsia="宋体"/>
                <w:b w:val="0"/>
                <w:sz w:val="24"/>
                <w:highlight w:val="none"/>
              </w:rPr>
              <w:t>综合评分法</w:t>
            </w:r>
          </w:p>
        </w:tc>
      </w:tr>
      <w:tr w14:paraId="7EB37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A498661">
            <w:pPr>
              <w:pStyle w:val="35"/>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17</w:t>
            </w:r>
            <w:r>
              <w:rPr>
                <w:rFonts w:ascii="宋体" w:hAnsi="宋体" w:eastAsia="宋体"/>
                <w:bCs/>
                <w:kern w:val="2"/>
                <w:highlight w:val="none"/>
              </w:rPr>
              <w:t>.3</w:t>
            </w:r>
          </w:p>
        </w:tc>
        <w:tc>
          <w:tcPr>
            <w:tcW w:w="851" w:type="pct"/>
            <w:vAlign w:val="center"/>
          </w:tcPr>
          <w:p w14:paraId="02191A3B">
            <w:pPr>
              <w:pStyle w:val="34"/>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报价扣除</w:t>
            </w:r>
          </w:p>
          <w:p w14:paraId="5CD9BDBE">
            <w:pPr>
              <w:pStyle w:val="34"/>
              <w:widowControl w:val="0"/>
              <w:spacing w:before="0" w:beforeAutospacing="0" w:after="0" w:afterAutospacing="0" w:line="360" w:lineRule="auto"/>
              <w:jc w:val="both"/>
              <w:rPr>
                <w:rFonts w:ascii="宋体" w:hAnsi="宋体" w:eastAsia="宋体"/>
                <w:b w:val="0"/>
                <w:i/>
                <w:sz w:val="24"/>
                <w:highlight w:val="none"/>
              </w:rPr>
            </w:pPr>
            <w:r>
              <w:rPr>
                <w:rFonts w:hint="eastAsia" w:ascii="宋体" w:hAnsi="宋体" w:eastAsia="宋体"/>
                <w:b w:val="0"/>
                <w:i/>
                <w:sz w:val="24"/>
                <w:highlight w:val="none"/>
              </w:rPr>
              <w:t>（非专门面向中小企业采购项目适用）</w:t>
            </w:r>
          </w:p>
        </w:tc>
        <w:tc>
          <w:tcPr>
            <w:tcW w:w="3567" w:type="pct"/>
            <w:vAlign w:val="center"/>
          </w:tcPr>
          <w:p w14:paraId="7AF290BA">
            <w:pPr>
              <w:pStyle w:val="34"/>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（1）</w:t>
            </w:r>
            <w:r>
              <w:rPr>
                <w:rFonts w:ascii="宋体" w:hAnsi="宋体" w:eastAsia="宋体"/>
                <w:b w:val="0"/>
                <w:sz w:val="24"/>
                <w:highlight w:val="none"/>
              </w:rPr>
              <w:t>小型和微型</w:t>
            </w:r>
            <w:r>
              <w:rPr>
                <w:rFonts w:hint="eastAsia" w:ascii="宋体" w:hAnsi="宋体" w:eastAsia="宋体"/>
                <w:b w:val="0"/>
                <w:sz w:val="24"/>
                <w:highlight w:val="none"/>
              </w:rPr>
              <w:t>企业价格扣除：</w:t>
            </w:r>
            <w:r>
              <w:rPr>
                <w:rFonts w:hint="eastAsia" w:ascii="宋体" w:hAnsi="宋体" w:eastAsia="宋体"/>
                <w:b w:val="0"/>
                <w:sz w:val="24"/>
                <w:highlight w:val="none"/>
                <w:u w:val="single"/>
              </w:rPr>
              <w:t xml:space="preserve">   10%     </w:t>
            </w:r>
            <w:r>
              <w:rPr>
                <w:rFonts w:hint="eastAsia" w:ascii="宋体" w:hAnsi="宋体" w:eastAsia="宋体"/>
                <w:b w:val="0"/>
                <w:sz w:val="24"/>
                <w:highlight w:val="none"/>
              </w:rPr>
              <w:t>。</w:t>
            </w:r>
          </w:p>
          <w:p w14:paraId="280A6FE4">
            <w:pPr>
              <w:pStyle w:val="34"/>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（2）监狱企业价格扣除：同</w:t>
            </w:r>
            <w:r>
              <w:rPr>
                <w:rFonts w:ascii="宋体" w:hAnsi="宋体" w:eastAsia="宋体"/>
                <w:b w:val="0"/>
                <w:sz w:val="24"/>
                <w:highlight w:val="none"/>
              </w:rPr>
              <w:t>小型和微型企业</w:t>
            </w:r>
            <w:r>
              <w:rPr>
                <w:rFonts w:hint="eastAsia" w:ascii="宋体" w:hAnsi="宋体" w:eastAsia="宋体"/>
                <w:b w:val="0"/>
                <w:sz w:val="24"/>
                <w:highlight w:val="none"/>
              </w:rPr>
              <w:t>。</w:t>
            </w:r>
          </w:p>
          <w:p w14:paraId="1092DC98">
            <w:pPr>
              <w:pStyle w:val="34"/>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（3）残疾人福利性单位价格扣除：同</w:t>
            </w:r>
            <w:r>
              <w:rPr>
                <w:rFonts w:ascii="宋体" w:hAnsi="宋体" w:eastAsia="宋体"/>
                <w:b w:val="0"/>
                <w:sz w:val="24"/>
                <w:highlight w:val="none"/>
              </w:rPr>
              <w:t>小型和微型企业</w:t>
            </w:r>
            <w:r>
              <w:rPr>
                <w:rFonts w:hint="eastAsia" w:ascii="宋体" w:hAnsi="宋体" w:eastAsia="宋体"/>
                <w:b w:val="0"/>
                <w:sz w:val="24"/>
                <w:highlight w:val="none"/>
              </w:rPr>
              <w:t>。</w:t>
            </w:r>
          </w:p>
          <w:p w14:paraId="209BF24C">
            <w:pPr>
              <w:pStyle w:val="34"/>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（4）符合条件的联合体价格扣除：</w:t>
            </w:r>
            <w:r>
              <w:rPr>
                <w:rFonts w:hint="eastAsia" w:ascii="宋体" w:hAnsi="宋体" w:eastAsia="宋体"/>
                <w:b w:val="0"/>
                <w:sz w:val="24"/>
                <w:highlight w:val="none"/>
                <w:u w:val="single"/>
              </w:rPr>
              <w:t xml:space="preserve">   /     </w:t>
            </w:r>
            <w:r>
              <w:rPr>
                <w:rFonts w:hint="eastAsia" w:ascii="宋体" w:hAnsi="宋体" w:eastAsia="宋体"/>
                <w:b w:val="0"/>
                <w:sz w:val="24"/>
                <w:highlight w:val="none"/>
              </w:rPr>
              <w:t>。</w:t>
            </w:r>
          </w:p>
          <w:p w14:paraId="42627AA7">
            <w:pPr>
              <w:pStyle w:val="34"/>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（5）符合条件的向小微企业分包的大中型企业价格扣除：</w:t>
            </w:r>
            <w:r>
              <w:rPr>
                <w:rFonts w:hint="eastAsia" w:ascii="宋体" w:hAnsi="宋体" w:eastAsia="宋体"/>
                <w:b w:val="0"/>
                <w:sz w:val="24"/>
                <w:highlight w:val="none"/>
                <w:u w:val="single"/>
              </w:rPr>
              <w:t xml:space="preserve">   /     </w:t>
            </w:r>
            <w:r>
              <w:rPr>
                <w:rFonts w:hint="eastAsia" w:ascii="宋体" w:hAnsi="宋体" w:eastAsia="宋体"/>
                <w:b w:val="0"/>
                <w:sz w:val="24"/>
                <w:highlight w:val="none"/>
              </w:rPr>
              <w:t>。</w:t>
            </w:r>
            <w:r>
              <w:rPr>
                <w:rFonts w:hint="eastAsia" w:ascii="宋体" w:hAnsi="宋体" w:eastAsia="宋体"/>
                <w:b w:val="0"/>
                <w:i/>
                <w:sz w:val="24"/>
                <w:highlight w:val="none"/>
              </w:rPr>
              <w:t>（允许大中型企业向小微企业分包的项目适用）</w:t>
            </w:r>
          </w:p>
        </w:tc>
      </w:tr>
      <w:tr w14:paraId="199EA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88BAA98">
            <w:pPr>
              <w:pStyle w:val="35"/>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21</w:t>
            </w:r>
            <w:r>
              <w:rPr>
                <w:rFonts w:ascii="宋体" w:hAnsi="宋体" w:eastAsia="宋体"/>
                <w:bCs/>
                <w:kern w:val="2"/>
                <w:highlight w:val="none"/>
              </w:rPr>
              <w:t>.</w:t>
            </w:r>
            <w:r>
              <w:rPr>
                <w:rFonts w:hint="eastAsia" w:ascii="宋体" w:hAnsi="宋体" w:eastAsia="宋体"/>
                <w:bCs/>
                <w:kern w:val="2"/>
                <w:highlight w:val="none"/>
              </w:rPr>
              <w:t>1</w:t>
            </w:r>
          </w:p>
        </w:tc>
        <w:tc>
          <w:tcPr>
            <w:tcW w:w="851" w:type="pct"/>
            <w:vAlign w:val="center"/>
          </w:tcPr>
          <w:p w14:paraId="7635929F">
            <w:pPr>
              <w:pStyle w:val="34"/>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评标委员会推荐</w:t>
            </w:r>
            <w:r>
              <w:rPr>
                <w:rFonts w:ascii="宋体" w:hAnsi="宋体" w:eastAsia="宋体"/>
                <w:b w:val="0"/>
                <w:sz w:val="24"/>
                <w:highlight w:val="none"/>
              </w:rPr>
              <w:t>中标候选</w:t>
            </w:r>
            <w:r>
              <w:rPr>
                <w:rFonts w:hint="eastAsia" w:ascii="宋体" w:hAnsi="宋体" w:eastAsia="宋体"/>
                <w:b w:val="0"/>
                <w:sz w:val="24"/>
                <w:highlight w:val="none"/>
              </w:rPr>
              <w:t>人的</w:t>
            </w:r>
            <w:r>
              <w:rPr>
                <w:rFonts w:ascii="宋体" w:hAnsi="宋体" w:eastAsia="宋体"/>
                <w:b w:val="0"/>
                <w:sz w:val="24"/>
                <w:highlight w:val="none"/>
              </w:rPr>
              <w:t>数量</w:t>
            </w:r>
          </w:p>
        </w:tc>
        <w:tc>
          <w:tcPr>
            <w:tcW w:w="3567" w:type="pct"/>
            <w:vAlign w:val="center"/>
          </w:tcPr>
          <w:p w14:paraId="702CEFDB">
            <w:pPr>
              <w:pStyle w:val="34"/>
              <w:widowControl w:val="0"/>
              <w:spacing w:before="0" w:beforeAutospacing="0" w:after="0" w:afterAutospacing="0" w:line="360" w:lineRule="auto"/>
              <w:jc w:val="both"/>
              <w:rPr>
                <w:rFonts w:ascii="宋体" w:hAnsi="宋体" w:eastAsia="宋体"/>
                <w:b w:val="0"/>
                <w:sz w:val="24"/>
                <w:highlight w:val="none"/>
                <w:u w:val="single"/>
              </w:rPr>
            </w:pPr>
            <w:r>
              <w:rPr>
                <w:rFonts w:hint="eastAsia" w:ascii="宋体" w:hAnsi="宋体" w:eastAsia="宋体"/>
                <w:b w:val="0"/>
                <w:sz w:val="24"/>
                <w:highlight w:val="none"/>
                <w:u w:val="single"/>
              </w:rPr>
              <w:t xml:space="preserve">   3名   </w:t>
            </w:r>
          </w:p>
        </w:tc>
      </w:tr>
      <w:tr w14:paraId="41017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2DB6664">
            <w:pPr>
              <w:pStyle w:val="35"/>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21</w:t>
            </w:r>
            <w:r>
              <w:rPr>
                <w:rFonts w:ascii="宋体" w:hAnsi="宋体" w:eastAsia="宋体"/>
                <w:bCs/>
                <w:kern w:val="2"/>
                <w:highlight w:val="none"/>
              </w:rPr>
              <w:t>.</w:t>
            </w:r>
            <w:r>
              <w:rPr>
                <w:rFonts w:hint="eastAsia" w:ascii="宋体" w:hAnsi="宋体" w:eastAsia="宋体"/>
                <w:bCs/>
                <w:kern w:val="2"/>
                <w:highlight w:val="none"/>
              </w:rPr>
              <w:t>2</w:t>
            </w:r>
          </w:p>
        </w:tc>
        <w:tc>
          <w:tcPr>
            <w:tcW w:w="851" w:type="pct"/>
            <w:vAlign w:val="center"/>
          </w:tcPr>
          <w:p w14:paraId="73EBA27E">
            <w:pPr>
              <w:pStyle w:val="34"/>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确定中标人</w:t>
            </w:r>
          </w:p>
        </w:tc>
        <w:tc>
          <w:tcPr>
            <w:tcW w:w="3567" w:type="pct"/>
            <w:vAlign w:val="center"/>
          </w:tcPr>
          <w:p w14:paraId="113BBD9B">
            <w:pPr>
              <w:spacing w:line="360" w:lineRule="auto"/>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sym w:font="Wingdings" w:char="00FE"/>
            </w:r>
            <w:r>
              <w:rPr>
                <w:rFonts w:hint="eastAsia" w:asciiTheme="minorEastAsia" w:hAnsiTheme="minorEastAsia" w:eastAsiaTheme="minorEastAsia"/>
                <w:kern w:val="0"/>
                <w:sz w:val="24"/>
                <w:szCs w:val="24"/>
                <w:highlight w:val="none"/>
              </w:rPr>
              <w:t>采购人委托评标委员会确定</w:t>
            </w:r>
          </w:p>
          <w:p w14:paraId="14B8DC00">
            <w:pPr>
              <w:pStyle w:val="34"/>
              <w:widowControl w:val="0"/>
              <w:spacing w:before="0" w:beforeAutospacing="0" w:after="0" w:afterAutospacing="0" w:line="360" w:lineRule="auto"/>
              <w:jc w:val="both"/>
              <w:rPr>
                <w:rFonts w:ascii="宋体" w:hAnsi="宋体" w:eastAsia="宋体"/>
                <w:b w:val="0"/>
                <w:sz w:val="24"/>
                <w:highlight w:val="none"/>
              </w:rPr>
            </w:pPr>
            <w:r>
              <w:rPr>
                <w:rFonts w:hint="eastAsia" w:asciiTheme="minorEastAsia" w:hAnsiTheme="minorEastAsia" w:eastAsiaTheme="minorEastAsia"/>
                <w:b w:val="0"/>
                <w:bCs w:val="0"/>
                <w:kern w:val="2"/>
                <w:sz w:val="24"/>
                <w:szCs w:val="24"/>
                <w:highlight w:val="none"/>
              </w:rPr>
              <w:t>□采购人确定</w:t>
            </w:r>
          </w:p>
        </w:tc>
      </w:tr>
      <w:tr w14:paraId="39810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C152429">
            <w:pPr>
              <w:pStyle w:val="35"/>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ascii="宋体" w:hAnsi="宋体" w:eastAsia="宋体"/>
                <w:bCs/>
                <w:kern w:val="2"/>
                <w:highlight w:val="none"/>
              </w:rPr>
              <w:t>2</w:t>
            </w:r>
            <w:r>
              <w:rPr>
                <w:rFonts w:hint="eastAsia" w:ascii="宋体" w:hAnsi="宋体" w:eastAsia="宋体"/>
                <w:bCs/>
                <w:kern w:val="2"/>
                <w:highlight w:val="none"/>
              </w:rPr>
              <w:t>3</w:t>
            </w:r>
            <w:r>
              <w:rPr>
                <w:rFonts w:ascii="宋体" w:hAnsi="宋体" w:eastAsia="宋体"/>
                <w:bCs/>
                <w:kern w:val="2"/>
                <w:highlight w:val="none"/>
              </w:rPr>
              <w:t>.3</w:t>
            </w:r>
          </w:p>
        </w:tc>
        <w:tc>
          <w:tcPr>
            <w:tcW w:w="851" w:type="pct"/>
            <w:vAlign w:val="center"/>
          </w:tcPr>
          <w:p w14:paraId="38417F3A">
            <w:pPr>
              <w:pStyle w:val="34"/>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随中标结果公告同时公告的内容</w:t>
            </w:r>
          </w:p>
        </w:tc>
        <w:tc>
          <w:tcPr>
            <w:tcW w:w="3567" w:type="pct"/>
            <w:vAlign w:val="center"/>
          </w:tcPr>
          <w:p w14:paraId="4525D195">
            <w:pPr>
              <w:pStyle w:val="34"/>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（1）中小企业声明函；</w:t>
            </w:r>
            <w:r>
              <w:rPr>
                <w:rFonts w:hint="eastAsia" w:ascii="宋体" w:hAnsi="宋体" w:eastAsia="宋体"/>
                <w:b w:val="0"/>
                <w:i/>
                <w:iCs/>
                <w:sz w:val="24"/>
                <w:highlight w:val="none"/>
              </w:rPr>
              <w:t>（如有）</w:t>
            </w:r>
          </w:p>
          <w:p w14:paraId="4BFE7625">
            <w:pPr>
              <w:pStyle w:val="34"/>
              <w:widowControl w:val="0"/>
              <w:spacing w:before="0" w:beforeAutospacing="0" w:after="0" w:afterAutospacing="0" w:line="360" w:lineRule="auto"/>
              <w:jc w:val="both"/>
              <w:rPr>
                <w:rFonts w:ascii="宋体" w:hAnsi="宋体" w:eastAsia="宋体"/>
                <w:b w:val="0"/>
                <w:i/>
                <w:sz w:val="24"/>
                <w:highlight w:val="none"/>
              </w:rPr>
            </w:pPr>
            <w:r>
              <w:rPr>
                <w:rFonts w:hint="eastAsia" w:ascii="宋体" w:hAnsi="宋体" w:eastAsia="宋体"/>
                <w:b w:val="0"/>
                <w:sz w:val="24"/>
                <w:highlight w:val="none"/>
              </w:rPr>
              <w:t>（2）残疾人福利性单位声明函；</w:t>
            </w:r>
            <w:r>
              <w:rPr>
                <w:rFonts w:hint="eastAsia" w:ascii="宋体" w:hAnsi="宋体" w:eastAsia="宋体"/>
                <w:b w:val="0"/>
                <w:i/>
                <w:iCs/>
                <w:sz w:val="24"/>
                <w:highlight w:val="none"/>
              </w:rPr>
              <w:t>（如有）</w:t>
            </w:r>
          </w:p>
          <w:p w14:paraId="79657B74">
            <w:pPr>
              <w:pStyle w:val="34"/>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（3）因落实政府采购政策等原因进行价格扣除后中标（成交）供应商的评审报价</w:t>
            </w:r>
            <w:r>
              <w:rPr>
                <w:rFonts w:hint="eastAsia" w:ascii="宋体" w:hAnsi="宋体" w:eastAsia="宋体"/>
                <w:b w:val="0"/>
                <w:i/>
                <w:iCs/>
                <w:sz w:val="24"/>
                <w:highlight w:val="none"/>
              </w:rPr>
              <w:t>（适用最低评标价法）</w:t>
            </w:r>
          </w:p>
          <w:p w14:paraId="3A743C05">
            <w:pPr>
              <w:pStyle w:val="34"/>
              <w:widowControl w:val="0"/>
              <w:spacing w:before="0" w:beforeAutospacing="0" w:after="0" w:afterAutospacing="0" w:line="360" w:lineRule="auto"/>
              <w:jc w:val="both"/>
              <w:rPr>
                <w:rFonts w:ascii="宋体" w:hAnsi="宋体" w:eastAsia="宋体"/>
                <w:b w:val="0"/>
                <w:i/>
                <w:iCs/>
                <w:sz w:val="24"/>
                <w:highlight w:val="none"/>
              </w:rPr>
            </w:pPr>
            <w:r>
              <w:rPr>
                <w:rFonts w:hint="eastAsia" w:ascii="宋体" w:hAnsi="宋体" w:eastAsia="宋体"/>
                <w:b w:val="0"/>
                <w:sz w:val="24"/>
                <w:highlight w:val="none"/>
              </w:rPr>
              <w:t>（4）中标（成交）供应商的评审总得分</w:t>
            </w:r>
            <w:r>
              <w:rPr>
                <w:rFonts w:hint="eastAsia" w:ascii="宋体" w:hAnsi="宋体" w:eastAsia="宋体"/>
                <w:b w:val="0"/>
                <w:i/>
                <w:iCs/>
                <w:sz w:val="24"/>
                <w:highlight w:val="none"/>
              </w:rPr>
              <w:t>（适用综合评分法）</w:t>
            </w:r>
          </w:p>
          <w:p w14:paraId="3BD0F0B6">
            <w:pPr>
              <w:pStyle w:val="34"/>
              <w:widowControl w:val="0"/>
              <w:spacing w:before="0" w:beforeAutospacing="0" w:after="0" w:afterAutospacing="0" w:line="360" w:lineRule="auto"/>
              <w:jc w:val="both"/>
              <w:rPr>
                <w:rFonts w:ascii="宋体" w:hAnsi="宋体" w:eastAsia="宋体"/>
                <w:b w:val="0"/>
                <w:bCs w:val="0"/>
                <w:sz w:val="24"/>
                <w:szCs w:val="24"/>
                <w:highlight w:val="none"/>
              </w:rPr>
            </w:pPr>
            <w:r>
              <w:rPr>
                <w:rFonts w:hint="eastAsia" w:ascii="宋体" w:hAnsi="宋体" w:eastAsia="宋体"/>
                <w:b w:val="0"/>
                <w:sz w:val="24"/>
                <w:highlight w:val="none"/>
              </w:rPr>
              <w:t>（5）</w:t>
            </w:r>
            <w:r>
              <w:rPr>
                <w:rFonts w:hint="eastAsia" w:ascii="宋体" w:hAnsi="宋体" w:eastAsia="宋体" w:cs="宋体"/>
                <w:b w:val="0"/>
                <w:sz w:val="24"/>
                <w:highlight w:val="none"/>
                <w:u w:val="single"/>
              </w:rPr>
              <w:t>主要中标标的承诺函</w:t>
            </w:r>
          </w:p>
        </w:tc>
      </w:tr>
      <w:tr w14:paraId="3A258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5649B2A8">
            <w:pPr>
              <w:pStyle w:val="35"/>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24</w:t>
            </w:r>
            <w:r>
              <w:rPr>
                <w:rFonts w:ascii="宋体" w:hAnsi="宋体" w:eastAsia="宋体"/>
                <w:bCs/>
                <w:kern w:val="2"/>
                <w:highlight w:val="none"/>
              </w:rPr>
              <w:t>.1</w:t>
            </w:r>
          </w:p>
        </w:tc>
        <w:tc>
          <w:tcPr>
            <w:tcW w:w="851" w:type="pct"/>
            <w:vAlign w:val="center"/>
          </w:tcPr>
          <w:p w14:paraId="69307D60">
            <w:pPr>
              <w:pStyle w:val="34"/>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中标通知书发出的形式</w:t>
            </w:r>
          </w:p>
        </w:tc>
        <w:tc>
          <w:tcPr>
            <w:tcW w:w="3567" w:type="pct"/>
            <w:vAlign w:val="center"/>
          </w:tcPr>
          <w:p w14:paraId="72F3A7C5">
            <w:pPr>
              <w:pStyle w:val="34"/>
              <w:widowControl w:val="0"/>
              <w:spacing w:before="0" w:beforeAutospacing="0" w:after="0" w:afterAutospacing="0" w:line="360" w:lineRule="auto"/>
              <w:jc w:val="both"/>
              <w:rPr>
                <w:rFonts w:ascii="宋体" w:hAnsi="宋体" w:eastAsia="宋体"/>
                <w:b w:val="0"/>
                <w:bCs w:val="0"/>
                <w:sz w:val="24"/>
                <w:szCs w:val="24"/>
                <w:highlight w:val="none"/>
              </w:rPr>
            </w:pPr>
            <w:r>
              <w:rPr>
                <w:rFonts w:hint="eastAsia" w:ascii="宋体" w:hAnsi="宋体" w:eastAsia="宋体"/>
                <w:b w:val="0"/>
                <w:bCs w:val="0"/>
                <w:sz w:val="24"/>
                <w:szCs w:val="24"/>
                <w:highlight w:val="none"/>
              </w:rPr>
              <w:t xml:space="preserve">□书面 </w:t>
            </w:r>
            <w:r>
              <w:rPr>
                <w:rFonts w:hint="eastAsia" w:ascii="宋体" w:hAnsi="宋体" w:eastAsia="宋体"/>
                <w:b w:val="0"/>
                <w:bCs w:val="0"/>
                <w:sz w:val="24"/>
                <w:szCs w:val="24"/>
                <w:highlight w:val="none"/>
              </w:rPr>
              <w:sym w:font="Wingdings" w:char="00FE"/>
            </w:r>
            <w:r>
              <w:rPr>
                <w:rFonts w:hint="eastAsia" w:ascii="宋体" w:hAnsi="宋体" w:eastAsia="宋体"/>
                <w:b w:val="0"/>
                <w:bCs w:val="0"/>
                <w:sz w:val="24"/>
                <w:szCs w:val="24"/>
                <w:highlight w:val="none"/>
              </w:rPr>
              <w:t>数据电文</w:t>
            </w:r>
          </w:p>
        </w:tc>
      </w:tr>
      <w:tr w14:paraId="7BEA8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9B40912">
            <w:pPr>
              <w:pStyle w:val="35"/>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25</w:t>
            </w:r>
            <w:r>
              <w:rPr>
                <w:rFonts w:ascii="宋体" w:hAnsi="宋体" w:eastAsia="宋体"/>
                <w:bCs/>
                <w:kern w:val="2"/>
                <w:highlight w:val="none"/>
              </w:rPr>
              <w:t>.1</w:t>
            </w:r>
          </w:p>
        </w:tc>
        <w:tc>
          <w:tcPr>
            <w:tcW w:w="851" w:type="pct"/>
            <w:vAlign w:val="center"/>
          </w:tcPr>
          <w:p w14:paraId="16BDE7DD">
            <w:pPr>
              <w:pStyle w:val="34"/>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告知招标结果的形式</w:t>
            </w:r>
          </w:p>
        </w:tc>
        <w:tc>
          <w:tcPr>
            <w:tcW w:w="3567" w:type="pct"/>
            <w:vAlign w:val="center"/>
          </w:tcPr>
          <w:p w14:paraId="1B9B82EB">
            <w:pPr>
              <w:spacing w:line="360" w:lineRule="auto"/>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sym w:font="Wingdings" w:char="00FE"/>
            </w:r>
            <w:r>
              <w:rPr>
                <w:rFonts w:hint="eastAsia" w:asciiTheme="minorEastAsia" w:hAnsiTheme="minorEastAsia" w:eastAsiaTheme="minorEastAsia"/>
                <w:kern w:val="0"/>
                <w:sz w:val="24"/>
                <w:szCs w:val="24"/>
                <w:highlight w:val="none"/>
              </w:rPr>
              <w:t>投标人自行登录电子</w:t>
            </w:r>
            <w:r>
              <w:rPr>
                <w:rFonts w:hint="eastAsia" w:ascii="宋体" w:hAnsi="宋体" w:eastAsia="宋体" w:cs="宋体"/>
                <w:sz w:val="24"/>
                <w:szCs w:val="24"/>
                <w:highlight w:val="none"/>
              </w:rPr>
              <w:t>交易</w:t>
            </w:r>
            <w:r>
              <w:rPr>
                <w:rFonts w:hint="eastAsia" w:asciiTheme="minorEastAsia" w:hAnsiTheme="minorEastAsia" w:eastAsiaTheme="minorEastAsia"/>
                <w:kern w:val="0"/>
                <w:sz w:val="24"/>
                <w:szCs w:val="24"/>
                <w:highlight w:val="none"/>
              </w:rPr>
              <w:t>系统查看</w:t>
            </w:r>
          </w:p>
          <w:p w14:paraId="54E88163">
            <w:pPr>
              <w:pStyle w:val="34"/>
              <w:widowControl w:val="0"/>
              <w:spacing w:before="0" w:beforeAutospacing="0" w:after="0" w:afterAutospacing="0" w:line="360" w:lineRule="auto"/>
              <w:jc w:val="both"/>
              <w:rPr>
                <w:rFonts w:asciiTheme="minorEastAsia" w:hAnsiTheme="minorEastAsia" w:eastAsiaTheme="minorEastAsia"/>
                <w:b w:val="0"/>
                <w:bCs w:val="0"/>
                <w:kern w:val="2"/>
                <w:sz w:val="24"/>
                <w:szCs w:val="24"/>
                <w:highlight w:val="none"/>
              </w:rPr>
            </w:pPr>
            <w:r>
              <w:rPr>
                <w:rFonts w:hint="eastAsia" w:asciiTheme="minorEastAsia" w:hAnsiTheme="minorEastAsia" w:eastAsiaTheme="minorEastAsia"/>
                <w:b w:val="0"/>
                <w:bCs w:val="0"/>
                <w:kern w:val="2"/>
                <w:sz w:val="24"/>
                <w:szCs w:val="24"/>
                <w:highlight w:val="none"/>
              </w:rPr>
              <w:t>□评标现场告知</w:t>
            </w:r>
          </w:p>
        </w:tc>
      </w:tr>
      <w:tr w14:paraId="299B6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81" w:type="pct"/>
            <w:vAlign w:val="center"/>
          </w:tcPr>
          <w:p w14:paraId="326A6CF6">
            <w:pPr>
              <w:pStyle w:val="35"/>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26</w:t>
            </w:r>
            <w:r>
              <w:rPr>
                <w:rFonts w:ascii="宋体" w:hAnsi="宋体" w:eastAsia="宋体"/>
                <w:bCs/>
                <w:kern w:val="2"/>
                <w:highlight w:val="none"/>
              </w:rPr>
              <w:t>.1</w:t>
            </w:r>
          </w:p>
        </w:tc>
        <w:tc>
          <w:tcPr>
            <w:tcW w:w="851" w:type="pct"/>
            <w:vAlign w:val="center"/>
          </w:tcPr>
          <w:p w14:paraId="25B04968">
            <w:pPr>
              <w:pStyle w:val="34"/>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履约保证金</w:t>
            </w:r>
          </w:p>
        </w:tc>
        <w:tc>
          <w:tcPr>
            <w:tcW w:w="3567" w:type="pct"/>
          </w:tcPr>
          <w:p w14:paraId="4894F822">
            <w:pPr>
              <w:spacing w:line="360" w:lineRule="auto"/>
              <w:rPr>
                <w:rFonts w:ascii="宋体" w:hAnsi="宋体" w:eastAsia="宋体"/>
                <w:bCs/>
                <w:kern w:val="0"/>
                <w:sz w:val="24"/>
                <w:szCs w:val="28"/>
                <w:highlight w:val="none"/>
              </w:rPr>
            </w:pPr>
            <w:r>
              <w:rPr>
                <w:rFonts w:hint="eastAsia" w:ascii="宋体" w:hAnsi="宋体" w:eastAsia="宋体"/>
                <w:bCs/>
                <w:kern w:val="0"/>
                <w:sz w:val="24"/>
                <w:szCs w:val="28"/>
                <w:highlight w:val="none"/>
              </w:rPr>
              <w:t>（1）金额：</w:t>
            </w:r>
          </w:p>
          <w:p w14:paraId="395719A7">
            <w:pPr>
              <w:spacing w:line="360" w:lineRule="auto"/>
              <w:rPr>
                <w:rFonts w:ascii="宋体" w:hAnsi="宋体" w:eastAsia="宋体"/>
                <w:bCs/>
                <w:kern w:val="0"/>
                <w:sz w:val="24"/>
                <w:szCs w:val="28"/>
                <w:highlight w:val="none"/>
              </w:rPr>
            </w:pPr>
            <w:r>
              <w:rPr>
                <w:rFonts w:hint="eastAsia" w:ascii="宋体" w:hAnsi="宋体" w:eastAsia="宋体"/>
                <w:bCs/>
                <w:kern w:val="0"/>
                <w:sz w:val="24"/>
                <w:szCs w:val="28"/>
                <w:highlight w:val="none"/>
              </w:rPr>
              <w:t>☑免收</w:t>
            </w:r>
          </w:p>
          <w:p w14:paraId="349E5427">
            <w:pPr>
              <w:spacing w:line="360" w:lineRule="auto"/>
              <w:rPr>
                <w:rFonts w:ascii="宋体" w:hAnsi="宋体" w:eastAsia="宋体"/>
                <w:bCs/>
                <w:kern w:val="0"/>
                <w:sz w:val="24"/>
                <w:szCs w:val="28"/>
                <w:highlight w:val="none"/>
              </w:rPr>
            </w:pPr>
            <w:r>
              <w:rPr>
                <w:rFonts w:hint="eastAsia" w:ascii="宋体" w:hAnsi="宋体" w:eastAsia="宋体"/>
                <w:bCs/>
                <w:kern w:val="0"/>
                <w:sz w:val="24"/>
                <w:szCs w:val="28"/>
                <w:highlight w:val="none"/>
              </w:rPr>
              <w:t>□合同价的</w:t>
            </w:r>
            <w:r>
              <w:rPr>
                <w:rFonts w:hint="eastAsia" w:ascii="宋体" w:hAnsi="宋体" w:eastAsia="宋体"/>
                <w:bCs/>
                <w:kern w:val="0"/>
                <w:sz w:val="24"/>
                <w:szCs w:val="28"/>
                <w:highlight w:val="none"/>
                <w:u w:val="single"/>
              </w:rPr>
              <w:t xml:space="preserve"> / </w:t>
            </w:r>
            <w:r>
              <w:rPr>
                <w:rFonts w:ascii="宋体" w:hAnsi="宋体" w:eastAsia="宋体"/>
                <w:bCs/>
                <w:kern w:val="0"/>
                <w:sz w:val="24"/>
                <w:szCs w:val="28"/>
                <w:highlight w:val="none"/>
              </w:rPr>
              <w:t>%</w:t>
            </w:r>
          </w:p>
          <w:p w14:paraId="1555F7A9">
            <w:pPr>
              <w:spacing w:line="360" w:lineRule="auto"/>
              <w:rPr>
                <w:rFonts w:ascii="宋体" w:hAnsi="宋体" w:eastAsia="宋体"/>
                <w:bCs/>
                <w:kern w:val="0"/>
                <w:sz w:val="24"/>
                <w:szCs w:val="28"/>
                <w:highlight w:val="none"/>
              </w:rPr>
            </w:pPr>
            <w:r>
              <w:rPr>
                <w:rFonts w:ascii="宋体" w:hAnsi="宋体" w:eastAsia="宋体"/>
                <w:bCs/>
                <w:kern w:val="0"/>
                <w:sz w:val="24"/>
                <w:szCs w:val="28"/>
                <w:highlight w:val="none"/>
              </w:rPr>
              <w:t>□</w:t>
            </w:r>
            <w:r>
              <w:rPr>
                <w:rFonts w:hint="eastAsia" w:ascii="宋体" w:hAnsi="宋体" w:eastAsia="宋体"/>
                <w:bCs/>
                <w:kern w:val="0"/>
                <w:sz w:val="24"/>
                <w:szCs w:val="28"/>
                <w:highlight w:val="none"/>
              </w:rPr>
              <w:t>定额收取：人民币元</w:t>
            </w:r>
          </w:p>
          <w:p w14:paraId="2E1A9849">
            <w:pPr>
              <w:spacing w:line="360" w:lineRule="auto"/>
              <w:rPr>
                <w:rFonts w:ascii="宋体" w:hAnsi="宋体" w:eastAsia="宋体"/>
                <w:bCs/>
                <w:kern w:val="0"/>
                <w:sz w:val="24"/>
                <w:szCs w:val="28"/>
                <w:highlight w:val="none"/>
              </w:rPr>
            </w:pPr>
            <w:r>
              <w:rPr>
                <w:rFonts w:hint="eastAsia" w:ascii="宋体" w:hAnsi="宋体" w:eastAsia="宋体"/>
                <w:bCs/>
                <w:kern w:val="0"/>
                <w:sz w:val="24"/>
                <w:szCs w:val="28"/>
                <w:highlight w:val="none"/>
              </w:rPr>
              <w:t>（2）支付方式：</w:t>
            </w:r>
          </w:p>
          <w:p w14:paraId="5AC15F3C">
            <w:pPr>
              <w:spacing w:line="360" w:lineRule="auto"/>
              <w:rPr>
                <w:rFonts w:ascii="宋体" w:hAnsi="宋体" w:eastAsia="宋体"/>
                <w:bCs/>
                <w:kern w:val="0"/>
                <w:sz w:val="24"/>
                <w:szCs w:val="28"/>
                <w:highlight w:val="none"/>
              </w:rPr>
            </w:pPr>
            <w:r>
              <w:rPr>
                <w:rFonts w:hint="eastAsia" w:ascii="宋体" w:hAnsi="宋体" w:eastAsia="宋体"/>
                <w:bCs/>
                <w:kern w:val="0"/>
                <w:sz w:val="24"/>
                <w:szCs w:val="28"/>
                <w:highlight w:val="none"/>
              </w:rPr>
              <w:sym w:font="Wingdings" w:char="00FE"/>
            </w:r>
            <w:r>
              <w:rPr>
                <w:rFonts w:ascii="宋体" w:hAnsi="宋体" w:eastAsia="宋体"/>
                <w:bCs/>
                <w:kern w:val="0"/>
                <w:sz w:val="24"/>
                <w:szCs w:val="28"/>
                <w:highlight w:val="none"/>
              </w:rPr>
              <w:t>转账/电汇</w:t>
            </w:r>
            <w:r>
              <w:rPr>
                <w:rFonts w:hint="eastAsia" w:ascii="宋体" w:hAnsi="宋体" w:eastAsia="宋体"/>
                <w:bCs/>
                <w:kern w:val="0"/>
                <w:sz w:val="24"/>
                <w:szCs w:val="28"/>
                <w:highlight w:val="none"/>
              </w:rPr>
              <w:sym w:font="Wingdings" w:char="00FE"/>
            </w:r>
            <w:r>
              <w:rPr>
                <w:rFonts w:ascii="宋体" w:hAnsi="宋体" w:eastAsia="宋体"/>
                <w:bCs/>
                <w:kern w:val="0"/>
                <w:sz w:val="24"/>
                <w:szCs w:val="28"/>
                <w:highlight w:val="none"/>
              </w:rPr>
              <w:t xml:space="preserve">支票 </w:t>
            </w:r>
            <w:r>
              <w:rPr>
                <w:rFonts w:hint="eastAsia" w:ascii="宋体" w:hAnsi="宋体" w:eastAsia="宋体"/>
                <w:bCs/>
                <w:kern w:val="0"/>
                <w:sz w:val="24"/>
                <w:szCs w:val="28"/>
                <w:highlight w:val="none"/>
              </w:rPr>
              <w:sym w:font="Wingdings" w:char="00FE"/>
            </w:r>
            <w:r>
              <w:rPr>
                <w:rFonts w:ascii="宋体" w:hAnsi="宋体" w:eastAsia="宋体"/>
                <w:bCs/>
                <w:kern w:val="0"/>
                <w:sz w:val="24"/>
                <w:szCs w:val="28"/>
                <w:highlight w:val="none"/>
              </w:rPr>
              <w:t>汇票</w:t>
            </w:r>
            <w:r>
              <w:rPr>
                <w:rFonts w:hint="eastAsia" w:ascii="宋体" w:hAnsi="宋体" w:eastAsia="宋体"/>
                <w:bCs/>
                <w:kern w:val="0"/>
                <w:sz w:val="24"/>
                <w:szCs w:val="28"/>
                <w:highlight w:val="none"/>
              </w:rPr>
              <w:sym w:font="Wingdings" w:char="00FE"/>
            </w:r>
            <w:r>
              <w:rPr>
                <w:rFonts w:hint="eastAsia" w:ascii="宋体" w:hAnsi="宋体" w:eastAsia="宋体"/>
                <w:bCs/>
                <w:kern w:val="0"/>
                <w:sz w:val="24"/>
                <w:szCs w:val="28"/>
                <w:highlight w:val="none"/>
              </w:rPr>
              <w:t xml:space="preserve">本票 </w:t>
            </w:r>
            <w:r>
              <w:rPr>
                <w:rFonts w:hint="eastAsia" w:ascii="宋体" w:hAnsi="宋体" w:eastAsia="宋体"/>
                <w:bCs/>
                <w:kern w:val="0"/>
                <w:sz w:val="24"/>
                <w:szCs w:val="28"/>
                <w:highlight w:val="none"/>
              </w:rPr>
              <w:sym w:font="Wingdings" w:char="00FE"/>
            </w:r>
            <w:r>
              <w:rPr>
                <w:rFonts w:ascii="宋体" w:hAnsi="宋体" w:eastAsia="宋体"/>
                <w:bCs/>
                <w:kern w:val="0"/>
                <w:sz w:val="24"/>
                <w:szCs w:val="28"/>
                <w:highlight w:val="none"/>
              </w:rPr>
              <w:t>保</w:t>
            </w:r>
            <w:r>
              <w:rPr>
                <w:rFonts w:hint="eastAsia" w:ascii="宋体" w:hAnsi="宋体" w:eastAsia="宋体"/>
                <w:bCs/>
                <w:kern w:val="0"/>
                <w:sz w:val="24"/>
                <w:szCs w:val="28"/>
                <w:highlight w:val="none"/>
              </w:rPr>
              <w:t xml:space="preserve">险 </w:t>
            </w:r>
            <w:r>
              <w:rPr>
                <w:rFonts w:hint="eastAsia" w:ascii="宋体" w:hAnsi="宋体" w:eastAsia="宋体"/>
                <w:bCs/>
                <w:kern w:val="0"/>
                <w:sz w:val="24"/>
                <w:szCs w:val="28"/>
                <w:highlight w:val="none"/>
              </w:rPr>
              <w:sym w:font="Wingdings" w:char="00FE"/>
            </w:r>
            <w:r>
              <w:rPr>
                <w:rFonts w:hint="eastAsia" w:ascii="宋体" w:hAnsi="宋体" w:eastAsia="宋体"/>
                <w:bCs/>
                <w:kern w:val="0"/>
                <w:sz w:val="24"/>
                <w:szCs w:val="28"/>
                <w:highlight w:val="none"/>
              </w:rPr>
              <w:t>保</w:t>
            </w:r>
            <w:r>
              <w:rPr>
                <w:rFonts w:ascii="宋体" w:hAnsi="宋体" w:eastAsia="宋体"/>
                <w:bCs/>
                <w:kern w:val="0"/>
                <w:sz w:val="24"/>
                <w:szCs w:val="28"/>
                <w:highlight w:val="none"/>
              </w:rPr>
              <w:t>函</w:t>
            </w:r>
          </w:p>
          <w:p w14:paraId="0B15427C">
            <w:pPr>
              <w:spacing w:line="360" w:lineRule="auto"/>
              <w:rPr>
                <w:rFonts w:ascii="宋体" w:hAnsi="宋体" w:eastAsia="宋体"/>
                <w:bCs/>
                <w:kern w:val="0"/>
                <w:sz w:val="24"/>
                <w:szCs w:val="28"/>
                <w:highlight w:val="none"/>
              </w:rPr>
            </w:pPr>
            <w:r>
              <w:rPr>
                <w:rFonts w:hint="eastAsia" w:ascii="宋体" w:hAnsi="宋体" w:eastAsia="宋体"/>
                <w:bCs/>
                <w:kern w:val="0"/>
                <w:sz w:val="24"/>
                <w:szCs w:val="28"/>
                <w:highlight w:val="none"/>
              </w:rPr>
              <w:t>（3）收取单位：</w:t>
            </w:r>
            <w:r>
              <w:rPr>
                <w:rFonts w:hint="eastAsia" w:ascii="宋体" w:hAnsi="宋体" w:eastAsia="宋体" w:cs="宋体"/>
                <w:bCs/>
                <w:kern w:val="0"/>
                <w:sz w:val="24"/>
                <w:szCs w:val="28"/>
                <w:highlight w:val="none"/>
              </w:rPr>
              <w:t>淮南师范学院</w:t>
            </w:r>
          </w:p>
          <w:p w14:paraId="6F1D0A8F">
            <w:pPr>
              <w:spacing w:line="360" w:lineRule="auto"/>
              <w:rPr>
                <w:rFonts w:ascii="宋体" w:hAnsi="宋体" w:eastAsia="宋体"/>
                <w:bCs/>
                <w:kern w:val="0"/>
                <w:sz w:val="24"/>
                <w:szCs w:val="28"/>
                <w:highlight w:val="none"/>
              </w:rPr>
            </w:pPr>
            <w:r>
              <w:rPr>
                <w:rFonts w:hint="eastAsia" w:ascii="宋体" w:hAnsi="宋体" w:eastAsia="宋体"/>
                <w:bCs/>
                <w:kern w:val="0"/>
                <w:sz w:val="24"/>
                <w:szCs w:val="28"/>
                <w:highlight w:val="none"/>
              </w:rPr>
              <w:t>（4）收取账号：</w:t>
            </w:r>
            <w:r>
              <w:rPr>
                <w:rFonts w:hint="eastAsia" w:ascii="宋体" w:hAnsi="宋体" w:eastAsia="宋体" w:cs="宋体"/>
                <w:bCs/>
                <w:kern w:val="0"/>
                <w:sz w:val="24"/>
                <w:szCs w:val="28"/>
                <w:highlight w:val="none"/>
              </w:rPr>
              <w:t>中国农业银行股份有限公司淮南分行12609001040001771</w:t>
            </w:r>
          </w:p>
          <w:p w14:paraId="68D1317D">
            <w:pPr>
              <w:spacing w:line="360" w:lineRule="auto"/>
              <w:rPr>
                <w:rFonts w:ascii="宋体" w:hAnsi="宋体" w:eastAsia="宋体"/>
                <w:sz w:val="24"/>
                <w:highlight w:val="none"/>
              </w:rPr>
            </w:pPr>
            <w:r>
              <w:rPr>
                <w:rFonts w:hint="eastAsia" w:ascii="宋体" w:hAnsi="宋体" w:eastAsia="宋体"/>
                <w:bCs/>
                <w:kern w:val="0"/>
                <w:sz w:val="24"/>
                <w:szCs w:val="28"/>
                <w:highlight w:val="none"/>
              </w:rPr>
              <w:t>（5）</w:t>
            </w:r>
            <w:r>
              <w:rPr>
                <w:rFonts w:hint="eastAsia" w:ascii="宋体" w:hAnsi="宋体" w:eastAsia="宋体"/>
                <w:sz w:val="24"/>
                <w:highlight w:val="none"/>
              </w:rPr>
              <w:t>退还时间：</w:t>
            </w:r>
            <w:r>
              <w:rPr>
                <w:rFonts w:hint="eastAsia" w:ascii="宋体" w:hAnsi="宋体" w:eastAsia="宋体" w:cs="宋体"/>
                <w:sz w:val="24"/>
                <w:highlight w:val="none"/>
              </w:rPr>
              <w:t>验收合格后退还</w:t>
            </w:r>
          </w:p>
          <w:p w14:paraId="144E10EF">
            <w:pPr>
              <w:spacing w:line="360" w:lineRule="auto"/>
              <w:rPr>
                <w:rFonts w:ascii="宋体" w:hAnsi="宋体" w:eastAsia="宋体"/>
                <w:b/>
                <w:bCs/>
                <w:kern w:val="0"/>
                <w:sz w:val="24"/>
                <w:szCs w:val="24"/>
                <w:highlight w:val="none"/>
              </w:rPr>
            </w:pPr>
            <w:r>
              <w:rPr>
                <w:rFonts w:hint="eastAsia" w:ascii="宋体" w:hAnsi="宋体" w:eastAsia="宋体"/>
                <w:b/>
                <w:bCs/>
                <w:kern w:val="0"/>
                <w:sz w:val="24"/>
                <w:szCs w:val="24"/>
                <w:highlight w:val="none"/>
              </w:rPr>
              <w:t>注意事项：</w:t>
            </w:r>
          </w:p>
          <w:p w14:paraId="674BC3A8">
            <w:pPr>
              <w:spacing w:line="360" w:lineRule="auto"/>
              <w:rPr>
                <w:rFonts w:ascii="宋体" w:hAnsi="宋体" w:eastAsia="宋体"/>
                <w:b/>
                <w:bCs/>
                <w:kern w:val="0"/>
                <w:sz w:val="24"/>
                <w:szCs w:val="24"/>
                <w:highlight w:val="none"/>
              </w:rPr>
            </w:pPr>
            <w:r>
              <w:rPr>
                <w:rFonts w:hint="eastAsia" w:ascii="宋体" w:hAnsi="宋体" w:eastAsia="宋体"/>
                <w:b/>
                <w:bCs/>
                <w:kern w:val="0"/>
                <w:sz w:val="24"/>
                <w:szCs w:val="24"/>
                <w:highlight w:val="none"/>
              </w:rPr>
              <w:t>（1）以上各类机构出具的以担保函、保证保险承担责任的方式均须满足无条件见索即付条件。</w:t>
            </w:r>
          </w:p>
          <w:p w14:paraId="0E9E73EC">
            <w:pPr>
              <w:spacing w:line="360" w:lineRule="auto"/>
              <w:rPr>
                <w:rFonts w:ascii="宋体" w:hAnsi="宋体" w:eastAsia="宋体"/>
                <w:b/>
                <w:bCs/>
                <w:kern w:val="0"/>
                <w:sz w:val="24"/>
                <w:szCs w:val="24"/>
                <w:highlight w:val="none"/>
              </w:rPr>
            </w:pPr>
            <w:r>
              <w:rPr>
                <w:rFonts w:hint="eastAsia" w:ascii="宋体" w:hAnsi="宋体" w:eastAsia="宋体"/>
                <w:b/>
                <w:bCs/>
                <w:kern w:val="0"/>
                <w:sz w:val="24"/>
                <w:szCs w:val="24"/>
                <w:highlight w:val="none"/>
              </w:rPr>
              <w:t>（2）以担保函、保证保险形式缴纳履约保证金的，受益人和收取单位须为采购人。</w:t>
            </w:r>
          </w:p>
        </w:tc>
      </w:tr>
      <w:tr w14:paraId="48C03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581" w:type="pct"/>
            <w:vAlign w:val="center"/>
          </w:tcPr>
          <w:p w14:paraId="0E8A8B9F">
            <w:pPr>
              <w:pStyle w:val="35"/>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27</w:t>
            </w:r>
            <w:r>
              <w:rPr>
                <w:rFonts w:ascii="宋体" w:hAnsi="宋体" w:eastAsia="宋体"/>
                <w:bCs/>
                <w:kern w:val="2"/>
                <w:highlight w:val="none"/>
              </w:rPr>
              <w:t>.1</w:t>
            </w:r>
          </w:p>
        </w:tc>
        <w:tc>
          <w:tcPr>
            <w:tcW w:w="851" w:type="pct"/>
            <w:vAlign w:val="center"/>
          </w:tcPr>
          <w:p w14:paraId="1E74C734">
            <w:pPr>
              <w:pStyle w:val="34"/>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签订合同和合同公告时间</w:t>
            </w:r>
          </w:p>
        </w:tc>
        <w:tc>
          <w:tcPr>
            <w:tcW w:w="3567" w:type="pct"/>
          </w:tcPr>
          <w:p w14:paraId="4A28A19C">
            <w:pPr>
              <w:pStyle w:val="21"/>
              <w:widowControl/>
              <w:spacing w:before="0" w:beforeAutospacing="0" w:after="0" w:afterAutospacing="0" w:line="360" w:lineRule="auto"/>
              <w:rPr>
                <w:rFonts w:ascii="宋体" w:hAnsi="宋体" w:eastAsia="宋体" w:cs="宋体"/>
                <w:szCs w:val="24"/>
                <w:highlight w:val="none"/>
              </w:rPr>
            </w:pPr>
            <w:r>
              <w:rPr>
                <w:rFonts w:hint="eastAsia" w:ascii="宋体" w:hAnsi="宋体" w:eastAsia="宋体" w:cs="宋体"/>
                <w:szCs w:val="24"/>
                <w:highlight w:val="none"/>
              </w:rPr>
              <w:t>（1）采购人与中标人应当自发出中标通知书之日起7个工作日内签订合同，采购合同签订之日起2个工作日内完成政府采购合同公开。</w:t>
            </w:r>
          </w:p>
          <w:p w14:paraId="0C979197">
            <w:pPr>
              <w:pStyle w:val="21"/>
              <w:widowControl/>
              <w:spacing w:before="0" w:beforeAutospacing="0" w:after="0" w:afterAutospacing="0" w:line="360" w:lineRule="auto"/>
              <w:rPr>
                <w:rFonts w:ascii="宋体" w:hAnsi="宋体" w:eastAsia="宋体"/>
                <w:b/>
                <w:bCs/>
                <w:szCs w:val="24"/>
                <w:highlight w:val="none"/>
              </w:rPr>
            </w:pPr>
            <w:r>
              <w:rPr>
                <w:rFonts w:hint="eastAsia" w:ascii="宋体" w:hAnsi="宋体" w:eastAsia="宋体" w:cs="宋体"/>
                <w:szCs w:val="24"/>
                <w:highlight w:val="none"/>
              </w:rPr>
              <w:t>（2）采购人与中标人</w:t>
            </w:r>
            <w:r>
              <w:rPr>
                <w:rFonts w:ascii="宋体" w:hAnsi="宋体" w:eastAsia="宋体" w:cs="宋体"/>
                <w:szCs w:val="24"/>
                <w:highlight w:val="none"/>
              </w:rPr>
              <w:t>不得擅自变更合同，依照政府采购法确需变更政府采购合同内容的，采购人应当自合同变更之日起2个工作日内</w:t>
            </w:r>
            <w:r>
              <w:rPr>
                <w:rFonts w:hint="eastAsia" w:ascii="宋体" w:hAnsi="宋体" w:eastAsia="宋体" w:cs="宋体"/>
                <w:szCs w:val="24"/>
                <w:highlight w:val="none"/>
              </w:rPr>
              <w:t>在安徽省政府采购网</w:t>
            </w:r>
            <w:r>
              <w:rPr>
                <w:rFonts w:ascii="宋体" w:hAnsi="宋体" w:eastAsia="宋体" w:cs="宋体"/>
                <w:szCs w:val="24"/>
                <w:highlight w:val="none"/>
              </w:rPr>
              <w:t>发布政府采购合同变更公告</w:t>
            </w:r>
            <w:r>
              <w:rPr>
                <w:rFonts w:hint="eastAsia" w:ascii="宋体" w:hAnsi="宋体" w:eastAsia="宋体" w:cs="宋体"/>
                <w:szCs w:val="24"/>
                <w:highlight w:val="none"/>
              </w:rPr>
              <w:t>，</w:t>
            </w:r>
            <w:r>
              <w:rPr>
                <w:rFonts w:ascii="宋体" w:hAnsi="宋体" w:eastAsia="宋体" w:cs="宋体"/>
                <w:szCs w:val="24"/>
                <w:highlight w:val="none"/>
              </w:rPr>
              <w:t>但涉及国家秘密、商业秘密的信息和其他依法不得公开的信息除外。</w:t>
            </w:r>
          </w:p>
        </w:tc>
      </w:tr>
      <w:tr w14:paraId="3F29E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54689B5E">
            <w:pPr>
              <w:pStyle w:val="35"/>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28</w:t>
            </w:r>
            <w:r>
              <w:rPr>
                <w:rFonts w:ascii="宋体" w:hAnsi="宋体" w:eastAsia="宋体"/>
                <w:bCs/>
                <w:kern w:val="2"/>
                <w:highlight w:val="none"/>
              </w:rPr>
              <w:t>.1</w:t>
            </w:r>
          </w:p>
        </w:tc>
        <w:tc>
          <w:tcPr>
            <w:tcW w:w="851" w:type="pct"/>
            <w:vAlign w:val="center"/>
          </w:tcPr>
          <w:p w14:paraId="1EB1A34D">
            <w:pPr>
              <w:pStyle w:val="34"/>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代理费用</w:t>
            </w:r>
          </w:p>
        </w:tc>
        <w:tc>
          <w:tcPr>
            <w:tcW w:w="3567" w:type="pct"/>
            <w:vAlign w:val="center"/>
          </w:tcPr>
          <w:p w14:paraId="301E32F8">
            <w:pPr>
              <w:spacing w:before="39" w:line="360" w:lineRule="auto"/>
              <w:rPr>
                <w:rFonts w:ascii="宋体" w:hAnsi="宋体" w:eastAsia="宋体" w:cs="宋体"/>
                <w:sz w:val="24"/>
                <w:szCs w:val="24"/>
                <w:highlight w:val="none"/>
              </w:rPr>
            </w:pPr>
            <w:r>
              <w:rPr>
                <w:rFonts w:hint="eastAsia" w:ascii="宋体" w:hAnsi="宋体" w:eastAsia="宋体"/>
                <w:bCs/>
                <w:kern w:val="0"/>
                <w:sz w:val="24"/>
                <w:szCs w:val="28"/>
                <w:highlight w:val="none"/>
              </w:rPr>
              <w:t>（1）</w:t>
            </w:r>
            <w:r>
              <w:rPr>
                <w:rFonts w:ascii="宋体" w:hAnsi="宋体" w:eastAsia="宋体"/>
                <w:bCs/>
                <w:kern w:val="0"/>
                <w:sz w:val="24"/>
                <w:szCs w:val="28"/>
                <w:highlight w:val="none"/>
              </w:rPr>
              <w:t>收费对象</w:t>
            </w:r>
            <w:r>
              <w:rPr>
                <w:rFonts w:ascii="宋体" w:hAnsi="宋体" w:eastAsia="宋体" w:cs="宋体"/>
                <w:spacing w:val="-12"/>
                <w:sz w:val="24"/>
                <w:szCs w:val="24"/>
                <w:highlight w:val="none"/>
              </w:rPr>
              <w:t>：</w:t>
            </w:r>
            <w:r>
              <w:rPr>
                <w:rFonts w:hint="eastAsia" w:ascii="宋体" w:hAnsi="宋体" w:eastAsia="宋体"/>
                <w:bCs/>
                <w:kern w:val="0"/>
                <w:sz w:val="24"/>
                <w:szCs w:val="28"/>
                <w:highlight w:val="none"/>
              </w:rPr>
              <w:sym w:font="Wingdings" w:char="00A8"/>
            </w:r>
            <w:r>
              <w:rPr>
                <w:rFonts w:ascii="宋体" w:hAnsi="宋体" w:eastAsia="宋体" w:cs="宋体"/>
                <w:spacing w:val="14"/>
                <w:sz w:val="24"/>
                <w:szCs w:val="24"/>
                <w:highlight w:val="none"/>
              </w:rPr>
              <w:t>采购人</w:t>
            </w:r>
            <w:r>
              <w:rPr>
                <w:rFonts w:hint="eastAsia" w:ascii="宋体" w:hAnsi="宋体" w:eastAsia="宋体"/>
                <w:bCs/>
                <w:kern w:val="0"/>
                <w:sz w:val="24"/>
                <w:szCs w:val="28"/>
                <w:highlight w:val="none"/>
              </w:rPr>
              <w:sym w:font="Wingdings" w:char="00FE"/>
            </w:r>
            <w:r>
              <w:rPr>
                <w:rFonts w:ascii="宋体" w:hAnsi="宋体" w:eastAsia="宋体" w:cs="宋体"/>
                <w:spacing w:val="14"/>
                <w:sz w:val="24"/>
                <w:szCs w:val="24"/>
                <w:highlight w:val="none"/>
              </w:rPr>
              <w:t>中标人</w:t>
            </w:r>
          </w:p>
          <w:p w14:paraId="2C2ED1AE">
            <w:pPr>
              <w:spacing w:before="24" w:line="360" w:lineRule="auto"/>
              <w:rPr>
                <w:rFonts w:ascii="宋体" w:hAnsi="宋体" w:eastAsia="宋体"/>
                <w:bCs/>
                <w:kern w:val="0"/>
                <w:sz w:val="24"/>
                <w:szCs w:val="28"/>
                <w:highlight w:val="none"/>
              </w:rPr>
            </w:pPr>
            <w:r>
              <w:rPr>
                <w:rFonts w:hint="eastAsia" w:ascii="宋体" w:hAnsi="宋体" w:eastAsia="宋体"/>
                <w:bCs/>
                <w:kern w:val="0"/>
                <w:sz w:val="24"/>
                <w:szCs w:val="28"/>
                <w:highlight w:val="none"/>
              </w:rPr>
              <w:t>（2）</w:t>
            </w:r>
            <w:r>
              <w:rPr>
                <w:rFonts w:ascii="宋体" w:hAnsi="宋体" w:eastAsia="宋体"/>
                <w:bCs/>
                <w:kern w:val="0"/>
                <w:sz w:val="24"/>
                <w:szCs w:val="28"/>
                <w:highlight w:val="none"/>
              </w:rPr>
              <w:t>收取方式</w:t>
            </w:r>
            <w:r>
              <w:rPr>
                <w:rFonts w:ascii="宋体" w:hAnsi="宋体" w:eastAsia="宋体" w:cs="宋体"/>
                <w:sz w:val="24"/>
                <w:szCs w:val="24"/>
                <w:highlight w:val="none"/>
              </w:rPr>
              <w:t>：</w:t>
            </w:r>
            <w:r>
              <w:rPr>
                <w:rFonts w:hint="eastAsia" w:ascii="宋体" w:hAnsi="宋体" w:eastAsia="宋体" w:cs="宋体"/>
                <w:bCs/>
                <w:kern w:val="0"/>
                <w:sz w:val="24"/>
                <w:szCs w:val="28"/>
                <w:highlight w:val="none"/>
              </w:rPr>
              <w:t>转账/电汇</w:t>
            </w:r>
          </w:p>
          <w:p w14:paraId="062116AA">
            <w:pPr>
              <w:pStyle w:val="34"/>
              <w:widowControl w:val="0"/>
              <w:spacing w:before="0" w:beforeAutospacing="0" w:after="0" w:afterAutospacing="0" w:line="360" w:lineRule="auto"/>
              <w:jc w:val="both"/>
              <w:rPr>
                <w:rFonts w:ascii="宋体" w:hAnsi="宋体" w:eastAsia="宋体" w:cs="宋体"/>
                <w:b w:val="0"/>
                <w:sz w:val="24"/>
                <w:highlight w:val="none"/>
              </w:rPr>
            </w:pPr>
            <w:r>
              <w:rPr>
                <w:rFonts w:hint="eastAsia" w:ascii="宋体" w:hAnsi="宋体" w:eastAsia="宋体" w:cs="宋体"/>
                <w:b w:val="0"/>
                <w:bCs w:val="0"/>
                <w:sz w:val="24"/>
                <w:highlight w:val="none"/>
              </w:rPr>
              <w:t>（3）</w:t>
            </w:r>
            <w:r>
              <w:rPr>
                <w:rFonts w:hint="eastAsia" w:ascii="宋体" w:hAnsi="宋体" w:eastAsia="宋体" w:cs="宋体"/>
                <w:b w:val="0"/>
                <w:sz w:val="24"/>
                <w:highlight w:val="none"/>
              </w:rPr>
              <w:t>收费标准：参照《招标代理服务收费管理暂行办法》（计价格[2002]1980号）规定基数，(1）采购预算在50-100万元(含）的项目，代理服务费下浮20%;(2)采购预算在100-600万元(含)的项目，代理服务费下浮20%。</w:t>
            </w:r>
          </w:p>
          <w:p w14:paraId="4048D36B">
            <w:pPr>
              <w:pStyle w:val="34"/>
              <w:widowControl w:val="0"/>
              <w:spacing w:before="0" w:beforeAutospacing="0" w:after="0" w:afterAutospacing="0" w:line="360" w:lineRule="auto"/>
              <w:jc w:val="both"/>
              <w:rPr>
                <w:rFonts w:ascii="宋体" w:hAnsi="宋体" w:eastAsia="宋体" w:cs="宋体"/>
                <w:b w:val="0"/>
                <w:sz w:val="24"/>
                <w:highlight w:val="none"/>
              </w:rPr>
            </w:pPr>
            <w:r>
              <w:rPr>
                <w:rFonts w:hint="eastAsia" w:ascii="宋体" w:hAnsi="宋体" w:eastAsia="宋体" w:cs="宋体"/>
                <w:b w:val="0"/>
                <w:sz w:val="24"/>
                <w:highlight w:val="none"/>
              </w:rPr>
              <w:t>（4）收取账号：</w:t>
            </w:r>
          </w:p>
          <w:p w14:paraId="5A6BDC16">
            <w:pPr>
              <w:pStyle w:val="34"/>
              <w:widowControl w:val="0"/>
              <w:spacing w:before="0" w:beforeAutospacing="0" w:after="0" w:afterAutospacing="0" w:line="360" w:lineRule="auto"/>
              <w:jc w:val="both"/>
              <w:rPr>
                <w:rFonts w:ascii="宋体" w:hAnsi="宋体" w:eastAsia="宋体" w:cs="宋体"/>
                <w:b w:val="0"/>
                <w:sz w:val="24"/>
                <w:highlight w:val="none"/>
              </w:rPr>
            </w:pPr>
            <w:r>
              <w:rPr>
                <w:rFonts w:hint="eastAsia" w:ascii="宋体" w:hAnsi="宋体" w:eastAsia="宋体" w:cs="宋体"/>
                <w:b w:val="0"/>
                <w:sz w:val="24"/>
                <w:highlight w:val="none"/>
              </w:rPr>
              <w:t>开户名称：安徽安天利信工程管理股份有限公司</w:t>
            </w:r>
          </w:p>
          <w:p w14:paraId="32FD2168">
            <w:pPr>
              <w:pStyle w:val="34"/>
              <w:widowControl w:val="0"/>
              <w:spacing w:before="0" w:beforeAutospacing="0" w:after="0" w:afterAutospacing="0" w:line="360" w:lineRule="auto"/>
              <w:jc w:val="both"/>
              <w:rPr>
                <w:rFonts w:ascii="宋体" w:hAnsi="宋体" w:eastAsia="宋体" w:cs="宋体"/>
                <w:b w:val="0"/>
                <w:sz w:val="24"/>
                <w:highlight w:val="none"/>
              </w:rPr>
            </w:pPr>
            <w:r>
              <w:rPr>
                <w:rFonts w:hint="eastAsia" w:ascii="宋体" w:hAnsi="宋体" w:eastAsia="宋体" w:cs="宋体"/>
                <w:b w:val="0"/>
                <w:sz w:val="24"/>
                <w:highlight w:val="none"/>
              </w:rPr>
              <w:t>开户银行：招行合肥高新区支行</w:t>
            </w:r>
          </w:p>
          <w:p w14:paraId="17AF2DD9">
            <w:pPr>
              <w:pStyle w:val="34"/>
              <w:widowControl w:val="0"/>
              <w:spacing w:before="0" w:beforeAutospacing="0" w:after="0" w:afterAutospacing="0" w:line="360" w:lineRule="auto"/>
              <w:jc w:val="both"/>
              <w:rPr>
                <w:rFonts w:ascii="宋体" w:hAnsi="宋体" w:eastAsia="宋体" w:cs="宋体"/>
                <w:b w:val="0"/>
                <w:sz w:val="24"/>
                <w:highlight w:val="none"/>
              </w:rPr>
            </w:pPr>
            <w:r>
              <w:rPr>
                <w:rFonts w:hint="eastAsia" w:ascii="宋体" w:hAnsi="宋体" w:eastAsia="宋体" w:cs="宋体"/>
                <w:b w:val="0"/>
                <w:sz w:val="24"/>
                <w:highlight w:val="none"/>
              </w:rPr>
              <w:t>帐    号：5519 0430 8510 501</w:t>
            </w:r>
          </w:p>
          <w:p w14:paraId="33AE7C74">
            <w:pPr>
              <w:pStyle w:val="34"/>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cs="宋体"/>
                <w:b w:val="0"/>
                <w:sz w:val="24"/>
                <w:highlight w:val="none"/>
              </w:rPr>
              <w:t>注:供应商投标前应综合考虑代理服务费，并计入投标报价中但不得单列。</w:t>
            </w:r>
          </w:p>
        </w:tc>
      </w:tr>
      <w:tr w14:paraId="7DDCE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1207773">
            <w:pPr>
              <w:pStyle w:val="35"/>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31</w:t>
            </w:r>
            <w:r>
              <w:rPr>
                <w:rFonts w:ascii="宋体" w:hAnsi="宋体" w:eastAsia="宋体"/>
                <w:bCs/>
                <w:kern w:val="2"/>
                <w:highlight w:val="none"/>
              </w:rPr>
              <w:t>.</w:t>
            </w:r>
            <w:r>
              <w:rPr>
                <w:rFonts w:hint="eastAsia" w:ascii="宋体" w:hAnsi="宋体" w:eastAsia="宋体"/>
                <w:bCs/>
                <w:kern w:val="2"/>
                <w:highlight w:val="none"/>
              </w:rPr>
              <w:t>3</w:t>
            </w:r>
          </w:p>
        </w:tc>
        <w:tc>
          <w:tcPr>
            <w:tcW w:w="851" w:type="pct"/>
            <w:vAlign w:val="center"/>
          </w:tcPr>
          <w:p w14:paraId="1CA6AEA8">
            <w:pPr>
              <w:pStyle w:val="34"/>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质疑函递交方式</w:t>
            </w:r>
          </w:p>
        </w:tc>
        <w:tc>
          <w:tcPr>
            <w:tcW w:w="3567" w:type="pct"/>
            <w:vAlign w:val="center"/>
          </w:tcPr>
          <w:p w14:paraId="063AD8F9">
            <w:pPr>
              <w:pStyle w:val="34"/>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cs="宋体"/>
                <w:b w:val="0"/>
                <w:sz w:val="24"/>
                <w:highlight w:val="none"/>
              </w:rPr>
              <w:t>以电子邮件形式（电子邮箱qli@ahbidding.com）或在采购文件规定的时间内登录交易系统选择异议模块，查找选择本项目按规定进行填写疑问或异议内容，并上传相应附件。</w:t>
            </w:r>
          </w:p>
        </w:tc>
      </w:tr>
      <w:tr w14:paraId="21093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C7B4F8E">
            <w:pPr>
              <w:pStyle w:val="35"/>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32</w:t>
            </w:r>
          </w:p>
        </w:tc>
        <w:tc>
          <w:tcPr>
            <w:tcW w:w="851" w:type="pct"/>
            <w:vAlign w:val="center"/>
          </w:tcPr>
          <w:p w14:paraId="67B0F4FD">
            <w:pPr>
              <w:pStyle w:val="34"/>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其他内容</w:t>
            </w:r>
          </w:p>
        </w:tc>
        <w:tc>
          <w:tcPr>
            <w:tcW w:w="3567" w:type="pct"/>
            <w:vAlign w:val="center"/>
          </w:tcPr>
          <w:p w14:paraId="5D4D458B">
            <w:pPr>
              <w:pStyle w:val="34"/>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1、解释权：</w:t>
            </w:r>
          </w:p>
          <w:p w14:paraId="6853EFBC">
            <w:pPr>
              <w:spacing w:line="360" w:lineRule="auto"/>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（1）</w:t>
            </w:r>
            <w:r>
              <w:rPr>
                <w:rFonts w:asciiTheme="minorEastAsia" w:hAnsiTheme="minorEastAsia" w:eastAsiaTheme="minorEastAsia"/>
                <w:bCs/>
                <w:sz w:val="24"/>
                <w:szCs w:val="24"/>
                <w:highlight w:val="none"/>
              </w:rPr>
              <w:t>构成本招标文件的各个组成文件应互为解释，互为说明；</w:t>
            </w:r>
          </w:p>
          <w:p w14:paraId="7577ECF5">
            <w:pPr>
              <w:spacing w:line="360" w:lineRule="auto"/>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（2）</w:t>
            </w:r>
            <w:r>
              <w:rPr>
                <w:rFonts w:asciiTheme="minorEastAsia" w:hAnsiTheme="minorEastAsia" w:eastAsiaTheme="minorEastAsia"/>
                <w:bCs/>
                <w:sz w:val="24"/>
                <w:szCs w:val="24"/>
                <w:highlight w:val="none"/>
              </w:rPr>
              <w:t>同一组成文件中就同一事项的规定或约定不一致的，以编排顺序在后者为准；</w:t>
            </w:r>
          </w:p>
          <w:p w14:paraId="33AC349A">
            <w:pPr>
              <w:spacing w:line="360" w:lineRule="auto"/>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（3）</w:t>
            </w:r>
            <w:r>
              <w:rPr>
                <w:rFonts w:asciiTheme="minorEastAsia" w:hAnsiTheme="minorEastAsia" w:eastAsiaTheme="minorEastAsia"/>
                <w:bCs/>
                <w:sz w:val="24"/>
                <w:szCs w:val="24"/>
                <w:highlight w:val="none"/>
              </w:rPr>
              <w:t>如有不明确或不一致，构成合同文件组成内容的，以合同文件约定内容为准，且以专用合同条款约定的合同文件优先顺序解释；</w:t>
            </w:r>
          </w:p>
          <w:p w14:paraId="79F30D2A">
            <w:pPr>
              <w:spacing w:line="360" w:lineRule="auto"/>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（4）</w:t>
            </w:r>
            <w:r>
              <w:rPr>
                <w:rFonts w:asciiTheme="minorEastAsia" w:hAnsiTheme="minorEastAsia" w:eastAsiaTheme="minorEastAsia"/>
                <w:bCs/>
                <w:sz w:val="24"/>
                <w:szCs w:val="24"/>
                <w:highlight w:val="none"/>
              </w:rPr>
              <w:t>除招标文件中有特别规定外，仅适用于招标投标阶段的规定，按招标公告、</w:t>
            </w:r>
            <w:r>
              <w:rPr>
                <w:rFonts w:hint="eastAsia" w:asciiTheme="minorEastAsia" w:hAnsiTheme="minorEastAsia" w:eastAsiaTheme="minorEastAsia"/>
                <w:bCs/>
                <w:sz w:val="24"/>
                <w:szCs w:val="24"/>
                <w:highlight w:val="none"/>
              </w:rPr>
              <w:t>投标邀请、</w:t>
            </w:r>
            <w:r>
              <w:rPr>
                <w:rFonts w:asciiTheme="minorEastAsia" w:hAnsiTheme="minorEastAsia" w:eastAsiaTheme="minorEastAsia"/>
                <w:bCs/>
                <w:sz w:val="24"/>
                <w:szCs w:val="24"/>
                <w:highlight w:val="none"/>
              </w:rPr>
              <w:t>投标人须知、评标</w:t>
            </w:r>
            <w:r>
              <w:rPr>
                <w:rFonts w:hint="eastAsia" w:asciiTheme="minorEastAsia" w:hAnsiTheme="minorEastAsia" w:eastAsiaTheme="minorEastAsia"/>
                <w:bCs/>
                <w:sz w:val="24"/>
                <w:szCs w:val="24"/>
                <w:highlight w:val="none"/>
              </w:rPr>
              <w:t>方</w:t>
            </w:r>
            <w:r>
              <w:rPr>
                <w:rFonts w:asciiTheme="minorEastAsia" w:hAnsiTheme="minorEastAsia" w:eastAsiaTheme="minorEastAsia"/>
                <w:bCs/>
                <w:sz w:val="24"/>
                <w:szCs w:val="24"/>
                <w:highlight w:val="none"/>
              </w:rPr>
              <w:t>法</w:t>
            </w:r>
            <w:r>
              <w:rPr>
                <w:rFonts w:hint="eastAsia" w:asciiTheme="minorEastAsia" w:hAnsiTheme="minorEastAsia" w:eastAsiaTheme="minorEastAsia"/>
                <w:bCs/>
                <w:sz w:val="24"/>
                <w:szCs w:val="24"/>
                <w:highlight w:val="none"/>
              </w:rPr>
              <w:t>和标准</w:t>
            </w:r>
            <w:r>
              <w:rPr>
                <w:rFonts w:asciiTheme="minorEastAsia" w:hAnsiTheme="minorEastAsia" w:eastAsiaTheme="minorEastAsia"/>
                <w:bCs/>
                <w:sz w:val="24"/>
                <w:szCs w:val="24"/>
                <w:highlight w:val="none"/>
              </w:rPr>
              <w:t>、投标文件格式的先后顺序解释；</w:t>
            </w:r>
          </w:p>
          <w:p w14:paraId="1B21B2B2">
            <w:pPr>
              <w:pStyle w:val="34"/>
              <w:widowControl w:val="0"/>
              <w:spacing w:before="0" w:beforeAutospacing="0" w:after="0" w:afterAutospacing="0" w:line="360" w:lineRule="auto"/>
              <w:jc w:val="both"/>
              <w:rPr>
                <w:rFonts w:asciiTheme="minorEastAsia" w:hAnsiTheme="minorEastAsia" w:eastAsiaTheme="minorEastAsia"/>
                <w:b w:val="0"/>
                <w:kern w:val="2"/>
                <w:sz w:val="24"/>
                <w:szCs w:val="24"/>
                <w:highlight w:val="none"/>
              </w:rPr>
            </w:pPr>
            <w:r>
              <w:rPr>
                <w:rFonts w:hint="eastAsia" w:asciiTheme="minorEastAsia" w:hAnsiTheme="minorEastAsia" w:eastAsiaTheme="minorEastAsia"/>
                <w:b w:val="0"/>
                <w:kern w:val="2"/>
                <w:sz w:val="24"/>
                <w:szCs w:val="24"/>
                <w:highlight w:val="none"/>
              </w:rPr>
              <w:t>（5）</w:t>
            </w:r>
            <w:r>
              <w:rPr>
                <w:rFonts w:asciiTheme="minorEastAsia" w:hAnsiTheme="minorEastAsia" w:eastAsiaTheme="minorEastAsia"/>
                <w:b w:val="0"/>
                <w:kern w:val="2"/>
                <w:sz w:val="24"/>
                <w:szCs w:val="24"/>
                <w:highlight w:val="none"/>
              </w:rPr>
              <w:t>按本款前述规定仍不能形成结论的，由</w:t>
            </w:r>
            <w:r>
              <w:rPr>
                <w:rFonts w:hint="eastAsia" w:asciiTheme="minorEastAsia" w:hAnsiTheme="minorEastAsia" w:eastAsiaTheme="minorEastAsia"/>
                <w:b w:val="0"/>
                <w:kern w:val="2"/>
                <w:sz w:val="24"/>
                <w:szCs w:val="24"/>
                <w:highlight w:val="none"/>
              </w:rPr>
              <w:t>采购</w:t>
            </w:r>
            <w:r>
              <w:rPr>
                <w:rFonts w:asciiTheme="minorEastAsia" w:hAnsiTheme="minorEastAsia" w:eastAsiaTheme="minorEastAsia"/>
                <w:b w:val="0"/>
                <w:kern w:val="2"/>
                <w:sz w:val="24"/>
                <w:szCs w:val="24"/>
                <w:highlight w:val="none"/>
              </w:rPr>
              <w:t>人负责解释。</w:t>
            </w:r>
          </w:p>
          <w:p w14:paraId="309C2653">
            <w:pPr>
              <w:spacing w:line="360" w:lineRule="auto"/>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2、“政采贷”融资指引：有融资需求的</w:t>
            </w:r>
            <w:r>
              <w:rPr>
                <w:rFonts w:hint="eastAsia" w:ascii="宋体" w:hAnsi="宋体" w:eastAsia="宋体" w:cs="宋体"/>
                <w:sz w:val="24"/>
                <w:szCs w:val="24"/>
                <w:highlight w:val="none"/>
              </w:rPr>
              <w:t>中</w:t>
            </w:r>
            <w:r>
              <w:rPr>
                <w:rFonts w:ascii="宋体" w:hAnsi="宋体" w:eastAsia="宋体" w:cs="宋体"/>
                <w:sz w:val="24"/>
                <w:szCs w:val="24"/>
                <w:highlight w:val="none"/>
              </w:rPr>
              <w:t>标人</w:t>
            </w:r>
            <w:r>
              <w:rPr>
                <w:rFonts w:hint="eastAsia" w:asciiTheme="minorEastAsia" w:hAnsiTheme="minorEastAsia" w:eastAsiaTheme="minorEastAsia"/>
                <w:bCs/>
                <w:sz w:val="24"/>
                <w:szCs w:val="24"/>
                <w:highlight w:val="none"/>
              </w:rPr>
              <w:t>在取得政府采购中标或成交通知书后，可访问安徽省政府采购网“政采贷”栏目，查看和联系第三方平台或者金融机构，商洽融资事项，确定融资意向。</w:t>
            </w:r>
            <w:r>
              <w:rPr>
                <w:rFonts w:hint="eastAsia" w:ascii="宋体" w:hAnsi="宋体" w:eastAsia="宋体" w:cs="宋体"/>
                <w:sz w:val="24"/>
                <w:szCs w:val="24"/>
                <w:highlight w:val="none"/>
              </w:rPr>
              <w:t>中</w:t>
            </w:r>
            <w:r>
              <w:rPr>
                <w:rFonts w:ascii="宋体" w:hAnsi="宋体" w:eastAsia="宋体" w:cs="宋体"/>
                <w:sz w:val="24"/>
                <w:szCs w:val="24"/>
                <w:highlight w:val="none"/>
              </w:rPr>
              <w:t>标人</w:t>
            </w:r>
            <w:r>
              <w:rPr>
                <w:rFonts w:hint="eastAsia" w:asciiTheme="minorEastAsia" w:hAnsiTheme="minorEastAsia" w:eastAsiaTheme="minorEastAsia"/>
                <w:bCs/>
                <w:sz w:val="24"/>
                <w:szCs w:val="24"/>
                <w:highlight w:val="none"/>
              </w:rPr>
              <w:t>签署政府采购中标（成交）合同后，登录“徽采云”金融服务模块，选择意向产品进行申请，并填写相关信息，“徽采云”金融服务模块将</w:t>
            </w:r>
            <w:r>
              <w:rPr>
                <w:rFonts w:hint="eastAsia" w:ascii="宋体" w:hAnsi="宋体" w:eastAsia="宋体" w:cs="宋体"/>
                <w:sz w:val="24"/>
                <w:szCs w:val="24"/>
                <w:highlight w:val="none"/>
              </w:rPr>
              <w:t>中</w:t>
            </w:r>
            <w:r>
              <w:rPr>
                <w:rFonts w:ascii="宋体" w:hAnsi="宋体" w:eastAsia="宋体" w:cs="宋体"/>
                <w:sz w:val="24"/>
                <w:szCs w:val="24"/>
                <w:highlight w:val="none"/>
              </w:rPr>
              <w:t>标人</w:t>
            </w:r>
            <w:r>
              <w:rPr>
                <w:rFonts w:hint="eastAsia" w:asciiTheme="minorEastAsia" w:hAnsiTheme="minorEastAsia" w:eastAsiaTheme="minorEastAsia"/>
                <w:bCs/>
                <w:sz w:val="24"/>
                <w:szCs w:val="24"/>
                <w:highlight w:val="none"/>
              </w:rPr>
              <w:t>融资申请信息推送第三方平台、意向金融机构。</w:t>
            </w:r>
          </w:p>
          <w:p w14:paraId="0926DDF1">
            <w:pPr>
              <w:pStyle w:val="34"/>
              <w:widowControl w:val="0"/>
              <w:spacing w:before="0" w:beforeAutospacing="0" w:after="0" w:afterAutospacing="0" w:line="360" w:lineRule="auto"/>
              <w:jc w:val="both"/>
              <w:rPr>
                <w:rFonts w:asciiTheme="minorEastAsia" w:hAnsiTheme="minorEastAsia" w:eastAsiaTheme="minorEastAsia"/>
                <w:b w:val="0"/>
                <w:kern w:val="2"/>
                <w:sz w:val="24"/>
                <w:szCs w:val="24"/>
                <w:highlight w:val="none"/>
              </w:rPr>
            </w:pPr>
            <w:r>
              <w:rPr>
                <w:rFonts w:hint="eastAsia" w:asciiTheme="minorEastAsia" w:hAnsiTheme="minorEastAsia" w:eastAsiaTheme="minorEastAsia"/>
                <w:b w:val="0"/>
                <w:kern w:val="2"/>
                <w:sz w:val="24"/>
                <w:szCs w:val="24"/>
                <w:highlight w:val="none"/>
              </w:rPr>
              <w:t>3、电子保函指引：中标人可访问安徽省政府采购网“融资/保函”栏目，申请办理电子保函（包括：履约保函、预付款保函）。</w:t>
            </w:r>
          </w:p>
        </w:tc>
      </w:tr>
      <w:tr w14:paraId="41C02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B191925">
            <w:pPr>
              <w:pStyle w:val="34"/>
              <w:spacing w:line="360" w:lineRule="auto"/>
              <w:jc w:val="center"/>
              <w:rPr>
                <w:rFonts w:hint="default" w:asciiTheme="minorEastAsia" w:hAnsiTheme="minorEastAsia" w:eastAsiaTheme="minorEastAsia"/>
                <w:b w:val="0"/>
                <w:bCs/>
                <w:kern w:val="2"/>
                <w:sz w:val="24"/>
                <w:szCs w:val="24"/>
                <w:highlight w:val="none"/>
                <w:lang w:val="en-US" w:eastAsia="zh-CN"/>
              </w:rPr>
            </w:pPr>
            <w:r>
              <w:rPr>
                <w:rFonts w:hint="eastAsia" w:asciiTheme="minorEastAsia" w:hAnsiTheme="minorEastAsia" w:eastAsiaTheme="minorEastAsia"/>
                <w:b w:val="0"/>
                <w:bCs/>
                <w:kern w:val="2"/>
                <w:sz w:val="24"/>
                <w:szCs w:val="24"/>
                <w:highlight w:val="none"/>
                <w:lang w:val="en-US" w:eastAsia="zh-CN"/>
              </w:rPr>
              <w:t>33</w:t>
            </w:r>
          </w:p>
        </w:tc>
        <w:tc>
          <w:tcPr>
            <w:tcW w:w="851" w:type="pct"/>
            <w:shd w:val="clear" w:color="auto" w:fill="auto"/>
            <w:vAlign w:val="center"/>
          </w:tcPr>
          <w:p w14:paraId="7C07F189">
            <w:pPr>
              <w:pStyle w:val="34"/>
              <w:rPr>
                <w:rFonts w:hint="eastAsia" w:cs="@仿宋_GB2312" w:asciiTheme="minorEastAsia" w:hAnsiTheme="minorEastAsia" w:eastAsiaTheme="minorEastAsia"/>
                <w:b w:val="0"/>
                <w:kern w:val="2"/>
                <w:sz w:val="24"/>
                <w:szCs w:val="24"/>
                <w:highlight w:val="none"/>
                <w:lang w:val="en-US" w:eastAsia="zh-CN" w:bidi="ar-SA"/>
              </w:rPr>
            </w:pPr>
            <w:r>
              <w:rPr>
                <w:rFonts w:hint="eastAsia" w:cs="@仿宋_GB2312" w:asciiTheme="minorEastAsia" w:hAnsiTheme="minorEastAsia" w:eastAsiaTheme="minorEastAsia"/>
                <w:b w:val="0"/>
                <w:kern w:val="2"/>
                <w:sz w:val="24"/>
                <w:szCs w:val="24"/>
                <w:highlight w:val="none"/>
              </w:rPr>
              <w:t>社保证明材料</w:t>
            </w:r>
          </w:p>
        </w:tc>
        <w:tc>
          <w:tcPr>
            <w:tcW w:w="3567" w:type="pct"/>
            <w:shd w:val="clear" w:color="auto" w:fill="auto"/>
            <w:vAlign w:val="center"/>
          </w:tcPr>
          <w:p w14:paraId="1752855F">
            <w:pPr>
              <w:pStyle w:val="34"/>
              <w:widowControl w:val="0"/>
              <w:spacing w:before="0" w:beforeAutospacing="0" w:after="0" w:afterAutospacing="0" w:line="360" w:lineRule="auto"/>
              <w:jc w:val="both"/>
              <w:rPr>
                <w:rFonts w:hint="eastAsia" w:asciiTheme="minorEastAsia" w:hAnsiTheme="minorEastAsia" w:eastAsiaTheme="minorEastAsia"/>
                <w:b w:val="0"/>
                <w:kern w:val="2"/>
                <w:sz w:val="24"/>
                <w:szCs w:val="24"/>
                <w:highlight w:val="none"/>
              </w:rPr>
            </w:pPr>
            <w:r>
              <w:rPr>
                <w:rFonts w:hint="eastAsia" w:asciiTheme="minorEastAsia" w:hAnsiTheme="minorEastAsia" w:eastAsiaTheme="minorEastAsia"/>
                <w:b w:val="0"/>
                <w:kern w:val="2"/>
                <w:sz w:val="24"/>
                <w:szCs w:val="24"/>
                <w:highlight w:val="none"/>
              </w:rPr>
              <w:t>本项目</w:t>
            </w:r>
            <w:r>
              <w:rPr>
                <w:rFonts w:hint="eastAsia" w:asciiTheme="minorEastAsia" w:hAnsiTheme="minorEastAsia" w:eastAsiaTheme="minorEastAsia"/>
                <w:b w:val="0"/>
                <w:kern w:val="2"/>
                <w:sz w:val="24"/>
                <w:szCs w:val="24"/>
                <w:highlight w:val="none"/>
                <w:lang w:val="en-US" w:eastAsia="zh-CN"/>
              </w:rPr>
              <w:t>招标</w:t>
            </w:r>
            <w:r>
              <w:rPr>
                <w:rFonts w:hint="eastAsia" w:asciiTheme="minorEastAsia" w:hAnsiTheme="minorEastAsia" w:eastAsiaTheme="minorEastAsia"/>
                <w:b w:val="0"/>
                <w:kern w:val="2"/>
                <w:sz w:val="24"/>
                <w:szCs w:val="24"/>
                <w:highlight w:val="none"/>
              </w:rPr>
              <w:t>文件中要求提供的社保证明材料为下述形式之一（</w:t>
            </w:r>
            <w:r>
              <w:rPr>
                <w:rFonts w:hint="eastAsia" w:asciiTheme="minorEastAsia" w:hAnsiTheme="minorEastAsia" w:eastAsiaTheme="minorEastAsia"/>
                <w:b w:val="0"/>
                <w:kern w:val="2"/>
                <w:sz w:val="24"/>
                <w:szCs w:val="24"/>
                <w:highlight w:val="none"/>
                <w:lang w:val="en-US" w:eastAsia="zh-CN"/>
              </w:rPr>
              <w:t>投标</w:t>
            </w:r>
            <w:r>
              <w:rPr>
                <w:rFonts w:hint="eastAsia" w:asciiTheme="minorEastAsia" w:hAnsiTheme="minorEastAsia" w:eastAsiaTheme="minorEastAsia"/>
                <w:b w:val="0"/>
                <w:kern w:val="2"/>
                <w:sz w:val="24"/>
                <w:szCs w:val="24"/>
                <w:highlight w:val="none"/>
              </w:rPr>
              <w:t>文件中须提供扫描件）：</w:t>
            </w:r>
          </w:p>
          <w:p w14:paraId="5C093F28">
            <w:pPr>
              <w:pStyle w:val="34"/>
              <w:widowControl w:val="0"/>
              <w:spacing w:before="0" w:beforeAutospacing="0" w:after="0" w:afterAutospacing="0" w:line="360" w:lineRule="auto"/>
              <w:jc w:val="both"/>
              <w:rPr>
                <w:rFonts w:hint="eastAsia" w:asciiTheme="minorEastAsia" w:hAnsiTheme="minorEastAsia" w:eastAsiaTheme="minorEastAsia"/>
                <w:b w:val="0"/>
                <w:kern w:val="2"/>
                <w:sz w:val="24"/>
                <w:szCs w:val="24"/>
                <w:highlight w:val="none"/>
              </w:rPr>
            </w:pPr>
            <w:r>
              <w:rPr>
                <w:rFonts w:hint="eastAsia" w:asciiTheme="minorEastAsia" w:hAnsiTheme="minorEastAsia" w:eastAsiaTheme="minorEastAsia"/>
                <w:b w:val="0"/>
                <w:kern w:val="2"/>
                <w:sz w:val="24"/>
                <w:szCs w:val="24"/>
                <w:highlight w:val="none"/>
              </w:rPr>
              <w:t>（1）社保局官方网站查询的缴费记录截图；</w:t>
            </w:r>
          </w:p>
          <w:p w14:paraId="574A3DBE">
            <w:pPr>
              <w:pStyle w:val="34"/>
              <w:widowControl w:val="0"/>
              <w:spacing w:before="0" w:beforeAutospacing="0" w:after="0" w:afterAutospacing="0" w:line="360" w:lineRule="auto"/>
              <w:jc w:val="both"/>
              <w:rPr>
                <w:rFonts w:hint="eastAsia" w:asciiTheme="minorEastAsia" w:hAnsiTheme="minorEastAsia" w:eastAsiaTheme="minorEastAsia"/>
                <w:b w:val="0"/>
                <w:kern w:val="2"/>
                <w:sz w:val="24"/>
                <w:szCs w:val="24"/>
                <w:highlight w:val="none"/>
              </w:rPr>
            </w:pPr>
            <w:r>
              <w:rPr>
                <w:rFonts w:hint="eastAsia" w:asciiTheme="minorEastAsia" w:hAnsiTheme="minorEastAsia" w:eastAsiaTheme="minorEastAsia"/>
                <w:b w:val="0"/>
                <w:kern w:val="2"/>
                <w:sz w:val="24"/>
                <w:szCs w:val="24"/>
                <w:highlight w:val="none"/>
              </w:rPr>
              <w:t>（2）社保局的书面证明材料；</w:t>
            </w:r>
          </w:p>
          <w:p w14:paraId="4903FE19">
            <w:pPr>
              <w:pStyle w:val="34"/>
              <w:widowControl w:val="0"/>
              <w:spacing w:before="0" w:beforeAutospacing="0" w:after="0" w:afterAutospacing="0" w:line="360" w:lineRule="auto"/>
              <w:jc w:val="both"/>
              <w:rPr>
                <w:rFonts w:hint="eastAsia" w:asciiTheme="minorEastAsia" w:hAnsiTheme="minorEastAsia" w:eastAsiaTheme="minorEastAsia"/>
                <w:b w:val="0"/>
                <w:kern w:val="2"/>
                <w:sz w:val="24"/>
                <w:szCs w:val="24"/>
                <w:highlight w:val="none"/>
              </w:rPr>
            </w:pPr>
            <w:r>
              <w:rPr>
                <w:rFonts w:hint="eastAsia" w:asciiTheme="minorEastAsia" w:hAnsiTheme="minorEastAsia" w:eastAsiaTheme="minorEastAsia"/>
                <w:b w:val="0"/>
                <w:kern w:val="2"/>
                <w:sz w:val="24"/>
                <w:szCs w:val="24"/>
                <w:highlight w:val="none"/>
              </w:rPr>
              <w:t>（3）经</w:t>
            </w:r>
            <w:r>
              <w:rPr>
                <w:rFonts w:hint="eastAsia" w:asciiTheme="minorEastAsia" w:hAnsiTheme="minorEastAsia" w:eastAsiaTheme="minorEastAsia"/>
                <w:b w:val="0"/>
                <w:kern w:val="2"/>
                <w:sz w:val="24"/>
                <w:szCs w:val="24"/>
                <w:highlight w:val="none"/>
                <w:lang w:eastAsia="zh-CN"/>
              </w:rPr>
              <w:t>投标人</w:t>
            </w:r>
            <w:r>
              <w:rPr>
                <w:rFonts w:hint="eastAsia" w:asciiTheme="minorEastAsia" w:hAnsiTheme="minorEastAsia" w:eastAsiaTheme="minorEastAsia"/>
                <w:b w:val="0"/>
                <w:kern w:val="2"/>
                <w:sz w:val="24"/>
                <w:szCs w:val="24"/>
                <w:highlight w:val="none"/>
              </w:rPr>
              <w:t>委托的第三方人力资源服务机构或与</w:t>
            </w:r>
            <w:r>
              <w:rPr>
                <w:rFonts w:hint="eastAsia" w:asciiTheme="minorEastAsia" w:hAnsiTheme="minorEastAsia" w:eastAsiaTheme="minorEastAsia"/>
                <w:b w:val="0"/>
                <w:kern w:val="2"/>
                <w:sz w:val="24"/>
                <w:szCs w:val="24"/>
                <w:highlight w:val="none"/>
                <w:lang w:eastAsia="zh-CN"/>
              </w:rPr>
              <w:t>投标人</w:t>
            </w:r>
            <w:r>
              <w:rPr>
                <w:rFonts w:hint="eastAsia" w:asciiTheme="minorEastAsia" w:hAnsiTheme="minorEastAsia" w:eastAsiaTheme="minorEastAsia"/>
                <w:b w:val="0"/>
                <w:kern w:val="2"/>
                <w:sz w:val="24"/>
                <w:szCs w:val="24"/>
                <w:highlight w:val="none"/>
              </w:rPr>
              <w:t>有直接隶属关系的机构可以代缴社保，但须提供有关证明材料并经</w:t>
            </w:r>
            <w:r>
              <w:rPr>
                <w:rFonts w:hint="eastAsia" w:asciiTheme="minorEastAsia" w:hAnsiTheme="minorEastAsia" w:eastAsiaTheme="minorEastAsia"/>
                <w:b w:val="0"/>
                <w:kern w:val="2"/>
                <w:sz w:val="24"/>
                <w:szCs w:val="24"/>
                <w:highlight w:val="none"/>
                <w:lang w:eastAsia="zh-CN"/>
              </w:rPr>
              <w:t>评标委员会</w:t>
            </w:r>
            <w:r>
              <w:rPr>
                <w:rFonts w:hint="eastAsia" w:asciiTheme="minorEastAsia" w:hAnsiTheme="minorEastAsia" w:eastAsiaTheme="minorEastAsia"/>
                <w:b w:val="0"/>
                <w:kern w:val="2"/>
                <w:sz w:val="24"/>
                <w:szCs w:val="24"/>
                <w:highlight w:val="none"/>
              </w:rPr>
              <w:t>确认。</w:t>
            </w:r>
          </w:p>
          <w:p w14:paraId="771B7D70">
            <w:pPr>
              <w:pStyle w:val="34"/>
              <w:widowControl w:val="0"/>
              <w:spacing w:before="0" w:beforeAutospacing="0" w:after="0" w:afterAutospacing="0" w:line="360" w:lineRule="auto"/>
              <w:jc w:val="both"/>
              <w:rPr>
                <w:rFonts w:hint="eastAsia" w:asciiTheme="minorEastAsia" w:hAnsiTheme="minorEastAsia" w:eastAsiaTheme="minorEastAsia"/>
                <w:b w:val="0"/>
                <w:kern w:val="2"/>
                <w:sz w:val="24"/>
                <w:szCs w:val="24"/>
                <w:highlight w:val="none"/>
              </w:rPr>
            </w:pPr>
            <w:r>
              <w:rPr>
                <w:rFonts w:hint="eastAsia" w:asciiTheme="minorEastAsia" w:hAnsiTheme="minorEastAsia" w:eastAsiaTheme="minorEastAsia"/>
                <w:b w:val="0"/>
                <w:kern w:val="2"/>
                <w:sz w:val="24"/>
                <w:szCs w:val="24"/>
                <w:highlight w:val="none"/>
              </w:rPr>
              <w:t>（4）参与</w:t>
            </w:r>
            <w:r>
              <w:rPr>
                <w:rFonts w:hint="eastAsia" w:asciiTheme="minorEastAsia" w:hAnsiTheme="minorEastAsia" w:eastAsiaTheme="minorEastAsia"/>
                <w:b w:val="0"/>
                <w:kern w:val="2"/>
                <w:sz w:val="24"/>
                <w:szCs w:val="24"/>
                <w:highlight w:val="none"/>
                <w:lang w:val="en-US" w:eastAsia="zh-CN"/>
              </w:rPr>
              <w:t>投标</w:t>
            </w:r>
            <w:r>
              <w:rPr>
                <w:rFonts w:hint="eastAsia" w:asciiTheme="minorEastAsia" w:hAnsiTheme="minorEastAsia" w:eastAsiaTheme="minorEastAsia"/>
                <w:b w:val="0"/>
                <w:kern w:val="2"/>
                <w:sz w:val="24"/>
                <w:szCs w:val="24"/>
                <w:highlight w:val="none"/>
              </w:rPr>
              <w:t>的院校，社保证明可以用以下任意一种：</w:t>
            </w:r>
          </w:p>
          <w:p w14:paraId="1D97149C">
            <w:pPr>
              <w:pStyle w:val="34"/>
              <w:widowControl w:val="0"/>
              <w:spacing w:before="0" w:beforeAutospacing="0" w:after="0" w:afterAutospacing="0" w:line="360" w:lineRule="auto"/>
              <w:jc w:val="both"/>
              <w:rPr>
                <w:rFonts w:hint="eastAsia" w:asciiTheme="minorEastAsia" w:hAnsiTheme="minorEastAsia" w:eastAsiaTheme="minorEastAsia"/>
                <w:b w:val="0"/>
                <w:kern w:val="2"/>
                <w:sz w:val="24"/>
                <w:szCs w:val="24"/>
                <w:highlight w:val="none"/>
              </w:rPr>
            </w:pPr>
            <w:r>
              <w:rPr>
                <w:rFonts w:hint="eastAsia" w:asciiTheme="minorEastAsia" w:hAnsiTheme="minorEastAsia" w:eastAsiaTheme="minorEastAsia"/>
                <w:b w:val="0"/>
                <w:kern w:val="2"/>
                <w:sz w:val="24"/>
                <w:szCs w:val="24"/>
                <w:highlight w:val="none"/>
              </w:rPr>
              <w:t>①加盖</w:t>
            </w:r>
            <w:r>
              <w:rPr>
                <w:rFonts w:hint="eastAsia" w:asciiTheme="minorEastAsia" w:hAnsiTheme="minorEastAsia" w:eastAsiaTheme="minorEastAsia"/>
                <w:b w:val="0"/>
                <w:kern w:val="2"/>
                <w:sz w:val="24"/>
                <w:szCs w:val="24"/>
                <w:highlight w:val="none"/>
                <w:lang w:eastAsia="zh-CN"/>
              </w:rPr>
              <w:t>投标人</w:t>
            </w:r>
            <w:r>
              <w:rPr>
                <w:rFonts w:hint="eastAsia" w:asciiTheme="minorEastAsia" w:hAnsiTheme="minorEastAsia" w:eastAsiaTheme="minorEastAsia"/>
                <w:b w:val="0"/>
                <w:kern w:val="2"/>
                <w:sz w:val="24"/>
                <w:szCs w:val="24"/>
                <w:highlight w:val="none"/>
              </w:rPr>
              <w:t xml:space="preserve">公章的教师证（须为本单位人员）； </w:t>
            </w:r>
          </w:p>
          <w:p w14:paraId="36CA9682">
            <w:pPr>
              <w:pStyle w:val="34"/>
              <w:widowControl w:val="0"/>
              <w:spacing w:before="0" w:beforeAutospacing="0" w:after="0" w:afterAutospacing="0" w:line="360" w:lineRule="auto"/>
              <w:jc w:val="both"/>
              <w:rPr>
                <w:rFonts w:hint="eastAsia" w:asciiTheme="minorEastAsia" w:hAnsiTheme="minorEastAsia" w:eastAsiaTheme="minorEastAsia"/>
                <w:b w:val="0"/>
                <w:kern w:val="2"/>
                <w:sz w:val="24"/>
                <w:szCs w:val="24"/>
                <w:highlight w:val="none"/>
              </w:rPr>
            </w:pPr>
            <w:r>
              <w:rPr>
                <w:rFonts w:hint="eastAsia" w:asciiTheme="minorEastAsia" w:hAnsiTheme="minorEastAsia" w:eastAsiaTheme="minorEastAsia"/>
                <w:b w:val="0"/>
                <w:kern w:val="2"/>
                <w:sz w:val="24"/>
                <w:szCs w:val="24"/>
                <w:highlight w:val="none"/>
              </w:rPr>
              <w:t xml:space="preserve">②医保证明材料。 </w:t>
            </w:r>
          </w:p>
          <w:p w14:paraId="1BC3396F">
            <w:pPr>
              <w:pStyle w:val="34"/>
              <w:widowControl w:val="0"/>
              <w:spacing w:before="0" w:beforeAutospacing="0" w:after="0" w:afterAutospacing="0" w:line="360" w:lineRule="auto"/>
              <w:jc w:val="both"/>
              <w:rPr>
                <w:rFonts w:hint="eastAsia" w:asciiTheme="minorEastAsia" w:hAnsiTheme="minorEastAsia" w:eastAsiaTheme="minorEastAsia"/>
                <w:b w:val="0"/>
                <w:kern w:val="2"/>
                <w:sz w:val="24"/>
                <w:szCs w:val="24"/>
                <w:highlight w:val="none"/>
              </w:rPr>
            </w:pPr>
            <w:r>
              <w:rPr>
                <w:rFonts w:hint="eastAsia" w:asciiTheme="minorEastAsia" w:hAnsiTheme="minorEastAsia" w:eastAsiaTheme="minorEastAsia"/>
                <w:b w:val="0"/>
                <w:kern w:val="2"/>
                <w:sz w:val="24"/>
                <w:szCs w:val="24"/>
                <w:highlight w:val="none"/>
              </w:rPr>
              <w:t>（5）其他经</w:t>
            </w:r>
            <w:r>
              <w:rPr>
                <w:rFonts w:hint="eastAsia" w:asciiTheme="minorEastAsia" w:hAnsiTheme="minorEastAsia" w:eastAsiaTheme="minorEastAsia"/>
                <w:b w:val="0"/>
                <w:kern w:val="2"/>
                <w:sz w:val="24"/>
                <w:szCs w:val="24"/>
                <w:highlight w:val="none"/>
                <w:lang w:eastAsia="zh-CN"/>
              </w:rPr>
              <w:t>评标委员会</w:t>
            </w:r>
            <w:r>
              <w:rPr>
                <w:rFonts w:hint="eastAsia" w:asciiTheme="minorEastAsia" w:hAnsiTheme="minorEastAsia" w:eastAsiaTheme="minorEastAsia"/>
                <w:b w:val="0"/>
                <w:kern w:val="2"/>
                <w:sz w:val="24"/>
                <w:szCs w:val="24"/>
                <w:highlight w:val="none"/>
              </w:rPr>
              <w:t>认可的证明材料。</w:t>
            </w:r>
          </w:p>
          <w:p w14:paraId="67F2C513">
            <w:pPr>
              <w:pStyle w:val="34"/>
              <w:widowControl w:val="0"/>
              <w:spacing w:before="0" w:beforeAutospacing="0" w:after="0" w:afterAutospacing="0" w:line="360" w:lineRule="auto"/>
              <w:jc w:val="both"/>
              <w:rPr>
                <w:rFonts w:hint="eastAsia" w:cs="@仿宋_GB2312" w:asciiTheme="minorEastAsia" w:hAnsiTheme="minorEastAsia" w:eastAsiaTheme="minorEastAsia"/>
                <w:b w:val="0"/>
                <w:kern w:val="2"/>
                <w:sz w:val="24"/>
                <w:szCs w:val="24"/>
                <w:highlight w:val="none"/>
                <w:lang w:val="en-US" w:eastAsia="zh-CN" w:bidi="ar-SA"/>
              </w:rPr>
            </w:pPr>
            <w:r>
              <w:rPr>
                <w:rFonts w:hint="eastAsia" w:asciiTheme="minorEastAsia" w:hAnsiTheme="minorEastAsia" w:eastAsiaTheme="minorEastAsia"/>
                <w:b w:val="0"/>
                <w:kern w:val="2"/>
                <w:sz w:val="24"/>
                <w:szCs w:val="24"/>
                <w:highlight w:val="none"/>
              </w:rPr>
              <w:t>（6）法定代表人参与项目的，无需提供社保证明材料，提供身份证明材料即可。</w:t>
            </w:r>
          </w:p>
        </w:tc>
      </w:tr>
    </w:tbl>
    <w:p w14:paraId="6F6B6AD8">
      <w:pPr>
        <w:spacing w:line="360" w:lineRule="auto"/>
        <w:jc w:val="center"/>
        <w:outlineLvl w:val="1"/>
        <w:rPr>
          <w:rFonts w:asciiTheme="minorEastAsia" w:hAnsiTheme="minorEastAsia" w:eastAsiaTheme="minorEastAsia"/>
          <w:b/>
          <w:sz w:val="24"/>
          <w:highlight w:val="none"/>
        </w:rPr>
      </w:pPr>
      <w:r>
        <w:rPr>
          <w:rFonts w:asciiTheme="minorEastAsia" w:hAnsiTheme="minorEastAsia" w:eastAsiaTheme="minorEastAsia"/>
          <w:b/>
          <w:sz w:val="28"/>
          <w:highlight w:val="none"/>
        </w:rPr>
        <w:br w:type="page"/>
      </w:r>
      <w:bookmarkStart w:id="63" w:name="_Toc14880"/>
      <w:bookmarkStart w:id="64" w:name="_Toc12437"/>
      <w:bookmarkStart w:id="65" w:name="_Toc24882"/>
      <w:r>
        <w:rPr>
          <w:rFonts w:hint="eastAsia" w:asciiTheme="minorEastAsia" w:hAnsiTheme="minorEastAsia" w:eastAsiaTheme="minorEastAsia"/>
          <w:b/>
          <w:sz w:val="24"/>
          <w:szCs w:val="24"/>
          <w:highlight w:val="none"/>
        </w:rPr>
        <w:t>二、</w:t>
      </w:r>
      <w:r>
        <w:rPr>
          <w:rFonts w:asciiTheme="minorEastAsia" w:hAnsiTheme="minorEastAsia" w:eastAsiaTheme="minorEastAsia"/>
          <w:b/>
          <w:sz w:val="24"/>
          <w:szCs w:val="24"/>
          <w:highlight w:val="none"/>
        </w:rPr>
        <w:t>投标人须知</w:t>
      </w:r>
      <w:r>
        <w:rPr>
          <w:rFonts w:hint="eastAsia" w:asciiTheme="minorEastAsia" w:hAnsiTheme="minorEastAsia" w:eastAsiaTheme="minorEastAsia"/>
          <w:b/>
          <w:sz w:val="24"/>
          <w:szCs w:val="24"/>
          <w:highlight w:val="none"/>
        </w:rPr>
        <w:t>正文</w:t>
      </w:r>
      <w:bookmarkEnd w:id="63"/>
      <w:bookmarkEnd w:id="64"/>
      <w:bookmarkEnd w:id="65"/>
    </w:p>
    <w:p w14:paraId="6F22C48B">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1.采购人、采购代理机构及投标人</w:t>
      </w:r>
    </w:p>
    <w:p w14:paraId="71793298">
      <w:pPr>
        <w:spacing w:line="360" w:lineRule="auto"/>
        <w:ind w:firstLine="435"/>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.1采购人：是指依法开展政府采购活动的国家机关、事业单位、团体组织。</w:t>
      </w:r>
    </w:p>
    <w:p w14:paraId="0AD17989">
      <w:pPr>
        <w:spacing w:line="360" w:lineRule="auto"/>
        <w:ind w:firstLine="435"/>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.2采购代理机构：是指集中采购机构或从事采购代理业务的社会中介机构。</w:t>
      </w:r>
    </w:p>
    <w:p w14:paraId="4E61D806">
      <w:pPr>
        <w:spacing w:line="360" w:lineRule="auto"/>
        <w:ind w:firstLine="435"/>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.3政府采购监督管理部门：</w:t>
      </w:r>
      <w:r>
        <w:rPr>
          <w:rFonts w:hint="eastAsia" w:ascii="宋体" w:hAnsi="宋体" w:eastAsia="宋体"/>
          <w:sz w:val="24"/>
          <w:highlight w:val="none"/>
        </w:rPr>
        <w:t>各级人民政府指定的有关部门依法履行与政府采购活动有关的监督管理职责。</w:t>
      </w:r>
    </w:p>
    <w:p w14:paraId="37A1774C">
      <w:pPr>
        <w:spacing w:line="360" w:lineRule="auto"/>
        <w:ind w:firstLine="435"/>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.4投标人：是指向采购人提供货物、工程或者服务的法人、</w:t>
      </w:r>
      <w:r>
        <w:rPr>
          <w:rFonts w:hint="eastAsia" w:ascii="宋体" w:hAnsi="宋体" w:eastAsia="宋体"/>
          <w:sz w:val="24"/>
          <w:highlight w:val="none"/>
        </w:rPr>
        <w:t>其他</w:t>
      </w:r>
      <w:r>
        <w:rPr>
          <w:rFonts w:ascii="宋体" w:hAnsi="宋体" w:eastAsia="宋体"/>
          <w:sz w:val="24"/>
          <w:highlight w:val="none"/>
        </w:rPr>
        <w:t>组织或者自然人。</w:t>
      </w:r>
      <w:r>
        <w:rPr>
          <w:rFonts w:hint="eastAsia" w:ascii="宋体" w:hAnsi="宋体" w:eastAsia="宋体"/>
          <w:sz w:val="24"/>
          <w:highlight w:val="none"/>
        </w:rPr>
        <w:t>分支机构不得参加政府采购活动，但银行、保险、石油石化、电力、电信等特殊行业除外。</w:t>
      </w:r>
      <w:r>
        <w:rPr>
          <w:rFonts w:ascii="宋体" w:hAnsi="宋体" w:eastAsia="宋体"/>
          <w:sz w:val="24"/>
          <w:highlight w:val="none"/>
        </w:rPr>
        <w:t>本项目的投标人须满足以下条件：</w:t>
      </w:r>
    </w:p>
    <w:p w14:paraId="56A51144">
      <w:pPr>
        <w:spacing w:line="360" w:lineRule="auto"/>
        <w:ind w:firstLine="435"/>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4.</w:t>
      </w:r>
      <w:r>
        <w:rPr>
          <w:rFonts w:hint="eastAsia" w:ascii="宋体" w:hAnsi="宋体" w:eastAsia="宋体"/>
          <w:sz w:val="24"/>
          <w:highlight w:val="none"/>
        </w:rPr>
        <w:t>1</w:t>
      </w:r>
      <w:r>
        <w:rPr>
          <w:rFonts w:ascii="宋体" w:hAnsi="宋体" w:eastAsia="宋体"/>
          <w:sz w:val="24"/>
          <w:highlight w:val="none"/>
        </w:rPr>
        <w:t>具备《中华人民共和国政府采购法》第二十二条关于供应商条件的规定，遵守本项目采购人本级和上级财政部门政府采购的有关规定。</w:t>
      </w:r>
    </w:p>
    <w:p w14:paraId="73B56B4F">
      <w:pPr>
        <w:spacing w:line="360" w:lineRule="auto"/>
        <w:ind w:firstLine="435"/>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4.</w:t>
      </w:r>
      <w:r>
        <w:rPr>
          <w:rFonts w:hint="eastAsia" w:ascii="宋体" w:hAnsi="宋体" w:eastAsia="宋体"/>
          <w:sz w:val="24"/>
          <w:highlight w:val="none"/>
        </w:rPr>
        <w:t>2</w:t>
      </w:r>
      <w:r>
        <w:rPr>
          <w:rFonts w:ascii="宋体" w:hAnsi="宋体" w:eastAsia="宋体"/>
          <w:sz w:val="24"/>
          <w:highlight w:val="none"/>
        </w:rPr>
        <w:t>以采购代理机构认可的方式获得了本项目的招标文件。</w:t>
      </w:r>
    </w:p>
    <w:p w14:paraId="5276C9A0">
      <w:pPr>
        <w:spacing w:line="360" w:lineRule="auto"/>
        <w:ind w:firstLine="435"/>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4.</w:t>
      </w:r>
      <w:r>
        <w:rPr>
          <w:rFonts w:hint="eastAsia" w:ascii="宋体" w:hAnsi="宋体" w:eastAsia="宋体"/>
          <w:sz w:val="24"/>
          <w:highlight w:val="none"/>
        </w:rPr>
        <w:t>3</w:t>
      </w:r>
      <w:r>
        <w:rPr>
          <w:rFonts w:ascii="宋体" w:hAnsi="宋体" w:eastAsia="宋体"/>
          <w:sz w:val="24"/>
          <w:highlight w:val="none"/>
        </w:rPr>
        <w:t>若</w:t>
      </w:r>
      <w:r>
        <w:rPr>
          <w:rFonts w:hint="eastAsia" w:ascii="宋体" w:hAnsi="宋体" w:eastAsia="宋体"/>
          <w:sz w:val="24"/>
          <w:highlight w:val="none"/>
        </w:rPr>
        <w:t>采购需求</w:t>
      </w:r>
      <w:r>
        <w:rPr>
          <w:rFonts w:ascii="宋体" w:hAnsi="宋体" w:eastAsia="宋体"/>
          <w:sz w:val="24"/>
          <w:highlight w:val="none"/>
        </w:rPr>
        <w:t>中写明允许采购进口产品，投标人应保证所投产品可履行合法报通关手续进入中国关境内。</w:t>
      </w:r>
    </w:p>
    <w:p w14:paraId="431FD06E">
      <w:pPr>
        <w:spacing w:line="360" w:lineRule="auto"/>
        <w:ind w:firstLine="435"/>
        <w:rPr>
          <w:rFonts w:ascii="宋体" w:hAnsi="宋体" w:eastAsia="宋体"/>
          <w:sz w:val="24"/>
          <w:highlight w:val="none"/>
        </w:rPr>
      </w:pPr>
      <w:r>
        <w:rPr>
          <w:rFonts w:hint="eastAsia" w:ascii="宋体" w:hAnsi="宋体" w:eastAsia="宋体"/>
          <w:sz w:val="24"/>
          <w:highlight w:val="none"/>
        </w:rPr>
        <w:t>若采购需求中未写明允许采购进口产品，如投标人所投产品为进口产品，其投标将被认定为</w:t>
      </w:r>
      <w:r>
        <w:rPr>
          <w:rFonts w:hint="eastAsia" w:ascii="宋体" w:hAnsi="宋体" w:eastAsia="宋体"/>
          <w:b/>
          <w:sz w:val="24"/>
          <w:highlight w:val="none"/>
        </w:rPr>
        <w:t>投标无效</w:t>
      </w:r>
      <w:r>
        <w:rPr>
          <w:rFonts w:hint="eastAsia" w:ascii="宋体" w:hAnsi="宋体" w:eastAsia="宋体"/>
          <w:sz w:val="24"/>
          <w:highlight w:val="none"/>
        </w:rPr>
        <w:t>。</w:t>
      </w:r>
    </w:p>
    <w:p w14:paraId="1249F6D6">
      <w:pPr>
        <w:spacing w:line="360" w:lineRule="auto"/>
        <w:ind w:firstLine="435"/>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5</w:t>
      </w:r>
      <w:r>
        <w:rPr>
          <w:rFonts w:hint="eastAsia" w:ascii="宋体" w:hAnsi="宋体" w:eastAsia="宋体"/>
          <w:sz w:val="24"/>
          <w:highlight w:val="none"/>
        </w:rPr>
        <w:t>若招标公告</w:t>
      </w:r>
      <w:r>
        <w:rPr>
          <w:rFonts w:ascii="宋体" w:hAnsi="宋体" w:eastAsia="宋体"/>
          <w:sz w:val="24"/>
          <w:highlight w:val="none"/>
        </w:rPr>
        <w:t>中允许联合体投标，对联合体规定如下：</w:t>
      </w:r>
    </w:p>
    <w:p w14:paraId="0C45BA77">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5.1两个以上供应商可以组成一个投标联合体，以一个投标人的身份投标。联合体投标的，</w:t>
      </w:r>
      <w:r>
        <w:rPr>
          <w:rFonts w:hint="eastAsia" w:ascii="宋体" w:hAnsi="宋体" w:eastAsia="宋体"/>
          <w:sz w:val="24"/>
          <w:highlight w:val="none"/>
        </w:rPr>
        <w:t>招标文件获取</w:t>
      </w:r>
      <w:r>
        <w:rPr>
          <w:rFonts w:ascii="宋体" w:hAnsi="宋体" w:eastAsia="宋体"/>
          <w:sz w:val="24"/>
          <w:highlight w:val="none"/>
        </w:rPr>
        <w:t>手续由联合体</w:t>
      </w:r>
      <w:r>
        <w:rPr>
          <w:rFonts w:hint="eastAsia" w:ascii="宋体" w:hAnsi="宋体" w:eastAsia="宋体"/>
          <w:sz w:val="24"/>
          <w:highlight w:val="none"/>
        </w:rPr>
        <w:t>中</w:t>
      </w:r>
      <w:r>
        <w:rPr>
          <w:rFonts w:ascii="宋体" w:hAnsi="宋体" w:eastAsia="宋体"/>
          <w:sz w:val="24"/>
          <w:highlight w:val="none"/>
        </w:rPr>
        <w:t>任</w:t>
      </w:r>
      <w:r>
        <w:rPr>
          <w:rFonts w:hint="eastAsia" w:ascii="宋体" w:hAnsi="宋体" w:eastAsia="宋体"/>
          <w:sz w:val="24"/>
          <w:highlight w:val="none"/>
        </w:rPr>
        <w:t>一成员单位</w:t>
      </w:r>
      <w:r>
        <w:rPr>
          <w:rFonts w:ascii="宋体" w:hAnsi="宋体" w:eastAsia="宋体"/>
          <w:sz w:val="24"/>
          <w:highlight w:val="none"/>
        </w:rPr>
        <w:t>办理均可。</w:t>
      </w:r>
    </w:p>
    <w:p w14:paraId="2071296E">
      <w:pPr>
        <w:spacing w:line="360" w:lineRule="auto"/>
        <w:ind w:firstLine="435"/>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5.2联合体各方均应符合《中华人民共和国政府采购法》第二十二条规定的条件。</w:t>
      </w:r>
    </w:p>
    <w:p w14:paraId="34B41D0F">
      <w:pPr>
        <w:spacing w:line="360" w:lineRule="auto"/>
        <w:ind w:firstLine="435"/>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5.3采购人根据采购项目对投标人的特殊要求，联合体中至少应当有一方符合相关规定。</w:t>
      </w:r>
    </w:p>
    <w:p w14:paraId="4AA86B45">
      <w:pPr>
        <w:spacing w:line="360" w:lineRule="auto"/>
        <w:ind w:firstLine="435"/>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5.4联合体各方应签订</w:t>
      </w:r>
      <w:r>
        <w:rPr>
          <w:rFonts w:hint="eastAsia" w:ascii="宋体" w:hAnsi="宋体" w:eastAsia="宋体"/>
          <w:sz w:val="24"/>
          <w:highlight w:val="none"/>
        </w:rPr>
        <w:t>联合协议</w:t>
      </w:r>
      <w:r>
        <w:rPr>
          <w:rFonts w:ascii="宋体" w:hAnsi="宋体" w:eastAsia="宋体"/>
          <w:sz w:val="24"/>
          <w:highlight w:val="none"/>
        </w:rPr>
        <w:t>，明确约定联合体各方承担的工作和相应的责任，并将</w:t>
      </w:r>
      <w:r>
        <w:rPr>
          <w:rFonts w:hint="eastAsia" w:ascii="宋体" w:hAnsi="宋体" w:eastAsia="宋体"/>
          <w:sz w:val="24"/>
          <w:highlight w:val="none"/>
        </w:rPr>
        <w:t>联合协议</w:t>
      </w:r>
      <w:r>
        <w:rPr>
          <w:rFonts w:ascii="宋体" w:hAnsi="宋体" w:eastAsia="宋体"/>
          <w:sz w:val="24"/>
          <w:highlight w:val="none"/>
        </w:rPr>
        <w:t>作为投标文件</w:t>
      </w:r>
      <w:r>
        <w:rPr>
          <w:rFonts w:hint="eastAsia" w:ascii="宋体" w:hAnsi="宋体" w:eastAsia="宋体"/>
          <w:sz w:val="24"/>
          <w:highlight w:val="none"/>
        </w:rPr>
        <w:t>的</w:t>
      </w:r>
      <w:r>
        <w:rPr>
          <w:rFonts w:ascii="宋体" w:hAnsi="宋体" w:eastAsia="宋体"/>
          <w:sz w:val="24"/>
          <w:highlight w:val="none"/>
        </w:rPr>
        <w:t>一部分提交。</w:t>
      </w:r>
    </w:p>
    <w:p w14:paraId="4FC67BEA">
      <w:pPr>
        <w:spacing w:line="360" w:lineRule="auto"/>
        <w:ind w:firstLine="435"/>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5.5大中型企业、其他自然人、法人或者非法人组织与小型、微型企业组成联合体共同参加投标，</w:t>
      </w:r>
      <w:r>
        <w:rPr>
          <w:rFonts w:hint="eastAsia" w:ascii="宋体" w:hAnsi="宋体" w:eastAsia="宋体"/>
          <w:sz w:val="24"/>
          <w:highlight w:val="none"/>
        </w:rPr>
        <w:t>联合协议中</w:t>
      </w:r>
      <w:r>
        <w:rPr>
          <w:rFonts w:ascii="宋体" w:hAnsi="宋体" w:eastAsia="宋体"/>
          <w:sz w:val="24"/>
          <w:highlight w:val="none"/>
        </w:rPr>
        <w:t>应写明小型、微型企业的协议合同金额占到</w:t>
      </w:r>
      <w:r>
        <w:rPr>
          <w:rFonts w:hint="eastAsia" w:ascii="宋体" w:hAnsi="宋体" w:eastAsia="宋体"/>
          <w:sz w:val="24"/>
          <w:highlight w:val="none"/>
        </w:rPr>
        <w:t>联合协议</w:t>
      </w:r>
      <w:r>
        <w:rPr>
          <w:rFonts w:ascii="宋体" w:hAnsi="宋体" w:eastAsia="宋体"/>
          <w:sz w:val="24"/>
          <w:highlight w:val="none"/>
        </w:rPr>
        <w:t>投标总金额的比例。</w:t>
      </w:r>
    </w:p>
    <w:p w14:paraId="27EE3776">
      <w:pPr>
        <w:spacing w:line="360" w:lineRule="auto"/>
        <w:ind w:firstLine="435"/>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5.6</w:t>
      </w:r>
      <w:r>
        <w:rPr>
          <w:rFonts w:hint="eastAsia" w:ascii="宋体" w:hAnsi="宋体" w:eastAsia="宋体"/>
          <w:sz w:val="24"/>
          <w:highlight w:val="none"/>
        </w:rPr>
        <w:t>联合体中有同类资质的供应商按照联合体分工承担相同工作的，</w:t>
      </w:r>
      <w:r>
        <w:rPr>
          <w:rFonts w:ascii="宋体" w:hAnsi="宋体" w:eastAsia="宋体"/>
          <w:sz w:val="24"/>
          <w:highlight w:val="none"/>
        </w:rPr>
        <w:t>应当按照</w:t>
      </w:r>
      <w:r>
        <w:rPr>
          <w:rFonts w:hint="eastAsia" w:ascii="宋体" w:hAnsi="宋体" w:eastAsia="宋体"/>
          <w:sz w:val="24"/>
          <w:highlight w:val="none"/>
        </w:rPr>
        <w:t>资质等级较低的供应商确定资质等级。</w:t>
      </w:r>
    </w:p>
    <w:p w14:paraId="03BAAABC">
      <w:pPr>
        <w:spacing w:line="360" w:lineRule="auto"/>
        <w:ind w:firstLine="435"/>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5.7以联合体形式参加政府采购活动的，联合体各方不得再单独参加或者与其他供应商另外组成联合体参加本项目投标，否则相关投标将被认定为</w:t>
      </w:r>
      <w:r>
        <w:rPr>
          <w:rFonts w:ascii="宋体" w:hAnsi="宋体" w:eastAsia="宋体"/>
          <w:b/>
          <w:sz w:val="24"/>
          <w:highlight w:val="none"/>
        </w:rPr>
        <w:t>投标无效</w:t>
      </w:r>
      <w:r>
        <w:rPr>
          <w:rFonts w:ascii="宋体" w:hAnsi="宋体" w:eastAsia="宋体"/>
          <w:sz w:val="24"/>
          <w:highlight w:val="none"/>
        </w:rPr>
        <w:t>。</w:t>
      </w:r>
    </w:p>
    <w:p w14:paraId="5FCE69C0">
      <w:pPr>
        <w:spacing w:line="360" w:lineRule="auto"/>
        <w:ind w:firstLine="435"/>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5.8对联合体投标的其他资格要求见</w:t>
      </w:r>
      <w:r>
        <w:rPr>
          <w:rFonts w:hint="eastAsia" w:ascii="宋体" w:hAnsi="宋体" w:eastAsia="宋体"/>
          <w:sz w:val="24"/>
          <w:highlight w:val="none"/>
        </w:rPr>
        <w:t>申请人的资格要求</w:t>
      </w:r>
      <w:r>
        <w:rPr>
          <w:rFonts w:ascii="宋体" w:hAnsi="宋体" w:eastAsia="宋体"/>
          <w:sz w:val="24"/>
          <w:highlight w:val="none"/>
        </w:rPr>
        <w:t>。</w:t>
      </w:r>
    </w:p>
    <w:p w14:paraId="03465548">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2.资金落实情况</w:t>
      </w:r>
    </w:p>
    <w:p w14:paraId="41BF62FC">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本</w:t>
      </w:r>
      <w:r>
        <w:rPr>
          <w:rFonts w:hint="eastAsia" w:ascii="宋体" w:hAnsi="宋体" w:eastAsia="宋体"/>
          <w:sz w:val="24"/>
          <w:highlight w:val="none"/>
        </w:rPr>
        <w:t>项目</w:t>
      </w:r>
      <w:r>
        <w:rPr>
          <w:rFonts w:hint="eastAsia" w:asciiTheme="minorEastAsia" w:hAnsiTheme="minorEastAsia" w:eastAsiaTheme="minorEastAsia"/>
          <w:sz w:val="24"/>
          <w:highlight w:val="none"/>
        </w:rPr>
        <w:t>的采购人已获得足以支付本次招标后所签订的合同项下的资金。</w:t>
      </w:r>
    </w:p>
    <w:p w14:paraId="6E2D5C27">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3.投标费用</w:t>
      </w:r>
    </w:p>
    <w:p w14:paraId="1C7E7244">
      <w:pPr>
        <w:spacing w:line="360" w:lineRule="auto"/>
        <w:ind w:firstLine="435"/>
        <w:rPr>
          <w:rFonts w:ascii="宋体" w:hAnsi="宋体" w:eastAsia="宋体"/>
          <w:sz w:val="24"/>
          <w:highlight w:val="none"/>
        </w:rPr>
      </w:pPr>
      <w:r>
        <w:rPr>
          <w:rFonts w:hint="eastAsia" w:ascii="宋体" w:hAnsi="宋体" w:eastAsia="宋体"/>
          <w:sz w:val="24"/>
          <w:highlight w:val="none"/>
        </w:rPr>
        <w:t>不论投标的结果如何，投标人应承担所有与准备和参加投标有关的费用。</w:t>
      </w:r>
    </w:p>
    <w:p w14:paraId="376AD0B8">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4.适用法律</w:t>
      </w:r>
    </w:p>
    <w:p w14:paraId="70389805">
      <w:pPr>
        <w:spacing w:line="360" w:lineRule="auto"/>
        <w:ind w:firstLine="435"/>
        <w:rPr>
          <w:rFonts w:asciiTheme="minorEastAsia" w:hAnsiTheme="minorEastAsia" w:eastAsiaTheme="minorEastAsia"/>
          <w:b/>
          <w:sz w:val="24"/>
          <w:highlight w:val="none"/>
        </w:rPr>
      </w:pPr>
      <w:r>
        <w:rPr>
          <w:rFonts w:hint="eastAsia" w:ascii="宋体" w:hAnsi="宋体" w:eastAsia="宋体"/>
          <w:sz w:val="24"/>
          <w:highlight w:val="none"/>
        </w:rPr>
        <w:t>本项目采购人、采购代理机构、投标人、评标委员会的相关行为均受《中华人民共和国政府采购法》、《中华人民共和国政府采购法实施条例》及本项目本级和上级财政部门、政府采购监督管理部门的政府采购有关规定的约束，其权利受到上述法律法规的保护。</w:t>
      </w:r>
    </w:p>
    <w:p w14:paraId="4E51BB4D">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5.招标文件构成</w:t>
      </w:r>
    </w:p>
    <w:p w14:paraId="45AE5196">
      <w:pPr>
        <w:spacing w:line="360" w:lineRule="auto"/>
        <w:ind w:firstLine="435"/>
        <w:rPr>
          <w:rFonts w:ascii="宋体" w:hAnsi="宋体" w:eastAsia="宋体"/>
          <w:sz w:val="24"/>
          <w:highlight w:val="none"/>
        </w:rPr>
      </w:pPr>
      <w:r>
        <w:rPr>
          <w:rFonts w:hint="eastAsia" w:ascii="宋体" w:hAnsi="宋体" w:eastAsia="宋体"/>
          <w:sz w:val="24"/>
          <w:highlight w:val="none"/>
        </w:rPr>
        <w:t>5.1招标文件包括下列内容：</w:t>
      </w:r>
    </w:p>
    <w:p w14:paraId="378F3381">
      <w:pPr>
        <w:spacing w:line="360" w:lineRule="auto"/>
        <w:ind w:firstLine="840" w:firstLineChars="3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第一章招标公告</w:t>
      </w:r>
    </w:p>
    <w:p w14:paraId="43E18809">
      <w:pPr>
        <w:spacing w:line="360" w:lineRule="auto"/>
        <w:ind w:firstLine="840" w:firstLineChars="3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第二章</w:t>
      </w:r>
      <w:r>
        <w:rPr>
          <w:rFonts w:asciiTheme="minorEastAsia" w:hAnsiTheme="minorEastAsia" w:eastAsiaTheme="minorEastAsia"/>
          <w:sz w:val="24"/>
          <w:highlight w:val="none"/>
        </w:rPr>
        <w:t xml:space="preserve">  投标人须知</w:t>
      </w:r>
    </w:p>
    <w:p w14:paraId="564712B5">
      <w:pPr>
        <w:spacing w:line="360" w:lineRule="auto"/>
        <w:ind w:firstLine="840" w:firstLineChars="3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第三章</w:t>
      </w:r>
      <w:r>
        <w:rPr>
          <w:rFonts w:asciiTheme="minorEastAsia" w:hAnsiTheme="minorEastAsia" w:eastAsiaTheme="minorEastAsia"/>
          <w:sz w:val="24"/>
          <w:highlight w:val="none"/>
        </w:rPr>
        <w:t xml:space="preserve">  采购需求</w:t>
      </w:r>
    </w:p>
    <w:p w14:paraId="548A7E84">
      <w:pPr>
        <w:spacing w:line="360" w:lineRule="auto"/>
        <w:ind w:firstLine="840" w:firstLineChars="3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第四章</w:t>
      </w:r>
      <w:r>
        <w:rPr>
          <w:rFonts w:asciiTheme="minorEastAsia" w:hAnsiTheme="minorEastAsia" w:eastAsiaTheme="minorEastAsia"/>
          <w:sz w:val="24"/>
          <w:highlight w:val="none"/>
        </w:rPr>
        <w:t xml:space="preserve">  评标</w:t>
      </w:r>
      <w:r>
        <w:rPr>
          <w:rFonts w:hint="eastAsia" w:asciiTheme="minorEastAsia" w:hAnsiTheme="minorEastAsia" w:eastAsiaTheme="minorEastAsia"/>
          <w:sz w:val="24"/>
          <w:highlight w:val="none"/>
        </w:rPr>
        <w:t>方法</w:t>
      </w:r>
      <w:r>
        <w:rPr>
          <w:rFonts w:asciiTheme="minorEastAsia" w:hAnsiTheme="minorEastAsia" w:eastAsiaTheme="minorEastAsia"/>
          <w:sz w:val="24"/>
          <w:highlight w:val="none"/>
        </w:rPr>
        <w:t>和标准</w:t>
      </w:r>
    </w:p>
    <w:p w14:paraId="047812D5">
      <w:pPr>
        <w:spacing w:line="360" w:lineRule="auto"/>
        <w:ind w:firstLine="840" w:firstLineChars="3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第五章</w:t>
      </w:r>
      <w:r>
        <w:rPr>
          <w:rFonts w:asciiTheme="minorEastAsia" w:hAnsiTheme="minorEastAsia" w:eastAsiaTheme="minorEastAsia"/>
          <w:sz w:val="24"/>
          <w:highlight w:val="none"/>
        </w:rPr>
        <w:t xml:space="preserve">  政府采购合同</w:t>
      </w:r>
    </w:p>
    <w:p w14:paraId="67772BB4">
      <w:pPr>
        <w:spacing w:line="360" w:lineRule="auto"/>
        <w:ind w:firstLine="840" w:firstLineChars="3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第六章</w:t>
      </w:r>
      <w:r>
        <w:rPr>
          <w:rFonts w:asciiTheme="minorEastAsia" w:hAnsiTheme="minorEastAsia" w:eastAsiaTheme="minorEastAsia"/>
          <w:sz w:val="24"/>
          <w:highlight w:val="none"/>
        </w:rPr>
        <w:t xml:space="preserve">  投标文件格式</w:t>
      </w:r>
    </w:p>
    <w:p w14:paraId="5A9E26C8">
      <w:pPr>
        <w:spacing w:line="360" w:lineRule="auto"/>
        <w:ind w:firstLine="840" w:firstLineChars="3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第七章</w:t>
      </w:r>
      <w:r>
        <w:rPr>
          <w:rFonts w:asciiTheme="minorEastAsia" w:hAnsiTheme="minorEastAsia" w:eastAsiaTheme="minorEastAsia"/>
          <w:sz w:val="24"/>
          <w:highlight w:val="none"/>
        </w:rPr>
        <w:t xml:space="preserve">  政府采购</w:t>
      </w:r>
      <w:r>
        <w:rPr>
          <w:rFonts w:hint="eastAsia" w:asciiTheme="minorEastAsia" w:hAnsiTheme="minorEastAsia" w:eastAsiaTheme="minorEastAsia"/>
          <w:sz w:val="24"/>
          <w:highlight w:val="none"/>
        </w:rPr>
        <w:t>询问函和</w:t>
      </w:r>
      <w:r>
        <w:rPr>
          <w:rFonts w:asciiTheme="minorEastAsia" w:hAnsiTheme="minorEastAsia" w:eastAsiaTheme="minorEastAsia"/>
          <w:sz w:val="24"/>
          <w:highlight w:val="none"/>
        </w:rPr>
        <w:t>质疑函范本</w:t>
      </w:r>
    </w:p>
    <w:p w14:paraId="67200E42">
      <w:pPr>
        <w:spacing w:line="360" w:lineRule="auto"/>
        <w:ind w:firstLine="840" w:firstLineChars="3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第八章  安天智采全流程电子招投标注意事项</w:t>
      </w:r>
    </w:p>
    <w:p w14:paraId="2FDBA683">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现场</w:t>
      </w:r>
      <w:r>
        <w:rPr>
          <w:rFonts w:hint="eastAsia" w:asciiTheme="minorEastAsia" w:hAnsiTheme="minorEastAsia" w:eastAsiaTheme="minorEastAsia"/>
          <w:sz w:val="24"/>
          <w:highlight w:val="none"/>
        </w:rPr>
        <w:t>考察（标前答疑会）</w:t>
      </w:r>
      <w:r>
        <w:rPr>
          <w:rFonts w:asciiTheme="minorEastAsia" w:hAnsiTheme="minorEastAsia" w:eastAsiaTheme="minorEastAsia"/>
          <w:sz w:val="24"/>
          <w:highlight w:val="none"/>
        </w:rPr>
        <w:t>及相关事项见</w:t>
      </w:r>
      <w:r>
        <w:rPr>
          <w:rFonts w:asciiTheme="minorEastAsia" w:hAnsiTheme="minorEastAsia" w:eastAsiaTheme="minorEastAsia"/>
          <w:sz w:val="24"/>
          <w:highlight w:val="none"/>
          <w:u w:val="single"/>
        </w:rPr>
        <w:t>投标</w:t>
      </w:r>
      <w:r>
        <w:rPr>
          <w:rFonts w:hint="eastAsia" w:asciiTheme="minorEastAsia" w:hAnsiTheme="minorEastAsia" w:eastAsiaTheme="minorEastAsia"/>
          <w:sz w:val="24"/>
          <w:highlight w:val="none"/>
          <w:u w:val="single"/>
        </w:rPr>
        <w:t>人</w:t>
      </w:r>
      <w:r>
        <w:rPr>
          <w:rFonts w:asciiTheme="minorEastAsia" w:hAnsiTheme="minorEastAsia" w:eastAsiaTheme="minorEastAsia"/>
          <w:sz w:val="24"/>
          <w:highlight w:val="none"/>
          <w:u w:val="single"/>
        </w:rPr>
        <w:t>须知前附表</w:t>
      </w:r>
      <w:r>
        <w:rPr>
          <w:rFonts w:asciiTheme="minorEastAsia" w:hAnsiTheme="minorEastAsia" w:eastAsiaTheme="minorEastAsia"/>
          <w:sz w:val="24"/>
          <w:highlight w:val="none"/>
        </w:rPr>
        <w:t>。</w:t>
      </w:r>
    </w:p>
    <w:p w14:paraId="2EFB76A6">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3</w:t>
      </w:r>
      <w:r>
        <w:rPr>
          <w:rFonts w:asciiTheme="minorEastAsia" w:hAnsiTheme="minorEastAsia" w:eastAsiaTheme="minorEastAsia"/>
          <w:sz w:val="24"/>
          <w:highlight w:val="none"/>
        </w:rPr>
        <w:t>原则上采购人、采购代理机构不要求投标人提供样品。仅凭书面方式不能准确描述采购需求，或者需要对样品进行主观判断以确认是否满足采购需求等特殊情况除外。</w:t>
      </w:r>
    </w:p>
    <w:p w14:paraId="3985BF7B">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如需提供样品，对样品相关要求见</w:t>
      </w:r>
      <w:r>
        <w:rPr>
          <w:rFonts w:hint="eastAsia" w:asciiTheme="minorEastAsia" w:hAnsiTheme="minorEastAsia" w:eastAsiaTheme="minorEastAsia"/>
          <w:sz w:val="24"/>
          <w:highlight w:val="none"/>
        </w:rPr>
        <w:t>采购需求</w:t>
      </w:r>
      <w:r>
        <w:rPr>
          <w:rFonts w:asciiTheme="minorEastAsia" w:hAnsiTheme="minorEastAsia" w:eastAsiaTheme="minorEastAsia"/>
          <w:sz w:val="24"/>
          <w:highlight w:val="none"/>
        </w:rPr>
        <w:t>，对样品的评审方法及评审标准见招标文件第</w:t>
      </w:r>
      <w:r>
        <w:rPr>
          <w:rFonts w:hint="eastAsia" w:asciiTheme="minorEastAsia" w:hAnsiTheme="minorEastAsia" w:eastAsiaTheme="minorEastAsia"/>
          <w:sz w:val="24"/>
          <w:highlight w:val="none"/>
        </w:rPr>
        <w:t>四</w:t>
      </w:r>
      <w:r>
        <w:rPr>
          <w:rFonts w:asciiTheme="minorEastAsia" w:hAnsiTheme="minorEastAsia" w:eastAsiaTheme="minorEastAsia"/>
          <w:sz w:val="24"/>
          <w:highlight w:val="none"/>
        </w:rPr>
        <w:t>章。</w:t>
      </w:r>
    </w:p>
    <w:p w14:paraId="04E5486E">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投标人应认真阅读招标文件所有的事项、格式、条款和技术规范等。</w:t>
      </w:r>
    </w:p>
    <w:p w14:paraId="222C2F13">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6.招标文件的澄清与修改</w:t>
      </w:r>
    </w:p>
    <w:p w14:paraId="149F070D">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投标人如对招标文件内容有疑问，必须在</w:t>
      </w:r>
      <w:r>
        <w:rPr>
          <w:rFonts w:ascii="宋体" w:hAnsi="宋体" w:eastAsia="宋体"/>
          <w:sz w:val="24"/>
          <w:highlight w:val="none"/>
          <w:u w:val="single"/>
        </w:rPr>
        <w:t>投标人须知前附表</w:t>
      </w:r>
      <w:r>
        <w:rPr>
          <w:rFonts w:asciiTheme="minorEastAsia" w:hAnsiTheme="minorEastAsia" w:eastAsiaTheme="minorEastAsia"/>
          <w:sz w:val="24"/>
          <w:highlight w:val="none"/>
        </w:rPr>
        <w:t>规定的</w:t>
      </w:r>
      <w:r>
        <w:rPr>
          <w:rFonts w:hint="eastAsia" w:asciiTheme="minorEastAsia" w:hAnsiTheme="minorEastAsia" w:eastAsiaTheme="minorEastAsia"/>
          <w:sz w:val="24"/>
          <w:highlight w:val="none"/>
        </w:rPr>
        <w:t>网上询问</w:t>
      </w:r>
      <w:r>
        <w:rPr>
          <w:rFonts w:asciiTheme="minorEastAsia" w:hAnsiTheme="minorEastAsia" w:eastAsiaTheme="minorEastAsia"/>
          <w:sz w:val="24"/>
          <w:highlight w:val="none"/>
        </w:rPr>
        <w:t>截止时间前以网上提问形式</w:t>
      </w:r>
      <w:r>
        <w:rPr>
          <w:rFonts w:hint="eastAsia" w:asciiTheme="minorEastAsia" w:hAnsiTheme="minorEastAsia" w:eastAsiaTheme="minorEastAsia"/>
          <w:sz w:val="24"/>
          <w:highlight w:val="none"/>
        </w:rPr>
        <w:t>（电子交易系统）</w:t>
      </w:r>
      <w:r>
        <w:rPr>
          <w:rFonts w:asciiTheme="minorEastAsia" w:hAnsiTheme="minorEastAsia" w:eastAsiaTheme="minorEastAsia"/>
          <w:sz w:val="24"/>
          <w:highlight w:val="none"/>
        </w:rPr>
        <w:t>提交给采购代理机构。</w:t>
      </w:r>
    </w:p>
    <w:p w14:paraId="18600A75">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2采购人可主动地或在答复投标人提出的询问时对招标文件进行澄清与修改。</w:t>
      </w:r>
      <w:r>
        <w:rPr>
          <w:rFonts w:asciiTheme="minorEastAsia" w:hAnsiTheme="minorEastAsia" w:eastAsiaTheme="minorEastAsia"/>
          <w:sz w:val="24"/>
          <w:highlight w:val="none"/>
        </w:rPr>
        <w:t>采购代理机构将</w:t>
      </w:r>
      <w:r>
        <w:rPr>
          <w:rFonts w:hint="eastAsia" w:asciiTheme="minorEastAsia" w:hAnsiTheme="minorEastAsia" w:eastAsiaTheme="minorEastAsia"/>
          <w:sz w:val="24"/>
          <w:highlight w:val="none"/>
        </w:rPr>
        <w:t>在安徽省政府采购网以发布更正公告的方式</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澄清或修改招标文件，更正公告的</w:t>
      </w:r>
      <w:r>
        <w:rPr>
          <w:rFonts w:asciiTheme="minorEastAsia" w:hAnsiTheme="minorEastAsia" w:eastAsiaTheme="minorEastAsia"/>
          <w:sz w:val="24"/>
          <w:highlight w:val="none"/>
        </w:rPr>
        <w:t>内容</w:t>
      </w:r>
      <w:r>
        <w:rPr>
          <w:rFonts w:hint="eastAsia" w:asciiTheme="minorEastAsia" w:hAnsiTheme="minorEastAsia" w:eastAsiaTheme="minorEastAsia"/>
          <w:sz w:val="24"/>
          <w:highlight w:val="none"/>
        </w:rPr>
        <w:t>作</w:t>
      </w:r>
      <w:r>
        <w:rPr>
          <w:rFonts w:asciiTheme="minorEastAsia" w:hAnsiTheme="minorEastAsia" w:eastAsiaTheme="minorEastAsia"/>
          <w:sz w:val="24"/>
          <w:highlight w:val="none"/>
        </w:rPr>
        <w:t>为招标文件</w:t>
      </w:r>
      <w:r>
        <w:rPr>
          <w:rFonts w:hint="eastAsia" w:asciiTheme="minorEastAsia" w:hAnsiTheme="minorEastAsia" w:eastAsiaTheme="minorEastAsia"/>
          <w:sz w:val="24"/>
          <w:highlight w:val="none"/>
        </w:rPr>
        <w:t>的</w:t>
      </w:r>
      <w:r>
        <w:rPr>
          <w:rFonts w:asciiTheme="minorEastAsia" w:hAnsiTheme="minorEastAsia" w:eastAsiaTheme="minorEastAsia"/>
          <w:sz w:val="24"/>
          <w:highlight w:val="none"/>
        </w:rPr>
        <w:t>组成部分，对投标人起约束作用</w:t>
      </w:r>
      <w:r>
        <w:rPr>
          <w:rFonts w:hint="eastAsia" w:asciiTheme="minorEastAsia" w:hAnsiTheme="minorEastAsia" w:eastAsiaTheme="minorEastAsia"/>
          <w:sz w:val="24"/>
          <w:highlight w:val="none"/>
        </w:rPr>
        <w:t>。投标人应主动上网查询。采购代理机构不承担投标人未及时关注相关信息引发的相关责任。</w:t>
      </w:r>
    </w:p>
    <w:p w14:paraId="7F09E95B">
      <w:pPr>
        <w:spacing w:line="360" w:lineRule="auto"/>
        <w:ind w:firstLine="435"/>
        <w:rPr>
          <w:rFonts w:ascii="宋体" w:hAnsi="宋体" w:eastAsia="宋体"/>
          <w:sz w:val="24"/>
          <w:highlight w:val="none"/>
        </w:rPr>
      </w:pPr>
      <w:r>
        <w:rPr>
          <w:rFonts w:hint="eastAsia" w:ascii="宋体" w:hAnsi="宋体" w:eastAsia="宋体"/>
          <w:sz w:val="24"/>
          <w:highlight w:val="none"/>
        </w:rPr>
        <w:t>6.3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6E53962C">
      <w:pPr>
        <w:spacing w:line="360" w:lineRule="auto"/>
        <w:ind w:firstLine="435"/>
        <w:rPr>
          <w:rFonts w:asciiTheme="minorEastAsia" w:hAnsiTheme="minorEastAsia" w:eastAsiaTheme="minorEastAsia"/>
          <w:i/>
          <w:iCs/>
          <w:sz w:val="24"/>
          <w:highlight w:val="none"/>
        </w:rPr>
      </w:pPr>
      <w:r>
        <w:rPr>
          <w:rFonts w:hint="eastAsia" w:asciiTheme="minorEastAsia" w:hAnsiTheme="minorEastAsia" w:eastAsiaTheme="minorEastAsia"/>
          <w:sz w:val="24"/>
          <w:highlight w:val="none"/>
        </w:rPr>
        <w:t>6</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对于</w:t>
      </w:r>
      <w:r>
        <w:rPr>
          <w:rFonts w:ascii="宋体" w:hAnsi="宋体" w:eastAsia="宋体"/>
          <w:sz w:val="24"/>
          <w:highlight w:val="none"/>
        </w:rPr>
        <w:t>没有</w:t>
      </w:r>
      <w:r>
        <w:rPr>
          <w:rFonts w:asciiTheme="minorEastAsia" w:hAnsiTheme="minorEastAsia" w:eastAsiaTheme="minorEastAsia"/>
          <w:sz w:val="24"/>
          <w:highlight w:val="none"/>
        </w:rPr>
        <w:t>提出</w:t>
      </w:r>
      <w:r>
        <w:rPr>
          <w:rFonts w:hint="eastAsia" w:asciiTheme="minorEastAsia" w:hAnsiTheme="minorEastAsia" w:eastAsiaTheme="minorEastAsia"/>
          <w:sz w:val="24"/>
          <w:highlight w:val="none"/>
        </w:rPr>
        <w:t>疑问</w:t>
      </w:r>
      <w:r>
        <w:rPr>
          <w:rFonts w:asciiTheme="minorEastAsia" w:hAnsiTheme="minorEastAsia" w:eastAsiaTheme="minorEastAsia"/>
          <w:sz w:val="24"/>
          <w:highlight w:val="none"/>
        </w:rPr>
        <w:t>又参与了</w:t>
      </w:r>
      <w:r>
        <w:rPr>
          <w:rFonts w:hint="eastAsia" w:asciiTheme="minorEastAsia" w:hAnsiTheme="minorEastAsia" w:eastAsiaTheme="minorEastAsia"/>
          <w:sz w:val="24"/>
          <w:highlight w:val="none"/>
        </w:rPr>
        <w:t>本</w:t>
      </w:r>
      <w:r>
        <w:rPr>
          <w:rFonts w:asciiTheme="minorEastAsia" w:hAnsiTheme="minorEastAsia" w:eastAsiaTheme="minorEastAsia"/>
          <w:sz w:val="24"/>
          <w:highlight w:val="none"/>
        </w:rPr>
        <w:t>项目投标的</w:t>
      </w:r>
      <w:r>
        <w:rPr>
          <w:rFonts w:hint="eastAsia" w:asciiTheme="minorEastAsia" w:hAnsiTheme="minorEastAsia" w:eastAsiaTheme="minorEastAsia"/>
          <w:sz w:val="24"/>
          <w:highlight w:val="none"/>
        </w:rPr>
        <w:t>投标人</w:t>
      </w:r>
      <w:r>
        <w:rPr>
          <w:rFonts w:asciiTheme="minorEastAsia" w:hAnsiTheme="minorEastAsia" w:eastAsiaTheme="minorEastAsia"/>
          <w:sz w:val="24"/>
          <w:highlight w:val="none"/>
        </w:rPr>
        <w:t>将被视为完全认同</w:t>
      </w:r>
      <w:r>
        <w:rPr>
          <w:rFonts w:hint="eastAsia" w:asciiTheme="minorEastAsia" w:hAnsiTheme="minorEastAsia" w:eastAsiaTheme="minorEastAsia"/>
          <w:sz w:val="24"/>
          <w:highlight w:val="none"/>
        </w:rPr>
        <w:t>本</w:t>
      </w:r>
      <w:r>
        <w:rPr>
          <w:rFonts w:asciiTheme="minorEastAsia" w:hAnsiTheme="minorEastAsia" w:eastAsiaTheme="minorEastAsia"/>
          <w:sz w:val="24"/>
          <w:highlight w:val="none"/>
        </w:rPr>
        <w:t>招标文件（含</w:t>
      </w:r>
      <w:r>
        <w:rPr>
          <w:rFonts w:hint="eastAsia" w:asciiTheme="minorEastAsia" w:hAnsiTheme="minorEastAsia" w:eastAsiaTheme="minorEastAsia"/>
          <w:sz w:val="24"/>
          <w:highlight w:val="none"/>
        </w:rPr>
        <w:t>更正公告的</w:t>
      </w:r>
      <w:r>
        <w:rPr>
          <w:rFonts w:asciiTheme="minorEastAsia" w:hAnsiTheme="minorEastAsia" w:eastAsiaTheme="minorEastAsia"/>
          <w:sz w:val="24"/>
          <w:highlight w:val="none"/>
        </w:rPr>
        <w:t>内容）</w:t>
      </w:r>
      <w:r>
        <w:rPr>
          <w:rFonts w:hint="eastAsia" w:asciiTheme="minorEastAsia" w:hAnsiTheme="minorEastAsia" w:eastAsiaTheme="minorEastAsia"/>
          <w:i/>
          <w:sz w:val="24"/>
          <w:highlight w:val="none"/>
        </w:rPr>
        <w:t>。</w:t>
      </w:r>
    </w:p>
    <w:p w14:paraId="3C5E8D5F">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7.投标范围及投标文件中标准和计量单位的使用</w:t>
      </w:r>
    </w:p>
    <w:p w14:paraId="5A06C3E6">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7</w:t>
      </w:r>
      <w:r>
        <w:rPr>
          <w:rFonts w:asciiTheme="minorEastAsia" w:hAnsiTheme="minorEastAsia" w:eastAsiaTheme="minorEastAsia"/>
          <w:sz w:val="24"/>
          <w:highlight w:val="none"/>
        </w:rPr>
        <w:t>.1</w:t>
      </w:r>
      <w:r>
        <w:rPr>
          <w:rFonts w:ascii="宋体" w:hAnsi="宋体" w:eastAsia="宋体"/>
          <w:sz w:val="24"/>
          <w:highlight w:val="none"/>
        </w:rPr>
        <w:t>项目</w:t>
      </w:r>
      <w:r>
        <w:rPr>
          <w:rFonts w:asciiTheme="minorEastAsia" w:hAnsiTheme="minorEastAsia" w:eastAsiaTheme="minorEastAsia"/>
          <w:sz w:val="24"/>
          <w:highlight w:val="none"/>
        </w:rPr>
        <w:t>有分包的，投标人可对招标文件其中某一个或几个分包进行投标，除非在</w:t>
      </w:r>
      <w:r>
        <w:rPr>
          <w:rFonts w:asciiTheme="minorEastAsia" w:hAnsiTheme="minorEastAsia" w:eastAsiaTheme="minorEastAsia"/>
          <w:sz w:val="24"/>
          <w:highlight w:val="none"/>
          <w:u w:val="single"/>
        </w:rPr>
        <w:t>投标人须知前附表</w:t>
      </w:r>
      <w:r>
        <w:rPr>
          <w:rFonts w:asciiTheme="minorEastAsia" w:hAnsiTheme="minorEastAsia" w:eastAsiaTheme="minorEastAsia"/>
          <w:sz w:val="24"/>
          <w:highlight w:val="none"/>
        </w:rPr>
        <w:t>中另有规定。</w:t>
      </w:r>
    </w:p>
    <w:p w14:paraId="12F1A0BF">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7</w:t>
      </w:r>
      <w:r>
        <w:rPr>
          <w:rFonts w:asciiTheme="minorEastAsia" w:hAnsiTheme="minorEastAsia" w:eastAsiaTheme="minorEastAsia"/>
          <w:sz w:val="24"/>
          <w:highlight w:val="none"/>
        </w:rPr>
        <w:t>.2投标人应当对所投分包招标文件中“</w:t>
      </w:r>
      <w:r>
        <w:rPr>
          <w:rFonts w:hint="eastAsia" w:asciiTheme="minorEastAsia" w:hAnsiTheme="minorEastAsia" w:eastAsiaTheme="minorEastAsia"/>
          <w:sz w:val="24"/>
          <w:highlight w:val="none"/>
        </w:rPr>
        <w:t>采购</w:t>
      </w:r>
      <w:r>
        <w:rPr>
          <w:rFonts w:asciiTheme="minorEastAsia" w:hAnsiTheme="minorEastAsia" w:eastAsiaTheme="minorEastAsia"/>
          <w:sz w:val="24"/>
          <w:highlight w:val="none"/>
        </w:rPr>
        <w:t>需求”所列的所有内容进行投标，如仅响应</w:t>
      </w:r>
      <w:r>
        <w:rPr>
          <w:rFonts w:hint="eastAsia" w:asciiTheme="minorEastAsia" w:hAnsiTheme="minorEastAsia" w:eastAsiaTheme="minorEastAsia"/>
          <w:sz w:val="24"/>
          <w:highlight w:val="none"/>
        </w:rPr>
        <w:t>所投包别</w:t>
      </w:r>
      <w:r>
        <w:rPr>
          <w:rFonts w:asciiTheme="minorEastAsia" w:hAnsiTheme="minorEastAsia" w:eastAsiaTheme="minorEastAsia"/>
          <w:sz w:val="24"/>
          <w:highlight w:val="none"/>
        </w:rPr>
        <w:t>中的部分内容，其</w:t>
      </w:r>
      <w:r>
        <w:rPr>
          <w:rFonts w:hint="eastAsia" w:asciiTheme="minorEastAsia" w:hAnsiTheme="minorEastAsia" w:eastAsiaTheme="minorEastAsia"/>
          <w:sz w:val="24"/>
          <w:highlight w:val="none"/>
        </w:rPr>
        <w:t>所投包别的</w:t>
      </w:r>
      <w:r>
        <w:rPr>
          <w:rFonts w:asciiTheme="minorEastAsia" w:hAnsiTheme="minorEastAsia" w:eastAsiaTheme="minorEastAsia"/>
          <w:sz w:val="24"/>
          <w:highlight w:val="none"/>
        </w:rPr>
        <w:t>投标将被认定为</w:t>
      </w:r>
      <w:r>
        <w:rPr>
          <w:rFonts w:asciiTheme="minorEastAsia" w:hAnsiTheme="minorEastAsia" w:eastAsiaTheme="minorEastAsia"/>
          <w:b/>
          <w:sz w:val="24"/>
          <w:highlight w:val="none"/>
        </w:rPr>
        <w:t>投标无效</w:t>
      </w:r>
      <w:r>
        <w:rPr>
          <w:rFonts w:asciiTheme="minorEastAsia" w:hAnsiTheme="minorEastAsia" w:eastAsiaTheme="minorEastAsia"/>
          <w:sz w:val="24"/>
          <w:highlight w:val="none"/>
        </w:rPr>
        <w:t>。</w:t>
      </w:r>
    </w:p>
    <w:p w14:paraId="4F7C9C77">
      <w:pPr>
        <w:spacing w:line="360" w:lineRule="auto"/>
        <w:ind w:firstLine="435"/>
        <w:rPr>
          <w:rFonts w:asciiTheme="minorEastAsia" w:hAnsiTheme="minorEastAsia" w:eastAsiaTheme="minorEastAsia"/>
          <w:sz w:val="24"/>
          <w:highlight w:val="none"/>
        </w:rPr>
      </w:pPr>
      <w:bookmarkStart w:id="66" w:name="_Hlk16458980"/>
      <w:r>
        <w:rPr>
          <w:rFonts w:hint="eastAsia" w:asciiTheme="minorEastAsia" w:hAnsiTheme="minorEastAsia" w:eastAsiaTheme="minorEastAsia"/>
          <w:sz w:val="24"/>
          <w:highlight w:val="none"/>
        </w:rPr>
        <w:t>7</w:t>
      </w:r>
      <w:r>
        <w:rPr>
          <w:rFonts w:asciiTheme="minorEastAsia" w:hAnsiTheme="minorEastAsia" w:eastAsiaTheme="minorEastAsia"/>
          <w:sz w:val="24"/>
          <w:highlight w:val="none"/>
        </w:rPr>
        <w:t>.3无论招标文件中是否要求，</w:t>
      </w:r>
      <w:r>
        <w:rPr>
          <w:rFonts w:hint="eastAsia" w:asciiTheme="minorEastAsia" w:hAnsiTheme="minorEastAsia" w:eastAsiaTheme="minorEastAsia"/>
          <w:sz w:val="24"/>
          <w:highlight w:val="none"/>
        </w:rPr>
        <w:t>投标人所投货物及伴随的服务和工程均应符合国家强制性标准。</w:t>
      </w:r>
    </w:p>
    <w:bookmarkEnd w:id="66"/>
    <w:p w14:paraId="426D2C7E">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7</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投标人与采购</w:t>
      </w:r>
      <w:r>
        <w:rPr>
          <w:rFonts w:hint="eastAsia" w:asciiTheme="minorEastAsia" w:hAnsiTheme="minorEastAsia" w:eastAsiaTheme="minorEastAsia"/>
          <w:sz w:val="24"/>
          <w:highlight w:val="none"/>
        </w:rPr>
        <w:t>代理</w:t>
      </w:r>
      <w:r>
        <w:rPr>
          <w:rFonts w:asciiTheme="minorEastAsia" w:hAnsiTheme="minorEastAsia" w:eastAsiaTheme="minorEastAsia"/>
          <w:sz w:val="24"/>
          <w:highlight w:val="none"/>
        </w:rPr>
        <w:t>机构之间与投标有关的所有往来通知、函件和投标文件均用中文表述。投标人随投标文件提供的证明文件和资料可以为其它语言，但必须附中文译文。翻译的中文资料与外文资料出现差异时，以中文为准。</w:t>
      </w:r>
    </w:p>
    <w:p w14:paraId="258D183A">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7</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除</w:t>
      </w:r>
      <w:r>
        <w:rPr>
          <w:rFonts w:ascii="宋体" w:hAnsi="宋体" w:eastAsia="宋体"/>
          <w:sz w:val="24"/>
          <w:highlight w:val="none"/>
        </w:rPr>
        <w:t>招标文件</w:t>
      </w:r>
      <w:r>
        <w:rPr>
          <w:rFonts w:asciiTheme="minorEastAsia" w:hAnsiTheme="minorEastAsia" w:eastAsiaTheme="minorEastAsia"/>
          <w:sz w:val="24"/>
          <w:highlight w:val="none"/>
        </w:rPr>
        <w:t>中有特殊要求外，投标文件中所使用的计量单位，应采用中华人民共和国法定计量单位。</w:t>
      </w:r>
    </w:p>
    <w:p w14:paraId="7BA11265">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8</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投标文件构成</w:t>
      </w:r>
    </w:p>
    <w:p w14:paraId="73364993">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8</w:t>
      </w:r>
      <w:r>
        <w:rPr>
          <w:rFonts w:asciiTheme="minorEastAsia" w:hAnsiTheme="minorEastAsia" w:eastAsiaTheme="minorEastAsia"/>
          <w:sz w:val="24"/>
          <w:highlight w:val="none"/>
        </w:rPr>
        <w:t>.1</w:t>
      </w:r>
      <w:r>
        <w:rPr>
          <w:rFonts w:ascii="宋体" w:hAnsi="宋体" w:eastAsia="宋体"/>
          <w:sz w:val="24"/>
          <w:highlight w:val="none"/>
        </w:rPr>
        <w:t>投标人</w:t>
      </w:r>
      <w:r>
        <w:rPr>
          <w:rFonts w:asciiTheme="minorEastAsia" w:hAnsiTheme="minorEastAsia" w:eastAsiaTheme="minorEastAsia"/>
          <w:sz w:val="24"/>
          <w:highlight w:val="none"/>
        </w:rPr>
        <w:t>应完整地按招标文件提供的投标文件格式及要求</w:t>
      </w:r>
      <w:r>
        <w:rPr>
          <w:rFonts w:hint="eastAsia" w:asciiTheme="minorEastAsia" w:hAnsiTheme="minorEastAsia" w:eastAsiaTheme="minorEastAsia"/>
          <w:sz w:val="24"/>
          <w:highlight w:val="none"/>
        </w:rPr>
        <w:t>编</w:t>
      </w:r>
      <w:r>
        <w:rPr>
          <w:rFonts w:asciiTheme="minorEastAsia" w:hAnsiTheme="minorEastAsia" w:eastAsiaTheme="minorEastAsia"/>
          <w:sz w:val="24"/>
          <w:highlight w:val="none"/>
        </w:rPr>
        <w:t>写投标文件，</w:t>
      </w:r>
      <w:r>
        <w:rPr>
          <w:rFonts w:hint="eastAsia" w:asciiTheme="minorEastAsia" w:hAnsiTheme="minorEastAsia" w:eastAsiaTheme="minorEastAsia"/>
          <w:sz w:val="24"/>
          <w:highlight w:val="none"/>
        </w:rPr>
        <w:t>具体内容详见本项目投标文件格式的相关内容。</w:t>
      </w:r>
    </w:p>
    <w:p w14:paraId="5EC0FB00">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8.2</w:t>
      </w:r>
      <w:r>
        <w:rPr>
          <w:rFonts w:ascii="宋体" w:hAnsi="宋体" w:eastAsia="宋体"/>
          <w:sz w:val="24"/>
          <w:highlight w:val="none"/>
        </w:rPr>
        <w:t>投标人</w:t>
      </w:r>
      <w:r>
        <w:rPr>
          <w:rFonts w:asciiTheme="minorEastAsia" w:hAnsiTheme="minorEastAsia" w:eastAsiaTheme="minorEastAsia"/>
          <w:sz w:val="24"/>
          <w:highlight w:val="none"/>
        </w:rPr>
        <w:t>应提交</w:t>
      </w:r>
      <w:r>
        <w:rPr>
          <w:rFonts w:hint="eastAsia" w:asciiTheme="minorEastAsia" w:hAnsiTheme="minorEastAsia" w:eastAsiaTheme="minorEastAsia"/>
          <w:sz w:val="24"/>
          <w:highlight w:val="none"/>
        </w:rPr>
        <w:t>招标文件要求的</w:t>
      </w:r>
      <w:r>
        <w:rPr>
          <w:rFonts w:asciiTheme="minorEastAsia" w:hAnsiTheme="minorEastAsia" w:eastAsiaTheme="minorEastAsia"/>
          <w:sz w:val="24"/>
          <w:highlight w:val="none"/>
        </w:rPr>
        <w:t>证明文件，证明其投标内容符合招标文件规定</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该证明文件是投标文件的一部分</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证明文件</w:t>
      </w:r>
      <w:r>
        <w:rPr>
          <w:rFonts w:hint="eastAsia" w:asciiTheme="minorEastAsia" w:hAnsiTheme="minorEastAsia" w:eastAsiaTheme="minorEastAsia"/>
          <w:sz w:val="24"/>
          <w:highlight w:val="none"/>
        </w:rPr>
        <w:t>形式</w:t>
      </w:r>
      <w:r>
        <w:rPr>
          <w:rFonts w:asciiTheme="minorEastAsia" w:hAnsiTheme="minorEastAsia" w:eastAsiaTheme="minorEastAsia"/>
          <w:sz w:val="24"/>
          <w:highlight w:val="none"/>
        </w:rPr>
        <w:t>可以是文字资料、图纸和数据</w:t>
      </w:r>
      <w:bookmarkStart w:id="67" w:name="_Hlk11703583"/>
      <w:r>
        <w:rPr>
          <w:rFonts w:hint="eastAsia" w:asciiTheme="minorEastAsia" w:hAnsiTheme="minorEastAsia" w:eastAsiaTheme="minorEastAsia"/>
          <w:sz w:val="24"/>
          <w:highlight w:val="none"/>
        </w:rPr>
        <w:t>等。</w:t>
      </w:r>
    </w:p>
    <w:bookmarkEnd w:id="67"/>
    <w:p w14:paraId="3C2AFC5F">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8.3</w:t>
      </w:r>
      <w:r>
        <w:rPr>
          <w:rFonts w:asciiTheme="minorEastAsia" w:hAnsiTheme="minorEastAsia" w:eastAsiaTheme="minorEastAsia"/>
          <w:sz w:val="24"/>
          <w:highlight w:val="none"/>
        </w:rPr>
        <w:t>为保证</w:t>
      </w:r>
      <w:r>
        <w:rPr>
          <w:rFonts w:ascii="宋体" w:hAnsi="宋体" w:eastAsia="宋体"/>
          <w:sz w:val="24"/>
          <w:highlight w:val="none"/>
        </w:rPr>
        <w:t>公平</w:t>
      </w:r>
      <w:r>
        <w:rPr>
          <w:rFonts w:asciiTheme="minorEastAsia" w:hAnsiTheme="minorEastAsia" w:eastAsiaTheme="minorEastAsia"/>
          <w:sz w:val="24"/>
          <w:highlight w:val="none"/>
        </w:rPr>
        <w:t>公正，除非另有规定或说明，投标人对同一项目投标时，不得同时提供</w:t>
      </w:r>
      <w:r>
        <w:rPr>
          <w:rFonts w:hint="eastAsia" w:asciiTheme="minorEastAsia" w:hAnsiTheme="minorEastAsia" w:eastAsiaTheme="minorEastAsia"/>
          <w:sz w:val="24"/>
          <w:highlight w:val="none"/>
        </w:rPr>
        <w:t>备选</w:t>
      </w:r>
      <w:r>
        <w:rPr>
          <w:rFonts w:asciiTheme="minorEastAsia" w:hAnsiTheme="minorEastAsia" w:eastAsiaTheme="minorEastAsia"/>
          <w:sz w:val="24"/>
          <w:highlight w:val="none"/>
        </w:rPr>
        <w:t>投标方案。</w:t>
      </w:r>
    </w:p>
    <w:p w14:paraId="71C90A62">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9</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投标报价</w:t>
      </w:r>
    </w:p>
    <w:p w14:paraId="497425F5">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9</w:t>
      </w:r>
      <w:r>
        <w:rPr>
          <w:rFonts w:asciiTheme="minorEastAsia" w:hAnsiTheme="minorEastAsia" w:eastAsiaTheme="minorEastAsia"/>
          <w:sz w:val="24"/>
          <w:highlight w:val="none"/>
        </w:rPr>
        <w:t>.1投标人的报价应当包括满足本次招标全部采购需求</w:t>
      </w:r>
      <w:r>
        <w:rPr>
          <w:rFonts w:hint="eastAsia" w:asciiTheme="minorEastAsia" w:hAnsiTheme="minorEastAsia" w:eastAsiaTheme="minorEastAsia"/>
          <w:sz w:val="24"/>
          <w:highlight w:val="none"/>
        </w:rPr>
        <w:t>。除招标文件另有规定外，所有投标均应以人民币报价。投标人的投标报价应遵守《中华人民共和国价格法》。</w:t>
      </w:r>
    </w:p>
    <w:p w14:paraId="2A39373A">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9</w:t>
      </w:r>
      <w:r>
        <w:rPr>
          <w:rFonts w:asciiTheme="minorEastAsia" w:hAnsiTheme="minorEastAsia" w:eastAsiaTheme="minorEastAsia"/>
          <w:sz w:val="24"/>
          <w:highlight w:val="none"/>
        </w:rPr>
        <w:t>.2投标人报价超过招标文件规定的预算金额或者分项、分包最高限价，其投标将被认定为</w:t>
      </w:r>
      <w:r>
        <w:rPr>
          <w:rFonts w:asciiTheme="minorEastAsia" w:hAnsiTheme="minorEastAsia" w:eastAsiaTheme="minorEastAsia"/>
          <w:b/>
          <w:bCs/>
          <w:sz w:val="24"/>
          <w:highlight w:val="none"/>
        </w:rPr>
        <w:t>投标无效</w:t>
      </w:r>
      <w:r>
        <w:rPr>
          <w:rFonts w:asciiTheme="minorEastAsia" w:hAnsiTheme="minorEastAsia" w:eastAsiaTheme="minorEastAsia"/>
          <w:sz w:val="24"/>
          <w:highlight w:val="none"/>
        </w:rPr>
        <w:t>。</w:t>
      </w:r>
    </w:p>
    <w:p w14:paraId="1B1E0527">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9</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3投标报价</w:t>
      </w:r>
      <w:r>
        <w:rPr>
          <w:rFonts w:asciiTheme="minorEastAsia" w:hAnsiTheme="minorEastAsia" w:eastAsiaTheme="minorEastAsia"/>
          <w:sz w:val="24"/>
          <w:highlight w:val="none"/>
        </w:rPr>
        <w:t>在合同履行过程中是固定不变的，不得以任何理由予以变更。任何包含价格调整要求的投标，其投标将被认定为</w:t>
      </w:r>
      <w:r>
        <w:rPr>
          <w:rFonts w:asciiTheme="minorEastAsia" w:hAnsiTheme="minorEastAsia" w:eastAsiaTheme="minorEastAsia"/>
          <w:b/>
          <w:sz w:val="24"/>
          <w:highlight w:val="none"/>
        </w:rPr>
        <w:t>投标无效</w:t>
      </w:r>
      <w:r>
        <w:rPr>
          <w:rFonts w:asciiTheme="minorEastAsia" w:hAnsiTheme="minorEastAsia" w:eastAsiaTheme="minorEastAsia"/>
          <w:sz w:val="24"/>
          <w:highlight w:val="none"/>
        </w:rPr>
        <w:t>。</w:t>
      </w:r>
    </w:p>
    <w:p w14:paraId="0F63331E">
      <w:pPr>
        <w:spacing w:line="360" w:lineRule="auto"/>
        <w:ind w:firstLine="435"/>
        <w:rPr>
          <w:rFonts w:ascii="宋体" w:hAnsi="宋体" w:eastAsia="宋体"/>
          <w:sz w:val="24"/>
          <w:highlight w:val="none"/>
        </w:rPr>
      </w:pPr>
      <w:r>
        <w:rPr>
          <w:rFonts w:hint="eastAsia" w:asciiTheme="minorEastAsia" w:hAnsiTheme="minorEastAsia" w:eastAsiaTheme="minorEastAsia"/>
          <w:sz w:val="24"/>
          <w:highlight w:val="none"/>
        </w:rPr>
        <w:t>9</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4评标委员会认为投标人的报价明显低于其他通过符合性审查投标人的报价，有可能影响产品质量或者不能诚信履约的，应当要求其在合理的时间内提供书面说明，</w:t>
      </w:r>
      <w:r>
        <w:rPr>
          <w:rFonts w:asciiTheme="minorEastAsia" w:hAnsiTheme="minorEastAsia" w:eastAsiaTheme="minorEastAsia"/>
          <w:sz w:val="24"/>
          <w:highlight w:val="none"/>
        </w:rPr>
        <w:t>必要时提交相关证明材料；投标人不能证明其报价合理性的，其投标将被认定为</w:t>
      </w:r>
      <w:r>
        <w:rPr>
          <w:rFonts w:asciiTheme="minorEastAsia" w:hAnsiTheme="minorEastAsia" w:eastAsiaTheme="minorEastAsia"/>
          <w:b/>
          <w:sz w:val="24"/>
          <w:highlight w:val="none"/>
        </w:rPr>
        <w:t>投标无效</w:t>
      </w:r>
      <w:r>
        <w:rPr>
          <w:rFonts w:hint="eastAsia" w:asciiTheme="minorEastAsia" w:hAnsiTheme="minorEastAsia" w:eastAsiaTheme="minorEastAsia"/>
          <w:sz w:val="24"/>
          <w:highlight w:val="none"/>
        </w:rPr>
        <w:t>。</w:t>
      </w:r>
    </w:p>
    <w:p w14:paraId="27D4CAB7">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9</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采购人不接受具有附加条件的报价。</w:t>
      </w:r>
    </w:p>
    <w:p w14:paraId="4CF5293E">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10</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投标保证金</w:t>
      </w:r>
    </w:p>
    <w:p w14:paraId="4A941102">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10.1本项目不收取投标保证金。</w:t>
      </w:r>
    </w:p>
    <w:p w14:paraId="007B6C5B">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11</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投标有效期</w:t>
      </w:r>
    </w:p>
    <w:p w14:paraId="5A9D13D0">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11.1投标有效期为从投标截止之日算起的日历天数，投标有效期详见</w:t>
      </w:r>
      <w:r>
        <w:rPr>
          <w:rFonts w:hint="eastAsia" w:asciiTheme="minorEastAsia" w:hAnsiTheme="minorEastAsia" w:eastAsiaTheme="minorEastAsia"/>
          <w:sz w:val="24"/>
          <w:highlight w:val="none"/>
          <w:u w:val="single"/>
        </w:rPr>
        <w:t>投标人须知前附表</w:t>
      </w:r>
      <w:r>
        <w:rPr>
          <w:rFonts w:hint="eastAsia" w:asciiTheme="minorEastAsia" w:hAnsiTheme="minorEastAsia" w:eastAsiaTheme="minorEastAsia"/>
          <w:sz w:val="24"/>
          <w:highlight w:val="none"/>
        </w:rPr>
        <w:t>。</w:t>
      </w:r>
    </w:p>
    <w:p w14:paraId="6DD2E1E4">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11.2在投标有效期内，投标人的投标保持有效，投标人不得要求撤销或修改其投标文件。投标有效期不满足要求的投标，其投标将被认定为</w:t>
      </w:r>
      <w:r>
        <w:rPr>
          <w:rFonts w:hint="eastAsia" w:asciiTheme="minorEastAsia" w:hAnsiTheme="minorEastAsia" w:eastAsiaTheme="minorEastAsia"/>
          <w:b/>
          <w:sz w:val="24"/>
          <w:highlight w:val="none"/>
        </w:rPr>
        <w:t>投标无效</w:t>
      </w:r>
      <w:r>
        <w:rPr>
          <w:rFonts w:hint="eastAsia" w:asciiTheme="minorEastAsia" w:hAnsiTheme="minorEastAsia" w:eastAsiaTheme="minorEastAsia"/>
          <w:sz w:val="24"/>
          <w:highlight w:val="none"/>
        </w:rPr>
        <w:t>。</w:t>
      </w:r>
    </w:p>
    <w:p w14:paraId="31055540">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3D246099">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12</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投标文件的递交、修改与撤回</w:t>
      </w:r>
    </w:p>
    <w:p w14:paraId="133402B1">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2.1投标人应当在招标公告规定的投标截止时间前</w:t>
      </w:r>
      <w:r>
        <w:rPr>
          <w:rFonts w:asciiTheme="minorEastAsia" w:hAnsiTheme="minorEastAsia" w:eastAsiaTheme="minorEastAsia"/>
          <w:sz w:val="24"/>
          <w:highlight w:val="none"/>
        </w:rPr>
        <w:t>，将加密的投标文件</w:t>
      </w:r>
      <w:r>
        <w:rPr>
          <w:rFonts w:hint="eastAsia" w:asciiTheme="minorEastAsia" w:hAnsiTheme="minorEastAsia" w:eastAsiaTheme="minorEastAsia"/>
          <w:sz w:val="24"/>
          <w:highlight w:val="none"/>
        </w:rPr>
        <w:t>在电子交易系统</w:t>
      </w:r>
      <w:r>
        <w:rPr>
          <w:rFonts w:asciiTheme="minorEastAsia" w:hAnsiTheme="minorEastAsia" w:eastAsiaTheme="minorEastAsia"/>
          <w:sz w:val="24"/>
          <w:highlight w:val="none"/>
        </w:rPr>
        <w:t>上传。</w:t>
      </w:r>
    </w:p>
    <w:p w14:paraId="4C2C5A17">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2.2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14:paraId="28640ADE">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13</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开标</w:t>
      </w:r>
    </w:p>
    <w:p w14:paraId="229FED18">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13</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开标时，</w:t>
      </w:r>
      <w:r>
        <w:rPr>
          <w:rFonts w:ascii="宋体" w:hAnsi="宋体" w:eastAsia="宋体" w:cs="宋体"/>
          <w:sz w:val="24"/>
          <w:szCs w:val="24"/>
          <w:highlight w:val="none"/>
        </w:rPr>
        <w:t>各投标人应在</w:t>
      </w:r>
      <w:r>
        <w:rPr>
          <w:rFonts w:ascii="宋体" w:hAnsi="宋体" w:eastAsia="宋体" w:cs="宋体"/>
          <w:sz w:val="24"/>
          <w:szCs w:val="24"/>
          <w:highlight w:val="none"/>
          <w:u w:val="single"/>
        </w:rPr>
        <w:t>投标人须知前附表</w:t>
      </w:r>
      <w:r>
        <w:rPr>
          <w:rFonts w:ascii="宋体" w:hAnsi="宋体" w:eastAsia="宋体" w:cs="宋体"/>
          <w:sz w:val="24"/>
          <w:szCs w:val="24"/>
          <w:highlight w:val="none"/>
        </w:rPr>
        <w:t>规定的解密时间前</w:t>
      </w:r>
      <w:r>
        <w:rPr>
          <w:rFonts w:asciiTheme="minorEastAsia" w:hAnsiTheme="minorEastAsia" w:eastAsiaTheme="minorEastAsia"/>
          <w:sz w:val="24"/>
          <w:highlight w:val="none"/>
        </w:rPr>
        <w:t>对</w:t>
      </w:r>
      <w:r>
        <w:rPr>
          <w:rFonts w:hint="eastAsia" w:ascii="宋体" w:hAnsi="宋体" w:eastAsia="宋体" w:cs="宋体"/>
          <w:sz w:val="24"/>
          <w:szCs w:val="24"/>
          <w:highlight w:val="none"/>
        </w:rPr>
        <w:t>其</w:t>
      </w:r>
      <w:r>
        <w:rPr>
          <w:rFonts w:asciiTheme="minorEastAsia" w:hAnsiTheme="minorEastAsia" w:eastAsiaTheme="minorEastAsia"/>
          <w:sz w:val="24"/>
          <w:highlight w:val="none"/>
        </w:rPr>
        <w:t>投标文件</w:t>
      </w:r>
      <w:r>
        <w:rPr>
          <w:rFonts w:hint="eastAsia" w:asciiTheme="minorEastAsia" w:hAnsiTheme="minorEastAsia" w:eastAsiaTheme="minorEastAsia"/>
          <w:sz w:val="24"/>
          <w:highlight w:val="none"/>
        </w:rPr>
        <w:t>进行</w:t>
      </w:r>
      <w:r>
        <w:rPr>
          <w:rFonts w:asciiTheme="minorEastAsia" w:hAnsiTheme="minorEastAsia" w:eastAsiaTheme="minorEastAsia"/>
          <w:sz w:val="24"/>
          <w:highlight w:val="none"/>
        </w:rPr>
        <w:t>解密。</w:t>
      </w:r>
    </w:p>
    <w:p w14:paraId="6D59BAC6">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13</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开标时，采购代理机构将通过网上开标系统公布</w:t>
      </w:r>
      <w:r>
        <w:rPr>
          <w:rFonts w:hint="eastAsia" w:asciiTheme="minorEastAsia" w:hAnsiTheme="minorEastAsia" w:eastAsiaTheme="minorEastAsia"/>
          <w:sz w:val="24"/>
          <w:highlight w:val="none"/>
        </w:rPr>
        <w:t>开标结果，公布内容包括投标人名称、投标价格及招标文件规定的内容。</w:t>
      </w:r>
    </w:p>
    <w:p w14:paraId="7E980E4B">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13.3采购人或采购代理机构将对开标过程进行记录，由参加开标的各投标人代表和相关工作人员签字确认，并存档备查。</w:t>
      </w:r>
    </w:p>
    <w:p w14:paraId="23F55796">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投标人未派代表参加开标的，视同投标人认可开标结果。</w:t>
      </w:r>
    </w:p>
    <w:p w14:paraId="097C0BF9">
      <w:pPr>
        <w:spacing w:line="360" w:lineRule="auto"/>
        <w:ind w:firstLine="435"/>
        <w:rPr>
          <w:rFonts w:asciiTheme="minorEastAsia" w:hAnsiTheme="minorEastAsia" w:eastAsiaTheme="minorEastAsia"/>
          <w:sz w:val="28"/>
          <w:highlight w:val="none"/>
        </w:rPr>
      </w:pPr>
      <w:r>
        <w:rPr>
          <w:rFonts w:hint="eastAsia" w:asciiTheme="minorEastAsia" w:hAnsiTheme="minorEastAsia" w:eastAsiaTheme="minorEastAsia"/>
          <w:sz w:val="24"/>
          <w:highlight w:val="none"/>
        </w:rPr>
        <w:t>13.4投标人代表对开标过程和开标记录有疑义，以及认为采购人、采购代理机构相关工作人员有需要回避的情形的，应当场提出询问或者回避申请。</w:t>
      </w:r>
    </w:p>
    <w:p w14:paraId="425F52FB">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14</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资格审查及组建评标委员会</w:t>
      </w:r>
    </w:p>
    <w:p w14:paraId="64600632">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14.1采购人或采购代理机构依据法律法规和招标文件中规定的内</w:t>
      </w:r>
      <w:r>
        <w:rPr>
          <w:rFonts w:asciiTheme="minorEastAsia" w:hAnsiTheme="minorEastAsia" w:eastAsiaTheme="minorEastAsia"/>
          <w:sz w:val="24"/>
          <w:highlight w:val="none"/>
        </w:rPr>
        <w:t>容</w:t>
      </w:r>
      <w:r>
        <w:rPr>
          <w:rFonts w:hint="eastAsia" w:asciiTheme="minorEastAsia" w:hAnsiTheme="minorEastAsia" w:eastAsiaTheme="minorEastAsia"/>
          <w:sz w:val="24"/>
          <w:highlight w:val="none"/>
        </w:rPr>
        <w:t>，对投标人资格进行审查，未</w:t>
      </w:r>
      <w:r>
        <w:rPr>
          <w:rFonts w:asciiTheme="minorEastAsia" w:hAnsiTheme="minorEastAsia" w:eastAsiaTheme="minorEastAsia"/>
          <w:sz w:val="24"/>
          <w:highlight w:val="none"/>
        </w:rPr>
        <w:t>通过资格审查的投标人</w:t>
      </w:r>
      <w:r>
        <w:rPr>
          <w:rFonts w:hint="eastAsia" w:asciiTheme="minorEastAsia" w:hAnsiTheme="minorEastAsia" w:eastAsiaTheme="minorEastAsia"/>
          <w:sz w:val="24"/>
          <w:highlight w:val="none"/>
        </w:rPr>
        <w:t>不</w:t>
      </w:r>
      <w:r>
        <w:rPr>
          <w:rFonts w:asciiTheme="minorEastAsia" w:hAnsiTheme="minorEastAsia" w:eastAsiaTheme="minorEastAsia"/>
          <w:sz w:val="24"/>
          <w:highlight w:val="none"/>
        </w:rPr>
        <w:t>进入评标</w:t>
      </w:r>
      <w:r>
        <w:rPr>
          <w:rFonts w:hint="eastAsia" w:asciiTheme="minorEastAsia" w:hAnsiTheme="minorEastAsia" w:eastAsiaTheme="minorEastAsia"/>
          <w:sz w:val="24"/>
          <w:highlight w:val="none"/>
        </w:rPr>
        <w:t>。</w:t>
      </w:r>
    </w:p>
    <w:p w14:paraId="5FCB5A8D">
      <w:pPr>
        <w:spacing w:line="360" w:lineRule="auto"/>
        <w:ind w:firstLine="435"/>
        <w:rPr>
          <w:rFonts w:ascii="宋体" w:hAnsi="宋体" w:eastAsia="宋体" w:cs="宋体"/>
          <w:sz w:val="24"/>
          <w:szCs w:val="24"/>
          <w:highlight w:val="none"/>
        </w:rPr>
      </w:pPr>
      <w:bookmarkStart w:id="68" w:name="_Hlk24663244"/>
      <w:r>
        <w:rPr>
          <w:rFonts w:hint="eastAsia" w:ascii="宋体" w:hAnsi="宋体" w:eastAsia="宋体" w:cs="宋体"/>
          <w:sz w:val="24"/>
          <w:szCs w:val="24"/>
          <w:highlight w:val="none"/>
        </w:rPr>
        <w:t>14.2采购人或采购代理机构将在投标截止时间后至评审结束前通过“信用中国”网站(www.creditchina.gov.cn)、中国政府采购网(www.ccgp.gov.cn)查询相关投标人信用记录，并对投标人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投标将被认定为</w:t>
      </w:r>
      <w:r>
        <w:rPr>
          <w:rFonts w:hint="eastAsia" w:ascii="宋体" w:hAnsi="宋体" w:eastAsia="宋体" w:cs="宋体"/>
          <w:b/>
          <w:sz w:val="24"/>
          <w:szCs w:val="24"/>
          <w:highlight w:val="none"/>
        </w:rPr>
        <w:t>投标无效</w:t>
      </w:r>
      <w:r>
        <w:rPr>
          <w:rFonts w:hint="eastAsia" w:ascii="宋体" w:hAnsi="宋体" w:eastAsia="宋体" w:cs="宋体"/>
          <w:sz w:val="24"/>
          <w:szCs w:val="24"/>
          <w:highlight w:val="none"/>
        </w:rPr>
        <w:t>。</w:t>
      </w:r>
    </w:p>
    <w:p w14:paraId="0334A208">
      <w:pPr>
        <w:spacing w:line="360" w:lineRule="auto"/>
        <w:ind w:firstLine="435"/>
        <w:rPr>
          <w:rFonts w:ascii="宋体" w:hAnsi="宋体" w:eastAsia="宋体" w:cs="宋体"/>
          <w:sz w:val="24"/>
          <w:szCs w:val="24"/>
          <w:highlight w:val="none"/>
        </w:rPr>
      </w:pPr>
      <w:r>
        <w:rPr>
          <w:rFonts w:hint="eastAsia" w:ascii="宋体" w:hAnsi="宋体" w:eastAsia="宋体" w:cs="宋体"/>
          <w:sz w:val="24"/>
          <w:szCs w:val="24"/>
          <w:highlight w:val="none"/>
        </w:rPr>
        <w:t>以联合体形式参加投标的，联合体成员存在以上不良信用记录的，联合体投标将被认定为</w:t>
      </w:r>
      <w:r>
        <w:rPr>
          <w:rFonts w:hint="eastAsia" w:ascii="宋体" w:hAnsi="宋体" w:eastAsia="宋体" w:cs="宋体"/>
          <w:b/>
          <w:sz w:val="24"/>
          <w:szCs w:val="24"/>
          <w:highlight w:val="none"/>
        </w:rPr>
        <w:t>投标无效</w:t>
      </w:r>
      <w:r>
        <w:rPr>
          <w:rFonts w:hint="eastAsia" w:ascii="宋体" w:hAnsi="宋体" w:eastAsia="宋体" w:cs="宋体"/>
          <w:sz w:val="24"/>
          <w:szCs w:val="24"/>
          <w:highlight w:val="none"/>
        </w:rPr>
        <w:t>。</w:t>
      </w:r>
    </w:p>
    <w:p w14:paraId="646CF561">
      <w:pPr>
        <w:spacing w:line="360" w:lineRule="auto"/>
        <w:ind w:firstLine="435"/>
        <w:rPr>
          <w:rFonts w:asciiTheme="minorEastAsia" w:hAnsiTheme="minorEastAsia" w:eastAsiaTheme="minorEastAsia"/>
          <w:sz w:val="24"/>
          <w:highlight w:val="none"/>
        </w:rPr>
      </w:pPr>
      <w:r>
        <w:rPr>
          <w:rFonts w:hint="eastAsia" w:ascii="宋体" w:hAnsi="宋体" w:eastAsia="宋体" w:cs="宋体"/>
          <w:sz w:val="24"/>
          <w:szCs w:val="24"/>
          <w:highlight w:val="none"/>
        </w:rPr>
        <w:t>以上信用查询记录，采购人或采购代理机构将下载查询结果页面后与其他采购文件一并保存。投标人不良信用记录以采购人或采购代理机构查询结果为准。在本招标文件规定的查询时间之外，网站信息发生的任何变更均不作为资格审查依据。投标人自行提供的与网站信息不一致的其他证明材料亦不作为资格审查依据。</w:t>
      </w:r>
    </w:p>
    <w:bookmarkEnd w:id="68"/>
    <w:p w14:paraId="2F2E3E83">
      <w:pPr>
        <w:spacing w:line="360" w:lineRule="auto"/>
        <w:ind w:firstLine="435"/>
        <w:rPr>
          <w:rFonts w:asciiTheme="minorEastAsia" w:hAnsiTheme="minorEastAsia" w:eastAsiaTheme="minorEastAsia"/>
          <w:b/>
          <w:sz w:val="24"/>
          <w:highlight w:val="none"/>
        </w:rPr>
      </w:pPr>
      <w:r>
        <w:rPr>
          <w:rFonts w:hint="eastAsia" w:asciiTheme="minorEastAsia" w:hAnsiTheme="minorEastAsia" w:eastAsiaTheme="minorEastAsia"/>
          <w:sz w:val="24"/>
          <w:highlight w:val="none"/>
        </w:rPr>
        <w:t>14.3按照</w:t>
      </w:r>
      <w:r>
        <w:rPr>
          <w:rFonts w:hint="eastAsia" w:ascii="宋体" w:hAnsi="宋体" w:eastAsia="宋体"/>
          <w:sz w:val="24"/>
          <w:highlight w:val="none"/>
        </w:rPr>
        <w:t>《</w:t>
      </w:r>
      <w:r>
        <w:rPr>
          <w:rFonts w:ascii="宋体" w:hAnsi="宋体" w:eastAsia="宋体"/>
          <w:sz w:val="24"/>
          <w:highlight w:val="none"/>
        </w:rPr>
        <w:t>中华人民共和国政府采购法》</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《中华人民共和国政府采购</w:t>
      </w:r>
      <w:r>
        <w:rPr>
          <w:rFonts w:hint="eastAsia" w:asciiTheme="minorEastAsia" w:hAnsiTheme="minorEastAsia" w:eastAsiaTheme="minorEastAsia"/>
          <w:sz w:val="24"/>
          <w:highlight w:val="none"/>
        </w:rPr>
        <w:t>法</w:t>
      </w:r>
      <w:r>
        <w:rPr>
          <w:rFonts w:asciiTheme="minorEastAsia" w:hAnsiTheme="minorEastAsia" w:eastAsiaTheme="minorEastAsia"/>
          <w:sz w:val="24"/>
          <w:highlight w:val="none"/>
        </w:rPr>
        <w:t>实施条例》</w:t>
      </w:r>
      <w:r>
        <w:rPr>
          <w:rFonts w:hint="eastAsia" w:asciiTheme="minorEastAsia" w:hAnsiTheme="minorEastAsia" w:eastAsiaTheme="minorEastAsia"/>
          <w:sz w:val="24"/>
          <w:highlight w:val="none"/>
        </w:rPr>
        <w:t>及本项目本级</w:t>
      </w:r>
      <w:r>
        <w:rPr>
          <w:rFonts w:asciiTheme="minorEastAsia" w:hAnsiTheme="minorEastAsia" w:eastAsiaTheme="minorEastAsia"/>
          <w:sz w:val="24"/>
          <w:highlight w:val="none"/>
        </w:rPr>
        <w:t>和上级财政部门</w:t>
      </w:r>
      <w:r>
        <w:rPr>
          <w:rFonts w:hint="eastAsia" w:asciiTheme="minorEastAsia" w:hAnsiTheme="minorEastAsia" w:eastAsiaTheme="minorEastAsia"/>
          <w:sz w:val="24"/>
          <w:highlight w:val="none"/>
        </w:rPr>
        <w:t>、政府采购监督管理部门的有关规定依法组建的</w:t>
      </w:r>
      <w:r>
        <w:rPr>
          <w:rFonts w:asciiTheme="minorEastAsia" w:hAnsiTheme="minorEastAsia" w:eastAsiaTheme="minorEastAsia"/>
          <w:sz w:val="24"/>
          <w:highlight w:val="none"/>
        </w:rPr>
        <w:t>评标委员会</w:t>
      </w:r>
      <w:r>
        <w:rPr>
          <w:rFonts w:hint="eastAsia" w:asciiTheme="minorEastAsia" w:hAnsiTheme="minorEastAsia" w:eastAsiaTheme="minorEastAsia"/>
          <w:sz w:val="24"/>
          <w:highlight w:val="none"/>
        </w:rPr>
        <w:t>，负责本项目评标工作。</w:t>
      </w:r>
    </w:p>
    <w:p w14:paraId="10D6D947">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15</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投标文件符合性审查与澄清</w:t>
      </w:r>
    </w:p>
    <w:p w14:paraId="5CC933E5">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15</w:t>
      </w:r>
      <w:r>
        <w:rPr>
          <w:rFonts w:asciiTheme="minorEastAsia" w:hAnsiTheme="minorEastAsia" w:eastAsiaTheme="minorEastAsia"/>
          <w:sz w:val="24"/>
          <w:highlight w:val="none"/>
        </w:rPr>
        <w:t>.1符合性审查是指依据招标文件的规定，从投标文件的有效性和完整性对招标文件的响应程度</w:t>
      </w:r>
      <w:r>
        <w:rPr>
          <w:rFonts w:ascii="宋体" w:hAnsi="宋体" w:eastAsia="宋体"/>
          <w:sz w:val="24"/>
          <w:highlight w:val="none"/>
        </w:rPr>
        <w:t>进行</w:t>
      </w:r>
      <w:r>
        <w:rPr>
          <w:rFonts w:asciiTheme="minorEastAsia" w:hAnsiTheme="minorEastAsia" w:eastAsiaTheme="minorEastAsia"/>
          <w:sz w:val="24"/>
          <w:highlight w:val="none"/>
        </w:rPr>
        <w:t>审查，以确定是否对招标文件的实质性要求做出响应。</w:t>
      </w:r>
    </w:p>
    <w:p w14:paraId="0FB1CB6B">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15</w:t>
      </w:r>
      <w:r>
        <w:rPr>
          <w:rFonts w:asciiTheme="minorEastAsia" w:hAnsiTheme="minorEastAsia" w:eastAsiaTheme="minorEastAsia"/>
          <w:sz w:val="24"/>
          <w:highlight w:val="none"/>
        </w:rPr>
        <w:t>.2如一个分包内只有一种产品，不同投标人所投产品为同一品牌的，按如下方式处理：</w:t>
      </w:r>
    </w:p>
    <w:p w14:paraId="0D09DBEF">
      <w:pPr>
        <w:spacing w:line="360" w:lineRule="auto"/>
        <w:ind w:firstLine="435"/>
        <w:rPr>
          <w:rFonts w:ascii="宋体" w:hAnsi="宋体" w:eastAsia="宋体"/>
          <w:sz w:val="24"/>
          <w:highlight w:val="none"/>
        </w:rPr>
      </w:pPr>
      <w:r>
        <w:rPr>
          <w:rFonts w:hint="eastAsia" w:ascii="宋体" w:hAnsi="宋体" w:eastAsia="宋体"/>
          <w:sz w:val="24"/>
          <w:highlight w:val="none"/>
        </w:rPr>
        <w:t>15</w:t>
      </w:r>
      <w:r>
        <w:rPr>
          <w:rFonts w:ascii="宋体" w:hAnsi="宋体" w:eastAsia="宋体"/>
          <w:sz w:val="24"/>
          <w:highlight w:val="none"/>
        </w:rPr>
        <w:t>.2.1如本项目使用最低评标价法，提供相同品牌产品的不同投标人以其中通过资格审查、符合性审查且报价最低的参加评标；报价相同的，由采购人或者采购人委托评标委员会按照招标文件中评标</w:t>
      </w:r>
      <w:r>
        <w:rPr>
          <w:rFonts w:hint="eastAsia" w:ascii="宋体" w:hAnsi="宋体" w:eastAsia="宋体"/>
          <w:sz w:val="24"/>
          <w:highlight w:val="none"/>
        </w:rPr>
        <w:t>方</w:t>
      </w:r>
      <w:r>
        <w:rPr>
          <w:rFonts w:ascii="宋体" w:hAnsi="宋体" w:eastAsia="宋体"/>
          <w:sz w:val="24"/>
          <w:highlight w:val="none"/>
        </w:rPr>
        <w:t>法</w:t>
      </w:r>
      <w:r>
        <w:rPr>
          <w:rFonts w:hint="eastAsia" w:ascii="宋体" w:hAnsi="宋体" w:eastAsia="宋体"/>
          <w:sz w:val="24"/>
          <w:highlight w:val="none"/>
        </w:rPr>
        <w:t>和标准</w:t>
      </w:r>
      <w:r>
        <w:rPr>
          <w:rFonts w:ascii="宋体" w:hAnsi="宋体" w:eastAsia="宋体"/>
          <w:sz w:val="24"/>
          <w:highlight w:val="none"/>
        </w:rPr>
        <w:t>规定的方式确定一个参加评标的投标人；未规定的采取随机抽取方式确定，其他投标将被认定为</w:t>
      </w:r>
      <w:r>
        <w:rPr>
          <w:rFonts w:ascii="宋体" w:hAnsi="宋体" w:eastAsia="宋体"/>
          <w:b/>
          <w:sz w:val="24"/>
          <w:highlight w:val="none"/>
        </w:rPr>
        <w:t>投标无效</w:t>
      </w:r>
      <w:r>
        <w:rPr>
          <w:rFonts w:ascii="宋体" w:hAnsi="宋体" w:eastAsia="宋体"/>
          <w:sz w:val="24"/>
          <w:highlight w:val="none"/>
        </w:rPr>
        <w:t>。</w:t>
      </w:r>
    </w:p>
    <w:p w14:paraId="4817274F">
      <w:pPr>
        <w:spacing w:line="360" w:lineRule="auto"/>
        <w:ind w:firstLine="435"/>
        <w:rPr>
          <w:rFonts w:ascii="宋体" w:hAnsi="宋体" w:eastAsia="宋体"/>
          <w:sz w:val="24"/>
          <w:highlight w:val="none"/>
        </w:rPr>
      </w:pPr>
      <w:r>
        <w:rPr>
          <w:rFonts w:hint="eastAsia" w:ascii="宋体" w:hAnsi="宋体" w:eastAsia="宋体"/>
          <w:sz w:val="24"/>
          <w:highlight w:val="none"/>
        </w:rPr>
        <w:t>15</w:t>
      </w:r>
      <w:r>
        <w:rPr>
          <w:rFonts w:ascii="宋体" w:hAnsi="宋体" w:eastAsia="宋体"/>
          <w:sz w:val="24"/>
          <w:highlight w:val="none"/>
        </w:rPr>
        <w:t>.2.2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w:t>
      </w:r>
      <w:r>
        <w:rPr>
          <w:rFonts w:hint="eastAsia" w:ascii="宋体" w:hAnsi="宋体" w:eastAsia="宋体"/>
          <w:sz w:val="24"/>
          <w:highlight w:val="none"/>
        </w:rPr>
        <w:t>方</w:t>
      </w:r>
      <w:r>
        <w:rPr>
          <w:rFonts w:ascii="宋体" w:hAnsi="宋体" w:eastAsia="宋体"/>
          <w:sz w:val="24"/>
          <w:highlight w:val="none"/>
        </w:rPr>
        <w:t>法</w:t>
      </w:r>
      <w:r>
        <w:rPr>
          <w:rFonts w:hint="eastAsia" w:ascii="宋体" w:hAnsi="宋体" w:eastAsia="宋体"/>
          <w:sz w:val="24"/>
          <w:highlight w:val="none"/>
        </w:rPr>
        <w:t>和标准</w:t>
      </w:r>
      <w:r>
        <w:rPr>
          <w:rFonts w:ascii="宋体" w:hAnsi="宋体" w:eastAsia="宋体"/>
          <w:sz w:val="24"/>
          <w:highlight w:val="none"/>
        </w:rPr>
        <w:t>规定的方式确定一个投标人获得中标人推荐资格；未规定的采取随机抽取方式确定，其他同品牌投标人不作为中标候选人。</w:t>
      </w:r>
    </w:p>
    <w:p w14:paraId="0B0C23E0">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15</w:t>
      </w:r>
      <w:r>
        <w:rPr>
          <w:rFonts w:asciiTheme="minorEastAsia" w:hAnsiTheme="minorEastAsia" w:eastAsiaTheme="minorEastAsia"/>
          <w:sz w:val="24"/>
          <w:highlight w:val="none"/>
        </w:rPr>
        <w:t>.3如一个分包内包含多种产品的，采购人或采购代理机构将在</w:t>
      </w:r>
      <w:r>
        <w:rPr>
          <w:rFonts w:hint="eastAsia" w:asciiTheme="minorEastAsia" w:hAnsiTheme="minorEastAsia" w:eastAsiaTheme="minorEastAsia"/>
          <w:sz w:val="24"/>
          <w:highlight w:val="none"/>
        </w:rPr>
        <w:t>采购需求</w:t>
      </w:r>
      <w:r>
        <w:rPr>
          <w:rFonts w:asciiTheme="minorEastAsia" w:hAnsiTheme="minorEastAsia" w:eastAsiaTheme="minorEastAsia"/>
          <w:sz w:val="24"/>
          <w:highlight w:val="none"/>
        </w:rPr>
        <w:t>中载明核心产品，多家投标人提供的核心产品品牌相同的，按第</w:t>
      </w:r>
      <w:r>
        <w:rPr>
          <w:rFonts w:hint="eastAsia" w:asciiTheme="minorEastAsia" w:hAnsiTheme="minorEastAsia" w:eastAsiaTheme="minorEastAsia"/>
          <w:sz w:val="24"/>
          <w:highlight w:val="none"/>
        </w:rPr>
        <w:t>15</w:t>
      </w: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款</w:t>
      </w:r>
      <w:r>
        <w:rPr>
          <w:rFonts w:asciiTheme="minorEastAsia" w:hAnsiTheme="minorEastAsia" w:eastAsiaTheme="minorEastAsia"/>
          <w:sz w:val="24"/>
          <w:highlight w:val="none"/>
        </w:rPr>
        <w:t>规定处理。</w:t>
      </w:r>
    </w:p>
    <w:p w14:paraId="0158865E">
      <w:pPr>
        <w:spacing w:line="360" w:lineRule="auto"/>
        <w:ind w:firstLine="435"/>
        <w:rPr>
          <w:rFonts w:ascii="宋体" w:hAnsi="宋体" w:eastAsia="宋体"/>
          <w:sz w:val="24"/>
          <w:highlight w:val="none"/>
        </w:rPr>
      </w:pPr>
      <w:r>
        <w:rPr>
          <w:rFonts w:hint="eastAsia" w:ascii="宋体" w:hAnsi="宋体" w:eastAsia="宋体"/>
          <w:sz w:val="24"/>
          <w:highlight w:val="none"/>
        </w:rPr>
        <w:t>15</w:t>
      </w:r>
      <w:r>
        <w:rPr>
          <w:rFonts w:ascii="宋体" w:hAnsi="宋体" w:eastAsia="宋体"/>
          <w:sz w:val="24"/>
          <w:highlight w:val="none"/>
        </w:rPr>
        <w:t>.4</w:t>
      </w:r>
      <w:r>
        <w:rPr>
          <w:rFonts w:hint="eastAsia" w:ascii="宋体" w:hAnsi="宋体" w:eastAsia="宋体"/>
          <w:sz w:val="24"/>
          <w:highlight w:val="none"/>
        </w:rPr>
        <w:t>投标文件的澄清</w:t>
      </w:r>
    </w:p>
    <w:p w14:paraId="4361BE3C">
      <w:pPr>
        <w:spacing w:line="360" w:lineRule="auto"/>
        <w:ind w:firstLine="435"/>
        <w:rPr>
          <w:rFonts w:ascii="宋体" w:hAnsi="宋体" w:eastAsia="宋体"/>
          <w:sz w:val="24"/>
          <w:highlight w:val="none"/>
        </w:rPr>
      </w:pPr>
      <w:r>
        <w:rPr>
          <w:rFonts w:hint="eastAsia" w:ascii="宋体" w:hAnsi="宋体" w:eastAsia="宋体"/>
          <w:sz w:val="24"/>
          <w:highlight w:val="none"/>
        </w:rPr>
        <w:t>15</w:t>
      </w:r>
      <w:r>
        <w:rPr>
          <w:rFonts w:ascii="宋体" w:hAnsi="宋体" w:eastAsia="宋体"/>
          <w:sz w:val="24"/>
          <w:highlight w:val="none"/>
        </w:rPr>
        <w:t>.4.1为有助于投标</w:t>
      </w:r>
      <w:r>
        <w:rPr>
          <w:rFonts w:hint="eastAsia" w:ascii="宋体" w:hAnsi="宋体" w:eastAsia="宋体"/>
          <w:sz w:val="24"/>
          <w:highlight w:val="none"/>
        </w:rPr>
        <w:t>文件</w:t>
      </w:r>
      <w:r>
        <w:rPr>
          <w:rFonts w:ascii="宋体" w:hAnsi="宋体" w:eastAsia="宋体"/>
          <w:sz w:val="24"/>
          <w:highlight w:val="none"/>
        </w:rPr>
        <w:t>的审查、评价和比较，在评标期间，评标委员会将以书面</w:t>
      </w:r>
      <w:r>
        <w:rPr>
          <w:rFonts w:hint="eastAsia" w:ascii="宋体" w:hAnsi="宋体" w:eastAsia="宋体"/>
          <w:sz w:val="24"/>
          <w:highlight w:val="none"/>
        </w:rPr>
        <w:t>方式（询标）</w:t>
      </w:r>
      <w:r>
        <w:rPr>
          <w:rFonts w:ascii="宋体" w:hAnsi="宋体" w:eastAsia="宋体"/>
          <w:sz w:val="24"/>
          <w:highlight w:val="none"/>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sz w:val="24"/>
          <w:highlight w:val="none"/>
        </w:rPr>
        <w:t>审</w:t>
      </w:r>
      <w:r>
        <w:rPr>
          <w:rFonts w:ascii="宋体" w:hAnsi="宋体" w:eastAsia="宋体"/>
          <w:sz w:val="24"/>
          <w:highlight w:val="none"/>
        </w:rPr>
        <w:t>查投标人的报价，有可能影响履约的情况作必要的澄清、说明或补正。投标人的澄清、说明或补正应在评标委员会规定的时间内以书面</w:t>
      </w:r>
      <w:r>
        <w:rPr>
          <w:rFonts w:hint="eastAsia" w:ascii="宋体" w:hAnsi="宋体" w:eastAsia="宋体"/>
          <w:sz w:val="24"/>
          <w:highlight w:val="none"/>
        </w:rPr>
        <w:t>方式</w:t>
      </w:r>
      <w:r>
        <w:rPr>
          <w:rFonts w:ascii="宋体" w:hAnsi="宋体" w:eastAsia="宋体"/>
          <w:sz w:val="24"/>
          <w:highlight w:val="none"/>
        </w:rPr>
        <w:t>进行，并不得超出投标文件范围或者改变投标文件的实质性内容。</w:t>
      </w:r>
    </w:p>
    <w:p w14:paraId="4A107732">
      <w:pPr>
        <w:spacing w:line="360" w:lineRule="auto"/>
        <w:ind w:firstLine="435"/>
        <w:rPr>
          <w:rFonts w:ascii="宋体" w:hAnsi="宋体" w:eastAsia="宋体"/>
          <w:sz w:val="24"/>
          <w:highlight w:val="none"/>
        </w:rPr>
      </w:pPr>
      <w:r>
        <w:rPr>
          <w:rFonts w:hint="eastAsia" w:ascii="宋体" w:hAnsi="宋体" w:eastAsia="宋体"/>
          <w:sz w:val="24"/>
          <w:highlight w:val="none"/>
        </w:rPr>
        <w:t>如有询标，投标人授权代表（或法定代表人）可通过远程登录的方式接受网上询标，也可凭本人有效身份证明参加询标。因投标人授权代表联系不上、没有及时登录系统等情形而无法接受评标委员会询标的，投标人自行承担相关风险。</w:t>
      </w:r>
    </w:p>
    <w:p w14:paraId="608A94B3">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15.</w:t>
      </w:r>
      <w:r>
        <w:rPr>
          <w:rFonts w:asciiTheme="minorEastAsia" w:hAnsiTheme="minorEastAsia" w:eastAsiaTheme="minorEastAsia"/>
          <w:sz w:val="24"/>
          <w:highlight w:val="none"/>
        </w:rPr>
        <w:t>4.2</w:t>
      </w:r>
      <w:r>
        <w:rPr>
          <w:rFonts w:hint="eastAsia" w:asciiTheme="minorEastAsia" w:hAnsiTheme="minorEastAsia" w:eastAsiaTheme="minorEastAsia"/>
          <w:sz w:val="24"/>
          <w:highlight w:val="none"/>
        </w:rPr>
        <w:t>投标人的澄清、说明或补正将作为投标文件的一部分。</w:t>
      </w:r>
    </w:p>
    <w:p w14:paraId="0B3C0DAD">
      <w:pPr>
        <w:spacing w:line="360" w:lineRule="auto"/>
        <w:ind w:firstLine="435"/>
        <w:rPr>
          <w:rFonts w:ascii="宋体" w:hAnsi="宋体" w:eastAsia="宋体"/>
          <w:sz w:val="24"/>
          <w:highlight w:val="none"/>
        </w:rPr>
      </w:pPr>
      <w:r>
        <w:rPr>
          <w:rFonts w:hint="eastAsia" w:ascii="宋体" w:hAnsi="宋体" w:eastAsia="宋体"/>
          <w:sz w:val="24"/>
          <w:highlight w:val="none"/>
        </w:rPr>
        <w:t>15.</w:t>
      </w:r>
      <w:r>
        <w:rPr>
          <w:rFonts w:ascii="宋体" w:hAnsi="宋体" w:eastAsia="宋体"/>
          <w:sz w:val="24"/>
          <w:highlight w:val="none"/>
        </w:rPr>
        <w:t>4.3评标委员会对投标人提交的澄清、说明或补正有疑问的，可以要求投标人进一步澄清、说明或补正，直至满足评标委员会的要求。</w:t>
      </w:r>
    </w:p>
    <w:p w14:paraId="22DB1ED3">
      <w:pPr>
        <w:spacing w:line="360" w:lineRule="auto"/>
        <w:ind w:firstLine="435"/>
        <w:rPr>
          <w:rFonts w:ascii="宋体" w:hAnsi="宋体" w:eastAsia="宋体"/>
          <w:sz w:val="24"/>
          <w:highlight w:val="none"/>
        </w:rPr>
      </w:pPr>
      <w:r>
        <w:rPr>
          <w:rFonts w:hint="eastAsia" w:ascii="宋体" w:hAnsi="宋体" w:eastAsia="宋体"/>
          <w:sz w:val="24"/>
          <w:highlight w:val="none"/>
        </w:rPr>
        <w:t>15.</w:t>
      </w:r>
      <w:r>
        <w:rPr>
          <w:rFonts w:ascii="宋体" w:hAnsi="宋体" w:eastAsia="宋体"/>
          <w:sz w:val="24"/>
          <w:highlight w:val="none"/>
        </w:rPr>
        <w:t>5投标文件报价出现前后不一致的，按照下列规定修正：</w:t>
      </w:r>
    </w:p>
    <w:p w14:paraId="60A41110">
      <w:pPr>
        <w:spacing w:line="360" w:lineRule="auto"/>
        <w:ind w:firstLine="435"/>
        <w:rPr>
          <w:rFonts w:ascii="宋体" w:hAnsi="宋体" w:eastAsia="宋体"/>
          <w:sz w:val="24"/>
          <w:highlight w:val="none"/>
        </w:rPr>
      </w:pPr>
      <w:r>
        <w:rPr>
          <w:rFonts w:ascii="宋体" w:hAnsi="宋体" w:eastAsia="宋体"/>
          <w:sz w:val="24"/>
          <w:highlight w:val="none"/>
        </w:rPr>
        <w:t>（</w:t>
      </w:r>
      <w:r>
        <w:rPr>
          <w:rFonts w:hint="eastAsia" w:ascii="宋体" w:hAnsi="宋体" w:eastAsia="宋体"/>
          <w:sz w:val="24"/>
          <w:highlight w:val="none"/>
        </w:rPr>
        <w:t>1</w:t>
      </w:r>
      <w:r>
        <w:rPr>
          <w:rFonts w:ascii="宋体" w:hAnsi="宋体" w:eastAsia="宋体"/>
          <w:sz w:val="24"/>
          <w:highlight w:val="none"/>
        </w:rPr>
        <w:t>）投标文件中开标一览表内容与投标文件中相应内容不一致的，以开标一览表为准；</w:t>
      </w:r>
    </w:p>
    <w:p w14:paraId="13BD72F5">
      <w:pPr>
        <w:spacing w:line="360" w:lineRule="auto"/>
        <w:ind w:firstLine="435"/>
        <w:rPr>
          <w:rFonts w:ascii="宋体" w:hAnsi="宋体" w:eastAsia="宋体"/>
          <w:sz w:val="24"/>
          <w:highlight w:val="none"/>
        </w:rPr>
      </w:pPr>
      <w:r>
        <w:rPr>
          <w:rFonts w:ascii="宋体" w:hAnsi="宋体" w:eastAsia="宋体"/>
          <w:sz w:val="24"/>
          <w:highlight w:val="none"/>
        </w:rPr>
        <w:t>（</w:t>
      </w:r>
      <w:r>
        <w:rPr>
          <w:rFonts w:hint="eastAsia" w:ascii="宋体" w:hAnsi="宋体" w:eastAsia="宋体"/>
          <w:sz w:val="24"/>
          <w:highlight w:val="none"/>
        </w:rPr>
        <w:t>2</w:t>
      </w:r>
      <w:r>
        <w:rPr>
          <w:rFonts w:ascii="宋体" w:hAnsi="宋体" w:eastAsia="宋体"/>
          <w:sz w:val="24"/>
          <w:highlight w:val="none"/>
        </w:rPr>
        <w:t>）大写金额和小写金额不一致的，以大写金额为准；</w:t>
      </w:r>
    </w:p>
    <w:p w14:paraId="3CE44516">
      <w:pPr>
        <w:spacing w:line="360" w:lineRule="auto"/>
        <w:ind w:firstLine="435"/>
        <w:rPr>
          <w:rFonts w:ascii="宋体" w:hAnsi="宋体" w:eastAsia="宋体"/>
          <w:sz w:val="24"/>
          <w:highlight w:val="none"/>
        </w:rPr>
      </w:pPr>
      <w:r>
        <w:rPr>
          <w:rFonts w:ascii="宋体" w:hAnsi="宋体" w:eastAsia="宋体"/>
          <w:sz w:val="24"/>
          <w:highlight w:val="none"/>
        </w:rPr>
        <w:t>（</w:t>
      </w:r>
      <w:r>
        <w:rPr>
          <w:rFonts w:hint="eastAsia" w:ascii="宋体" w:hAnsi="宋体" w:eastAsia="宋体"/>
          <w:sz w:val="24"/>
          <w:highlight w:val="none"/>
        </w:rPr>
        <w:t>3</w:t>
      </w:r>
      <w:r>
        <w:rPr>
          <w:rFonts w:ascii="宋体" w:hAnsi="宋体" w:eastAsia="宋体"/>
          <w:sz w:val="24"/>
          <w:highlight w:val="none"/>
        </w:rPr>
        <w:t>）单价金额小数点或者百分比有明显错位的，以开标一览表的总价为准，并修改单价；</w:t>
      </w:r>
    </w:p>
    <w:p w14:paraId="138B21F8">
      <w:pPr>
        <w:spacing w:line="360" w:lineRule="auto"/>
        <w:ind w:firstLine="435"/>
        <w:rPr>
          <w:rFonts w:ascii="宋体" w:hAnsi="宋体" w:eastAsia="宋体"/>
          <w:sz w:val="24"/>
          <w:highlight w:val="none"/>
        </w:rPr>
      </w:pPr>
      <w:r>
        <w:rPr>
          <w:rFonts w:ascii="宋体" w:hAnsi="宋体" w:eastAsia="宋体"/>
          <w:sz w:val="24"/>
          <w:highlight w:val="none"/>
        </w:rPr>
        <w:t>（</w:t>
      </w:r>
      <w:r>
        <w:rPr>
          <w:rFonts w:hint="eastAsia" w:ascii="宋体" w:hAnsi="宋体" w:eastAsia="宋体"/>
          <w:sz w:val="24"/>
          <w:highlight w:val="none"/>
        </w:rPr>
        <w:t>4</w:t>
      </w:r>
      <w:r>
        <w:rPr>
          <w:rFonts w:ascii="宋体" w:hAnsi="宋体" w:eastAsia="宋体"/>
          <w:sz w:val="24"/>
          <w:highlight w:val="none"/>
        </w:rPr>
        <w:t>）总价金额与按单价汇总金额不一致的，以单价金额计算结果为准。</w:t>
      </w:r>
    </w:p>
    <w:p w14:paraId="19466E3E">
      <w:pPr>
        <w:spacing w:line="360" w:lineRule="auto"/>
        <w:ind w:firstLine="435"/>
        <w:rPr>
          <w:rFonts w:ascii="宋体" w:hAnsi="宋体" w:eastAsia="宋体"/>
          <w:sz w:val="24"/>
          <w:highlight w:val="none"/>
        </w:rPr>
      </w:pPr>
      <w:r>
        <w:rPr>
          <w:rFonts w:ascii="宋体" w:hAnsi="宋体" w:eastAsia="宋体"/>
          <w:sz w:val="24"/>
          <w:highlight w:val="none"/>
        </w:rPr>
        <w:t>同时出现两种以上不一致的，按照前款规定的顺序修正。修正后的报价按照第</w:t>
      </w:r>
      <w:r>
        <w:rPr>
          <w:rFonts w:hint="eastAsia" w:ascii="宋体" w:hAnsi="宋体" w:eastAsia="宋体"/>
          <w:sz w:val="24"/>
          <w:highlight w:val="none"/>
        </w:rPr>
        <w:t>15.</w:t>
      </w:r>
      <w:r>
        <w:rPr>
          <w:rFonts w:ascii="宋体" w:hAnsi="宋体" w:eastAsia="宋体"/>
          <w:sz w:val="24"/>
          <w:highlight w:val="none"/>
        </w:rPr>
        <w:t>4条的规定经投标人确认后产生约束力，投标人不确认的，其投标将被认定为</w:t>
      </w:r>
      <w:r>
        <w:rPr>
          <w:rFonts w:ascii="宋体" w:hAnsi="宋体" w:eastAsia="宋体"/>
          <w:b/>
          <w:sz w:val="24"/>
          <w:highlight w:val="none"/>
        </w:rPr>
        <w:t>投标无效</w:t>
      </w:r>
      <w:r>
        <w:rPr>
          <w:rFonts w:ascii="宋体" w:hAnsi="宋体" w:eastAsia="宋体"/>
          <w:sz w:val="24"/>
          <w:highlight w:val="none"/>
        </w:rPr>
        <w:t>。</w:t>
      </w:r>
    </w:p>
    <w:p w14:paraId="4606EF78">
      <w:pPr>
        <w:spacing w:line="360" w:lineRule="auto"/>
        <w:ind w:firstLine="435"/>
        <w:rPr>
          <w:rFonts w:asciiTheme="minorEastAsia" w:hAnsiTheme="minorEastAsia" w:eastAsiaTheme="minorEastAsia"/>
          <w:b/>
          <w:sz w:val="24"/>
          <w:highlight w:val="none"/>
        </w:rPr>
      </w:pPr>
      <w:r>
        <w:rPr>
          <w:rFonts w:hint="eastAsia" w:asciiTheme="minorEastAsia" w:hAnsiTheme="minorEastAsia" w:eastAsiaTheme="minorEastAsia"/>
          <w:sz w:val="24"/>
          <w:highlight w:val="none"/>
        </w:rPr>
        <w:t>对不同文字文本投标文件的解释发生异议的，以中文文本为准。</w:t>
      </w:r>
    </w:p>
    <w:p w14:paraId="20A1221D">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16.投标无效</w:t>
      </w:r>
    </w:p>
    <w:p w14:paraId="4957B9B6">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16.</w:t>
      </w:r>
      <w:r>
        <w:rPr>
          <w:rFonts w:asciiTheme="minorEastAsia" w:hAnsiTheme="minorEastAsia" w:eastAsiaTheme="minorEastAsia"/>
          <w:sz w:val="24"/>
          <w:highlight w:val="none"/>
        </w:rPr>
        <w:t>1根据本</w:t>
      </w:r>
      <w:r>
        <w:rPr>
          <w:rFonts w:hint="eastAsia" w:asciiTheme="minorEastAsia" w:hAnsiTheme="minorEastAsia" w:eastAsiaTheme="minorEastAsia"/>
          <w:sz w:val="24"/>
          <w:highlight w:val="none"/>
        </w:rPr>
        <w:t>招标文件</w:t>
      </w:r>
      <w:r>
        <w:rPr>
          <w:rFonts w:asciiTheme="minorEastAsia" w:hAnsiTheme="minorEastAsia" w:eastAsiaTheme="minorEastAsia"/>
          <w:sz w:val="24"/>
          <w:highlight w:val="none"/>
        </w:rPr>
        <w:t>的规定，评标委员会要审查每份投标文件是否实质上响应了招标文件的要求。投标人不得通过修正或撤销不符合要求的偏离，从而使其投标成为实质上响应的投标。</w:t>
      </w:r>
    </w:p>
    <w:p w14:paraId="2CDBACDD">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评标委员会决定投标的响应性只根据招标文件要求和投标文件内容。</w:t>
      </w:r>
    </w:p>
    <w:p w14:paraId="4660846C">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无论何种原因，即使投标人投标时携带了证书材料的原件，但投标文件中未提供与之内容完全一致的扫描件的，评标委员会视同其未提供。</w:t>
      </w:r>
    </w:p>
    <w:p w14:paraId="09EA79D5">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16.</w:t>
      </w:r>
      <w:r>
        <w:rPr>
          <w:rFonts w:asciiTheme="minorEastAsia" w:hAnsiTheme="minorEastAsia" w:eastAsiaTheme="minorEastAsia"/>
          <w:sz w:val="24"/>
          <w:highlight w:val="none"/>
        </w:rPr>
        <w:t>2如发现下列情况之一的，其投标将被认定为</w:t>
      </w:r>
      <w:r>
        <w:rPr>
          <w:rFonts w:asciiTheme="minorEastAsia" w:hAnsiTheme="minorEastAsia" w:eastAsiaTheme="minorEastAsia"/>
          <w:b/>
          <w:sz w:val="24"/>
          <w:highlight w:val="none"/>
        </w:rPr>
        <w:t>投标无效</w:t>
      </w:r>
      <w:r>
        <w:rPr>
          <w:rFonts w:asciiTheme="minorEastAsia" w:hAnsiTheme="minorEastAsia" w:eastAsiaTheme="minorEastAsia"/>
          <w:sz w:val="24"/>
          <w:highlight w:val="none"/>
        </w:rPr>
        <w:t>：</w:t>
      </w:r>
    </w:p>
    <w:p w14:paraId="3497D508">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1）投标文件未按照招标文件规定要求签署、盖章的；</w:t>
      </w:r>
    </w:p>
    <w:p w14:paraId="4F4D0985">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2）不具备招标文件中规定的资格要求的；</w:t>
      </w:r>
    </w:p>
    <w:p w14:paraId="4ED318B4">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3）报价超过招标文件中规定的预算金额或者最高限价的；</w:t>
      </w:r>
    </w:p>
    <w:p w14:paraId="65965C46">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4）投标文件含有采购人不能接受的附加条件的；</w:t>
      </w:r>
    </w:p>
    <w:p w14:paraId="5E55B07F">
      <w:pPr>
        <w:spacing w:line="360" w:lineRule="auto"/>
        <w:ind w:firstLine="435"/>
        <w:rPr>
          <w:rFonts w:ascii="宋体" w:hAnsi="宋体" w:eastAsia="宋体"/>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5）法律、法规和招标文件规定的其他无效情形。</w:t>
      </w:r>
    </w:p>
    <w:p w14:paraId="559E0777">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17.比较与评价</w:t>
      </w:r>
    </w:p>
    <w:p w14:paraId="412D127C">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17.1经符合性审查合格的投标文件，评标委员会将根据招标文件确定的评标方法和标准，对其投标文件作进一步的比较与评价。</w:t>
      </w:r>
    </w:p>
    <w:p w14:paraId="36CC9BD0">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17.2评标严格按照</w:t>
      </w:r>
      <w:r>
        <w:rPr>
          <w:rFonts w:hint="eastAsia" w:ascii="宋体" w:hAnsi="宋体" w:eastAsia="宋体"/>
          <w:sz w:val="24"/>
          <w:highlight w:val="none"/>
        </w:rPr>
        <w:t>招标文件</w:t>
      </w:r>
      <w:r>
        <w:rPr>
          <w:rFonts w:hint="eastAsia" w:asciiTheme="minorEastAsia" w:hAnsiTheme="minorEastAsia" w:eastAsiaTheme="minorEastAsia"/>
          <w:sz w:val="24"/>
          <w:highlight w:val="none"/>
        </w:rPr>
        <w:t>的要求和条件进行。根据实际情况，在</w:t>
      </w:r>
      <w:r>
        <w:rPr>
          <w:rFonts w:hint="eastAsia" w:asciiTheme="minorEastAsia" w:hAnsiTheme="minorEastAsia" w:eastAsiaTheme="minorEastAsia"/>
          <w:sz w:val="24"/>
          <w:highlight w:val="none"/>
          <w:u w:val="single"/>
        </w:rPr>
        <w:t>投标人须知前附表</w:t>
      </w:r>
      <w:r>
        <w:rPr>
          <w:rFonts w:hint="eastAsia" w:asciiTheme="minorEastAsia" w:hAnsiTheme="minorEastAsia" w:eastAsiaTheme="minorEastAsia"/>
          <w:sz w:val="24"/>
          <w:highlight w:val="none"/>
        </w:rPr>
        <w:t>中规定采用下列一种评标方法，详细评标方法和标准见招标文件第四章：</w:t>
      </w:r>
    </w:p>
    <w:p w14:paraId="0D8873AA">
      <w:pPr>
        <w:spacing w:line="360" w:lineRule="auto"/>
        <w:ind w:firstLine="435"/>
        <w:rPr>
          <w:rFonts w:ascii="宋体" w:hAnsi="宋体" w:eastAsia="宋体"/>
          <w:sz w:val="24"/>
          <w:highlight w:val="none"/>
        </w:rPr>
      </w:pPr>
      <w:r>
        <w:rPr>
          <w:rFonts w:hint="eastAsia" w:asciiTheme="minorEastAsia" w:hAnsiTheme="minorEastAsia" w:eastAsiaTheme="minorEastAsia"/>
          <w:sz w:val="24"/>
          <w:highlight w:val="none"/>
        </w:rPr>
        <w:t>（</w:t>
      </w:r>
      <w:r>
        <w:rPr>
          <w:rFonts w:hint="eastAsia" w:ascii="宋体" w:hAnsi="宋体" w:eastAsia="宋体"/>
          <w:sz w:val="24"/>
          <w:highlight w:val="none"/>
        </w:rPr>
        <w:t>1）最低评标价法，是指</w:t>
      </w:r>
      <w:r>
        <w:rPr>
          <w:rFonts w:ascii="宋体" w:hAnsi="宋体" w:eastAsia="宋体"/>
          <w:sz w:val="24"/>
          <w:highlight w:val="none"/>
        </w:rPr>
        <w:t>投标文件满足招标文件全部实质性要求</w:t>
      </w:r>
      <w:r>
        <w:rPr>
          <w:rFonts w:hint="eastAsia" w:ascii="宋体" w:hAnsi="宋体" w:eastAsia="宋体"/>
          <w:sz w:val="24"/>
          <w:highlight w:val="none"/>
        </w:rPr>
        <w:t>，</w:t>
      </w:r>
      <w:r>
        <w:rPr>
          <w:rFonts w:ascii="宋体" w:hAnsi="宋体" w:eastAsia="宋体"/>
          <w:sz w:val="24"/>
          <w:highlight w:val="none"/>
        </w:rPr>
        <w:t>且投标报价最低的</w:t>
      </w:r>
      <w:r>
        <w:rPr>
          <w:rFonts w:hint="eastAsia" w:ascii="宋体" w:hAnsi="宋体" w:eastAsia="宋体"/>
          <w:sz w:val="24"/>
          <w:highlight w:val="none"/>
        </w:rPr>
        <w:t>投标人</w:t>
      </w:r>
      <w:r>
        <w:rPr>
          <w:rFonts w:ascii="宋体" w:hAnsi="宋体" w:eastAsia="宋体"/>
          <w:sz w:val="24"/>
          <w:highlight w:val="none"/>
        </w:rPr>
        <w:t>为中标</w:t>
      </w:r>
      <w:r>
        <w:rPr>
          <w:rFonts w:hint="eastAsia" w:ascii="宋体" w:hAnsi="宋体" w:eastAsia="宋体"/>
          <w:sz w:val="24"/>
          <w:highlight w:val="none"/>
        </w:rPr>
        <w:t>候选</w:t>
      </w:r>
      <w:r>
        <w:rPr>
          <w:rFonts w:ascii="宋体" w:hAnsi="宋体" w:eastAsia="宋体"/>
          <w:sz w:val="24"/>
          <w:highlight w:val="none"/>
        </w:rPr>
        <w:t>人的评标方法</w:t>
      </w:r>
      <w:r>
        <w:rPr>
          <w:rFonts w:hint="eastAsia" w:ascii="宋体" w:hAnsi="宋体" w:eastAsia="宋体"/>
          <w:sz w:val="24"/>
          <w:highlight w:val="none"/>
        </w:rPr>
        <w:t>。</w:t>
      </w:r>
    </w:p>
    <w:p w14:paraId="674A64E6">
      <w:pPr>
        <w:spacing w:line="360" w:lineRule="auto"/>
        <w:ind w:firstLine="435"/>
        <w:rPr>
          <w:rFonts w:ascii="宋体" w:hAnsi="宋体" w:eastAsia="宋体"/>
          <w:sz w:val="24"/>
          <w:highlight w:val="none"/>
        </w:rPr>
      </w:pPr>
      <w:r>
        <w:rPr>
          <w:rFonts w:hint="eastAsia" w:ascii="宋体" w:hAnsi="宋体" w:eastAsia="宋体"/>
          <w:sz w:val="24"/>
          <w:highlight w:val="none"/>
        </w:rPr>
        <w:t>（2）综合评分法，是</w:t>
      </w:r>
      <w:r>
        <w:rPr>
          <w:rFonts w:ascii="宋体" w:hAnsi="宋体" w:eastAsia="宋体"/>
          <w:sz w:val="24"/>
          <w:highlight w:val="none"/>
        </w:rPr>
        <w:t>指投标文件满足招标</w:t>
      </w:r>
      <w:r>
        <w:rPr>
          <w:rFonts w:hint="eastAsia" w:ascii="宋体" w:hAnsi="宋体" w:eastAsia="宋体"/>
          <w:sz w:val="24"/>
          <w:highlight w:val="none"/>
        </w:rPr>
        <w:t>文件</w:t>
      </w:r>
      <w:r>
        <w:rPr>
          <w:rFonts w:ascii="宋体" w:hAnsi="宋体" w:eastAsia="宋体"/>
          <w:sz w:val="24"/>
          <w:highlight w:val="none"/>
        </w:rPr>
        <w:t>全部实质性要求</w:t>
      </w:r>
      <w:r>
        <w:rPr>
          <w:rFonts w:hint="eastAsia" w:ascii="宋体" w:hAnsi="宋体" w:eastAsia="宋体"/>
          <w:sz w:val="24"/>
          <w:highlight w:val="none"/>
        </w:rPr>
        <w:t>，</w:t>
      </w:r>
      <w:r>
        <w:rPr>
          <w:rFonts w:ascii="宋体" w:hAnsi="宋体" w:eastAsia="宋体"/>
          <w:sz w:val="24"/>
          <w:highlight w:val="none"/>
        </w:rPr>
        <w:t>且按照评审因素的</w:t>
      </w:r>
      <w:r>
        <w:rPr>
          <w:rFonts w:hint="eastAsia" w:ascii="宋体" w:hAnsi="宋体" w:eastAsia="宋体"/>
          <w:sz w:val="24"/>
          <w:highlight w:val="none"/>
        </w:rPr>
        <w:t>量化</w:t>
      </w:r>
      <w:r>
        <w:rPr>
          <w:rFonts w:ascii="宋体" w:hAnsi="宋体" w:eastAsia="宋体"/>
          <w:sz w:val="24"/>
          <w:highlight w:val="none"/>
        </w:rPr>
        <w:t>指标评审得分最高的</w:t>
      </w:r>
      <w:r>
        <w:rPr>
          <w:rFonts w:hint="eastAsia" w:ascii="宋体" w:hAnsi="宋体" w:eastAsia="宋体"/>
          <w:sz w:val="24"/>
          <w:highlight w:val="none"/>
        </w:rPr>
        <w:t>投标人</w:t>
      </w:r>
      <w:r>
        <w:rPr>
          <w:rFonts w:ascii="宋体" w:hAnsi="宋体" w:eastAsia="宋体"/>
          <w:sz w:val="24"/>
          <w:highlight w:val="none"/>
        </w:rPr>
        <w:t>为中标候选人的评标方法。</w:t>
      </w:r>
    </w:p>
    <w:p w14:paraId="7050DD34">
      <w:pPr>
        <w:spacing w:line="360" w:lineRule="auto"/>
        <w:ind w:firstLine="435"/>
        <w:rPr>
          <w:rFonts w:ascii="宋体" w:hAnsi="宋体" w:eastAsia="宋体"/>
          <w:sz w:val="24"/>
          <w:highlight w:val="none"/>
        </w:rPr>
      </w:pPr>
      <w:r>
        <w:rPr>
          <w:rFonts w:hint="eastAsia" w:ascii="宋体" w:hAnsi="宋体" w:eastAsia="宋体"/>
          <w:sz w:val="24"/>
          <w:highlight w:val="none"/>
        </w:rPr>
        <w:t>17.</w:t>
      </w:r>
      <w:r>
        <w:rPr>
          <w:rFonts w:ascii="宋体" w:hAnsi="宋体" w:eastAsia="宋体"/>
          <w:sz w:val="24"/>
          <w:highlight w:val="none"/>
        </w:rPr>
        <w:t>3根据《政府采购促进中小企业发展管理办法》（财库〔2020〕46号）、《三部门联合发布关于促进残疾人就业政府采购政策的通知》（财库〔2017〕141号）和《财政部司法部关于政府采购支持监狱企业发展有关问题的通知》（财库〔2014〕68号）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ascii="宋体" w:hAnsi="宋体" w:eastAsia="宋体"/>
          <w:sz w:val="24"/>
          <w:highlight w:val="none"/>
          <w:u w:val="single"/>
        </w:rPr>
        <w:t>投标人须知前附表</w:t>
      </w:r>
      <w:r>
        <w:rPr>
          <w:rFonts w:ascii="宋体" w:hAnsi="宋体" w:eastAsia="宋体"/>
          <w:sz w:val="24"/>
          <w:highlight w:val="none"/>
        </w:rPr>
        <w:t>中规定的标准扣除后的价格参与评审。对于同时属于小微企</w:t>
      </w:r>
      <w:r>
        <w:rPr>
          <w:rFonts w:hint="eastAsia" w:ascii="宋体" w:hAnsi="宋体" w:eastAsia="宋体"/>
          <w:sz w:val="24"/>
          <w:highlight w:val="none"/>
        </w:rPr>
        <w:t>业、监狱企业或残疾人福利性单位的，不重复进行投标报价扣除。</w:t>
      </w:r>
    </w:p>
    <w:p w14:paraId="14AC9076">
      <w:pPr>
        <w:spacing w:line="360" w:lineRule="auto"/>
        <w:ind w:firstLine="435"/>
        <w:rPr>
          <w:rFonts w:ascii="宋体" w:hAnsi="宋体" w:eastAsia="宋体"/>
          <w:sz w:val="24"/>
          <w:highlight w:val="none"/>
        </w:rPr>
      </w:pPr>
      <w:r>
        <w:rPr>
          <w:rFonts w:hint="eastAsia" w:ascii="宋体" w:hAnsi="宋体" w:eastAsia="宋体"/>
          <w:sz w:val="24"/>
          <w:highlight w:val="none"/>
        </w:rPr>
        <w:t>接受大中型企业与小微企业组成联合体或者允许大中型企业向一家或者多家小微企业分包的，对于联合协议或者分包意向协议约定小微企业的合同份额占到合同总金额</w:t>
      </w:r>
      <w:r>
        <w:rPr>
          <w:rFonts w:ascii="宋体" w:hAnsi="宋体" w:eastAsia="宋体"/>
          <w:sz w:val="24"/>
          <w:highlight w:val="none"/>
        </w:rPr>
        <w:t>30%以上的，可给予联合体或者大中型企业的投标报价按照</w:t>
      </w:r>
      <w:r>
        <w:rPr>
          <w:rFonts w:ascii="宋体" w:hAnsi="宋体" w:eastAsia="宋体"/>
          <w:sz w:val="24"/>
          <w:highlight w:val="none"/>
          <w:u w:val="single"/>
        </w:rPr>
        <w:t>投标人须知前附表</w:t>
      </w:r>
      <w:r>
        <w:rPr>
          <w:rFonts w:ascii="宋体" w:hAnsi="宋体" w:eastAsia="宋体"/>
          <w:sz w:val="24"/>
          <w:highlight w:val="none"/>
        </w:rPr>
        <w:t>中规定的标准扣除后的价格参与评审。组成联合体或者接受分包的小微企业与联合体内其他企业、分包企业之间存在直接控股、管理关系的，不享受价格扣除优惠政策。</w:t>
      </w:r>
    </w:p>
    <w:p w14:paraId="1126A823">
      <w:pPr>
        <w:spacing w:line="360" w:lineRule="auto"/>
        <w:ind w:firstLine="435"/>
        <w:rPr>
          <w:rFonts w:ascii="宋体" w:hAnsi="宋体" w:eastAsia="宋体"/>
          <w:sz w:val="24"/>
          <w:highlight w:val="none"/>
        </w:rPr>
      </w:pPr>
      <w:r>
        <w:rPr>
          <w:rFonts w:hint="eastAsia" w:ascii="宋体" w:hAnsi="宋体" w:eastAsia="宋体"/>
          <w:sz w:val="24"/>
          <w:highlight w:val="none"/>
        </w:rPr>
        <w:t>以联合体形式参加政府采购活动，联合体各方均为中小企业的，联合体视同中小企业。其中，联合体各方均为小微企业的，联合体视同小微企业。</w:t>
      </w:r>
    </w:p>
    <w:p w14:paraId="455F3692">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18</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废标、重新招标与变更采购方式</w:t>
      </w:r>
    </w:p>
    <w:p w14:paraId="1513D178">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18.1出现下列情形之一，将导致项目废标：</w:t>
      </w:r>
    </w:p>
    <w:p w14:paraId="4C012E40">
      <w:pPr>
        <w:spacing w:line="360" w:lineRule="auto"/>
        <w:ind w:firstLine="435"/>
        <w:rPr>
          <w:rFonts w:ascii="宋体" w:hAnsi="宋体" w:eastAsia="宋体"/>
          <w:sz w:val="24"/>
          <w:highlight w:val="none"/>
        </w:rPr>
      </w:pPr>
      <w:r>
        <w:rPr>
          <w:rFonts w:hint="eastAsia" w:asciiTheme="minorEastAsia" w:hAnsiTheme="minorEastAsia" w:eastAsiaTheme="minorEastAsia"/>
          <w:sz w:val="24"/>
          <w:highlight w:val="none"/>
        </w:rPr>
        <w:t>（</w:t>
      </w:r>
      <w:r>
        <w:rPr>
          <w:rFonts w:hint="eastAsia" w:ascii="宋体" w:hAnsi="宋体" w:eastAsia="宋体"/>
          <w:sz w:val="24"/>
          <w:highlight w:val="none"/>
        </w:rPr>
        <w:t>1）符合专业条件的供应商或者对招标文件做实质性响应的供应商不足规定数量的；</w:t>
      </w:r>
    </w:p>
    <w:p w14:paraId="34A8BF5F">
      <w:pPr>
        <w:spacing w:line="360" w:lineRule="auto"/>
        <w:ind w:firstLine="435"/>
        <w:rPr>
          <w:rFonts w:ascii="宋体" w:hAnsi="宋体" w:eastAsia="宋体"/>
          <w:sz w:val="24"/>
          <w:highlight w:val="none"/>
        </w:rPr>
      </w:pPr>
      <w:r>
        <w:rPr>
          <w:rFonts w:hint="eastAsia" w:ascii="宋体" w:hAnsi="宋体" w:eastAsia="宋体"/>
          <w:sz w:val="24"/>
          <w:highlight w:val="none"/>
        </w:rPr>
        <w:t>（2）出现影响采购公正的违法、违规行为的；</w:t>
      </w:r>
    </w:p>
    <w:p w14:paraId="5A861B09">
      <w:pPr>
        <w:spacing w:line="360" w:lineRule="auto"/>
        <w:ind w:firstLine="435"/>
        <w:rPr>
          <w:rFonts w:ascii="宋体" w:hAnsi="宋体" w:eastAsia="宋体"/>
          <w:sz w:val="24"/>
          <w:highlight w:val="none"/>
        </w:rPr>
      </w:pPr>
      <w:r>
        <w:rPr>
          <w:rFonts w:hint="eastAsia" w:ascii="宋体" w:hAnsi="宋体" w:eastAsia="宋体"/>
          <w:sz w:val="24"/>
          <w:highlight w:val="none"/>
        </w:rPr>
        <w:t>（3）投标人的报价均超过了采购预算，采购人不能支付的；</w:t>
      </w:r>
    </w:p>
    <w:p w14:paraId="5F0B1B08">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（4）因重大变故，采购任务取消的。</w:t>
      </w:r>
    </w:p>
    <w:p w14:paraId="39F51418">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18.2公开招标数额标准以上的采购项目，投标截止后投标人不足</w:t>
      </w:r>
      <w:r>
        <w:rPr>
          <w:rFonts w:asciiTheme="minorEastAsia" w:hAnsiTheme="minorEastAsia" w:eastAsiaTheme="minorEastAsia"/>
          <w:sz w:val="24"/>
          <w:highlight w:val="none"/>
        </w:rPr>
        <w:t>3家或者通过</w:t>
      </w:r>
      <w:r>
        <w:rPr>
          <w:rFonts w:hint="eastAsia" w:asciiTheme="minorEastAsia" w:hAnsiTheme="minorEastAsia" w:eastAsiaTheme="minorEastAsia"/>
          <w:sz w:val="24"/>
          <w:highlight w:val="none"/>
        </w:rPr>
        <w:t>资格审查或符合性审查的投标人不足</w:t>
      </w:r>
      <w:r>
        <w:rPr>
          <w:rFonts w:asciiTheme="minorEastAsia" w:hAnsiTheme="minorEastAsia" w:eastAsiaTheme="minorEastAsia"/>
          <w:sz w:val="24"/>
          <w:highlight w:val="none"/>
        </w:rPr>
        <w:t>3家的，除采购任务取消情形外，按照以下方式处理：</w:t>
      </w:r>
    </w:p>
    <w:p w14:paraId="3902CDE1">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（1）招标文件存在不合理条款或者招标程序不符合规定的，采购人、采购代理机构改正后依法重新招标；</w:t>
      </w:r>
    </w:p>
    <w:p w14:paraId="6DA97443">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（2）招标文件没有不合理条款、招标程序符合规定，需要采用其他采购方式采购的，采购人应当依法报</w:t>
      </w:r>
      <w:r>
        <w:rPr>
          <w:rFonts w:hint="eastAsia" w:ascii="宋体" w:hAnsi="宋体" w:eastAsia="宋体" w:cs="宋体"/>
          <w:color w:val="000000"/>
          <w:sz w:val="24"/>
          <w:szCs w:val="24"/>
          <w:highlight w:val="none"/>
        </w:rPr>
        <w:t>政府采购监督管理部门</w:t>
      </w:r>
      <w:r>
        <w:rPr>
          <w:rFonts w:hint="eastAsia" w:asciiTheme="minorEastAsia" w:hAnsiTheme="minorEastAsia" w:eastAsiaTheme="minorEastAsia"/>
          <w:sz w:val="24"/>
          <w:highlight w:val="none"/>
        </w:rPr>
        <w:t>批准。</w:t>
      </w:r>
    </w:p>
    <w:p w14:paraId="2535CB27">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19</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保密要求</w:t>
      </w:r>
    </w:p>
    <w:p w14:paraId="17BC98B8">
      <w:pPr>
        <w:spacing w:line="360" w:lineRule="auto"/>
        <w:ind w:firstLine="435"/>
        <w:rPr>
          <w:rFonts w:ascii="宋体" w:hAnsi="宋体" w:eastAsia="宋体"/>
          <w:sz w:val="24"/>
          <w:highlight w:val="none"/>
        </w:rPr>
      </w:pPr>
      <w:r>
        <w:rPr>
          <w:rFonts w:hint="eastAsia" w:ascii="宋体" w:hAnsi="宋体" w:eastAsia="宋体"/>
          <w:sz w:val="24"/>
          <w:highlight w:val="none"/>
        </w:rPr>
        <w:t>19.1评标将在严格保密的情况下进行。</w:t>
      </w:r>
    </w:p>
    <w:p w14:paraId="4D744439">
      <w:pPr>
        <w:spacing w:line="360" w:lineRule="auto"/>
        <w:ind w:firstLine="435"/>
        <w:rPr>
          <w:rFonts w:ascii="宋体" w:hAnsi="宋体" w:eastAsia="宋体"/>
          <w:sz w:val="24"/>
          <w:highlight w:val="none"/>
        </w:rPr>
      </w:pPr>
      <w:r>
        <w:rPr>
          <w:rFonts w:hint="eastAsia" w:ascii="宋体" w:hAnsi="宋体" w:eastAsia="宋体"/>
          <w:sz w:val="24"/>
          <w:highlight w:val="none"/>
        </w:rPr>
        <w:t>19.2有关人员</w:t>
      </w:r>
      <w:r>
        <w:rPr>
          <w:rFonts w:ascii="宋体" w:hAnsi="宋体" w:eastAsia="宋体"/>
          <w:sz w:val="24"/>
          <w:highlight w:val="none"/>
        </w:rPr>
        <w:t>应当</w:t>
      </w:r>
      <w:r>
        <w:rPr>
          <w:rFonts w:hint="eastAsia" w:ascii="宋体" w:hAnsi="宋体" w:eastAsia="宋体"/>
          <w:sz w:val="24"/>
          <w:highlight w:val="none"/>
        </w:rPr>
        <w:t>遵</w:t>
      </w:r>
      <w:r>
        <w:rPr>
          <w:rFonts w:ascii="宋体" w:hAnsi="宋体" w:eastAsia="宋体"/>
          <w:sz w:val="24"/>
          <w:highlight w:val="none"/>
        </w:rPr>
        <w:t>守评</w:t>
      </w:r>
      <w:r>
        <w:rPr>
          <w:rFonts w:hint="eastAsia" w:ascii="宋体" w:hAnsi="宋体" w:eastAsia="宋体"/>
          <w:sz w:val="24"/>
          <w:highlight w:val="none"/>
        </w:rPr>
        <w:t>标</w:t>
      </w:r>
      <w:r>
        <w:rPr>
          <w:rFonts w:ascii="宋体" w:hAnsi="宋体" w:eastAsia="宋体"/>
          <w:sz w:val="24"/>
          <w:highlight w:val="none"/>
        </w:rPr>
        <w:t>工作纪律，不得</w:t>
      </w:r>
      <w:r>
        <w:rPr>
          <w:rFonts w:hint="eastAsia" w:ascii="宋体" w:hAnsi="宋体" w:eastAsia="宋体"/>
          <w:sz w:val="24"/>
          <w:highlight w:val="none"/>
        </w:rPr>
        <w:t>泄露</w:t>
      </w:r>
      <w:r>
        <w:rPr>
          <w:rFonts w:ascii="宋体" w:hAnsi="宋体" w:eastAsia="宋体"/>
          <w:sz w:val="24"/>
          <w:highlight w:val="none"/>
        </w:rPr>
        <w:t>评</w:t>
      </w:r>
      <w:r>
        <w:rPr>
          <w:rFonts w:hint="eastAsia" w:ascii="宋体" w:hAnsi="宋体" w:eastAsia="宋体"/>
          <w:sz w:val="24"/>
          <w:highlight w:val="none"/>
        </w:rPr>
        <w:t>标文件</w:t>
      </w:r>
      <w:r>
        <w:rPr>
          <w:rFonts w:ascii="宋体" w:hAnsi="宋体" w:eastAsia="宋体"/>
          <w:sz w:val="24"/>
          <w:highlight w:val="none"/>
        </w:rPr>
        <w:t>、评</w:t>
      </w:r>
      <w:r>
        <w:rPr>
          <w:rFonts w:hint="eastAsia" w:ascii="宋体" w:hAnsi="宋体" w:eastAsia="宋体"/>
          <w:sz w:val="24"/>
          <w:highlight w:val="none"/>
        </w:rPr>
        <w:t>标</w:t>
      </w:r>
      <w:r>
        <w:rPr>
          <w:rFonts w:ascii="宋体" w:hAnsi="宋体" w:eastAsia="宋体"/>
          <w:sz w:val="24"/>
          <w:highlight w:val="none"/>
        </w:rPr>
        <w:t>情况和评</w:t>
      </w:r>
      <w:r>
        <w:rPr>
          <w:rFonts w:hint="eastAsia" w:ascii="宋体" w:hAnsi="宋体" w:eastAsia="宋体"/>
          <w:sz w:val="24"/>
          <w:highlight w:val="none"/>
        </w:rPr>
        <w:t>标</w:t>
      </w:r>
      <w:r>
        <w:rPr>
          <w:rFonts w:ascii="宋体" w:hAnsi="宋体" w:eastAsia="宋体"/>
          <w:sz w:val="24"/>
          <w:highlight w:val="none"/>
        </w:rPr>
        <w:t>中获悉的</w:t>
      </w:r>
      <w:r>
        <w:rPr>
          <w:rFonts w:hint="eastAsia" w:ascii="宋体" w:hAnsi="宋体" w:eastAsia="宋体"/>
          <w:sz w:val="24"/>
          <w:highlight w:val="none"/>
        </w:rPr>
        <w:t>国家秘密、</w:t>
      </w:r>
      <w:r>
        <w:rPr>
          <w:rFonts w:ascii="宋体" w:hAnsi="宋体" w:eastAsia="宋体"/>
          <w:sz w:val="24"/>
          <w:highlight w:val="none"/>
        </w:rPr>
        <w:t>商业秘密。</w:t>
      </w:r>
    </w:p>
    <w:p w14:paraId="6A6E98CF">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20</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中标候选人的确定原则及标准</w:t>
      </w:r>
    </w:p>
    <w:p w14:paraId="1A14B90B">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0</w:t>
      </w:r>
      <w:r>
        <w:rPr>
          <w:rFonts w:asciiTheme="minorEastAsia" w:hAnsiTheme="minorEastAsia" w:eastAsiaTheme="minorEastAsia"/>
          <w:sz w:val="24"/>
          <w:highlight w:val="none"/>
        </w:rPr>
        <w:t>.1评</w:t>
      </w:r>
      <w:r>
        <w:rPr>
          <w:rFonts w:hint="eastAsia" w:asciiTheme="minorEastAsia" w:hAnsiTheme="minorEastAsia" w:eastAsiaTheme="minorEastAsia"/>
          <w:sz w:val="24"/>
          <w:highlight w:val="none"/>
        </w:rPr>
        <w:t>标</w:t>
      </w:r>
      <w:r>
        <w:rPr>
          <w:rFonts w:asciiTheme="minorEastAsia" w:hAnsiTheme="minorEastAsia" w:eastAsiaTheme="minorEastAsia"/>
          <w:sz w:val="24"/>
          <w:highlight w:val="none"/>
        </w:rPr>
        <w:t>委员会依据本项目招标文件所约定的评标方法，对实质上响应招标文件的投标人按下列方法进行排序</w:t>
      </w:r>
      <w:r>
        <w:rPr>
          <w:rFonts w:hint="eastAsia" w:asciiTheme="minorEastAsia" w:hAnsiTheme="minorEastAsia" w:eastAsiaTheme="minorEastAsia"/>
          <w:sz w:val="24"/>
          <w:highlight w:val="none"/>
        </w:rPr>
        <w:t>，确定中标候选人</w:t>
      </w:r>
      <w:r>
        <w:rPr>
          <w:rFonts w:asciiTheme="minorEastAsia" w:hAnsiTheme="minorEastAsia" w:eastAsiaTheme="minorEastAsia"/>
          <w:sz w:val="24"/>
          <w:highlight w:val="none"/>
        </w:rPr>
        <w:t>：</w:t>
      </w:r>
    </w:p>
    <w:p w14:paraId="12E57E3B">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1）采用最低评标价法的，除了算术修正和落实政府采购政策需进行的价格扣除外，不对投标人的投标价格进行任何调整。评标结果按修正和扣除后的投标报价由低到高顺序排列。修正和扣除后的投标报价</w:t>
      </w:r>
      <w:r>
        <w:rPr>
          <w:rFonts w:hint="eastAsia" w:asciiTheme="minorEastAsia" w:hAnsiTheme="minorEastAsia" w:eastAsiaTheme="minorEastAsia"/>
          <w:sz w:val="24"/>
          <w:highlight w:val="none"/>
        </w:rPr>
        <w:t>出现两家或两家以上相同者，则所投产品为节能产品、环境标志产品、不发达地区或少数民族地区产品者优先；若报价相同且所投产品同为节能产品、环境标志产品、不发达地区或少数民族地区产品的，则采取评标委员会随机抽取的方式确定中标候选顺序。</w:t>
      </w:r>
    </w:p>
    <w:p w14:paraId="77C784B6">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2）采用综合评分法的，评标结果按评审后得分由高到低顺序排列。得分相同的，按投标报价由低到高顺序排列。得分与投标报价均相同的</w:t>
      </w:r>
      <w:r>
        <w:rPr>
          <w:rFonts w:hint="eastAsia" w:asciiTheme="minorEastAsia" w:hAnsiTheme="minorEastAsia" w:eastAsiaTheme="minorEastAsia"/>
          <w:sz w:val="24"/>
          <w:highlight w:val="none"/>
        </w:rPr>
        <w:t>，则所投产品为节能产品、环境标志产品、不发达地区或少数民族地区产品者优先；若</w:t>
      </w:r>
      <w:r>
        <w:rPr>
          <w:rFonts w:asciiTheme="minorEastAsia" w:hAnsiTheme="minorEastAsia" w:eastAsiaTheme="minorEastAsia"/>
          <w:sz w:val="24"/>
          <w:highlight w:val="none"/>
        </w:rPr>
        <w:t>得分与投标报价均相同</w:t>
      </w:r>
      <w:r>
        <w:rPr>
          <w:rFonts w:hint="eastAsia" w:asciiTheme="minorEastAsia" w:hAnsiTheme="minorEastAsia" w:eastAsiaTheme="minorEastAsia"/>
          <w:sz w:val="24"/>
          <w:highlight w:val="none"/>
        </w:rPr>
        <w:t>且所投产品同为节能产品、环境标志产品、不发达地区或少数民族地区产品的，则采取评标委员会随机抽取的方式确定中标候选顺序。</w:t>
      </w:r>
    </w:p>
    <w:p w14:paraId="7E464A44">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21</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确定中标候选人和中标人</w:t>
      </w:r>
    </w:p>
    <w:p w14:paraId="4645822E">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.1评标委员会将根据评标标准，按</w:t>
      </w:r>
      <w:r>
        <w:rPr>
          <w:rFonts w:asciiTheme="minorEastAsia" w:hAnsiTheme="minorEastAsia" w:eastAsiaTheme="minorEastAsia"/>
          <w:sz w:val="24"/>
          <w:highlight w:val="none"/>
          <w:u w:val="single"/>
        </w:rPr>
        <w:t>投标</w:t>
      </w:r>
      <w:r>
        <w:rPr>
          <w:rFonts w:hint="eastAsia" w:asciiTheme="minorEastAsia" w:hAnsiTheme="minorEastAsia" w:eastAsiaTheme="minorEastAsia"/>
          <w:sz w:val="24"/>
          <w:highlight w:val="none"/>
          <w:u w:val="single"/>
        </w:rPr>
        <w:t>人</w:t>
      </w:r>
      <w:r>
        <w:rPr>
          <w:rFonts w:asciiTheme="minorEastAsia" w:hAnsiTheme="minorEastAsia" w:eastAsiaTheme="minorEastAsia"/>
          <w:sz w:val="24"/>
          <w:highlight w:val="none"/>
          <w:u w:val="single"/>
        </w:rPr>
        <w:t>须知前附表</w:t>
      </w:r>
      <w:r>
        <w:rPr>
          <w:rFonts w:asciiTheme="minorEastAsia" w:hAnsiTheme="minorEastAsia" w:eastAsiaTheme="minorEastAsia"/>
          <w:sz w:val="24"/>
          <w:highlight w:val="none"/>
        </w:rPr>
        <w:t>中规定数量推荐中标候选人。</w:t>
      </w:r>
    </w:p>
    <w:p w14:paraId="71107325">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21.2按</w:t>
      </w:r>
      <w:r>
        <w:rPr>
          <w:rFonts w:asciiTheme="minorEastAsia" w:hAnsiTheme="minorEastAsia" w:eastAsiaTheme="minorEastAsia"/>
          <w:sz w:val="24"/>
          <w:highlight w:val="none"/>
          <w:u w:val="single"/>
        </w:rPr>
        <w:t>投标</w:t>
      </w:r>
      <w:r>
        <w:rPr>
          <w:rFonts w:hint="eastAsia" w:asciiTheme="minorEastAsia" w:hAnsiTheme="minorEastAsia" w:eastAsiaTheme="minorEastAsia"/>
          <w:sz w:val="24"/>
          <w:highlight w:val="none"/>
          <w:u w:val="single"/>
        </w:rPr>
        <w:t>人</w:t>
      </w:r>
      <w:r>
        <w:rPr>
          <w:rFonts w:asciiTheme="minorEastAsia" w:hAnsiTheme="minorEastAsia" w:eastAsiaTheme="minorEastAsia"/>
          <w:sz w:val="24"/>
          <w:highlight w:val="none"/>
          <w:u w:val="single"/>
        </w:rPr>
        <w:t>须知前附表</w:t>
      </w:r>
      <w:r>
        <w:rPr>
          <w:rFonts w:hint="eastAsia" w:asciiTheme="minorEastAsia" w:hAnsiTheme="minorEastAsia" w:eastAsiaTheme="minorEastAsia"/>
          <w:sz w:val="24"/>
          <w:highlight w:val="none"/>
        </w:rPr>
        <w:t>中规定，</w:t>
      </w:r>
      <w:r>
        <w:rPr>
          <w:rFonts w:asciiTheme="minorEastAsia" w:hAnsiTheme="minorEastAsia" w:eastAsiaTheme="minorEastAsia"/>
          <w:sz w:val="24"/>
          <w:highlight w:val="none"/>
        </w:rPr>
        <w:t>由评标委员会或采购人确定中标人。</w:t>
      </w:r>
    </w:p>
    <w:p w14:paraId="1848787E">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w:t>
      </w: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因重大变故采购任务取消时，采购人有权拒绝任何投标人中标，且对受影响的投标人不承担任何责任。</w:t>
      </w:r>
    </w:p>
    <w:p w14:paraId="442700E4">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22</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编写评标报告</w:t>
      </w:r>
    </w:p>
    <w:p w14:paraId="51A7AE68">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1BEEC9D5">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23</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中标结果公告</w:t>
      </w:r>
    </w:p>
    <w:p w14:paraId="06ECFD97">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23</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除</w:t>
      </w:r>
      <w:r>
        <w:rPr>
          <w:rFonts w:asciiTheme="minorEastAsia" w:hAnsiTheme="minorEastAsia" w:eastAsiaTheme="minorEastAsia"/>
          <w:sz w:val="24"/>
          <w:highlight w:val="none"/>
          <w:u w:val="single"/>
        </w:rPr>
        <w:t>投标</w:t>
      </w:r>
      <w:r>
        <w:rPr>
          <w:rFonts w:hint="eastAsia" w:asciiTheme="minorEastAsia" w:hAnsiTheme="minorEastAsia" w:eastAsiaTheme="minorEastAsia"/>
          <w:sz w:val="24"/>
          <w:highlight w:val="none"/>
          <w:u w:val="single"/>
        </w:rPr>
        <w:t>人</w:t>
      </w:r>
      <w:r>
        <w:rPr>
          <w:rFonts w:asciiTheme="minorEastAsia" w:hAnsiTheme="minorEastAsia" w:eastAsiaTheme="minorEastAsia"/>
          <w:sz w:val="24"/>
          <w:highlight w:val="none"/>
          <w:u w:val="single"/>
        </w:rPr>
        <w:t>须知前附表</w:t>
      </w:r>
      <w:r>
        <w:rPr>
          <w:rFonts w:asciiTheme="minorEastAsia" w:hAnsiTheme="minorEastAsia" w:eastAsiaTheme="minorEastAsia"/>
          <w:sz w:val="24"/>
          <w:highlight w:val="none"/>
        </w:rPr>
        <w:t>规定由评标委员会直接确定中标</w:t>
      </w:r>
      <w:r>
        <w:rPr>
          <w:rFonts w:hint="eastAsia" w:asciiTheme="minorEastAsia" w:hAnsiTheme="minorEastAsia" w:eastAsiaTheme="minorEastAsia"/>
          <w:sz w:val="24"/>
          <w:highlight w:val="none"/>
        </w:rPr>
        <w:t>人外，</w:t>
      </w:r>
      <w:r>
        <w:rPr>
          <w:rFonts w:asciiTheme="minorEastAsia" w:hAnsiTheme="minorEastAsia" w:eastAsiaTheme="minorEastAsia"/>
          <w:sz w:val="24"/>
          <w:highlight w:val="none"/>
        </w:rPr>
        <w:t>在评标结束后2个工作日内</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采购代理机构将评标报告送采购人。采购人应当自收到评标报告之日起</w:t>
      </w: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106F8DF4">
      <w:pPr>
        <w:spacing w:line="360" w:lineRule="auto"/>
        <w:ind w:firstLine="435"/>
        <w:rPr>
          <w:rFonts w:ascii="宋体" w:hAnsi="宋体" w:eastAsia="宋体"/>
          <w:sz w:val="24"/>
          <w:szCs w:val="18"/>
          <w:highlight w:val="none"/>
        </w:rPr>
      </w:pPr>
      <w:r>
        <w:rPr>
          <w:rFonts w:hint="eastAsia" w:asciiTheme="minorEastAsia" w:hAnsiTheme="minorEastAsia" w:eastAsiaTheme="minorEastAsia"/>
          <w:sz w:val="24"/>
          <w:highlight w:val="none"/>
        </w:rPr>
        <w:t>23</w:t>
      </w:r>
      <w:r>
        <w:rPr>
          <w:rFonts w:asciiTheme="minorEastAsia" w:hAnsiTheme="minorEastAsia" w:eastAsiaTheme="minorEastAsia"/>
          <w:sz w:val="24"/>
          <w:highlight w:val="none"/>
        </w:rPr>
        <w:t>.2</w:t>
      </w:r>
      <w:r>
        <w:rPr>
          <w:rFonts w:hint="eastAsia" w:ascii="宋体" w:hAnsi="宋体" w:eastAsia="宋体"/>
          <w:sz w:val="24"/>
          <w:szCs w:val="18"/>
          <w:highlight w:val="none"/>
        </w:rPr>
        <w:t>自中标人确定之日起2个工作日内，采购代理机构将在安徽省政府采购网（www.ccgp-anhui.gov.cn）上发布中标结果公告。</w:t>
      </w:r>
    </w:p>
    <w:p w14:paraId="42C7BC85">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23.3</w:t>
      </w:r>
      <w:r>
        <w:rPr>
          <w:rFonts w:asciiTheme="minorEastAsia" w:hAnsiTheme="minorEastAsia" w:eastAsiaTheme="minorEastAsia"/>
          <w:sz w:val="24"/>
          <w:highlight w:val="none"/>
        </w:rPr>
        <w:t>中标结果公告内容应当包括采购人及其委托的采购代理机构的名称、地址、联系方式，项目名称和项目编号，中标人名称、地址和中标金额，主要中标标的的名称、规格型号、数量、单价、服务要求，中标公告期限、评审专家名单以及</w:t>
      </w:r>
      <w:r>
        <w:rPr>
          <w:rFonts w:hint="eastAsia" w:asciiTheme="minorEastAsia" w:hAnsiTheme="minorEastAsia" w:eastAsiaTheme="minorEastAsia"/>
          <w:sz w:val="24"/>
          <w:highlight w:val="none"/>
          <w:u w:val="single"/>
        </w:rPr>
        <w:t>投标人须知前附表</w:t>
      </w:r>
      <w:r>
        <w:rPr>
          <w:rFonts w:asciiTheme="minorEastAsia" w:hAnsiTheme="minorEastAsia" w:eastAsiaTheme="minorEastAsia"/>
          <w:sz w:val="24"/>
          <w:highlight w:val="none"/>
        </w:rPr>
        <w:t>中约定进行公告的内容。中标公告期限为1个工作日。</w:t>
      </w:r>
    </w:p>
    <w:p w14:paraId="5F914C61">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24</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中标通知书</w:t>
      </w:r>
    </w:p>
    <w:p w14:paraId="1063510E">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.1采购代理机构</w:t>
      </w:r>
      <w:r>
        <w:rPr>
          <w:rFonts w:ascii="宋体" w:hAnsi="宋体" w:eastAsia="宋体"/>
          <w:sz w:val="24"/>
          <w:highlight w:val="none"/>
        </w:rPr>
        <w:t>发布</w:t>
      </w:r>
      <w:r>
        <w:rPr>
          <w:rFonts w:asciiTheme="minorEastAsia" w:hAnsiTheme="minorEastAsia" w:eastAsiaTheme="minorEastAsia"/>
          <w:sz w:val="24"/>
          <w:highlight w:val="none"/>
        </w:rPr>
        <w:t>中标结果公告</w:t>
      </w:r>
      <w:r>
        <w:rPr>
          <w:rFonts w:hint="eastAsia" w:asciiTheme="minorEastAsia" w:hAnsiTheme="minorEastAsia" w:eastAsiaTheme="minorEastAsia"/>
          <w:iCs/>
          <w:sz w:val="24"/>
          <w:highlight w:val="none"/>
        </w:rPr>
        <w:t>的</w:t>
      </w:r>
      <w:r>
        <w:rPr>
          <w:rFonts w:asciiTheme="minorEastAsia" w:hAnsiTheme="minorEastAsia" w:eastAsiaTheme="minorEastAsia"/>
          <w:sz w:val="24"/>
          <w:highlight w:val="none"/>
        </w:rPr>
        <w:t>同时以</w:t>
      </w:r>
      <w:r>
        <w:rPr>
          <w:rFonts w:hint="eastAsia" w:asciiTheme="minorEastAsia" w:hAnsiTheme="minorEastAsia" w:eastAsiaTheme="minorEastAsia"/>
          <w:sz w:val="24"/>
          <w:highlight w:val="none"/>
          <w:u w:val="single"/>
        </w:rPr>
        <w:t>投标人须知前附表</w:t>
      </w:r>
      <w:r>
        <w:rPr>
          <w:rFonts w:hint="eastAsia" w:asciiTheme="minorEastAsia" w:hAnsiTheme="minorEastAsia" w:eastAsiaTheme="minorEastAsia"/>
          <w:sz w:val="24"/>
          <w:highlight w:val="none"/>
        </w:rPr>
        <w:t>规定的</w:t>
      </w:r>
      <w:r>
        <w:rPr>
          <w:rFonts w:asciiTheme="minorEastAsia" w:hAnsiTheme="minorEastAsia" w:eastAsiaTheme="minorEastAsia"/>
          <w:sz w:val="24"/>
          <w:highlight w:val="none"/>
        </w:rPr>
        <w:t>形式向中标人发出中标通知书。</w:t>
      </w:r>
    </w:p>
    <w:p w14:paraId="7CD77E66">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.2中标通知书对采购人和中标</w:t>
      </w:r>
      <w:r>
        <w:rPr>
          <w:rFonts w:hint="eastAsia" w:asciiTheme="minorEastAsia" w:hAnsiTheme="minorEastAsia" w:eastAsiaTheme="minorEastAsia"/>
          <w:sz w:val="24"/>
          <w:highlight w:val="none"/>
        </w:rPr>
        <w:t>人</w:t>
      </w:r>
      <w:r>
        <w:rPr>
          <w:rFonts w:asciiTheme="minorEastAsia" w:hAnsiTheme="minorEastAsia" w:eastAsiaTheme="minorEastAsia"/>
          <w:sz w:val="24"/>
          <w:highlight w:val="none"/>
        </w:rPr>
        <w:t>具有同等法律效力。中标通知书发出以后，采购人改变中标结果或者中标</w:t>
      </w:r>
      <w:r>
        <w:rPr>
          <w:rFonts w:hint="eastAsia" w:asciiTheme="minorEastAsia" w:hAnsiTheme="minorEastAsia" w:eastAsiaTheme="minorEastAsia"/>
          <w:sz w:val="24"/>
          <w:highlight w:val="none"/>
        </w:rPr>
        <w:t>人</w:t>
      </w:r>
      <w:r>
        <w:rPr>
          <w:rFonts w:asciiTheme="minorEastAsia" w:hAnsiTheme="minorEastAsia" w:eastAsiaTheme="minorEastAsia"/>
          <w:sz w:val="24"/>
          <w:highlight w:val="none"/>
        </w:rPr>
        <w:t>放弃中标，应当承担相应的法律责任。</w:t>
      </w:r>
    </w:p>
    <w:p w14:paraId="6FA7BED0">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.3中标通知书是</w:t>
      </w:r>
      <w:r>
        <w:rPr>
          <w:rFonts w:ascii="宋体" w:hAnsi="宋体" w:eastAsia="宋体"/>
          <w:sz w:val="24"/>
          <w:highlight w:val="none"/>
        </w:rPr>
        <w:t>合同</w:t>
      </w:r>
      <w:r>
        <w:rPr>
          <w:rFonts w:asciiTheme="minorEastAsia" w:hAnsiTheme="minorEastAsia" w:eastAsiaTheme="minorEastAsia"/>
          <w:sz w:val="24"/>
          <w:highlight w:val="none"/>
        </w:rPr>
        <w:t>的组成部分。</w:t>
      </w:r>
    </w:p>
    <w:p w14:paraId="57CC497B">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25</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告知招标结果</w:t>
      </w:r>
    </w:p>
    <w:p w14:paraId="072CA3C9">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25</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在公告</w:t>
      </w:r>
      <w:r>
        <w:rPr>
          <w:rFonts w:asciiTheme="minorEastAsia" w:hAnsiTheme="minorEastAsia" w:eastAsiaTheme="minorEastAsia"/>
          <w:sz w:val="24"/>
          <w:highlight w:val="none"/>
        </w:rPr>
        <w:t>中标结果的同时，采购代理机构同时以</w:t>
      </w:r>
      <w:r>
        <w:rPr>
          <w:rFonts w:hint="eastAsia" w:asciiTheme="minorEastAsia" w:hAnsiTheme="minorEastAsia" w:eastAsiaTheme="minorEastAsia"/>
          <w:sz w:val="24"/>
          <w:highlight w:val="none"/>
          <w:u w:val="single"/>
        </w:rPr>
        <w:t>投标人须知前附表</w:t>
      </w:r>
      <w:r>
        <w:rPr>
          <w:rFonts w:hint="eastAsia" w:asciiTheme="minorEastAsia" w:hAnsiTheme="minorEastAsia" w:eastAsiaTheme="minorEastAsia"/>
          <w:sz w:val="24"/>
          <w:highlight w:val="none"/>
        </w:rPr>
        <w:t>规定的</w:t>
      </w:r>
      <w:r>
        <w:rPr>
          <w:rFonts w:asciiTheme="minorEastAsia" w:hAnsiTheme="minorEastAsia" w:eastAsiaTheme="minorEastAsia"/>
          <w:sz w:val="24"/>
          <w:highlight w:val="none"/>
        </w:rPr>
        <w:t>形式</w:t>
      </w:r>
      <w:r>
        <w:rPr>
          <w:rFonts w:hint="eastAsia" w:asciiTheme="minorEastAsia" w:hAnsiTheme="minorEastAsia" w:eastAsiaTheme="minorEastAsia"/>
          <w:sz w:val="24"/>
          <w:highlight w:val="none"/>
        </w:rPr>
        <w:t>告知未通过资格审查的投标人未通过的原因；采用综合评分法评审的，还将告知未中标人本人的评审得分和排序。</w:t>
      </w:r>
    </w:p>
    <w:p w14:paraId="2A0F0B3D">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26</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履约保证金</w:t>
      </w:r>
    </w:p>
    <w:p w14:paraId="3053B1F0">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26.1中标人应按照</w:t>
      </w:r>
      <w:r>
        <w:rPr>
          <w:rFonts w:hint="eastAsia" w:asciiTheme="minorEastAsia" w:hAnsiTheme="minorEastAsia" w:eastAsiaTheme="minorEastAsia"/>
          <w:sz w:val="24"/>
          <w:highlight w:val="none"/>
          <w:u w:val="single"/>
        </w:rPr>
        <w:t>投标人须知前附表</w:t>
      </w:r>
      <w:r>
        <w:rPr>
          <w:rFonts w:hint="eastAsia" w:asciiTheme="minorEastAsia" w:hAnsiTheme="minorEastAsia" w:eastAsiaTheme="minorEastAsia"/>
          <w:sz w:val="24"/>
          <w:highlight w:val="none"/>
        </w:rPr>
        <w:t>规定缴纳履约保证金。</w:t>
      </w:r>
    </w:p>
    <w:p w14:paraId="3A15E645">
      <w:pPr>
        <w:spacing w:line="360" w:lineRule="auto"/>
        <w:ind w:firstLine="435"/>
        <w:rPr>
          <w:rFonts w:asciiTheme="minorEastAsia" w:hAnsiTheme="minorEastAsia" w:eastAsiaTheme="minorEastAsia"/>
          <w:b/>
          <w:sz w:val="24"/>
          <w:highlight w:val="none"/>
        </w:rPr>
      </w:pPr>
      <w:r>
        <w:rPr>
          <w:rFonts w:hint="eastAsia" w:asciiTheme="minorEastAsia" w:hAnsiTheme="minorEastAsia" w:eastAsiaTheme="minorEastAsia"/>
          <w:sz w:val="24"/>
          <w:highlight w:val="none"/>
        </w:rPr>
        <w:t>26.</w:t>
      </w:r>
      <w:r>
        <w:rPr>
          <w:rFonts w:asciiTheme="minorEastAsia" w:hAnsiTheme="minorEastAsia" w:eastAsiaTheme="minorEastAsia"/>
          <w:sz w:val="24"/>
          <w:highlight w:val="none"/>
        </w:rPr>
        <w:t>2</w:t>
      </w:r>
      <w:r>
        <w:rPr>
          <w:rFonts w:hint="eastAsia" w:ascii="宋体" w:hAnsi="宋体" w:eastAsia="宋体"/>
          <w:sz w:val="24"/>
          <w:highlight w:val="none"/>
        </w:rPr>
        <w:t>如果</w:t>
      </w:r>
      <w:r>
        <w:rPr>
          <w:rFonts w:hint="eastAsia" w:asciiTheme="minorEastAsia" w:hAnsiTheme="minorEastAsia" w:eastAsiaTheme="minorEastAsia"/>
          <w:sz w:val="24"/>
          <w:highlight w:val="none"/>
        </w:rPr>
        <w:t>中标人没有按照上述履约保证金的规定执行，将视为放弃中标资格。在此情况下，采购人可</w:t>
      </w:r>
      <w:r>
        <w:rPr>
          <w:rFonts w:asciiTheme="minorEastAsia" w:hAnsiTheme="minorEastAsia" w:eastAsiaTheme="minorEastAsia"/>
          <w:sz w:val="24"/>
          <w:highlight w:val="none"/>
        </w:rPr>
        <w:t>确定下一</w:t>
      </w:r>
      <w:r>
        <w:rPr>
          <w:rFonts w:hint="eastAsia" w:ascii="宋体" w:hAnsi="宋体" w:eastAsia="宋体"/>
          <w:sz w:val="24"/>
          <w:highlight w:val="none"/>
        </w:rPr>
        <w:t>中标</w:t>
      </w:r>
      <w:r>
        <w:rPr>
          <w:rFonts w:hint="eastAsia" w:asciiTheme="minorEastAsia" w:hAnsiTheme="minorEastAsia" w:eastAsiaTheme="minorEastAsia"/>
          <w:sz w:val="24"/>
          <w:highlight w:val="none"/>
        </w:rPr>
        <w:t>候选</w:t>
      </w:r>
      <w:r>
        <w:rPr>
          <w:rFonts w:asciiTheme="minorEastAsia" w:hAnsiTheme="minorEastAsia" w:eastAsiaTheme="minorEastAsia"/>
          <w:sz w:val="24"/>
          <w:highlight w:val="none"/>
        </w:rPr>
        <w:t>人为中标</w:t>
      </w:r>
      <w:r>
        <w:rPr>
          <w:rFonts w:hint="eastAsia" w:asciiTheme="minorEastAsia" w:hAnsiTheme="minorEastAsia" w:eastAsiaTheme="minorEastAsia"/>
          <w:sz w:val="24"/>
          <w:highlight w:val="none"/>
        </w:rPr>
        <w:t>人</w:t>
      </w:r>
      <w:r>
        <w:rPr>
          <w:rFonts w:asciiTheme="minorEastAsia" w:hAnsiTheme="minorEastAsia" w:eastAsiaTheme="minorEastAsia"/>
          <w:sz w:val="24"/>
          <w:highlight w:val="none"/>
        </w:rPr>
        <w:t>，也可以重新开展采购活动。</w:t>
      </w:r>
    </w:p>
    <w:p w14:paraId="40F7703B">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27</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签订合同</w:t>
      </w:r>
    </w:p>
    <w:p w14:paraId="40B4CC0D">
      <w:pPr>
        <w:spacing w:line="360" w:lineRule="auto"/>
        <w:ind w:firstLine="435"/>
        <w:rPr>
          <w:rFonts w:ascii="宋体" w:hAnsi="宋体" w:eastAsia="宋体"/>
          <w:sz w:val="24"/>
          <w:highlight w:val="none"/>
        </w:rPr>
      </w:pPr>
      <w:r>
        <w:rPr>
          <w:rFonts w:hint="eastAsia" w:ascii="宋体" w:hAnsi="宋体" w:eastAsia="宋体"/>
          <w:sz w:val="24"/>
          <w:highlight w:val="none"/>
        </w:rPr>
        <w:t>27.1</w:t>
      </w:r>
      <w:r>
        <w:rPr>
          <w:rFonts w:hint="eastAsia" w:ascii="宋体" w:hAnsi="宋体" w:eastAsia="宋体" w:cs="宋体"/>
          <w:sz w:val="24"/>
          <w:szCs w:val="24"/>
          <w:highlight w:val="none"/>
        </w:rPr>
        <w:t>采购人与中标人应当按照</w:t>
      </w:r>
      <w:r>
        <w:rPr>
          <w:rFonts w:hint="eastAsia" w:ascii="宋体" w:hAnsi="宋体" w:eastAsia="宋体" w:cs="宋体"/>
          <w:sz w:val="24"/>
          <w:szCs w:val="24"/>
          <w:highlight w:val="none"/>
          <w:u w:val="single"/>
        </w:rPr>
        <w:t>投标人须知前附表</w:t>
      </w:r>
      <w:r>
        <w:rPr>
          <w:rFonts w:hint="eastAsia" w:ascii="宋体" w:hAnsi="宋体" w:eastAsia="宋体" w:cs="宋体"/>
          <w:sz w:val="24"/>
          <w:szCs w:val="24"/>
          <w:highlight w:val="none"/>
        </w:rPr>
        <w:t>规定的时间内完成政府采购合同签订及合同公告。</w:t>
      </w:r>
    </w:p>
    <w:p w14:paraId="764AFE63">
      <w:pPr>
        <w:spacing w:line="360" w:lineRule="auto"/>
        <w:ind w:firstLine="435"/>
        <w:rPr>
          <w:rFonts w:ascii="宋体" w:hAnsi="宋体" w:eastAsia="宋体"/>
          <w:sz w:val="24"/>
          <w:highlight w:val="none"/>
        </w:rPr>
      </w:pPr>
      <w:r>
        <w:rPr>
          <w:rFonts w:hint="eastAsia" w:ascii="宋体" w:hAnsi="宋体" w:eastAsia="宋体"/>
          <w:sz w:val="24"/>
          <w:highlight w:val="none"/>
        </w:rPr>
        <w:t>27.2招标文件、中标人的投标文件及其澄清文件等，均为签订合同的依据。</w:t>
      </w:r>
    </w:p>
    <w:p w14:paraId="1C884449">
      <w:pPr>
        <w:spacing w:line="360" w:lineRule="auto"/>
        <w:ind w:firstLine="435"/>
        <w:rPr>
          <w:rFonts w:ascii="宋体" w:hAnsi="宋体" w:eastAsia="宋体"/>
          <w:sz w:val="24"/>
          <w:highlight w:val="none"/>
        </w:rPr>
      </w:pPr>
      <w:r>
        <w:rPr>
          <w:rFonts w:hint="eastAsia" w:ascii="宋体" w:hAnsi="宋体" w:eastAsia="宋体"/>
          <w:sz w:val="24"/>
          <w:highlight w:val="none"/>
        </w:rPr>
        <w:t>27.3中</w:t>
      </w:r>
      <w:r>
        <w:rPr>
          <w:rFonts w:ascii="宋体" w:hAnsi="宋体" w:eastAsia="宋体"/>
          <w:sz w:val="24"/>
          <w:highlight w:val="none"/>
        </w:rPr>
        <w:t>标</w:t>
      </w:r>
      <w:r>
        <w:rPr>
          <w:rFonts w:hint="eastAsia" w:ascii="宋体" w:hAnsi="宋体" w:eastAsia="宋体"/>
          <w:sz w:val="24"/>
          <w:highlight w:val="none"/>
        </w:rPr>
        <w:t>人</w:t>
      </w:r>
      <w:r>
        <w:rPr>
          <w:rFonts w:ascii="宋体" w:hAnsi="宋体" w:eastAsia="宋体"/>
          <w:sz w:val="24"/>
          <w:highlight w:val="none"/>
        </w:rPr>
        <w:t>拒绝与采购人签订合同的，采购人可以按照评审报告推荐的中标候选人</w:t>
      </w:r>
      <w:r>
        <w:rPr>
          <w:rFonts w:hint="eastAsia" w:ascii="宋体" w:hAnsi="宋体" w:eastAsia="宋体"/>
          <w:sz w:val="24"/>
          <w:highlight w:val="none"/>
        </w:rPr>
        <w:t>名单</w:t>
      </w:r>
      <w:r>
        <w:rPr>
          <w:rFonts w:ascii="宋体" w:hAnsi="宋体" w:eastAsia="宋体"/>
          <w:sz w:val="24"/>
          <w:highlight w:val="none"/>
        </w:rPr>
        <w:t>排序</w:t>
      </w:r>
      <w:r>
        <w:rPr>
          <w:rFonts w:hint="eastAsia" w:ascii="宋体" w:hAnsi="宋体" w:eastAsia="宋体"/>
          <w:sz w:val="24"/>
          <w:highlight w:val="none"/>
        </w:rPr>
        <w:t>，</w:t>
      </w:r>
      <w:r>
        <w:rPr>
          <w:rFonts w:ascii="宋体" w:hAnsi="宋体" w:eastAsia="宋体"/>
          <w:sz w:val="24"/>
          <w:highlight w:val="none"/>
        </w:rPr>
        <w:t>确定下一</w:t>
      </w:r>
      <w:r>
        <w:rPr>
          <w:rFonts w:hint="eastAsia" w:ascii="宋体" w:hAnsi="宋体" w:eastAsia="宋体"/>
          <w:sz w:val="24"/>
          <w:highlight w:val="none"/>
        </w:rPr>
        <w:t>中标候选</w:t>
      </w:r>
      <w:r>
        <w:rPr>
          <w:rFonts w:ascii="宋体" w:hAnsi="宋体" w:eastAsia="宋体"/>
          <w:sz w:val="24"/>
          <w:highlight w:val="none"/>
        </w:rPr>
        <w:t>人为中标</w:t>
      </w:r>
      <w:r>
        <w:rPr>
          <w:rFonts w:hint="eastAsia" w:ascii="宋体" w:hAnsi="宋体" w:eastAsia="宋体"/>
          <w:sz w:val="24"/>
          <w:highlight w:val="none"/>
        </w:rPr>
        <w:t>人</w:t>
      </w:r>
      <w:r>
        <w:rPr>
          <w:rFonts w:ascii="宋体" w:hAnsi="宋体" w:eastAsia="宋体"/>
          <w:sz w:val="24"/>
          <w:highlight w:val="none"/>
        </w:rPr>
        <w:t>，也可以重新开展政府采购活动。</w:t>
      </w:r>
    </w:p>
    <w:p w14:paraId="7E94B034">
      <w:pPr>
        <w:spacing w:line="360" w:lineRule="auto"/>
        <w:ind w:firstLine="435"/>
        <w:rPr>
          <w:rFonts w:ascii="宋体" w:hAnsi="宋体" w:eastAsia="宋体"/>
          <w:sz w:val="24"/>
          <w:highlight w:val="none"/>
        </w:rPr>
      </w:pPr>
      <w:r>
        <w:rPr>
          <w:rFonts w:hint="eastAsia" w:ascii="宋体" w:hAnsi="宋体" w:eastAsia="宋体"/>
          <w:sz w:val="24"/>
          <w:highlight w:val="none"/>
        </w:rPr>
        <w:t>27.4依据《政府采购促进中小企业发展管理办法》（财库〔</w:t>
      </w:r>
      <w:r>
        <w:rPr>
          <w:rFonts w:ascii="宋体" w:hAnsi="宋体" w:eastAsia="宋体"/>
          <w:sz w:val="24"/>
          <w:highlight w:val="none"/>
        </w:rPr>
        <w:t>2020〕46号</w:t>
      </w:r>
      <w:r>
        <w:rPr>
          <w:rFonts w:hint="eastAsia" w:ascii="宋体" w:hAnsi="宋体" w:eastAsia="宋体"/>
          <w:sz w:val="24"/>
          <w:highlight w:val="none"/>
        </w:rPr>
        <w:t>）规定享受扶持政策获得政府采购合同的，小微企业不得将合同分包给大中型企业，中型企业不得将合同分包给大型企业。</w:t>
      </w:r>
    </w:p>
    <w:p w14:paraId="35700BE6">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28</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代理费用</w:t>
      </w:r>
    </w:p>
    <w:p w14:paraId="3479B159">
      <w:pPr>
        <w:spacing w:line="360" w:lineRule="auto"/>
        <w:ind w:firstLine="435"/>
        <w:rPr>
          <w:rFonts w:ascii="宋体" w:hAnsi="宋体" w:eastAsia="宋体"/>
          <w:sz w:val="24"/>
          <w:highlight w:val="none"/>
        </w:rPr>
      </w:pPr>
      <w:r>
        <w:rPr>
          <w:rFonts w:hint="eastAsia" w:ascii="宋体" w:hAnsi="宋体" w:eastAsia="宋体"/>
          <w:sz w:val="24"/>
          <w:highlight w:val="none"/>
        </w:rPr>
        <w:t>28</w:t>
      </w:r>
      <w:r>
        <w:rPr>
          <w:rFonts w:ascii="宋体" w:hAnsi="宋体" w:eastAsia="宋体"/>
          <w:sz w:val="24"/>
          <w:highlight w:val="none"/>
        </w:rPr>
        <w:t>.1</w:t>
      </w:r>
      <w:r>
        <w:rPr>
          <w:rFonts w:hint="eastAsia" w:ascii="宋体" w:hAnsi="宋体" w:eastAsia="宋体"/>
          <w:sz w:val="24"/>
          <w:highlight w:val="none"/>
        </w:rPr>
        <w:t>本项目代理费用的收取按</w:t>
      </w:r>
      <w:r>
        <w:rPr>
          <w:rFonts w:hint="eastAsia" w:asciiTheme="minorEastAsia" w:hAnsiTheme="minorEastAsia" w:eastAsiaTheme="minorEastAsia"/>
          <w:sz w:val="24"/>
          <w:highlight w:val="none"/>
          <w:u w:val="single"/>
        </w:rPr>
        <w:t>投标人须知前附表的</w:t>
      </w:r>
      <w:r>
        <w:rPr>
          <w:rFonts w:hint="eastAsia" w:ascii="宋体" w:hAnsi="宋体" w:eastAsia="宋体"/>
          <w:sz w:val="24"/>
          <w:highlight w:val="none"/>
        </w:rPr>
        <w:t>规定执行</w:t>
      </w:r>
      <w:r>
        <w:rPr>
          <w:rFonts w:hint="eastAsia" w:asciiTheme="minorEastAsia" w:hAnsiTheme="minorEastAsia" w:eastAsiaTheme="minorEastAsia"/>
          <w:sz w:val="24"/>
          <w:highlight w:val="none"/>
        </w:rPr>
        <w:t>。</w:t>
      </w:r>
    </w:p>
    <w:p w14:paraId="12D113C2">
      <w:pPr>
        <w:spacing w:line="360" w:lineRule="auto"/>
        <w:ind w:firstLine="437"/>
        <w:outlineLvl w:val="2"/>
        <w:rPr>
          <w:rFonts w:asciiTheme="minorEastAsia" w:hAnsiTheme="minorEastAsia" w:eastAsiaTheme="minorEastAsia"/>
          <w:b/>
          <w:sz w:val="24"/>
          <w:highlight w:val="none"/>
        </w:rPr>
      </w:pPr>
      <w:bookmarkStart w:id="69" w:name="_Toc518923100"/>
      <w:bookmarkStart w:id="70" w:name="_Toc2583661"/>
      <w:r>
        <w:rPr>
          <w:rFonts w:hint="eastAsia" w:asciiTheme="minorEastAsia" w:hAnsiTheme="minorEastAsia" w:eastAsiaTheme="minorEastAsia"/>
          <w:b/>
          <w:sz w:val="24"/>
          <w:highlight w:val="none"/>
        </w:rPr>
        <w:t>29.廉洁自律</w:t>
      </w:r>
      <w:r>
        <w:rPr>
          <w:rFonts w:asciiTheme="minorEastAsia" w:hAnsiTheme="minorEastAsia" w:eastAsiaTheme="minorEastAsia"/>
          <w:b/>
          <w:sz w:val="24"/>
          <w:highlight w:val="none"/>
        </w:rPr>
        <w:t>规定</w:t>
      </w:r>
      <w:bookmarkEnd w:id="69"/>
      <w:bookmarkEnd w:id="70"/>
    </w:p>
    <w:p w14:paraId="7AD24852">
      <w:pPr>
        <w:spacing w:line="360" w:lineRule="auto"/>
        <w:ind w:firstLine="435"/>
        <w:rPr>
          <w:rFonts w:ascii="宋体" w:hAnsi="宋体" w:eastAsia="宋体"/>
          <w:sz w:val="24"/>
          <w:highlight w:val="none"/>
        </w:rPr>
      </w:pPr>
      <w:r>
        <w:rPr>
          <w:rFonts w:hint="eastAsia" w:ascii="宋体" w:hAnsi="宋体" w:eastAsia="宋体"/>
          <w:sz w:val="24"/>
          <w:highlight w:val="none"/>
        </w:rPr>
        <w:t>29.1采购代理机构</w:t>
      </w:r>
      <w:r>
        <w:rPr>
          <w:rFonts w:ascii="宋体" w:hAnsi="宋体" w:eastAsia="宋体"/>
          <w:sz w:val="24"/>
          <w:highlight w:val="none"/>
        </w:rPr>
        <w:t>工作人员</w:t>
      </w:r>
      <w:r>
        <w:rPr>
          <w:rFonts w:hint="eastAsia" w:ascii="宋体" w:hAnsi="宋体" w:eastAsia="宋体"/>
          <w:sz w:val="24"/>
          <w:highlight w:val="none"/>
        </w:rPr>
        <w:t>不得以不正当手段获取政府采购代理业务，不得与采购人、供应商恶意串通。</w:t>
      </w:r>
    </w:p>
    <w:p w14:paraId="5B5C819B">
      <w:pPr>
        <w:spacing w:line="360" w:lineRule="auto"/>
        <w:ind w:firstLine="435"/>
        <w:rPr>
          <w:rFonts w:ascii="宋体" w:hAnsi="宋体" w:eastAsia="宋体"/>
          <w:sz w:val="24"/>
          <w:highlight w:val="none"/>
        </w:rPr>
      </w:pPr>
      <w:r>
        <w:rPr>
          <w:rFonts w:hint="eastAsia" w:ascii="宋体" w:hAnsi="宋体" w:eastAsia="宋体"/>
          <w:sz w:val="24"/>
          <w:highlight w:val="none"/>
        </w:rPr>
        <w:t>29.</w:t>
      </w:r>
      <w:r>
        <w:rPr>
          <w:rFonts w:ascii="宋体" w:hAnsi="宋体" w:eastAsia="宋体"/>
          <w:sz w:val="24"/>
          <w:highlight w:val="none"/>
        </w:rPr>
        <w:t>2</w:t>
      </w:r>
      <w:r>
        <w:rPr>
          <w:rFonts w:hint="eastAsia" w:ascii="宋体" w:hAnsi="宋体" w:eastAsia="宋体"/>
          <w:sz w:val="24"/>
          <w:highlight w:val="none"/>
        </w:rPr>
        <w:t>采购代理机构工作人员不得接受采购人或者供应商组织的宴请、旅游、娱乐，不得收受礼品、现金、有价证券等，不得向采购人或者供应商报销应当由个人承担的费用。</w:t>
      </w:r>
    </w:p>
    <w:p w14:paraId="50793911">
      <w:pPr>
        <w:spacing w:line="360" w:lineRule="auto"/>
        <w:ind w:firstLine="437"/>
        <w:outlineLvl w:val="2"/>
        <w:rPr>
          <w:rFonts w:asciiTheme="minorEastAsia" w:hAnsiTheme="minorEastAsia" w:eastAsiaTheme="minorEastAsia"/>
          <w:b/>
          <w:sz w:val="24"/>
          <w:highlight w:val="none"/>
        </w:rPr>
      </w:pPr>
      <w:bookmarkStart w:id="71" w:name="_Toc518923101"/>
      <w:bookmarkStart w:id="72" w:name="_Toc2583662"/>
      <w:r>
        <w:rPr>
          <w:rFonts w:hint="eastAsia" w:asciiTheme="minorEastAsia" w:hAnsiTheme="minorEastAsia" w:eastAsiaTheme="minorEastAsia"/>
          <w:b/>
          <w:sz w:val="24"/>
          <w:highlight w:val="none"/>
        </w:rPr>
        <w:t>30.人员回避</w:t>
      </w:r>
      <w:bookmarkEnd w:id="71"/>
      <w:bookmarkEnd w:id="72"/>
    </w:p>
    <w:p w14:paraId="3CA84DCF">
      <w:pPr>
        <w:spacing w:line="360" w:lineRule="auto"/>
        <w:ind w:firstLine="435"/>
        <w:rPr>
          <w:rFonts w:ascii="仿宋_GB2312" w:hAnsi="宋体" w:eastAsia="仿宋_GB2312"/>
          <w:sz w:val="24"/>
          <w:highlight w:val="none"/>
        </w:rPr>
      </w:pPr>
      <w:r>
        <w:rPr>
          <w:rFonts w:hint="eastAsia" w:ascii="宋体" w:hAnsi="宋体" w:eastAsia="宋体"/>
          <w:sz w:val="24"/>
          <w:highlight w:val="none"/>
        </w:rPr>
        <w:t>投标人</w:t>
      </w:r>
      <w:r>
        <w:rPr>
          <w:rFonts w:ascii="宋体" w:hAnsi="宋体" w:eastAsia="宋体"/>
          <w:sz w:val="24"/>
          <w:highlight w:val="none"/>
        </w:rPr>
        <w:t>认为采购人员</w:t>
      </w:r>
      <w:r>
        <w:rPr>
          <w:rFonts w:hint="eastAsia" w:ascii="宋体" w:hAnsi="宋体" w:eastAsia="宋体"/>
          <w:sz w:val="24"/>
          <w:highlight w:val="none"/>
        </w:rPr>
        <w:t>及其</w:t>
      </w:r>
      <w:r>
        <w:rPr>
          <w:rFonts w:ascii="宋体" w:hAnsi="宋体" w:eastAsia="宋体"/>
          <w:sz w:val="24"/>
          <w:highlight w:val="none"/>
        </w:rPr>
        <w:t>相关人员有</w:t>
      </w:r>
      <w:r>
        <w:rPr>
          <w:rFonts w:hint="eastAsia" w:ascii="宋体" w:hAnsi="宋体" w:eastAsia="宋体"/>
          <w:sz w:val="24"/>
          <w:highlight w:val="none"/>
        </w:rPr>
        <w:t>法律</w:t>
      </w:r>
      <w:r>
        <w:rPr>
          <w:rFonts w:ascii="宋体" w:hAnsi="宋体" w:eastAsia="宋体"/>
          <w:sz w:val="24"/>
          <w:highlight w:val="none"/>
        </w:rPr>
        <w:t>法规所列与其他供应商</w:t>
      </w:r>
      <w:r>
        <w:rPr>
          <w:rFonts w:hint="eastAsia" w:ascii="宋体" w:hAnsi="宋体" w:eastAsia="宋体"/>
          <w:sz w:val="24"/>
          <w:highlight w:val="none"/>
        </w:rPr>
        <w:t>有</w:t>
      </w:r>
      <w:r>
        <w:rPr>
          <w:rFonts w:ascii="宋体" w:hAnsi="宋体" w:eastAsia="宋体"/>
          <w:sz w:val="24"/>
          <w:highlight w:val="none"/>
        </w:rPr>
        <w:t>利害关系的，可以向</w:t>
      </w:r>
      <w:r>
        <w:rPr>
          <w:rFonts w:hint="eastAsia" w:ascii="宋体" w:hAnsi="宋体" w:eastAsia="宋体"/>
          <w:sz w:val="24"/>
          <w:highlight w:val="none"/>
        </w:rPr>
        <w:t>采购人或</w:t>
      </w:r>
      <w:r>
        <w:rPr>
          <w:rFonts w:ascii="宋体" w:hAnsi="宋体" w:eastAsia="宋体"/>
          <w:sz w:val="24"/>
          <w:highlight w:val="none"/>
        </w:rPr>
        <w:t>采购代理机构书面提出回避申请，并说明理由。</w:t>
      </w:r>
    </w:p>
    <w:p w14:paraId="25788224">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31</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质疑的提出与接收</w:t>
      </w:r>
    </w:p>
    <w:p w14:paraId="1E528F34">
      <w:pPr>
        <w:spacing w:line="360" w:lineRule="auto"/>
        <w:ind w:firstLine="435"/>
        <w:rPr>
          <w:rFonts w:ascii="宋体" w:hAnsi="宋体" w:eastAsia="宋体"/>
          <w:sz w:val="24"/>
          <w:highlight w:val="none"/>
        </w:rPr>
      </w:pPr>
      <w:r>
        <w:rPr>
          <w:rFonts w:hint="eastAsia" w:ascii="宋体" w:hAnsi="宋体" w:eastAsia="宋体"/>
          <w:sz w:val="24"/>
          <w:highlight w:val="none"/>
        </w:rPr>
        <w:t>31.1投标人认为招标文件、招标过程和中标结果使自己的权益受到损害的，可以在知道或者应知其权益受到损害之日起七个工作日内，以书面形式向采购人或其委托的采购代理机构提出质疑。</w:t>
      </w:r>
    </w:p>
    <w:p w14:paraId="7D6B074B">
      <w:pPr>
        <w:spacing w:line="360" w:lineRule="auto"/>
        <w:ind w:firstLine="435"/>
        <w:rPr>
          <w:rFonts w:ascii="宋体" w:hAnsi="宋体" w:eastAsia="宋体"/>
          <w:sz w:val="24"/>
          <w:highlight w:val="none"/>
        </w:rPr>
      </w:pPr>
      <w:r>
        <w:rPr>
          <w:rFonts w:hint="eastAsia" w:ascii="宋体" w:hAnsi="宋体" w:eastAsia="宋体"/>
          <w:sz w:val="24"/>
          <w:highlight w:val="none"/>
        </w:rPr>
        <w:t>31.2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0560F0AE">
      <w:pPr>
        <w:spacing w:line="360" w:lineRule="auto"/>
        <w:ind w:firstLine="435"/>
        <w:rPr>
          <w:rFonts w:ascii="宋体" w:hAnsi="宋体" w:eastAsia="宋体"/>
          <w:sz w:val="24"/>
          <w:highlight w:val="none"/>
        </w:rPr>
      </w:pPr>
      <w:r>
        <w:rPr>
          <w:rFonts w:hint="eastAsia" w:ascii="宋体" w:hAnsi="宋体" w:eastAsia="宋体"/>
          <w:sz w:val="24"/>
          <w:highlight w:val="none"/>
        </w:rPr>
        <w:t>31.3采购代理机构质疑函接收方式，见</w:t>
      </w:r>
      <w:r>
        <w:rPr>
          <w:rFonts w:hint="eastAsia" w:ascii="宋体" w:hAnsi="宋体" w:eastAsia="宋体"/>
          <w:sz w:val="24"/>
          <w:highlight w:val="none"/>
          <w:u w:val="single"/>
        </w:rPr>
        <w:t>投标人须知前附表</w:t>
      </w:r>
      <w:r>
        <w:rPr>
          <w:rFonts w:hint="eastAsia" w:ascii="宋体" w:hAnsi="宋体" w:eastAsia="宋体"/>
          <w:sz w:val="24"/>
          <w:highlight w:val="none"/>
        </w:rPr>
        <w:t>。</w:t>
      </w:r>
    </w:p>
    <w:p w14:paraId="1F56E4C7">
      <w:pPr>
        <w:spacing w:line="360" w:lineRule="auto"/>
        <w:ind w:firstLine="435"/>
        <w:rPr>
          <w:rFonts w:ascii="宋体" w:hAnsi="宋体" w:eastAsia="宋体"/>
          <w:sz w:val="24"/>
          <w:highlight w:val="none"/>
        </w:rPr>
      </w:pPr>
      <w:r>
        <w:rPr>
          <w:rFonts w:hint="eastAsia" w:ascii="宋体" w:hAnsi="宋体" w:eastAsia="宋体"/>
          <w:sz w:val="24"/>
          <w:highlight w:val="none"/>
        </w:rPr>
        <w:t>注：上述条款中所要求的书面形式包含通过电子交易系统递交方式。</w:t>
      </w:r>
    </w:p>
    <w:p w14:paraId="66CBE03F">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32</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需要补充的其他内容</w:t>
      </w:r>
    </w:p>
    <w:p w14:paraId="7215ACAC">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需要补充的其他内容，见</w:t>
      </w:r>
      <w:r>
        <w:rPr>
          <w:rFonts w:hint="eastAsia" w:asciiTheme="minorEastAsia" w:hAnsiTheme="minorEastAsia" w:eastAsiaTheme="minorEastAsia"/>
          <w:sz w:val="24"/>
          <w:highlight w:val="none"/>
          <w:u w:val="single"/>
        </w:rPr>
        <w:t>投标人须知前附表</w:t>
      </w:r>
      <w:r>
        <w:rPr>
          <w:rFonts w:hint="eastAsia" w:asciiTheme="minorEastAsia" w:hAnsiTheme="minorEastAsia" w:eastAsiaTheme="minorEastAsia"/>
          <w:sz w:val="24"/>
          <w:highlight w:val="none"/>
        </w:rPr>
        <w:t>。</w:t>
      </w:r>
    </w:p>
    <w:p w14:paraId="472625B7">
      <w:pPr>
        <w:widowControl/>
        <w:jc w:val="left"/>
        <w:rPr>
          <w:rFonts w:asciiTheme="minorEastAsia" w:hAnsiTheme="minorEastAsia" w:eastAsiaTheme="minorEastAsia"/>
          <w:b/>
          <w:sz w:val="28"/>
          <w:highlight w:val="none"/>
        </w:rPr>
      </w:pPr>
      <w:r>
        <w:rPr>
          <w:rFonts w:asciiTheme="minorEastAsia" w:hAnsiTheme="minorEastAsia" w:eastAsiaTheme="minorEastAsia"/>
          <w:sz w:val="24"/>
          <w:highlight w:val="none"/>
        </w:rPr>
        <w:br w:type="page"/>
      </w:r>
    </w:p>
    <w:p w14:paraId="01BE169B">
      <w:pPr>
        <w:spacing w:line="360" w:lineRule="auto"/>
        <w:jc w:val="center"/>
        <w:outlineLvl w:val="0"/>
        <w:rPr>
          <w:rFonts w:asciiTheme="minorEastAsia" w:hAnsiTheme="minorEastAsia" w:eastAsiaTheme="minorEastAsia"/>
          <w:b/>
          <w:sz w:val="28"/>
          <w:highlight w:val="none"/>
        </w:rPr>
      </w:pPr>
      <w:bookmarkStart w:id="193" w:name="_GoBack"/>
      <w:bookmarkStart w:id="73" w:name="_Toc5980"/>
      <w:r>
        <w:rPr>
          <w:rFonts w:hint="eastAsia" w:asciiTheme="minorEastAsia" w:hAnsiTheme="minorEastAsia" w:eastAsiaTheme="minorEastAsia"/>
          <w:b/>
          <w:sz w:val="28"/>
          <w:highlight w:val="none"/>
        </w:rPr>
        <w:t>第三章  采购需求</w:t>
      </w:r>
      <w:bookmarkEnd w:id="73"/>
    </w:p>
    <w:p w14:paraId="414A422B">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前注：</w:t>
      </w:r>
    </w:p>
    <w:p w14:paraId="019F8686">
      <w:pPr>
        <w:spacing w:line="360" w:lineRule="auto"/>
        <w:ind w:firstLine="435"/>
        <w:rPr>
          <w:rFonts w:ascii="宋体" w:hAnsi="宋体" w:eastAsia="宋体"/>
          <w:sz w:val="24"/>
          <w:szCs w:val="18"/>
          <w:highlight w:val="none"/>
        </w:rPr>
      </w:pPr>
      <w:r>
        <w:rPr>
          <w:rFonts w:hint="eastAsia" w:asciiTheme="minorEastAsia" w:hAnsiTheme="minorEastAsia" w:eastAsiaTheme="minorEastAsia"/>
          <w:sz w:val="24"/>
          <w:highlight w:val="none"/>
        </w:rPr>
        <w:t>1.</w:t>
      </w:r>
      <w:r>
        <w:rPr>
          <w:rFonts w:ascii="宋体" w:hAnsi="宋体" w:eastAsia="宋体"/>
          <w:sz w:val="24"/>
          <w:szCs w:val="18"/>
          <w:highlight w:val="none"/>
        </w:rPr>
        <w:t>根据《</w:t>
      </w:r>
      <w:r>
        <w:rPr>
          <w:rFonts w:hint="eastAsia" w:ascii="宋体" w:hAnsi="宋体" w:eastAsia="宋体"/>
          <w:sz w:val="24"/>
          <w:szCs w:val="18"/>
          <w:highlight w:val="none"/>
        </w:rPr>
        <w:t>政府采购进口产品管理办法</w:t>
      </w:r>
      <w:r>
        <w:rPr>
          <w:rFonts w:ascii="宋体" w:hAnsi="宋体" w:eastAsia="宋体"/>
          <w:sz w:val="24"/>
          <w:szCs w:val="18"/>
          <w:highlight w:val="none"/>
        </w:rPr>
        <w:t>》及政府采购管理部门的相关规定，下列采购需求中</w:t>
      </w:r>
      <w:r>
        <w:rPr>
          <w:rFonts w:hint="eastAsia" w:ascii="宋体" w:hAnsi="宋体" w:eastAsia="宋体"/>
          <w:sz w:val="24"/>
          <w:szCs w:val="18"/>
          <w:highlight w:val="none"/>
        </w:rPr>
        <w:t>标注进口产品的货物均</w:t>
      </w:r>
      <w:r>
        <w:rPr>
          <w:rFonts w:ascii="宋体" w:hAnsi="宋体" w:eastAsia="宋体"/>
          <w:sz w:val="24"/>
          <w:szCs w:val="18"/>
          <w:highlight w:val="none"/>
        </w:rPr>
        <w:t>已履行相关论证手续，经核准采购进口</w:t>
      </w:r>
      <w:r>
        <w:rPr>
          <w:rFonts w:hint="eastAsia" w:ascii="宋体" w:hAnsi="宋体" w:eastAsia="宋体"/>
          <w:sz w:val="24"/>
          <w:szCs w:val="18"/>
          <w:highlight w:val="none"/>
        </w:rPr>
        <w:t>产品</w:t>
      </w:r>
      <w:r>
        <w:rPr>
          <w:rFonts w:ascii="宋体" w:hAnsi="宋体" w:eastAsia="宋体"/>
          <w:sz w:val="24"/>
          <w:szCs w:val="18"/>
          <w:highlight w:val="none"/>
        </w:rPr>
        <w:t>，但不限制满足招标文件要求的国内产品参与竞争</w:t>
      </w:r>
      <w:r>
        <w:rPr>
          <w:rFonts w:hint="eastAsia" w:ascii="宋体" w:hAnsi="宋体" w:eastAsia="宋体"/>
          <w:sz w:val="24"/>
          <w:szCs w:val="18"/>
          <w:highlight w:val="none"/>
        </w:rPr>
        <w:t>。未标注进口产品的货物均</w:t>
      </w:r>
      <w:r>
        <w:rPr>
          <w:rFonts w:ascii="宋体" w:hAnsi="宋体" w:eastAsia="宋体"/>
          <w:sz w:val="24"/>
          <w:szCs w:val="18"/>
          <w:highlight w:val="none"/>
        </w:rPr>
        <w:t>为拒绝采购进口产品</w:t>
      </w:r>
      <w:r>
        <w:rPr>
          <w:rFonts w:hint="eastAsia" w:ascii="宋体" w:hAnsi="宋体" w:eastAsia="宋体"/>
          <w:sz w:val="24"/>
          <w:szCs w:val="18"/>
          <w:highlight w:val="none"/>
        </w:rPr>
        <w:t>。</w:t>
      </w:r>
    </w:p>
    <w:p w14:paraId="669E2E63">
      <w:pPr>
        <w:spacing w:line="360" w:lineRule="auto"/>
        <w:ind w:firstLine="435"/>
        <w:rPr>
          <w:rFonts w:ascii="宋体" w:hAnsi="宋体" w:eastAsia="宋体"/>
          <w:sz w:val="24"/>
          <w:szCs w:val="18"/>
          <w:highlight w:val="none"/>
        </w:rPr>
      </w:pPr>
      <w:r>
        <w:rPr>
          <w:rFonts w:hint="eastAsia" w:ascii="宋体" w:hAnsi="宋体" w:eastAsia="宋体"/>
          <w:sz w:val="24"/>
          <w:szCs w:val="18"/>
          <w:highlight w:val="none"/>
        </w:rPr>
        <w:t>2.</w:t>
      </w:r>
      <w:r>
        <w:rPr>
          <w:rFonts w:ascii="宋体" w:hAnsi="宋体" w:eastAsia="宋体" w:cs="宋体"/>
          <w:sz w:val="24"/>
          <w:szCs w:val="24"/>
          <w:highlight w:val="none"/>
        </w:rPr>
        <w:t>政府采购政策（包括但不限于下列具体政策要求</w:t>
      </w:r>
      <w:r>
        <w:rPr>
          <w:rFonts w:hint="eastAsia" w:ascii="宋体" w:hAnsi="宋体" w:eastAsia="宋体" w:cs="宋体"/>
          <w:sz w:val="24"/>
          <w:szCs w:val="24"/>
          <w:highlight w:val="none"/>
        </w:rPr>
        <w:t>）</w:t>
      </w:r>
      <w:r>
        <w:rPr>
          <w:rFonts w:hint="eastAsia" w:ascii="宋体" w:hAnsi="宋体" w:eastAsia="宋体"/>
          <w:sz w:val="24"/>
          <w:szCs w:val="18"/>
          <w:highlight w:val="none"/>
        </w:rPr>
        <w:t>：</w:t>
      </w:r>
    </w:p>
    <w:p w14:paraId="65E030BC">
      <w:pPr>
        <w:spacing w:line="360" w:lineRule="auto"/>
        <w:ind w:firstLine="435"/>
        <w:rPr>
          <w:rFonts w:ascii="宋体" w:hAnsi="宋体" w:eastAsia="宋体" w:cs="宋体"/>
          <w:sz w:val="24"/>
          <w:szCs w:val="24"/>
          <w:highlight w:val="none"/>
        </w:rPr>
      </w:pPr>
      <w:r>
        <w:rPr>
          <w:rFonts w:hint="eastAsia" w:ascii="宋体" w:hAnsi="宋体" w:eastAsia="宋体" w:cs="宋体"/>
          <w:sz w:val="24"/>
          <w:szCs w:val="24"/>
          <w:highlight w:val="none"/>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6E234244">
      <w:pPr>
        <w:spacing w:line="360" w:lineRule="auto"/>
        <w:ind w:firstLine="435"/>
        <w:rPr>
          <w:rFonts w:ascii="宋体" w:hAnsi="宋体" w:eastAsia="宋体" w:cs="宋体"/>
          <w:sz w:val="24"/>
          <w:szCs w:val="24"/>
          <w:highlight w:val="none"/>
        </w:rPr>
      </w:pPr>
      <w:r>
        <w:rPr>
          <w:rFonts w:hint="eastAsia" w:ascii="宋体" w:hAnsi="宋体" w:eastAsia="宋体" w:cs="宋体"/>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61D0D432">
      <w:pPr>
        <w:spacing w:line="360" w:lineRule="auto"/>
        <w:ind w:firstLine="435"/>
        <w:rPr>
          <w:rFonts w:ascii="宋体" w:hAnsi="宋体" w:eastAsia="宋体"/>
          <w:b/>
          <w:bCs/>
          <w:sz w:val="24"/>
          <w:szCs w:val="18"/>
          <w:highlight w:val="none"/>
        </w:rPr>
      </w:pPr>
      <w:r>
        <w:rPr>
          <w:rFonts w:hint="eastAsia" w:ascii="宋体" w:hAnsi="宋体" w:eastAsia="宋体" w:cs="宋体"/>
          <w:sz w:val="24"/>
          <w:szCs w:val="24"/>
          <w:highlight w:val="none"/>
        </w:rPr>
        <w:t>（3）</w:t>
      </w:r>
      <w:r>
        <w:rPr>
          <w:rFonts w:hint="eastAsia" w:ascii="宋体" w:hAnsi="宋体" w:eastAsia="宋体" w:cs="宋体"/>
          <w:b/>
          <w:bCs/>
          <w:sz w:val="24"/>
          <w:szCs w:val="24"/>
          <w:highlight w:val="none"/>
        </w:rPr>
        <w:t>标注▲的产品为核心产品，投标人在投标文件《主要中标标的承诺函》中填写名称、规格、型号、数量、单价等信息，承诺函随评审结果一并公告；</w:t>
      </w:r>
    </w:p>
    <w:p w14:paraId="5FCED17B">
      <w:pPr>
        <w:spacing w:line="360" w:lineRule="auto"/>
        <w:ind w:firstLine="435"/>
        <w:rPr>
          <w:highlight w:val="none"/>
        </w:rPr>
      </w:pPr>
      <w:r>
        <w:rPr>
          <w:rFonts w:hint="eastAsia" w:ascii="宋体" w:hAnsi="宋体" w:eastAsia="宋体" w:cs="宋体"/>
          <w:sz w:val="24"/>
          <w:szCs w:val="24"/>
          <w:highlight w:val="none"/>
        </w:rPr>
        <w:t>3.</w:t>
      </w:r>
      <w:r>
        <w:rPr>
          <w:rFonts w:hint="eastAsia" w:ascii="宋体" w:hAnsi="宋体" w:eastAsia="宋体"/>
          <w:sz w:val="24"/>
          <w:szCs w:val="18"/>
          <w:highlight w:val="none"/>
        </w:rPr>
        <w:t>如采购人允许采用分包方式履行合同的，应当明确可以分包履行的相关内容。</w:t>
      </w:r>
    </w:p>
    <w:p w14:paraId="4A006E96">
      <w:pPr>
        <w:spacing w:line="360" w:lineRule="auto"/>
        <w:ind w:firstLine="437"/>
        <w:outlineLvl w:val="1"/>
        <w:rPr>
          <w:rFonts w:ascii="宋体" w:hAnsi="宋体" w:eastAsia="宋体"/>
          <w:b/>
          <w:sz w:val="24"/>
          <w:szCs w:val="18"/>
          <w:highlight w:val="none"/>
        </w:rPr>
      </w:pPr>
      <w:bookmarkStart w:id="74" w:name="_Toc32151"/>
      <w:bookmarkStart w:id="75" w:name="_Toc21076"/>
      <w:bookmarkStart w:id="76" w:name="_Toc2554"/>
      <w:r>
        <w:rPr>
          <w:rFonts w:hint="eastAsia" w:ascii="宋体" w:hAnsi="宋体" w:eastAsia="宋体"/>
          <w:b/>
          <w:sz w:val="24"/>
          <w:szCs w:val="18"/>
          <w:highlight w:val="none"/>
        </w:rPr>
        <w:t>一、采购需求前附表</w:t>
      </w:r>
      <w:bookmarkEnd w:id="74"/>
      <w:bookmarkEnd w:id="75"/>
      <w:bookmarkEnd w:id="76"/>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1350"/>
        <w:gridCol w:w="6444"/>
      </w:tblGrid>
      <w:tr w14:paraId="4B30B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7" w:type="pct"/>
            <w:vAlign w:val="center"/>
          </w:tcPr>
          <w:p w14:paraId="09774476">
            <w:pPr>
              <w:pStyle w:val="35"/>
              <w:pBdr>
                <w:bottom w:val="none" w:color="auto" w:sz="0" w:space="0"/>
              </w:pBdr>
              <w:tabs>
                <w:tab w:val="clear" w:pos="4153"/>
                <w:tab w:val="clear" w:pos="8306"/>
              </w:tabs>
              <w:adjustRightInd/>
              <w:spacing w:line="240" w:lineRule="auto"/>
              <w:textAlignment w:val="auto"/>
              <w:rPr>
                <w:rFonts w:ascii="宋体" w:hAnsi="宋体" w:eastAsia="宋体"/>
                <w:b/>
                <w:kern w:val="2"/>
                <w:highlight w:val="none"/>
              </w:rPr>
            </w:pPr>
            <w:r>
              <w:rPr>
                <w:rFonts w:hint="eastAsia" w:ascii="宋体" w:hAnsi="宋体" w:eastAsia="宋体"/>
                <w:b/>
                <w:kern w:val="2"/>
                <w:highlight w:val="none"/>
              </w:rPr>
              <w:t>序号</w:t>
            </w:r>
          </w:p>
        </w:tc>
        <w:tc>
          <w:tcPr>
            <w:tcW w:w="792" w:type="pct"/>
            <w:vAlign w:val="center"/>
          </w:tcPr>
          <w:p w14:paraId="21A6201B">
            <w:pPr>
              <w:pStyle w:val="34"/>
              <w:widowControl w:val="0"/>
              <w:spacing w:before="0" w:beforeAutospacing="0" w:after="0" w:afterAutospacing="0" w:line="360" w:lineRule="auto"/>
              <w:rPr>
                <w:rFonts w:ascii="宋体" w:hAnsi="宋体" w:eastAsia="宋体"/>
                <w:bCs w:val="0"/>
                <w:sz w:val="24"/>
                <w:highlight w:val="none"/>
              </w:rPr>
            </w:pPr>
            <w:r>
              <w:rPr>
                <w:rFonts w:hint="eastAsia" w:ascii="宋体" w:hAnsi="宋体" w:eastAsia="宋体"/>
                <w:bCs w:val="0"/>
                <w:sz w:val="24"/>
                <w:highlight w:val="none"/>
              </w:rPr>
              <w:t>条款名称</w:t>
            </w:r>
          </w:p>
        </w:tc>
        <w:tc>
          <w:tcPr>
            <w:tcW w:w="3780" w:type="pct"/>
            <w:vAlign w:val="center"/>
          </w:tcPr>
          <w:p w14:paraId="5E176687">
            <w:pPr>
              <w:pStyle w:val="34"/>
              <w:widowControl w:val="0"/>
              <w:spacing w:before="0" w:beforeAutospacing="0" w:after="0" w:afterAutospacing="0" w:line="360" w:lineRule="auto"/>
              <w:rPr>
                <w:rFonts w:ascii="宋体" w:hAnsi="宋体" w:eastAsia="宋体"/>
                <w:bCs w:val="0"/>
                <w:sz w:val="24"/>
                <w:highlight w:val="none"/>
              </w:rPr>
            </w:pPr>
            <w:r>
              <w:rPr>
                <w:rFonts w:hint="eastAsia" w:ascii="宋体" w:hAnsi="宋体" w:eastAsia="宋体"/>
                <w:bCs w:val="0"/>
                <w:sz w:val="24"/>
                <w:highlight w:val="none"/>
              </w:rPr>
              <w:t>内容、说明与要求</w:t>
            </w:r>
          </w:p>
        </w:tc>
      </w:tr>
      <w:tr w14:paraId="74112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7" w:type="pct"/>
            <w:vAlign w:val="center"/>
          </w:tcPr>
          <w:p w14:paraId="0F142233">
            <w:pPr>
              <w:pStyle w:val="35"/>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1</w:t>
            </w:r>
          </w:p>
        </w:tc>
        <w:tc>
          <w:tcPr>
            <w:tcW w:w="792" w:type="pct"/>
            <w:vAlign w:val="center"/>
          </w:tcPr>
          <w:p w14:paraId="68C1B97E">
            <w:pPr>
              <w:pStyle w:val="34"/>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付款方式</w:t>
            </w:r>
          </w:p>
        </w:tc>
        <w:tc>
          <w:tcPr>
            <w:tcW w:w="3780" w:type="pct"/>
            <w:vAlign w:val="center"/>
          </w:tcPr>
          <w:p w14:paraId="225F441C">
            <w:pPr>
              <w:pStyle w:val="34"/>
              <w:widowControl w:val="0"/>
              <w:spacing w:before="0" w:beforeAutospacing="0" w:after="0" w:afterAutospacing="0" w:line="360" w:lineRule="auto"/>
              <w:jc w:val="both"/>
              <w:rPr>
                <w:rFonts w:hint="eastAsia" w:ascii="宋体" w:hAnsi="宋体" w:eastAsia="宋体"/>
                <w:b w:val="0"/>
                <w:sz w:val="24"/>
                <w:highlight w:val="none"/>
                <w:u w:val="single"/>
                <w:lang w:eastAsia="zh-CN"/>
              </w:rPr>
            </w:pPr>
            <w:r>
              <w:rPr>
                <w:rFonts w:hint="eastAsia" w:ascii="宋体" w:hAnsi="宋体" w:eastAsia="宋体"/>
                <w:b w:val="0"/>
                <w:sz w:val="24"/>
                <w:highlight w:val="none"/>
                <w:u w:val="single"/>
              </w:rPr>
              <w:t>第一阶段验收为按规定组织对到货检验、安装调试检验、功能检验等内容进行验收，验收合格后付合同价款的75%，第二阶段验收为第一阶段验收后一年内组织对整体运行、性能检验及相应配套服务等内容进行验收，验收合格后付合同价款的25%。</w:t>
            </w:r>
            <w:r>
              <w:rPr>
                <w:rFonts w:hint="eastAsia" w:ascii="宋体" w:hAnsi="宋体" w:eastAsia="宋体"/>
                <w:b w:val="0"/>
                <w:sz w:val="24"/>
                <w:highlight w:val="none"/>
                <w:u w:val="single"/>
                <w:lang w:val="en-US" w:eastAsia="zh-CN"/>
              </w:rPr>
              <w:t>每次付款前，供应商须提供</w:t>
            </w:r>
            <w:r>
              <w:rPr>
                <w:rFonts w:hint="eastAsia" w:ascii="宋体" w:hAnsi="宋体" w:eastAsia="宋体"/>
                <w:b w:val="0"/>
                <w:sz w:val="24"/>
                <w:highlight w:val="none"/>
                <w:u w:val="single"/>
              </w:rPr>
              <w:t>增值税</w:t>
            </w:r>
            <w:r>
              <w:rPr>
                <w:rFonts w:hint="eastAsia" w:ascii="宋体" w:hAnsi="宋体" w:eastAsia="宋体"/>
                <w:b w:val="0"/>
                <w:sz w:val="24"/>
                <w:highlight w:val="none"/>
                <w:u w:val="single"/>
                <w:lang w:val="en-US" w:eastAsia="zh-CN"/>
              </w:rPr>
              <w:t>发</w:t>
            </w:r>
            <w:r>
              <w:rPr>
                <w:rFonts w:hint="eastAsia" w:ascii="宋体" w:hAnsi="宋体" w:eastAsia="宋体"/>
                <w:b w:val="0"/>
                <w:sz w:val="24"/>
                <w:highlight w:val="none"/>
                <w:u w:val="single"/>
              </w:rPr>
              <w:t>票</w:t>
            </w:r>
            <w:r>
              <w:rPr>
                <w:rFonts w:hint="eastAsia" w:ascii="宋体" w:hAnsi="宋体" w:eastAsia="宋体"/>
                <w:b w:val="0"/>
                <w:sz w:val="24"/>
                <w:highlight w:val="none"/>
                <w:u w:val="single"/>
                <w:lang w:eastAsia="zh-CN"/>
              </w:rPr>
              <w:t>。</w:t>
            </w:r>
          </w:p>
        </w:tc>
      </w:tr>
      <w:tr w14:paraId="0464B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7" w:type="pct"/>
            <w:vAlign w:val="center"/>
          </w:tcPr>
          <w:p w14:paraId="1460333F">
            <w:pPr>
              <w:pStyle w:val="35"/>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2</w:t>
            </w:r>
          </w:p>
        </w:tc>
        <w:tc>
          <w:tcPr>
            <w:tcW w:w="792" w:type="pct"/>
            <w:vAlign w:val="center"/>
          </w:tcPr>
          <w:p w14:paraId="12ED8004">
            <w:pPr>
              <w:pStyle w:val="34"/>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供货及安装地点</w:t>
            </w:r>
          </w:p>
        </w:tc>
        <w:tc>
          <w:tcPr>
            <w:tcW w:w="3780" w:type="pct"/>
            <w:vAlign w:val="center"/>
          </w:tcPr>
          <w:p w14:paraId="3521E540">
            <w:pPr>
              <w:pStyle w:val="34"/>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u w:val="single"/>
              </w:rPr>
              <w:t>淮南师范学院</w:t>
            </w:r>
          </w:p>
        </w:tc>
      </w:tr>
      <w:tr w14:paraId="2233A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7" w:type="pct"/>
            <w:vAlign w:val="center"/>
          </w:tcPr>
          <w:p w14:paraId="0D15A85C">
            <w:pPr>
              <w:pStyle w:val="35"/>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3</w:t>
            </w:r>
          </w:p>
        </w:tc>
        <w:tc>
          <w:tcPr>
            <w:tcW w:w="792" w:type="pct"/>
            <w:vAlign w:val="center"/>
          </w:tcPr>
          <w:p w14:paraId="633D08C0">
            <w:pPr>
              <w:pStyle w:val="34"/>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供货及安装期限</w:t>
            </w:r>
          </w:p>
        </w:tc>
        <w:tc>
          <w:tcPr>
            <w:tcW w:w="3780" w:type="pct"/>
            <w:vAlign w:val="center"/>
          </w:tcPr>
          <w:p w14:paraId="309863C7">
            <w:pPr>
              <w:pStyle w:val="34"/>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u w:val="single"/>
              </w:rPr>
              <w:t>60个日历日</w:t>
            </w:r>
          </w:p>
        </w:tc>
      </w:tr>
      <w:tr w14:paraId="6421F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7" w:type="pct"/>
            <w:vAlign w:val="center"/>
          </w:tcPr>
          <w:p w14:paraId="04234FFE">
            <w:pPr>
              <w:pStyle w:val="35"/>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4</w:t>
            </w:r>
          </w:p>
        </w:tc>
        <w:tc>
          <w:tcPr>
            <w:tcW w:w="792" w:type="pct"/>
            <w:vAlign w:val="center"/>
          </w:tcPr>
          <w:p w14:paraId="36F3BC36">
            <w:pPr>
              <w:pStyle w:val="34"/>
              <w:widowControl w:val="0"/>
              <w:spacing w:before="0" w:beforeAutospacing="0" w:after="0" w:afterAutospacing="0" w:line="360" w:lineRule="auto"/>
              <w:rPr>
                <w:rFonts w:hint="eastAsia" w:ascii="宋体" w:hAnsi="宋体" w:eastAsia="宋体"/>
                <w:b w:val="0"/>
                <w:sz w:val="24"/>
                <w:highlight w:val="none"/>
                <w:lang w:eastAsia="zh-CN"/>
              </w:rPr>
            </w:pPr>
            <w:r>
              <w:rPr>
                <w:rFonts w:hint="eastAsia" w:ascii="宋体" w:hAnsi="宋体" w:eastAsia="宋体"/>
                <w:b w:val="0"/>
                <w:sz w:val="24"/>
                <w:highlight w:val="none"/>
                <w:lang w:eastAsia="zh-CN"/>
              </w:rPr>
              <w:t>质量保修期</w:t>
            </w:r>
          </w:p>
        </w:tc>
        <w:tc>
          <w:tcPr>
            <w:tcW w:w="3780" w:type="pct"/>
            <w:vAlign w:val="center"/>
          </w:tcPr>
          <w:p w14:paraId="38F23209">
            <w:pPr>
              <w:pStyle w:val="34"/>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u w:val="single"/>
              </w:rPr>
              <w:t>3年</w:t>
            </w:r>
          </w:p>
        </w:tc>
      </w:tr>
    </w:tbl>
    <w:p w14:paraId="0EA9C7BC">
      <w:pPr>
        <w:numPr>
          <w:ilvl w:val="0"/>
          <w:numId w:val="1"/>
        </w:numPr>
        <w:spacing w:line="360" w:lineRule="auto"/>
        <w:ind w:firstLine="437"/>
        <w:outlineLvl w:val="1"/>
        <w:rPr>
          <w:rFonts w:ascii="宋体" w:hAnsi="宋体" w:eastAsia="宋体"/>
          <w:b/>
          <w:bCs/>
          <w:sz w:val="24"/>
          <w:szCs w:val="18"/>
          <w:highlight w:val="none"/>
        </w:rPr>
      </w:pPr>
      <w:bookmarkStart w:id="77" w:name="_Toc5944"/>
      <w:bookmarkStart w:id="78" w:name="_Toc7671"/>
      <w:bookmarkStart w:id="79" w:name="_Toc10993"/>
      <w:r>
        <w:rPr>
          <w:rFonts w:hint="eastAsia" w:ascii="宋体" w:hAnsi="宋体" w:eastAsia="宋体"/>
          <w:b/>
          <w:sz w:val="24"/>
          <w:szCs w:val="18"/>
          <w:highlight w:val="none"/>
        </w:rPr>
        <w:t>货物</w:t>
      </w:r>
      <w:r>
        <w:rPr>
          <w:rFonts w:hint="eastAsia" w:ascii="宋体" w:hAnsi="宋体" w:eastAsia="宋体"/>
          <w:b/>
          <w:bCs/>
          <w:sz w:val="24"/>
          <w:szCs w:val="18"/>
          <w:highlight w:val="none"/>
        </w:rPr>
        <w:t>需求</w:t>
      </w:r>
      <w:bookmarkEnd w:id="77"/>
      <w:bookmarkEnd w:id="78"/>
      <w:bookmarkEnd w:id="79"/>
    </w:p>
    <w:p w14:paraId="4F3D7F3F">
      <w:pPr>
        <w:pStyle w:val="5"/>
        <w:rPr>
          <w:rFonts w:ascii="宋体" w:hAnsi="宋体" w:eastAsia="宋体" w:cs="宋体"/>
          <w:b w:val="0"/>
          <w:sz w:val="24"/>
          <w:szCs w:val="24"/>
          <w:highlight w:val="none"/>
        </w:rPr>
      </w:pPr>
      <w:r>
        <w:rPr>
          <w:rFonts w:hint="eastAsia" w:ascii="宋体" w:hAnsi="宋体" w:eastAsia="宋体" w:cs="宋体"/>
          <w:b w:val="0"/>
          <w:sz w:val="24"/>
          <w:szCs w:val="24"/>
          <w:highlight w:val="none"/>
        </w:rPr>
        <w:t>（一）货物指标重要性表述</w:t>
      </w:r>
    </w:p>
    <w:tbl>
      <w:tblPr>
        <w:tblStyle w:val="26"/>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5"/>
        <w:gridCol w:w="1189"/>
        <w:gridCol w:w="5698"/>
      </w:tblGrid>
      <w:tr w14:paraId="79967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pct"/>
            <w:noWrap/>
            <w:vAlign w:val="center"/>
          </w:tcPr>
          <w:p w14:paraId="0F6C3671">
            <w:pPr>
              <w:spacing w:line="360" w:lineRule="auto"/>
              <w:jc w:val="center"/>
              <w:rPr>
                <w:rFonts w:ascii="宋体" w:hAnsi="宋体" w:eastAsia="宋体" w:cs="宋体"/>
                <w:bCs/>
                <w:sz w:val="24"/>
                <w:szCs w:val="24"/>
                <w:highlight w:val="none"/>
              </w:rPr>
            </w:pPr>
            <w:r>
              <w:rPr>
                <w:rFonts w:hint="eastAsia" w:ascii="宋体" w:hAnsi="宋体" w:eastAsia="宋体" w:cs="宋体"/>
                <w:bCs/>
                <w:sz w:val="24"/>
                <w:szCs w:val="24"/>
                <w:highlight w:val="none"/>
              </w:rPr>
              <w:t>标识重要性</w:t>
            </w:r>
          </w:p>
        </w:tc>
        <w:tc>
          <w:tcPr>
            <w:tcW w:w="704" w:type="pct"/>
            <w:noWrap/>
            <w:vAlign w:val="center"/>
          </w:tcPr>
          <w:p w14:paraId="54AC57A6">
            <w:pPr>
              <w:spacing w:line="360" w:lineRule="auto"/>
              <w:jc w:val="center"/>
              <w:rPr>
                <w:rFonts w:ascii="宋体" w:hAnsi="宋体" w:eastAsia="宋体" w:cs="宋体"/>
                <w:bCs/>
                <w:sz w:val="24"/>
                <w:szCs w:val="24"/>
                <w:highlight w:val="none"/>
              </w:rPr>
            </w:pPr>
            <w:r>
              <w:rPr>
                <w:rFonts w:hint="eastAsia" w:ascii="宋体" w:hAnsi="宋体" w:eastAsia="宋体" w:cs="宋体"/>
                <w:bCs/>
                <w:sz w:val="24"/>
                <w:szCs w:val="24"/>
                <w:highlight w:val="none"/>
              </w:rPr>
              <w:t>标识符号</w:t>
            </w:r>
          </w:p>
        </w:tc>
        <w:tc>
          <w:tcPr>
            <w:tcW w:w="3322" w:type="pct"/>
            <w:noWrap/>
            <w:vAlign w:val="center"/>
          </w:tcPr>
          <w:p w14:paraId="5311085D">
            <w:pPr>
              <w:spacing w:line="360" w:lineRule="auto"/>
              <w:jc w:val="center"/>
              <w:rPr>
                <w:rFonts w:ascii="宋体" w:hAnsi="宋体" w:eastAsia="宋体" w:cs="宋体"/>
                <w:bCs/>
                <w:sz w:val="24"/>
                <w:szCs w:val="24"/>
                <w:highlight w:val="none"/>
              </w:rPr>
            </w:pPr>
            <w:r>
              <w:rPr>
                <w:rFonts w:hint="eastAsia" w:ascii="宋体" w:hAnsi="宋体" w:eastAsia="宋体" w:cs="宋体"/>
                <w:bCs/>
                <w:sz w:val="24"/>
                <w:szCs w:val="24"/>
                <w:highlight w:val="none"/>
              </w:rPr>
              <w:t>代表意思</w:t>
            </w:r>
          </w:p>
        </w:tc>
      </w:tr>
      <w:tr w14:paraId="71350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2" w:type="pct"/>
            <w:noWrap/>
            <w:vAlign w:val="center"/>
          </w:tcPr>
          <w:p w14:paraId="69E6C979">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核心指标项</w:t>
            </w:r>
          </w:p>
        </w:tc>
        <w:tc>
          <w:tcPr>
            <w:tcW w:w="704" w:type="pct"/>
            <w:noWrap/>
            <w:vAlign w:val="center"/>
          </w:tcPr>
          <w:p w14:paraId="65AAF82E">
            <w:pPr>
              <w:spacing w:line="360" w:lineRule="auto"/>
              <w:jc w:val="center"/>
              <w:rPr>
                <w:rFonts w:ascii="宋体" w:hAnsi="宋体" w:eastAsia="宋体" w:cs="宋体"/>
                <w:bCs/>
                <w:sz w:val="24"/>
                <w:szCs w:val="24"/>
                <w:highlight w:val="none"/>
              </w:rPr>
            </w:pPr>
            <w:r>
              <w:rPr>
                <w:rFonts w:hint="eastAsia" w:ascii="宋体" w:hAnsi="宋体" w:eastAsia="宋体" w:cs="宋体"/>
                <w:sz w:val="24"/>
                <w:szCs w:val="24"/>
                <w:highlight w:val="none"/>
              </w:rPr>
              <w:t>★</w:t>
            </w:r>
          </w:p>
        </w:tc>
        <w:tc>
          <w:tcPr>
            <w:tcW w:w="3322" w:type="pct"/>
            <w:noWrap/>
            <w:vAlign w:val="center"/>
          </w:tcPr>
          <w:p w14:paraId="5F1A075B">
            <w:pPr>
              <w:spacing w:line="360" w:lineRule="auto"/>
              <w:jc w:val="center"/>
              <w:rPr>
                <w:rFonts w:ascii="宋体" w:hAnsi="宋体" w:eastAsia="宋体" w:cs="宋体"/>
                <w:bCs/>
                <w:sz w:val="24"/>
                <w:szCs w:val="24"/>
                <w:highlight w:val="none"/>
              </w:rPr>
            </w:pPr>
            <w:r>
              <w:rPr>
                <w:rFonts w:hint="eastAsia" w:ascii="宋体" w:hAnsi="宋体" w:eastAsia="宋体" w:cs="宋体"/>
                <w:sz w:val="24"/>
                <w:szCs w:val="24"/>
                <w:highlight w:val="none"/>
              </w:rPr>
              <w:t>评分项，详见第四章资格审查和评标办法（综合评分法）</w:t>
            </w:r>
          </w:p>
        </w:tc>
      </w:tr>
      <w:tr w14:paraId="084B3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pct"/>
            <w:noWrap/>
            <w:vAlign w:val="center"/>
          </w:tcPr>
          <w:p w14:paraId="5893BB16">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无标识项</w:t>
            </w:r>
          </w:p>
        </w:tc>
        <w:tc>
          <w:tcPr>
            <w:tcW w:w="704" w:type="pct"/>
            <w:noWrap/>
            <w:vAlign w:val="center"/>
          </w:tcPr>
          <w:p w14:paraId="7401A41D">
            <w:pPr>
              <w:spacing w:line="360" w:lineRule="auto"/>
              <w:jc w:val="center"/>
              <w:rPr>
                <w:rFonts w:ascii="宋体" w:hAnsi="宋体" w:eastAsia="宋体" w:cs="宋体"/>
                <w:sz w:val="24"/>
                <w:szCs w:val="24"/>
                <w:highlight w:val="none"/>
              </w:rPr>
            </w:pPr>
          </w:p>
        </w:tc>
        <w:tc>
          <w:tcPr>
            <w:tcW w:w="3322" w:type="pct"/>
            <w:noWrap/>
            <w:vAlign w:val="center"/>
          </w:tcPr>
          <w:p w14:paraId="600C3337">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有5条及以上未响应或负偏离，则投标无效。</w:t>
            </w:r>
          </w:p>
        </w:tc>
      </w:tr>
      <w:tr w14:paraId="274EC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noWrap/>
            <w:vAlign w:val="center"/>
          </w:tcPr>
          <w:p w14:paraId="53B297A0">
            <w:pPr>
              <w:spacing w:line="360" w:lineRule="auto"/>
              <w:jc w:val="left"/>
              <w:rPr>
                <w:rFonts w:ascii="宋体" w:hAnsi="宋体" w:eastAsia="宋体" w:cs="宋体"/>
                <w:sz w:val="24"/>
                <w:szCs w:val="24"/>
                <w:highlight w:val="none"/>
              </w:rPr>
            </w:pPr>
            <w:r>
              <w:rPr>
                <w:rFonts w:hint="eastAsia" w:ascii="宋体" w:hAnsi="宋体" w:eastAsia="宋体" w:cs="宋体"/>
                <w:b/>
                <w:bCs/>
                <w:sz w:val="24"/>
                <w:szCs w:val="24"/>
                <w:highlight w:val="none"/>
              </w:rPr>
              <w:t>注：</w:t>
            </w:r>
            <w:r>
              <w:rPr>
                <w:rFonts w:hint="eastAsia" w:ascii="宋体" w:hAnsi="宋体" w:eastAsia="宋体" w:cs="宋体"/>
                <w:sz w:val="24"/>
                <w:szCs w:val="24"/>
                <w:highlight w:val="none"/>
              </w:rPr>
              <w:t>凡标有最低一级序号的指标项即为一项技术条款，无论是否隶属于上一级编号。</w:t>
            </w:r>
          </w:p>
        </w:tc>
      </w:tr>
    </w:tbl>
    <w:p w14:paraId="23131B48">
      <w:pPr>
        <w:pStyle w:val="6"/>
        <w:rPr>
          <w:rFonts w:ascii="宋体" w:hAnsi="宋体" w:eastAsia="宋体" w:cs="宋体"/>
          <w:sz w:val="24"/>
          <w:szCs w:val="24"/>
          <w:highlight w:val="none"/>
        </w:rPr>
      </w:pPr>
      <w:r>
        <w:rPr>
          <w:rFonts w:hint="eastAsia" w:ascii="宋体" w:hAnsi="宋体" w:eastAsia="宋体" w:cs="宋体"/>
          <w:b w:val="0"/>
          <w:sz w:val="24"/>
          <w:szCs w:val="24"/>
          <w:highlight w:val="none"/>
        </w:rPr>
        <w:t>（二）货物指标要求</w:t>
      </w:r>
    </w:p>
    <w:p w14:paraId="02D33D4E">
      <w:pPr>
        <w:pStyle w:val="6"/>
        <w:rPr>
          <w:rFonts w:ascii="宋体" w:hAnsi="宋体" w:eastAsia="宋体" w:cs="宋体"/>
          <w:sz w:val="24"/>
          <w:szCs w:val="24"/>
          <w:highlight w:val="none"/>
        </w:rPr>
      </w:pPr>
      <w:r>
        <w:rPr>
          <w:rFonts w:hint="eastAsia" w:ascii="宋体" w:hAnsi="宋体" w:eastAsia="宋体" w:cs="宋体"/>
          <w:sz w:val="24"/>
          <w:szCs w:val="24"/>
          <w:highlight w:val="none"/>
        </w:rPr>
        <w:t>第1包：校园重点区域监控升级建设</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741"/>
        <w:gridCol w:w="5142"/>
        <w:gridCol w:w="578"/>
        <w:gridCol w:w="385"/>
        <w:gridCol w:w="729"/>
        <w:gridCol w:w="419"/>
      </w:tblGrid>
      <w:tr w14:paraId="5AAFF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vAlign w:val="center"/>
          </w:tcPr>
          <w:p w14:paraId="3F360803">
            <w:pPr>
              <w:rPr>
                <w:rFonts w:ascii="宋体" w:hAnsi="宋体" w:eastAsia="宋体" w:cs="宋体"/>
                <w:sz w:val="24"/>
                <w:szCs w:val="24"/>
                <w:highlight w:val="none"/>
              </w:rPr>
            </w:pPr>
            <w:r>
              <w:rPr>
                <w:rFonts w:hint="eastAsia" w:ascii="宋体" w:hAnsi="宋体" w:eastAsia="宋体" w:cs="宋体"/>
                <w:sz w:val="24"/>
                <w:szCs w:val="24"/>
                <w:highlight w:val="none"/>
              </w:rPr>
              <w:t>序号</w:t>
            </w:r>
          </w:p>
        </w:tc>
        <w:tc>
          <w:tcPr>
            <w:tcW w:w="434" w:type="pct"/>
            <w:vAlign w:val="center"/>
          </w:tcPr>
          <w:p w14:paraId="68553E40">
            <w:pPr>
              <w:rPr>
                <w:rFonts w:ascii="宋体" w:hAnsi="宋体" w:eastAsia="宋体" w:cs="宋体"/>
                <w:sz w:val="24"/>
                <w:szCs w:val="24"/>
                <w:highlight w:val="none"/>
              </w:rPr>
            </w:pPr>
            <w:r>
              <w:rPr>
                <w:rFonts w:hint="eastAsia" w:ascii="宋体" w:hAnsi="宋体" w:eastAsia="宋体" w:cs="宋体"/>
                <w:sz w:val="24"/>
                <w:szCs w:val="24"/>
                <w:highlight w:val="none"/>
              </w:rPr>
              <w:t>货物名称</w:t>
            </w:r>
          </w:p>
        </w:tc>
        <w:tc>
          <w:tcPr>
            <w:tcW w:w="3016" w:type="pct"/>
            <w:vAlign w:val="center"/>
          </w:tcPr>
          <w:p w14:paraId="24276E30">
            <w:pPr>
              <w:rPr>
                <w:rFonts w:ascii="宋体" w:hAnsi="宋体" w:eastAsia="宋体" w:cs="宋体"/>
                <w:sz w:val="24"/>
                <w:szCs w:val="24"/>
                <w:highlight w:val="none"/>
              </w:rPr>
            </w:pPr>
            <w:r>
              <w:rPr>
                <w:rFonts w:hint="eastAsia" w:ascii="宋体" w:hAnsi="宋体" w:eastAsia="宋体" w:cs="宋体"/>
                <w:sz w:val="24"/>
                <w:szCs w:val="24"/>
                <w:highlight w:val="none"/>
              </w:rPr>
              <w:t>技术参数及要求</w:t>
            </w:r>
          </w:p>
        </w:tc>
        <w:tc>
          <w:tcPr>
            <w:tcW w:w="339" w:type="pct"/>
            <w:vAlign w:val="center"/>
          </w:tcPr>
          <w:p w14:paraId="72960BDB">
            <w:pPr>
              <w:rPr>
                <w:rFonts w:ascii="宋体" w:hAnsi="宋体" w:eastAsia="宋体" w:cs="宋体"/>
                <w:sz w:val="24"/>
                <w:szCs w:val="24"/>
                <w:highlight w:val="none"/>
              </w:rPr>
            </w:pPr>
            <w:r>
              <w:rPr>
                <w:rFonts w:hint="eastAsia" w:ascii="宋体" w:hAnsi="宋体" w:eastAsia="宋体" w:cs="宋体"/>
                <w:sz w:val="24"/>
                <w:szCs w:val="24"/>
                <w:highlight w:val="none"/>
              </w:rPr>
              <w:t>数量</w:t>
            </w:r>
          </w:p>
        </w:tc>
        <w:tc>
          <w:tcPr>
            <w:tcW w:w="225" w:type="pct"/>
            <w:vAlign w:val="center"/>
          </w:tcPr>
          <w:p w14:paraId="61BE14F1">
            <w:pPr>
              <w:rPr>
                <w:rFonts w:ascii="宋体" w:hAnsi="宋体" w:eastAsia="宋体" w:cs="宋体"/>
                <w:sz w:val="24"/>
                <w:szCs w:val="24"/>
                <w:highlight w:val="none"/>
              </w:rPr>
            </w:pPr>
            <w:r>
              <w:rPr>
                <w:rFonts w:hint="eastAsia" w:ascii="宋体" w:hAnsi="宋体" w:eastAsia="宋体" w:cs="宋体"/>
                <w:sz w:val="24"/>
                <w:szCs w:val="24"/>
                <w:highlight w:val="none"/>
              </w:rPr>
              <w:t>单位</w:t>
            </w:r>
          </w:p>
        </w:tc>
        <w:tc>
          <w:tcPr>
            <w:tcW w:w="427" w:type="pct"/>
            <w:vAlign w:val="center"/>
          </w:tcPr>
          <w:p w14:paraId="52144EDD">
            <w:pPr>
              <w:rPr>
                <w:rFonts w:ascii="宋体" w:hAnsi="宋体" w:eastAsia="宋体" w:cs="宋体"/>
                <w:sz w:val="24"/>
                <w:szCs w:val="24"/>
                <w:highlight w:val="none"/>
              </w:rPr>
            </w:pPr>
            <w:r>
              <w:rPr>
                <w:rFonts w:hint="eastAsia" w:ascii="宋体" w:hAnsi="宋体" w:eastAsia="宋体" w:cs="宋体"/>
                <w:sz w:val="24"/>
                <w:szCs w:val="24"/>
                <w:highlight w:val="none"/>
              </w:rPr>
              <w:t>所属</w:t>
            </w:r>
          </w:p>
          <w:p w14:paraId="760AFD6B">
            <w:pPr>
              <w:rPr>
                <w:rFonts w:ascii="宋体" w:hAnsi="宋体" w:eastAsia="宋体" w:cs="宋体"/>
                <w:sz w:val="24"/>
                <w:szCs w:val="24"/>
                <w:highlight w:val="none"/>
              </w:rPr>
            </w:pPr>
            <w:r>
              <w:rPr>
                <w:rFonts w:hint="eastAsia" w:ascii="宋体" w:hAnsi="宋体" w:eastAsia="宋体" w:cs="宋体"/>
                <w:sz w:val="24"/>
                <w:szCs w:val="24"/>
                <w:highlight w:val="none"/>
              </w:rPr>
              <w:t>行业</w:t>
            </w:r>
          </w:p>
        </w:tc>
        <w:tc>
          <w:tcPr>
            <w:tcW w:w="245" w:type="pct"/>
            <w:vAlign w:val="center"/>
          </w:tcPr>
          <w:p w14:paraId="536C6BF8">
            <w:pPr>
              <w:rPr>
                <w:rFonts w:ascii="宋体" w:hAnsi="宋体" w:eastAsia="宋体" w:cs="宋体"/>
                <w:sz w:val="24"/>
                <w:szCs w:val="24"/>
                <w:highlight w:val="none"/>
              </w:rPr>
            </w:pPr>
            <w:r>
              <w:rPr>
                <w:rFonts w:hint="eastAsia" w:ascii="宋体" w:hAnsi="宋体" w:eastAsia="宋体" w:cs="宋体"/>
                <w:sz w:val="24"/>
                <w:szCs w:val="24"/>
                <w:highlight w:val="none"/>
              </w:rPr>
              <w:t>备注</w:t>
            </w:r>
          </w:p>
        </w:tc>
      </w:tr>
      <w:tr w14:paraId="5A808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309" w:type="pct"/>
            <w:shd w:val="clear" w:color="auto" w:fill="auto"/>
            <w:vAlign w:val="center"/>
          </w:tcPr>
          <w:p w14:paraId="72599FD8">
            <w:pPr>
              <w:widowControl/>
              <w:jc w:val="center"/>
              <w:textAlignment w:val="center"/>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1</w:t>
            </w:r>
          </w:p>
        </w:tc>
        <w:tc>
          <w:tcPr>
            <w:tcW w:w="434" w:type="pct"/>
            <w:shd w:val="clear" w:color="auto" w:fill="auto"/>
            <w:vAlign w:val="center"/>
          </w:tcPr>
          <w:p w14:paraId="0554734D">
            <w:pPr>
              <w:rPr>
                <w:rFonts w:ascii="宋体" w:hAnsi="宋体" w:eastAsia="宋体" w:cs="宋体"/>
                <w:sz w:val="24"/>
                <w:szCs w:val="24"/>
                <w:highlight w:val="none"/>
              </w:rPr>
            </w:pPr>
            <w:r>
              <w:rPr>
                <w:rFonts w:hint="eastAsia" w:ascii="宋体" w:hAnsi="宋体" w:eastAsia="宋体" w:cs="宋体"/>
                <w:sz w:val="24"/>
                <w:szCs w:val="24"/>
                <w:highlight w:val="none"/>
              </w:rPr>
              <w:t>▲400万像素枪型摄像机</w:t>
            </w:r>
          </w:p>
          <w:p w14:paraId="18D6A309">
            <w:pPr>
              <w:rPr>
                <w:rFonts w:ascii="宋体" w:hAnsi="宋体" w:eastAsia="宋体" w:cs="宋体"/>
                <w:sz w:val="24"/>
                <w:szCs w:val="24"/>
                <w:highlight w:val="none"/>
              </w:rPr>
            </w:pPr>
          </w:p>
        </w:tc>
        <w:tc>
          <w:tcPr>
            <w:tcW w:w="3016" w:type="pct"/>
            <w:shd w:val="clear" w:color="auto" w:fill="auto"/>
            <w:vAlign w:val="center"/>
          </w:tcPr>
          <w:p w14:paraId="722F7D33">
            <w:pPr>
              <w:rPr>
                <w:rFonts w:ascii="宋体" w:hAnsi="宋体" w:eastAsia="宋体" w:cs="宋体"/>
                <w:sz w:val="24"/>
                <w:szCs w:val="24"/>
                <w:highlight w:val="none"/>
              </w:rPr>
            </w:pPr>
            <w:r>
              <w:rPr>
                <w:rFonts w:ascii="宋体" w:hAnsi="宋体" w:eastAsia="宋体" w:cs="宋体"/>
                <w:sz w:val="24"/>
                <w:szCs w:val="24"/>
                <w:highlight w:val="none"/>
              </w:rPr>
              <w:t>★1、主码流可达到2688x1520@25fps。（</w:t>
            </w:r>
            <w:r>
              <w:rPr>
                <w:rFonts w:ascii="宋体" w:hAnsi="宋体" w:eastAsia="宋体" w:cs="宋体"/>
                <w:b/>
                <w:bCs/>
                <w:sz w:val="24"/>
                <w:szCs w:val="24"/>
                <w:highlight w:val="none"/>
              </w:rPr>
              <w:t>须提供具有 CMA或 CNAS标识的第三方</w:t>
            </w:r>
            <w:r>
              <w:rPr>
                <w:rFonts w:hint="eastAsia" w:ascii="宋体" w:hAnsi="宋体" w:eastAsia="宋体" w:cs="宋体"/>
                <w:b/>
                <w:bCs/>
                <w:sz w:val="24"/>
                <w:szCs w:val="24"/>
                <w:highlight w:val="none"/>
              </w:rPr>
              <w:t>有权</w:t>
            </w:r>
            <w:r>
              <w:rPr>
                <w:rFonts w:hint="eastAsia" w:ascii="宋体" w:hAnsi="宋体" w:eastAsia="宋体" w:cs="宋体"/>
                <w:b/>
                <w:bCs/>
                <w:sz w:val="24"/>
                <w:szCs w:val="24"/>
                <w:highlight w:val="none"/>
                <w:lang w:val="en-US" w:eastAsia="zh-CN"/>
              </w:rPr>
              <w:t>机构出具的</w:t>
            </w:r>
            <w:r>
              <w:rPr>
                <w:rFonts w:ascii="宋体" w:hAnsi="宋体" w:eastAsia="宋体" w:cs="宋体"/>
                <w:b/>
                <w:bCs/>
                <w:sz w:val="24"/>
                <w:szCs w:val="24"/>
                <w:highlight w:val="none"/>
              </w:rPr>
              <w:t>检验报告</w:t>
            </w:r>
            <w:r>
              <w:rPr>
                <w:rFonts w:ascii="宋体" w:hAnsi="宋体" w:eastAsia="宋体" w:cs="宋体"/>
                <w:sz w:val="24"/>
                <w:szCs w:val="24"/>
                <w:highlight w:val="none"/>
              </w:rPr>
              <w:t>）</w:t>
            </w:r>
          </w:p>
          <w:p w14:paraId="5D891644">
            <w:pPr>
              <w:rPr>
                <w:rFonts w:ascii="宋体" w:hAnsi="宋体" w:eastAsia="宋体" w:cs="宋体"/>
                <w:sz w:val="24"/>
                <w:szCs w:val="24"/>
                <w:highlight w:val="none"/>
              </w:rPr>
            </w:pPr>
            <w:r>
              <w:rPr>
                <w:rFonts w:ascii="宋体" w:hAnsi="宋体" w:eastAsia="宋体" w:cs="宋体"/>
                <w:sz w:val="24"/>
                <w:szCs w:val="24"/>
                <w:highlight w:val="none"/>
              </w:rPr>
              <w:t>2、事件</w:t>
            </w:r>
            <w:r>
              <w:rPr>
                <w:rFonts w:hint="eastAsia" w:ascii="宋体" w:hAnsi="宋体" w:eastAsia="宋体" w:cs="宋体"/>
                <w:sz w:val="24"/>
                <w:szCs w:val="24"/>
                <w:highlight w:val="none"/>
              </w:rPr>
              <w:t>智能侦</w:t>
            </w:r>
            <w:r>
              <w:rPr>
                <w:rFonts w:ascii="宋体" w:hAnsi="宋体" w:eastAsia="宋体" w:cs="宋体"/>
                <w:sz w:val="24"/>
                <w:szCs w:val="24"/>
                <w:highlight w:val="none"/>
              </w:rPr>
              <w:t>测：场景变更侦测，区域入侵侦测，越界侦测，进入区域侦测，离开区域侦测，物品遗留侦测，物品拿取侦测，徘徊侦测，停车侦测，人员聚集侦测，快速移动侦测；音频异常侦测，音频陡升侦测，音频陡降侦测。</w:t>
            </w:r>
          </w:p>
          <w:p w14:paraId="3F52C958">
            <w:pPr>
              <w:rPr>
                <w:rFonts w:ascii="宋体" w:hAnsi="宋体" w:eastAsia="宋体" w:cs="宋体"/>
                <w:sz w:val="24"/>
                <w:szCs w:val="24"/>
                <w:highlight w:val="none"/>
              </w:rPr>
            </w:pPr>
            <w:r>
              <w:rPr>
                <w:rFonts w:ascii="宋体" w:hAnsi="宋体" w:eastAsia="宋体" w:cs="宋体"/>
                <w:sz w:val="24"/>
                <w:szCs w:val="24"/>
                <w:highlight w:val="none"/>
              </w:rPr>
              <w:t>3、支持背光补偿，强光抑制，3D数字降噪，120 dB宽动态适应不同环境。</w:t>
            </w:r>
          </w:p>
          <w:p w14:paraId="7E768ECF">
            <w:pPr>
              <w:rPr>
                <w:rFonts w:ascii="宋体" w:hAnsi="宋体" w:eastAsia="宋体" w:cs="宋体"/>
                <w:sz w:val="24"/>
                <w:szCs w:val="24"/>
                <w:highlight w:val="none"/>
              </w:rPr>
            </w:pPr>
            <w:r>
              <w:rPr>
                <w:rFonts w:ascii="宋体" w:hAnsi="宋体" w:eastAsia="宋体" w:cs="宋体"/>
                <w:sz w:val="24"/>
                <w:szCs w:val="24"/>
                <w:highlight w:val="none"/>
              </w:rPr>
              <w:t>4、不少于</w:t>
            </w:r>
            <w:r>
              <w:rPr>
                <w:rFonts w:hint="eastAsia" w:ascii="宋体" w:hAnsi="宋体" w:eastAsia="宋体" w:cs="宋体"/>
                <w:sz w:val="24"/>
                <w:szCs w:val="24"/>
                <w:highlight w:val="none"/>
              </w:rPr>
              <w:t>1</w:t>
            </w:r>
            <w:r>
              <w:rPr>
                <w:rFonts w:ascii="宋体" w:hAnsi="宋体" w:eastAsia="宋体" w:cs="宋体"/>
                <w:sz w:val="24"/>
                <w:szCs w:val="24"/>
                <w:highlight w:val="none"/>
              </w:rPr>
              <w:t>个内置麦克风，1路报警输入，1路报警输出（报警输出最大支持DC12 V，30 mA），1路音频输入，1路音频输出，1个RJ45 10 M/100 M自适应以太网口。</w:t>
            </w:r>
          </w:p>
          <w:p w14:paraId="1028BC7B">
            <w:pPr>
              <w:rPr>
                <w:rFonts w:ascii="宋体" w:hAnsi="宋体" w:eastAsia="宋体" w:cs="宋体"/>
                <w:sz w:val="24"/>
                <w:szCs w:val="24"/>
                <w:highlight w:val="none"/>
              </w:rPr>
            </w:pPr>
            <w:r>
              <w:rPr>
                <w:rFonts w:ascii="宋体" w:hAnsi="宋体" w:eastAsia="宋体" w:cs="宋体"/>
                <w:sz w:val="24"/>
                <w:szCs w:val="24"/>
                <w:highlight w:val="none"/>
              </w:rPr>
              <w:t>5、采用高效阵列红外灯，红外照射距离最远可达50 m。</w:t>
            </w:r>
          </w:p>
          <w:p w14:paraId="7BED2609">
            <w:pPr>
              <w:rPr>
                <w:rFonts w:ascii="宋体" w:hAnsi="宋体" w:eastAsia="宋体" w:cs="宋体"/>
                <w:sz w:val="24"/>
                <w:szCs w:val="24"/>
                <w:highlight w:val="none"/>
              </w:rPr>
            </w:pPr>
            <w:r>
              <w:rPr>
                <w:rFonts w:ascii="宋体" w:hAnsi="宋体" w:eastAsia="宋体" w:cs="宋体"/>
                <w:sz w:val="24"/>
                <w:szCs w:val="24"/>
                <w:highlight w:val="none"/>
              </w:rPr>
              <w:t>6、符合IP66防尘防水设计</w:t>
            </w:r>
          </w:p>
          <w:p w14:paraId="1A9EC0BD">
            <w:pPr>
              <w:rPr>
                <w:rFonts w:ascii="宋体" w:hAnsi="宋体" w:eastAsia="宋体" w:cs="宋体"/>
                <w:sz w:val="24"/>
                <w:szCs w:val="24"/>
                <w:highlight w:val="none"/>
              </w:rPr>
            </w:pPr>
            <w:r>
              <w:rPr>
                <w:rFonts w:ascii="宋体" w:hAnsi="宋体" w:eastAsia="宋体" w:cs="宋体"/>
                <w:sz w:val="24"/>
                <w:szCs w:val="24"/>
                <w:highlight w:val="none"/>
              </w:rPr>
              <w:t>7、视频压缩标准应支持H.265/H.264。</w:t>
            </w:r>
          </w:p>
          <w:p w14:paraId="27EE4FCB">
            <w:pPr>
              <w:rPr>
                <w:rFonts w:ascii="宋体" w:hAnsi="宋体" w:eastAsia="宋体" w:cs="宋体"/>
                <w:sz w:val="24"/>
                <w:szCs w:val="24"/>
                <w:highlight w:val="none"/>
              </w:rPr>
            </w:pPr>
            <w:r>
              <w:rPr>
                <w:rFonts w:ascii="宋体" w:hAnsi="宋体" w:eastAsia="宋体" w:cs="宋体"/>
                <w:sz w:val="24"/>
                <w:szCs w:val="24"/>
                <w:highlight w:val="none"/>
              </w:rPr>
              <w:t>8、启动和工作温湿度：-30 ℃~60 ℃，湿度小于95%（无凝结）。</w:t>
            </w:r>
          </w:p>
          <w:p w14:paraId="55944139">
            <w:pPr>
              <w:rPr>
                <w:rFonts w:ascii="宋体" w:hAnsi="宋体" w:eastAsia="宋体" w:cs="宋体"/>
                <w:sz w:val="24"/>
                <w:szCs w:val="24"/>
                <w:highlight w:val="none"/>
              </w:rPr>
            </w:pPr>
            <w:r>
              <w:rPr>
                <w:rFonts w:ascii="宋体" w:hAnsi="宋体" w:eastAsia="宋体" w:cs="宋体"/>
                <w:sz w:val="24"/>
                <w:szCs w:val="24"/>
                <w:highlight w:val="none"/>
              </w:rPr>
              <w:t>★9、需支持DC12V供电，且在不小于DC12V±30%范围内变化时可以正常工作。（</w:t>
            </w:r>
            <w:r>
              <w:rPr>
                <w:rFonts w:ascii="宋体" w:hAnsi="宋体" w:eastAsia="宋体" w:cs="宋体"/>
                <w:b/>
                <w:bCs/>
                <w:sz w:val="24"/>
                <w:szCs w:val="24"/>
                <w:highlight w:val="none"/>
              </w:rPr>
              <w:t>须提供具有 CMA或 CNAS标识的第三方</w:t>
            </w:r>
            <w:r>
              <w:rPr>
                <w:rFonts w:hint="eastAsia" w:ascii="宋体" w:hAnsi="宋体" w:eastAsia="宋体" w:cs="宋体"/>
                <w:b/>
                <w:bCs/>
                <w:sz w:val="24"/>
                <w:szCs w:val="24"/>
                <w:highlight w:val="none"/>
              </w:rPr>
              <w:t>有权</w:t>
            </w:r>
            <w:r>
              <w:rPr>
                <w:rFonts w:hint="eastAsia" w:ascii="宋体" w:hAnsi="宋体" w:eastAsia="宋体" w:cs="宋体"/>
                <w:b/>
                <w:bCs/>
                <w:sz w:val="24"/>
                <w:szCs w:val="24"/>
                <w:highlight w:val="none"/>
                <w:lang w:val="en-US" w:eastAsia="zh-CN"/>
              </w:rPr>
              <w:t>机构出具的</w:t>
            </w:r>
            <w:r>
              <w:rPr>
                <w:rFonts w:ascii="宋体" w:hAnsi="宋体" w:eastAsia="宋体" w:cs="宋体"/>
                <w:b/>
                <w:bCs/>
                <w:sz w:val="24"/>
                <w:szCs w:val="24"/>
                <w:highlight w:val="none"/>
              </w:rPr>
              <w:t>检验报告</w:t>
            </w:r>
            <w:r>
              <w:rPr>
                <w:rFonts w:ascii="宋体" w:hAnsi="宋体" w:eastAsia="宋体" w:cs="宋体"/>
                <w:sz w:val="24"/>
                <w:szCs w:val="24"/>
                <w:highlight w:val="none"/>
              </w:rPr>
              <w:t>）</w:t>
            </w:r>
          </w:p>
        </w:tc>
        <w:tc>
          <w:tcPr>
            <w:tcW w:w="339" w:type="pct"/>
            <w:shd w:val="clear" w:color="auto" w:fill="auto"/>
            <w:vAlign w:val="center"/>
          </w:tcPr>
          <w:p w14:paraId="44A171F0">
            <w:pPr>
              <w:rPr>
                <w:rFonts w:ascii="宋体" w:hAnsi="宋体" w:eastAsia="宋体" w:cs="宋体"/>
                <w:sz w:val="24"/>
                <w:szCs w:val="24"/>
                <w:highlight w:val="none"/>
              </w:rPr>
            </w:pPr>
            <w:r>
              <w:rPr>
                <w:rFonts w:hint="eastAsia" w:ascii="宋体" w:hAnsi="宋体" w:eastAsia="宋体" w:cs="宋体"/>
                <w:sz w:val="24"/>
                <w:szCs w:val="24"/>
                <w:highlight w:val="none"/>
              </w:rPr>
              <w:t>960</w:t>
            </w:r>
          </w:p>
        </w:tc>
        <w:tc>
          <w:tcPr>
            <w:tcW w:w="225" w:type="pct"/>
            <w:shd w:val="clear" w:color="auto" w:fill="auto"/>
            <w:vAlign w:val="center"/>
          </w:tcPr>
          <w:p w14:paraId="6912F2FC">
            <w:pPr>
              <w:rPr>
                <w:rFonts w:ascii="宋体" w:hAnsi="宋体" w:eastAsia="宋体" w:cs="宋体"/>
                <w:sz w:val="24"/>
                <w:szCs w:val="24"/>
                <w:highlight w:val="none"/>
              </w:rPr>
            </w:pPr>
            <w:r>
              <w:rPr>
                <w:rFonts w:hint="eastAsia" w:ascii="宋体" w:hAnsi="宋体" w:eastAsia="宋体" w:cs="宋体"/>
                <w:sz w:val="24"/>
                <w:szCs w:val="24"/>
                <w:highlight w:val="none"/>
              </w:rPr>
              <w:t>台</w:t>
            </w:r>
          </w:p>
        </w:tc>
        <w:tc>
          <w:tcPr>
            <w:tcW w:w="427" w:type="pct"/>
            <w:vAlign w:val="center"/>
          </w:tcPr>
          <w:p w14:paraId="5D0C4E6C">
            <w:pPr>
              <w:rPr>
                <w:rFonts w:ascii="宋体" w:hAnsi="宋体" w:eastAsia="宋体" w:cs="宋体"/>
                <w:sz w:val="24"/>
                <w:szCs w:val="24"/>
                <w:highlight w:val="none"/>
              </w:rPr>
            </w:pPr>
            <w:r>
              <w:rPr>
                <w:rFonts w:hint="eastAsia" w:ascii="宋体" w:hAnsi="宋体" w:eastAsia="宋体" w:cs="宋体"/>
                <w:sz w:val="24"/>
                <w:szCs w:val="24"/>
                <w:highlight w:val="none"/>
              </w:rPr>
              <w:t>工业</w:t>
            </w:r>
          </w:p>
        </w:tc>
        <w:tc>
          <w:tcPr>
            <w:tcW w:w="245" w:type="pct"/>
            <w:vAlign w:val="center"/>
          </w:tcPr>
          <w:p w14:paraId="4CFCFAFE">
            <w:pPr>
              <w:rPr>
                <w:rFonts w:ascii="宋体" w:hAnsi="宋体" w:eastAsia="宋体" w:cs="宋体"/>
                <w:sz w:val="24"/>
                <w:szCs w:val="24"/>
                <w:highlight w:val="none"/>
              </w:rPr>
            </w:pPr>
          </w:p>
        </w:tc>
      </w:tr>
      <w:tr w14:paraId="7AF18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shd w:val="clear" w:color="auto" w:fill="auto"/>
            <w:vAlign w:val="center"/>
          </w:tcPr>
          <w:p w14:paraId="37582853">
            <w:pPr>
              <w:widowControl/>
              <w:jc w:val="center"/>
              <w:textAlignment w:val="center"/>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2</w:t>
            </w:r>
          </w:p>
        </w:tc>
        <w:tc>
          <w:tcPr>
            <w:tcW w:w="434" w:type="pct"/>
            <w:shd w:val="clear" w:color="auto" w:fill="auto"/>
            <w:vAlign w:val="center"/>
          </w:tcPr>
          <w:p w14:paraId="2A661F39">
            <w:pPr>
              <w:rPr>
                <w:rFonts w:ascii="宋体" w:hAnsi="宋体" w:eastAsia="宋体" w:cs="宋体"/>
                <w:sz w:val="24"/>
                <w:szCs w:val="24"/>
                <w:highlight w:val="none"/>
                <w:lang w:eastAsia="en-US"/>
              </w:rPr>
            </w:pPr>
            <w:r>
              <w:rPr>
                <w:rFonts w:hint="eastAsia" w:ascii="宋体" w:hAnsi="宋体" w:eastAsia="宋体" w:cs="宋体"/>
                <w:sz w:val="24"/>
                <w:szCs w:val="24"/>
                <w:highlight w:val="none"/>
                <w:lang w:eastAsia="en-US"/>
              </w:rPr>
              <w:t>摄像头支架</w:t>
            </w:r>
          </w:p>
        </w:tc>
        <w:tc>
          <w:tcPr>
            <w:tcW w:w="3016" w:type="pct"/>
            <w:shd w:val="clear" w:color="auto" w:fill="auto"/>
            <w:vAlign w:val="center"/>
          </w:tcPr>
          <w:p w14:paraId="2117DC03">
            <w:pPr>
              <w:rPr>
                <w:rFonts w:ascii="宋体" w:hAnsi="宋体" w:eastAsia="宋体" w:cs="宋体"/>
                <w:sz w:val="24"/>
                <w:szCs w:val="24"/>
                <w:highlight w:val="none"/>
              </w:rPr>
            </w:pPr>
            <w:r>
              <w:rPr>
                <w:rFonts w:hint="eastAsia" w:ascii="宋体" w:hAnsi="宋体" w:eastAsia="宋体" w:cs="宋体"/>
                <w:sz w:val="24"/>
                <w:szCs w:val="24"/>
                <w:highlight w:val="none"/>
              </w:rPr>
              <w:t>1.壁装支架</w:t>
            </w:r>
          </w:p>
          <w:p w14:paraId="3704A9F4">
            <w:pPr>
              <w:rPr>
                <w:rFonts w:ascii="宋体" w:hAnsi="宋体" w:eastAsia="宋体" w:cs="宋体"/>
                <w:sz w:val="24"/>
                <w:szCs w:val="24"/>
                <w:highlight w:val="none"/>
              </w:rPr>
            </w:pPr>
            <w:r>
              <w:rPr>
                <w:rFonts w:hint="eastAsia" w:ascii="宋体" w:hAnsi="宋体" w:eastAsia="宋体" w:cs="宋体"/>
                <w:sz w:val="24"/>
                <w:szCs w:val="24"/>
                <w:highlight w:val="none"/>
              </w:rPr>
              <w:t>2.适用范围：适合枪型、一体型摄像机壁装</w:t>
            </w:r>
          </w:p>
          <w:p w14:paraId="7552511F">
            <w:pPr>
              <w:rPr>
                <w:rFonts w:ascii="宋体" w:hAnsi="宋体" w:eastAsia="宋体" w:cs="宋体"/>
                <w:sz w:val="24"/>
                <w:szCs w:val="24"/>
                <w:highlight w:val="none"/>
                <w:lang w:eastAsia="en-US"/>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en-US"/>
              </w:rPr>
              <w:t>材料</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en-US"/>
              </w:rPr>
              <w:t>铝合金</w:t>
            </w:r>
          </w:p>
        </w:tc>
        <w:tc>
          <w:tcPr>
            <w:tcW w:w="339" w:type="pct"/>
            <w:shd w:val="clear" w:color="auto" w:fill="auto"/>
            <w:vAlign w:val="center"/>
          </w:tcPr>
          <w:p w14:paraId="0CDD0BC9">
            <w:pPr>
              <w:rPr>
                <w:rFonts w:ascii="宋体" w:hAnsi="宋体" w:eastAsia="宋体" w:cs="宋体"/>
                <w:sz w:val="24"/>
                <w:szCs w:val="24"/>
                <w:highlight w:val="none"/>
              </w:rPr>
            </w:pPr>
            <w:r>
              <w:rPr>
                <w:rFonts w:hint="eastAsia" w:ascii="宋体" w:hAnsi="宋体" w:eastAsia="宋体" w:cs="宋体"/>
                <w:sz w:val="24"/>
                <w:szCs w:val="24"/>
                <w:highlight w:val="none"/>
              </w:rPr>
              <w:t>960</w:t>
            </w:r>
          </w:p>
        </w:tc>
        <w:tc>
          <w:tcPr>
            <w:tcW w:w="225" w:type="pct"/>
            <w:shd w:val="clear" w:color="auto" w:fill="auto"/>
            <w:vAlign w:val="center"/>
          </w:tcPr>
          <w:p w14:paraId="074ACDB7">
            <w:pPr>
              <w:rPr>
                <w:rFonts w:ascii="宋体" w:hAnsi="宋体" w:eastAsia="宋体" w:cs="宋体"/>
                <w:sz w:val="24"/>
                <w:szCs w:val="24"/>
                <w:highlight w:val="none"/>
              </w:rPr>
            </w:pPr>
            <w:r>
              <w:rPr>
                <w:rFonts w:hint="eastAsia" w:ascii="宋体" w:hAnsi="宋体" w:eastAsia="宋体" w:cs="宋体"/>
                <w:sz w:val="24"/>
                <w:szCs w:val="24"/>
                <w:highlight w:val="none"/>
              </w:rPr>
              <w:t>个</w:t>
            </w:r>
          </w:p>
        </w:tc>
        <w:tc>
          <w:tcPr>
            <w:tcW w:w="427" w:type="pct"/>
            <w:vAlign w:val="center"/>
          </w:tcPr>
          <w:p w14:paraId="43DD7E6D">
            <w:pPr>
              <w:rPr>
                <w:rFonts w:ascii="宋体" w:hAnsi="宋体" w:eastAsia="宋体" w:cs="宋体"/>
                <w:sz w:val="24"/>
                <w:szCs w:val="24"/>
                <w:highlight w:val="none"/>
              </w:rPr>
            </w:pPr>
            <w:r>
              <w:rPr>
                <w:rFonts w:hint="eastAsia" w:ascii="宋体" w:hAnsi="宋体" w:eastAsia="宋体" w:cs="宋体"/>
                <w:sz w:val="24"/>
                <w:szCs w:val="24"/>
                <w:highlight w:val="none"/>
              </w:rPr>
              <w:t>工业</w:t>
            </w:r>
          </w:p>
        </w:tc>
        <w:tc>
          <w:tcPr>
            <w:tcW w:w="245" w:type="pct"/>
            <w:vAlign w:val="center"/>
          </w:tcPr>
          <w:p w14:paraId="23A508EA">
            <w:pPr>
              <w:rPr>
                <w:rFonts w:ascii="宋体" w:hAnsi="宋体" w:eastAsia="宋体" w:cs="宋体"/>
                <w:sz w:val="24"/>
                <w:szCs w:val="24"/>
                <w:highlight w:val="none"/>
              </w:rPr>
            </w:pPr>
          </w:p>
        </w:tc>
      </w:tr>
      <w:tr w14:paraId="71647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09" w:type="pct"/>
            <w:shd w:val="clear" w:color="auto" w:fill="auto"/>
            <w:vAlign w:val="center"/>
          </w:tcPr>
          <w:p w14:paraId="76EED210">
            <w:pPr>
              <w:widowControl/>
              <w:jc w:val="center"/>
              <w:textAlignment w:val="center"/>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3</w:t>
            </w:r>
          </w:p>
        </w:tc>
        <w:tc>
          <w:tcPr>
            <w:tcW w:w="434" w:type="pct"/>
            <w:shd w:val="clear" w:color="auto" w:fill="auto"/>
            <w:vAlign w:val="center"/>
          </w:tcPr>
          <w:p w14:paraId="65D14D47">
            <w:pPr>
              <w:rPr>
                <w:rFonts w:ascii="宋体" w:hAnsi="宋体" w:eastAsia="宋体" w:cs="宋体"/>
                <w:sz w:val="24"/>
                <w:szCs w:val="24"/>
                <w:highlight w:val="none"/>
                <w:lang w:eastAsia="en-US"/>
              </w:rPr>
            </w:pPr>
            <w:r>
              <w:rPr>
                <w:rFonts w:hint="eastAsia" w:ascii="宋体" w:hAnsi="宋体" w:eastAsia="宋体" w:cs="宋体"/>
                <w:sz w:val="24"/>
                <w:szCs w:val="24"/>
                <w:highlight w:val="none"/>
                <w:lang w:eastAsia="en-US"/>
              </w:rPr>
              <w:t>电源适配器</w:t>
            </w:r>
          </w:p>
        </w:tc>
        <w:tc>
          <w:tcPr>
            <w:tcW w:w="3016" w:type="pct"/>
            <w:shd w:val="clear" w:color="auto" w:fill="auto"/>
            <w:vAlign w:val="center"/>
          </w:tcPr>
          <w:p w14:paraId="3F049A1A">
            <w:pPr>
              <w:rPr>
                <w:rFonts w:ascii="宋体" w:hAnsi="宋体" w:eastAsia="宋体" w:cs="宋体"/>
                <w:sz w:val="24"/>
                <w:szCs w:val="24"/>
                <w:highlight w:val="none"/>
              </w:rPr>
            </w:pPr>
            <w:r>
              <w:rPr>
                <w:rFonts w:hint="eastAsia" w:ascii="宋体" w:hAnsi="宋体" w:eastAsia="宋体" w:cs="宋体"/>
                <w:sz w:val="24"/>
                <w:szCs w:val="24"/>
                <w:highlight w:val="none"/>
              </w:rPr>
              <w:t>国标,不小于12V1A输出,</w:t>
            </w:r>
            <w:r>
              <w:rPr>
                <w:rFonts w:hint="eastAsia" w:ascii="宋体" w:hAnsi="宋体" w:eastAsia="宋体" w:cs="宋体"/>
                <w:sz w:val="24"/>
                <w:szCs w:val="24"/>
                <w:highlight w:val="none"/>
                <w:lang w:eastAsia="en-US"/>
              </w:rPr>
              <w:t>Φ</w:t>
            </w:r>
            <w:r>
              <w:rPr>
                <w:rFonts w:hint="eastAsia" w:ascii="宋体" w:hAnsi="宋体" w:eastAsia="宋体" w:cs="宋体"/>
                <w:sz w:val="24"/>
                <w:szCs w:val="24"/>
                <w:highlight w:val="none"/>
              </w:rPr>
              <w:t>2.1圆头</w:t>
            </w:r>
          </w:p>
          <w:p w14:paraId="2B9B8704">
            <w:pPr>
              <w:rPr>
                <w:rFonts w:ascii="宋体" w:hAnsi="宋体" w:eastAsia="宋体" w:cs="宋体"/>
                <w:sz w:val="24"/>
                <w:szCs w:val="24"/>
                <w:highlight w:val="none"/>
                <w:lang w:eastAsia="en-US"/>
              </w:rPr>
            </w:pPr>
            <w:r>
              <w:rPr>
                <w:rFonts w:hint="eastAsia" w:ascii="宋体" w:hAnsi="宋体" w:eastAsia="宋体" w:cs="宋体"/>
                <w:sz w:val="24"/>
                <w:szCs w:val="24"/>
                <w:highlight w:val="none"/>
                <w:lang w:eastAsia="en-US"/>
              </w:rPr>
              <w:t>输入电压：AC170V~240V</w:t>
            </w:r>
          </w:p>
        </w:tc>
        <w:tc>
          <w:tcPr>
            <w:tcW w:w="339" w:type="pct"/>
            <w:shd w:val="clear" w:color="auto" w:fill="auto"/>
            <w:vAlign w:val="center"/>
          </w:tcPr>
          <w:p w14:paraId="116F14EE">
            <w:pPr>
              <w:rPr>
                <w:rFonts w:ascii="宋体" w:hAnsi="宋体" w:eastAsia="宋体" w:cs="宋体"/>
                <w:sz w:val="24"/>
                <w:szCs w:val="24"/>
                <w:highlight w:val="none"/>
              </w:rPr>
            </w:pPr>
            <w:r>
              <w:rPr>
                <w:rFonts w:hint="eastAsia" w:ascii="宋体" w:hAnsi="宋体" w:eastAsia="宋体" w:cs="宋体"/>
                <w:sz w:val="24"/>
                <w:szCs w:val="24"/>
                <w:highlight w:val="none"/>
              </w:rPr>
              <w:t>960</w:t>
            </w:r>
          </w:p>
        </w:tc>
        <w:tc>
          <w:tcPr>
            <w:tcW w:w="225" w:type="pct"/>
            <w:shd w:val="clear" w:color="auto" w:fill="auto"/>
            <w:vAlign w:val="center"/>
          </w:tcPr>
          <w:p w14:paraId="2CBF1B3F">
            <w:pPr>
              <w:rPr>
                <w:rFonts w:ascii="宋体" w:hAnsi="宋体" w:eastAsia="宋体" w:cs="宋体"/>
                <w:sz w:val="24"/>
                <w:szCs w:val="24"/>
                <w:highlight w:val="none"/>
                <w:lang w:eastAsia="en-US"/>
              </w:rPr>
            </w:pPr>
            <w:r>
              <w:rPr>
                <w:rFonts w:hint="eastAsia" w:ascii="宋体" w:hAnsi="宋体" w:eastAsia="宋体" w:cs="宋体"/>
                <w:sz w:val="24"/>
                <w:szCs w:val="24"/>
                <w:highlight w:val="none"/>
              </w:rPr>
              <w:t>个</w:t>
            </w:r>
          </w:p>
        </w:tc>
        <w:tc>
          <w:tcPr>
            <w:tcW w:w="427" w:type="pct"/>
            <w:vAlign w:val="center"/>
          </w:tcPr>
          <w:p w14:paraId="7E19C362">
            <w:pPr>
              <w:rPr>
                <w:rFonts w:ascii="宋体" w:hAnsi="宋体" w:eastAsia="宋体" w:cs="宋体"/>
                <w:sz w:val="24"/>
                <w:szCs w:val="24"/>
                <w:highlight w:val="none"/>
              </w:rPr>
            </w:pPr>
            <w:r>
              <w:rPr>
                <w:rFonts w:hint="eastAsia" w:ascii="宋体" w:hAnsi="宋体" w:eastAsia="宋体" w:cs="宋体"/>
                <w:sz w:val="24"/>
                <w:szCs w:val="24"/>
                <w:highlight w:val="none"/>
              </w:rPr>
              <w:t>工业</w:t>
            </w:r>
          </w:p>
        </w:tc>
        <w:tc>
          <w:tcPr>
            <w:tcW w:w="245" w:type="pct"/>
            <w:vAlign w:val="center"/>
          </w:tcPr>
          <w:p w14:paraId="4805CC5E">
            <w:pPr>
              <w:rPr>
                <w:rFonts w:ascii="宋体" w:hAnsi="宋体" w:eastAsia="宋体" w:cs="宋体"/>
                <w:sz w:val="24"/>
                <w:szCs w:val="24"/>
                <w:highlight w:val="none"/>
              </w:rPr>
            </w:pPr>
          </w:p>
        </w:tc>
      </w:tr>
      <w:tr w14:paraId="29083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shd w:val="clear" w:color="auto" w:fill="auto"/>
            <w:vAlign w:val="center"/>
          </w:tcPr>
          <w:p w14:paraId="3B6818DC">
            <w:pPr>
              <w:widowControl/>
              <w:jc w:val="center"/>
              <w:textAlignment w:val="center"/>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4</w:t>
            </w:r>
          </w:p>
        </w:tc>
        <w:tc>
          <w:tcPr>
            <w:tcW w:w="434" w:type="pct"/>
            <w:shd w:val="clear" w:color="auto" w:fill="auto"/>
            <w:vAlign w:val="center"/>
          </w:tcPr>
          <w:p w14:paraId="61AF8302">
            <w:pPr>
              <w:rPr>
                <w:rFonts w:ascii="宋体" w:hAnsi="宋体" w:eastAsia="宋体" w:cs="宋体"/>
                <w:sz w:val="24"/>
                <w:szCs w:val="24"/>
                <w:highlight w:val="none"/>
                <w:lang w:eastAsia="en-US"/>
              </w:rPr>
            </w:pPr>
            <w:r>
              <w:rPr>
                <w:rFonts w:hint="eastAsia" w:ascii="宋体" w:hAnsi="宋体" w:eastAsia="宋体" w:cs="宋体"/>
                <w:sz w:val="24"/>
                <w:szCs w:val="24"/>
                <w:highlight w:val="none"/>
                <w:lang w:eastAsia="en-US"/>
              </w:rPr>
              <w:t>平台服务专用工作站</w:t>
            </w:r>
          </w:p>
        </w:tc>
        <w:tc>
          <w:tcPr>
            <w:tcW w:w="3016" w:type="pct"/>
            <w:shd w:val="clear" w:color="auto" w:fill="auto"/>
            <w:vAlign w:val="center"/>
          </w:tcPr>
          <w:p w14:paraId="0489724A">
            <w:pPr>
              <w:rPr>
                <w:rFonts w:ascii="宋体" w:hAnsi="宋体" w:eastAsia="宋体" w:cs="宋体"/>
                <w:sz w:val="24"/>
                <w:szCs w:val="24"/>
                <w:highlight w:val="none"/>
              </w:rPr>
            </w:pPr>
            <w:r>
              <w:rPr>
                <w:rFonts w:hint="eastAsia" w:ascii="宋体" w:hAnsi="宋体" w:eastAsia="宋体" w:cs="宋体"/>
                <w:sz w:val="24"/>
                <w:szCs w:val="24"/>
                <w:highlight w:val="none"/>
              </w:rPr>
              <w:t>1.CPU：配置≥1颗 x86架构处理器，单处理器物理核心数≥24核，主频≥2.2 GHz，末级缓存容量≥64 MB，线程数≥48线程，热设计功耗≥180 W，支持内存的最高速率≥3200 MHz，通道数≥8，位宽≥64；</w:t>
            </w:r>
          </w:p>
          <w:p w14:paraId="50810B53">
            <w:pPr>
              <w:rPr>
                <w:rFonts w:ascii="宋体" w:hAnsi="宋体" w:eastAsia="宋体" w:cs="宋体"/>
                <w:sz w:val="24"/>
                <w:szCs w:val="24"/>
                <w:highlight w:val="none"/>
              </w:rPr>
            </w:pPr>
            <w:r>
              <w:rPr>
                <w:rFonts w:hint="eastAsia" w:ascii="宋体" w:hAnsi="宋体" w:eastAsia="宋体" w:cs="宋体"/>
                <w:sz w:val="24"/>
                <w:szCs w:val="24"/>
                <w:highlight w:val="none"/>
              </w:rPr>
              <w:t>2.内存：配置≥64G DDR4；</w:t>
            </w:r>
          </w:p>
          <w:p w14:paraId="53B7A283">
            <w:pPr>
              <w:rPr>
                <w:rFonts w:ascii="宋体" w:hAnsi="宋体" w:eastAsia="宋体" w:cs="宋体"/>
                <w:sz w:val="24"/>
                <w:szCs w:val="24"/>
                <w:highlight w:val="none"/>
              </w:rPr>
            </w:pPr>
            <w:r>
              <w:rPr>
                <w:rFonts w:hint="eastAsia" w:ascii="宋体" w:hAnsi="宋体" w:eastAsia="宋体" w:cs="宋体"/>
                <w:sz w:val="24"/>
                <w:szCs w:val="24"/>
                <w:highlight w:val="none"/>
              </w:rPr>
              <w:t>3.硬盘：≥2块1.2T 10K SAS硬盘（Raid1），4.阵列卡：配置SAS HBA卡（支持RAID 0/1/10）；</w:t>
            </w:r>
          </w:p>
          <w:p w14:paraId="20C488AF">
            <w:pPr>
              <w:rPr>
                <w:rFonts w:ascii="宋体" w:hAnsi="宋体" w:eastAsia="宋体" w:cs="宋体"/>
                <w:sz w:val="24"/>
                <w:szCs w:val="24"/>
                <w:highlight w:val="none"/>
              </w:rPr>
            </w:pPr>
            <w:r>
              <w:rPr>
                <w:rFonts w:hint="eastAsia" w:ascii="宋体" w:hAnsi="宋体" w:eastAsia="宋体" w:cs="宋体"/>
                <w:sz w:val="24"/>
                <w:szCs w:val="24"/>
                <w:highlight w:val="none"/>
              </w:rPr>
              <w:t>网口：≥2口千兆电口，≥2个PCIE万兆光口；</w:t>
            </w:r>
          </w:p>
          <w:p w14:paraId="36B0EF6E">
            <w:pPr>
              <w:rPr>
                <w:rFonts w:ascii="宋体" w:hAnsi="宋体" w:eastAsia="宋体" w:cs="宋体"/>
                <w:sz w:val="24"/>
                <w:szCs w:val="24"/>
                <w:highlight w:val="none"/>
              </w:rPr>
            </w:pPr>
            <w:r>
              <w:rPr>
                <w:rFonts w:hint="eastAsia" w:ascii="宋体" w:hAnsi="宋体" w:eastAsia="宋体" w:cs="宋体"/>
                <w:sz w:val="24"/>
                <w:szCs w:val="24"/>
                <w:highlight w:val="none"/>
              </w:rPr>
              <w:t>其他接口：≥1个IPMI RJ-45管理接口；≥7个USB 3.0接口；≥2个VGA接口；</w:t>
            </w:r>
          </w:p>
          <w:p w14:paraId="60947F9A">
            <w:pPr>
              <w:rPr>
                <w:rFonts w:ascii="宋体" w:hAnsi="宋体" w:eastAsia="宋体" w:cs="宋体"/>
                <w:sz w:val="24"/>
                <w:szCs w:val="24"/>
                <w:highlight w:val="none"/>
              </w:rPr>
            </w:pPr>
            <w:r>
              <w:rPr>
                <w:rFonts w:hint="eastAsia" w:ascii="宋体" w:hAnsi="宋体" w:eastAsia="宋体" w:cs="宋体"/>
                <w:sz w:val="24"/>
                <w:szCs w:val="24"/>
                <w:highlight w:val="none"/>
              </w:rPr>
              <w:t>5.电源：配置800W（1+1）冗余电源；</w:t>
            </w:r>
          </w:p>
        </w:tc>
        <w:tc>
          <w:tcPr>
            <w:tcW w:w="339" w:type="pct"/>
            <w:shd w:val="clear" w:color="auto" w:fill="auto"/>
            <w:vAlign w:val="center"/>
          </w:tcPr>
          <w:p w14:paraId="594062CE">
            <w:pPr>
              <w:rPr>
                <w:rFonts w:ascii="宋体" w:hAnsi="宋体" w:eastAsia="宋体" w:cs="宋体"/>
                <w:sz w:val="24"/>
                <w:szCs w:val="24"/>
                <w:highlight w:val="none"/>
              </w:rPr>
            </w:pPr>
            <w:r>
              <w:rPr>
                <w:rFonts w:hint="eastAsia" w:ascii="宋体" w:hAnsi="宋体" w:eastAsia="宋体" w:cs="宋体"/>
                <w:sz w:val="24"/>
                <w:szCs w:val="24"/>
                <w:highlight w:val="none"/>
              </w:rPr>
              <w:t>1</w:t>
            </w:r>
          </w:p>
        </w:tc>
        <w:tc>
          <w:tcPr>
            <w:tcW w:w="225" w:type="pct"/>
            <w:shd w:val="clear" w:color="auto" w:fill="auto"/>
            <w:vAlign w:val="center"/>
          </w:tcPr>
          <w:p w14:paraId="3BCD79CE">
            <w:pPr>
              <w:rPr>
                <w:rFonts w:ascii="宋体" w:hAnsi="宋体" w:eastAsia="宋体" w:cs="宋体"/>
                <w:sz w:val="24"/>
                <w:szCs w:val="24"/>
                <w:highlight w:val="none"/>
              </w:rPr>
            </w:pPr>
            <w:r>
              <w:rPr>
                <w:rFonts w:hint="eastAsia" w:ascii="宋体" w:hAnsi="宋体" w:eastAsia="宋体" w:cs="宋体"/>
                <w:sz w:val="24"/>
                <w:szCs w:val="24"/>
                <w:highlight w:val="none"/>
              </w:rPr>
              <w:t>台</w:t>
            </w:r>
          </w:p>
        </w:tc>
        <w:tc>
          <w:tcPr>
            <w:tcW w:w="427" w:type="pct"/>
            <w:vAlign w:val="center"/>
          </w:tcPr>
          <w:p w14:paraId="39660236">
            <w:pPr>
              <w:rPr>
                <w:rFonts w:ascii="宋体" w:hAnsi="宋体" w:eastAsia="宋体" w:cs="宋体"/>
                <w:sz w:val="24"/>
                <w:szCs w:val="24"/>
                <w:highlight w:val="none"/>
              </w:rPr>
            </w:pPr>
            <w:r>
              <w:rPr>
                <w:rFonts w:hint="eastAsia" w:ascii="宋体" w:hAnsi="宋体" w:eastAsia="宋体" w:cs="宋体"/>
                <w:sz w:val="24"/>
                <w:szCs w:val="24"/>
                <w:highlight w:val="none"/>
              </w:rPr>
              <w:t>工业</w:t>
            </w:r>
          </w:p>
        </w:tc>
        <w:tc>
          <w:tcPr>
            <w:tcW w:w="245" w:type="pct"/>
            <w:vAlign w:val="center"/>
          </w:tcPr>
          <w:p w14:paraId="73A1E7C4">
            <w:pPr>
              <w:rPr>
                <w:rFonts w:ascii="宋体" w:hAnsi="宋体" w:eastAsia="宋体" w:cs="宋体"/>
                <w:sz w:val="24"/>
                <w:szCs w:val="24"/>
                <w:highlight w:val="none"/>
              </w:rPr>
            </w:pPr>
          </w:p>
        </w:tc>
      </w:tr>
      <w:tr w14:paraId="575F8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shd w:val="clear" w:color="auto" w:fill="auto"/>
            <w:vAlign w:val="center"/>
          </w:tcPr>
          <w:p w14:paraId="7A37E753">
            <w:pPr>
              <w:widowControl/>
              <w:jc w:val="center"/>
              <w:textAlignment w:val="center"/>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5</w:t>
            </w:r>
          </w:p>
        </w:tc>
        <w:tc>
          <w:tcPr>
            <w:tcW w:w="434" w:type="pct"/>
            <w:shd w:val="clear" w:color="auto" w:fill="auto"/>
            <w:vAlign w:val="center"/>
          </w:tcPr>
          <w:p w14:paraId="016C85B9">
            <w:pPr>
              <w:rPr>
                <w:rFonts w:ascii="宋体" w:hAnsi="宋体" w:eastAsia="宋体" w:cs="宋体"/>
                <w:sz w:val="24"/>
                <w:szCs w:val="24"/>
                <w:highlight w:val="none"/>
                <w:lang w:eastAsia="en-US"/>
              </w:rPr>
            </w:pPr>
            <w:r>
              <w:rPr>
                <w:rFonts w:hint="eastAsia" w:ascii="宋体" w:hAnsi="宋体" w:eastAsia="宋体" w:cs="宋体"/>
                <w:sz w:val="24"/>
                <w:szCs w:val="24"/>
                <w:highlight w:val="none"/>
                <w:lang w:eastAsia="en-US"/>
              </w:rPr>
              <w:t>智慧安防平台</w:t>
            </w:r>
          </w:p>
        </w:tc>
        <w:tc>
          <w:tcPr>
            <w:tcW w:w="3016" w:type="pct"/>
            <w:shd w:val="clear" w:color="auto" w:fill="auto"/>
            <w:vAlign w:val="center"/>
          </w:tcPr>
          <w:p w14:paraId="70040EED">
            <w:pPr>
              <w:rPr>
                <w:rFonts w:ascii="宋体" w:hAnsi="宋体" w:eastAsia="宋体" w:cs="宋体"/>
                <w:sz w:val="24"/>
                <w:szCs w:val="24"/>
                <w:highlight w:val="none"/>
              </w:rPr>
            </w:pPr>
            <w:r>
              <w:rPr>
                <w:rFonts w:hint="eastAsia" w:ascii="宋体" w:hAnsi="宋体" w:eastAsia="宋体" w:cs="宋体"/>
                <w:sz w:val="24"/>
                <w:szCs w:val="24"/>
                <w:highlight w:val="none"/>
              </w:rPr>
              <w:t>1. 运行管理中心提供统一的认证、授权管理机制，支持HTTPS以及密码安全加密访问认证</w:t>
            </w:r>
          </w:p>
          <w:p w14:paraId="39886B77">
            <w:pPr>
              <w:rPr>
                <w:rFonts w:ascii="宋体" w:hAnsi="宋体" w:eastAsia="宋体" w:cs="宋体"/>
                <w:sz w:val="24"/>
                <w:szCs w:val="24"/>
                <w:highlight w:val="none"/>
              </w:rPr>
            </w:pPr>
            <w:r>
              <w:rPr>
                <w:rFonts w:hint="eastAsia" w:ascii="宋体" w:hAnsi="宋体" w:eastAsia="宋体" w:cs="宋体"/>
                <w:sz w:val="24"/>
                <w:szCs w:val="24"/>
                <w:highlight w:val="none"/>
              </w:rPr>
              <w:t>2. 要求支持业务应用组件化，各组件独立运行、维护，支持独立安装或卸载</w:t>
            </w:r>
          </w:p>
          <w:p w14:paraId="4997E4E4">
            <w:pPr>
              <w:rPr>
                <w:rFonts w:ascii="宋体" w:hAnsi="宋体" w:eastAsia="宋体" w:cs="宋体"/>
                <w:sz w:val="24"/>
                <w:szCs w:val="24"/>
                <w:highlight w:val="none"/>
              </w:rPr>
            </w:pPr>
            <w:r>
              <w:rPr>
                <w:rFonts w:hint="eastAsia" w:ascii="宋体" w:hAnsi="宋体" w:eastAsia="宋体" w:cs="宋体"/>
                <w:sz w:val="24"/>
                <w:szCs w:val="24"/>
                <w:highlight w:val="none"/>
              </w:rPr>
              <w:t>3. 要求支持以中心管理服务为核心的网络拓扑结构，支持对系统中的分组、</w:t>
            </w:r>
            <w:r>
              <w:rPr>
                <w:rFonts w:hint="eastAsia" w:ascii="宋体" w:hAnsi="宋体" w:eastAsia="宋体" w:cs="宋体"/>
                <w:sz w:val="24"/>
                <w:szCs w:val="24"/>
                <w:highlight w:val="none"/>
                <w:lang w:eastAsia="zh-CN"/>
              </w:rPr>
              <w:t>工作站</w:t>
            </w:r>
            <w:r>
              <w:rPr>
                <w:rFonts w:hint="eastAsia" w:ascii="宋体" w:hAnsi="宋体" w:eastAsia="宋体" w:cs="宋体"/>
                <w:sz w:val="24"/>
                <w:szCs w:val="24"/>
                <w:highlight w:val="none"/>
              </w:rPr>
              <w:t>、组件等统计概览、查看</w:t>
            </w:r>
          </w:p>
          <w:p w14:paraId="06B5CE05">
            <w:pPr>
              <w:rPr>
                <w:rFonts w:ascii="宋体" w:hAnsi="宋体" w:eastAsia="宋体" w:cs="宋体"/>
                <w:sz w:val="24"/>
                <w:szCs w:val="24"/>
                <w:highlight w:val="none"/>
              </w:rPr>
            </w:pPr>
            <w:r>
              <w:rPr>
                <w:rFonts w:hint="eastAsia" w:ascii="宋体" w:hAnsi="宋体" w:eastAsia="宋体" w:cs="宋体"/>
                <w:sz w:val="24"/>
                <w:szCs w:val="24"/>
                <w:highlight w:val="none"/>
              </w:rPr>
              <w:t>4. 要求系统支持国标协议上下级平台级联，支持流媒体集群配置</w:t>
            </w:r>
          </w:p>
          <w:p w14:paraId="75BA031F">
            <w:pPr>
              <w:rPr>
                <w:rFonts w:ascii="宋体" w:hAnsi="宋体" w:eastAsia="宋体" w:cs="宋体"/>
                <w:sz w:val="24"/>
                <w:szCs w:val="24"/>
                <w:highlight w:val="none"/>
              </w:rPr>
            </w:pPr>
            <w:r>
              <w:rPr>
                <w:rFonts w:hint="eastAsia" w:ascii="宋体" w:hAnsi="宋体" w:eastAsia="宋体" w:cs="宋体"/>
                <w:sz w:val="24"/>
                <w:szCs w:val="24"/>
                <w:highlight w:val="none"/>
              </w:rPr>
              <w:t>★5. 要求支持WEB端、CS客户端、移动客户端（Android、iOS）视频预览，支持多浏览器实时预览（</w:t>
            </w:r>
            <w:r>
              <w:rPr>
                <w:rFonts w:hint="eastAsia" w:ascii="宋体" w:hAnsi="宋体" w:eastAsia="宋体" w:cs="宋体"/>
                <w:b/>
                <w:bCs/>
                <w:sz w:val="24"/>
                <w:szCs w:val="24"/>
                <w:highlight w:val="none"/>
              </w:rPr>
              <w:t>须提供具有CMA或CNAS标识的第三方有权机构出具的检验报告</w:t>
            </w:r>
            <w:r>
              <w:rPr>
                <w:rFonts w:hint="eastAsia" w:ascii="宋体" w:hAnsi="宋体" w:eastAsia="宋体" w:cs="宋体"/>
                <w:sz w:val="24"/>
                <w:szCs w:val="24"/>
                <w:highlight w:val="none"/>
              </w:rPr>
              <w:t>）</w:t>
            </w:r>
          </w:p>
          <w:p w14:paraId="6EF94584">
            <w:pPr>
              <w:rPr>
                <w:rFonts w:ascii="宋体" w:hAnsi="宋体" w:eastAsia="宋体" w:cs="宋体"/>
                <w:sz w:val="24"/>
                <w:szCs w:val="24"/>
                <w:highlight w:val="none"/>
              </w:rPr>
            </w:pPr>
            <w:r>
              <w:rPr>
                <w:rFonts w:hint="eastAsia" w:ascii="宋体" w:hAnsi="宋体" w:eastAsia="宋体" w:cs="宋体"/>
                <w:sz w:val="24"/>
                <w:szCs w:val="24"/>
                <w:highlight w:val="none"/>
              </w:rPr>
              <w:t>6. 客户端支持在1/2/3/4/6/8/9/10/13/14/16/17/24/25画面分隔模式下进行监控点轮巡预览，轮巡时间可设置，支持全屏显示</w:t>
            </w:r>
          </w:p>
          <w:p w14:paraId="610A0B21">
            <w:pPr>
              <w:rPr>
                <w:rFonts w:ascii="宋体" w:hAnsi="宋体" w:eastAsia="宋体" w:cs="宋体"/>
                <w:sz w:val="24"/>
                <w:szCs w:val="24"/>
                <w:highlight w:val="none"/>
              </w:rPr>
            </w:pPr>
            <w:r>
              <w:rPr>
                <w:rFonts w:hint="eastAsia" w:ascii="宋体" w:hAnsi="宋体" w:eastAsia="宋体" w:cs="宋体"/>
                <w:sz w:val="24"/>
                <w:szCs w:val="24"/>
                <w:highlight w:val="none"/>
              </w:rPr>
              <w:t>★7. 要求支持设备录像回传至中心存储，可以支持计划回传和手动回传两种模式（</w:t>
            </w:r>
            <w:r>
              <w:rPr>
                <w:rFonts w:hint="eastAsia" w:ascii="宋体" w:hAnsi="宋体" w:eastAsia="宋体" w:cs="宋体"/>
                <w:b/>
                <w:bCs/>
                <w:sz w:val="24"/>
                <w:szCs w:val="24"/>
                <w:highlight w:val="none"/>
              </w:rPr>
              <w:t>须提供具有CMA或CNAS标识的第三方有权机构出具的检验报告</w:t>
            </w:r>
            <w:r>
              <w:rPr>
                <w:rFonts w:hint="eastAsia" w:ascii="宋体" w:hAnsi="宋体" w:eastAsia="宋体" w:cs="宋体"/>
                <w:sz w:val="24"/>
                <w:szCs w:val="24"/>
                <w:highlight w:val="none"/>
              </w:rPr>
              <w:t>）</w:t>
            </w:r>
          </w:p>
          <w:p w14:paraId="72E70CE3">
            <w:pPr>
              <w:rPr>
                <w:rFonts w:ascii="宋体" w:hAnsi="宋体" w:eastAsia="宋体" w:cs="宋体"/>
                <w:sz w:val="24"/>
                <w:szCs w:val="24"/>
                <w:highlight w:val="none"/>
              </w:rPr>
            </w:pPr>
            <w:r>
              <w:rPr>
                <w:rFonts w:hint="eastAsia" w:ascii="宋体" w:hAnsi="宋体" w:eastAsia="宋体" w:cs="宋体"/>
                <w:sz w:val="24"/>
                <w:szCs w:val="24"/>
                <w:highlight w:val="none"/>
              </w:rPr>
              <w:t>8. 要求支持对监控点、编码设备的在线状态进行设备巡检，并以统计图方式展示巡检结果</w:t>
            </w:r>
          </w:p>
          <w:p w14:paraId="0D6D8B80">
            <w:pPr>
              <w:rPr>
                <w:rFonts w:ascii="宋体" w:hAnsi="宋体" w:eastAsia="宋体" w:cs="宋体"/>
                <w:sz w:val="24"/>
                <w:szCs w:val="24"/>
                <w:highlight w:val="none"/>
              </w:rPr>
            </w:pPr>
            <w:r>
              <w:rPr>
                <w:rFonts w:hint="eastAsia" w:ascii="宋体" w:hAnsi="宋体" w:eastAsia="宋体" w:cs="宋体"/>
                <w:sz w:val="24"/>
                <w:szCs w:val="24"/>
                <w:highlight w:val="none"/>
              </w:rPr>
              <w:t>★9. 要求支持对监控的图像进行视频质量诊断，图像异常项包括图像偏色、噪声干扰、图像过暗、图像过亮、视频丢帧、视频抖动、对比度异常、条纹干扰、视频遮挡、信号丢失、图像黑白、图像模糊、场景变换、视频剧变（</w:t>
            </w:r>
            <w:r>
              <w:rPr>
                <w:rFonts w:hint="eastAsia" w:ascii="宋体" w:hAnsi="宋体" w:eastAsia="宋体" w:cs="宋体"/>
                <w:b/>
                <w:bCs/>
                <w:sz w:val="24"/>
                <w:szCs w:val="24"/>
                <w:highlight w:val="none"/>
              </w:rPr>
              <w:t>须提供具有CMA或CNAS标识的第三方有权机构出具的检验报告</w:t>
            </w:r>
            <w:r>
              <w:rPr>
                <w:rFonts w:hint="eastAsia" w:ascii="宋体" w:hAnsi="宋体" w:eastAsia="宋体" w:cs="宋体"/>
                <w:sz w:val="24"/>
                <w:szCs w:val="24"/>
                <w:highlight w:val="none"/>
              </w:rPr>
              <w:t>）</w:t>
            </w:r>
          </w:p>
          <w:p w14:paraId="19C3B7A6">
            <w:pPr>
              <w:rPr>
                <w:rFonts w:ascii="宋体" w:hAnsi="宋体" w:eastAsia="宋体" w:cs="宋体"/>
                <w:sz w:val="24"/>
                <w:szCs w:val="24"/>
                <w:highlight w:val="none"/>
              </w:rPr>
            </w:pPr>
            <w:r>
              <w:rPr>
                <w:rFonts w:hint="eastAsia" w:ascii="宋体" w:hAnsi="宋体" w:eastAsia="宋体" w:cs="宋体"/>
                <w:sz w:val="24"/>
                <w:szCs w:val="24"/>
                <w:highlight w:val="none"/>
              </w:rPr>
              <w:t>10. 支持开启自动发现，可通过交换机设备IP、协议信息发现获取网络中的资源</w:t>
            </w:r>
          </w:p>
          <w:p w14:paraId="00ED6177">
            <w:pPr>
              <w:rPr>
                <w:rFonts w:ascii="宋体" w:hAnsi="宋体" w:eastAsia="宋体" w:cs="宋体"/>
                <w:sz w:val="24"/>
                <w:szCs w:val="24"/>
                <w:highlight w:val="none"/>
              </w:rPr>
            </w:pPr>
            <w:r>
              <w:rPr>
                <w:rFonts w:hint="eastAsia" w:ascii="宋体" w:hAnsi="宋体" w:eastAsia="宋体" w:cs="宋体"/>
                <w:sz w:val="24"/>
                <w:szCs w:val="24"/>
                <w:highlight w:val="none"/>
              </w:rPr>
              <w:t>11. 支持查看拓扑页面中的资源告警和线路告警</w:t>
            </w:r>
          </w:p>
          <w:p w14:paraId="733CCF2E">
            <w:pPr>
              <w:rPr>
                <w:rFonts w:ascii="宋体" w:hAnsi="宋体" w:eastAsia="宋体" w:cs="宋体"/>
                <w:sz w:val="24"/>
                <w:szCs w:val="24"/>
                <w:highlight w:val="none"/>
              </w:rPr>
            </w:pPr>
            <w:r>
              <w:rPr>
                <w:rFonts w:hint="eastAsia" w:ascii="宋体" w:hAnsi="宋体" w:eastAsia="宋体" w:cs="宋体"/>
                <w:sz w:val="24"/>
                <w:szCs w:val="24"/>
                <w:highlight w:val="none"/>
              </w:rPr>
              <w:t>12. 需配置不少于1200路视频监控管理授权、1200路视频质量诊断授权。</w:t>
            </w:r>
          </w:p>
          <w:p w14:paraId="7E9AEC25">
            <w:pPr>
              <w:rPr>
                <w:rFonts w:ascii="宋体" w:hAnsi="宋体" w:eastAsia="宋体" w:cs="宋体"/>
                <w:sz w:val="24"/>
                <w:szCs w:val="24"/>
                <w:highlight w:val="none"/>
              </w:rPr>
            </w:pPr>
            <w:r>
              <w:rPr>
                <w:rFonts w:hint="eastAsia" w:ascii="宋体" w:hAnsi="宋体" w:eastAsia="宋体" w:cs="宋体"/>
                <w:sz w:val="24"/>
                <w:szCs w:val="24"/>
                <w:highlight w:val="none"/>
              </w:rPr>
              <w:t>★13.</w:t>
            </w:r>
            <w:r>
              <w:rPr>
                <w:rFonts w:hint="eastAsia" w:ascii="宋体" w:hAnsi="宋体" w:eastAsia="宋体" w:cs="宋体"/>
                <w:b/>
                <w:bCs/>
                <w:sz w:val="24"/>
                <w:szCs w:val="24"/>
                <w:highlight w:val="none"/>
              </w:rPr>
              <w:t>提供软件著作权证书复印件或扫描件</w:t>
            </w:r>
            <w:r>
              <w:rPr>
                <w:rFonts w:hint="eastAsia" w:ascii="宋体" w:hAnsi="宋体" w:eastAsia="宋体" w:cs="宋体"/>
                <w:sz w:val="24"/>
                <w:szCs w:val="24"/>
                <w:highlight w:val="none"/>
              </w:rPr>
              <w:t>。</w:t>
            </w:r>
          </w:p>
        </w:tc>
        <w:tc>
          <w:tcPr>
            <w:tcW w:w="339" w:type="pct"/>
            <w:shd w:val="clear" w:color="auto" w:fill="auto"/>
            <w:vAlign w:val="center"/>
          </w:tcPr>
          <w:p w14:paraId="62FEA25B">
            <w:pPr>
              <w:rPr>
                <w:rFonts w:ascii="宋体" w:hAnsi="宋体" w:eastAsia="宋体" w:cs="宋体"/>
                <w:sz w:val="24"/>
                <w:szCs w:val="24"/>
                <w:highlight w:val="none"/>
              </w:rPr>
            </w:pPr>
            <w:r>
              <w:rPr>
                <w:rFonts w:hint="eastAsia" w:ascii="宋体" w:hAnsi="宋体" w:eastAsia="宋体" w:cs="宋体"/>
                <w:sz w:val="24"/>
                <w:szCs w:val="24"/>
                <w:highlight w:val="none"/>
              </w:rPr>
              <w:t>1</w:t>
            </w:r>
          </w:p>
        </w:tc>
        <w:tc>
          <w:tcPr>
            <w:tcW w:w="225" w:type="pct"/>
            <w:shd w:val="clear" w:color="auto" w:fill="auto"/>
            <w:vAlign w:val="center"/>
          </w:tcPr>
          <w:p w14:paraId="795F965A">
            <w:pPr>
              <w:rPr>
                <w:rFonts w:ascii="宋体" w:hAnsi="宋体" w:eastAsia="宋体" w:cs="宋体"/>
                <w:sz w:val="24"/>
                <w:szCs w:val="24"/>
                <w:highlight w:val="none"/>
              </w:rPr>
            </w:pPr>
            <w:r>
              <w:rPr>
                <w:rFonts w:hint="eastAsia" w:ascii="宋体" w:hAnsi="宋体" w:eastAsia="宋体" w:cs="宋体"/>
                <w:sz w:val="24"/>
                <w:szCs w:val="24"/>
                <w:highlight w:val="none"/>
              </w:rPr>
              <w:t>套</w:t>
            </w:r>
          </w:p>
        </w:tc>
        <w:tc>
          <w:tcPr>
            <w:tcW w:w="427" w:type="pct"/>
            <w:vAlign w:val="center"/>
          </w:tcPr>
          <w:p w14:paraId="404BB716">
            <w:pPr>
              <w:rPr>
                <w:rFonts w:ascii="宋体" w:hAnsi="宋体" w:eastAsia="宋体" w:cs="宋体"/>
                <w:sz w:val="24"/>
                <w:szCs w:val="24"/>
                <w:highlight w:val="none"/>
              </w:rPr>
            </w:pPr>
            <w:r>
              <w:rPr>
                <w:rFonts w:hint="eastAsia" w:ascii="宋体" w:hAnsi="宋体" w:eastAsia="宋体" w:cs="宋体"/>
                <w:sz w:val="24"/>
                <w:szCs w:val="24"/>
                <w:highlight w:val="none"/>
              </w:rPr>
              <w:t>软件和信息技术服务业</w:t>
            </w:r>
          </w:p>
        </w:tc>
        <w:tc>
          <w:tcPr>
            <w:tcW w:w="245" w:type="pct"/>
            <w:vAlign w:val="center"/>
          </w:tcPr>
          <w:p w14:paraId="469AA2A1">
            <w:pPr>
              <w:rPr>
                <w:rFonts w:ascii="宋体" w:hAnsi="宋体" w:eastAsia="宋体" w:cs="宋体"/>
                <w:sz w:val="24"/>
                <w:szCs w:val="24"/>
                <w:highlight w:val="none"/>
              </w:rPr>
            </w:pPr>
          </w:p>
        </w:tc>
      </w:tr>
      <w:tr w14:paraId="557DF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309" w:type="pct"/>
            <w:shd w:val="clear" w:color="auto" w:fill="auto"/>
            <w:vAlign w:val="center"/>
          </w:tcPr>
          <w:p w14:paraId="721ECD9C">
            <w:pPr>
              <w:widowControl/>
              <w:jc w:val="center"/>
              <w:textAlignment w:val="center"/>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6</w:t>
            </w:r>
          </w:p>
        </w:tc>
        <w:tc>
          <w:tcPr>
            <w:tcW w:w="434" w:type="pct"/>
            <w:shd w:val="clear" w:color="auto" w:fill="auto"/>
            <w:vAlign w:val="center"/>
          </w:tcPr>
          <w:p w14:paraId="1B585D14">
            <w:pPr>
              <w:rPr>
                <w:rFonts w:ascii="宋体" w:hAnsi="宋体" w:eastAsia="宋体" w:cs="宋体"/>
                <w:sz w:val="24"/>
                <w:szCs w:val="24"/>
                <w:highlight w:val="none"/>
                <w:lang w:eastAsia="en-US"/>
              </w:rPr>
            </w:pPr>
            <w:r>
              <w:rPr>
                <w:rFonts w:hint="eastAsia" w:ascii="宋体" w:hAnsi="宋体" w:eastAsia="宋体" w:cs="宋体"/>
                <w:sz w:val="24"/>
                <w:szCs w:val="24"/>
                <w:highlight w:val="none"/>
                <w:lang w:eastAsia="en-US"/>
              </w:rPr>
              <w:t>流媒体服务工作站</w:t>
            </w:r>
          </w:p>
        </w:tc>
        <w:tc>
          <w:tcPr>
            <w:tcW w:w="3016" w:type="pct"/>
            <w:shd w:val="clear" w:color="auto" w:fill="auto"/>
            <w:vAlign w:val="center"/>
          </w:tcPr>
          <w:p w14:paraId="10FCB377">
            <w:pPr>
              <w:rPr>
                <w:rFonts w:ascii="宋体" w:hAnsi="宋体" w:eastAsia="宋体" w:cs="宋体"/>
                <w:sz w:val="24"/>
                <w:szCs w:val="24"/>
                <w:highlight w:val="none"/>
              </w:rPr>
            </w:pPr>
            <w:r>
              <w:rPr>
                <w:rFonts w:hint="eastAsia" w:ascii="宋体" w:hAnsi="宋体" w:eastAsia="宋体" w:cs="宋体"/>
                <w:sz w:val="24"/>
                <w:szCs w:val="24"/>
                <w:highlight w:val="none"/>
              </w:rPr>
              <w:t>1.CPU：配置≥1颗处理器，核数≥12核，主频≥2.4GHz</w:t>
            </w:r>
          </w:p>
          <w:p w14:paraId="02F3FE2A">
            <w:pPr>
              <w:rPr>
                <w:rFonts w:ascii="宋体" w:hAnsi="宋体" w:eastAsia="宋体" w:cs="宋体"/>
                <w:sz w:val="24"/>
                <w:szCs w:val="24"/>
                <w:highlight w:val="none"/>
              </w:rPr>
            </w:pPr>
            <w:r>
              <w:rPr>
                <w:rFonts w:hint="eastAsia" w:ascii="宋体" w:hAnsi="宋体" w:eastAsia="宋体" w:cs="宋体"/>
                <w:sz w:val="24"/>
                <w:szCs w:val="24"/>
                <w:highlight w:val="none"/>
              </w:rPr>
              <w:t>2.内存：配置≥32G DDR5，8根内存插槽，最大支持扩展至1TB内存</w:t>
            </w:r>
          </w:p>
          <w:p w14:paraId="7258BA0A">
            <w:pPr>
              <w:rPr>
                <w:rFonts w:ascii="宋体" w:hAnsi="宋体" w:eastAsia="宋体" w:cs="宋体"/>
                <w:sz w:val="24"/>
                <w:szCs w:val="24"/>
                <w:highlight w:val="none"/>
              </w:rPr>
            </w:pPr>
            <w:r>
              <w:rPr>
                <w:rFonts w:hint="eastAsia" w:ascii="宋体" w:hAnsi="宋体" w:eastAsia="宋体" w:cs="宋体"/>
                <w:sz w:val="24"/>
                <w:szCs w:val="24"/>
                <w:highlight w:val="none"/>
              </w:rPr>
              <w:t>3.硬盘：配置≥2块1.2T 10K 2.5寸 SAS硬盘，</w:t>
            </w:r>
            <w:r>
              <w:rPr>
                <w:rFonts w:ascii="宋体" w:hAnsi="宋体" w:eastAsia="宋体" w:cs="宋体"/>
                <w:sz w:val="24"/>
                <w:szCs w:val="24"/>
                <w:highlight w:val="none"/>
              </w:rPr>
              <w:t xml:space="preserve"> </w:t>
            </w:r>
          </w:p>
          <w:p w14:paraId="27C3EF64">
            <w:pPr>
              <w:rPr>
                <w:rFonts w:ascii="宋体" w:hAnsi="宋体" w:eastAsia="宋体" w:cs="宋体"/>
                <w:sz w:val="24"/>
                <w:szCs w:val="24"/>
                <w:highlight w:val="none"/>
              </w:rPr>
            </w:pPr>
            <w:r>
              <w:rPr>
                <w:rFonts w:hint="eastAsia" w:ascii="宋体" w:hAnsi="宋体" w:eastAsia="宋体" w:cs="宋体"/>
                <w:sz w:val="24"/>
                <w:szCs w:val="24"/>
                <w:highlight w:val="none"/>
              </w:rPr>
              <w:t>4.阵列卡：配置SAS+HBA卡，支持RAID 0/1/10;</w:t>
            </w:r>
          </w:p>
          <w:p w14:paraId="564EF70F">
            <w:pPr>
              <w:rPr>
                <w:rFonts w:ascii="宋体" w:hAnsi="宋体" w:eastAsia="宋体" w:cs="宋体"/>
                <w:sz w:val="24"/>
                <w:szCs w:val="24"/>
                <w:highlight w:val="none"/>
              </w:rPr>
            </w:pPr>
            <w:r>
              <w:rPr>
                <w:rFonts w:hint="eastAsia" w:ascii="宋体" w:hAnsi="宋体" w:eastAsia="宋体" w:cs="宋体"/>
                <w:sz w:val="24"/>
                <w:szCs w:val="24"/>
                <w:highlight w:val="none"/>
              </w:rPr>
              <w:t>5.网口：板载≥2个千兆电口； 支持选配10GbE、25GbE SFP+等多种网络接口</w:t>
            </w:r>
          </w:p>
          <w:p w14:paraId="5CB01409">
            <w:pPr>
              <w:rPr>
                <w:rFonts w:ascii="宋体" w:hAnsi="宋体" w:eastAsia="宋体" w:cs="宋体"/>
                <w:sz w:val="24"/>
                <w:szCs w:val="24"/>
                <w:highlight w:val="none"/>
              </w:rPr>
            </w:pPr>
            <w:r>
              <w:rPr>
                <w:rFonts w:hint="eastAsia" w:ascii="宋体" w:hAnsi="宋体" w:eastAsia="宋体" w:cs="宋体"/>
                <w:sz w:val="24"/>
                <w:szCs w:val="24"/>
                <w:highlight w:val="none"/>
              </w:rPr>
              <w:t>6.其他接口：≥1个RJ45管理接口，≥2个USB 3.0接口，≥2个USB2.0接口，≥1个VGA接口</w:t>
            </w:r>
          </w:p>
          <w:p w14:paraId="75E36859">
            <w:pPr>
              <w:rPr>
                <w:rFonts w:ascii="宋体" w:hAnsi="宋体" w:eastAsia="宋体" w:cs="宋体"/>
                <w:sz w:val="24"/>
                <w:szCs w:val="24"/>
                <w:highlight w:val="none"/>
              </w:rPr>
            </w:pPr>
            <w:r>
              <w:rPr>
                <w:rFonts w:hint="eastAsia" w:ascii="宋体" w:hAnsi="宋体" w:eastAsia="宋体" w:cs="宋体"/>
                <w:sz w:val="24"/>
                <w:szCs w:val="24"/>
                <w:highlight w:val="none"/>
              </w:rPr>
              <w:t>7.电源：标配550W（1+1）热插拔冗余电源</w:t>
            </w:r>
          </w:p>
        </w:tc>
        <w:tc>
          <w:tcPr>
            <w:tcW w:w="339" w:type="pct"/>
            <w:shd w:val="clear" w:color="auto" w:fill="auto"/>
            <w:vAlign w:val="center"/>
          </w:tcPr>
          <w:p w14:paraId="0A62750D">
            <w:pPr>
              <w:rPr>
                <w:rFonts w:ascii="宋体" w:hAnsi="宋体" w:eastAsia="宋体" w:cs="宋体"/>
                <w:sz w:val="24"/>
                <w:szCs w:val="24"/>
                <w:highlight w:val="none"/>
              </w:rPr>
            </w:pPr>
            <w:r>
              <w:rPr>
                <w:rFonts w:hint="eastAsia" w:ascii="宋体" w:hAnsi="宋体" w:eastAsia="宋体" w:cs="宋体"/>
                <w:sz w:val="24"/>
                <w:szCs w:val="24"/>
                <w:highlight w:val="none"/>
              </w:rPr>
              <w:t>1</w:t>
            </w:r>
          </w:p>
        </w:tc>
        <w:tc>
          <w:tcPr>
            <w:tcW w:w="225" w:type="pct"/>
            <w:shd w:val="clear" w:color="auto" w:fill="auto"/>
            <w:vAlign w:val="center"/>
          </w:tcPr>
          <w:p w14:paraId="69DD151E">
            <w:pPr>
              <w:rPr>
                <w:rFonts w:ascii="宋体" w:hAnsi="宋体" w:eastAsia="宋体" w:cs="宋体"/>
                <w:sz w:val="24"/>
                <w:szCs w:val="24"/>
                <w:highlight w:val="none"/>
              </w:rPr>
            </w:pPr>
            <w:r>
              <w:rPr>
                <w:rFonts w:hint="eastAsia" w:ascii="宋体" w:hAnsi="宋体" w:eastAsia="宋体" w:cs="宋体"/>
                <w:sz w:val="24"/>
                <w:szCs w:val="24"/>
                <w:highlight w:val="none"/>
              </w:rPr>
              <w:t>台</w:t>
            </w:r>
          </w:p>
        </w:tc>
        <w:tc>
          <w:tcPr>
            <w:tcW w:w="427" w:type="pct"/>
            <w:vAlign w:val="center"/>
          </w:tcPr>
          <w:p w14:paraId="4120ABB9">
            <w:pPr>
              <w:rPr>
                <w:rFonts w:ascii="宋体" w:hAnsi="宋体" w:eastAsia="宋体" w:cs="宋体"/>
                <w:sz w:val="24"/>
                <w:szCs w:val="24"/>
                <w:highlight w:val="none"/>
              </w:rPr>
            </w:pPr>
            <w:r>
              <w:rPr>
                <w:rFonts w:hint="eastAsia" w:ascii="宋体" w:hAnsi="宋体" w:eastAsia="宋体" w:cs="宋体"/>
                <w:sz w:val="24"/>
                <w:szCs w:val="24"/>
                <w:highlight w:val="none"/>
              </w:rPr>
              <w:t>工业</w:t>
            </w:r>
          </w:p>
        </w:tc>
        <w:tc>
          <w:tcPr>
            <w:tcW w:w="245" w:type="pct"/>
            <w:vAlign w:val="center"/>
          </w:tcPr>
          <w:p w14:paraId="76B14CD2">
            <w:pPr>
              <w:rPr>
                <w:rFonts w:ascii="宋体" w:hAnsi="宋体" w:eastAsia="宋体" w:cs="宋体"/>
                <w:sz w:val="24"/>
                <w:szCs w:val="24"/>
                <w:highlight w:val="none"/>
              </w:rPr>
            </w:pPr>
          </w:p>
        </w:tc>
      </w:tr>
      <w:tr w14:paraId="6BAB8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shd w:val="clear" w:color="auto" w:fill="auto"/>
            <w:vAlign w:val="center"/>
          </w:tcPr>
          <w:p w14:paraId="36942696">
            <w:pPr>
              <w:widowControl/>
              <w:jc w:val="center"/>
              <w:textAlignment w:val="center"/>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7</w:t>
            </w:r>
          </w:p>
        </w:tc>
        <w:tc>
          <w:tcPr>
            <w:tcW w:w="434" w:type="pct"/>
            <w:shd w:val="clear" w:color="auto" w:fill="auto"/>
            <w:vAlign w:val="center"/>
          </w:tcPr>
          <w:p w14:paraId="3A6D4428">
            <w:pPr>
              <w:rPr>
                <w:rFonts w:ascii="宋体" w:hAnsi="宋体" w:eastAsia="宋体" w:cs="宋体"/>
                <w:sz w:val="24"/>
                <w:szCs w:val="24"/>
                <w:highlight w:val="none"/>
              </w:rPr>
            </w:pPr>
            <w:r>
              <w:rPr>
                <w:rFonts w:hint="eastAsia" w:ascii="宋体" w:hAnsi="宋体" w:eastAsia="宋体" w:cs="宋体"/>
                <w:sz w:val="24"/>
                <w:szCs w:val="24"/>
                <w:highlight w:val="none"/>
              </w:rPr>
              <w:t>72盘位视频存储</w:t>
            </w:r>
          </w:p>
        </w:tc>
        <w:tc>
          <w:tcPr>
            <w:tcW w:w="3016" w:type="pct"/>
            <w:shd w:val="clear" w:color="auto" w:fill="auto"/>
            <w:vAlign w:val="center"/>
          </w:tcPr>
          <w:p w14:paraId="1DD95F9F">
            <w:pPr>
              <w:rPr>
                <w:rFonts w:ascii="宋体" w:hAnsi="宋体" w:eastAsia="宋体" w:cs="宋体"/>
                <w:sz w:val="24"/>
                <w:szCs w:val="24"/>
                <w:highlight w:val="none"/>
              </w:rPr>
            </w:pPr>
            <w:r>
              <w:rPr>
                <w:rFonts w:hint="eastAsia" w:ascii="宋体" w:hAnsi="宋体" w:eastAsia="宋体" w:cs="宋体"/>
                <w:sz w:val="24"/>
                <w:szCs w:val="24"/>
                <w:highlight w:val="none"/>
              </w:rPr>
              <w:t>★1.设备配置：≥1颗64位多核处理器，≥8GB内存，内存支持扩展到≥256GB，内置SSD固态硬盘（可以扩展到4个SSD作为缓存盘），配置≥8个风扇，风扇支持热插拔并可冗余温控调速；支持热插拔1+1AC220V电源或1+1直流冗余电源供电（</w:t>
            </w:r>
            <w:r>
              <w:rPr>
                <w:rFonts w:hint="eastAsia" w:ascii="宋体" w:hAnsi="宋体" w:eastAsia="宋体" w:cs="宋体"/>
                <w:b/>
                <w:bCs/>
                <w:sz w:val="24"/>
                <w:szCs w:val="24"/>
                <w:highlight w:val="none"/>
              </w:rPr>
              <w:t>须提供具有CMA或CNAS标识的第三方有权机构出具的检验报告</w:t>
            </w:r>
            <w:r>
              <w:rPr>
                <w:rFonts w:hint="eastAsia" w:ascii="宋体" w:hAnsi="宋体" w:eastAsia="宋体" w:cs="宋体"/>
                <w:sz w:val="24"/>
                <w:szCs w:val="24"/>
                <w:highlight w:val="none"/>
              </w:rPr>
              <w:t>）</w:t>
            </w:r>
          </w:p>
          <w:p w14:paraId="58295036">
            <w:pPr>
              <w:rPr>
                <w:rFonts w:ascii="宋体" w:hAnsi="宋体" w:eastAsia="宋体" w:cs="宋体"/>
                <w:sz w:val="24"/>
                <w:szCs w:val="24"/>
                <w:highlight w:val="none"/>
              </w:rPr>
            </w:pPr>
            <w:r>
              <w:rPr>
                <w:rFonts w:hint="eastAsia" w:ascii="宋体" w:hAnsi="宋体" w:eastAsia="宋体" w:cs="宋体"/>
                <w:sz w:val="24"/>
                <w:szCs w:val="24"/>
                <w:highlight w:val="none"/>
              </w:rPr>
              <w:t>★2.设备标配：≥4个2.5Gb网口，≥2个USB2.0接口、≥2个USB3.0接口，≥1个VGA接口、≥1个HDMI接口（</w:t>
            </w:r>
            <w:r>
              <w:rPr>
                <w:rFonts w:hint="eastAsia" w:ascii="宋体" w:hAnsi="宋体" w:eastAsia="宋体" w:cs="宋体"/>
                <w:b/>
                <w:bCs/>
                <w:sz w:val="24"/>
                <w:szCs w:val="24"/>
                <w:highlight w:val="none"/>
              </w:rPr>
              <w:t>须提供具有CMA或CNAS标识的第三方有权机构出具的检验报告</w:t>
            </w:r>
            <w:r>
              <w:rPr>
                <w:rFonts w:hint="eastAsia" w:ascii="宋体" w:hAnsi="宋体" w:eastAsia="宋体" w:cs="宋体"/>
                <w:sz w:val="24"/>
                <w:szCs w:val="24"/>
                <w:highlight w:val="none"/>
              </w:rPr>
              <w:t>）</w:t>
            </w:r>
          </w:p>
          <w:p w14:paraId="471160EA">
            <w:pPr>
              <w:rPr>
                <w:rFonts w:ascii="宋体" w:hAnsi="宋体" w:eastAsia="宋体" w:cs="宋体"/>
                <w:sz w:val="24"/>
                <w:szCs w:val="24"/>
                <w:highlight w:val="none"/>
              </w:rPr>
            </w:pPr>
            <w:r>
              <w:rPr>
                <w:rFonts w:hint="eastAsia" w:ascii="宋体" w:hAnsi="宋体" w:eastAsia="宋体" w:cs="宋体"/>
                <w:sz w:val="24"/>
                <w:szCs w:val="24"/>
                <w:highlight w:val="none"/>
              </w:rPr>
              <w:t>3.具有72个硬盘热插拔插槽；支持硬盘热插拔设备在读写数据时，热插拔设备内的任意块硬盘，设备正常运行不宕机，硬盘不损坏，数据不丢失，业务不中断</w:t>
            </w:r>
            <w:r>
              <w:rPr>
                <w:rFonts w:hint="eastAsia" w:ascii="宋体" w:hAnsi="宋体" w:eastAsia="宋体" w:cs="宋体"/>
                <w:sz w:val="24"/>
                <w:szCs w:val="24"/>
                <w:highlight w:val="none"/>
              </w:rPr>
              <w:tab/>
            </w:r>
          </w:p>
          <w:p w14:paraId="400E46DA">
            <w:pPr>
              <w:rPr>
                <w:rFonts w:ascii="宋体" w:hAnsi="宋体" w:eastAsia="宋体" w:cs="宋体"/>
                <w:sz w:val="24"/>
                <w:szCs w:val="24"/>
                <w:highlight w:val="none"/>
              </w:rPr>
            </w:pPr>
            <w:r>
              <w:rPr>
                <w:rFonts w:hint="eastAsia" w:ascii="宋体" w:hAnsi="宋体" w:eastAsia="宋体" w:cs="宋体"/>
                <w:sz w:val="24"/>
                <w:szCs w:val="24"/>
                <w:highlight w:val="none"/>
              </w:rPr>
              <w:t>★4.设备具备定位灯、电源灯、设备报警灯、就绪灯、网络状态灯、系统盘状态灯、硬盘状态灯等状态显示，机箱具备防尘滤网，采用双立柱防震设计。（</w:t>
            </w:r>
            <w:r>
              <w:rPr>
                <w:rFonts w:hint="eastAsia" w:ascii="宋体" w:hAnsi="宋体" w:eastAsia="宋体" w:cs="宋体"/>
                <w:b/>
                <w:bCs/>
                <w:sz w:val="24"/>
                <w:szCs w:val="24"/>
                <w:highlight w:val="none"/>
              </w:rPr>
              <w:t>须提供具有CMA或CNAS标识的第三方有权机构出具的检验报告</w:t>
            </w:r>
            <w:r>
              <w:rPr>
                <w:rFonts w:hint="eastAsia" w:ascii="宋体" w:hAnsi="宋体" w:eastAsia="宋体" w:cs="宋体"/>
                <w:sz w:val="24"/>
                <w:szCs w:val="24"/>
                <w:highlight w:val="none"/>
              </w:rPr>
              <w:t>）</w:t>
            </w:r>
          </w:p>
          <w:p w14:paraId="2EA2B074">
            <w:pPr>
              <w:rPr>
                <w:rFonts w:ascii="宋体" w:hAnsi="宋体" w:eastAsia="宋体" w:cs="宋体"/>
                <w:sz w:val="24"/>
                <w:szCs w:val="24"/>
                <w:highlight w:val="none"/>
              </w:rPr>
            </w:pPr>
            <w:r>
              <w:rPr>
                <w:rFonts w:hint="eastAsia" w:ascii="宋体" w:hAnsi="宋体" w:eastAsia="宋体" w:cs="宋体"/>
                <w:sz w:val="24"/>
                <w:szCs w:val="24"/>
                <w:highlight w:val="none"/>
              </w:rPr>
              <w:t>★5.每个控制单元支持双系统应用，外置系统盘支持RAID1模式，系统盘支持热插拔，当主系统出现故障时，备用系统可接管工作；支持系统盘为独立的2块HDD（SATA、SAS）或SSD盘，组成RAID1（</w:t>
            </w:r>
            <w:r>
              <w:rPr>
                <w:rFonts w:hint="eastAsia" w:ascii="宋体" w:hAnsi="宋体" w:eastAsia="宋体" w:cs="宋体"/>
                <w:b/>
                <w:bCs/>
                <w:sz w:val="24"/>
                <w:szCs w:val="24"/>
                <w:highlight w:val="none"/>
              </w:rPr>
              <w:t>须提供具有CMA或CNAS标识的第三方有权机构出具的检验报告</w:t>
            </w:r>
            <w:r>
              <w:rPr>
                <w:rFonts w:hint="eastAsia" w:ascii="宋体" w:hAnsi="宋体" w:eastAsia="宋体" w:cs="宋体"/>
                <w:sz w:val="24"/>
                <w:szCs w:val="24"/>
                <w:highlight w:val="none"/>
              </w:rPr>
              <w:t>）</w:t>
            </w:r>
          </w:p>
          <w:p w14:paraId="49CF854A">
            <w:pPr>
              <w:rPr>
                <w:rFonts w:ascii="宋体" w:hAnsi="宋体" w:eastAsia="宋体" w:cs="宋体"/>
                <w:sz w:val="24"/>
                <w:szCs w:val="24"/>
                <w:highlight w:val="none"/>
              </w:rPr>
            </w:pPr>
            <w:r>
              <w:rPr>
                <w:rFonts w:hint="eastAsia" w:ascii="宋体" w:hAnsi="宋体" w:eastAsia="宋体" w:cs="宋体"/>
                <w:sz w:val="24"/>
                <w:szCs w:val="24"/>
                <w:highlight w:val="none"/>
              </w:rPr>
              <w:t>6.可接入2T/3T/4T/6T/8T/10T/12T/14T/16T/18T/20T/25T/26T/30T SATA/SAS硬盘；支持NL-SAS 硬盘、HDD硬盘、SSD硬盘、氦气硬盘、空气硬盘；支持 CMR或SMR硬盘；支持硬盘交错/分时启动，节省功耗</w:t>
            </w:r>
          </w:p>
          <w:p w14:paraId="743E6C06">
            <w:pPr>
              <w:rPr>
                <w:rFonts w:ascii="宋体" w:hAnsi="宋体" w:eastAsia="宋体" w:cs="宋体"/>
                <w:sz w:val="24"/>
                <w:szCs w:val="24"/>
                <w:highlight w:val="none"/>
              </w:rPr>
            </w:pPr>
            <w:r>
              <w:rPr>
                <w:rFonts w:hint="eastAsia" w:ascii="宋体" w:hAnsi="宋体" w:eastAsia="宋体" w:cs="宋体"/>
                <w:sz w:val="24"/>
                <w:szCs w:val="24"/>
                <w:highlight w:val="none"/>
              </w:rPr>
              <w:t>7.支持视音频、图片、智能数据流进行混合直存，无须存储</w:t>
            </w:r>
            <w:r>
              <w:rPr>
                <w:rFonts w:hint="eastAsia" w:ascii="宋体" w:hAnsi="宋体" w:eastAsia="宋体" w:cs="宋体"/>
                <w:sz w:val="24"/>
                <w:szCs w:val="24"/>
                <w:highlight w:val="none"/>
                <w:lang w:eastAsia="zh-CN"/>
              </w:rPr>
              <w:t>工作站</w:t>
            </w:r>
            <w:r>
              <w:rPr>
                <w:rFonts w:hint="eastAsia" w:ascii="宋体" w:hAnsi="宋体" w:eastAsia="宋体" w:cs="宋体"/>
                <w:sz w:val="24"/>
                <w:szCs w:val="24"/>
                <w:highlight w:val="none"/>
              </w:rPr>
              <w:t>和图片</w:t>
            </w:r>
            <w:r>
              <w:rPr>
                <w:rFonts w:hint="eastAsia" w:ascii="宋体" w:hAnsi="宋体" w:eastAsia="宋体" w:cs="宋体"/>
                <w:sz w:val="24"/>
                <w:szCs w:val="24"/>
                <w:highlight w:val="none"/>
                <w:lang w:eastAsia="zh-CN"/>
              </w:rPr>
              <w:t>工作站</w:t>
            </w:r>
            <w:r>
              <w:rPr>
                <w:rFonts w:hint="eastAsia" w:ascii="宋体" w:hAnsi="宋体" w:eastAsia="宋体" w:cs="宋体"/>
                <w:sz w:val="24"/>
                <w:szCs w:val="24"/>
                <w:highlight w:val="none"/>
              </w:rPr>
              <w:t>的参与，平台</w:t>
            </w:r>
            <w:r>
              <w:rPr>
                <w:rFonts w:hint="eastAsia" w:ascii="宋体" w:hAnsi="宋体" w:eastAsia="宋体" w:cs="宋体"/>
                <w:sz w:val="24"/>
                <w:szCs w:val="24"/>
                <w:highlight w:val="none"/>
                <w:lang w:eastAsia="zh-CN"/>
              </w:rPr>
              <w:t>工作站</w:t>
            </w:r>
            <w:r>
              <w:rPr>
                <w:rFonts w:hint="eastAsia" w:ascii="宋体" w:hAnsi="宋体" w:eastAsia="宋体" w:cs="宋体"/>
                <w:sz w:val="24"/>
                <w:szCs w:val="24"/>
                <w:highlight w:val="none"/>
              </w:rPr>
              <w:t>宕机时，存储业务正常；支持国际GB/T 28181-2022和Onvif视频流直存模式；前端网络摄像机和设备之间可直接通过iSCSI协议进行块存储</w:t>
            </w:r>
            <w:r>
              <w:rPr>
                <w:rFonts w:hint="eastAsia" w:ascii="宋体" w:hAnsi="宋体" w:eastAsia="宋体" w:cs="宋体"/>
                <w:sz w:val="24"/>
                <w:szCs w:val="24"/>
                <w:highlight w:val="none"/>
              </w:rPr>
              <w:tab/>
            </w:r>
          </w:p>
          <w:p w14:paraId="2B448765">
            <w:pPr>
              <w:rPr>
                <w:rFonts w:ascii="宋体" w:hAnsi="宋体" w:eastAsia="宋体" w:cs="宋体"/>
                <w:sz w:val="24"/>
                <w:szCs w:val="24"/>
                <w:highlight w:val="none"/>
              </w:rPr>
            </w:pPr>
            <w:r>
              <w:rPr>
                <w:rFonts w:hint="eastAsia" w:ascii="宋体" w:hAnsi="宋体" w:eastAsia="宋体" w:cs="宋体"/>
                <w:sz w:val="24"/>
                <w:szCs w:val="24"/>
                <w:highlight w:val="none"/>
              </w:rPr>
              <w:t>8.支持 ONVIF、PSIA、TCP/IP、UDP、SIP、SIP2.0、RTSP、RTP、RTCP、iSCSI、CIFS(SMB)、NFS、FTP、HTTP、AFP、RSYNC、SNMP、IPV4、IPV6、HLS、S3、OSS等协议，支持IP组播</w:t>
            </w:r>
            <w:r>
              <w:rPr>
                <w:rFonts w:hint="eastAsia" w:ascii="宋体" w:hAnsi="宋体" w:eastAsia="宋体" w:cs="宋体"/>
                <w:sz w:val="24"/>
                <w:szCs w:val="24"/>
                <w:highlight w:val="none"/>
              </w:rPr>
              <w:tab/>
            </w:r>
          </w:p>
          <w:p w14:paraId="3F0F778F">
            <w:pPr>
              <w:rPr>
                <w:rFonts w:ascii="宋体" w:hAnsi="宋体" w:eastAsia="宋体" w:cs="宋体"/>
                <w:sz w:val="24"/>
                <w:szCs w:val="24"/>
                <w:highlight w:val="none"/>
              </w:rPr>
            </w:pPr>
            <w:r>
              <w:rPr>
                <w:rFonts w:hint="eastAsia" w:ascii="宋体" w:hAnsi="宋体" w:eastAsia="宋体" w:cs="宋体"/>
                <w:sz w:val="24"/>
                <w:szCs w:val="24"/>
                <w:highlight w:val="none"/>
              </w:rPr>
              <w:t>9.支持纠删码技术，多台存储设备组建网络RAID，设置为负载均衡；单台或多台存储设备组建网络RAID，允许每组RAID中任意1-18个磁盘发生故障，数据不丢失，存储服务不中断；允许每组RAID中任意20块硬盘发生故障，业务不中断</w:t>
            </w:r>
            <w:r>
              <w:rPr>
                <w:rFonts w:hint="eastAsia" w:ascii="宋体" w:hAnsi="宋体" w:eastAsia="宋体" w:cs="宋体"/>
                <w:sz w:val="24"/>
                <w:szCs w:val="24"/>
                <w:highlight w:val="none"/>
              </w:rPr>
              <w:tab/>
            </w:r>
          </w:p>
          <w:p w14:paraId="155B00D5">
            <w:pPr>
              <w:rPr>
                <w:rFonts w:ascii="宋体" w:hAnsi="宋体" w:eastAsia="宋体" w:cs="宋体"/>
                <w:sz w:val="24"/>
                <w:szCs w:val="24"/>
                <w:highlight w:val="none"/>
              </w:rPr>
            </w:pPr>
            <w:r>
              <w:rPr>
                <w:rFonts w:hint="eastAsia" w:ascii="宋体" w:hAnsi="宋体" w:eastAsia="宋体" w:cs="宋体"/>
                <w:sz w:val="24"/>
                <w:szCs w:val="24"/>
                <w:highlight w:val="none"/>
              </w:rPr>
              <w:t>10.设备支持版本回退功能，在当前版本出现故障或操作失误后，可进行回退到历史版本，回退后录像正常回放，且历史录像完整</w:t>
            </w:r>
            <w:r>
              <w:rPr>
                <w:rFonts w:hint="eastAsia" w:ascii="宋体" w:hAnsi="宋体" w:eastAsia="宋体" w:cs="宋体"/>
                <w:sz w:val="24"/>
                <w:szCs w:val="24"/>
                <w:highlight w:val="none"/>
              </w:rPr>
              <w:tab/>
            </w:r>
          </w:p>
          <w:p w14:paraId="2027108E">
            <w:pPr>
              <w:rPr>
                <w:rFonts w:ascii="宋体" w:hAnsi="宋体" w:eastAsia="宋体" w:cs="宋体"/>
                <w:sz w:val="24"/>
                <w:szCs w:val="24"/>
                <w:highlight w:val="none"/>
              </w:rPr>
            </w:pPr>
            <w:r>
              <w:rPr>
                <w:rFonts w:hint="eastAsia" w:ascii="宋体" w:hAnsi="宋体" w:eastAsia="宋体" w:cs="宋体"/>
                <w:sz w:val="24"/>
                <w:szCs w:val="24"/>
                <w:highlight w:val="none"/>
              </w:rPr>
              <w:t>11.设备支持MAID2.0磁盘节能功能，当磁盘不工作时，可根据设置的时间自动启动磁盘降速或磁盘休眠指令，降低磁盘驱动能耗</w:t>
            </w:r>
            <w:r>
              <w:rPr>
                <w:rFonts w:hint="eastAsia" w:ascii="宋体" w:hAnsi="宋体" w:eastAsia="宋体" w:cs="宋体"/>
                <w:sz w:val="24"/>
                <w:szCs w:val="24"/>
                <w:highlight w:val="none"/>
              </w:rPr>
              <w:tab/>
            </w:r>
          </w:p>
          <w:p w14:paraId="2E05E991">
            <w:pPr>
              <w:rPr>
                <w:rFonts w:ascii="宋体" w:hAnsi="宋体" w:eastAsia="宋体" w:cs="宋体"/>
                <w:sz w:val="24"/>
                <w:szCs w:val="24"/>
                <w:highlight w:val="none"/>
              </w:rPr>
            </w:pPr>
            <w:r>
              <w:rPr>
                <w:rFonts w:hint="eastAsia" w:ascii="宋体" w:hAnsi="宋体" w:eastAsia="宋体" w:cs="宋体"/>
                <w:sz w:val="24"/>
                <w:szCs w:val="24"/>
                <w:highlight w:val="none"/>
              </w:rPr>
              <w:t>12.设备支持硬盘的多级工作模式，包括性能模式、空闲模式（A\B\C，A：硬盘短时空闲，可以正常响应IO；B：较多空闲，磁头不再移动，硬盘满转；C:硬盘完全空闲，磁头不再移动，硬盘降速）、休眠模式（硬盘不再旋转，新下发IO需要唤醒）</w:t>
            </w:r>
            <w:r>
              <w:rPr>
                <w:rFonts w:hint="eastAsia" w:ascii="宋体" w:hAnsi="宋体" w:eastAsia="宋体" w:cs="宋体"/>
                <w:sz w:val="24"/>
                <w:szCs w:val="24"/>
                <w:highlight w:val="none"/>
              </w:rPr>
              <w:tab/>
            </w:r>
          </w:p>
          <w:p w14:paraId="5DE67FDA">
            <w:pPr>
              <w:rPr>
                <w:rFonts w:ascii="宋体" w:hAnsi="宋体" w:eastAsia="宋体" w:cs="宋体"/>
                <w:sz w:val="24"/>
                <w:szCs w:val="24"/>
                <w:highlight w:val="none"/>
              </w:rPr>
            </w:pPr>
            <w:r>
              <w:rPr>
                <w:rFonts w:hint="eastAsia" w:ascii="宋体" w:hAnsi="宋体" w:eastAsia="宋体" w:cs="宋体"/>
                <w:sz w:val="24"/>
                <w:szCs w:val="24"/>
                <w:highlight w:val="none"/>
              </w:rPr>
              <w:t>13.支持复杂密码，设备首次使用默认密码登录时，提示修改密码，并且需要强制修改完密码后重新登陆</w:t>
            </w:r>
            <w:r>
              <w:rPr>
                <w:rFonts w:hint="eastAsia" w:ascii="宋体" w:hAnsi="宋体" w:eastAsia="宋体" w:cs="宋体"/>
                <w:sz w:val="24"/>
                <w:szCs w:val="24"/>
                <w:highlight w:val="none"/>
              </w:rPr>
              <w:tab/>
            </w:r>
          </w:p>
          <w:p w14:paraId="2FC10E9D">
            <w:pPr>
              <w:rPr>
                <w:rFonts w:ascii="宋体" w:hAnsi="宋体" w:eastAsia="宋体" w:cs="宋体"/>
                <w:sz w:val="24"/>
                <w:szCs w:val="24"/>
                <w:highlight w:val="none"/>
              </w:rPr>
            </w:pPr>
            <w:r>
              <w:rPr>
                <w:rFonts w:hint="eastAsia" w:ascii="宋体" w:hAnsi="宋体" w:eastAsia="宋体" w:cs="宋体"/>
                <w:sz w:val="24"/>
                <w:szCs w:val="24"/>
                <w:highlight w:val="none"/>
              </w:rPr>
              <w:t>★14.含72块16T企业级硬盘（</w:t>
            </w:r>
            <w:r>
              <w:rPr>
                <w:rFonts w:hint="eastAsia" w:ascii="宋体" w:hAnsi="宋体" w:eastAsia="宋体" w:cs="宋体"/>
                <w:b/>
                <w:bCs/>
                <w:sz w:val="24"/>
                <w:szCs w:val="24"/>
                <w:highlight w:val="none"/>
              </w:rPr>
              <w:t>为保证存储设备的运行的稳定性与安全性，投标方需承诺提供的硬盘为存储设备厂家认证硬盘，供货时出具厂家认证说明函</w:t>
            </w:r>
            <w:r>
              <w:rPr>
                <w:rFonts w:hint="eastAsia" w:ascii="宋体" w:hAnsi="宋体" w:eastAsia="宋体" w:cs="宋体"/>
                <w:sz w:val="24"/>
                <w:szCs w:val="24"/>
                <w:highlight w:val="none"/>
              </w:rPr>
              <w:t>）</w:t>
            </w:r>
          </w:p>
        </w:tc>
        <w:tc>
          <w:tcPr>
            <w:tcW w:w="339" w:type="pct"/>
            <w:shd w:val="clear" w:color="auto" w:fill="auto"/>
            <w:vAlign w:val="center"/>
          </w:tcPr>
          <w:p w14:paraId="4CF8A556">
            <w:pPr>
              <w:rPr>
                <w:rFonts w:ascii="宋体" w:hAnsi="宋体" w:eastAsia="宋体" w:cs="宋体"/>
                <w:sz w:val="24"/>
                <w:szCs w:val="24"/>
                <w:highlight w:val="none"/>
              </w:rPr>
            </w:pPr>
            <w:r>
              <w:rPr>
                <w:rFonts w:hint="eastAsia" w:ascii="宋体" w:hAnsi="宋体" w:eastAsia="宋体" w:cs="宋体"/>
                <w:sz w:val="24"/>
                <w:szCs w:val="24"/>
                <w:highlight w:val="none"/>
              </w:rPr>
              <w:t>4</w:t>
            </w:r>
          </w:p>
        </w:tc>
        <w:tc>
          <w:tcPr>
            <w:tcW w:w="225" w:type="pct"/>
            <w:shd w:val="clear" w:color="auto" w:fill="auto"/>
            <w:vAlign w:val="center"/>
          </w:tcPr>
          <w:p w14:paraId="5491BFFF">
            <w:pPr>
              <w:rPr>
                <w:rFonts w:ascii="宋体" w:hAnsi="宋体" w:eastAsia="宋体" w:cs="宋体"/>
                <w:sz w:val="24"/>
                <w:szCs w:val="24"/>
                <w:highlight w:val="none"/>
              </w:rPr>
            </w:pPr>
            <w:r>
              <w:rPr>
                <w:rFonts w:hint="eastAsia" w:ascii="宋体" w:hAnsi="宋体" w:eastAsia="宋体" w:cs="宋体"/>
                <w:sz w:val="24"/>
                <w:szCs w:val="24"/>
                <w:highlight w:val="none"/>
              </w:rPr>
              <w:t>台</w:t>
            </w:r>
          </w:p>
        </w:tc>
        <w:tc>
          <w:tcPr>
            <w:tcW w:w="427" w:type="pct"/>
            <w:vAlign w:val="center"/>
          </w:tcPr>
          <w:p w14:paraId="431FD467">
            <w:pPr>
              <w:rPr>
                <w:rFonts w:ascii="宋体" w:hAnsi="宋体" w:eastAsia="宋体" w:cs="宋体"/>
                <w:sz w:val="24"/>
                <w:szCs w:val="24"/>
                <w:highlight w:val="none"/>
              </w:rPr>
            </w:pPr>
            <w:r>
              <w:rPr>
                <w:rFonts w:hint="eastAsia" w:ascii="宋体" w:hAnsi="宋体" w:eastAsia="宋体" w:cs="宋体"/>
                <w:sz w:val="24"/>
                <w:szCs w:val="24"/>
                <w:highlight w:val="none"/>
              </w:rPr>
              <w:t>工业</w:t>
            </w:r>
          </w:p>
        </w:tc>
        <w:tc>
          <w:tcPr>
            <w:tcW w:w="245" w:type="pct"/>
            <w:vAlign w:val="center"/>
          </w:tcPr>
          <w:p w14:paraId="14481EEC">
            <w:pPr>
              <w:rPr>
                <w:rFonts w:ascii="宋体" w:hAnsi="宋体" w:eastAsia="宋体" w:cs="宋体"/>
                <w:sz w:val="24"/>
                <w:szCs w:val="24"/>
                <w:highlight w:val="none"/>
              </w:rPr>
            </w:pPr>
          </w:p>
        </w:tc>
      </w:tr>
      <w:tr w14:paraId="56565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shd w:val="clear" w:color="auto" w:fill="auto"/>
            <w:vAlign w:val="center"/>
          </w:tcPr>
          <w:p w14:paraId="78895987">
            <w:pPr>
              <w:widowControl/>
              <w:jc w:val="center"/>
              <w:textAlignment w:val="center"/>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8</w:t>
            </w:r>
          </w:p>
        </w:tc>
        <w:tc>
          <w:tcPr>
            <w:tcW w:w="434" w:type="pct"/>
            <w:shd w:val="clear" w:color="auto" w:fill="auto"/>
            <w:vAlign w:val="center"/>
          </w:tcPr>
          <w:p w14:paraId="261A1C3F">
            <w:pPr>
              <w:rPr>
                <w:rFonts w:ascii="宋体" w:hAnsi="宋体" w:eastAsia="宋体" w:cs="宋体"/>
                <w:sz w:val="24"/>
                <w:szCs w:val="24"/>
                <w:highlight w:val="none"/>
              </w:rPr>
            </w:pPr>
            <w:r>
              <w:rPr>
                <w:rFonts w:hint="eastAsia" w:ascii="宋体" w:hAnsi="宋体" w:eastAsia="宋体" w:cs="宋体"/>
                <w:sz w:val="24"/>
                <w:szCs w:val="24"/>
                <w:highlight w:val="none"/>
              </w:rPr>
              <w:t>48盘位视频存储</w:t>
            </w:r>
          </w:p>
        </w:tc>
        <w:tc>
          <w:tcPr>
            <w:tcW w:w="3016" w:type="pct"/>
            <w:shd w:val="clear" w:color="auto" w:fill="auto"/>
            <w:vAlign w:val="center"/>
          </w:tcPr>
          <w:p w14:paraId="695B066C">
            <w:pPr>
              <w:rPr>
                <w:rFonts w:ascii="宋体" w:hAnsi="宋体" w:eastAsia="宋体" w:cs="宋体"/>
                <w:sz w:val="24"/>
                <w:szCs w:val="24"/>
                <w:highlight w:val="none"/>
              </w:rPr>
            </w:pPr>
            <w:r>
              <w:rPr>
                <w:rFonts w:hint="eastAsia" w:ascii="宋体" w:hAnsi="宋体" w:eastAsia="宋体" w:cs="宋体"/>
                <w:sz w:val="24"/>
                <w:szCs w:val="24"/>
                <w:highlight w:val="none"/>
              </w:rPr>
              <w:t>★1.配置：≥1颗64位多核处理器，≥8GB内存，内存支持扩展到≥256GB，内置SSD固态硬盘（可以扩展到4个SSD作为缓存盘），配置≥8个风扇，风扇支持热插拔并可冗余温控调速；支持热插拔1+1AC220V电源或1+1直流冗余电源供电 （</w:t>
            </w:r>
            <w:r>
              <w:rPr>
                <w:rFonts w:hint="eastAsia" w:ascii="宋体" w:hAnsi="宋体" w:eastAsia="宋体" w:cs="宋体"/>
                <w:b/>
                <w:bCs/>
                <w:sz w:val="24"/>
                <w:szCs w:val="24"/>
                <w:highlight w:val="none"/>
              </w:rPr>
              <w:t>须提供具有CMA或CNAS标识的第三方有权机构出具的检验报告</w:t>
            </w:r>
            <w:r>
              <w:rPr>
                <w:rFonts w:hint="eastAsia" w:ascii="宋体" w:hAnsi="宋体" w:eastAsia="宋体" w:cs="宋体"/>
                <w:sz w:val="24"/>
                <w:szCs w:val="24"/>
                <w:highlight w:val="none"/>
              </w:rPr>
              <w:t>）</w:t>
            </w:r>
          </w:p>
          <w:p w14:paraId="5C8912D5">
            <w:pPr>
              <w:rPr>
                <w:rFonts w:ascii="宋体" w:hAnsi="宋体" w:eastAsia="宋体" w:cs="宋体"/>
                <w:sz w:val="24"/>
                <w:szCs w:val="24"/>
                <w:highlight w:val="none"/>
              </w:rPr>
            </w:pPr>
            <w:r>
              <w:rPr>
                <w:rFonts w:hint="eastAsia" w:ascii="宋体" w:hAnsi="宋体" w:eastAsia="宋体" w:cs="宋体"/>
                <w:sz w:val="24"/>
                <w:szCs w:val="24"/>
                <w:highlight w:val="none"/>
              </w:rPr>
              <w:t>★2.设备标配：≥4个2.5Gb网口，≥2个 USB2.0接口、≥2个USB3.0接口，≥1个VGA接口、≥1个HDMI接口（</w:t>
            </w:r>
            <w:r>
              <w:rPr>
                <w:rFonts w:hint="eastAsia" w:ascii="宋体" w:hAnsi="宋体" w:eastAsia="宋体" w:cs="宋体"/>
                <w:b/>
                <w:bCs/>
                <w:sz w:val="24"/>
                <w:szCs w:val="24"/>
                <w:highlight w:val="none"/>
              </w:rPr>
              <w:t>须提供具有CMA或CNAS标识的第三方有权机构出具的检验报告</w:t>
            </w:r>
            <w:r>
              <w:rPr>
                <w:rFonts w:hint="eastAsia" w:ascii="宋体" w:hAnsi="宋体" w:eastAsia="宋体" w:cs="宋体"/>
                <w:sz w:val="24"/>
                <w:szCs w:val="24"/>
                <w:highlight w:val="none"/>
              </w:rPr>
              <w:t>）</w:t>
            </w:r>
          </w:p>
          <w:p w14:paraId="5BF4E037">
            <w:pPr>
              <w:rPr>
                <w:rFonts w:ascii="宋体" w:hAnsi="宋体" w:eastAsia="宋体" w:cs="宋体"/>
                <w:sz w:val="24"/>
                <w:szCs w:val="24"/>
                <w:highlight w:val="none"/>
              </w:rPr>
            </w:pPr>
            <w:r>
              <w:rPr>
                <w:rFonts w:hint="eastAsia" w:ascii="宋体" w:hAnsi="宋体" w:eastAsia="宋体" w:cs="宋体"/>
                <w:sz w:val="24"/>
                <w:szCs w:val="24"/>
                <w:highlight w:val="none"/>
              </w:rPr>
              <w:t>3.具有48块硬盘热插拔插槽；支持硬盘热插拔设备在读写数据时，热插拔设备内的任意块硬盘，设备正常运行不宕机，硬盘不损坏，数据不丢失，业务不中断。</w:t>
            </w:r>
          </w:p>
          <w:p w14:paraId="0B2CD0B8">
            <w:pPr>
              <w:rPr>
                <w:rFonts w:ascii="宋体" w:hAnsi="宋体" w:eastAsia="宋体" w:cs="宋体"/>
                <w:sz w:val="24"/>
                <w:szCs w:val="24"/>
                <w:highlight w:val="none"/>
              </w:rPr>
            </w:pPr>
            <w:r>
              <w:rPr>
                <w:rFonts w:hint="eastAsia" w:ascii="宋体" w:hAnsi="宋体" w:eastAsia="宋体" w:cs="宋体"/>
                <w:sz w:val="24"/>
                <w:szCs w:val="24"/>
                <w:highlight w:val="none"/>
              </w:rPr>
              <w:t>4.支持视音频、图片、智能数据流进行混合直存，无须存储</w:t>
            </w:r>
            <w:r>
              <w:rPr>
                <w:rFonts w:hint="eastAsia" w:ascii="宋体" w:hAnsi="宋体" w:eastAsia="宋体" w:cs="宋体"/>
                <w:sz w:val="24"/>
                <w:szCs w:val="24"/>
                <w:highlight w:val="none"/>
                <w:lang w:eastAsia="zh-CN"/>
              </w:rPr>
              <w:t>工作站</w:t>
            </w:r>
            <w:r>
              <w:rPr>
                <w:rFonts w:hint="eastAsia" w:ascii="宋体" w:hAnsi="宋体" w:eastAsia="宋体" w:cs="宋体"/>
                <w:sz w:val="24"/>
                <w:szCs w:val="24"/>
                <w:highlight w:val="none"/>
              </w:rPr>
              <w:t>和图片</w:t>
            </w:r>
            <w:r>
              <w:rPr>
                <w:rFonts w:hint="eastAsia" w:ascii="宋体" w:hAnsi="宋体" w:eastAsia="宋体" w:cs="宋体"/>
                <w:sz w:val="24"/>
                <w:szCs w:val="24"/>
                <w:highlight w:val="none"/>
                <w:lang w:eastAsia="zh-CN"/>
              </w:rPr>
              <w:t>工作站</w:t>
            </w:r>
            <w:r>
              <w:rPr>
                <w:rFonts w:hint="eastAsia" w:ascii="宋体" w:hAnsi="宋体" w:eastAsia="宋体" w:cs="宋体"/>
                <w:sz w:val="24"/>
                <w:szCs w:val="24"/>
                <w:highlight w:val="none"/>
              </w:rPr>
              <w:t>的参与，平台</w:t>
            </w:r>
            <w:r>
              <w:rPr>
                <w:rFonts w:hint="eastAsia" w:ascii="宋体" w:hAnsi="宋体" w:eastAsia="宋体" w:cs="宋体"/>
                <w:sz w:val="24"/>
                <w:szCs w:val="24"/>
                <w:highlight w:val="none"/>
                <w:lang w:eastAsia="zh-CN"/>
              </w:rPr>
              <w:t>工作站</w:t>
            </w:r>
            <w:r>
              <w:rPr>
                <w:rFonts w:hint="eastAsia" w:ascii="宋体" w:hAnsi="宋体" w:eastAsia="宋体" w:cs="宋体"/>
                <w:sz w:val="24"/>
                <w:szCs w:val="24"/>
                <w:highlight w:val="none"/>
              </w:rPr>
              <w:t>宕机时，存储业务正常；支持国际GB/T 28181-2022和Onvif视频流直存模式；支持iSCSI直存功能，前端网络摄像机和设备之间可直接通过iSCSI协议进行块存储；</w:t>
            </w:r>
          </w:p>
          <w:p w14:paraId="73E2DE0D">
            <w:pPr>
              <w:rPr>
                <w:rFonts w:ascii="宋体" w:hAnsi="宋体" w:eastAsia="宋体" w:cs="宋体"/>
                <w:sz w:val="24"/>
                <w:szCs w:val="24"/>
                <w:highlight w:val="none"/>
              </w:rPr>
            </w:pPr>
            <w:r>
              <w:rPr>
                <w:rFonts w:hint="eastAsia" w:ascii="宋体" w:hAnsi="宋体" w:eastAsia="宋体" w:cs="宋体"/>
                <w:sz w:val="24"/>
                <w:szCs w:val="24"/>
                <w:highlight w:val="none"/>
              </w:rPr>
              <w:t>5.支持 ONVIF、PSIA、TCP/IP、UDP、SIP、SIP2.0、RTSP、RTP、RTCP、iSCSI、CIFS(SMB)、NFS、FTP、HTTP、AFP、RSYNC、SNMP、IPV4、IPV6、HLS、S3、OSS等协议，支持IP组播</w:t>
            </w:r>
          </w:p>
          <w:p w14:paraId="5FB80F25">
            <w:pPr>
              <w:rPr>
                <w:rFonts w:ascii="宋体" w:hAnsi="宋体" w:eastAsia="宋体" w:cs="宋体"/>
                <w:sz w:val="24"/>
                <w:szCs w:val="24"/>
                <w:highlight w:val="none"/>
              </w:rPr>
            </w:pPr>
            <w:r>
              <w:rPr>
                <w:rFonts w:hint="eastAsia" w:ascii="宋体" w:hAnsi="宋体" w:eastAsia="宋体" w:cs="宋体"/>
                <w:sz w:val="24"/>
                <w:szCs w:val="24"/>
                <w:highlight w:val="none"/>
              </w:rPr>
              <w:t>★6.设备支持硬盘的多级工作模式，包括性能模式、空闲模式（A\B\C，A：硬盘短时空闲，可以正常响应IO；B：较多空闲，磁头不再移动，硬盘满转；C:硬盘完全空闲，磁头不再移动，硬盘降速）、休眠模式（硬盘不再旋转，新下发IO需要唤醒）。（</w:t>
            </w:r>
            <w:r>
              <w:rPr>
                <w:rFonts w:hint="eastAsia" w:ascii="宋体" w:hAnsi="宋体" w:eastAsia="宋体" w:cs="宋体"/>
                <w:b/>
                <w:bCs/>
                <w:sz w:val="24"/>
                <w:szCs w:val="24"/>
                <w:highlight w:val="none"/>
              </w:rPr>
              <w:t>须提供具有CMA或CNAS标识的第三方有权机构出具的检验报告</w:t>
            </w:r>
            <w:r>
              <w:rPr>
                <w:rFonts w:hint="eastAsia" w:ascii="宋体" w:hAnsi="宋体" w:eastAsia="宋体" w:cs="宋体"/>
                <w:sz w:val="24"/>
                <w:szCs w:val="24"/>
                <w:highlight w:val="none"/>
              </w:rPr>
              <w:t>）</w:t>
            </w:r>
          </w:p>
          <w:p w14:paraId="5ED3DA60">
            <w:pPr>
              <w:rPr>
                <w:rFonts w:ascii="宋体" w:hAnsi="宋体" w:eastAsia="宋体" w:cs="宋体"/>
                <w:sz w:val="24"/>
                <w:szCs w:val="24"/>
                <w:highlight w:val="none"/>
              </w:rPr>
            </w:pPr>
            <w:r>
              <w:rPr>
                <w:rFonts w:hint="eastAsia" w:ascii="宋体" w:hAnsi="宋体" w:eastAsia="宋体" w:cs="宋体"/>
                <w:sz w:val="24"/>
                <w:szCs w:val="24"/>
                <w:highlight w:val="none"/>
              </w:rPr>
              <w:t>7.支持不低于2048Mbps图片转发；支持不低于2048Mbps图片并发输入，同时不低于2048Mbps图片并发输出</w:t>
            </w:r>
          </w:p>
          <w:p w14:paraId="2F3220A2">
            <w:pPr>
              <w:rPr>
                <w:rFonts w:ascii="宋体" w:hAnsi="宋体" w:eastAsia="宋体" w:cs="宋体"/>
                <w:sz w:val="24"/>
                <w:szCs w:val="24"/>
                <w:highlight w:val="none"/>
              </w:rPr>
            </w:pPr>
            <w:r>
              <w:rPr>
                <w:rFonts w:hint="eastAsia" w:ascii="宋体" w:hAnsi="宋体" w:eastAsia="宋体" w:cs="宋体"/>
                <w:sz w:val="24"/>
                <w:szCs w:val="24"/>
                <w:highlight w:val="none"/>
              </w:rPr>
              <w:t>★8.支持网络RAID纠删码技术，多台存储设备组建网络RAID，设置为负载均衡；单台或多台存储设备组建网络RAID，允许每组RAID中任意1-18个磁盘发生故障，数据不丢失，存储服务不中断；允许每组RAID中任意20块硬盘发生故障，业务不中断。（</w:t>
            </w:r>
            <w:r>
              <w:rPr>
                <w:rFonts w:hint="eastAsia" w:ascii="宋体" w:hAnsi="宋体" w:eastAsia="宋体" w:cs="宋体"/>
                <w:b/>
                <w:bCs/>
                <w:sz w:val="24"/>
                <w:szCs w:val="24"/>
                <w:highlight w:val="none"/>
              </w:rPr>
              <w:t>须提供具有CMA或CNAS标识的第三方有权机构出具的检验报告</w:t>
            </w:r>
            <w:r>
              <w:rPr>
                <w:rFonts w:hint="eastAsia" w:ascii="宋体" w:hAnsi="宋体" w:eastAsia="宋体" w:cs="宋体"/>
                <w:sz w:val="24"/>
                <w:szCs w:val="24"/>
                <w:highlight w:val="none"/>
              </w:rPr>
              <w:t>）</w:t>
            </w:r>
          </w:p>
          <w:p w14:paraId="0C911D9B">
            <w:pPr>
              <w:rPr>
                <w:rFonts w:ascii="宋体" w:hAnsi="宋体" w:eastAsia="宋体" w:cs="宋体"/>
                <w:sz w:val="24"/>
                <w:szCs w:val="24"/>
                <w:highlight w:val="none"/>
              </w:rPr>
            </w:pPr>
            <w:r>
              <w:rPr>
                <w:rFonts w:hint="eastAsia" w:ascii="宋体" w:hAnsi="宋体" w:eastAsia="宋体" w:cs="宋体"/>
                <w:sz w:val="24"/>
                <w:szCs w:val="24"/>
                <w:highlight w:val="none"/>
              </w:rPr>
              <w:t>9.支持磁盘故障重构，可根据业务需要配置重构速度，支持低速、中速、高速和全速四种重构速度配置，可通过客户端软件显示重构速度；可根据自身业务量自动调节重构速度，当设备空间资源达到预设值时，可自动提高重构速度，当空间资源低于预设值时，可自动降低重构速度</w:t>
            </w:r>
          </w:p>
          <w:p w14:paraId="6D50C116">
            <w:pPr>
              <w:rPr>
                <w:rFonts w:ascii="宋体" w:hAnsi="宋体" w:eastAsia="宋体" w:cs="宋体"/>
                <w:sz w:val="24"/>
                <w:szCs w:val="24"/>
                <w:highlight w:val="none"/>
              </w:rPr>
            </w:pPr>
            <w:r>
              <w:rPr>
                <w:rFonts w:hint="eastAsia" w:ascii="宋体" w:hAnsi="宋体" w:eastAsia="宋体" w:cs="宋体"/>
                <w:sz w:val="24"/>
                <w:szCs w:val="24"/>
                <w:highlight w:val="none"/>
              </w:rPr>
              <w:t>★10.应能接入并存储总码流不超过4096Mbps的2048路2Mbps码流或1024路4Mbps码流的视(音)频图像;同时转发总码流不超过4096Mbps的2048路2Mbps码流或1024路4Mbps码流的视(音)频图像;同时下载总码流不超过4096Mbps的2Mbps码流的视(音)频图像;同时回放总码流不超过1400 Mbps的视(音)频图像。当RAID处于降级或重构状态时，存储业务正常。在转发模式下，可进行4096路2Mbps视频码流转发，在总带宽不变的情况下，接入、转发、回放间的性能值可自由调整（</w:t>
            </w:r>
            <w:r>
              <w:rPr>
                <w:rFonts w:hint="eastAsia" w:ascii="宋体" w:hAnsi="宋体" w:eastAsia="宋体" w:cs="宋体"/>
                <w:b/>
                <w:bCs/>
                <w:sz w:val="24"/>
                <w:szCs w:val="24"/>
                <w:highlight w:val="none"/>
              </w:rPr>
              <w:t>须提供具有CMA或CNAS标识的第三方有权机构出具的检验报告</w:t>
            </w:r>
            <w:r>
              <w:rPr>
                <w:rFonts w:hint="eastAsia" w:ascii="宋体" w:hAnsi="宋体" w:eastAsia="宋体" w:cs="宋体"/>
                <w:sz w:val="24"/>
                <w:szCs w:val="24"/>
                <w:highlight w:val="none"/>
              </w:rPr>
              <w:t>）</w:t>
            </w:r>
          </w:p>
          <w:p w14:paraId="2E492F9A">
            <w:pPr>
              <w:rPr>
                <w:rFonts w:ascii="宋体" w:hAnsi="宋体" w:eastAsia="宋体" w:cs="宋体"/>
                <w:sz w:val="24"/>
                <w:szCs w:val="24"/>
                <w:highlight w:val="none"/>
              </w:rPr>
            </w:pPr>
            <w:r>
              <w:rPr>
                <w:rFonts w:hint="eastAsia" w:ascii="宋体" w:hAnsi="宋体" w:eastAsia="宋体" w:cs="宋体"/>
                <w:sz w:val="24"/>
                <w:szCs w:val="24"/>
                <w:highlight w:val="none"/>
              </w:rPr>
              <w:t>11.支持硬盘灯提示功能。当系统检查到硬盘损坏、坏块太多、读写大量异常或者无法获取硬盘信息等问题，硬盘会被定义为坏盘，通过用户界面硬盘位标识为灰色，硬件上硬盘灯显示为红色长亮；当硬盘指示灯为蓝色时，硬盘状态正常</w:t>
            </w:r>
          </w:p>
          <w:p w14:paraId="6D62476B">
            <w:pPr>
              <w:rPr>
                <w:rFonts w:ascii="宋体" w:hAnsi="宋体" w:eastAsia="宋体" w:cs="宋体"/>
                <w:sz w:val="24"/>
                <w:szCs w:val="24"/>
                <w:highlight w:val="none"/>
              </w:rPr>
            </w:pPr>
            <w:r>
              <w:rPr>
                <w:rFonts w:hint="eastAsia" w:ascii="宋体" w:hAnsi="宋体" w:eastAsia="宋体" w:cs="宋体"/>
                <w:sz w:val="24"/>
                <w:szCs w:val="24"/>
                <w:highlight w:val="none"/>
              </w:rPr>
              <w:t>12.支持内存资源动态调节，根据业务进行自动分配，当业务压力增加时，内存自动分配</w:t>
            </w:r>
          </w:p>
          <w:p w14:paraId="13488BE1">
            <w:pPr>
              <w:rPr>
                <w:rFonts w:ascii="宋体" w:hAnsi="宋体" w:eastAsia="宋体" w:cs="宋体"/>
                <w:sz w:val="24"/>
                <w:szCs w:val="24"/>
                <w:highlight w:val="none"/>
              </w:rPr>
            </w:pPr>
            <w:r>
              <w:rPr>
                <w:rFonts w:hint="eastAsia" w:ascii="宋体" w:hAnsi="宋体" w:eastAsia="宋体" w:cs="宋体"/>
                <w:sz w:val="24"/>
                <w:szCs w:val="24"/>
                <w:highlight w:val="none"/>
              </w:rPr>
              <w:t>13.可对视音频、图片、结构化数据、对象等文件进行混合存储，并可通过http和https方式下载，支持划分多个对象池，支持对象池的独立循环覆盖，并支持多种操作方式，包括创建、查询、编辑、删除等；支持对象文件下载 ；支持断点续传下载；支持流式视频文件上传、存储，支持点播回放</w:t>
            </w:r>
          </w:p>
          <w:p w14:paraId="23276930">
            <w:pPr>
              <w:rPr>
                <w:rFonts w:ascii="宋体" w:hAnsi="宋体" w:eastAsia="宋体" w:cs="宋体"/>
                <w:sz w:val="24"/>
                <w:szCs w:val="24"/>
                <w:highlight w:val="none"/>
              </w:rPr>
            </w:pPr>
            <w:r>
              <w:rPr>
                <w:rFonts w:hint="eastAsia" w:ascii="宋体" w:hAnsi="宋体" w:eastAsia="宋体" w:cs="宋体"/>
                <w:sz w:val="24"/>
                <w:szCs w:val="24"/>
                <w:highlight w:val="none"/>
              </w:rPr>
              <w:t>14.支持配置多个录像卷、图片卷、文件卷，支持不同的卷，配置不同的覆盖策略</w:t>
            </w:r>
          </w:p>
          <w:p w14:paraId="4FF78E25">
            <w:pPr>
              <w:rPr>
                <w:rFonts w:ascii="宋体" w:hAnsi="宋体" w:eastAsia="宋体" w:cs="宋体"/>
                <w:sz w:val="24"/>
                <w:szCs w:val="24"/>
                <w:highlight w:val="none"/>
              </w:rPr>
            </w:pPr>
            <w:r>
              <w:rPr>
                <w:rFonts w:hint="eastAsia" w:ascii="宋体" w:hAnsi="宋体" w:eastAsia="宋体" w:cs="宋体"/>
                <w:sz w:val="24"/>
                <w:szCs w:val="24"/>
                <w:highlight w:val="none"/>
              </w:rPr>
              <w:t>15.支持运维客户端监管存储设备状态，包括系统、硬盘、环控、报警、保养灯等模块，并同步实时展示；运维客户端可展示设备的在线和离线状态，并同步统计在线、离线设备的数量；针对在线设备，同步显示连接异常、警告等状态信息，并统计相关数量；运维客户端支持设备报告的管理和下载功能。支持手动下载及策略下载；可设置下载时间，下载数量，及周期性管理；可灵活配置下载周期，支持每天、每三天、每周、每月等模式的配置</w:t>
            </w:r>
          </w:p>
          <w:p w14:paraId="384CB21E">
            <w:pPr>
              <w:rPr>
                <w:rFonts w:ascii="宋体" w:hAnsi="宋体" w:eastAsia="宋体" w:cs="宋体"/>
                <w:sz w:val="24"/>
                <w:szCs w:val="24"/>
                <w:highlight w:val="none"/>
              </w:rPr>
            </w:pPr>
            <w:r>
              <w:rPr>
                <w:rFonts w:hint="eastAsia" w:ascii="宋体" w:hAnsi="宋体" w:eastAsia="宋体" w:cs="宋体"/>
                <w:sz w:val="24"/>
                <w:szCs w:val="24"/>
                <w:highlight w:val="none"/>
              </w:rPr>
              <w:t>16.支持页面向导型快速配置，在配置前期，对设备进行全面的检测，包括物理环境，域环境，平台环境进行全面扫描，针对发现的异常，给出对应的提示，会明确指出异常，包括硬盘数量异常、docker服务异常、镜像等情况</w:t>
            </w:r>
          </w:p>
          <w:p w14:paraId="5A4C6C20">
            <w:pPr>
              <w:rPr>
                <w:rFonts w:ascii="宋体" w:hAnsi="宋体" w:eastAsia="宋体" w:cs="宋体"/>
                <w:sz w:val="24"/>
                <w:szCs w:val="24"/>
                <w:highlight w:val="none"/>
              </w:rPr>
            </w:pPr>
            <w:r>
              <w:rPr>
                <w:rFonts w:hint="eastAsia" w:ascii="宋体" w:hAnsi="宋体" w:eastAsia="宋体" w:cs="宋体"/>
                <w:sz w:val="24"/>
                <w:szCs w:val="24"/>
                <w:highlight w:val="none"/>
              </w:rPr>
              <w:t>17．含48块16T企业级硬盘（</w:t>
            </w:r>
            <w:r>
              <w:rPr>
                <w:rFonts w:hint="eastAsia" w:ascii="宋体" w:hAnsi="宋体" w:eastAsia="宋体" w:cs="宋体"/>
                <w:b/>
                <w:bCs/>
                <w:sz w:val="24"/>
                <w:szCs w:val="24"/>
                <w:highlight w:val="none"/>
              </w:rPr>
              <w:t>为保证存储设备的运行的稳定性与安全性，投标方需承诺提供的硬盘为存储设备厂家认证硬盘，供货时出具厂家认证说明函</w:t>
            </w:r>
            <w:r>
              <w:rPr>
                <w:rFonts w:hint="eastAsia" w:ascii="宋体" w:hAnsi="宋体" w:eastAsia="宋体" w:cs="宋体"/>
                <w:sz w:val="24"/>
                <w:szCs w:val="24"/>
                <w:highlight w:val="none"/>
              </w:rPr>
              <w:t>）</w:t>
            </w:r>
          </w:p>
        </w:tc>
        <w:tc>
          <w:tcPr>
            <w:tcW w:w="339" w:type="pct"/>
            <w:shd w:val="clear" w:color="auto" w:fill="auto"/>
            <w:vAlign w:val="center"/>
          </w:tcPr>
          <w:p w14:paraId="2F2C0A54">
            <w:pPr>
              <w:rPr>
                <w:rFonts w:ascii="宋体" w:hAnsi="宋体" w:eastAsia="宋体" w:cs="宋体"/>
                <w:sz w:val="24"/>
                <w:szCs w:val="24"/>
                <w:highlight w:val="none"/>
              </w:rPr>
            </w:pPr>
            <w:r>
              <w:rPr>
                <w:rFonts w:hint="eastAsia" w:ascii="宋体" w:hAnsi="宋体" w:eastAsia="宋体" w:cs="宋体"/>
                <w:sz w:val="24"/>
                <w:szCs w:val="24"/>
                <w:highlight w:val="none"/>
              </w:rPr>
              <w:t>1</w:t>
            </w:r>
          </w:p>
        </w:tc>
        <w:tc>
          <w:tcPr>
            <w:tcW w:w="225" w:type="pct"/>
            <w:shd w:val="clear" w:color="auto" w:fill="auto"/>
            <w:vAlign w:val="center"/>
          </w:tcPr>
          <w:p w14:paraId="70E6C462">
            <w:pPr>
              <w:rPr>
                <w:rFonts w:ascii="宋体" w:hAnsi="宋体" w:eastAsia="宋体" w:cs="宋体"/>
                <w:sz w:val="24"/>
                <w:szCs w:val="24"/>
                <w:highlight w:val="none"/>
              </w:rPr>
            </w:pPr>
            <w:r>
              <w:rPr>
                <w:rFonts w:hint="eastAsia" w:ascii="宋体" w:hAnsi="宋体" w:eastAsia="宋体" w:cs="宋体"/>
                <w:sz w:val="24"/>
                <w:szCs w:val="24"/>
                <w:highlight w:val="none"/>
              </w:rPr>
              <w:t>台</w:t>
            </w:r>
          </w:p>
        </w:tc>
        <w:tc>
          <w:tcPr>
            <w:tcW w:w="427" w:type="pct"/>
            <w:vAlign w:val="center"/>
          </w:tcPr>
          <w:p w14:paraId="16AA6097">
            <w:pPr>
              <w:rPr>
                <w:rFonts w:ascii="宋体" w:hAnsi="宋体" w:eastAsia="宋体" w:cs="宋体"/>
                <w:sz w:val="24"/>
                <w:szCs w:val="24"/>
                <w:highlight w:val="none"/>
              </w:rPr>
            </w:pPr>
            <w:r>
              <w:rPr>
                <w:rFonts w:hint="eastAsia" w:ascii="宋体" w:hAnsi="宋体" w:eastAsia="宋体" w:cs="宋体"/>
                <w:sz w:val="24"/>
                <w:szCs w:val="24"/>
                <w:highlight w:val="none"/>
              </w:rPr>
              <w:t>工业</w:t>
            </w:r>
          </w:p>
        </w:tc>
        <w:tc>
          <w:tcPr>
            <w:tcW w:w="245" w:type="pct"/>
            <w:vAlign w:val="center"/>
          </w:tcPr>
          <w:p w14:paraId="62C85B4A">
            <w:pPr>
              <w:rPr>
                <w:rFonts w:ascii="宋体" w:hAnsi="宋体" w:eastAsia="宋体" w:cs="宋体"/>
                <w:sz w:val="24"/>
                <w:szCs w:val="24"/>
                <w:highlight w:val="none"/>
              </w:rPr>
            </w:pPr>
          </w:p>
        </w:tc>
      </w:tr>
      <w:tr w14:paraId="7EEEB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shd w:val="clear" w:color="auto" w:fill="auto"/>
            <w:vAlign w:val="center"/>
          </w:tcPr>
          <w:p w14:paraId="4CCC57C6">
            <w:pPr>
              <w:widowControl/>
              <w:jc w:val="center"/>
              <w:textAlignment w:val="center"/>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9</w:t>
            </w:r>
          </w:p>
        </w:tc>
        <w:tc>
          <w:tcPr>
            <w:tcW w:w="434" w:type="pct"/>
            <w:shd w:val="clear" w:color="auto" w:fill="auto"/>
            <w:vAlign w:val="center"/>
          </w:tcPr>
          <w:p w14:paraId="3873C330">
            <w:pPr>
              <w:rPr>
                <w:rFonts w:ascii="宋体" w:hAnsi="宋体" w:eastAsia="宋体" w:cs="宋体"/>
                <w:sz w:val="24"/>
                <w:szCs w:val="24"/>
                <w:highlight w:val="none"/>
                <w:lang w:eastAsia="en-US"/>
              </w:rPr>
            </w:pPr>
            <w:r>
              <w:rPr>
                <w:rFonts w:hint="eastAsia" w:ascii="宋体" w:hAnsi="宋体" w:eastAsia="宋体" w:cs="宋体"/>
                <w:sz w:val="24"/>
                <w:szCs w:val="24"/>
                <w:highlight w:val="none"/>
                <w:lang w:eastAsia="en-US"/>
              </w:rPr>
              <w:t>千兆接入交换机</w:t>
            </w:r>
          </w:p>
        </w:tc>
        <w:tc>
          <w:tcPr>
            <w:tcW w:w="3016" w:type="pct"/>
            <w:shd w:val="clear" w:color="auto" w:fill="auto"/>
            <w:vAlign w:val="center"/>
          </w:tcPr>
          <w:p w14:paraId="52B8786B">
            <w:pPr>
              <w:rPr>
                <w:rFonts w:ascii="宋体" w:hAnsi="宋体" w:eastAsia="宋体" w:cs="宋体"/>
                <w:sz w:val="24"/>
                <w:szCs w:val="24"/>
                <w:highlight w:val="none"/>
              </w:rPr>
            </w:pPr>
            <w:r>
              <w:rPr>
                <w:rFonts w:hint="eastAsia" w:ascii="宋体" w:hAnsi="宋体" w:eastAsia="宋体" w:cs="宋体"/>
                <w:sz w:val="24"/>
                <w:szCs w:val="24"/>
                <w:highlight w:val="none"/>
              </w:rPr>
              <w:t>1.配置：可用千兆电口数量≥24，千兆光口数量≥2</w:t>
            </w:r>
          </w:p>
          <w:p w14:paraId="4A42AE5E">
            <w:pPr>
              <w:rPr>
                <w:rFonts w:ascii="宋体" w:hAnsi="宋体" w:eastAsia="宋体" w:cs="宋体"/>
                <w:sz w:val="24"/>
                <w:szCs w:val="24"/>
                <w:highlight w:val="none"/>
              </w:rPr>
            </w:pPr>
            <w:r>
              <w:rPr>
                <w:rFonts w:hint="eastAsia" w:ascii="宋体" w:hAnsi="宋体" w:eastAsia="宋体" w:cs="宋体"/>
                <w:sz w:val="24"/>
                <w:szCs w:val="24"/>
                <w:highlight w:val="none"/>
              </w:rPr>
              <w:t>2.交换容量≥56 Gbps，转发性能≥41.67 Mpps</w:t>
            </w:r>
          </w:p>
          <w:p w14:paraId="4786FA7C">
            <w:pPr>
              <w:rPr>
                <w:rFonts w:ascii="宋体" w:hAnsi="宋体" w:eastAsia="宋体" w:cs="宋体"/>
                <w:sz w:val="24"/>
                <w:szCs w:val="24"/>
                <w:highlight w:val="none"/>
              </w:rPr>
            </w:pPr>
            <w:r>
              <w:rPr>
                <w:rFonts w:hint="eastAsia" w:ascii="宋体" w:hAnsi="宋体" w:eastAsia="宋体" w:cs="宋体"/>
                <w:sz w:val="24"/>
                <w:szCs w:val="24"/>
                <w:highlight w:val="none"/>
              </w:rPr>
              <w:t>3.支持通过管理平台对交换机进行远程控制和状态查看</w:t>
            </w:r>
          </w:p>
          <w:p w14:paraId="221E8BC1">
            <w:pPr>
              <w:rPr>
                <w:rFonts w:ascii="宋体" w:hAnsi="宋体" w:eastAsia="宋体" w:cs="宋体"/>
                <w:sz w:val="24"/>
                <w:szCs w:val="24"/>
                <w:highlight w:val="none"/>
              </w:rPr>
            </w:pPr>
            <w:r>
              <w:rPr>
                <w:rFonts w:hint="eastAsia" w:ascii="宋体" w:hAnsi="宋体" w:eastAsia="宋体" w:cs="宋体"/>
                <w:sz w:val="24"/>
                <w:szCs w:val="24"/>
                <w:highlight w:val="none"/>
              </w:rPr>
              <w:t>4.支持通过管理平台展示并管理交换机的拓扑</w:t>
            </w:r>
          </w:p>
          <w:p w14:paraId="1CF701EB">
            <w:pPr>
              <w:rPr>
                <w:rFonts w:ascii="宋体" w:hAnsi="宋体" w:eastAsia="宋体" w:cs="宋体"/>
                <w:sz w:val="24"/>
                <w:szCs w:val="24"/>
                <w:highlight w:val="none"/>
              </w:rPr>
            </w:pPr>
            <w:r>
              <w:rPr>
                <w:rFonts w:hint="eastAsia" w:ascii="宋体" w:hAnsi="宋体" w:eastAsia="宋体" w:cs="宋体"/>
                <w:sz w:val="24"/>
                <w:szCs w:val="24"/>
                <w:highlight w:val="none"/>
              </w:rPr>
              <w:t>5.交换机支持不同拓扑连接方式，包括网线连接、光纤连接、无线连接</w:t>
            </w:r>
          </w:p>
          <w:p w14:paraId="3F42F175">
            <w:pPr>
              <w:rPr>
                <w:rFonts w:ascii="宋体" w:hAnsi="宋体" w:eastAsia="宋体" w:cs="宋体"/>
                <w:sz w:val="24"/>
                <w:szCs w:val="24"/>
                <w:highlight w:val="none"/>
              </w:rPr>
            </w:pPr>
            <w:r>
              <w:rPr>
                <w:rFonts w:hint="eastAsia" w:ascii="宋体" w:hAnsi="宋体" w:eastAsia="宋体" w:cs="宋体"/>
                <w:sz w:val="24"/>
                <w:szCs w:val="24"/>
                <w:highlight w:val="none"/>
              </w:rPr>
              <w:t>6.支持通过管理平台在网络拓扑中展示交换机详情，包括基本信息、交换机性能使用信息、交换机面板状态、端口信息</w:t>
            </w:r>
          </w:p>
          <w:p w14:paraId="3223691A">
            <w:pPr>
              <w:rPr>
                <w:rFonts w:ascii="宋体" w:hAnsi="宋体" w:eastAsia="宋体" w:cs="宋体"/>
                <w:sz w:val="24"/>
                <w:szCs w:val="24"/>
                <w:highlight w:val="none"/>
              </w:rPr>
            </w:pPr>
            <w:r>
              <w:rPr>
                <w:rFonts w:hint="eastAsia" w:ascii="宋体" w:hAnsi="宋体" w:eastAsia="宋体" w:cs="宋体"/>
                <w:sz w:val="24"/>
                <w:szCs w:val="24"/>
                <w:highlight w:val="none"/>
              </w:rPr>
              <w:t>7.支持通过管理平台对交换机的端口进行速率、流控、使能配置</w:t>
            </w:r>
          </w:p>
          <w:p w14:paraId="380B4464">
            <w:pPr>
              <w:rPr>
                <w:rFonts w:ascii="宋体" w:hAnsi="宋体" w:eastAsia="宋体" w:cs="宋体"/>
                <w:sz w:val="24"/>
                <w:szCs w:val="24"/>
                <w:highlight w:val="none"/>
              </w:rPr>
            </w:pPr>
            <w:r>
              <w:rPr>
                <w:rFonts w:hint="eastAsia" w:ascii="宋体" w:hAnsi="宋体" w:eastAsia="宋体" w:cs="宋体"/>
                <w:sz w:val="24"/>
                <w:szCs w:val="24"/>
                <w:highlight w:val="none"/>
              </w:rPr>
              <w:t>8.支持通过管理平台对交换机的端口进行实时收发速率、峰值收发速率统计</w:t>
            </w:r>
          </w:p>
          <w:p w14:paraId="749C383D">
            <w:pPr>
              <w:rPr>
                <w:rFonts w:ascii="宋体" w:hAnsi="宋体" w:eastAsia="宋体" w:cs="宋体"/>
                <w:sz w:val="24"/>
                <w:szCs w:val="24"/>
                <w:highlight w:val="none"/>
              </w:rPr>
            </w:pPr>
            <w:r>
              <w:rPr>
                <w:rFonts w:hint="eastAsia" w:ascii="宋体" w:hAnsi="宋体" w:eastAsia="宋体" w:cs="宋体"/>
                <w:sz w:val="24"/>
                <w:szCs w:val="24"/>
                <w:highlight w:val="none"/>
              </w:rPr>
              <w:t>9.支持通过管理平台对交换机的VLAN功能进行配置</w:t>
            </w:r>
          </w:p>
          <w:p w14:paraId="7223B454">
            <w:pPr>
              <w:rPr>
                <w:rFonts w:ascii="宋体" w:hAnsi="宋体" w:eastAsia="宋体" w:cs="宋体"/>
                <w:sz w:val="24"/>
                <w:szCs w:val="24"/>
                <w:highlight w:val="none"/>
              </w:rPr>
            </w:pPr>
            <w:r>
              <w:rPr>
                <w:rFonts w:hint="eastAsia" w:ascii="宋体" w:hAnsi="宋体" w:eastAsia="宋体" w:cs="宋体"/>
                <w:sz w:val="24"/>
                <w:szCs w:val="24"/>
                <w:highlight w:val="none"/>
              </w:rPr>
              <w:t>10.支持通过管理平台对交换机进行准入配置，识别接入终端并进行终端准入管控，阻止异常终端接入</w:t>
            </w:r>
          </w:p>
          <w:p w14:paraId="10EB2A68">
            <w:pPr>
              <w:rPr>
                <w:rFonts w:ascii="宋体" w:hAnsi="宋体" w:eastAsia="宋体" w:cs="宋体"/>
                <w:sz w:val="24"/>
                <w:szCs w:val="24"/>
                <w:highlight w:val="none"/>
              </w:rPr>
            </w:pPr>
            <w:r>
              <w:rPr>
                <w:rFonts w:hint="eastAsia" w:ascii="宋体" w:hAnsi="宋体" w:eastAsia="宋体" w:cs="宋体"/>
                <w:sz w:val="24"/>
                <w:szCs w:val="24"/>
                <w:highlight w:val="none"/>
              </w:rPr>
              <w:t>11.支持SNMP管理、LLDP功能</w:t>
            </w:r>
          </w:p>
          <w:p w14:paraId="5C271544">
            <w:pPr>
              <w:rPr>
                <w:rFonts w:ascii="宋体" w:hAnsi="宋体" w:eastAsia="宋体" w:cs="宋体"/>
                <w:sz w:val="24"/>
                <w:szCs w:val="24"/>
                <w:highlight w:val="none"/>
              </w:rPr>
            </w:pPr>
            <w:r>
              <w:rPr>
                <w:rFonts w:hint="eastAsia" w:ascii="宋体" w:hAnsi="宋体" w:eastAsia="宋体" w:cs="宋体"/>
                <w:sz w:val="24"/>
                <w:szCs w:val="24"/>
                <w:highlight w:val="none"/>
              </w:rPr>
              <w:t>12.支持链路聚合、QoS、STP/RSTP、端口镜像、端口隔离、风暴抑制功能</w:t>
            </w:r>
          </w:p>
        </w:tc>
        <w:tc>
          <w:tcPr>
            <w:tcW w:w="339" w:type="pct"/>
            <w:shd w:val="clear" w:color="auto" w:fill="auto"/>
            <w:vAlign w:val="center"/>
          </w:tcPr>
          <w:p w14:paraId="6E930F2F">
            <w:pPr>
              <w:rPr>
                <w:rFonts w:ascii="宋体" w:hAnsi="宋体" w:eastAsia="宋体" w:cs="宋体"/>
                <w:sz w:val="24"/>
                <w:szCs w:val="24"/>
                <w:highlight w:val="none"/>
              </w:rPr>
            </w:pPr>
            <w:r>
              <w:rPr>
                <w:rFonts w:hint="eastAsia" w:ascii="宋体" w:hAnsi="宋体" w:eastAsia="宋体" w:cs="宋体"/>
                <w:sz w:val="24"/>
                <w:szCs w:val="24"/>
                <w:highlight w:val="none"/>
              </w:rPr>
              <w:t>78</w:t>
            </w:r>
          </w:p>
        </w:tc>
        <w:tc>
          <w:tcPr>
            <w:tcW w:w="225" w:type="pct"/>
            <w:shd w:val="clear" w:color="auto" w:fill="auto"/>
            <w:vAlign w:val="center"/>
          </w:tcPr>
          <w:p w14:paraId="7B974FE6">
            <w:pPr>
              <w:rPr>
                <w:rFonts w:ascii="宋体" w:hAnsi="宋体" w:eastAsia="宋体" w:cs="宋体"/>
                <w:sz w:val="24"/>
                <w:szCs w:val="24"/>
                <w:highlight w:val="none"/>
              </w:rPr>
            </w:pPr>
            <w:r>
              <w:rPr>
                <w:rFonts w:hint="eastAsia" w:ascii="宋体" w:hAnsi="宋体" w:eastAsia="宋体" w:cs="宋体"/>
                <w:sz w:val="24"/>
                <w:szCs w:val="24"/>
                <w:highlight w:val="none"/>
              </w:rPr>
              <w:t>台</w:t>
            </w:r>
          </w:p>
        </w:tc>
        <w:tc>
          <w:tcPr>
            <w:tcW w:w="427" w:type="pct"/>
            <w:vAlign w:val="center"/>
          </w:tcPr>
          <w:p w14:paraId="691662D1">
            <w:pPr>
              <w:rPr>
                <w:rFonts w:ascii="宋体" w:hAnsi="宋体" w:eastAsia="宋体" w:cs="宋体"/>
                <w:sz w:val="24"/>
                <w:szCs w:val="24"/>
                <w:highlight w:val="none"/>
              </w:rPr>
            </w:pPr>
            <w:r>
              <w:rPr>
                <w:rFonts w:hint="eastAsia" w:ascii="宋体" w:hAnsi="宋体" w:eastAsia="宋体" w:cs="宋体"/>
                <w:sz w:val="24"/>
                <w:szCs w:val="24"/>
                <w:highlight w:val="none"/>
              </w:rPr>
              <w:t>工业</w:t>
            </w:r>
          </w:p>
        </w:tc>
        <w:tc>
          <w:tcPr>
            <w:tcW w:w="245" w:type="pct"/>
            <w:vAlign w:val="center"/>
          </w:tcPr>
          <w:p w14:paraId="14281ECE">
            <w:pPr>
              <w:rPr>
                <w:rFonts w:ascii="宋体" w:hAnsi="宋体" w:eastAsia="宋体" w:cs="宋体"/>
                <w:sz w:val="24"/>
                <w:szCs w:val="24"/>
                <w:highlight w:val="none"/>
              </w:rPr>
            </w:pPr>
          </w:p>
        </w:tc>
      </w:tr>
      <w:tr w14:paraId="62856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shd w:val="clear" w:color="auto" w:fill="auto"/>
            <w:vAlign w:val="center"/>
          </w:tcPr>
          <w:p w14:paraId="540737FA">
            <w:pPr>
              <w:widowControl/>
              <w:textAlignment w:val="center"/>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10</w:t>
            </w:r>
          </w:p>
        </w:tc>
        <w:tc>
          <w:tcPr>
            <w:tcW w:w="434" w:type="pct"/>
            <w:shd w:val="clear" w:color="auto" w:fill="auto"/>
            <w:vAlign w:val="center"/>
          </w:tcPr>
          <w:p w14:paraId="68A46FA8">
            <w:pPr>
              <w:rPr>
                <w:rFonts w:ascii="宋体" w:hAnsi="宋体" w:eastAsia="宋体" w:cs="宋体"/>
                <w:sz w:val="24"/>
                <w:szCs w:val="24"/>
                <w:highlight w:val="none"/>
                <w:lang w:eastAsia="en-US"/>
              </w:rPr>
            </w:pPr>
            <w:r>
              <w:rPr>
                <w:rFonts w:hint="eastAsia" w:ascii="宋体" w:hAnsi="宋体" w:eastAsia="宋体" w:cs="宋体"/>
                <w:sz w:val="24"/>
                <w:szCs w:val="24"/>
                <w:highlight w:val="none"/>
                <w:lang w:eastAsia="en-US"/>
              </w:rPr>
              <w:t>千兆汇聚交换机</w:t>
            </w:r>
          </w:p>
        </w:tc>
        <w:tc>
          <w:tcPr>
            <w:tcW w:w="3016" w:type="pct"/>
            <w:shd w:val="clear" w:color="auto" w:fill="auto"/>
            <w:vAlign w:val="center"/>
          </w:tcPr>
          <w:p w14:paraId="77247DA5">
            <w:pPr>
              <w:rPr>
                <w:rFonts w:ascii="宋体" w:hAnsi="宋体" w:eastAsia="宋体" w:cs="宋体"/>
                <w:sz w:val="24"/>
                <w:szCs w:val="24"/>
                <w:highlight w:val="none"/>
              </w:rPr>
            </w:pPr>
            <w:r>
              <w:rPr>
                <w:rFonts w:hint="eastAsia" w:ascii="宋体" w:hAnsi="宋体" w:eastAsia="宋体" w:cs="宋体"/>
                <w:sz w:val="24"/>
                <w:szCs w:val="24"/>
                <w:highlight w:val="none"/>
              </w:rPr>
              <w:t>1.可用千兆光接口数量≥24，复用的千兆电口数量≥8，非复用万兆光接口数量≥4</w:t>
            </w:r>
          </w:p>
          <w:p w14:paraId="6AAB777C">
            <w:pPr>
              <w:rPr>
                <w:rFonts w:ascii="宋体" w:hAnsi="宋体" w:eastAsia="宋体" w:cs="宋体"/>
                <w:sz w:val="24"/>
                <w:szCs w:val="24"/>
                <w:highlight w:val="none"/>
                <w:lang w:eastAsia="en-US"/>
              </w:rPr>
            </w:pPr>
            <w:r>
              <w:rPr>
                <w:rFonts w:hint="eastAsia" w:ascii="宋体" w:hAnsi="宋体" w:eastAsia="宋体" w:cs="宋体"/>
                <w:sz w:val="24"/>
                <w:szCs w:val="24"/>
                <w:highlight w:val="none"/>
                <w:lang w:eastAsia="en-US"/>
              </w:rPr>
              <w:t>2.支持独立的console管理串口</w:t>
            </w:r>
          </w:p>
          <w:p w14:paraId="14FD0597">
            <w:pPr>
              <w:rPr>
                <w:rFonts w:ascii="宋体" w:hAnsi="宋体" w:eastAsia="宋体" w:cs="宋体"/>
                <w:sz w:val="24"/>
                <w:szCs w:val="24"/>
                <w:highlight w:val="none"/>
                <w:lang w:eastAsia="en-US"/>
              </w:rPr>
            </w:pPr>
            <w:r>
              <w:rPr>
                <w:rFonts w:hint="eastAsia" w:ascii="宋体" w:hAnsi="宋体" w:eastAsia="宋体" w:cs="宋体"/>
                <w:sz w:val="24"/>
                <w:szCs w:val="24"/>
                <w:highlight w:val="none"/>
                <w:lang w:eastAsia="en-US"/>
              </w:rPr>
              <w:t>3.交换容量：336Gbps/3.36Tbps，转发性能：108Mpps/126Mpps</w:t>
            </w:r>
          </w:p>
          <w:p w14:paraId="17C41323">
            <w:pPr>
              <w:rPr>
                <w:rFonts w:ascii="宋体" w:hAnsi="宋体" w:eastAsia="宋体" w:cs="宋体"/>
                <w:sz w:val="24"/>
                <w:szCs w:val="24"/>
                <w:highlight w:val="none"/>
                <w:lang w:eastAsia="en-US"/>
              </w:rPr>
            </w:pPr>
            <w:r>
              <w:rPr>
                <w:rFonts w:hint="eastAsia" w:ascii="宋体" w:hAnsi="宋体" w:eastAsia="宋体" w:cs="宋体"/>
                <w:sz w:val="24"/>
                <w:szCs w:val="24"/>
                <w:highlight w:val="none"/>
                <w:lang w:eastAsia="en-US"/>
              </w:rPr>
              <w:t>4.支持802.3ad规定的链路聚合功能</w:t>
            </w:r>
          </w:p>
          <w:p w14:paraId="5BFCED56">
            <w:pPr>
              <w:rPr>
                <w:rFonts w:ascii="宋体" w:hAnsi="宋体" w:eastAsia="宋体" w:cs="宋体"/>
                <w:sz w:val="24"/>
                <w:szCs w:val="24"/>
                <w:highlight w:val="none"/>
                <w:lang w:eastAsia="en-US"/>
              </w:rPr>
            </w:pPr>
            <w:r>
              <w:rPr>
                <w:rFonts w:hint="eastAsia" w:ascii="宋体" w:hAnsi="宋体" w:eastAsia="宋体" w:cs="宋体"/>
                <w:sz w:val="24"/>
                <w:szCs w:val="24"/>
                <w:highlight w:val="none"/>
                <w:lang w:eastAsia="en-US"/>
              </w:rPr>
              <w:t>5.支持MAC地址绑定功能</w:t>
            </w:r>
          </w:p>
          <w:p w14:paraId="19D52591">
            <w:pPr>
              <w:rPr>
                <w:rFonts w:ascii="宋体" w:hAnsi="宋体" w:eastAsia="宋体" w:cs="宋体"/>
                <w:sz w:val="24"/>
                <w:szCs w:val="24"/>
                <w:highlight w:val="none"/>
                <w:lang w:eastAsia="en-US"/>
              </w:rPr>
            </w:pPr>
            <w:r>
              <w:rPr>
                <w:rFonts w:hint="eastAsia" w:ascii="宋体" w:hAnsi="宋体" w:eastAsia="宋体" w:cs="宋体"/>
                <w:sz w:val="24"/>
                <w:szCs w:val="24"/>
                <w:highlight w:val="none"/>
                <w:lang w:eastAsia="en-US"/>
              </w:rPr>
              <w:t>6.支持按端口划分VLAN，支持VLAN TRUNK</w:t>
            </w:r>
          </w:p>
          <w:p w14:paraId="3E93D937">
            <w:pPr>
              <w:rPr>
                <w:rFonts w:ascii="宋体" w:hAnsi="宋体" w:eastAsia="宋体" w:cs="宋体"/>
                <w:sz w:val="24"/>
                <w:szCs w:val="24"/>
                <w:highlight w:val="none"/>
                <w:lang w:eastAsia="en-US"/>
              </w:rPr>
            </w:pPr>
            <w:r>
              <w:rPr>
                <w:rFonts w:hint="eastAsia" w:ascii="宋体" w:hAnsi="宋体" w:eastAsia="宋体" w:cs="宋体"/>
                <w:sz w:val="24"/>
                <w:szCs w:val="24"/>
                <w:highlight w:val="none"/>
                <w:lang w:eastAsia="en-US"/>
              </w:rPr>
              <w:t>7.支持 IPv4/IPv6 静态路由，支持 ND、Pingv6、Telnetv6、FTPv6、TFTPv6、ICMPv6</w:t>
            </w:r>
          </w:p>
          <w:p w14:paraId="30B91CD8">
            <w:pPr>
              <w:rPr>
                <w:rFonts w:ascii="宋体" w:hAnsi="宋体" w:eastAsia="宋体" w:cs="宋体"/>
                <w:sz w:val="24"/>
                <w:szCs w:val="24"/>
                <w:highlight w:val="none"/>
                <w:lang w:eastAsia="en-US"/>
              </w:rPr>
            </w:pPr>
            <w:r>
              <w:rPr>
                <w:rFonts w:hint="eastAsia" w:ascii="宋体" w:hAnsi="宋体" w:eastAsia="宋体" w:cs="宋体"/>
                <w:sz w:val="24"/>
                <w:szCs w:val="24"/>
                <w:highlight w:val="none"/>
                <w:lang w:eastAsia="en-US"/>
              </w:rPr>
              <w:t>8.支持广播风暴抑制</w:t>
            </w:r>
          </w:p>
          <w:p w14:paraId="380E6A53">
            <w:pPr>
              <w:rPr>
                <w:rFonts w:ascii="宋体" w:hAnsi="宋体" w:eastAsia="宋体" w:cs="宋体"/>
                <w:sz w:val="24"/>
                <w:szCs w:val="24"/>
                <w:highlight w:val="none"/>
                <w:lang w:eastAsia="en-US"/>
              </w:rPr>
            </w:pPr>
            <w:r>
              <w:rPr>
                <w:rFonts w:hint="eastAsia" w:ascii="宋体" w:hAnsi="宋体" w:eastAsia="宋体" w:cs="宋体"/>
                <w:sz w:val="24"/>
                <w:szCs w:val="24"/>
                <w:highlight w:val="none"/>
                <w:lang w:eastAsia="en-US"/>
              </w:rPr>
              <w:t>9.支持基于源MAC地址、目的MAC地址的ACL</w:t>
            </w:r>
          </w:p>
          <w:p w14:paraId="4CC43F6B">
            <w:pPr>
              <w:rPr>
                <w:rFonts w:ascii="宋体" w:hAnsi="宋体" w:eastAsia="宋体" w:cs="宋体"/>
                <w:sz w:val="24"/>
                <w:szCs w:val="24"/>
                <w:highlight w:val="none"/>
              </w:rPr>
            </w:pPr>
            <w:r>
              <w:rPr>
                <w:rFonts w:hint="eastAsia" w:ascii="宋体" w:hAnsi="宋体" w:eastAsia="宋体" w:cs="宋体"/>
                <w:sz w:val="24"/>
                <w:szCs w:val="24"/>
                <w:highlight w:val="none"/>
              </w:rPr>
              <w:t>10.支持端口镜像</w:t>
            </w:r>
          </w:p>
          <w:p w14:paraId="00B28494">
            <w:pPr>
              <w:rPr>
                <w:rFonts w:ascii="宋体" w:hAnsi="宋体" w:eastAsia="宋体" w:cs="宋体"/>
                <w:sz w:val="24"/>
                <w:szCs w:val="24"/>
                <w:highlight w:val="none"/>
              </w:rPr>
            </w:pPr>
            <w:r>
              <w:rPr>
                <w:rFonts w:hint="eastAsia" w:ascii="宋体" w:hAnsi="宋体" w:eastAsia="宋体" w:cs="宋体"/>
                <w:sz w:val="24"/>
                <w:szCs w:val="24"/>
                <w:highlight w:val="none"/>
              </w:rPr>
              <w:t>11.可以为远程连接用户提供访问控制，拒绝未通过验证的连接</w:t>
            </w:r>
          </w:p>
          <w:p w14:paraId="00B47A2E">
            <w:pPr>
              <w:rPr>
                <w:rFonts w:ascii="宋体" w:hAnsi="宋体" w:eastAsia="宋体" w:cs="宋体"/>
                <w:sz w:val="24"/>
                <w:szCs w:val="24"/>
                <w:highlight w:val="none"/>
              </w:rPr>
            </w:pPr>
            <w:r>
              <w:rPr>
                <w:rFonts w:hint="eastAsia" w:ascii="宋体" w:hAnsi="宋体" w:eastAsia="宋体" w:cs="宋体"/>
                <w:sz w:val="24"/>
                <w:szCs w:val="24"/>
                <w:highlight w:val="none"/>
              </w:rPr>
              <w:t>★12.支持在网络管理平台上实现对交换机和摄像头等终端设备进行系统拓扑展示及管理功能（</w:t>
            </w:r>
            <w:r>
              <w:rPr>
                <w:rFonts w:hint="eastAsia" w:ascii="宋体" w:hAnsi="宋体" w:eastAsia="宋体" w:cs="宋体"/>
                <w:b/>
                <w:bCs/>
                <w:sz w:val="24"/>
                <w:szCs w:val="24"/>
                <w:highlight w:val="none"/>
              </w:rPr>
              <w:t>须提供具有CMA或CNAS标识的第三方有权机构出具的检验报告</w:t>
            </w:r>
            <w:r>
              <w:rPr>
                <w:rFonts w:hint="eastAsia" w:ascii="宋体" w:hAnsi="宋体" w:eastAsia="宋体" w:cs="宋体"/>
                <w:sz w:val="24"/>
                <w:szCs w:val="24"/>
                <w:highlight w:val="none"/>
              </w:rPr>
              <w:t>）</w:t>
            </w:r>
          </w:p>
          <w:p w14:paraId="76490590">
            <w:pPr>
              <w:rPr>
                <w:rFonts w:ascii="宋体" w:hAnsi="宋体" w:eastAsia="宋体" w:cs="宋体"/>
                <w:sz w:val="24"/>
                <w:szCs w:val="24"/>
                <w:highlight w:val="none"/>
              </w:rPr>
            </w:pPr>
            <w:r>
              <w:rPr>
                <w:rFonts w:hint="eastAsia" w:ascii="宋体" w:hAnsi="宋体" w:eastAsia="宋体" w:cs="宋体"/>
                <w:sz w:val="24"/>
                <w:szCs w:val="24"/>
                <w:highlight w:val="none"/>
              </w:rPr>
              <w:t>★13.支持在网络拓扑中展示设备详情，包括设备基本信息、性能使用信息、面板状态和端口信息（</w:t>
            </w:r>
            <w:r>
              <w:rPr>
                <w:rFonts w:hint="eastAsia" w:ascii="宋体" w:hAnsi="宋体" w:eastAsia="宋体" w:cs="宋体"/>
                <w:b/>
                <w:bCs/>
                <w:sz w:val="24"/>
                <w:szCs w:val="24"/>
                <w:highlight w:val="none"/>
              </w:rPr>
              <w:t>须提供具有CMA或CNAS标识的第三方有权机构出具的检验报告</w:t>
            </w:r>
            <w:r>
              <w:rPr>
                <w:rFonts w:hint="eastAsia" w:ascii="宋体" w:hAnsi="宋体" w:eastAsia="宋体" w:cs="宋体"/>
                <w:sz w:val="24"/>
                <w:szCs w:val="24"/>
                <w:highlight w:val="none"/>
              </w:rPr>
              <w:t>）</w:t>
            </w:r>
          </w:p>
        </w:tc>
        <w:tc>
          <w:tcPr>
            <w:tcW w:w="339" w:type="pct"/>
            <w:shd w:val="clear" w:color="auto" w:fill="auto"/>
            <w:vAlign w:val="center"/>
          </w:tcPr>
          <w:p w14:paraId="7ACF4994">
            <w:pPr>
              <w:rPr>
                <w:rFonts w:ascii="宋体" w:hAnsi="宋体" w:eastAsia="宋体" w:cs="宋体"/>
                <w:sz w:val="24"/>
                <w:szCs w:val="24"/>
                <w:highlight w:val="none"/>
              </w:rPr>
            </w:pPr>
            <w:r>
              <w:rPr>
                <w:rFonts w:hint="eastAsia" w:ascii="宋体" w:hAnsi="宋体" w:eastAsia="宋体" w:cs="宋体"/>
                <w:sz w:val="24"/>
                <w:szCs w:val="24"/>
                <w:highlight w:val="none"/>
              </w:rPr>
              <w:t>25</w:t>
            </w:r>
          </w:p>
        </w:tc>
        <w:tc>
          <w:tcPr>
            <w:tcW w:w="225" w:type="pct"/>
            <w:shd w:val="clear" w:color="auto" w:fill="auto"/>
            <w:vAlign w:val="center"/>
          </w:tcPr>
          <w:p w14:paraId="240378C0">
            <w:pPr>
              <w:rPr>
                <w:rFonts w:ascii="宋体" w:hAnsi="宋体" w:eastAsia="宋体" w:cs="宋体"/>
                <w:sz w:val="24"/>
                <w:szCs w:val="24"/>
                <w:highlight w:val="none"/>
              </w:rPr>
            </w:pPr>
            <w:r>
              <w:rPr>
                <w:rFonts w:hint="eastAsia" w:ascii="宋体" w:hAnsi="宋体" w:eastAsia="宋体" w:cs="宋体"/>
                <w:sz w:val="24"/>
                <w:szCs w:val="24"/>
                <w:highlight w:val="none"/>
              </w:rPr>
              <w:t>台</w:t>
            </w:r>
          </w:p>
        </w:tc>
        <w:tc>
          <w:tcPr>
            <w:tcW w:w="427" w:type="pct"/>
            <w:vAlign w:val="center"/>
          </w:tcPr>
          <w:p w14:paraId="2EF4BE17">
            <w:pPr>
              <w:rPr>
                <w:rFonts w:ascii="宋体" w:hAnsi="宋体" w:eastAsia="宋体" w:cs="宋体"/>
                <w:sz w:val="24"/>
                <w:szCs w:val="24"/>
                <w:highlight w:val="none"/>
              </w:rPr>
            </w:pPr>
            <w:r>
              <w:rPr>
                <w:rFonts w:hint="eastAsia" w:ascii="宋体" w:hAnsi="宋体" w:eastAsia="宋体" w:cs="宋体"/>
                <w:sz w:val="24"/>
                <w:szCs w:val="24"/>
                <w:highlight w:val="none"/>
              </w:rPr>
              <w:t>工业</w:t>
            </w:r>
          </w:p>
        </w:tc>
        <w:tc>
          <w:tcPr>
            <w:tcW w:w="245" w:type="pct"/>
            <w:vAlign w:val="center"/>
          </w:tcPr>
          <w:p w14:paraId="28715667">
            <w:pPr>
              <w:rPr>
                <w:rFonts w:ascii="宋体" w:hAnsi="宋体" w:eastAsia="宋体" w:cs="宋体"/>
                <w:sz w:val="24"/>
                <w:szCs w:val="24"/>
                <w:highlight w:val="none"/>
              </w:rPr>
            </w:pPr>
          </w:p>
        </w:tc>
      </w:tr>
      <w:tr w14:paraId="175E0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shd w:val="clear" w:color="auto" w:fill="auto"/>
            <w:vAlign w:val="center"/>
          </w:tcPr>
          <w:p w14:paraId="217939FB">
            <w:pPr>
              <w:widowControl/>
              <w:textAlignment w:val="center"/>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11</w:t>
            </w:r>
          </w:p>
        </w:tc>
        <w:tc>
          <w:tcPr>
            <w:tcW w:w="434" w:type="pct"/>
            <w:shd w:val="clear" w:color="auto" w:fill="auto"/>
            <w:vAlign w:val="center"/>
          </w:tcPr>
          <w:p w14:paraId="4FB4C73B">
            <w:pPr>
              <w:rPr>
                <w:rFonts w:ascii="宋体" w:hAnsi="宋体" w:eastAsia="宋体" w:cs="宋体"/>
                <w:sz w:val="24"/>
                <w:szCs w:val="24"/>
                <w:highlight w:val="none"/>
                <w:lang w:eastAsia="en-US"/>
              </w:rPr>
            </w:pPr>
            <w:r>
              <w:rPr>
                <w:rFonts w:hint="eastAsia" w:ascii="宋体" w:hAnsi="宋体" w:eastAsia="宋体" w:cs="宋体"/>
                <w:sz w:val="24"/>
                <w:szCs w:val="24"/>
                <w:highlight w:val="none"/>
                <w:lang w:eastAsia="en-US"/>
              </w:rPr>
              <w:t>核心交换机</w:t>
            </w:r>
          </w:p>
        </w:tc>
        <w:tc>
          <w:tcPr>
            <w:tcW w:w="3016" w:type="pct"/>
            <w:shd w:val="clear" w:color="auto" w:fill="auto"/>
            <w:vAlign w:val="center"/>
          </w:tcPr>
          <w:p w14:paraId="0E45AD05">
            <w:pPr>
              <w:rPr>
                <w:rFonts w:ascii="宋体" w:hAnsi="宋体" w:eastAsia="宋体" w:cs="宋体"/>
                <w:sz w:val="24"/>
                <w:szCs w:val="24"/>
                <w:highlight w:val="none"/>
              </w:rPr>
            </w:pPr>
            <w:r>
              <w:rPr>
                <w:rFonts w:hint="eastAsia" w:ascii="宋体" w:hAnsi="宋体" w:eastAsia="宋体" w:cs="宋体"/>
                <w:sz w:val="24"/>
                <w:szCs w:val="24"/>
                <w:highlight w:val="none"/>
              </w:rPr>
              <w:t>1.支持独立主控板槽位数≥2，独立网络业务板槽位数≥6，可插拔电源模块槽位数≥2，设备高度≤13U</w:t>
            </w:r>
          </w:p>
          <w:p w14:paraId="3C36FCF8">
            <w:pPr>
              <w:rPr>
                <w:rFonts w:ascii="宋体" w:hAnsi="宋体" w:eastAsia="宋体" w:cs="宋体"/>
                <w:sz w:val="24"/>
                <w:szCs w:val="24"/>
                <w:highlight w:val="none"/>
              </w:rPr>
            </w:pPr>
            <w:r>
              <w:rPr>
                <w:rFonts w:hint="eastAsia" w:ascii="宋体" w:hAnsi="宋体" w:eastAsia="宋体" w:cs="宋体"/>
                <w:sz w:val="24"/>
                <w:szCs w:val="24"/>
                <w:highlight w:val="none"/>
              </w:rPr>
              <w:t>2.采用国产化交换芯片</w:t>
            </w:r>
          </w:p>
          <w:p w14:paraId="650F731A">
            <w:pPr>
              <w:rPr>
                <w:rFonts w:ascii="宋体" w:hAnsi="宋体" w:eastAsia="宋体" w:cs="宋体"/>
                <w:sz w:val="24"/>
                <w:szCs w:val="24"/>
                <w:highlight w:val="none"/>
              </w:rPr>
            </w:pPr>
            <w:r>
              <w:rPr>
                <w:rFonts w:hint="eastAsia" w:ascii="宋体" w:hAnsi="宋体" w:eastAsia="宋体" w:cs="宋体"/>
                <w:sz w:val="24"/>
                <w:szCs w:val="24"/>
                <w:highlight w:val="none"/>
              </w:rPr>
              <w:t>3.交换容量≥76.8Tbps/336Tbps，转发性能≥8640Mpps/57600Mpps</w:t>
            </w:r>
          </w:p>
          <w:p w14:paraId="41D9417E">
            <w:pPr>
              <w:rPr>
                <w:rFonts w:ascii="宋体" w:hAnsi="宋体" w:eastAsia="宋体" w:cs="宋体"/>
                <w:sz w:val="24"/>
                <w:szCs w:val="24"/>
                <w:highlight w:val="none"/>
              </w:rPr>
            </w:pPr>
            <w:r>
              <w:rPr>
                <w:rFonts w:hint="eastAsia" w:ascii="宋体" w:hAnsi="宋体" w:eastAsia="宋体" w:cs="宋体"/>
                <w:sz w:val="24"/>
                <w:szCs w:val="24"/>
                <w:highlight w:val="none"/>
              </w:rPr>
              <w:t>4.支持虚拟化功能，支持统一管理、故障收敛时间0ms等特性; 堆叠跨框转发平均时延≤2us</w:t>
            </w:r>
          </w:p>
          <w:p w14:paraId="00137CDA">
            <w:pPr>
              <w:rPr>
                <w:rFonts w:ascii="宋体" w:hAnsi="宋体" w:eastAsia="宋体" w:cs="宋体"/>
                <w:sz w:val="24"/>
                <w:szCs w:val="24"/>
                <w:highlight w:val="none"/>
              </w:rPr>
            </w:pPr>
            <w:r>
              <w:rPr>
                <w:rFonts w:hint="eastAsia" w:ascii="宋体" w:hAnsi="宋体" w:eastAsia="宋体" w:cs="宋体"/>
                <w:sz w:val="24"/>
                <w:szCs w:val="24"/>
                <w:highlight w:val="none"/>
              </w:rPr>
              <w:t>5.支持 MDC 虚拟化功能</w:t>
            </w:r>
          </w:p>
          <w:p w14:paraId="7D9F984F">
            <w:pPr>
              <w:rPr>
                <w:rFonts w:ascii="宋体" w:hAnsi="宋体" w:eastAsia="宋体" w:cs="宋体"/>
                <w:sz w:val="24"/>
                <w:szCs w:val="24"/>
                <w:highlight w:val="none"/>
              </w:rPr>
            </w:pPr>
            <w:r>
              <w:rPr>
                <w:rFonts w:hint="eastAsia" w:ascii="宋体" w:hAnsi="宋体" w:eastAsia="宋体" w:cs="宋体"/>
                <w:sz w:val="24"/>
                <w:szCs w:val="24"/>
                <w:highlight w:val="none"/>
              </w:rPr>
              <w:t>6.支持VxLAN功能</w:t>
            </w:r>
          </w:p>
          <w:p w14:paraId="0E1BFE1C">
            <w:pPr>
              <w:rPr>
                <w:rFonts w:ascii="宋体" w:hAnsi="宋体" w:eastAsia="宋体" w:cs="宋体"/>
                <w:sz w:val="24"/>
                <w:szCs w:val="24"/>
                <w:highlight w:val="none"/>
              </w:rPr>
            </w:pPr>
            <w:r>
              <w:rPr>
                <w:rFonts w:hint="eastAsia" w:ascii="宋体" w:hAnsi="宋体" w:eastAsia="宋体" w:cs="宋体"/>
                <w:sz w:val="24"/>
                <w:szCs w:val="24"/>
                <w:highlight w:val="none"/>
              </w:rPr>
              <w:t>7.支持IPv4\IPv6 BFD功能，支持与OSPF/v2/v3、VRRP联动，BFD 3ms最小探测间隔测试，平均收敛性能≤12ms</w:t>
            </w:r>
          </w:p>
          <w:p w14:paraId="28FD41D9">
            <w:pPr>
              <w:rPr>
                <w:rFonts w:ascii="宋体" w:hAnsi="宋体" w:eastAsia="宋体" w:cs="宋体"/>
                <w:sz w:val="24"/>
                <w:szCs w:val="24"/>
                <w:highlight w:val="none"/>
                <w:lang w:eastAsia="en-US"/>
              </w:rPr>
            </w:pPr>
            <w:r>
              <w:rPr>
                <w:rFonts w:hint="eastAsia" w:ascii="宋体" w:hAnsi="宋体" w:eastAsia="宋体" w:cs="宋体"/>
                <w:sz w:val="24"/>
                <w:szCs w:val="24"/>
                <w:highlight w:val="none"/>
                <w:lang w:eastAsia="en-US"/>
              </w:rPr>
              <w:t>8.支持IPv6协议，支持IPv4和IPv6双协议栈；支持6over4 隧道，4over6 隧道。支持IPV4/IPv6策略路由</w:t>
            </w:r>
          </w:p>
          <w:p w14:paraId="56848B6F">
            <w:pPr>
              <w:rPr>
                <w:rFonts w:ascii="宋体" w:hAnsi="宋体" w:eastAsia="宋体" w:cs="宋体"/>
                <w:sz w:val="24"/>
                <w:szCs w:val="24"/>
                <w:highlight w:val="none"/>
              </w:rPr>
            </w:pPr>
            <w:r>
              <w:rPr>
                <w:rFonts w:hint="eastAsia" w:ascii="宋体" w:hAnsi="宋体" w:eastAsia="宋体" w:cs="宋体"/>
                <w:sz w:val="24"/>
                <w:szCs w:val="24"/>
                <w:highlight w:val="none"/>
              </w:rPr>
              <w:t>9.主控引擎支持集成硬件监控功能，能集中监控板卡、风扇、电源、环境等，无需单独配置硬件监控板卡</w:t>
            </w:r>
          </w:p>
          <w:p w14:paraId="64F06C7A">
            <w:pPr>
              <w:rPr>
                <w:rFonts w:ascii="宋体" w:hAnsi="宋体" w:eastAsia="宋体" w:cs="宋体"/>
                <w:sz w:val="24"/>
                <w:szCs w:val="24"/>
                <w:highlight w:val="none"/>
              </w:rPr>
            </w:pPr>
            <w:r>
              <w:rPr>
                <w:rFonts w:hint="eastAsia" w:ascii="宋体" w:hAnsi="宋体" w:eastAsia="宋体" w:cs="宋体"/>
                <w:sz w:val="24"/>
                <w:szCs w:val="24"/>
                <w:highlight w:val="none"/>
              </w:rPr>
              <w:t>10.支持在网络管理平台上实现对交换机和摄像头等终端设备进行系统拓扑展示及管理功能</w:t>
            </w:r>
          </w:p>
          <w:p w14:paraId="536CCAFB">
            <w:pPr>
              <w:rPr>
                <w:rFonts w:ascii="宋体" w:hAnsi="宋体" w:eastAsia="宋体" w:cs="宋体"/>
                <w:sz w:val="24"/>
                <w:szCs w:val="24"/>
                <w:highlight w:val="none"/>
              </w:rPr>
            </w:pPr>
            <w:r>
              <w:rPr>
                <w:rFonts w:hint="eastAsia" w:ascii="宋体" w:hAnsi="宋体" w:eastAsia="宋体" w:cs="宋体"/>
                <w:sz w:val="24"/>
                <w:szCs w:val="24"/>
                <w:highlight w:val="none"/>
              </w:rPr>
              <w:t>11.支持在网络拓扑中展示设备详情，包括设备基本信息、性能使用信息、面板状态和端口信息</w:t>
            </w:r>
          </w:p>
          <w:p w14:paraId="04334509">
            <w:pPr>
              <w:rPr>
                <w:rFonts w:ascii="宋体" w:hAnsi="宋体" w:eastAsia="宋体" w:cs="宋体"/>
                <w:sz w:val="24"/>
                <w:szCs w:val="24"/>
                <w:highlight w:val="none"/>
              </w:rPr>
            </w:pPr>
            <w:r>
              <w:rPr>
                <w:rFonts w:hint="eastAsia" w:ascii="宋体" w:hAnsi="宋体" w:eastAsia="宋体" w:cs="宋体"/>
                <w:sz w:val="24"/>
                <w:szCs w:val="24"/>
                <w:highlight w:val="none"/>
              </w:rPr>
              <w:t>12.ARP容量≥90K个，ARP学习速率≥800个每秒</w:t>
            </w:r>
          </w:p>
          <w:p w14:paraId="14BE772A">
            <w:pPr>
              <w:rPr>
                <w:rFonts w:ascii="宋体" w:hAnsi="宋体" w:eastAsia="宋体" w:cs="宋体"/>
                <w:sz w:val="24"/>
                <w:szCs w:val="24"/>
                <w:highlight w:val="none"/>
              </w:rPr>
            </w:pPr>
            <w:r>
              <w:rPr>
                <w:rFonts w:hint="eastAsia" w:ascii="宋体" w:hAnsi="宋体" w:eastAsia="宋体" w:cs="宋体"/>
                <w:sz w:val="24"/>
                <w:szCs w:val="24"/>
                <w:highlight w:val="none"/>
              </w:rPr>
              <w:t>13.支持的MAC容量≥280K个，MAC学习速率≥3.5K个每秒</w:t>
            </w:r>
          </w:p>
          <w:p w14:paraId="30BA69B6">
            <w:pPr>
              <w:rPr>
                <w:rFonts w:ascii="宋体" w:hAnsi="宋体" w:eastAsia="宋体" w:cs="宋体"/>
                <w:sz w:val="24"/>
                <w:szCs w:val="24"/>
                <w:highlight w:val="none"/>
              </w:rPr>
            </w:pPr>
            <w:r>
              <w:rPr>
                <w:rFonts w:hint="eastAsia" w:ascii="宋体" w:hAnsi="宋体" w:eastAsia="宋体" w:cs="宋体"/>
                <w:sz w:val="24"/>
                <w:szCs w:val="24"/>
                <w:highlight w:val="none"/>
              </w:rPr>
              <w:t>14.需配置双主控、双电源，配置不少于24个千兆电，20个千兆SFP，4个万兆SFP+端口</w:t>
            </w:r>
          </w:p>
        </w:tc>
        <w:tc>
          <w:tcPr>
            <w:tcW w:w="339" w:type="pct"/>
            <w:shd w:val="clear" w:color="auto" w:fill="auto"/>
            <w:vAlign w:val="center"/>
          </w:tcPr>
          <w:p w14:paraId="1DE6EEA1">
            <w:pPr>
              <w:rPr>
                <w:rFonts w:ascii="宋体" w:hAnsi="宋体" w:eastAsia="宋体" w:cs="宋体"/>
                <w:sz w:val="24"/>
                <w:szCs w:val="24"/>
                <w:highlight w:val="none"/>
              </w:rPr>
            </w:pPr>
            <w:r>
              <w:rPr>
                <w:rFonts w:hint="eastAsia" w:ascii="宋体" w:hAnsi="宋体" w:eastAsia="宋体" w:cs="宋体"/>
                <w:sz w:val="24"/>
                <w:szCs w:val="24"/>
                <w:highlight w:val="none"/>
              </w:rPr>
              <w:t>1</w:t>
            </w:r>
          </w:p>
        </w:tc>
        <w:tc>
          <w:tcPr>
            <w:tcW w:w="225" w:type="pct"/>
            <w:shd w:val="clear" w:color="auto" w:fill="auto"/>
            <w:vAlign w:val="center"/>
          </w:tcPr>
          <w:p w14:paraId="5E00F202">
            <w:pPr>
              <w:rPr>
                <w:rFonts w:ascii="宋体" w:hAnsi="宋体" w:eastAsia="宋体" w:cs="宋体"/>
                <w:sz w:val="24"/>
                <w:szCs w:val="24"/>
                <w:highlight w:val="none"/>
              </w:rPr>
            </w:pPr>
            <w:r>
              <w:rPr>
                <w:rFonts w:hint="eastAsia" w:ascii="宋体" w:hAnsi="宋体" w:eastAsia="宋体" w:cs="宋体"/>
                <w:sz w:val="24"/>
                <w:szCs w:val="24"/>
                <w:highlight w:val="none"/>
              </w:rPr>
              <w:t>台</w:t>
            </w:r>
          </w:p>
        </w:tc>
        <w:tc>
          <w:tcPr>
            <w:tcW w:w="427" w:type="pct"/>
            <w:vAlign w:val="center"/>
          </w:tcPr>
          <w:p w14:paraId="24D39773">
            <w:pPr>
              <w:rPr>
                <w:rFonts w:ascii="宋体" w:hAnsi="宋体" w:eastAsia="宋体" w:cs="宋体"/>
                <w:sz w:val="24"/>
                <w:szCs w:val="24"/>
                <w:highlight w:val="none"/>
              </w:rPr>
            </w:pPr>
            <w:r>
              <w:rPr>
                <w:rFonts w:hint="eastAsia" w:ascii="宋体" w:hAnsi="宋体" w:eastAsia="宋体" w:cs="宋体"/>
                <w:sz w:val="24"/>
                <w:szCs w:val="24"/>
                <w:highlight w:val="none"/>
              </w:rPr>
              <w:t>工业</w:t>
            </w:r>
          </w:p>
        </w:tc>
        <w:tc>
          <w:tcPr>
            <w:tcW w:w="245" w:type="pct"/>
            <w:vAlign w:val="center"/>
          </w:tcPr>
          <w:p w14:paraId="7E063E42">
            <w:pPr>
              <w:rPr>
                <w:rFonts w:ascii="宋体" w:hAnsi="宋体" w:eastAsia="宋体" w:cs="宋体"/>
                <w:sz w:val="24"/>
                <w:szCs w:val="24"/>
                <w:highlight w:val="none"/>
              </w:rPr>
            </w:pPr>
          </w:p>
        </w:tc>
      </w:tr>
      <w:tr w14:paraId="714B5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shd w:val="clear" w:color="auto" w:fill="auto"/>
            <w:vAlign w:val="center"/>
          </w:tcPr>
          <w:p w14:paraId="5CE87827">
            <w:pPr>
              <w:widowControl/>
              <w:jc w:val="center"/>
              <w:textAlignment w:val="center"/>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12</w:t>
            </w:r>
          </w:p>
        </w:tc>
        <w:tc>
          <w:tcPr>
            <w:tcW w:w="434" w:type="pct"/>
            <w:shd w:val="clear" w:color="auto" w:fill="auto"/>
            <w:vAlign w:val="center"/>
          </w:tcPr>
          <w:p w14:paraId="3F1D384D">
            <w:pPr>
              <w:rPr>
                <w:rFonts w:ascii="宋体" w:hAnsi="宋体" w:eastAsia="宋体" w:cs="宋体"/>
                <w:sz w:val="24"/>
                <w:szCs w:val="24"/>
                <w:highlight w:val="none"/>
              </w:rPr>
            </w:pPr>
            <w:r>
              <w:rPr>
                <w:rFonts w:hint="eastAsia" w:ascii="宋体" w:hAnsi="宋体" w:eastAsia="宋体" w:cs="宋体"/>
                <w:sz w:val="24"/>
                <w:szCs w:val="24"/>
                <w:highlight w:val="none"/>
              </w:rPr>
              <w:t>监控工作站</w:t>
            </w:r>
          </w:p>
        </w:tc>
        <w:tc>
          <w:tcPr>
            <w:tcW w:w="3016" w:type="pct"/>
            <w:shd w:val="clear" w:color="auto" w:fill="auto"/>
            <w:vAlign w:val="center"/>
          </w:tcPr>
          <w:p w14:paraId="679C6634">
            <w:pPr>
              <w:rPr>
                <w:rFonts w:ascii="宋体" w:hAnsi="宋体" w:eastAsia="宋体" w:cs="宋体"/>
                <w:sz w:val="24"/>
                <w:szCs w:val="24"/>
                <w:highlight w:val="none"/>
              </w:rPr>
            </w:pPr>
            <w:r>
              <w:rPr>
                <w:rFonts w:hint="eastAsia" w:ascii="宋体" w:hAnsi="宋体" w:eastAsia="宋体" w:cs="宋体"/>
                <w:sz w:val="24"/>
                <w:szCs w:val="24"/>
                <w:highlight w:val="none"/>
              </w:rPr>
              <w:t>1.CPU：核心数≥10；最大睿频频率≥4.7GHz</w:t>
            </w:r>
          </w:p>
          <w:p w14:paraId="74F15C9F">
            <w:pPr>
              <w:rPr>
                <w:rFonts w:ascii="宋体" w:hAnsi="宋体" w:eastAsia="宋体" w:cs="宋体"/>
                <w:sz w:val="24"/>
                <w:szCs w:val="24"/>
                <w:highlight w:val="none"/>
                <w:lang w:eastAsia="en-US"/>
              </w:rPr>
            </w:pPr>
            <w:r>
              <w:rPr>
                <w:rFonts w:hint="eastAsia" w:ascii="宋体" w:hAnsi="宋体" w:eastAsia="宋体" w:cs="宋体"/>
                <w:sz w:val="24"/>
                <w:szCs w:val="24"/>
                <w:highlight w:val="none"/>
                <w:lang w:eastAsia="en-US"/>
              </w:rPr>
              <w:t>2.内存：</w:t>
            </w:r>
            <w:r>
              <w:rPr>
                <w:rFonts w:hint="eastAsia" w:ascii="宋体" w:hAnsi="宋体" w:eastAsia="宋体" w:cs="宋体"/>
                <w:sz w:val="24"/>
                <w:szCs w:val="24"/>
                <w:highlight w:val="none"/>
              </w:rPr>
              <w:t>≥16</w:t>
            </w:r>
            <w:r>
              <w:rPr>
                <w:rFonts w:hint="eastAsia" w:ascii="宋体" w:hAnsi="宋体" w:eastAsia="宋体" w:cs="宋体"/>
                <w:sz w:val="24"/>
                <w:szCs w:val="24"/>
                <w:highlight w:val="none"/>
                <w:lang w:eastAsia="en-US"/>
              </w:rPr>
              <w:t>GB；</w:t>
            </w:r>
          </w:p>
          <w:p w14:paraId="2BCEE849">
            <w:pPr>
              <w:rPr>
                <w:rFonts w:ascii="宋体" w:hAnsi="宋体" w:eastAsia="宋体" w:cs="宋体"/>
                <w:sz w:val="24"/>
                <w:szCs w:val="24"/>
                <w:highlight w:val="none"/>
                <w:lang w:eastAsia="en-US"/>
              </w:rPr>
            </w:pPr>
            <w:r>
              <w:rPr>
                <w:rFonts w:hint="eastAsia" w:ascii="宋体" w:hAnsi="宋体" w:eastAsia="宋体" w:cs="宋体"/>
                <w:sz w:val="24"/>
                <w:szCs w:val="24"/>
                <w:highlight w:val="none"/>
                <w:lang w:eastAsia="en-US"/>
              </w:rPr>
              <w:t>3.硬盘：</w:t>
            </w:r>
            <w:r>
              <w:rPr>
                <w:rFonts w:hint="eastAsia" w:ascii="宋体" w:hAnsi="宋体" w:eastAsia="宋体" w:cs="宋体"/>
                <w:sz w:val="24"/>
                <w:szCs w:val="24"/>
                <w:highlight w:val="none"/>
              </w:rPr>
              <w:t>≥512</w:t>
            </w:r>
            <w:r>
              <w:rPr>
                <w:rFonts w:hint="eastAsia" w:ascii="宋体" w:hAnsi="宋体" w:eastAsia="宋体" w:cs="宋体"/>
                <w:sz w:val="24"/>
                <w:szCs w:val="24"/>
                <w:highlight w:val="none"/>
                <w:lang w:eastAsia="en-US"/>
              </w:rPr>
              <w:t>GB SATA SSD</w:t>
            </w:r>
            <w:r>
              <w:rPr>
                <w:rFonts w:hint="eastAsia" w:ascii="宋体" w:hAnsi="宋体" w:eastAsia="宋体" w:cs="宋体"/>
                <w:sz w:val="24"/>
                <w:szCs w:val="24"/>
                <w:highlight w:val="none"/>
              </w:rPr>
              <w:t xml:space="preserve"> + 1T </w:t>
            </w:r>
            <w:r>
              <w:rPr>
                <w:rFonts w:hint="eastAsia" w:ascii="宋体" w:hAnsi="宋体" w:eastAsia="宋体" w:cs="宋体"/>
                <w:sz w:val="24"/>
                <w:szCs w:val="24"/>
                <w:highlight w:val="none"/>
                <w:lang w:eastAsia="en-US"/>
              </w:rPr>
              <w:t>SATA</w:t>
            </w:r>
            <w:r>
              <w:rPr>
                <w:rFonts w:hint="eastAsia" w:ascii="宋体" w:hAnsi="宋体" w:eastAsia="宋体" w:cs="宋体"/>
                <w:sz w:val="24"/>
                <w:szCs w:val="24"/>
                <w:highlight w:val="none"/>
              </w:rPr>
              <w:t xml:space="preserve"> HDD</w:t>
            </w:r>
            <w:r>
              <w:rPr>
                <w:rFonts w:hint="eastAsia" w:ascii="宋体" w:hAnsi="宋体" w:eastAsia="宋体" w:cs="宋体"/>
                <w:sz w:val="24"/>
                <w:szCs w:val="24"/>
                <w:highlight w:val="none"/>
                <w:lang w:eastAsia="en-US"/>
              </w:rPr>
              <w:t>；</w:t>
            </w:r>
          </w:p>
          <w:p w14:paraId="41E9E199">
            <w:pPr>
              <w:rPr>
                <w:rFonts w:ascii="宋体" w:hAnsi="宋体" w:eastAsia="宋体" w:cs="宋体"/>
                <w:sz w:val="24"/>
                <w:szCs w:val="24"/>
                <w:highlight w:val="none"/>
                <w:lang w:eastAsia="en-US"/>
              </w:rPr>
            </w:pPr>
            <w:r>
              <w:rPr>
                <w:rFonts w:hint="eastAsia" w:ascii="宋体" w:hAnsi="宋体" w:eastAsia="宋体" w:cs="宋体"/>
                <w:sz w:val="24"/>
                <w:szCs w:val="24"/>
                <w:highlight w:val="none"/>
                <w:lang w:eastAsia="en-US"/>
              </w:rPr>
              <w:t>4.显示器：</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en-US"/>
              </w:rPr>
              <w:t>23.8英寸</w:t>
            </w:r>
            <w:r>
              <w:rPr>
                <w:rFonts w:hint="eastAsia" w:ascii="宋体" w:hAnsi="宋体" w:eastAsia="宋体" w:cs="宋体"/>
                <w:sz w:val="24"/>
                <w:szCs w:val="24"/>
                <w:highlight w:val="none"/>
              </w:rPr>
              <w:t>，分辨率≥1920*1080</w:t>
            </w:r>
            <w:r>
              <w:rPr>
                <w:rFonts w:hint="eastAsia" w:ascii="宋体" w:hAnsi="宋体" w:eastAsia="宋体" w:cs="宋体"/>
                <w:sz w:val="24"/>
                <w:szCs w:val="24"/>
                <w:highlight w:val="none"/>
                <w:lang w:eastAsia="en-US"/>
              </w:rPr>
              <w:t>；</w:t>
            </w:r>
          </w:p>
        </w:tc>
        <w:tc>
          <w:tcPr>
            <w:tcW w:w="339" w:type="pct"/>
            <w:shd w:val="clear" w:color="auto" w:fill="auto"/>
            <w:vAlign w:val="center"/>
          </w:tcPr>
          <w:p w14:paraId="7EB2E9B8">
            <w:pPr>
              <w:rPr>
                <w:rFonts w:ascii="宋体" w:hAnsi="宋体" w:eastAsia="宋体" w:cs="宋体"/>
                <w:sz w:val="24"/>
                <w:szCs w:val="24"/>
                <w:highlight w:val="none"/>
                <w:lang w:eastAsia="en-US"/>
              </w:rPr>
            </w:pPr>
            <w:r>
              <w:rPr>
                <w:rFonts w:hint="eastAsia" w:ascii="宋体" w:hAnsi="宋体" w:eastAsia="宋体" w:cs="宋体"/>
                <w:sz w:val="24"/>
                <w:szCs w:val="24"/>
                <w:highlight w:val="none"/>
              </w:rPr>
              <w:t>13</w:t>
            </w:r>
          </w:p>
        </w:tc>
        <w:tc>
          <w:tcPr>
            <w:tcW w:w="225" w:type="pct"/>
            <w:shd w:val="clear" w:color="auto" w:fill="auto"/>
            <w:vAlign w:val="center"/>
          </w:tcPr>
          <w:p w14:paraId="52965DD3">
            <w:pPr>
              <w:rPr>
                <w:rFonts w:ascii="宋体" w:hAnsi="宋体" w:eastAsia="宋体" w:cs="宋体"/>
                <w:sz w:val="24"/>
                <w:szCs w:val="24"/>
                <w:highlight w:val="none"/>
                <w:lang w:eastAsia="en-US"/>
              </w:rPr>
            </w:pPr>
            <w:r>
              <w:rPr>
                <w:rFonts w:hint="eastAsia" w:ascii="宋体" w:hAnsi="宋体" w:eastAsia="宋体" w:cs="宋体"/>
                <w:sz w:val="24"/>
                <w:szCs w:val="24"/>
                <w:highlight w:val="none"/>
              </w:rPr>
              <w:t>台</w:t>
            </w:r>
          </w:p>
        </w:tc>
        <w:tc>
          <w:tcPr>
            <w:tcW w:w="427" w:type="pct"/>
            <w:vAlign w:val="center"/>
          </w:tcPr>
          <w:p w14:paraId="785683E4">
            <w:pPr>
              <w:rPr>
                <w:rFonts w:ascii="宋体" w:hAnsi="宋体" w:eastAsia="宋体" w:cs="宋体"/>
                <w:sz w:val="24"/>
                <w:szCs w:val="24"/>
                <w:highlight w:val="none"/>
              </w:rPr>
            </w:pPr>
            <w:r>
              <w:rPr>
                <w:rFonts w:hint="eastAsia" w:ascii="宋体" w:hAnsi="宋体" w:eastAsia="宋体" w:cs="宋体"/>
                <w:sz w:val="24"/>
                <w:szCs w:val="24"/>
                <w:highlight w:val="none"/>
              </w:rPr>
              <w:t>工业</w:t>
            </w:r>
          </w:p>
        </w:tc>
        <w:tc>
          <w:tcPr>
            <w:tcW w:w="245" w:type="pct"/>
            <w:vAlign w:val="center"/>
          </w:tcPr>
          <w:p w14:paraId="3E9EA249">
            <w:pPr>
              <w:rPr>
                <w:rFonts w:ascii="宋体" w:hAnsi="宋体" w:eastAsia="宋体" w:cs="宋体"/>
                <w:sz w:val="24"/>
                <w:szCs w:val="24"/>
                <w:highlight w:val="none"/>
              </w:rPr>
            </w:pPr>
          </w:p>
        </w:tc>
      </w:tr>
      <w:tr w14:paraId="1927D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shd w:val="clear" w:color="auto" w:fill="auto"/>
            <w:vAlign w:val="center"/>
          </w:tcPr>
          <w:p w14:paraId="0EF05A75">
            <w:pPr>
              <w:widowControl/>
              <w:jc w:val="center"/>
              <w:textAlignment w:val="center"/>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13</w:t>
            </w:r>
          </w:p>
        </w:tc>
        <w:tc>
          <w:tcPr>
            <w:tcW w:w="434" w:type="pct"/>
            <w:shd w:val="clear" w:color="auto" w:fill="auto"/>
            <w:vAlign w:val="center"/>
          </w:tcPr>
          <w:p w14:paraId="457E59C7">
            <w:pPr>
              <w:rPr>
                <w:rFonts w:ascii="宋体" w:hAnsi="宋体" w:eastAsia="宋体" w:cs="宋体"/>
                <w:sz w:val="24"/>
                <w:szCs w:val="24"/>
                <w:highlight w:val="none"/>
                <w:lang w:eastAsia="en-US"/>
              </w:rPr>
            </w:pPr>
            <w:r>
              <w:rPr>
                <w:rFonts w:hint="eastAsia" w:ascii="宋体" w:hAnsi="宋体" w:eastAsia="宋体" w:cs="宋体"/>
                <w:sz w:val="24"/>
                <w:szCs w:val="24"/>
                <w:highlight w:val="none"/>
                <w:lang w:eastAsia="en-US"/>
              </w:rPr>
              <w:t>千兆光口模块</w:t>
            </w:r>
          </w:p>
        </w:tc>
        <w:tc>
          <w:tcPr>
            <w:tcW w:w="3016" w:type="pct"/>
            <w:shd w:val="clear" w:color="auto" w:fill="auto"/>
            <w:vAlign w:val="center"/>
          </w:tcPr>
          <w:p w14:paraId="5131126B">
            <w:pPr>
              <w:rPr>
                <w:rFonts w:ascii="宋体" w:hAnsi="宋体" w:eastAsia="宋体" w:cs="宋体"/>
                <w:sz w:val="24"/>
                <w:szCs w:val="24"/>
                <w:highlight w:val="none"/>
              </w:rPr>
            </w:pPr>
            <w:r>
              <w:rPr>
                <w:rFonts w:hint="eastAsia" w:ascii="宋体" w:hAnsi="宋体" w:eastAsia="宋体" w:cs="宋体"/>
                <w:sz w:val="24"/>
                <w:szCs w:val="24"/>
                <w:highlight w:val="none"/>
              </w:rPr>
              <w:t>1.千兆10公里单模双纤模块；</w:t>
            </w:r>
          </w:p>
          <w:p w14:paraId="4BF470B8">
            <w:pPr>
              <w:rPr>
                <w:rFonts w:ascii="宋体" w:hAnsi="宋体" w:eastAsia="宋体" w:cs="宋体"/>
                <w:sz w:val="24"/>
                <w:szCs w:val="24"/>
                <w:highlight w:val="none"/>
                <w:lang w:eastAsia="en-US"/>
              </w:rPr>
            </w:pPr>
            <w:r>
              <w:rPr>
                <w:rFonts w:hint="eastAsia" w:ascii="宋体" w:hAnsi="宋体" w:eastAsia="宋体" w:cs="宋体"/>
                <w:sz w:val="24"/>
                <w:szCs w:val="24"/>
                <w:highlight w:val="none"/>
                <w:lang w:eastAsia="en-US"/>
              </w:rPr>
              <w:t>2.不分收发：TX1310nm/1.25G；RX1310nm/1.25G；</w:t>
            </w:r>
          </w:p>
          <w:p w14:paraId="689567BB">
            <w:pPr>
              <w:rPr>
                <w:rFonts w:ascii="宋体" w:hAnsi="宋体" w:eastAsia="宋体" w:cs="宋体"/>
                <w:sz w:val="24"/>
                <w:szCs w:val="24"/>
                <w:highlight w:val="none"/>
                <w:lang w:eastAsia="en-US"/>
              </w:rPr>
            </w:pPr>
            <w:r>
              <w:rPr>
                <w:rFonts w:hint="eastAsia" w:ascii="宋体" w:hAnsi="宋体" w:eastAsia="宋体" w:cs="宋体"/>
                <w:sz w:val="24"/>
                <w:szCs w:val="24"/>
                <w:highlight w:val="none"/>
                <w:lang w:eastAsia="en-US"/>
              </w:rPr>
              <w:t>LC.</w:t>
            </w:r>
          </w:p>
        </w:tc>
        <w:tc>
          <w:tcPr>
            <w:tcW w:w="339" w:type="pct"/>
            <w:shd w:val="clear" w:color="auto" w:fill="auto"/>
            <w:vAlign w:val="center"/>
          </w:tcPr>
          <w:p w14:paraId="377081B1">
            <w:pPr>
              <w:rPr>
                <w:rFonts w:ascii="宋体" w:hAnsi="宋体" w:eastAsia="宋体" w:cs="宋体"/>
                <w:sz w:val="24"/>
                <w:szCs w:val="24"/>
                <w:highlight w:val="none"/>
                <w:lang w:eastAsia="en-US"/>
              </w:rPr>
            </w:pPr>
            <w:r>
              <w:rPr>
                <w:rFonts w:hint="eastAsia" w:ascii="宋体" w:hAnsi="宋体" w:eastAsia="宋体" w:cs="宋体"/>
                <w:sz w:val="24"/>
                <w:szCs w:val="24"/>
                <w:highlight w:val="none"/>
              </w:rPr>
              <w:t>206</w:t>
            </w:r>
          </w:p>
        </w:tc>
        <w:tc>
          <w:tcPr>
            <w:tcW w:w="225" w:type="pct"/>
            <w:shd w:val="clear" w:color="auto" w:fill="auto"/>
            <w:vAlign w:val="center"/>
          </w:tcPr>
          <w:p w14:paraId="06ED9539">
            <w:pPr>
              <w:rPr>
                <w:rFonts w:ascii="宋体" w:hAnsi="宋体" w:eastAsia="宋体" w:cs="宋体"/>
                <w:sz w:val="24"/>
                <w:szCs w:val="24"/>
                <w:highlight w:val="none"/>
                <w:lang w:eastAsia="en-US"/>
              </w:rPr>
            </w:pPr>
            <w:r>
              <w:rPr>
                <w:rFonts w:hint="eastAsia" w:ascii="宋体" w:hAnsi="宋体" w:eastAsia="宋体" w:cs="宋体"/>
                <w:sz w:val="24"/>
                <w:szCs w:val="24"/>
                <w:highlight w:val="none"/>
              </w:rPr>
              <w:t>个</w:t>
            </w:r>
          </w:p>
        </w:tc>
        <w:tc>
          <w:tcPr>
            <w:tcW w:w="427" w:type="pct"/>
            <w:vAlign w:val="center"/>
          </w:tcPr>
          <w:p w14:paraId="10F74718">
            <w:pPr>
              <w:rPr>
                <w:rFonts w:ascii="宋体" w:hAnsi="宋体" w:eastAsia="宋体" w:cs="宋体"/>
                <w:sz w:val="24"/>
                <w:szCs w:val="24"/>
                <w:highlight w:val="none"/>
              </w:rPr>
            </w:pPr>
            <w:r>
              <w:rPr>
                <w:rFonts w:hint="eastAsia" w:ascii="宋体" w:hAnsi="宋体" w:eastAsia="宋体" w:cs="宋体"/>
                <w:sz w:val="24"/>
                <w:szCs w:val="24"/>
                <w:highlight w:val="none"/>
              </w:rPr>
              <w:t>工业</w:t>
            </w:r>
          </w:p>
        </w:tc>
        <w:tc>
          <w:tcPr>
            <w:tcW w:w="245" w:type="pct"/>
            <w:vAlign w:val="center"/>
          </w:tcPr>
          <w:p w14:paraId="363C812A">
            <w:pPr>
              <w:rPr>
                <w:rFonts w:ascii="宋体" w:hAnsi="宋体" w:eastAsia="宋体" w:cs="宋体"/>
                <w:sz w:val="24"/>
                <w:szCs w:val="24"/>
                <w:highlight w:val="none"/>
              </w:rPr>
            </w:pPr>
          </w:p>
        </w:tc>
      </w:tr>
      <w:tr w14:paraId="23A05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shd w:val="clear" w:color="auto" w:fill="auto"/>
            <w:vAlign w:val="center"/>
          </w:tcPr>
          <w:p w14:paraId="244D6789">
            <w:pPr>
              <w:widowControl/>
              <w:jc w:val="center"/>
              <w:textAlignment w:val="center"/>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14</w:t>
            </w:r>
          </w:p>
        </w:tc>
        <w:tc>
          <w:tcPr>
            <w:tcW w:w="434" w:type="pct"/>
            <w:shd w:val="clear" w:color="auto" w:fill="auto"/>
            <w:vAlign w:val="center"/>
          </w:tcPr>
          <w:p w14:paraId="061A6F85">
            <w:pPr>
              <w:rPr>
                <w:rFonts w:ascii="宋体" w:hAnsi="宋体" w:eastAsia="宋体" w:cs="宋体"/>
                <w:sz w:val="24"/>
                <w:szCs w:val="24"/>
                <w:highlight w:val="none"/>
                <w:lang w:eastAsia="en-US"/>
              </w:rPr>
            </w:pPr>
            <w:r>
              <w:rPr>
                <w:rFonts w:hint="eastAsia" w:ascii="宋体" w:hAnsi="宋体" w:eastAsia="宋体" w:cs="宋体"/>
                <w:sz w:val="24"/>
                <w:szCs w:val="24"/>
                <w:highlight w:val="none"/>
                <w:lang w:eastAsia="en-US"/>
              </w:rPr>
              <w:t>壁挂机柜</w:t>
            </w:r>
          </w:p>
        </w:tc>
        <w:tc>
          <w:tcPr>
            <w:tcW w:w="3016" w:type="pct"/>
            <w:shd w:val="clear" w:color="auto" w:fill="auto"/>
            <w:vAlign w:val="center"/>
          </w:tcPr>
          <w:p w14:paraId="127423D5">
            <w:pPr>
              <w:rPr>
                <w:rFonts w:ascii="宋体" w:hAnsi="宋体" w:eastAsia="宋体" w:cs="宋体"/>
                <w:sz w:val="24"/>
                <w:szCs w:val="24"/>
                <w:highlight w:val="none"/>
                <w:lang w:eastAsia="en-US"/>
              </w:rPr>
            </w:pPr>
            <w:r>
              <w:rPr>
                <w:rFonts w:hint="eastAsia" w:ascii="宋体" w:hAnsi="宋体" w:eastAsia="宋体" w:cs="宋体"/>
                <w:sz w:val="24"/>
                <w:szCs w:val="24"/>
                <w:highlight w:val="none"/>
                <w:lang w:eastAsia="en-US"/>
              </w:rPr>
              <w:t>12U壁挂式；600*600*600mm</w:t>
            </w:r>
          </w:p>
        </w:tc>
        <w:tc>
          <w:tcPr>
            <w:tcW w:w="339" w:type="pct"/>
            <w:shd w:val="clear" w:color="auto" w:fill="auto"/>
            <w:vAlign w:val="center"/>
          </w:tcPr>
          <w:p w14:paraId="1606B340">
            <w:pPr>
              <w:rPr>
                <w:rFonts w:ascii="宋体" w:hAnsi="宋体" w:eastAsia="宋体" w:cs="宋体"/>
                <w:sz w:val="24"/>
                <w:szCs w:val="24"/>
                <w:highlight w:val="none"/>
                <w:lang w:eastAsia="en-US"/>
              </w:rPr>
            </w:pPr>
            <w:r>
              <w:rPr>
                <w:rFonts w:hint="eastAsia" w:ascii="宋体" w:hAnsi="宋体" w:eastAsia="宋体" w:cs="宋体"/>
                <w:sz w:val="24"/>
                <w:szCs w:val="24"/>
                <w:highlight w:val="none"/>
              </w:rPr>
              <w:t>78</w:t>
            </w:r>
          </w:p>
        </w:tc>
        <w:tc>
          <w:tcPr>
            <w:tcW w:w="225" w:type="pct"/>
            <w:shd w:val="clear" w:color="auto" w:fill="auto"/>
            <w:vAlign w:val="center"/>
          </w:tcPr>
          <w:p w14:paraId="5FABDE5D">
            <w:pPr>
              <w:rPr>
                <w:rFonts w:ascii="宋体" w:hAnsi="宋体" w:eastAsia="宋体" w:cs="宋体"/>
                <w:sz w:val="24"/>
                <w:szCs w:val="24"/>
                <w:highlight w:val="none"/>
                <w:lang w:eastAsia="en-US"/>
              </w:rPr>
            </w:pPr>
            <w:r>
              <w:rPr>
                <w:rFonts w:hint="eastAsia" w:ascii="宋体" w:hAnsi="宋体" w:eastAsia="宋体" w:cs="宋体"/>
                <w:sz w:val="24"/>
                <w:szCs w:val="24"/>
                <w:highlight w:val="none"/>
              </w:rPr>
              <w:t>个</w:t>
            </w:r>
          </w:p>
        </w:tc>
        <w:tc>
          <w:tcPr>
            <w:tcW w:w="427" w:type="pct"/>
            <w:vAlign w:val="center"/>
          </w:tcPr>
          <w:p w14:paraId="571044A7">
            <w:pPr>
              <w:rPr>
                <w:rFonts w:ascii="宋体" w:hAnsi="宋体" w:eastAsia="宋体" w:cs="宋体"/>
                <w:sz w:val="24"/>
                <w:szCs w:val="24"/>
                <w:highlight w:val="none"/>
              </w:rPr>
            </w:pPr>
            <w:r>
              <w:rPr>
                <w:rFonts w:hint="eastAsia" w:ascii="宋体" w:hAnsi="宋体" w:eastAsia="宋体" w:cs="宋体"/>
                <w:sz w:val="24"/>
                <w:szCs w:val="24"/>
                <w:highlight w:val="none"/>
              </w:rPr>
              <w:t>工业</w:t>
            </w:r>
          </w:p>
        </w:tc>
        <w:tc>
          <w:tcPr>
            <w:tcW w:w="245" w:type="pct"/>
            <w:vAlign w:val="center"/>
          </w:tcPr>
          <w:p w14:paraId="21AC4487">
            <w:pPr>
              <w:rPr>
                <w:rFonts w:ascii="宋体" w:hAnsi="宋体" w:eastAsia="宋体" w:cs="宋体"/>
                <w:sz w:val="24"/>
                <w:szCs w:val="24"/>
                <w:highlight w:val="none"/>
              </w:rPr>
            </w:pPr>
          </w:p>
        </w:tc>
      </w:tr>
      <w:tr w14:paraId="20C0F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shd w:val="clear" w:color="auto" w:fill="auto"/>
            <w:vAlign w:val="center"/>
          </w:tcPr>
          <w:p w14:paraId="4526F203">
            <w:pPr>
              <w:widowControl/>
              <w:jc w:val="center"/>
              <w:textAlignment w:val="center"/>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15</w:t>
            </w:r>
          </w:p>
        </w:tc>
        <w:tc>
          <w:tcPr>
            <w:tcW w:w="434" w:type="pct"/>
            <w:shd w:val="clear" w:color="auto" w:fill="auto"/>
            <w:vAlign w:val="center"/>
          </w:tcPr>
          <w:p w14:paraId="67A34039">
            <w:pPr>
              <w:rPr>
                <w:rFonts w:ascii="宋体" w:hAnsi="宋体" w:eastAsia="宋体" w:cs="宋体"/>
                <w:sz w:val="24"/>
                <w:szCs w:val="24"/>
                <w:highlight w:val="none"/>
                <w:lang w:eastAsia="en-US"/>
              </w:rPr>
            </w:pPr>
            <w:r>
              <w:rPr>
                <w:rFonts w:hint="eastAsia" w:ascii="宋体" w:hAnsi="宋体" w:eastAsia="宋体" w:cs="宋体"/>
                <w:sz w:val="24"/>
                <w:szCs w:val="24"/>
                <w:highlight w:val="none"/>
                <w:lang w:eastAsia="en-US"/>
              </w:rPr>
              <w:t>主电源线</w:t>
            </w:r>
          </w:p>
        </w:tc>
        <w:tc>
          <w:tcPr>
            <w:tcW w:w="3016" w:type="pct"/>
            <w:shd w:val="clear" w:color="auto" w:fill="auto"/>
            <w:vAlign w:val="center"/>
          </w:tcPr>
          <w:p w14:paraId="6E109533">
            <w:pPr>
              <w:rPr>
                <w:rFonts w:ascii="宋体" w:hAnsi="宋体" w:eastAsia="宋体" w:cs="宋体"/>
                <w:sz w:val="24"/>
                <w:szCs w:val="24"/>
                <w:highlight w:val="none"/>
                <w:lang w:eastAsia="en-US"/>
              </w:rPr>
            </w:pPr>
            <w:r>
              <w:rPr>
                <w:rFonts w:hint="eastAsia" w:ascii="宋体" w:hAnsi="宋体" w:eastAsia="宋体" w:cs="宋体"/>
                <w:sz w:val="24"/>
                <w:szCs w:val="24"/>
                <w:highlight w:val="none"/>
                <w:lang w:eastAsia="en-US"/>
              </w:rPr>
              <w:t>RVV2*</w:t>
            </w: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en-US"/>
              </w:rPr>
              <w:t>.5</w:t>
            </w:r>
          </w:p>
        </w:tc>
        <w:tc>
          <w:tcPr>
            <w:tcW w:w="339" w:type="pct"/>
            <w:shd w:val="clear" w:color="auto" w:fill="auto"/>
            <w:vAlign w:val="center"/>
          </w:tcPr>
          <w:p w14:paraId="46F6E882">
            <w:pPr>
              <w:rPr>
                <w:rFonts w:ascii="宋体" w:hAnsi="宋体" w:eastAsia="宋体" w:cs="宋体"/>
                <w:sz w:val="24"/>
                <w:szCs w:val="24"/>
                <w:highlight w:val="none"/>
                <w:lang w:eastAsia="en-US"/>
              </w:rPr>
            </w:pPr>
            <w:r>
              <w:rPr>
                <w:rFonts w:hint="eastAsia" w:ascii="宋体" w:hAnsi="宋体" w:eastAsia="宋体" w:cs="宋体"/>
                <w:sz w:val="24"/>
                <w:szCs w:val="24"/>
                <w:highlight w:val="none"/>
              </w:rPr>
              <w:t>16</w:t>
            </w:r>
          </w:p>
        </w:tc>
        <w:tc>
          <w:tcPr>
            <w:tcW w:w="225" w:type="pct"/>
            <w:shd w:val="clear" w:color="auto" w:fill="auto"/>
            <w:vAlign w:val="center"/>
          </w:tcPr>
          <w:p w14:paraId="6E243DB3">
            <w:pPr>
              <w:rPr>
                <w:rFonts w:ascii="宋体" w:hAnsi="宋体" w:eastAsia="宋体" w:cs="宋体"/>
                <w:sz w:val="24"/>
                <w:szCs w:val="24"/>
                <w:highlight w:val="none"/>
                <w:lang w:eastAsia="en-US"/>
              </w:rPr>
            </w:pPr>
            <w:r>
              <w:rPr>
                <w:rFonts w:hint="eastAsia" w:ascii="宋体" w:hAnsi="宋体" w:eastAsia="宋体" w:cs="宋体"/>
                <w:sz w:val="24"/>
                <w:szCs w:val="24"/>
                <w:highlight w:val="none"/>
              </w:rPr>
              <w:t>卷</w:t>
            </w:r>
          </w:p>
        </w:tc>
        <w:tc>
          <w:tcPr>
            <w:tcW w:w="427" w:type="pct"/>
            <w:vAlign w:val="center"/>
          </w:tcPr>
          <w:p w14:paraId="3B5CD84E">
            <w:pPr>
              <w:rPr>
                <w:rFonts w:ascii="宋体" w:hAnsi="宋体" w:eastAsia="宋体" w:cs="宋体"/>
                <w:sz w:val="24"/>
                <w:szCs w:val="24"/>
                <w:highlight w:val="none"/>
              </w:rPr>
            </w:pPr>
            <w:r>
              <w:rPr>
                <w:rFonts w:hint="eastAsia" w:ascii="宋体" w:hAnsi="宋体" w:eastAsia="宋体" w:cs="宋体"/>
                <w:sz w:val="24"/>
                <w:szCs w:val="24"/>
                <w:highlight w:val="none"/>
              </w:rPr>
              <w:t>工业</w:t>
            </w:r>
          </w:p>
        </w:tc>
        <w:tc>
          <w:tcPr>
            <w:tcW w:w="245" w:type="pct"/>
            <w:vAlign w:val="center"/>
          </w:tcPr>
          <w:p w14:paraId="528F937B">
            <w:pPr>
              <w:rPr>
                <w:rFonts w:ascii="宋体" w:hAnsi="宋体" w:eastAsia="宋体" w:cs="宋体"/>
                <w:sz w:val="24"/>
                <w:szCs w:val="24"/>
                <w:highlight w:val="none"/>
              </w:rPr>
            </w:pPr>
          </w:p>
        </w:tc>
      </w:tr>
      <w:tr w14:paraId="75366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shd w:val="clear" w:color="auto" w:fill="auto"/>
            <w:vAlign w:val="center"/>
          </w:tcPr>
          <w:p w14:paraId="0A3B0331">
            <w:pPr>
              <w:widowControl/>
              <w:jc w:val="center"/>
              <w:textAlignment w:val="center"/>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16</w:t>
            </w:r>
          </w:p>
        </w:tc>
        <w:tc>
          <w:tcPr>
            <w:tcW w:w="434" w:type="pct"/>
            <w:shd w:val="clear" w:color="auto" w:fill="auto"/>
            <w:vAlign w:val="center"/>
          </w:tcPr>
          <w:p w14:paraId="2F116667">
            <w:pPr>
              <w:rPr>
                <w:rFonts w:ascii="宋体" w:hAnsi="宋体" w:eastAsia="宋体" w:cs="宋体"/>
                <w:sz w:val="24"/>
                <w:szCs w:val="24"/>
                <w:highlight w:val="none"/>
                <w:lang w:eastAsia="en-US"/>
              </w:rPr>
            </w:pPr>
            <w:r>
              <w:rPr>
                <w:rFonts w:hint="eastAsia" w:ascii="宋体" w:hAnsi="宋体" w:eastAsia="宋体" w:cs="宋体"/>
                <w:sz w:val="24"/>
                <w:szCs w:val="24"/>
                <w:highlight w:val="none"/>
                <w:lang w:eastAsia="en-US"/>
              </w:rPr>
              <w:t>分支电源线</w:t>
            </w:r>
          </w:p>
        </w:tc>
        <w:tc>
          <w:tcPr>
            <w:tcW w:w="3016" w:type="pct"/>
            <w:shd w:val="clear" w:color="auto" w:fill="auto"/>
            <w:vAlign w:val="center"/>
          </w:tcPr>
          <w:p w14:paraId="1F246B89">
            <w:pPr>
              <w:rPr>
                <w:rFonts w:ascii="宋体" w:hAnsi="宋体" w:eastAsia="宋体" w:cs="宋体"/>
                <w:sz w:val="24"/>
                <w:szCs w:val="24"/>
                <w:highlight w:val="none"/>
              </w:rPr>
            </w:pPr>
            <w:r>
              <w:rPr>
                <w:rFonts w:hint="eastAsia" w:ascii="宋体" w:hAnsi="宋体" w:eastAsia="宋体" w:cs="宋体"/>
                <w:sz w:val="24"/>
                <w:szCs w:val="24"/>
                <w:highlight w:val="none"/>
              </w:rPr>
              <w:t>RVV2*1.0</w:t>
            </w:r>
          </w:p>
        </w:tc>
        <w:tc>
          <w:tcPr>
            <w:tcW w:w="339" w:type="pct"/>
            <w:shd w:val="clear" w:color="auto" w:fill="auto"/>
            <w:vAlign w:val="center"/>
          </w:tcPr>
          <w:p w14:paraId="4491282F">
            <w:pPr>
              <w:rPr>
                <w:rFonts w:ascii="宋体" w:hAnsi="宋体" w:eastAsia="宋体" w:cs="宋体"/>
                <w:sz w:val="24"/>
                <w:szCs w:val="24"/>
                <w:highlight w:val="none"/>
              </w:rPr>
            </w:pPr>
            <w:r>
              <w:rPr>
                <w:rFonts w:hint="eastAsia" w:ascii="宋体" w:hAnsi="宋体" w:eastAsia="宋体" w:cs="宋体"/>
                <w:sz w:val="24"/>
                <w:szCs w:val="24"/>
                <w:highlight w:val="none"/>
              </w:rPr>
              <w:t>125</w:t>
            </w:r>
          </w:p>
        </w:tc>
        <w:tc>
          <w:tcPr>
            <w:tcW w:w="225" w:type="pct"/>
            <w:shd w:val="clear" w:color="auto" w:fill="auto"/>
            <w:vAlign w:val="center"/>
          </w:tcPr>
          <w:p w14:paraId="2E699B71">
            <w:pPr>
              <w:rPr>
                <w:rFonts w:ascii="宋体" w:hAnsi="宋体" w:eastAsia="宋体" w:cs="宋体"/>
                <w:sz w:val="24"/>
                <w:szCs w:val="24"/>
                <w:highlight w:val="none"/>
              </w:rPr>
            </w:pPr>
            <w:r>
              <w:rPr>
                <w:rFonts w:hint="eastAsia" w:ascii="宋体" w:hAnsi="宋体" w:eastAsia="宋体" w:cs="宋体"/>
                <w:sz w:val="24"/>
                <w:szCs w:val="24"/>
                <w:highlight w:val="none"/>
              </w:rPr>
              <w:t>卷</w:t>
            </w:r>
          </w:p>
        </w:tc>
        <w:tc>
          <w:tcPr>
            <w:tcW w:w="427" w:type="pct"/>
            <w:vAlign w:val="center"/>
          </w:tcPr>
          <w:p w14:paraId="5E4AF4FF">
            <w:pPr>
              <w:rPr>
                <w:rFonts w:ascii="宋体" w:hAnsi="宋体" w:eastAsia="宋体" w:cs="宋体"/>
                <w:sz w:val="24"/>
                <w:szCs w:val="24"/>
                <w:highlight w:val="none"/>
              </w:rPr>
            </w:pPr>
            <w:r>
              <w:rPr>
                <w:rFonts w:hint="eastAsia" w:ascii="宋体" w:hAnsi="宋体" w:eastAsia="宋体" w:cs="宋体"/>
                <w:sz w:val="24"/>
                <w:szCs w:val="24"/>
                <w:highlight w:val="none"/>
              </w:rPr>
              <w:t>工业</w:t>
            </w:r>
          </w:p>
        </w:tc>
        <w:tc>
          <w:tcPr>
            <w:tcW w:w="245" w:type="pct"/>
            <w:vAlign w:val="center"/>
          </w:tcPr>
          <w:p w14:paraId="63C9A0F0">
            <w:pPr>
              <w:rPr>
                <w:rFonts w:ascii="宋体" w:hAnsi="宋体" w:eastAsia="宋体" w:cs="宋体"/>
                <w:sz w:val="24"/>
                <w:szCs w:val="24"/>
                <w:highlight w:val="none"/>
              </w:rPr>
            </w:pPr>
          </w:p>
        </w:tc>
      </w:tr>
      <w:tr w14:paraId="4503F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shd w:val="clear" w:color="auto" w:fill="auto"/>
            <w:vAlign w:val="center"/>
          </w:tcPr>
          <w:p w14:paraId="20162BBE">
            <w:pPr>
              <w:widowControl/>
              <w:jc w:val="center"/>
              <w:textAlignment w:val="center"/>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17</w:t>
            </w:r>
          </w:p>
        </w:tc>
        <w:tc>
          <w:tcPr>
            <w:tcW w:w="434" w:type="pct"/>
            <w:shd w:val="clear" w:color="auto" w:fill="auto"/>
            <w:vAlign w:val="center"/>
          </w:tcPr>
          <w:p w14:paraId="5468B3C9">
            <w:pPr>
              <w:rPr>
                <w:rFonts w:ascii="宋体" w:hAnsi="宋体" w:eastAsia="宋体" w:cs="宋体"/>
                <w:sz w:val="24"/>
                <w:szCs w:val="24"/>
                <w:highlight w:val="none"/>
                <w:lang w:eastAsia="en-US"/>
              </w:rPr>
            </w:pPr>
            <w:r>
              <w:rPr>
                <w:rFonts w:hint="eastAsia" w:ascii="宋体" w:hAnsi="宋体" w:eastAsia="宋体" w:cs="宋体"/>
                <w:sz w:val="24"/>
                <w:szCs w:val="24"/>
                <w:highlight w:val="none"/>
                <w:lang w:eastAsia="en-US"/>
              </w:rPr>
              <w:t>室内4芯光纤</w:t>
            </w:r>
          </w:p>
        </w:tc>
        <w:tc>
          <w:tcPr>
            <w:tcW w:w="3016" w:type="pct"/>
            <w:shd w:val="clear" w:color="auto" w:fill="auto"/>
            <w:vAlign w:val="center"/>
          </w:tcPr>
          <w:p w14:paraId="3CEC9154">
            <w:pPr>
              <w:rPr>
                <w:rFonts w:ascii="宋体" w:hAnsi="宋体" w:eastAsia="宋体" w:cs="宋体"/>
                <w:sz w:val="24"/>
                <w:szCs w:val="24"/>
                <w:highlight w:val="none"/>
              </w:rPr>
            </w:pPr>
            <w:r>
              <w:rPr>
                <w:rFonts w:hint="eastAsia" w:ascii="宋体" w:hAnsi="宋体" w:eastAsia="宋体" w:cs="宋体"/>
                <w:sz w:val="24"/>
                <w:szCs w:val="24"/>
                <w:highlight w:val="none"/>
              </w:rPr>
              <w:t>低烟无卤护套4芯单模束状缆</w:t>
            </w:r>
          </w:p>
        </w:tc>
        <w:tc>
          <w:tcPr>
            <w:tcW w:w="339" w:type="pct"/>
            <w:shd w:val="clear" w:color="auto" w:fill="auto"/>
            <w:vAlign w:val="center"/>
          </w:tcPr>
          <w:p w14:paraId="13DEE670">
            <w:pPr>
              <w:rPr>
                <w:rFonts w:ascii="宋体" w:hAnsi="宋体" w:eastAsia="宋体" w:cs="宋体"/>
                <w:sz w:val="24"/>
                <w:szCs w:val="24"/>
                <w:highlight w:val="none"/>
              </w:rPr>
            </w:pPr>
            <w:r>
              <w:rPr>
                <w:rFonts w:hint="eastAsia" w:ascii="宋体" w:hAnsi="宋体" w:eastAsia="宋体" w:cs="宋体"/>
                <w:sz w:val="24"/>
                <w:szCs w:val="24"/>
                <w:highlight w:val="none"/>
              </w:rPr>
              <w:t>8320</w:t>
            </w:r>
          </w:p>
        </w:tc>
        <w:tc>
          <w:tcPr>
            <w:tcW w:w="225" w:type="pct"/>
            <w:shd w:val="clear" w:color="auto" w:fill="auto"/>
            <w:vAlign w:val="center"/>
          </w:tcPr>
          <w:p w14:paraId="6D995B5B">
            <w:pPr>
              <w:rPr>
                <w:rFonts w:ascii="宋体" w:hAnsi="宋体" w:eastAsia="宋体" w:cs="宋体"/>
                <w:sz w:val="24"/>
                <w:szCs w:val="24"/>
                <w:highlight w:val="none"/>
              </w:rPr>
            </w:pPr>
            <w:r>
              <w:rPr>
                <w:rFonts w:hint="eastAsia" w:ascii="宋体" w:hAnsi="宋体" w:eastAsia="宋体" w:cs="宋体"/>
                <w:sz w:val="24"/>
                <w:szCs w:val="24"/>
                <w:highlight w:val="none"/>
              </w:rPr>
              <w:t>米</w:t>
            </w:r>
          </w:p>
        </w:tc>
        <w:tc>
          <w:tcPr>
            <w:tcW w:w="427" w:type="pct"/>
            <w:vAlign w:val="center"/>
          </w:tcPr>
          <w:p w14:paraId="5B697382">
            <w:pPr>
              <w:rPr>
                <w:rFonts w:ascii="宋体" w:hAnsi="宋体" w:eastAsia="宋体" w:cs="宋体"/>
                <w:sz w:val="24"/>
                <w:szCs w:val="24"/>
                <w:highlight w:val="none"/>
              </w:rPr>
            </w:pPr>
            <w:r>
              <w:rPr>
                <w:rFonts w:hint="eastAsia" w:ascii="宋体" w:hAnsi="宋体" w:eastAsia="宋体" w:cs="宋体"/>
                <w:sz w:val="24"/>
                <w:szCs w:val="24"/>
                <w:highlight w:val="none"/>
              </w:rPr>
              <w:t>工业</w:t>
            </w:r>
          </w:p>
        </w:tc>
        <w:tc>
          <w:tcPr>
            <w:tcW w:w="245" w:type="pct"/>
            <w:vAlign w:val="center"/>
          </w:tcPr>
          <w:p w14:paraId="5D3046F4">
            <w:pPr>
              <w:rPr>
                <w:rFonts w:ascii="宋体" w:hAnsi="宋体" w:eastAsia="宋体" w:cs="宋体"/>
                <w:sz w:val="24"/>
                <w:szCs w:val="24"/>
                <w:highlight w:val="none"/>
              </w:rPr>
            </w:pPr>
          </w:p>
        </w:tc>
      </w:tr>
      <w:tr w14:paraId="7702A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shd w:val="clear" w:color="auto" w:fill="auto"/>
            <w:vAlign w:val="center"/>
          </w:tcPr>
          <w:p w14:paraId="0616ED50">
            <w:pPr>
              <w:widowControl/>
              <w:jc w:val="center"/>
              <w:textAlignment w:val="center"/>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18</w:t>
            </w:r>
          </w:p>
        </w:tc>
        <w:tc>
          <w:tcPr>
            <w:tcW w:w="434" w:type="pct"/>
            <w:shd w:val="clear" w:color="auto" w:fill="auto"/>
            <w:vAlign w:val="center"/>
          </w:tcPr>
          <w:p w14:paraId="2FEFE138">
            <w:pPr>
              <w:rPr>
                <w:rFonts w:ascii="宋体" w:hAnsi="宋体" w:eastAsia="宋体" w:cs="宋体"/>
                <w:sz w:val="24"/>
                <w:szCs w:val="24"/>
                <w:highlight w:val="none"/>
                <w:lang w:eastAsia="en-US"/>
              </w:rPr>
            </w:pPr>
            <w:r>
              <w:rPr>
                <w:rFonts w:hint="eastAsia" w:ascii="宋体" w:hAnsi="宋体" w:eastAsia="宋体" w:cs="宋体"/>
                <w:sz w:val="24"/>
                <w:szCs w:val="24"/>
                <w:highlight w:val="none"/>
              </w:rPr>
              <w:t>超五</w:t>
            </w:r>
            <w:r>
              <w:rPr>
                <w:rFonts w:hint="eastAsia" w:ascii="宋体" w:hAnsi="宋体" w:eastAsia="宋体" w:cs="宋体"/>
                <w:sz w:val="24"/>
                <w:szCs w:val="24"/>
                <w:highlight w:val="none"/>
                <w:lang w:eastAsia="en-US"/>
              </w:rPr>
              <w:t>类网线</w:t>
            </w:r>
          </w:p>
        </w:tc>
        <w:tc>
          <w:tcPr>
            <w:tcW w:w="3016" w:type="pct"/>
            <w:shd w:val="clear" w:color="auto" w:fill="auto"/>
            <w:vAlign w:val="center"/>
          </w:tcPr>
          <w:p w14:paraId="4DEF1B23">
            <w:pPr>
              <w:rPr>
                <w:rFonts w:ascii="宋体" w:hAnsi="宋体" w:eastAsia="宋体" w:cs="宋体"/>
                <w:sz w:val="24"/>
                <w:szCs w:val="24"/>
                <w:highlight w:val="none"/>
              </w:rPr>
            </w:pPr>
            <w:r>
              <w:rPr>
                <w:rFonts w:hint="eastAsia" w:ascii="宋体" w:hAnsi="宋体" w:eastAsia="宋体" w:cs="宋体"/>
                <w:sz w:val="24"/>
                <w:szCs w:val="24"/>
                <w:highlight w:val="none"/>
              </w:rPr>
              <w:t>超五类4对UTP电缆</w:t>
            </w:r>
          </w:p>
        </w:tc>
        <w:tc>
          <w:tcPr>
            <w:tcW w:w="339" w:type="pct"/>
            <w:shd w:val="clear" w:color="auto" w:fill="auto"/>
            <w:vAlign w:val="center"/>
          </w:tcPr>
          <w:p w14:paraId="36B78063">
            <w:pPr>
              <w:rPr>
                <w:rFonts w:ascii="宋体" w:hAnsi="宋体" w:eastAsia="宋体" w:cs="宋体"/>
                <w:sz w:val="24"/>
                <w:szCs w:val="24"/>
                <w:highlight w:val="none"/>
              </w:rPr>
            </w:pPr>
            <w:r>
              <w:rPr>
                <w:rFonts w:hint="eastAsia" w:ascii="宋体" w:hAnsi="宋体" w:eastAsia="宋体" w:cs="宋体"/>
                <w:sz w:val="24"/>
                <w:szCs w:val="24"/>
                <w:highlight w:val="none"/>
              </w:rPr>
              <w:t>167</w:t>
            </w:r>
          </w:p>
        </w:tc>
        <w:tc>
          <w:tcPr>
            <w:tcW w:w="225" w:type="pct"/>
            <w:shd w:val="clear" w:color="auto" w:fill="auto"/>
            <w:vAlign w:val="center"/>
          </w:tcPr>
          <w:p w14:paraId="0BB52BFD">
            <w:pPr>
              <w:rPr>
                <w:rFonts w:ascii="宋体" w:hAnsi="宋体" w:eastAsia="宋体" w:cs="宋体"/>
                <w:sz w:val="24"/>
                <w:szCs w:val="24"/>
                <w:highlight w:val="none"/>
              </w:rPr>
            </w:pPr>
            <w:r>
              <w:rPr>
                <w:rFonts w:hint="eastAsia" w:ascii="宋体" w:hAnsi="宋体" w:eastAsia="宋体" w:cs="宋体"/>
                <w:sz w:val="24"/>
                <w:szCs w:val="24"/>
                <w:highlight w:val="none"/>
              </w:rPr>
              <w:t>箱</w:t>
            </w:r>
          </w:p>
        </w:tc>
        <w:tc>
          <w:tcPr>
            <w:tcW w:w="427" w:type="pct"/>
            <w:vAlign w:val="center"/>
          </w:tcPr>
          <w:p w14:paraId="7E71D776">
            <w:pPr>
              <w:rPr>
                <w:rFonts w:ascii="宋体" w:hAnsi="宋体" w:eastAsia="宋体" w:cs="宋体"/>
                <w:sz w:val="24"/>
                <w:szCs w:val="24"/>
                <w:highlight w:val="none"/>
              </w:rPr>
            </w:pPr>
            <w:r>
              <w:rPr>
                <w:rFonts w:hint="eastAsia" w:ascii="宋体" w:hAnsi="宋体" w:eastAsia="宋体" w:cs="宋体"/>
                <w:sz w:val="24"/>
                <w:szCs w:val="24"/>
                <w:highlight w:val="none"/>
              </w:rPr>
              <w:t>工业</w:t>
            </w:r>
          </w:p>
        </w:tc>
        <w:tc>
          <w:tcPr>
            <w:tcW w:w="245" w:type="pct"/>
            <w:vAlign w:val="center"/>
          </w:tcPr>
          <w:p w14:paraId="3791176F">
            <w:pPr>
              <w:rPr>
                <w:rFonts w:ascii="宋体" w:hAnsi="宋体" w:eastAsia="宋体" w:cs="宋体"/>
                <w:sz w:val="24"/>
                <w:szCs w:val="24"/>
                <w:highlight w:val="none"/>
              </w:rPr>
            </w:pPr>
          </w:p>
        </w:tc>
      </w:tr>
      <w:tr w14:paraId="5D6F1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shd w:val="clear" w:color="auto" w:fill="auto"/>
            <w:vAlign w:val="center"/>
          </w:tcPr>
          <w:p w14:paraId="2029C448">
            <w:pPr>
              <w:widowControl/>
              <w:jc w:val="center"/>
              <w:textAlignment w:val="center"/>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19</w:t>
            </w:r>
          </w:p>
        </w:tc>
        <w:tc>
          <w:tcPr>
            <w:tcW w:w="434" w:type="pct"/>
            <w:shd w:val="clear" w:color="auto" w:fill="auto"/>
            <w:vAlign w:val="center"/>
          </w:tcPr>
          <w:p w14:paraId="612CF0E3">
            <w:pPr>
              <w:rPr>
                <w:rFonts w:ascii="宋体" w:hAnsi="宋体" w:eastAsia="宋体" w:cs="宋体"/>
                <w:sz w:val="24"/>
                <w:szCs w:val="24"/>
                <w:highlight w:val="none"/>
                <w:lang w:eastAsia="en-US"/>
              </w:rPr>
            </w:pPr>
            <w:r>
              <w:rPr>
                <w:rFonts w:hint="eastAsia" w:ascii="宋体" w:hAnsi="宋体" w:eastAsia="宋体" w:cs="宋体"/>
                <w:sz w:val="24"/>
                <w:szCs w:val="24"/>
                <w:highlight w:val="none"/>
                <w:lang w:eastAsia="en-US"/>
              </w:rPr>
              <w:t>插排6位</w:t>
            </w:r>
          </w:p>
        </w:tc>
        <w:tc>
          <w:tcPr>
            <w:tcW w:w="3016" w:type="pct"/>
            <w:shd w:val="clear" w:color="auto" w:fill="auto"/>
            <w:vAlign w:val="center"/>
          </w:tcPr>
          <w:p w14:paraId="48001831">
            <w:pPr>
              <w:rPr>
                <w:rFonts w:ascii="宋体" w:hAnsi="宋体" w:eastAsia="宋体" w:cs="宋体"/>
                <w:sz w:val="24"/>
                <w:szCs w:val="24"/>
                <w:highlight w:val="none"/>
                <w:lang w:eastAsia="en-US"/>
              </w:rPr>
            </w:pPr>
            <w:r>
              <w:rPr>
                <w:rFonts w:hint="eastAsia" w:ascii="宋体" w:hAnsi="宋体" w:eastAsia="宋体" w:cs="宋体"/>
                <w:sz w:val="24"/>
                <w:szCs w:val="24"/>
                <w:highlight w:val="none"/>
                <w:lang w:eastAsia="en-US"/>
              </w:rPr>
              <w:t>国标优质6位5孔插排</w:t>
            </w:r>
          </w:p>
        </w:tc>
        <w:tc>
          <w:tcPr>
            <w:tcW w:w="339" w:type="pct"/>
            <w:shd w:val="clear" w:color="auto" w:fill="auto"/>
            <w:vAlign w:val="center"/>
          </w:tcPr>
          <w:p w14:paraId="60B354EF">
            <w:pPr>
              <w:rPr>
                <w:rFonts w:ascii="宋体" w:hAnsi="宋体" w:eastAsia="宋体" w:cs="宋体"/>
                <w:sz w:val="24"/>
                <w:szCs w:val="24"/>
                <w:highlight w:val="none"/>
                <w:lang w:eastAsia="en-US"/>
              </w:rPr>
            </w:pPr>
            <w:r>
              <w:rPr>
                <w:rFonts w:hint="eastAsia" w:ascii="宋体" w:hAnsi="宋体" w:eastAsia="宋体" w:cs="宋体"/>
                <w:sz w:val="24"/>
                <w:szCs w:val="24"/>
                <w:highlight w:val="none"/>
              </w:rPr>
              <w:t>78</w:t>
            </w:r>
          </w:p>
        </w:tc>
        <w:tc>
          <w:tcPr>
            <w:tcW w:w="225" w:type="pct"/>
            <w:shd w:val="clear" w:color="auto" w:fill="auto"/>
            <w:vAlign w:val="center"/>
          </w:tcPr>
          <w:p w14:paraId="686BDE8F">
            <w:pPr>
              <w:rPr>
                <w:rFonts w:ascii="宋体" w:hAnsi="宋体" w:eastAsia="宋体" w:cs="宋体"/>
                <w:sz w:val="24"/>
                <w:szCs w:val="24"/>
                <w:highlight w:val="none"/>
                <w:lang w:eastAsia="en-US"/>
              </w:rPr>
            </w:pPr>
            <w:r>
              <w:rPr>
                <w:rFonts w:hint="eastAsia" w:ascii="宋体" w:hAnsi="宋体" w:eastAsia="宋体" w:cs="宋体"/>
                <w:sz w:val="24"/>
                <w:szCs w:val="24"/>
                <w:highlight w:val="none"/>
              </w:rPr>
              <w:t>个</w:t>
            </w:r>
          </w:p>
        </w:tc>
        <w:tc>
          <w:tcPr>
            <w:tcW w:w="427" w:type="pct"/>
            <w:vAlign w:val="center"/>
          </w:tcPr>
          <w:p w14:paraId="348FBAF1">
            <w:pPr>
              <w:rPr>
                <w:rFonts w:ascii="宋体" w:hAnsi="宋体" w:eastAsia="宋体" w:cs="宋体"/>
                <w:sz w:val="24"/>
                <w:szCs w:val="24"/>
                <w:highlight w:val="none"/>
              </w:rPr>
            </w:pPr>
            <w:r>
              <w:rPr>
                <w:rFonts w:hint="eastAsia" w:ascii="宋体" w:hAnsi="宋体" w:eastAsia="宋体" w:cs="宋体"/>
                <w:sz w:val="24"/>
                <w:szCs w:val="24"/>
                <w:highlight w:val="none"/>
              </w:rPr>
              <w:t>工业</w:t>
            </w:r>
          </w:p>
        </w:tc>
        <w:tc>
          <w:tcPr>
            <w:tcW w:w="245" w:type="pct"/>
            <w:vAlign w:val="center"/>
          </w:tcPr>
          <w:p w14:paraId="34199DD2">
            <w:pPr>
              <w:rPr>
                <w:rFonts w:ascii="宋体" w:hAnsi="宋体" w:eastAsia="宋体" w:cs="宋体"/>
                <w:sz w:val="24"/>
                <w:szCs w:val="24"/>
                <w:highlight w:val="none"/>
              </w:rPr>
            </w:pPr>
          </w:p>
        </w:tc>
      </w:tr>
      <w:tr w14:paraId="381BB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shd w:val="clear" w:color="auto" w:fill="auto"/>
            <w:vAlign w:val="center"/>
          </w:tcPr>
          <w:p w14:paraId="3DE7380F">
            <w:pPr>
              <w:widowControl/>
              <w:jc w:val="center"/>
              <w:textAlignment w:val="center"/>
              <w:rPr>
                <w:rFonts w:ascii="宋体" w:hAnsi="宋体" w:eastAsia="宋体" w:cs="宋体"/>
                <w:sz w:val="24"/>
                <w:szCs w:val="24"/>
                <w:highlight w:val="none"/>
                <w:lang w:eastAsia="en-US"/>
              </w:rPr>
            </w:pPr>
            <w:r>
              <w:rPr>
                <w:rFonts w:hint="eastAsia" w:ascii="宋体" w:hAnsi="宋体" w:eastAsia="宋体" w:cs="宋体"/>
                <w:color w:val="000000"/>
                <w:kern w:val="0"/>
                <w:sz w:val="24"/>
                <w:szCs w:val="24"/>
                <w:highlight w:val="none"/>
              </w:rPr>
              <w:t>20</w:t>
            </w:r>
          </w:p>
        </w:tc>
        <w:tc>
          <w:tcPr>
            <w:tcW w:w="434" w:type="pct"/>
            <w:shd w:val="clear" w:color="auto" w:fill="auto"/>
            <w:vAlign w:val="center"/>
          </w:tcPr>
          <w:p w14:paraId="1C76A03B">
            <w:pPr>
              <w:rPr>
                <w:rFonts w:ascii="宋体" w:hAnsi="宋体" w:eastAsia="宋体" w:cs="宋体"/>
                <w:sz w:val="24"/>
                <w:szCs w:val="24"/>
                <w:highlight w:val="none"/>
                <w:lang w:eastAsia="en-US"/>
              </w:rPr>
            </w:pPr>
            <w:r>
              <w:rPr>
                <w:rFonts w:hint="eastAsia" w:ascii="宋体" w:hAnsi="宋体" w:eastAsia="宋体" w:cs="宋体"/>
                <w:sz w:val="24"/>
                <w:szCs w:val="24"/>
                <w:highlight w:val="none"/>
                <w:lang w:eastAsia="en-US"/>
              </w:rPr>
              <w:t>插排4位</w:t>
            </w:r>
          </w:p>
        </w:tc>
        <w:tc>
          <w:tcPr>
            <w:tcW w:w="3016" w:type="pct"/>
            <w:shd w:val="clear" w:color="auto" w:fill="auto"/>
            <w:vAlign w:val="center"/>
          </w:tcPr>
          <w:p w14:paraId="787FD4B9">
            <w:pPr>
              <w:rPr>
                <w:rFonts w:ascii="宋体" w:hAnsi="宋体" w:eastAsia="宋体" w:cs="宋体"/>
                <w:sz w:val="24"/>
                <w:szCs w:val="24"/>
                <w:highlight w:val="none"/>
                <w:lang w:eastAsia="en-US"/>
              </w:rPr>
            </w:pPr>
            <w:r>
              <w:rPr>
                <w:rFonts w:hint="eastAsia" w:ascii="宋体" w:hAnsi="宋体" w:eastAsia="宋体" w:cs="宋体"/>
                <w:sz w:val="24"/>
                <w:szCs w:val="24"/>
                <w:highlight w:val="none"/>
                <w:lang w:eastAsia="en-US"/>
              </w:rPr>
              <w:t>国标优质</w:t>
            </w: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en-US"/>
              </w:rPr>
              <w:t>位5孔插排</w:t>
            </w:r>
          </w:p>
        </w:tc>
        <w:tc>
          <w:tcPr>
            <w:tcW w:w="339" w:type="pct"/>
            <w:shd w:val="clear" w:color="auto" w:fill="auto"/>
            <w:vAlign w:val="center"/>
          </w:tcPr>
          <w:p w14:paraId="2268C11C">
            <w:pPr>
              <w:rPr>
                <w:rFonts w:ascii="宋体" w:hAnsi="宋体" w:eastAsia="宋体" w:cs="宋体"/>
                <w:sz w:val="24"/>
                <w:szCs w:val="24"/>
                <w:highlight w:val="none"/>
                <w:lang w:eastAsia="en-US"/>
              </w:rPr>
            </w:pPr>
            <w:r>
              <w:rPr>
                <w:rFonts w:hint="eastAsia" w:ascii="宋体" w:hAnsi="宋体" w:eastAsia="宋体" w:cs="宋体"/>
                <w:sz w:val="24"/>
                <w:szCs w:val="24"/>
                <w:highlight w:val="none"/>
              </w:rPr>
              <w:t>25</w:t>
            </w:r>
          </w:p>
        </w:tc>
        <w:tc>
          <w:tcPr>
            <w:tcW w:w="225" w:type="pct"/>
            <w:shd w:val="clear" w:color="auto" w:fill="auto"/>
            <w:vAlign w:val="center"/>
          </w:tcPr>
          <w:p w14:paraId="330B6742">
            <w:pPr>
              <w:rPr>
                <w:rFonts w:ascii="宋体" w:hAnsi="宋体" w:eastAsia="宋体" w:cs="宋体"/>
                <w:sz w:val="24"/>
                <w:szCs w:val="24"/>
                <w:highlight w:val="none"/>
                <w:lang w:eastAsia="en-US"/>
              </w:rPr>
            </w:pPr>
            <w:r>
              <w:rPr>
                <w:rFonts w:hint="eastAsia" w:ascii="宋体" w:hAnsi="宋体" w:eastAsia="宋体" w:cs="宋体"/>
                <w:sz w:val="24"/>
                <w:szCs w:val="24"/>
                <w:highlight w:val="none"/>
              </w:rPr>
              <w:t>个</w:t>
            </w:r>
          </w:p>
        </w:tc>
        <w:tc>
          <w:tcPr>
            <w:tcW w:w="427" w:type="pct"/>
            <w:vAlign w:val="center"/>
          </w:tcPr>
          <w:p w14:paraId="1D37B59A">
            <w:pPr>
              <w:rPr>
                <w:rFonts w:ascii="宋体" w:hAnsi="宋体" w:eastAsia="宋体" w:cs="宋体"/>
                <w:sz w:val="24"/>
                <w:szCs w:val="24"/>
                <w:highlight w:val="none"/>
              </w:rPr>
            </w:pPr>
            <w:r>
              <w:rPr>
                <w:rFonts w:hint="eastAsia" w:ascii="宋体" w:hAnsi="宋体" w:eastAsia="宋体" w:cs="宋体"/>
                <w:sz w:val="24"/>
                <w:szCs w:val="24"/>
                <w:highlight w:val="none"/>
              </w:rPr>
              <w:t>工业</w:t>
            </w:r>
          </w:p>
        </w:tc>
        <w:tc>
          <w:tcPr>
            <w:tcW w:w="245" w:type="pct"/>
            <w:vAlign w:val="center"/>
          </w:tcPr>
          <w:p w14:paraId="797FFFF5">
            <w:pPr>
              <w:rPr>
                <w:rFonts w:ascii="宋体" w:hAnsi="宋体" w:eastAsia="宋体" w:cs="宋体"/>
                <w:sz w:val="24"/>
                <w:szCs w:val="24"/>
                <w:highlight w:val="none"/>
              </w:rPr>
            </w:pPr>
          </w:p>
        </w:tc>
      </w:tr>
      <w:tr w14:paraId="0D596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shd w:val="clear" w:color="auto" w:fill="auto"/>
            <w:vAlign w:val="center"/>
          </w:tcPr>
          <w:p w14:paraId="4BAC63C3">
            <w:pPr>
              <w:widowControl/>
              <w:jc w:val="center"/>
              <w:textAlignment w:val="center"/>
              <w:rPr>
                <w:rFonts w:ascii="宋体" w:hAnsi="宋体" w:eastAsia="宋体" w:cs="宋体"/>
                <w:sz w:val="24"/>
                <w:szCs w:val="24"/>
                <w:highlight w:val="none"/>
                <w:lang w:eastAsia="en-US"/>
              </w:rPr>
            </w:pPr>
            <w:r>
              <w:rPr>
                <w:rFonts w:hint="eastAsia" w:ascii="宋体" w:hAnsi="宋体" w:eastAsia="宋体" w:cs="宋体"/>
                <w:color w:val="000000"/>
                <w:kern w:val="0"/>
                <w:sz w:val="24"/>
                <w:szCs w:val="24"/>
                <w:highlight w:val="none"/>
              </w:rPr>
              <w:t>21</w:t>
            </w:r>
          </w:p>
        </w:tc>
        <w:tc>
          <w:tcPr>
            <w:tcW w:w="434" w:type="pct"/>
            <w:shd w:val="clear" w:color="auto" w:fill="auto"/>
            <w:vAlign w:val="center"/>
          </w:tcPr>
          <w:p w14:paraId="2565931B">
            <w:pPr>
              <w:rPr>
                <w:rFonts w:ascii="宋体" w:hAnsi="宋体" w:eastAsia="宋体" w:cs="宋体"/>
                <w:sz w:val="24"/>
                <w:szCs w:val="24"/>
                <w:highlight w:val="none"/>
                <w:lang w:eastAsia="en-US"/>
              </w:rPr>
            </w:pPr>
            <w:r>
              <w:rPr>
                <w:rFonts w:hint="eastAsia" w:ascii="宋体" w:hAnsi="宋体" w:eastAsia="宋体" w:cs="宋体"/>
                <w:sz w:val="24"/>
                <w:szCs w:val="24"/>
                <w:highlight w:val="none"/>
                <w:lang w:eastAsia="en-US"/>
              </w:rPr>
              <w:t>光纤终端盒</w:t>
            </w:r>
          </w:p>
        </w:tc>
        <w:tc>
          <w:tcPr>
            <w:tcW w:w="3016" w:type="pct"/>
            <w:shd w:val="clear" w:color="auto" w:fill="auto"/>
            <w:vAlign w:val="center"/>
          </w:tcPr>
          <w:p w14:paraId="48725C65">
            <w:pPr>
              <w:rPr>
                <w:rFonts w:ascii="宋体" w:hAnsi="宋体" w:eastAsia="宋体" w:cs="宋体"/>
                <w:sz w:val="24"/>
                <w:szCs w:val="24"/>
                <w:highlight w:val="none"/>
                <w:lang w:eastAsia="en-US"/>
              </w:rPr>
            </w:pPr>
            <w:r>
              <w:rPr>
                <w:rFonts w:hint="eastAsia" w:ascii="宋体" w:hAnsi="宋体" w:eastAsia="宋体" w:cs="宋体"/>
                <w:sz w:val="24"/>
                <w:szCs w:val="24"/>
                <w:highlight w:val="none"/>
                <w:lang w:eastAsia="en-US"/>
              </w:rPr>
              <w:t>4口终端盒，LC/</w:t>
            </w:r>
            <w:r>
              <w:rPr>
                <w:rFonts w:hint="eastAsia" w:ascii="宋体" w:hAnsi="宋体" w:eastAsia="宋体" w:cs="宋体"/>
                <w:sz w:val="24"/>
                <w:szCs w:val="24"/>
                <w:highlight w:val="none"/>
              </w:rPr>
              <w:t>F</w:t>
            </w:r>
            <w:r>
              <w:rPr>
                <w:rFonts w:hint="eastAsia" w:ascii="宋体" w:hAnsi="宋体" w:eastAsia="宋体" w:cs="宋体"/>
                <w:sz w:val="24"/>
                <w:szCs w:val="24"/>
                <w:highlight w:val="none"/>
                <w:lang w:eastAsia="en-US"/>
              </w:rPr>
              <w:t>C</w:t>
            </w:r>
          </w:p>
        </w:tc>
        <w:tc>
          <w:tcPr>
            <w:tcW w:w="339" w:type="pct"/>
            <w:shd w:val="clear" w:color="auto" w:fill="auto"/>
            <w:vAlign w:val="center"/>
          </w:tcPr>
          <w:p w14:paraId="2BE0820A">
            <w:pPr>
              <w:rPr>
                <w:rFonts w:ascii="宋体" w:hAnsi="宋体" w:eastAsia="宋体" w:cs="宋体"/>
                <w:sz w:val="24"/>
                <w:szCs w:val="24"/>
                <w:highlight w:val="none"/>
                <w:lang w:eastAsia="en-US"/>
              </w:rPr>
            </w:pPr>
            <w:r>
              <w:rPr>
                <w:rFonts w:hint="eastAsia" w:ascii="宋体" w:hAnsi="宋体" w:eastAsia="宋体" w:cs="宋体"/>
                <w:sz w:val="24"/>
                <w:szCs w:val="24"/>
                <w:highlight w:val="none"/>
              </w:rPr>
              <w:t>156</w:t>
            </w:r>
          </w:p>
        </w:tc>
        <w:tc>
          <w:tcPr>
            <w:tcW w:w="225" w:type="pct"/>
            <w:shd w:val="clear" w:color="auto" w:fill="auto"/>
            <w:vAlign w:val="center"/>
          </w:tcPr>
          <w:p w14:paraId="3C56272D">
            <w:pPr>
              <w:rPr>
                <w:rFonts w:ascii="宋体" w:hAnsi="宋体" w:eastAsia="宋体" w:cs="宋体"/>
                <w:sz w:val="24"/>
                <w:szCs w:val="24"/>
                <w:highlight w:val="none"/>
                <w:lang w:eastAsia="en-US"/>
              </w:rPr>
            </w:pPr>
            <w:r>
              <w:rPr>
                <w:rFonts w:hint="eastAsia" w:ascii="宋体" w:hAnsi="宋体" w:eastAsia="宋体" w:cs="宋体"/>
                <w:sz w:val="24"/>
                <w:szCs w:val="24"/>
                <w:highlight w:val="none"/>
              </w:rPr>
              <w:t>个</w:t>
            </w:r>
          </w:p>
        </w:tc>
        <w:tc>
          <w:tcPr>
            <w:tcW w:w="427" w:type="pct"/>
            <w:vAlign w:val="center"/>
          </w:tcPr>
          <w:p w14:paraId="020E8174">
            <w:pPr>
              <w:rPr>
                <w:rFonts w:ascii="宋体" w:hAnsi="宋体" w:eastAsia="宋体" w:cs="宋体"/>
                <w:sz w:val="24"/>
                <w:szCs w:val="24"/>
                <w:highlight w:val="none"/>
              </w:rPr>
            </w:pPr>
            <w:r>
              <w:rPr>
                <w:rFonts w:hint="eastAsia" w:ascii="宋体" w:hAnsi="宋体" w:eastAsia="宋体" w:cs="宋体"/>
                <w:sz w:val="24"/>
                <w:szCs w:val="24"/>
                <w:highlight w:val="none"/>
              </w:rPr>
              <w:t>工业</w:t>
            </w:r>
          </w:p>
        </w:tc>
        <w:tc>
          <w:tcPr>
            <w:tcW w:w="245" w:type="pct"/>
            <w:vAlign w:val="center"/>
          </w:tcPr>
          <w:p w14:paraId="1C202749">
            <w:pPr>
              <w:rPr>
                <w:rFonts w:ascii="宋体" w:hAnsi="宋体" w:eastAsia="宋体" w:cs="宋体"/>
                <w:sz w:val="24"/>
                <w:szCs w:val="24"/>
                <w:highlight w:val="none"/>
              </w:rPr>
            </w:pPr>
          </w:p>
        </w:tc>
      </w:tr>
      <w:tr w14:paraId="76491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shd w:val="clear" w:color="auto" w:fill="auto"/>
            <w:vAlign w:val="center"/>
          </w:tcPr>
          <w:p w14:paraId="01188ABD">
            <w:pPr>
              <w:widowControl/>
              <w:jc w:val="center"/>
              <w:textAlignment w:val="center"/>
              <w:rPr>
                <w:rFonts w:ascii="宋体" w:hAnsi="宋体" w:eastAsia="宋体" w:cs="宋体"/>
                <w:sz w:val="24"/>
                <w:szCs w:val="24"/>
                <w:highlight w:val="none"/>
                <w:lang w:eastAsia="en-US"/>
              </w:rPr>
            </w:pPr>
            <w:r>
              <w:rPr>
                <w:rFonts w:hint="eastAsia" w:ascii="宋体" w:hAnsi="宋体" w:eastAsia="宋体" w:cs="宋体"/>
                <w:color w:val="000000"/>
                <w:kern w:val="0"/>
                <w:sz w:val="24"/>
                <w:szCs w:val="24"/>
                <w:highlight w:val="none"/>
              </w:rPr>
              <w:t>22</w:t>
            </w:r>
          </w:p>
        </w:tc>
        <w:tc>
          <w:tcPr>
            <w:tcW w:w="434" w:type="pct"/>
            <w:shd w:val="clear" w:color="auto" w:fill="auto"/>
            <w:vAlign w:val="center"/>
          </w:tcPr>
          <w:p w14:paraId="662EABE4">
            <w:pPr>
              <w:rPr>
                <w:rFonts w:ascii="宋体" w:hAnsi="宋体" w:eastAsia="宋体" w:cs="宋体"/>
                <w:sz w:val="24"/>
                <w:szCs w:val="24"/>
                <w:highlight w:val="none"/>
              </w:rPr>
            </w:pPr>
            <w:r>
              <w:rPr>
                <w:rFonts w:hint="eastAsia" w:ascii="宋体" w:hAnsi="宋体" w:eastAsia="宋体" w:cs="宋体"/>
                <w:sz w:val="24"/>
                <w:szCs w:val="24"/>
                <w:highlight w:val="none"/>
              </w:rPr>
              <w:t>尾纤</w:t>
            </w:r>
          </w:p>
        </w:tc>
        <w:tc>
          <w:tcPr>
            <w:tcW w:w="3016" w:type="pct"/>
            <w:shd w:val="clear" w:color="auto" w:fill="auto"/>
            <w:vAlign w:val="center"/>
          </w:tcPr>
          <w:p w14:paraId="20782BA2">
            <w:pPr>
              <w:rPr>
                <w:rFonts w:ascii="宋体" w:hAnsi="宋体" w:eastAsia="宋体" w:cs="宋体"/>
                <w:sz w:val="24"/>
                <w:szCs w:val="24"/>
                <w:highlight w:val="none"/>
              </w:rPr>
            </w:pPr>
            <w:r>
              <w:rPr>
                <w:rFonts w:hint="eastAsia" w:ascii="宋体" w:hAnsi="宋体" w:eastAsia="宋体" w:cs="宋体"/>
                <w:sz w:val="24"/>
                <w:szCs w:val="24"/>
                <w:highlight w:val="none"/>
              </w:rPr>
              <w:t>单模单芯</w:t>
            </w:r>
          </w:p>
        </w:tc>
        <w:tc>
          <w:tcPr>
            <w:tcW w:w="339" w:type="pct"/>
            <w:shd w:val="clear" w:color="auto" w:fill="auto"/>
            <w:vAlign w:val="center"/>
          </w:tcPr>
          <w:p w14:paraId="770275C6">
            <w:pPr>
              <w:rPr>
                <w:rFonts w:ascii="宋体" w:hAnsi="宋体" w:eastAsia="宋体" w:cs="宋体"/>
                <w:sz w:val="24"/>
                <w:szCs w:val="24"/>
                <w:highlight w:val="none"/>
              </w:rPr>
            </w:pPr>
            <w:r>
              <w:rPr>
                <w:rFonts w:hint="eastAsia" w:ascii="宋体" w:hAnsi="宋体" w:eastAsia="宋体" w:cs="宋体"/>
                <w:sz w:val="24"/>
                <w:szCs w:val="24"/>
                <w:highlight w:val="none"/>
              </w:rPr>
              <w:t>624</w:t>
            </w:r>
          </w:p>
        </w:tc>
        <w:tc>
          <w:tcPr>
            <w:tcW w:w="225" w:type="pct"/>
            <w:shd w:val="clear" w:color="auto" w:fill="auto"/>
            <w:vAlign w:val="center"/>
          </w:tcPr>
          <w:p w14:paraId="2479AC85">
            <w:pPr>
              <w:rPr>
                <w:rFonts w:ascii="宋体" w:hAnsi="宋体" w:eastAsia="宋体" w:cs="宋体"/>
                <w:sz w:val="24"/>
                <w:szCs w:val="24"/>
                <w:highlight w:val="none"/>
              </w:rPr>
            </w:pPr>
            <w:r>
              <w:rPr>
                <w:rFonts w:hint="eastAsia" w:ascii="宋体" w:hAnsi="宋体" w:eastAsia="宋体" w:cs="宋体"/>
                <w:sz w:val="24"/>
                <w:szCs w:val="24"/>
                <w:highlight w:val="none"/>
              </w:rPr>
              <w:t>根</w:t>
            </w:r>
          </w:p>
        </w:tc>
        <w:tc>
          <w:tcPr>
            <w:tcW w:w="427" w:type="pct"/>
            <w:vAlign w:val="center"/>
          </w:tcPr>
          <w:p w14:paraId="7A24E53C">
            <w:pPr>
              <w:rPr>
                <w:rFonts w:ascii="宋体" w:hAnsi="宋体" w:eastAsia="宋体" w:cs="宋体"/>
                <w:sz w:val="24"/>
                <w:szCs w:val="24"/>
                <w:highlight w:val="none"/>
              </w:rPr>
            </w:pPr>
            <w:r>
              <w:rPr>
                <w:rFonts w:hint="eastAsia" w:ascii="宋体" w:hAnsi="宋体" w:eastAsia="宋体" w:cs="宋体"/>
                <w:sz w:val="24"/>
                <w:szCs w:val="24"/>
                <w:highlight w:val="none"/>
              </w:rPr>
              <w:t>工业</w:t>
            </w:r>
          </w:p>
        </w:tc>
        <w:tc>
          <w:tcPr>
            <w:tcW w:w="245" w:type="pct"/>
            <w:vAlign w:val="center"/>
          </w:tcPr>
          <w:p w14:paraId="19DBDFE9">
            <w:pPr>
              <w:rPr>
                <w:rFonts w:ascii="宋体" w:hAnsi="宋体" w:eastAsia="宋体" w:cs="宋体"/>
                <w:sz w:val="24"/>
                <w:szCs w:val="24"/>
                <w:highlight w:val="none"/>
              </w:rPr>
            </w:pPr>
          </w:p>
        </w:tc>
      </w:tr>
      <w:tr w14:paraId="3580A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shd w:val="clear" w:color="auto" w:fill="auto"/>
            <w:vAlign w:val="center"/>
          </w:tcPr>
          <w:p w14:paraId="0CD2AB31">
            <w:pPr>
              <w:widowControl/>
              <w:jc w:val="center"/>
              <w:textAlignment w:val="center"/>
              <w:rPr>
                <w:rFonts w:ascii="宋体" w:hAnsi="宋体" w:eastAsia="宋体" w:cs="宋体"/>
                <w:sz w:val="24"/>
                <w:szCs w:val="24"/>
                <w:highlight w:val="none"/>
                <w:lang w:eastAsia="en-US"/>
              </w:rPr>
            </w:pPr>
            <w:r>
              <w:rPr>
                <w:rFonts w:hint="eastAsia" w:ascii="宋体" w:hAnsi="宋体" w:eastAsia="宋体" w:cs="宋体"/>
                <w:color w:val="000000"/>
                <w:kern w:val="0"/>
                <w:sz w:val="24"/>
                <w:szCs w:val="24"/>
                <w:highlight w:val="none"/>
              </w:rPr>
              <w:t>23</w:t>
            </w:r>
          </w:p>
        </w:tc>
        <w:tc>
          <w:tcPr>
            <w:tcW w:w="434" w:type="pct"/>
            <w:shd w:val="clear" w:color="auto" w:fill="auto"/>
            <w:vAlign w:val="center"/>
          </w:tcPr>
          <w:p w14:paraId="516E433C">
            <w:pPr>
              <w:rPr>
                <w:rFonts w:ascii="宋体" w:hAnsi="宋体" w:eastAsia="宋体" w:cs="宋体"/>
                <w:sz w:val="24"/>
                <w:szCs w:val="24"/>
                <w:highlight w:val="none"/>
                <w:lang w:eastAsia="en-US"/>
              </w:rPr>
            </w:pPr>
            <w:r>
              <w:rPr>
                <w:rFonts w:hint="eastAsia" w:ascii="宋体" w:hAnsi="宋体" w:eastAsia="宋体" w:cs="宋体"/>
                <w:sz w:val="24"/>
                <w:szCs w:val="24"/>
                <w:highlight w:val="none"/>
                <w:lang w:eastAsia="en-US"/>
              </w:rPr>
              <w:t>机架式光纤配线架</w:t>
            </w:r>
          </w:p>
        </w:tc>
        <w:tc>
          <w:tcPr>
            <w:tcW w:w="3016" w:type="pct"/>
            <w:shd w:val="clear" w:color="auto" w:fill="auto"/>
            <w:vAlign w:val="center"/>
          </w:tcPr>
          <w:p w14:paraId="63071959">
            <w:pPr>
              <w:rPr>
                <w:rFonts w:ascii="宋体" w:hAnsi="宋体" w:eastAsia="宋体" w:cs="宋体"/>
                <w:sz w:val="24"/>
                <w:szCs w:val="24"/>
                <w:highlight w:val="none"/>
                <w:lang w:eastAsia="en-US"/>
              </w:rPr>
            </w:pPr>
            <w:r>
              <w:rPr>
                <w:rFonts w:hint="eastAsia" w:ascii="宋体" w:hAnsi="宋体" w:eastAsia="宋体" w:cs="宋体"/>
                <w:sz w:val="24"/>
                <w:szCs w:val="24"/>
                <w:highlight w:val="none"/>
                <w:lang w:eastAsia="en-US"/>
              </w:rPr>
              <w:t>24口抽拉式光纤配线架</w:t>
            </w:r>
          </w:p>
        </w:tc>
        <w:tc>
          <w:tcPr>
            <w:tcW w:w="339" w:type="pct"/>
            <w:shd w:val="clear" w:color="auto" w:fill="auto"/>
            <w:vAlign w:val="center"/>
          </w:tcPr>
          <w:p w14:paraId="540D85FF">
            <w:pPr>
              <w:rPr>
                <w:rFonts w:ascii="宋体" w:hAnsi="宋体" w:eastAsia="宋体" w:cs="宋体"/>
                <w:sz w:val="24"/>
                <w:szCs w:val="24"/>
                <w:highlight w:val="none"/>
                <w:lang w:eastAsia="en-US"/>
              </w:rPr>
            </w:pPr>
            <w:r>
              <w:rPr>
                <w:rFonts w:hint="eastAsia" w:ascii="宋体" w:hAnsi="宋体" w:eastAsia="宋体" w:cs="宋体"/>
                <w:sz w:val="24"/>
                <w:szCs w:val="24"/>
                <w:highlight w:val="none"/>
              </w:rPr>
              <w:t>1</w:t>
            </w:r>
          </w:p>
        </w:tc>
        <w:tc>
          <w:tcPr>
            <w:tcW w:w="225" w:type="pct"/>
            <w:shd w:val="clear" w:color="auto" w:fill="auto"/>
            <w:vAlign w:val="center"/>
          </w:tcPr>
          <w:p w14:paraId="456557BF">
            <w:pPr>
              <w:rPr>
                <w:rFonts w:ascii="宋体" w:hAnsi="宋体" w:eastAsia="宋体" w:cs="宋体"/>
                <w:sz w:val="24"/>
                <w:szCs w:val="24"/>
                <w:highlight w:val="none"/>
                <w:lang w:eastAsia="en-US"/>
              </w:rPr>
            </w:pPr>
            <w:r>
              <w:rPr>
                <w:rFonts w:hint="eastAsia" w:ascii="宋体" w:hAnsi="宋体" w:eastAsia="宋体" w:cs="宋体"/>
                <w:sz w:val="24"/>
                <w:szCs w:val="24"/>
                <w:highlight w:val="none"/>
              </w:rPr>
              <w:t>个</w:t>
            </w:r>
          </w:p>
        </w:tc>
        <w:tc>
          <w:tcPr>
            <w:tcW w:w="427" w:type="pct"/>
            <w:vAlign w:val="center"/>
          </w:tcPr>
          <w:p w14:paraId="4D2EE51D">
            <w:pPr>
              <w:rPr>
                <w:rFonts w:ascii="宋体" w:hAnsi="宋体" w:eastAsia="宋体" w:cs="宋体"/>
                <w:sz w:val="24"/>
                <w:szCs w:val="24"/>
                <w:highlight w:val="none"/>
              </w:rPr>
            </w:pPr>
            <w:r>
              <w:rPr>
                <w:rFonts w:hint="eastAsia" w:ascii="宋体" w:hAnsi="宋体" w:eastAsia="宋体" w:cs="宋体"/>
                <w:sz w:val="24"/>
                <w:szCs w:val="24"/>
                <w:highlight w:val="none"/>
              </w:rPr>
              <w:t>工业</w:t>
            </w:r>
          </w:p>
        </w:tc>
        <w:tc>
          <w:tcPr>
            <w:tcW w:w="245" w:type="pct"/>
            <w:vAlign w:val="center"/>
          </w:tcPr>
          <w:p w14:paraId="71289A8C">
            <w:pPr>
              <w:rPr>
                <w:rFonts w:ascii="宋体" w:hAnsi="宋体" w:eastAsia="宋体" w:cs="宋体"/>
                <w:sz w:val="24"/>
                <w:szCs w:val="24"/>
                <w:highlight w:val="none"/>
              </w:rPr>
            </w:pPr>
          </w:p>
        </w:tc>
      </w:tr>
      <w:tr w14:paraId="7ACC1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shd w:val="clear" w:color="auto" w:fill="auto"/>
            <w:vAlign w:val="center"/>
          </w:tcPr>
          <w:p w14:paraId="7E9027C9">
            <w:pPr>
              <w:widowControl/>
              <w:jc w:val="center"/>
              <w:textAlignment w:val="center"/>
              <w:rPr>
                <w:rFonts w:ascii="宋体" w:hAnsi="宋体" w:eastAsia="宋体" w:cs="宋体"/>
                <w:sz w:val="24"/>
                <w:szCs w:val="24"/>
                <w:highlight w:val="none"/>
                <w:lang w:eastAsia="en-US"/>
              </w:rPr>
            </w:pPr>
            <w:r>
              <w:rPr>
                <w:rFonts w:hint="eastAsia" w:ascii="宋体" w:hAnsi="宋体" w:eastAsia="宋体" w:cs="宋体"/>
                <w:color w:val="000000"/>
                <w:kern w:val="0"/>
                <w:sz w:val="24"/>
                <w:szCs w:val="24"/>
                <w:highlight w:val="none"/>
              </w:rPr>
              <w:t>24</w:t>
            </w:r>
          </w:p>
        </w:tc>
        <w:tc>
          <w:tcPr>
            <w:tcW w:w="434" w:type="pct"/>
            <w:shd w:val="clear" w:color="auto" w:fill="auto"/>
            <w:vAlign w:val="center"/>
          </w:tcPr>
          <w:p w14:paraId="254BA766">
            <w:pPr>
              <w:rPr>
                <w:rFonts w:ascii="宋体" w:hAnsi="宋体" w:eastAsia="宋体" w:cs="宋体"/>
                <w:sz w:val="24"/>
                <w:szCs w:val="24"/>
                <w:highlight w:val="none"/>
                <w:lang w:eastAsia="en-US"/>
              </w:rPr>
            </w:pPr>
            <w:r>
              <w:rPr>
                <w:rFonts w:hint="eastAsia" w:ascii="宋体" w:hAnsi="宋体" w:eastAsia="宋体" w:cs="宋体"/>
                <w:sz w:val="24"/>
                <w:szCs w:val="24"/>
                <w:highlight w:val="none"/>
                <w:lang w:eastAsia="en-US"/>
              </w:rPr>
              <w:t>光纤跳线单模</w:t>
            </w:r>
          </w:p>
        </w:tc>
        <w:tc>
          <w:tcPr>
            <w:tcW w:w="3016" w:type="pct"/>
            <w:shd w:val="clear" w:color="auto" w:fill="auto"/>
            <w:vAlign w:val="center"/>
          </w:tcPr>
          <w:p w14:paraId="12A02D07">
            <w:pPr>
              <w:rPr>
                <w:rFonts w:ascii="宋体" w:hAnsi="宋体" w:eastAsia="宋体" w:cs="宋体"/>
                <w:sz w:val="24"/>
                <w:szCs w:val="24"/>
                <w:highlight w:val="none"/>
                <w:lang w:eastAsia="en-US"/>
              </w:rPr>
            </w:pPr>
            <w:r>
              <w:rPr>
                <w:rFonts w:hint="eastAsia" w:ascii="宋体" w:hAnsi="宋体" w:eastAsia="宋体" w:cs="宋体"/>
                <w:sz w:val="24"/>
                <w:szCs w:val="24"/>
                <w:highlight w:val="none"/>
                <w:lang w:eastAsia="en-US"/>
              </w:rPr>
              <w:t>光纤单模跳线</w:t>
            </w:r>
          </w:p>
        </w:tc>
        <w:tc>
          <w:tcPr>
            <w:tcW w:w="339" w:type="pct"/>
            <w:shd w:val="clear" w:color="auto" w:fill="auto"/>
            <w:vAlign w:val="center"/>
          </w:tcPr>
          <w:p w14:paraId="79F50D3A">
            <w:pPr>
              <w:rPr>
                <w:rFonts w:ascii="宋体" w:hAnsi="宋体" w:eastAsia="宋体" w:cs="宋体"/>
                <w:sz w:val="24"/>
                <w:szCs w:val="24"/>
                <w:highlight w:val="none"/>
                <w:lang w:eastAsia="en-US"/>
              </w:rPr>
            </w:pPr>
            <w:r>
              <w:rPr>
                <w:rFonts w:hint="eastAsia" w:ascii="宋体" w:hAnsi="宋体" w:eastAsia="宋体" w:cs="宋体"/>
                <w:sz w:val="24"/>
                <w:szCs w:val="24"/>
                <w:highlight w:val="none"/>
              </w:rPr>
              <w:t>50</w:t>
            </w:r>
          </w:p>
        </w:tc>
        <w:tc>
          <w:tcPr>
            <w:tcW w:w="225" w:type="pct"/>
            <w:shd w:val="clear" w:color="auto" w:fill="auto"/>
            <w:vAlign w:val="center"/>
          </w:tcPr>
          <w:p w14:paraId="7D67E0E6">
            <w:pPr>
              <w:rPr>
                <w:rFonts w:ascii="宋体" w:hAnsi="宋体" w:eastAsia="宋体" w:cs="宋体"/>
                <w:sz w:val="24"/>
                <w:szCs w:val="24"/>
                <w:highlight w:val="none"/>
                <w:lang w:eastAsia="en-US"/>
              </w:rPr>
            </w:pPr>
            <w:r>
              <w:rPr>
                <w:rFonts w:hint="eastAsia" w:ascii="宋体" w:hAnsi="宋体" w:eastAsia="宋体" w:cs="宋体"/>
                <w:sz w:val="24"/>
                <w:szCs w:val="24"/>
                <w:highlight w:val="none"/>
              </w:rPr>
              <w:t>根</w:t>
            </w:r>
          </w:p>
        </w:tc>
        <w:tc>
          <w:tcPr>
            <w:tcW w:w="427" w:type="pct"/>
            <w:vAlign w:val="center"/>
          </w:tcPr>
          <w:p w14:paraId="19619BAB">
            <w:pPr>
              <w:rPr>
                <w:rFonts w:ascii="宋体" w:hAnsi="宋体" w:eastAsia="宋体" w:cs="宋体"/>
                <w:sz w:val="24"/>
                <w:szCs w:val="24"/>
                <w:highlight w:val="none"/>
              </w:rPr>
            </w:pPr>
            <w:r>
              <w:rPr>
                <w:rFonts w:hint="eastAsia" w:ascii="宋体" w:hAnsi="宋体" w:eastAsia="宋体" w:cs="宋体"/>
                <w:sz w:val="24"/>
                <w:szCs w:val="24"/>
                <w:highlight w:val="none"/>
              </w:rPr>
              <w:t>工业</w:t>
            </w:r>
          </w:p>
        </w:tc>
        <w:tc>
          <w:tcPr>
            <w:tcW w:w="245" w:type="pct"/>
            <w:vAlign w:val="center"/>
          </w:tcPr>
          <w:p w14:paraId="56F4F9D7">
            <w:pPr>
              <w:rPr>
                <w:rFonts w:ascii="宋体" w:hAnsi="宋体" w:eastAsia="宋体" w:cs="宋体"/>
                <w:sz w:val="24"/>
                <w:szCs w:val="24"/>
                <w:highlight w:val="none"/>
              </w:rPr>
            </w:pPr>
          </w:p>
        </w:tc>
      </w:tr>
      <w:tr w14:paraId="7C73D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shd w:val="clear" w:color="auto" w:fill="auto"/>
            <w:vAlign w:val="center"/>
          </w:tcPr>
          <w:p w14:paraId="198CDE43">
            <w:pPr>
              <w:widowControl/>
              <w:jc w:val="center"/>
              <w:textAlignment w:val="center"/>
              <w:rPr>
                <w:rFonts w:ascii="宋体" w:hAnsi="宋体" w:eastAsia="宋体" w:cs="宋体"/>
                <w:sz w:val="24"/>
                <w:szCs w:val="24"/>
                <w:highlight w:val="none"/>
                <w:lang w:eastAsia="en-US"/>
              </w:rPr>
            </w:pPr>
            <w:r>
              <w:rPr>
                <w:rFonts w:hint="eastAsia" w:ascii="宋体" w:hAnsi="宋体" w:eastAsia="宋体" w:cs="宋体"/>
                <w:color w:val="000000"/>
                <w:kern w:val="0"/>
                <w:sz w:val="24"/>
                <w:szCs w:val="24"/>
                <w:highlight w:val="none"/>
              </w:rPr>
              <w:t>25</w:t>
            </w:r>
          </w:p>
        </w:tc>
        <w:tc>
          <w:tcPr>
            <w:tcW w:w="434" w:type="pct"/>
            <w:shd w:val="clear" w:color="auto" w:fill="auto"/>
            <w:vAlign w:val="center"/>
          </w:tcPr>
          <w:p w14:paraId="4AF8E164">
            <w:pPr>
              <w:rPr>
                <w:rFonts w:ascii="宋体" w:hAnsi="宋体" w:eastAsia="宋体" w:cs="宋体"/>
                <w:sz w:val="24"/>
                <w:szCs w:val="24"/>
                <w:highlight w:val="none"/>
                <w:lang w:eastAsia="en-US"/>
              </w:rPr>
            </w:pPr>
            <w:r>
              <w:rPr>
                <w:rFonts w:hint="eastAsia" w:ascii="宋体" w:hAnsi="宋体" w:eastAsia="宋体" w:cs="宋体"/>
                <w:sz w:val="24"/>
                <w:szCs w:val="24"/>
                <w:highlight w:val="none"/>
                <w:lang w:eastAsia="en-US"/>
              </w:rPr>
              <w:t>辅材</w:t>
            </w:r>
          </w:p>
        </w:tc>
        <w:tc>
          <w:tcPr>
            <w:tcW w:w="3016" w:type="pct"/>
            <w:shd w:val="clear" w:color="auto" w:fill="auto"/>
            <w:vAlign w:val="center"/>
          </w:tcPr>
          <w:p w14:paraId="5F943E22">
            <w:pPr>
              <w:rPr>
                <w:rFonts w:ascii="宋体" w:hAnsi="宋体" w:eastAsia="宋体" w:cs="宋体"/>
                <w:sz w:val="24"/>
                <w:szCs w:val="24"/>
                <w:highlight w:val="none"/>
              </w:rPr>
            </w:pPr>
            <w:r>
              <w:rPr>
                <w:rFonts w:hint="eastAsia" w:ascii="宋体" w:hAnsi="宋体" w:eastAsia="宋体" w:cs="宋体"/>
                <w:sz w:val="24"/>
                <w:szCs w:val="24"/>
                <w:highlight w:val="none"/>
              </w:rPr>
              <w:t>插头、熔纤、胶布、扎带、波纹管、水晶头等施工所需其他辅助材料</w:t>
            </w:r>
          </w:p>
        </w:tc>
        <w:tc>
          <w:tcPr>
            <w:tcW w:w="339" w:type="pct"/>
            <w:shd w:val="clear" w:color="auto" w:fill="auto"/>
            <w:vAlign w:val="center"/>
          </w:tcPr>
          <w:p w14:paraId="1B19BB7E">
            <w:pPr>
              <w:rPr>
                <w:rFonts w:ascii="宋体" w:hAnsi="宋体" w:eastAsia="宋体" w:cs="宋体"/>
                <w:sz w:val="24"/>
                <w:szCs w:val="24"/>
                <w:highlight w:val="none"/>
              </w:rPr>
            </w:pPr>
            <w:r>
              <w:rPr>
                <w:rFonts w:hint="eastAsia" w:ascii="宋体" w:hAnsi="宋体" w:eastAsia="宋体" w:cs="宋体"/>
                <w:sz w:val="24"/>
                <w:szCs w:val="24"/>
                <w:highlight w:val="none"/>
              </w:rPr>
              <w:t>1</w:t>
            </w:r>
          </w:p>
        </w:tc>
        <w:tc>
          <w:tcPr>
            <w:tcW w:w="225" w:type="pct"/>
            <w:shd w:val="clear" w:color="auto" w:fill="auto"/>
            <w:vAlign w:val="center"/>
          </w:tcPr>
          <w:p w14:paraId="51ACDBB4">
            <w:pPr>
              <w:rPr>
                <w:rFonts w:ascii="宋体" w:hAnsi="宋体" w:eastAsia="宋体" w:cs="宋体"/>
                <w:sz w:val="24"/>
                <w:szCs w:val="24"/>
                <w:highlight w:val="none"/>
              </w:rPr>
            </w:pPr>
            <w:r>
              <w:rPr>
                <w:rFonts w:hint="eastAsia" w:ascii="宋体" w:hAnsi="宋体" w:eastAsia="宋体" w:cs="宋体"/>
                <w:sz w:val="24"/>
                <w:szCs w:val="24"/>
                <w:highlight w:val="none"/>
              </w:rPr>
              <w:t>批</w:t>
            </w:r>
          </w:p>
        </w:tc>
        <w:tc>
          <w:tcPr>
            <w:tcW w:w="427" w:type="pct"/>
            <w:vAlign w:val="center"/>
          </w:tcPr>
          <w:p w14:paraId="3EF47D42">
            <w:p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w:t>
            </w:r>
          </w:p>
        </w:tc>
        <w:tc>
          <w:tcPr>
            <w:tcW w:w="245" w:type="pct"/>
            <w:vAlign w:val="center"/>
          </w:tcPr>
          <w:p w14:paraId="6D3275C4">
            <w:pPr>
              <w:rPr>
                <w:rFonts w:ascii="宋体" w:hAnsi="宋体" w:eastAsia="宋体" w:cs="宋体"/>
                <w:sz w:val="24"/>
                <w:szCs w:val="24"/>
                <w:highlight w:val="none"/>
              </w:rPr>
            </w:pPr>
          </w:p>
        </w:tc>
      </w:tr>
      <w:tr w14:paraId="46971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shd w:val="clear" w:color="auto" w:fill="auto"/>
            <w:vAlign w:val="center"/>
          </w:tcPr>
          <w:p w14:paraId="44CC5135">
            <w:pPr>
              <w:widowControl/>
              <w:jc w:val="center"/>
              <w:textAlignment w:val="center"/>
              <w:rPr>
                <w:rFonts w:ascii="宋体" w:hAnsi="宋体" w:eastAsia="宋体" w:cs="宋体"/>
                <w:sz w:val="24"/>
                <w:szCs w:val="24"/>
                <w:highlight w:val="none"/>
                <w:lang w:eastAsia="en-US"/>
              </w:rPr>
            </w:pPr>
            <w:r>
              <w:rPr>
                <w:rFonts w:hint="eastAsia" w:ascii="宋体" w:hAnsi="宋体" w:eastAsia="宋体" w:cs="宋体"/>
                <w:color w:val="000000"/>
                <w:kern w:val="0"/>
                <w:sz w:val="24"/>
                <w:szCs w:val="24"/>
                <w:highlight w:val="none"/>
              </w:rPr>
              <w:t>26</w:t>
            </w:r>
          </w:p>
        </w:tc>
        <w:tc>
          <w:tcPr>
            <w:tcW w:w="434" w:type="pct"/>
            <w:shd w:val="clear" w:color="auto" w:fill="auto"/>
            <w:vAlign w:val="center"/>
          </w:tcPr>
          <w:p w14:paraId="6E33E93F">
            <w:pPr>
              <w:rPr>
                <w:rFonts w:ascii="宋体" w:hAnsi="宋体" w:eastAsia="宋体" w:cs="宋体"/>
                <w:sz w:val="24"/>
                <w:szCs w:val="24"/>
                <w:highlight w:val="none"/>
              </w:rPr>
            </w:pPr>
            <w:r>
              <w:rPr>
                <w:rFonts w:hint="eastAsia" w:ascii="宋体" w:hAnsi="宋体" w:eastAsia="宋体" w:cs="宋体"/>
                <w:sz w:val="24"/>
                <w:szCs w:val="24"/>
                <w:highlight w:val="none"/>
              </w:rPr>
              <w:t>智能运维系统</w:t>
            </w:r>
          </w:p>
        </w:tc>
        <w:tc>
          <w:tcPr>
            <w:tcW w:w="3016" w:type="pct"/>
            <w:shd w:val="clear" w:color="auto" w:fill="auto"/>
            <w:vAlign w:val="center"/>
          </w:tcPr>
          <w:p w14:paraId="73FA69E7">
            <w:pPr>
              <w:rPr>
                <w:rFonts w:ascii="宋体" w:hAnsi="宋体" w:eastAsia="宋体" w:cs="宋体"/>
                <w:sz w:val="24"/>
                <w:szCs w:val="24"/>
                <w:highlight w:val="none"/>
              </w:rPr>
            </w:pPr>
            <w:r>
              <w:rPr>
                <w:rFonts w:hint="eastAsia" w:ascii="宋体" w:hAnsi="宋体" w:eastAsia="宋体" w:cs="宋体"/>
                <w:sz w:val="24"/>
                <w:szCs w:val="24"/>
                <w:highlight w:val="none"/>
              </w:rPr>
              <w:t>实现300路设备的智能运维，需要与现有智能运维平台实现</w:t>
            </w:r>
            <w:r>
              <w:rPr>
                <w:rFonts w:hint="eastAsia" w:ascii="宋体" w:hAnsi="宋体" w:eastAsia="宋体" w:cs="宋体"/>
                <w:sz w:val="24"/>
                <w:szCs w:val="24"/>
                <w:highlight w:val="none"/>
                <w:lang w:eastAsia="zh-CN"/>
              </w:rPr>
              <w:t>兼容</w:t>
            </w:r>
            <w:r>
              <w:rPr>
                <w:rFonts w:hint="eastAsia" w:ascii="宋体" w:hAnsi="宋体" w:eastAsia="宋体" w:cs="宋体"/>
                <w:sz w:val="24"/>
                <w:szCs w:val="24"/>
                <w:highlight w:val="none"/>
              </w:rPr>
              <w:t>对接，支持网络设备、存储设备、平台</w:t>
            </w:r>
            <w:r>
              <w:rPr>
                <w:rFonts w:hint="eastAsia" w:ascii="宋体" w:hAnsi="宋体" w:eastAsia="宋体" w:cs="宋体"/>
                <w:sz w:val="24"/>
                <w:szCs w:val="24"/>
                <w:highlight w:val="none"/>
                <w:lang w:eastAsia="zh-CN"/>
              </w:rPr>
              <w:t>工作站</w:t>
            </w:r>
            <w:r>
              <w:rPr>
                <w:rFonts w:hint="eastAsia" w:ascii="宋体" w:hAnsi="宋体" w:eastAsia="宋体" w:cs="宋体"/>
                <w:sz w:val="24"/>
                <w:szCs w:val="24"/>
                <w:highlight w:val="none"/>
              </w:rPr>
              <w:t>、流媒体</w:t>
            </w:r>
            <w:r>
              <w:rPr>
                <w:rFonts w:hint="eastAsia" w:ascii="宋体" w:hAnsi="宋体" w:eastAsia="宋体" w:cs="宋体"/>
                <w:sz w:val="24"/>
                <w:szCs w:val="24"/>
                <w:highlight w:val="none"/>
                <w:lang w:eastAsia="zh-CN"/>
              </w:rPr>
              <w:t>工作站</w:t>
            </w:r>
            <w:r>
              <w:rPr>
                <w:rFonts w:hint="eastAsia" w:ascii="宋体" w:hAnsi="宋体" w:eastAsia="宋体" w:cs="宋体"/>
                <w:sz w:val="24"/>
                <w:szCs w:val="24"/>
                <w:highlight w:val="none"/>
              </w:rPr>
              <w:t>的管理和监控。</w:t>
            </w:r>
          </w:p>
          <w:p w14:paraId="5A687476">
            <w:pPr>
              <w:rPr>
                <w:rFonts w:ascii="宋体" w:hAnsi="宋体" w:eastAsia="宋体" w:cs="宋体"/>
                <w:sz w:val="24"/>
                <w:szCs w:val="24"/>
                <w:highlight w:val="none"/>
              </w:rPr>
            </w:pPr>
            <w:r>
              <w:rPr>
                <w:rFonts w:hint="eastAsia" w:ascii="宋体" w:hAnsi="宋体" w:eastAsia="宋体" w:cs="宋体"/>
                <w:sz w:val="24"/>
                <w:szCs w:val="24"/>
                <w:highlight w:val="none"/>
              </w:rPr>
              <w:t>1.平台为完全自主研发产品。全中文界面、B/S架构设计，使用数据中台+微服务架构，支持全栈式运营化管理，可在同一平台上</w:t>
            </w:r>
            <w:r>
              <w:rPr>
                <w:rFonts w:hint="eastAsia" w:ascii="宋体" w:hAnsi="宋体" w:eastAsia="宋体" w:cs="宋体"/>
                <w:sz w:val="24"/>
                <w:szCs w:val="24"/>
                <w:highlight w:val="none"/>
                <w:lang w:eastAsia="zh-CN"/>
              </w:rPr>
              <w:t>兼容</w:t>
            </w:r>
            <w:r>
              <w:rPr>
                <w:rFonts w:hint="eastAsia" w:ascii="宋体" w:hAnsi="宋体" w:eastAsia="宋体" w:cs="宋体"/>
                <w:sz w:val="24"/>
                <w:szCs w:val="24"/>
                <w:highlight w:val="none"/>
              </w:rPr>
              <w:t>扩展多产品、多服务。具备统一运维管理能力、实现视频摄像头、链路、流量、安全设备、网络设备、</w:t>
            </w:r>
            <w:r>
              <w:rPr>
                <w:rFonts w:hint="eastAsia" w:ascii="宋体" w:hAnsi="宋体" w:eastAsia="宋体" w:cs="宋体"/>
                <w:sz w:val="24"/>
                <w:szCs w:val="24"/>
                <w:highlight w:val="none"/>
                <w:lang w:eastAsia="zh-CN"/>
              </w:rPr>
              <w:t>工作站</w:t>
            </w:r>
            <w:r>
              <w:rPr>
                <w:rFonts w:hint="eastAsia" w:ascii="宋体" w:hAnsi="宋体" w:eastAsia="宋体" w:cs="宋体"/>
                <w:sz w:val="24"/>
                <w:szCs w:val="24"/>
                <w:highlight w:val="none"/>
              </w:rPr>
              <w:t>、存储等综合运维管理能力：</w:t>
            </w:r>
          </w:p>
          <w:p w14:paraId="6589849E">
            <w:pPr>
              <w:rPr>
                <w:rFonts w:ascii="宋体" w:hAnsi="宋体" w:eastAsia="宋体" w:cs="宋体"/>
                <w:sz w:val="24"/>
                <w:szCs w:val="24"/>
                <w:highlight w:val="none"/>
              </w:rPr>
            </w:pPr>
            <w:r>
              <w:rPr>
                <w:rFonts w:hint="eastAsia" w:ascii="宋体" w:hAnsi="宋体" w:eastAsia="宋体" w:cs="宋体"/>
                <w:sz w:val="24"/>
                <w:szCs w:val="24"/>
                <w:highlight w:val="none"/>
              </w:rPr>
              <w:t>★2.支持网络设备、主机重启功能。（</w:t>
            </w:r>
            <w:r>
              <w:rPr>
                <w:rFonts w:hint="eastAsia" w:ascii="宋体" w:hAnsi="宋体" w:eastAsia="宋体" w:cs="宋体"/>
                <w:b/>
                <w:bCs/>
                <w:sz w:val="24"/>
                <w:szCs w:val="24"/>
                <w:highlight w:val="none"/>
              </w:rPr>
              <w:t>提供截图证明，包括不限于实物、功能、技术白皮书等</w:t>
            </w:r>
            <w:r>
              <w:rPr>
                <w:rFonts w:hint="eastAsia" w:ascii="宋体" w:hAnsi="宋体" w:eastAsia="宋体" w:cs="宋体"/>
                <w:sz w:val="24"/>
                <w:szCs w:val="24"/>
                <w:highlight w:val="none"/>
              </w:rPr>
              <w:t>）。</w:t>
            </w:r>
          </w:p>
          <w:p w14:paraId="7CD1E624">
            <w:pPr>
              <w:rPr>
                <w:rFonts w:ascii="宋体" w:hAnsi="宋体" w:eastAsia="宋体" w:cs="宋体"/>
                <w:sz w:val="24"/>
                <w:szCs w:val="24"/>
                <w:highlight w:val="none"/>
              </w:rPr>
            </w:pPr>
            <w:r>
              <w:rPr>
                <w:rFonts w:hint="eastAsia" w:ascii="宋体" w:hAnsi="宋体" w:eastAsia="宋体" w:cs="宋体"/>
                <w:sz w:val="24"/>
                <w:szCs w:val="24"/>
                <w:highlight w:val="none"/>
              </w:rPr>
              <w:t>★3.系统支持通过核心IP发现该核心网络设备及其下面汇聚与接入的其他设备（交换机/路由器/防火墙）和对应的网络拓扑，并支持扩展发现/子网发现/网段发现等方式进行网络设备和拓扑补充发现的功能。（</w:t>
            </w:r>
            <w:r>
              <w:rPr>
                <w:rFonts w:hint="eastAsia" w:ascii="宋体" w:hAnsi="宋体" w:eastAsia="宋体" w:cs="宋体"/>
                <w:b/>
                <w:bCs/>
                <w:sz w:val="24"/>
                <w:szCs w:val="24"/>
                <w:highlight w:val="none"/>
              </w:rPr>
              <w:t>提供具有CMA或CNAS标志的第三方有权机构出具的测试报告</w:t>
            </w:r>
            <w:r>
              <w:rPr>
                <w:rFonts w:hint="eastAsia" w:ascii="宋体" w:hAnsi="宋体" w:eastAsia="宋体" w:cs="宋体"/>
                <w:sz w:val="24"/>
                <w:szCs w:val="24"/>
                <w:highlight w:val="none"/>
              </w:rPr>
              <w:t>）。</w:t>
            </w:r>
          </w:p>
          <w:p w14:paraId="41B987E9">
            <w:pPr>
              <w:rPr>
                <w:rFonts w:ascii="宋体" w:hAnsi="宋体" w:eastAsia="宋体" w:cs="宋体"/>
                <w:sz w:val="24"/>
                <w:szCs w:val="24"/>
                <w:highlight w:val="none"/>
              </w:rPr>
            </w:pPr>
            <w:r>
              <w:rPr>
                <w:rFonts w:hint="eastAsia" w:ascii="宋体" w:hAnsi="宋体" w:eastAsia="宋体" w:cs="宋体"/>
                <w:sz w:val="24"/>
                <w:szCs w:val="24"/>
                <w:highlight w:val="none"/>
              </w:rPr>
              <w:t>4.系统支持对交换机、路由器等网络设备的配置信息定时或手动备份，可设置备份参考，进行配置比较，通过颜色标记增加或者减少的配置信息，确保配置信息的变动随时随地掌握，确保网络配置的安全，方便运维人员快速恢复网络设备的配置，配置变更可设置预警。</w:t>
            </w:r>
          </w:p>
          <w:p w14:paraId="4D7F3DB8">
            <w:pPr>
              <w:rPr>
                <w:rFonts w:ascii="宋体" w:hAnsi="宋体" w:eastAsia="宋体" w:cs="宋体"/>
                <w:sz w:val="24"/>
                <w:szCs w:val="24"/>
                <w:highlight w:val="none"/>
              </w:rPr>
            </w:pPr>
            <w:r>
              <w:rPr>
                <w:rFonts w:hint="eastAsia" w:ascii="宋体" w:hAnsi="宋体" w:eastAsia="宋体" w:cs="宋体"/>
                <w:sz w:val="24"/>
                <w:szCs w:val="24"/>
                <w:highlight w:val="none"/>
              </w:rPr>
              <w:t>5.系统支持短信、邮件、钉钉、企业微信、微信机器人等不同告警方式，可第一时间将告警通知到指定运维工程师。</w:t>
            </w:r>
          </w:p>
          <w:p w14:paraId="1F52DA80">
            <w:pPr>
              <w:rPr>
                <w:rFonts w:ascii="宋体" w:hAnsi="宋体" w:eastAsia="宋体" w:cs="宋体"/>
                <w:sz w:val="24"/>
                <w:szCs w:val="24"/>
                <w:highlight w:val="none"/>
              </w:rPr>
            </w:pPr>
            <w:r>
              <w:rPr>
                <w:rFonts w:hint="eastAsia" w:ascii="宋体" w:hAnsi="宋体" w:eastAsia="宋体" w:cs="宋体"/>
                <w:sz w:val="24"/>
                <w:szCs w:val="24"/>
                <w:highlight w:val="none"/>
              </w:rPr>
              <w:t>6.系统需内置多种报表模版，包括：性能报表、告警统计报表、TOPN报表、可用性报表、分析报表、业务报表。可按照日、周、月、年为周期自动生成报表，支持根据不同监测对象的不同指标项自定义报表内容，帮助运维人员快速掌握监测资源历史信息。</w:t>
            </w:r>
          </w:p>
        </w:tc>
        <w:tc>
          <w:tcPr>
            <w:tcW w:w="339" w:type="pct"/>
            <w:shd w:val="clear" w:color="auto" w:fill="auto"/>
            <w:vAlign w:val="center"/>
          </w:tcPr>
          <w:p w14:paraId="635D8390">
            <w:pPr>
              <w:rPr>
                <w:rFonts w:ascii="宋体" w:hAnsi="宋体" w:eastAsia="宋体" w:cs="宋体"/>
                <w:sz w:val="24"/>
                <w:szCs w:val="24"/>
                <w:highlight w:val="none"/>
              </w:rPr>
            </w:pPr>
            <w:r>
              <w:rPr>
                <w:rFonts w:hint="eastAsia" w:ascii="宋体" w:hAnsi="宋体" w:eastAsia="宋体" w:cs="宋体"/>
                <w:sz w:val="24"/>
                <w:szCs w:val="24"/>
                <w:highlight w:val="none"/>
              </w:rPr>
              <w:t>1</w:t>
            </w:r>
          </w:p>
        </w:tc>
        <w:tc>
          <w:tcPr>
            <w:tcW w:w="225" w:type="pct"/>
            <w:shd w:val="clear" w:color="auto" w:fill="auto"/>
            <w:vAlign w:val="center"/>
          </w:tcPr>
          <w:p w14:paraId="16D38E97">
            <w:pPr>
              <w:rPr>
                <w:rFonts w:ascii="宋体" w:hAnsi="宋体" w:eastAsia="宋体" w:cs="宋体"/>
                <w:sz w:val="24"/>
                <w:szCs w:val="24"/>
                <w:highlight w:val="none"/>
              </w:rPr>
            </w:pPr>
            <w:r>
              <w:rPr>
                <w:rFonts w:hint="eastAsia" w:ascii="宋体" w:hAnsi="宋体" w:eastAsia="宋体" w:cs="宋体"/>
                <w:sz w:val="24"/>
                <w:szCs w:val="24"/>
                <w:highlight w:val="none"/>
              </w:rPr>
              <w:t>项</w:t>
            </w:r>
          </w:p>
        </w:tc>
        <w:tc>
          <w:tcPr>
            <w:tcW w:w="427" w:type="pct"/>
            <w:vAlign w:val="center"/>
          </w:tcPr>
          <w:p w14:paraId="67511E2A">
            <w:pPr>
              <w:rPr>
                <w:rFonts w:ascii="宋体" w:hAnsi="宋体" w:eastAsia="宋体" w:cs="宋体"/>
                <w:sz w:val="24"/>
                <w:szCs w:val="24"/>
                <w:highlight w:val="none"/>
              </w:rPr>
            </w:pPr>
            <w:r>
              <w:rPr>
                <w:rFonts w:hint="eastAsia" w:ascii="宋体" w:hAnsi="宋体" w:eastAsia="宋体" w:cs="宋体"/>
                <w:sz w:val="24"/>
                <w:szCs w:val="24"/>
                <w:highlight w:val="none"/>
              </w:rPr>
              <w:t>软件和信息技术服务业</w:t>
            </w:r>
          </w:p>
        </w:tc>
        <w:tc>
          <w:tcPr>
            <w:tcW w:w="245" w:type="pct"/>
            <w:vAlign w:val="center"/>
          </w:tcPr>
          <w:p w14:paraId="17866638">
            <w:pPr>
              <w:rPr>
                <w:rFonts w:ascii="宋体" w:hAnsi="宋体" w:eastAsia="宋体" w:cs="宋体"/>
                <w:sz w:val="24"/>
                <w:szCs w:val="24"/>
                <w:highlight w:val="none"/>
              </w:rPr>
            </w:pPr>
          </w:p>
        </w:tc>
      </w:tr>
    </w:tbl>
    <w:p w14:paraId="1E6A82EE">
      <w:pPr>
        <w:pStyle w:val="6"/>
        <w:rPr>
          <w:rFonts w:hint="eastAsia" w:ascii="宋体" w:hAnsi="宋体" w:eastAsia="宋体" w:cs="宋体"/>
          <w:sz w:val="24"/>
          <w:szCs w:val="24"/>
          <w:highlight w:val="none"/>
        </w:rPr>
      </w:pPr>
      <w:bookmarkStart w:id="80" w:name="_Toc4843"/>
      <w:bookmarkStart w:id="81" w:name="_Toc7421"/>
      <w:r>
        <w:rPr>
          <w:rFonts w:ascii="宋体" w:hAnsi="宋体" w:eastAsia="宋体" w:cs="宋体"/>
          <w:sz w:val="24"/>
          <w:szCs w:val="24"/>
          <w:highlight w:val="none"/>
        </w:rPr>
        <w:t>注：上表所属行业中标注“/”的品目，投标人在《中小企业声明函》中无需列明。</w:t>
      </w:r>
    </w:p>
    <w:p w14:paraId="2AB051A9">
      <w:pPr>
        <w:pStyle w:val="6"/>
        <w:rPr>
          <w:rFonts w:ascii="宋体" w:hAnsi="宋体" w:eastAsia="宋体" w:cs="宋体"/>
          <w:sz w:val="24"/>
          <w:szCs w:val="24"/>
          <w:highlight w:val="none"/>
        </w:rPr>
      </w:pPr>
      <w:r>
        <w:rPr>
          <w:rFonts w:hint="eastAsia" w:ascii="宋体" w:hAnsi="宋体" w:eastAsia="宋体" w:cs="宋体"/>
          <w:sz w:val="24"/>
          <w:szCs w:val="24"/>
          <w:highlight w:val="none"/>
        </w:rPr>
        <w:t>第2包：学生宿舍智慧消防平台及消控终端建设</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
        <w:gridCol w:w="728"/>
        <w:gridCol w:w="5175"/>
        <w:gridCol w:w="649"/>
        <w:gridCol w:w="373"/>
        <w:gridCol w:w="706"/>
        <w:gridCol w:w="445"/>
      </w:tblGrid>
      <w:tr w14:paraId="6580C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 w:type="pct"/>
            <w:vAlign w:val="center"/>
          </w:tcPr>
          <w:p w14:paraId="63A7454C">
            <w:pPr>
              <w:rPr>
                <w:rFonts w:ascii="宋体" w:hAnsi="宋体" w:eastAsia="宋体" w:cs="宋体"/>
                <w:sz w:val="24"/>
                <w:szCs w:val="24"/>
                <w:highlight w:val="none"/>
              </w:rPr>
            </w:pPr>
            <w:r>
              <w:rPr>
                <w:rFonts w:hint="eastAsia" w:ascii="宋体" w:hAnsi="宋体" w:eastAsia="宋体" w:cs="宋体"/>
                <w:sz w:val="24"/>
                <w:szCs w:val="24"/>
                <w:highlight w:val="none"/>
              </w:rPr>
              <w:t>序号</w:t>
            </w:r>
          </w:p>
        </w:tc>
        <w:tc>
          <w:tcPr>
            <w:tcW w:w="427" w:type="pct"/>
            <w:vAlign w:val="center"/>
          </w:tcPr>
          <w:p w14:paraId="50A8E4DB">
            <w:pPr>
              <w:rPr>
                <w:rFonts w:ascii="宋体" w:hAnsi="宋体" w:eastAsia="宋体" w:cs="宋体"/>
                <w:sz w:val="24"/>
                <w:szCs w:val="24"/>
                <w:highlight w:val="none"/>
              </w:rPr>
            </w:pPr>
            <w:r>
              <w:rPr>
                <w:rFonts w:hint="eastAsia" w:ascii="宋体" w:hAnsi="宋体" w:eastAsia="宋体" w:cs="宋体"/>
                <w:sz w:val="24"/>
                <w:szCs w:val="24"/>
                <w:highlight w:val="none"/>
              </w:rPr>
              <w:t>货物名称</w:t>
            </w:r>
          </w:p>
        </w:tc>
        <w:tc>
          <w:tcPr>
            <w:tcW w:w="3036" w:type="pct"/>
            <w:vAlign w:val="center"/>
          </w:tcPr>
          <w:p w14:paraId="75938427">
            <w:pPr>
              <w:rPr>
                <w:rFonts w:ascii="宋体" w:hAnsi="宋体" w:eastAsia="宋体" w:cs="宋体"/>
                <w:sz w:val="24"/>
                <w:szCs w:val="24"/>
                <w:highlight w:val="none"/>
              </w:rPr>
            </w:pPr>
            <w:r>
              <w:rPr>
                <w:rFonts w:hint="eastAsia" w:ascii="宋体" w:hAnsi="宋体" w:eastAsia="宋体" w:cs="宋体"/>
                <w:sz w:val="24"/>
                <w:szCs w:val="24"/>
                <w:highlight w:val="none"/>
              </w:rPr>
              <w:t>技术参数及要求</w:t>
            </w:r>
          </w:p>
        </w:tc>
        <w:tc>
          <w:tcPr>
            <w:tcW w:w="380" w:type="pct"/>
            <w:vAlign w:val="center"/>
          </w:tcPr>
          <w:p w14:paraId="23D9FDC1">
            <w:pPr>
              <w:rPr>
                <w:rFonts w:ascii="宋体" w:hAnsi="宋体" w:eastAsia="宋体" w:cs="宋体"/>
                <w:sz w:val="24"/>
                <w:szCs w:val="24"/>
                <w:highlight w:val="none"/>
              </w:rPr>
            </w:pPr>
            <w:r>
              <w:rPr>
                <w:rFonts w:hint="eastAsia" w:ascii="宋体" w:hAnsi="宋体" w:eastAsia="宋体" w:cs="宋体"/>
                <w:sz w:val="24"/>
                <w:szCs w:val="24"/>
                <w:highlight w:val="none"/>
              </w:rPr>
              <w:t>数量</w:t>
            </w:r>
          </w:p>
        </w:tc>
        <w:tc>
          <w:tcPr>
            <w:tcW w:w="218" w:type="pct"/>
            <w:vAlign w:val="center"/>
          </w:tcPr>
          <w:p w14:paraId="30EF3C93">
            <w:pPr>
              <w:rPr>
                <w:rFonts w:ascii="宋体" w:hAnsi="宋体" w:eastAsia="宋体" w:cs="宋体"/>
                <w:sz w:val="24"/>
                <w:szCs w:val="24"/>
                <w:highlight w:val="none"/>
              </w:rPr>
            </w:pPr>
            <w:r>
              <w:rPr>
                <w:rFonts w:hint="eastAsia" w:ascii="宋体" w:hAnsi="宋体" w:eastAsia="宋体" w:cs="宋体"/>
                <w:sz w:val="24"/>
                <w:szCs w:val="24"/>
                <w:highlight w:val="none"/>
              </w:rPr>
              <w:t>单位</w:t>
            </w:r>
          </w:p>
        </w:tc>
        <w:tc>
          <w:tcPr>
            <w:tcW w:w="414" w:type="pct"/>
            <w:vAlign w:val="center"/>
          </w:tcPr>
          <w:p w14:paraId="1325A3DC">
            <w:pPr>
              <w:rPr>
                <w:rFonts w:ascii="宋体" w:hAnsi="宋体" w:eastAsia="宋体" w:cs="宋体"/>
                <w:sz w:val="24"/>
                <w:szCs w:val="24"/>
                <w:highlight w:val="none"/>
              </w:rPr>
            </w:pPr>
            <w:r>
              <w:rPr>
                <w:rFonts w:hint="eastAsia" w:ascii="宋体" w:hAnsi="宋体" w:eastAsia="宋体" w:cs="宋体"/>
                <w:sz w:val="24"/>
                <w:szCs w:val="24"/>
                <w:highlight w:val="none"/>
              </w:rPr>
              <w:t>所属</w:t>
            </w:r>
          </w:p>
          <w:p w14:paraId="39D9D4AA">
            <w:pPr>
              <w:rPr>
                <w:rFonts w:ascii="宋体" w:hAnsi="宋体" w:eastAsia="宋体" w:cs="宋体"/>
                <w:sz w:val="24"/>
                <w:szCs w:val="24"/>
                <w:highlight w:val="none"/>
              </w:rPr>
            </w:pPr>
            <w:r>
              <w:rPr>
                <w:rFonts w:hint="eastAsia" w:ascii="宋体" w:hAnsi="宋体" w:eastAsia="宋体" w:cs="宋体"/>
                <w:sz w:val="24"/>
                <w:szCs w:val="24"/>
                <w:highlight w:val="none"/>
              </w:rPr>
              <w:t>行业</w:t>
            </w:r>
          </w:p>
        </w:tc>
        <w:tc>
          <w:tcPr>
            <w:tcW w:w="261" w:type="pct"/>
            <w:vAlign w:val="center"/>
          </w:tcPr>
          <w:p w14:paraId="1E2726A0">
            <w:pPr>
              <w:rPr>
                <w:rFonts w:ascii="宋体" w:hAnsi="宋体" w:eastAsia="宋体" w:cs="宋体"/>
                <w:sz w:val="24"/>
                <w:szCs w:val="24"/>
                <w:highlight w:val="none"/>
              </w:rPr>
            </w:pPr>
            <w:r>
              <w:rPr>
                <w:rFonts w:hint="eastAsia" w:ascii="宋体" w:hAnsi="宋体" w:eastAsia="宋体" w:cs="宋体"/>
                <w:sz w:val="24"/>
                <w:szCs w:val="24"/>
                <w:highlight w:val="none"/>
              </w:rPr>
              <w:t>备注</w:t>
            </w:r>
          </w:p>
        </w:tc>
      </w:tr>
      <w:tr w14:paraId="7D855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261" w:type="pct"/>
            <w:shd w:val="clear" w:color="auto" w:fill="auto"/>
            <w:vAlign w:val="center"/>
          </w:tcPr>
          <w:p w14:paraId="48E2879C">
            <w:pPr>
              <w:widowControl/>
              <w:jc w:val="right"/>
              <w:textAlignment w:val="center"/>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1</w:t>
            </w:r>
          </w:p>
        </w:tc>
        <w:tc>
          <w:tcPr>
            <w:tcW w:w="427" w:type="pct"/>
            <w:shd w:val="clear" w:color="auto" w:fill="auto"/>
            <w:vAlign w:val="center"/>
          </w:tcPr>
          <w:p w14:paraId="7D289AD0">
            <w:p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en-US"/>
              </w:rPr>
              <w:t>平台</w:t>
            </w: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lang w:eastAsia="en-US"/>
              </w:rPr>
              <w:t>专用</w:t>
            </w:r>
            <w:r>
              <w:rPr>
                <w:rFonts w:hint="eastAsia" w:ascii="宋体" w:hAnsi="宋体" w:eastAsia="宋体" w:cs="宋体"/>
                <w:sz w:val="24"/>
                <w:szCs w:val="24"/>
                <w:highlight w:val="none"/>
                <w:lang w:eastAsia="zh-CN"/>
              </w:rPr>
              <w:t>工作站</w:t>
            </w:r>
          </w:p>
        </w:tc>
        <w:tc>
          <w:tcPr>
            <w:tcW w:w="3036" w:type="pct"/>
            <w:shd w:val="clear" w:color="auto" w:fill="auto"/>
            <w:vAlign w:val="center"/>
          </w:tcPr>
          <w:p w14:paraId="252EA43A">
            <w:pPr>
              <w:rPr>
                <w:rFonts w:ascii="宋体" w:hAnsi="宋体" w:eastAsia="宋体" w:cs="宋体"/>
                <w:sz w:val="24"/>
                <w:szCs w:val="24"/>
                <w:highlight w:val="none"/>
              </w:rPr>
            </w:pPr>
            <w:r>
              <w:rPr>
                <w:rFonts w:hint="eastAsia" w:ascii="宋体" w:hAnsi="宋体" w:eastAsia="宋体" w:cs="宋体"/>
                <w:sz w:val="24"/>
                <w:szCs w:val="24"/>
                <w:highlight w:val="none"/>
              </w:rPr>
              <w:t>1.CPU：≥1颗 x86架构处理器，核数≥24核，主频≥2.2GHz</w:t>
            </w:r>
          </w:p>
          <w:p w14:paraId="6A0C038F">
            <w:pPr>
              <w:rPr>
                <w:rFonts w:ascii="宋体" w:hAnsi="宋体" w:eastAsia="宋体" w:cs="宋体"/>
                <w:sz w:val="24"/>
                <w:szCs w:val="24"/>
                <w:highlight w:val="none"/>
              </w:rPr>
            </w:pPr>
            <w:r>
              <w:rPr>
                <w:rFonts w:hint="eastAsia" w:ascii="宋体" w:hAnsi="宋体" w:eastAsia="宋体" w:cs="宋体"/>
                <w:sz w:val="24"/>
                <w:szCs w:val="24"/>
                <w:highlight w:val="none"/>
              </w:rPr>
              <w:t>2.内存：≥64G内存</w:t>
            </w:r>
          </w:p>
          <w:p w14:paraId="79DE77AE">
            <w:pPr>
              <w:rPr>
                <w:rFonts w:ascii="宋体" w:hAnsi="宋体" w:eastAsia="宋体" w:cs="宋体"/>
                <w:sz w:val="24"/>
                <w:szCs w:val="24"/>
                <w:highlight w:val="none"/>
                <w:lang w:eastAsia="en-US"/>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en-US"/>
              </w:rPr>
              <w:t>存储：配置≥8盘位，系统盘480G SSD×2（RAID_1）；缓存加速盘480G SSD×2(JBOD）；数据盘4T 7,2K SATA×2(JBOD）</w:t>
            </w:r>
          </w:p>
          <w:p w14:paraId="1598F0CF">
            <w:pPr>
              <w:rPr>
                <w:rFonts w:ascii="宋体" w:hAnsi="宋体" w:eastAsia="宋体" w:cs="宋体"/>
                <w:sz w:val="24"/>
                <w:szCs w:val="24"/>
                <w:highlight w:val="none"/>
              </w:rPr>
            </w:pPr>
            <w:r>
              <w:rPr>
                <w:rFonts w:hint="eastAsia" w:ascii="宋体" w:hAnsi="宋体" w:eastAsia="宋体" w:cs="宋体"/>
                <w:sz w:val="24"/>
                <w:szCs w:val="24"/>
                <w:highlight w:val="none"/>
              </w:rPr>
              <w:t>4.阵列卡：配置SAS_HBA 卡，支持RAID 0/1/10</w:t>
            </w:r>
          </w:p>
          <w:p w14:paraId="4D65588C">
            <w:pPr>
              <w:rPr>
                <w:rFonts w:ascii="宋体" w:hAnsi="宋体" w:eastAsia="宋体" w:cs="宋体"/>
                <w:sz w:val="24"/>
                <w:szCs w:val="24"/>
                <w:highlight w:val="none"/>
              </w:rPr>
            </w:pPr>
            <w:r>
              <w:rPr>
                <w:rFonts w:hint="eastAsia" w:ascii="宋体" w:hAnsi="宋体" w:eastAsia="宋体" w:cs="宋体"/>
                <w:sz w:val="24"/>
                <w:szCs w:val="24"/>
                <w:highlight w:val="none"/>
              </w:rPr>
              <w:t>网口：配置≥2个千兆电口，2个万兆光口（含光模块）</w:t>
            </w:r>
          </w:p>
          <w:p w14:paraId="1A3F3DDD">
            <w:pPr>
              <w:rPr>
                <w:rFonts w:ascii="宋体" w:hAnsi="宋体" w:eastAsia="宋体" w:cs="宋体"/>
                <w:sz w:val="24"/>
                <w:szCs w:val="24"/>
                <w:highlight w:val="none"/>
              </w:rPr>
            </w:pPr>
            <w:r>
              <w:rPr>
                <w:rFonts w:hint="eastAsia" w:ascii="宋体" w:hAnsi="宋体" w:eastAsia="宋体" w:cs="宋体"/>
                <w:sz w:val="24"/>
                <w:szCs w:val="24"/>
                <w:highlight w:val="none"/>
              </w:rPr>
              <w:t>5.其他接口：≥1个RJ45管理接口，≥4个USB 3.0接口，≥1个VGA接口</w:t>
            </w:r>
          </w:p>
          <w:p w14:paraId="189042B1">
            <w:pPr>
              <w:rPr>
                <w:rFonts w:ascii="宋体" w:hAnsi="宋体" w:eastAsia="宋体" w:cs="宋体"/>
                <w:sz w:val="24"/>
                <w:szCs w:val="24"/>
                <w:highlight w:val="none"/>
              </w:rPr>
            </w:pPr>
            <w:r>
              <w:rPr>
                <w:rFonts w:hint="eastAsia" w:ascii="宋体" w:hAnsi="宋体" w:eastAsia="宋体" w:cs="宋体"/>
                <w:sz w:val="24"/>
                <w:szCs w:val="24"/>
                <w:highlight w:val="none"/>
              </w:rPr>
              <w:t>6.电源：550W（1+1）冗余电源</w:t>
            </w:r>
          </w:p>
        </w:tc>
        <w:tc>
          <w:tcPr>
            <w:tcW w:w="380" w:type="pct"/>
            <w:shd w:val="clear" w:color="auto" w:fill="auto"/>
            <w:vAlign w:val="center"/>
          </w:tcPr>
          <w:p w14:paraId="41015BB5">
            <w:pPr>
              <w:rPr>
                <w:rFonts w:ascii="宋体" w:hAnsi="宋体" w:eastAsia="宋体" w:cs="宋体"/>
                <w:sz w:val="24"/>
                <w:szCs w:val="24"/>
                <w:highlight w:val="none"/>
              </w:rPr>
            </w:pPr>
            <w:r>
              <w:rPr>
                <w:rFonts w:hint="eastAsia" w:ascii="宋体" w:hAnsi="宋体" w:eastAsia="宋体" w:cs="宋体"/>
                <w:sz w:val="24"/>
                <w:szCs w:val="24"/>
                <w:highlight w:val="none"/>
              </w:rPr>
              <w:t>1</w:t>
            </w:r>
          </w:p>
        </w:tc>
        <w:tc>
          <w:tcPr>
            <w:tcW w:w="218" w:type="pct"/>
            <w:shd w:val="clear" w:color="auto" w:fill="auto"/>
            <w:vAlign w:val="center"/>
          </w:tcPr>
          <w:p w14:paraId="22CBCA26">
            <w:pPr>
              <w:rPr>
                <w:rFonts w:ascii="宋体" w:hAnsi="宋体" w:eastAsia="宋体" w:cs="宋体"/>
                <w:sz w:val="24"/>
                <w:szCs w:val="24"/>
                <w:highlight w:val="none"/>
              </w:rPr>
            </w:pPr>
            <w:r>
              <w:rPr>
                <w:rFonts w:hint="eastAsia" w:ascii="宋体" w:hAnsi="宋体" w:eastAsia="宋体" w:cs="宋体"/>
                <w:sz w:val="24"/>
                <w:szCs w:val="24"/>
                <w:highlight w:val="none"/>
              </w:rPr>
              <w:t>台</w:t>
            </w:r>
          </w:p>
        </w:tc>
        <w:tc>
          <w:tcPr>
            <w:tcW w:w="414" w:type="pct"/>
            <w:vAlign w:val="center"/>
          </w:tcPr>
          <w:p w14:paraId="5201DDE2">
            <w:pPr>
              <w:rPr>
                <w:rFonts w:ascii="宋体" w:hAnsi="宋体" w:eastAsia="宋体" w:cs="宋体"/>
                <w:sz w:val="24"/>
                <w:szCs w:val="24"/>
                <w:highlight w:val="none"/>
              </w:rPr>
            </w:pPr>
            <w:r>
              <w:rPr>
                <w:rFonts w:hint="eastAsia" w:ascii="宋体" w:hAnsi="宋体" w:eastAsia="宋体" w:cs="宋体"/>
                <w:sz w:val="24"/>
                <w:szCs w:val="24"/>
                <w:highlight w:val="none"/>
              </w:rPr>
              <w:t>工业</w:t>
            </w:r>
          </w:p>
        </w:tc>
        <w:tc>
          <w:tcPr>
            <w:tcW w:w="261" w:type="pct"/>
            <w:vAlign w:val="center"/>
          </w:tcPr>
          <w:p w14:paraId="05FABAE8">
            <w:pPr>
              <w:rPr>
                <w:rFonts w:ascii="宋体" w:hAnsi="宋体" w:eastAsia="宋体" w:cs="宋体"/>
                <w:sz w:val="24"/>
                <w:szCs w:val="24"/>
                <w:highlight w:val="none"/>
              </w:rPr>
            </w:pPr>
          </w:p>
        </w:tc>
      </w:tr>
      <w:tr w14:paraId="422B9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 w:type="pct"/>
            <w:shd w:val="clear" w:color="auto" w:fill="auto"/>
            <w:vAlign w:val="center"/>
          </w:tcPr>
          <w:p w14:paraId="03DF6605">
            <w:pPr>
              <w:widowControl/>
              <w:jc w:val="right"/>
              <w:textAlignment w:val="center"/>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2</w:t>
            </w:r>
          </w:p>
        </w:tc>
        <w:tc>
          <w:tcPr>
            <w:tcW w:w="427" w:type="pct"/>
            <w:shd w:val="clear" w:color="auto" w:fill="auto"/>
            <w:vAlign w:val="center"/>
          </w:tcPr>
          <w:p w14:paraId="1F500520">
            <w:pPr>
              <w:rPr>
                <w:rFonts w:ascii="宋体" w:hAnsi="宋体" w:eastAsia="宋体" w:cs="宋体"/>
                <w:sz w:val="24"/>
                <w:szCs w:val="24"/>
                <w:highlight w:val="none"/>
                <w:lang w:eastAsia="en-US"/>
              </w:rPr>
            </w:pPr>
            <w:r>
              <w:rPr>
                <w:rFonts w:hint="eastAsia" w:ascii="宋体" w:hAnsi="宋体" w:eastAsia="宋体" w:cs="宋体"/>
                <w:sz w:val="24"/>
                <w:szCs w:val="24"/>
                <w:highlight w:val="none"/>
                <w:lang w:eastAsia="en-US"/>
              </w:rPr>
              <w:t>智慧消防平台</w:t>
            </w:r>
          </w:p>
        </w:tc>
        <w:tc>
          <w:tcPr>
            <w:tcW w:w="3036" w:type="pct"/>
            <w:shd w:val="clear" w:color="auto" w:fill="auto"/>
            <w:vAlign w:val="center"/>
          </w:tcPr>
          <w:p w14:paraId="4D9E61F9">
            <w:pPr>
              <w:rPr>
                <w:rFonts w:ascii="宋体" w:hAnsi="宋体" w:eastAsia="宋体" w:cs="宋体"/>
                <w:sz w:val="24"/>
                <w:szCs w:val="24"/>
                <w:highlight w:val="none"/>
              </w:rPr>
            </w:pPr>
            <w:r>
              <w:rPr>
                <w:rFonts w:hint="eastAsia" w:ascii="宋体" w:hAnsi="宋体" w:eastAsia="宋体" w:cs="宋体"/>
                <w:sz w:val="24"/>
                <w:szCs w:val="24"/>
                <w:highlight w:val="none"/>
              </w:rPr>
              <w:t>1.支持AD域</w:t>
            </w:r>
          </w:p>
          <w:p w14:paraId="2A8380D8">
            <w:pPr>
              <w:rPr>
                <w:rFonts w:ascii="宋体" w:hAnsi="宋体" w:eastAsia="宋体" w:cs="宋体"/>
                <w:sz w:val="24"/>
                <w:szCs w:val="24"/>
                <w:highlight w:val="none"/>
              </w:rPr>
            </w:pPr>
            <w:r>
              <w:rPr>
                <w:rFonts w:hint="eastAsia" w:ascii="宋体" w:hAnsi="宋体" w:eastAsia="宋体" w:cs="宋体"/>
                <w:sz w:val="24"/>
                <w:szCs w:val="24"/>
                <w:highlight w:val="none"/>
              </w:rPr>
              <w:t>★2.运行管理中心提供统一的认证、授权管理机制，支持HTTPS以及密码安全加密访问认证（</w:t>
            </w:r>
            <w:r>
              <w:rPr>
                <w:rFonts w:hint="eastAsia" w:ascii="宋体" w:hAnsi="宋体" w:eastAsia="宋体" w:cs="宋体"/>
                <w:b/>
                <w:bCs/>
                <w:sz w:val="24"/>
                <w:szCs w:val="24"/>
                <w:highlight w:val="none"/>
              </w:rPr>
              <w:t>提供具有CMA或CNAS标识的第三方有权机构出具的检验报告</w:t>
            </w:r>
            <w:r>
              <w:rPr>
                <w:rFonts w:hint="eastAsia" w:ascii="宋体" w:hAnsi="宋体" w:eastAsia="宋体" w:cs="宋体"/>
                <w:sz w:val="24"/>
                <w:szCs w:val="24"/>
                <w:highlight w:val="none"/>
              </w:rPr>
              <w:t>）</w:t>
            </w:r>
          </w:p>
          <w:p w14:paraId="1CC604DA">
            <w:pPr>
              <w:rPr>
                <w:rFonts w:ascii="宋体" w:hAnsi="宋体" w:eastAsia="宋体" w:cs="宋体"/>
                <w:sz w:val="24"/>
                <w:szCs w:val="24"/>
                <w:highlight w:val="none"/>
              </w:rPr>
            </w:pPr>
            <w:r>
              <w:rPr>
                <w:rFonts w:hint="eastAsia" w:ascii="宋体" w:hAnsi="宋体" w:eastAsia="宋体" w:cs="宋体"/>
                <w:sz w:val="24"/>
                <w:szCs w:val="24"/>
                <w:highlight w:val="none"/>
              </w:rPr>
              <w:t>3.要求支持业务应用组件化，各组件独立运行、维护，支持独立安装或卸载</w:t>
            </w:r>
          </w:p>
          <w:p w14:paraId="50588503">
            <w:pPr>
              <w:rPr>
                <w:rFonts w:ascii="宋体" w:hAnsi="宋体" w:eastAsia="宋体" w:cs="宋体"/>
                <w:sz w:val="24"/>
                <w:szCs w:val="24"/>
                <w:highlight w:val="none"/>
              </w:rPr>
            </w:pPr>
            <w:r>
              <w:rPr>
                <w:rFonts w:hint="eastAsia" w:ascii="宋体" w:hAnsi="宋体" w:eastAsia="宋体" w:cs="宋体"/>
                <w:sz w:val="24"/>
                <w:szCs w:val="24"/>
                <w:highlight w:val="none"/>
              </w:rPr>
              <w:t>4.要求支持以中心管理服务为核心的网络拓扑结构，支持对系统中的分组、</w:t>
            </w:r>
            <w:r>
              <w:rPr>
                <w:rFonts w:hint="eastAsia" w:ascii="宋体" w:hAnsi="宋体" w:eastAsia="宋体" w:cs="宋体"/>
                <w:sz w:val="24"/>
                <w:szCs w:val="24"/>
                <w:highlight w:val="none"/>
                <w:lang w:eastAsia="zh-CN"/>
              </w:rPr>
              <w:t>工作站</w:t>
            </w:r>
            <w:r>
              <w:rPr>
                <w:rFonts w:hint="eastAsia" w:ascii="宋体" w:hAnsi="宋体" w:eastAsia="宋体" w:cs="宋体"/>
                <w:sz w:val="24"/>
                <w:szCs w:val="24"/>
                <w:highlight w:val="none"/>
              </w:rPr>
              <w:t>、组件等统计概览、查看</w:t>
            </w:r>
          </w:p>
          <w:p w14:paraId="50218AF9">
            <w:pPr>
              <w:rPr>
                <w:rFonts w:ascii="宋体" w:hAnsi="宋体" w:eastAsia="宋体" w:cs="宋体"/>
                <w:sz w:val="24"/>
                <w:szCs w:val="24"/>
                <w:highlight w:val="none"/>
              </w:rPr>
            </w:pPr>
            <w:r>
              <w:rPr>
                <w:rFonts w:hint="eastAsia" w:ascii="宋体" w:hAnsi="宋体" w:eastAsia="宋体" w:cs="宋体"/>
                <w:sz w:val="24"/>
                <w:szCs w:val="24"/>
                <w:highlight w:val="none"/>
              </w:rPr>
              <w:t>5.要求支持多色彩（红、橙、黄）展示运行告警状态，支持告警统计、概览、处理，支持告警记录查看、查询，支持告警单条、批量处理；支持系统最近7天每日告警数统计，支持评分量化系统监控指数，显示系统运行状态</w:t>
            </w:r>
          </w:p>
          <w:p w14:paraId="318F4357">
            <w:pPr>
              <w:rPr>
                <w:rFonts w:ascii="宋体" w:hAnsi="宋体" w:eastAsia="宋体" w:cs="宋体"/>
                <w:sz w:val="24"/>
                <w:szCs w:val="24"/>
                <w:highlight w:val="none"/>
              </w:rPr>
            </w:pPr>
            <w:r>
              <w:rPr>
                <w:rFonts w:hint="eastAsia" w:ascii="宋体" w:hAnsi="宋体" w:eastAsia="宋体" w:cs="宋体"/>
                <w:sz w:val="24"/>
                <w:szCs w:val="24"/>
                <w:highlight w:val="none"/>
              </w:rPr>
              <w:t>6.支持开启自动发现，可通过交换机设备IP、协议信息发现获取网络中的资源</w:t>
            </w:r>
          </w:p>
          <w:p w14:paraId="1DEB307B">
            <w:pPr>
              <w:rPr>
                <w:rFonts w:ascii="宋体" w:hAnsi="宋体" w:eastAsia="宋体" w:cs="宋体"/>
                <w:sz w:val="24"/>
                <w:szCs w:val="24"/>
                <w:highlight w:val="none"/>
              </w:rPr>
            </w:pPr>
            <w:r>
              <w:rPr>
                <w:rFonts w:hint="eastAsia" w:ascii="宋体" w:hAnsi="宋体" w:eastAsia="宋体" w:cs="宋体"/>
                <w:sz w:val="24"/>
                <w:szCs w:val="24"/>
                <w:highlight w:val="none"/>
              </w:rPr>
              <w:t>7.支持查看拓扑页面中的资源告警和线路告警</w:t>
            </w:r>
          </w:p>
          <w:p w14:paraId="12956047">
            <w:pPr>
              <w:rPr>
                <w:rFonts w:ascii="宋体" w:hAnsi="宋体" w:eastAsia="宋体" w:cs="宋体"/>
                <w:sz w:val="24"/>
                <w:szCs w:val="24"/>
                <w:highlight w:val="none"/>
              </w:rPr>
            </w:pPr>
            <w:r>
              <w:rPr>
                <w:rFonts w:hint="eastAsia" w:ascii="宋体" w:hAnsi="宋体" w:eastAsia="宋体" w:cs="宋体"/>
                <w:sz w:val="24"/>
                <w:szCs w:val="24"/>
                <w:highlight w:val="none"/>
              </w:rPr>
              <w:t>★8.平台应支持查看隐患信息、位置信息、隐患日历、隐患图片、隐患处理操作记录、联系人；平台应支持对发生隐患的设备下发消音的操作，并支持选择消音时长、输入处理结果；其中消音时长应包括6h、12h、18h、24h。（</w:t>
            </w:r>
            <w:r>
              <w:rPr>
                <w:rFonts w:hint="eastAsia" w:ascii="宋体" w:hAnsi="宋体" w:eastAsia="宋体" w:cs="宋体"/>
                <w:b/>
                <w:bCs/>
                <w:sz w:val="24"/>
                <w:szCs w:val="24"/>
                <w:highlight w:val="none"/>
              </w:rPr>
              <w:t>提供具有CMA或CNAS标识的第三方有权机构出具的检验报告</w:t>
            </w:r>
            <w:r>
              <w:rPr>
                <w:rFonts w:hint="eastAsia" w:ascii="宋体" w:hAnsi="宋体" w:eastAsia="宋体" w:cs="宋体"/>
                <w:sz w:val="24"/>
                <w:szCs w:val="24"/>
                <w:highlight w:val="none"/>
              </w:rPr>
              <w:t>）</w:t>
            </w:r>
          </w:p>
          <w:p w14:paraId="067E5FCC">
            <w:pPr>
              <w:rPr>
                <w:rFonts w:ascii="宋体" w:hAnsi="宋体" w:eastAsia="宋体" w:cs="宋体"/>
                <w:sz w:val="24"/>
                <w:szCs w:val="24"/>
                <w:highlight w:val="none"/>
              </w:rPr>
            </w:pPr>
            <w:r>
              <w:rPr>
                <w:rFonts w:hint="eastAsia" w:ascii="宋体" w:hAnsi="宋体" w:eastAsia="宋体" w:cs="宋体"/>
                <w:sz w:val="24"/>
                <w:szCs w:val="24"/>
                <w:highlight w:val="none"/>
              </w:rPr>
              <w:t>★9.平台应支持对火灾报警控制器控制的总线下发启动、停止的控制指令；下发控制指令时，平台应支持输入验证码进行二次确认；指令下发后，平台应支持与火报主机控制的总线的状态进行秒级同步。（</w:t>
            </w:r>
            <w:r>
              <w:rPr>
                <w:rFonts w:hint="eastAsia" w:ascii="宋体" w:hAnsi="宋体" w:eastAsia="宋体" w:cs="宋体"/>
                <w:b/>
                <w:bCs/>
                <w:sz w:val="24"/>
                <w:szCs w:val="24"/>
                <w:highlight w:val="none"/>
              </w:rPr>
              <w:t>提供具有CMA或CNAS标识的第三方有权机构出具的检验报告</w:t>
            </w:r>
            <w:r>
              <w:rPr>
                <w:rFonts w:hint="eastAsia" w:ascii="宋体" w:hAnsi="宋体" w:eastAsia="宋体" w:cs="宋体"/>
                <w:sz w:val="24"/>
                <w:szCs w:val="24"/>
                <w:highlight w:val="none"/>
              </w:rPr>
              <w:t>）</w:t>
            </w:r>
          </w:p>
          <w:p w14:paraId="66DFDF7A">
            <w:pPr>
              <w:rPr>
                <w:rFonts w:ascii="宋体" w:hAnsi="宋体" w:eastAsia="宋体" w:cs="宋体"/>
                <w:sz w:val="24"/>
                <w:szCs w:val="24"/>
                <w:highlight w:val="none"/>
              </w:rPr>
            </w:pPr>
            <w:r>
              <w:rPr>
                <w:rFonts w:hint="eastAsia" w:ascii="宋体" w:hAnsi="宋体" w:eastAsia="宋体" w:cs="宋体"/>
                <w:sz w:val="24"/>
                <w:szCs w:val="24"/>
                <w:highlight w:val="none"/>
              </w:rPr>
              <w:t>★10.平台应支持获取并展示火灾报警控制器的状态，其中应包括火警、联动、延时启动、反馈、监管、屏蔽、系统故障、节点故障、报警延时、传输、启动、故障、自检、检查、警报器启动、警报器故障状态。（</w:t>
            </w:r>
            <w:r>
              <w:rPr>
                <w:rFonts w:hint="eastAsia" w:ascii="宋体" w:hAnsi="宋体" w:eastAsia="宋体" w:cs="宋体"/>
                <w:b/>
                <w:bCs/>
                <w:sz w:val="24"/>
                <w:szCs w:val="24"/>
                <w:highlight w:val="none"/>
              </w:rPr>
              <w:t>提供具有CMA或CNAS标识的第三方有权机构出具的检验报告</w:t>
            </w:r>
            <w:r>
              <w:rPr>
                <w:rFonts w:hint="eastAsia" w:ascii="宋体" w:hAnsi="宋体" w:eastAsia="宋体" w:cs="宋体"/>
                <w:sz w:val="24"/>
                <w:szCs w:val="24"/>
                <w:highlight w:val="none"/>
              </w:rPr>
              <w:t>）</w:t>
            </w:r>
          </w:p>
          <w:p w14:paraId="46D298A0">
            <w:pPr>
              <w:rPr>
                <w:rFonts w:ascii="宋体" w:hAnsi="宋体" w:eastAsia="宋体" w:cs="宋体"/>
                <w:sz w:val="24"/>
                <w:szCs w:val="24"/>
                <w:highlight w:val="none"/>
              </w:rPr>
            </w:pPr>
            <w:r>
              <w:rPr>
                <w:rFonts w:hint="eastAsia" w:ascii="宋体" w:hAnsi="宋体" w:eastAsia="宋体" w:cs="宋体"/>
                <w:sz w:val="24"/>
                <w:szCs w:val="24"/>
                <w:highlight w:val="none"/>
              </w:rPr>
              <w:t>11、可实现与安防平台的融合对接，形成安消一体化。</w:t>
            </w:r>
          </w:p>
          <w:p w14:paraId="0CB24838">
            <w:pPr>
              <w:rPr>
                <w:rFonts w:ascii="宋体" w:hAnsi="宋体" w:eastAsia="宋体" w:cs="宋体"/>
                <w:sz w:val="24"/>
                <w:szCs w:val="24"/>
                <w:highlight w:val="none"/>
              </w:rPr>
            </w:pPr>
            <w:r>
              <w:rPr>
                <w:rFonts w:hint="eastAsia" w:ascii="宋体" w:hAnsi="宋体" w:eastAsia="宋体" w:cs="宋体"/>
                <w:sz w:val="24"/>
                <w:szCs w:val="24"/>
                <w:highlight w:val="none"/>
              </w:rPr>
              <w:t>★12.</w:t>
            </w:r>
            <w:r>
              <w:rPr>
                <w:rFonts w:hint="eastAsia" w:ascii="宋体" w:hAnsi="宋体" w:eastAsia="宋体" w:cs="宋体"/>
                <w:b/>
                <w:bCs/>
                <w:sz w:val="24"/>
                <w:szCs w:val="24"/>
                <w:highlight w:val="none"/>
              </w:rPr>
              <w:t>提供软件著作权证书复印件或扫描件。</w:t>
            </w:r>
          </w:p>
        </w:tc>
        <w:tc>
          <w:tcPr>
            <w:tcW w:w="380" w:type="pct"/>
            <w:shd w:val="clear" w:color="auto" w:fill="auto"/>
            <w:vAlign w:val="center"/>
          </w:tcPr>
          <w:p w14:paraId="382E5DC4">
            <w:pPr>
              <w:rPr>
                <w:rFonts w:ascii="宋体" w:hAnsi="宋体" w:eastAsia="宋体" w:cs="宋体"/>
                <w:sz w:val="24"/>
                <w:szCs w:val="24"/>
                <w:highlight w:val="none"/>
              </w:rPr>
            </w:pPr>
            <w:r>
              <w:rPr>
                <w:rFonts w:hint="eastAsia" w:ascii="宋体" w:hAnsi="宋体" w:eastAsia="宋体" w:cs="宋体"/>
                <w:sz w:val="24"/>
                <w:szCs w:val="24"/>
                <w:highlight w:val="none"/>
              </w:rPr>
              <w:t>1</w:t>
            </w:r>
          </w:p>
        </w:tc>
        <w:tc>
          <w:tcPr>
            <w:tcW w:w="218" w:type="pct"/>
            <w:shd w:val="clear" w:color="auto" w:fill="auto"/>
            <w:vAlign w:val="center"/>
          </w:tcPr>
          <w:p w14:paraId="63E6A690">
            <w:pPr>
              <w:rPr>
                <w:rFonts w:ascii="宋体" w:hAnsi="宋体" w:eastAsia="宋体" w:cs="宋体"/>
                <w:sz w:val="24"/>
                <w:szCs w:val="24"/>
                <w:highlight w:val="none"/>
              </w:rPr>
            </w:pPr>
            <w:r>
              <w:rPr>
                <w:rFonts w:hint="eastAsia" w:ascii="宋体" w:hAnsi="宋体" w:eastAsia="宋体" w:cs="宋体"/>
                <w:sz w:val="24"/>
                <w:szCs w:val="24"/>
                <w:highlight w:val="none"/>
              </w:rPr>
              <w:t>套</w:t>
            </w:r>
          </w:p>
        </w:tc>
        <w:tc>
          <w:tcPr>
            <w:tcW w:w="414" w:type="pct"/>
            <w:vAlign w:val="center"/>
          </w:tcPr>
          <w:p w14:paraId="11318FBE">
            <w:pPr>
              <w:rPr>
                <w:rFonts w:ascii="宋体" w:hAnsi="宋体" w:eastAsia="宋体" w:cs="宋体"/>
                <w:sz w:val="24"/>
                <w:szCs w:val="24"/>
                <w:highlight w:val="none"/>
              </w:rPr>
            </w:pPr>
            <w:r>
              <w:rPr>
                <w:rFonts w:hint="eastAsia" w:ascii="宋体" w:hAnsi="宋体" w:eastAsia="宋体" w:cs="宋体"/>
                <w:sz w:val="24"/>
                <w:szCs w:val="24"/>
                <w:highlight w:val="none"/>
              </w:rPr>
              <w:t>软件和信息技术服务业</w:t>
            </w:r>
          </w:p>
        </w:tc>
        <w:tc>
          <w:tcPr>
            <w:tcW w:w="261" w:type="pct"/>
            <w:vAlign w:val="center"/>
          </w:tcPr>
          <w:p w14:paraId="5DA539BE">
            <w:pPr>
              <w:rPr>
                <w:rFonts w:ascii="宋体" w:hAnsi="宋体" w:eastAsia="宋体" w:cs="宋体"/>
                <w:sz w:val="24"/>
                <w:szCs w:val="24"/>
                <w:highlight w:val="none"/>
              </w:rPr>
            </w:pPr>
          </w:p>
        </w:tc>
      </w:tr>
      <w:tr w14:paraId="4E83F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61" w:type="pct"/>
            <w:shd w:val="clear" w:color="auto" w:fill="auto"/>
            <w:vAlign w:val="center"/>
          </w:tcPr>
          <w:p w14:paraId="09745809">
            <w:pPr>
              <w:widowControl/>
              <w:jc w:val="right"/>
              <w:textAlignment w:val="center"/>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3</w:t>
            </w:r>
          </w:p>
        </w:tc>
        <w:tc>
          <w:tcPr>
            <w:tcW w:w="427" w:type="pct"/>
            <w:shd w:val="clear" w:color="auto" w:fill="auto"/>
            <w:vAlign w:val="center"/>
          </w:tcPr>
          <w:p w14:paraId="04B5F4C2">
            <w:pPr>
              <w:rPr>
                <w:rFonts w:ascii="宋体" w:hAnsi="宋体" w:eastAsia="宋体" w:cs="宋体"/>
                <w:sz w:val="24"/>
                <w:szCs w:val="24"/>
                <w:highlight w:val="none"/>
                <w:lang w:eastAsia="en-US"/>
              </w:rPr>
            </w:pPr>
            <w:r>
              <w:rPr>
                <w:rFonts w:hint="eastAsia" w:ascii="宋体" w:hAnsi="宋体" w:eastAsia="宋体" w:cs="宋体"/>
                <w:sz w:val="24"/>
                <w:szCs w:val="24"/>
                <w:highlight w:val="none"/>
                <w:lang w:eastAsia="en-US"/>
              </w:rPr>
              <w:t>防火墙</w:t>
            </w:r>
          </w:p>
        </w:tc>
        <w:tc>
          <w:tcPr>
            <w:tcW w:w="3036" w:type="pct"/>
            <w:shd w:val="clear" w:color="auto" w:fill="auto"/>
            <w:vAlign w:val="center"/>
          </w:tcPr>
          <w:p w14:paraId="112408EE">
            <w:pPr>
              <w:rPr>
                <w:rFonts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zh-CN"/>
              </w:rPr>
              <w:t>标准机架设备，冗余电源, 前面板支持液晶屏；配置千兆电口≥</w:t>
            </w:r>
            <w:r>
              <w:rPr>
                <w:rFonts w:hint="eastAsia" w:ascii="宋体" w:hAnsi="宋体" w:eastAsia="宋体" w:cs="宋体"/>
                <w:sz w:val="24"/>
                <w:szCs w:val="24"/>
                <w:highlight w:val="none"/>
              </w:rPr>
              <w:t>8</w:t>
            </w:r>
            <w:r>
              <w:rPr>
                <w:rFonts w:hint="eastAsia" w:ascii="宋体" w:hAnsi="宋体" w:eastAsia="宋体" w:cs="宋体"/>
                <w:sz w:val="24"/>
                <w:szCs w:val="24"/>
                <w:highlight w:val="none"/>
                <w:lang w:val="zh-CN"/>
              </w:rPr>
              <w:t>个，千兆SFP插槽≥</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个（满配千兆原厂</w:t>
            </w:r>
            <w:r>
              <w:rPr>
                <w:rFonts w:hint="eastAsia" w:ascii="宋体" w:hAnsi="宋体" w:eastAsia="宋体" w:cs="宋体"/>
                <w:sz w:val="24"/>
                <w:szCs w:val="24"/>
                <w:highlight w:val="none"/>
                <w:lang w:val="en-US" w:eastAsia="zh-CN"/>
              </w:rPr>
              <w:t>单模</w:t>
            </w:r>
            <w:r>
              <w:rPr>
                <w:rFonts w:hint="eastAsia" w:ascii="宋体" w:hAnsi="宋体" w:eastAsia="宋体" w:cs="宋体"/>
                <w:sz w:val="24"/>
                <w:szCs w:val="24"/>
                <w:highlight w:val="none"/>
                <w:lang w:val="zh-CN"/>
              </w:rPr>
              <w:t>模块），万兆SFP插槽≥2个（满配万兆原厂</w:t>
            </w:r>
            <w:r>
              <w:rPr>
                <w:rFonts w:hint="eastAsia" w:ascii="宋体" w:hAnsi="宋体" w:eastAsia="宋体" w:cs="宋体"/>
                <w:sz w:val="24"/>
                <w:szCs w:val="24"/>
                <w:highlight w:val="none"/>
                <w:lang w:val="en-US" w:eastAsia="zh-CN"/>
              </w:rPr>
              <w:t>单模</w:t>
            </w:r>
            <w:r>
              <w:rPr>
                <w:rFonts w:hint="eastAsia" w:ascii="宋体" w:hAnsi="宋体" w:eastAsia="宋体" w:cs="宋体"/>
                <w:sz w:val="24"/>
                <w:szCs w:val="24"/>
                <w:highlight w:val="none"/>
                <w:lang w:val="zh-CN"/>
              </w:rPr>
              <w:t>模块）</w:t>
            </w:r>
            <w:r>
              <w:rPr>
                <w:rFonts w:hint="eastAsia" w:ascii="宋体" w:hAnsi="宋体" w:eastAsia="宋体" w:cs="宋体"/>
                <w:sz w:val="24"/>
                <w:szCs w:val="24"/>
                <w:highlight w:val="none"/>
              </w:rPr>
              <w:t>,扩展插槽</w:t>
            </w:r>
            <w:r>
              <w:rPr>
                <w:rFonts w:hint="eastAsia" w:ascii="宋体" w:hAnsi="宋体" w:eastAsia="宋体" w:cs="宋体"/>
                <w:sz w:val="24"/>
                <w:szCs w:val="24"/>
                <w:highlight w:val="none"/>
                <w:lang w:val="zh-CN"/>
              </w:rPr>
              <w:t>≥2个;最大网络层吞吐量≥</w:t>
            </w:r>
            <w:r>
              <w:rPr>
                <w:rFonts w:hint="eastAsia" w:ascii="宋体" w:hAnsi="宋体" w:eastAsia="宋体" w:cs="宋体"/>
                <w:sz w:val="24"/>
                <w:szCs w:val="24"/>
                <w:highlight w:val="none"/>
              </w:rPr>
              <w:t>10</w:t>
            </w:r>
            <w:r>
              <w:rPr>
                <w:rFonts w:hint="eastAsia" w:ascii="宋体" w:hAnsi="宋体" w:eastAsia="宋体" w:cs="宋体"/>
                <w:sz w:val="24"/>
                <w:szCs w:val="24"/>
                <w:highlight w:val="none"/>
                <w:lang w:val="zh-CN"/>
              </w:rPr>
              <w:t>Gbps，并发连接≥</w:t>
            </w:r>
            <w:r>
              <w:rPr>
                <w:rFonts w:hint="eastAsia" w:ascii="宋体" w:hAnsi="宋体" w:eastAsia="宋体" w:cs="宋体"/>
                <w:sz w:val="24"/>
                <w:szCs w:val="24"/>
                <w:highlight w:val="none"/>
              </w:rPr>
              <w:t>30</w:t>
            </w:r>
            <w:r>
              <w:rPr>
                <w:rFonts w:hint="eastAsia" w:ascii="宋体" w:hAnsi="宋体" w:eastAsia="宋体" w:cs="宋体"/>
                <w:sz w:val="24"/>
                <w:szCs w:val="24"/>
                <w:highlight w:val="none"/>
                <w:lang w:val="zh-CN"/>
              </w:rPr>
              <w:t>0万，新建连接≥</w:t>
            </w:r>
            <w:r>
              <w:rPr>
                <w:rFonts w:hint="eastAsia" w:ascii="宋体" w:hAnsi="宋体" w:eastAsia="宋体" w:cs="宋体"/>
                <w:sz w:val="24"/>
                <w:szCs w:val="24"/>
                <w:highlight w:val="none"/>
              </w:rPr>
              <w:t>8</w:t>
            </w:r>
            <w:r>
              <w:rPr>
                <w:rFonts w:hint="eastAsia" w:ascii="宋体" w:hAnsi="宋体" w:eastAsia="宋体" w:cs="宋体"/>
                <w:sz w:val="24"/>
                <w:szCs w:val="24"/>
                <w:highlight w:val="none"/>
                <w:lang w:val="zh-CN"/>
              </w:rPr>
              <w:t>万/S；支持40G接口扩展；</w:t>
            </w:r>
            <w:r>
              <w:rPr>
                <w:rFonts w:hint="eastAsia" w:ascii="宋体" w:hAnsi="宋体" w:eastAsia="宋体" w:cs="宋体"/>
                <w:sz w:val="24"/>
                <w:szCs w:val="24"/>
                <w:highlight w:val="none"/>
              </w:rPr>
              <w:t>（</w:t>
            </w:r>
            <w:r>
              <w:rPr>
                <w:rFonts w:hint="eastAsia" w:ascii="宋体" w:hAnsi="宋体" w:eastAsia="宋体" w:cs="宋体"/>
                <w:b/>
                <w:bCs/>
                <w:sz w:val="24"/>
                <w:szCs w:val="24"/>
                <w:highlight w:val="none"/>
              </w:rPr>
              <w:t>提供截图证明，包括不限于实物、功能、技术白皮书等</w:t>
            </w:r>
            <w:r>
              <w:rPr>
                <w:rFonts w:hint="eastAsia" w:ascii="宋体" w:hAnsi="宋体" w:eastAsia="宋体" w:cs="宋体"/>
                <w:sz w:val="24"/>
                <w:szCs w:val="24"/>
                <w:highlight w:val="none"/>
              </w:rPr>
              <w:t>）。</w:t>
            </w:r>
          </w:p>
          <w:p w14:paraId="77A342EE">
            <w:pPr>
              <w:rPr>
                <w:rFonts w:ascii="宋体" w:hAnsi="宋体" w:eastAsia="宋体" w:cs="宋体"/>
                <w:sz w:val="24"/>
                <w:szCs w:val="24"/>
                <w:highlight w:val="none"/>
                <w:lang w:val="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支持漏洞防护特征库及间谍软件库包含高危漏洞攻击特征</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严重性、影响的平台、类型、描述、解决方案建议等详细信息；</w:t>
            </w:r>
          </w:p>
          <w:p w14:paraId="4DE16063">
            <w:pPr>
              <w:rPr>
                <w:rFonts w:ascii="宋体" w:hAnsi="宋体" w:eastAsia="宋体" w:cs="宋体"/>
                <w:sz w:val="24"/>
                <w:szCs w:val="24"/>
                <w:highlight w:val="none"/>
                <w:lang w:val="zh-CN"/>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zh-CN"/>
              </w:rPr>
              <w:t>支持病毒防护，能够对HTTP/FTP/POP3/SMTP/IMAP/SMB</w:t>
            </w:r>
            <w:r>
              <w:rPr>
                <w:rFonts w:hint="eastAsia" w:ascii="宋体" w:hAnsi="宋体" w:eastAsia="宋体" w:cs="宋体"/>
                <w:sz w:val="24"/>
                <w:szCs w:val="24"/>
                <w:highlight w:val="none"/>
              </w:rPr>
              <w:t>/RXP等多</w:t>
            </w:r>
            <w:r>
              <w:rPr>
                <w:rFonts w:hint="eastAsia" w:ascii="宋体" w:hAnsi="宋体" w:eastAsia="宋体" w:cs="宋体"/>
                <w:sz w:val="24"/>
                <w:szCs w:val="24"/>
                <w:highlight w:val="none"/>
                <w:lang w:val="zh-CN"/>
              </w:rPr>
              <w:t>种协议进行病毒查杀；</w:t>
            </w:r>
          </w:p>
          <w:p w14:paraId="4F27E741">
            <w:pPr>
              <w:rPr>
                <w:rFonts w:ascii="宋体" w:hAnsi="宋体" w:eastAsia="宋体" w:cs="宋体"/>
                <w:sz w:val="24"/>
                <w:szCs w:val="24"/>
                <w:highlight w:val="none"/>
              </w:rPr>
            </w:pPr>
            <w:r>
              <w:rPr>
                <w:rFonts w:hint="eastAsia" w:ascii="宋体" w:hAnsi="宋体" w:eastAsia="宋体" w:cs="宋体"/>
                <w:sz w:val="24"/>
                <w:szCs w:val="24"/>
                <w:highlight w:val="none"/>
              </w:rPr>
              <w:t>★4.能够快速上线部署，具备威胁情报检测、情报库升级、网元管理及引流、网元服务链配置、共享接入检测及接入管控等功能</w:t>
            </w:r>
            <w:r>
              <w:rPr>
                <w:rFonts w:hint="eastAsia" w:ascii="宋体" w:hAnsi="宋体" w:eastAsia="宋体" w:cs="宋体"/>
                <w:sz w:val="24"/>
                <w:szCs w:val="24"/>
                <w:highlight w:val="none"/>
                <w:lang w:val="zh-CN"/>
              </w:rPr>
              <w:t>（</w:t>
            </w:r>
            <w:r>
              <w:rPr>
                <w:rFonts w:hint="eastAsia" w:ascii="宋体" w:hAnsi="宋体" w:eastAsia="宋体" w:cs="宋体"/>
                <w:b/>
                <w:bCs/>
                <w:sz w:val="24"/>
                <w:szCs w:val="24"/>
                <w:highlight w:val="none"/>
                <w:lang w:val="zh-CN"/>
              </w:rPr>
              <w:t>提供具有“CNAS”或“CMA”标志的第三方有权机构出具的检测报告</w:t>
            </w:r>
            <w:r>
              <w:rPr>
                <w:rFonts w:hint="eastAsia" w:ascii="宋体" w:hAnsi="宋体" w:eastAsia="宋体" w:cs="宋体"/>
                <w:sz w:val="24"/>
                <w:szCs w:val="24"/>
                <w:highlight w:val="none"/>
                <w:lang w:val="zh-CN"/>
              </w:rPr>
              <w:t>）</w:t>
            </w:r>
          </w:p>
        </w:tc>
        <w:tc>
          <w:tcPr>
            <w:tcW w:w="380" w:type="pct"/>
            <w:shd w:val="clear" w:color="auto" w:fill="auto"/>
            <w:vAlign w:val="center"/>
          </w:tcPr>
          <w:p w14:paraId="021F46FD">
            <w:pPr>
              <w:rPr>
                <w:rFonts w:ascii="宋体" w:hAnsi="宋体" w:eastAsia="宋体" w:cs="宋体"/>
                <w:sz w:val="24"/>
                <w:szCs w:val="24"/>
                <w:highlight w:val="none"/>
              </w:rPr>
            </w:pPr>
            <w:r>
              <w:rPr>
                <w:rFonts w:hint="eastAsia" w:ascii="宋体" w:hAnsi="宋体" w:eastAsia="宋体" w:cs="宋体"/>
                <w:sz w:val="24"/>
                <w:szCs w:val="24"/>
                <w:highlight w:val="none"/>
              </w:rPr>
              <w:t>1</w:t>
            </w:r>
          </w:p>
        </w:tc>
        <w:tc>
          <w:tcPr>
            <w:tcW w:w="218" w:type="pct"/>
            <w:shd w:val="clear" w:color="auto" w:fill="auto"/>
            <w:vAlign w:val="center"/>
          </w:tcPr>
          <w:p w14:paraId="06D30E5E">
            <w:pPr>
              <w:rPr>
                <w:rFonts w:ascii="宋体" w:hAnsi="宋体" w:eastAsia="宋体" w:cs="宋体"/>
                <w:sz w:val="24"/>
                <w:szCs w:val="24"/>
                <w:highlight w:val="none"/>
                <w:lang w:eastAsia="en-US"/>
              </w:rPr>
            </w:pPr>
            <w:r>
              <w:rPr>
                <w:rFonts w:hint="eastAsia" w:ascii="宋体" w:hAnsi="宋体" w:eastAsia="宋体" w:cs="宋体"/>
                <w:sz w:val="24"/>
                <w:szCs w:val="24"/>
                <w:highlight w:val="none"/>
              </w:rPr>
              <w:t>台</w:t>
            </w:r>
          </w:p>
        </w:tc>
        <w:tc>
          <w:tcPr>
            <w:tcW w:w="414" w:type="pct"/>
            <w:vAlign w:val="center"/>
          </w:tcPr>
          <w:p w14:paraId="578401E1">
            <w:pPr>
              <w:rPr>
                <w:rFonts w:ascii="宋体" w:hAnsi="宋体" w:eastAsia="宋体" w:cs="宋体"/>
                <w:sz w:val="24"/>
                <w:szCs w:val="24"/>
                <w:highlight w:val="none"/>
              </w:rPr>
            </w:pPr>
            <w:r>
              <w:rPr>
                <w:rFonts w:hint="eastAsia" w:ascii="宋体" w:hAnsi="宋体" w:eastAsia="宋体" w:cs="宋体"/>
                <w:sz w:val="24"/>
                <w:szCs w:val="24"/>
                <w:highlight w:val="none"/>
              </w:rPr>
              <w:t>工业</w:t>
            </w:r>
          </w:p>
        </w:tc>
        <w:tc>
          <w:tcPr>
            <w:tcW w:w="261" w:type="pct"/>
            <w:vAlign w:val="center"/>
          </w:tcPr>
          <w:p w14:paraId="29C4FD4D">
            <w:pPr>
              <w:rPr>
                <w:rFonts w:ascii="宋体" w:hAnsi="宋体" w:eastAsia="宋体" w:cs="宋体"/>
                <w:sz w:val="24"/>
                <w:szCs w:val="24"/>
                <w:highlight w:val="none"/>
              </w:rPr>
            </w:pPr>
          </w:p>
        </w:tc>
      </w:tr>
      <w:tr w14:paraId="4C81B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 w:type="pct"/>
            <w:shd w:val="clear" w:color="auto" w:fill="auto"/>
            <w:vAlign w:val="center"/>
          </w:tcPr>
          <w:p w14:paraId="22848D36">
            <w:pPr>
              <w:widowControl/>
              <w:jc w:val="right"/>
              <w:textAlignment w:val="center"/>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4</w:t>
            </w:r>
          </w:p>
        </w:tc>
        <w:tc>
          <w:tcPr>
            <w:tcW w:w="427" w:type="pct"/>
            <w:shd w:val="clear" w:color="auto" w:fill="auto"/>
            <w:vAlign w:val="center"/>
          </w:tcPr>
          <w:p w14:paraId="1B18CCF8">
            <w:pPr>
              <w:rPr>
                <w:rFonts w:ascii="宋体" w:hAnsi="宋体" w:eastAsia="宋体" w:cs="宋体"/>
                <w:sz w:val="24"/>
                <w:szCs w:val="24"/>
                <w:highlight w:val="none"/>
                <w:lang w:eastAsia="en-US"/>
              </w:rPr>
            </w:pPr>
            <w:r>
              <w:rPr>
                <w:rFonts w:hint="eastAsia" w:ascii="宋体" w:hAnsi="宋体" w:eastAsia="宋体" w:cs="宋体"/>
                <w:sz w:val="24"/>
                <w:szCs w:val="24"/>
                <w:highlight w:val="none"/>
                <w:lang w:eastAsia="en-US"/>
              </w:rPr>
              <w:t>千兆接入交换机</w:t>
            </w:r>
          </w:p>
        </w:tc>
        <w:tc>
          <w:tcPr>
            <w:tcW w:w="3036" w:type="pct"/>
            <w:shd w:val="clear" w:color="auto" w:fill="auto"/>
            <w:vAlign w:val="center"/>
          </w:tcPr>
          <w:p w14:paraId="1C08A9DD">
            <w:pPr>
              <w:rPr>
                <w:rFonts w:ascii="宋体" w:hAnsi="宋体" w:eastAsia="宋体" w:cs="宋体"/>
                <w:sz w:val="24"/>
                <w:szCs w:val="24"/>
                <w:highlight w:val="none"/>
              </w:rPr>
            </w:pPr>
            <w:r>
              <w:rPr>
                <w:rFonts w:hint="eastAsia" w:ascii="宋体" w:hAnsi="宋体" w:eastAsia="宋体" w:cs="宋体"/>
                <w:sz w:val="24"/>
                <w:szCs w:val="24"/>
                <w:highlight w:val="none"/>
              </w:rPr>
              <w:t xml:space="preserve">1.交换容量≥336Gbps  </w:t>
            </w:r>
          </w:p>
          <w:p w14:paraId="09A3B95C">
            <w:pPr>
              <w:rPr>
                <w:rFonts w:ascii="宋体" w:hAnsi="宋体" w:eastAsia="宋体" w:cs="宋体"/>
                <w:sz w:val="24"/>
                <w:szCs w:val="24"/>
                <w:highlight w:val="none"/>
              </w:rPr>
            </w:pPr>
            <w:r>
              <w:rPr>
                <w:rFonts w:hint="eastAsia" w:ascii="宋体" w:hAnsi="宋体" w:eastAsia="宋体" w:cs="宋体"/>
                <w:sz w:val="24"/>
                <w:szCs w:val="24"/>
                <w:highlight w:val="none"/>
              </w:rPr>
              <w:t xml:space="preserve">2.包转发率≥96Mpps  </w:t>
            </w:r>
          </w:p>
          <w:p w14:paraId="32310C8E">
            <w:pPr>
              <w:rPr>
                <w:rFonts w:ascii="宋体" w:hAnsi="宋体" w:eastAsia="宋体" w:cs="宋体"/>
                <w:sz w:val="24"/>
                <w:szCs w:val="24"/>
                <w:highlight w:val="none"/>
              </w:rPr>
            </w:pPr>
            <w:r>
              <w:rPr>
                <w:rFonts w:hint="eastAsia" w:ascii="宋体" w:hAnsi="宋体" w:eastAsia="宋体" w:cs="宋体"/>
                <w:sz w:val="24"/>
                <w:szCs w:val="24"/>
                <w:highlight w:val="none"/>
              </w:rPr>
              <w:t>3.端口≥24*10/100/1000Base-T以太网端口,4*1000 Base-X SFP光口，1个CONSOLE口，支持WEB、CLI等管理方式</w:t>
            </w:r>
          </w:p>
          <w:p w14:paraId="416C6ABC">
            <w:pPr>
              <w:rPr>
                <w:rFonts w:ascii="宋体" w:hAnsi="宋体" w:eastAsia="宋体" w:cs="宋体"/>
                <w:sz w:val="24"/>
                <w:szCs w:val="24"/>
                <w:highlight w:val="none"/>
              </w:rPr>
            </w:pPr>
            <w:r>
              <w:rPr>
                <w:rFonts w:hint="eastAsia" w:ascii="宋体" w:hAnsi="宋体" w:eastAsia="宋体" w:cs="宋体"/>
                <w:sz w:val="24"/>
                <w:szCs w:val="24"/>
                <w:highlight w:val="none"/>
              </w:rPr>
              <w:t>4.VLAN：支持</w:t>
            </w:r>
          </w:p>
          <w:p w14:paraId="6E035848">
            <w:pPr>
              <w:rPr>
                <w:rFonts w:ascii="宋体" w:hAnsi="宋体" w:eastAsia="宋体" w:cs="宋体"/>
                <w:sz w:val="24"/>
                <w:szCs w:val="24"/>
                <w:highlight w:val="none"/>
              </w:rPr>
            </w:pPr>
            <w:r>
              <w:rPr>
                <w:rFonts w:hint="eastAsia" w:ascii="宋体" w:hAnsi="宋体" w:eastAsia="宋体" w:cs="宋体"/>
                <w:sz w:val="24"/>
                <w:szCs w:val="24"/>
                <w:highlight w:val="none"/>
              </w:rPr>
              <w:t>5.支持用户分级管理和口令保护</w:t>
            </w:r>
          </w:p>
          <w:p w14:paraId="4EB552B4">
            <w:pPr>
              <w:rPr>
                <w:rFonts w:ascii="宋体" w:hAnsi="宋体" w:eastAsia="宋体" w:cs="宋体"/>
                <w:sz w:val="24"/>
                <w:szCs w:val="24"/>
                <w:highlight w:val="none"/>
              </w:rPr>
            </w:pPr>
            <w:r>
              <w:rPr>
                <w:rFonts w:hint="eastAsia" w:ascii="宋体" w:hAnsi="宋体" w:eastAsia="宋体" w:cs="宋体"/>
                <w:sz w:val="24"/>
                <w:szCs w:val="24"/>
                <w:highlight w:val="none"/>
              </w:rPr>
              <w:t>6.支持SSH，为用户登录提供安全加密通道</w:t>
            </w:r>
          </w:p>
          <w:p w14:paraId="48DA40E3">
            <w:pPr>
              <w:rPr>
                <w:rFonts w:ascii="宋体" w:hAnsi="宋体" w:eastAsia="宋体" w:cs="宋体"/>
                <w:sz w:val="24"/>
                <w:szCs w:val="24"/>
                <w:highlight w:val="none"/>
              </w:rPr>
            </w:pPr>
            <w:r>
              <w:rPr>
                <w:rFonts w:hint="eastAsia" w:ascii="宋体" w:hAnsi="宋体" w:eastAsia="宋体" w:cs="宋体"/>
                <w:sz w:val="24"/>
                <w:szCs w:val="24"/>
                <w:highlight w:val="none"/>
              </w:rPr>
              <w:t>7.支持可控IP地址的FTP登录和口令机制</w:t>
            </w:r>
          </w:p>
          <w:p w14:paraId="4964E4A0">
            <w:pPr>
              <w:rPr>
                <w:rFonts w:ascii="宋体" w:hAnsi="宋体" w:eastAsia="宋体" w:cs="宋体"/>
                <w:sz w:val="24"/>
                <w:szCs w:val="24"/>
                <w:highlight w:val="none"/>
              </w:rPr>
            </w:pPr>
            <w:r>
              <w:rPr>
                <w:rFonts w:hint="eastAsia" w:ascii="宋体" w:hAnsi="宋体" w:eastAsia="宋体" w:cs="宋体"/>
                <w:sz w:val="24"/>
                <w:szCs w:val="24"/>
                <w:highlight w:val="none"/>
              </w:rPr>
              <w:t>8.支持防止ARP、未知组播报文、广播报文、未知单播报文、TTL=1报文、协议报文等攻击功能</w:t>
            </w:r>
          </w:p>
          <w:p w14:paraId="64345286">
            <w:pPr>
              <w:rPr>
                <w:rFonts w:ascii="宋体" w:hAnsi="宋体" w:eastAsia="宋体" w:cs="宋体"/>
                <w:sz w:val="24"/>
                <w:szCs w:val="24"/>
                <w:highlight w:val="none"/>
              </w:rPr>
            </w:pPr>
            <w:r>
              <w:rPr>
                <w:rFonts w:hint="eastAsia" w:ascii="宋体" w:hAnsi="宋体" w:eastAsia="宋体" w:cs="宋体"/>
                <w:sz w:val="24"/>
                <w:szCs w:val="24"/>
                <w:highlight w:val="none"/>
              </w:rPr>
              <w:t>9.支持MAC地址限制</w:t>
            </w:r>
          </w:p>
          <w:p w14:paraId="28EE49F9">
            <w:pPr>
              <w:rPr>
                <w:rFonts w:ascii="宋体" w:hAnsi="宋体" w:eastAsia="宋体" w:cs="宋体"/>
                <w:sz w:val="24"/>
                <w:szCs w:val="24"/>
                <w:highlight w:val="none"/>
              </w:rPr>
            </w:pPr>
            <w:r>
              <w:rPr>
                <w:rFonts w:hint="eastAsia" w:ascii="宋体" w:hAnsi="宋体" w:eastAsia="宋体" w:cs="宋体"/>
                <w:sz w:val="24"/>
                <w:szCs w:val="24"/>
                <w:highlight w:val="none"/>
              </w:rPr>
              <w:t>10.支持IP＋MAC+PORT绑定功能</w:t>
            </w:r>
          </w:p>
          <w:p w14:paraId="622B75DA">
            <w:pPr>
              <w:rPr>
                <w:rFonts w:ascii="宋体" w:hAnsi="宋体" w:eastAsia="宋体" w:cs="宋体"/>
                <w:sz w:val="24"/>
                <w:szCs w:val="24"/>
                <w:highlight w:val="none"/>
              </w:rPr>
            </w:pPr>
            <w:r>
              <w:rPr>
                <w:rFonts w:hint="eastAsia" w:ascii="宋体" w:hAnsi="宋体" w:eastAsia="宋体" w:cs="宋体"/>
                <w:sz w:val="24"/>
                <w:szCs w:val="24"/>
                <w:highlight w:val="none"/>
              </w:rPr>
              <w:t>11.支持IEEE 802.1x</w:t>
            </w:r>
          </w:p>
        </w:tc>
        <w:tc>
          <w:tcPr>
            <w:tcW w:w="380" w:type="pct"/>
            <w:shd w:val="clear" w:color="auto" w:fill="auto"/>
            <w:vAlign w:val="center"/>
          </w:tcPr>
          <w:p w14:paraId="0079F877">
            <w:pPr>
              <w:rPr>
                <w:rFonts w:ascii="宋体" w:hAnsi="宋体" w:eastAsia="宋体" w:cs="宋体"/>
                <w:sz w:val="24"/>
                <w:szCs w:val="24"/>
                <w:highlight w:val="none"/>
              </w:rPr>
            </w:pPr>
            <w:r>
              <w:rPr>
                <w:rFonts w:hint="eastAsia" w:ascii="宋体" w:hAnsi="宋体" w:eastAsia="宋体" w:cs="宋体"/>
                <w:sz w:val="24"/>
                <w:szCs w:val="24"/>
                <w:highlight w:val="none"/>
              </w:rPr>
              <w:t>13</w:t>
            </w:r>
          </w:p>
        </w:tc>
        <w:tc>
          <w:tcPr>
            <w:tcW w:w="218" w:type="pct"/>
            <w:shd w:val="clear" w:color="auto" w:fill="auto"/>
            <w:vAlign w:val="center"/>
          </w:tcPr>
          <w:p w14:paraId="298E7CF9">
            <w:pPr>
              <w:rPr>
                <w:rFonts w:ascii="宋体" w:hAnsi="宋体" w:eastAsia="宋体" w:cs="宋体"/>
                <w:sz w:val="24"/>
                <w:szCs w:val="24"/>
                <w:highlight w:val="none"/>
              </w:rPr>
            </w:pPr>
            <w:r>
              <w:rPr>
                <w:rFonts w:hint="eastAsia" w:ascii="宋体" w:hAnsi="宋体" w:eastAsia="宋体" w:cs="宋体"/>
                <w:sz w:val="24"/>
                <w:szCs w:val="24"/>
                <w:highlight w:val="none"/>
              </w:rPr>
              <w:t>台</w:t>
            </w:r>
          </w:p>
        </w:tc>
        <w:tc>
          <w:tcPr>
            <w:tcW w:w="414" w:type="pct"/>
            <w:vAlign w:val="center"/>
          </w:tcPr>
          <w:p w14:paraId="6DB42759">
            <w:pPr>
              <w:rPr>
                <w:rFonts w:ascii="宋体" w:hAnsi="宋体" w:eastAsia="宋体" w:cs="宋体"/>
                <w:sz w:val="24"/>
                <w:szCs w:val="24"/>
                <w:highlight w:val="none"/>
              </w:rPr>
            </w:pPr>
            <w:r>
              <w:rPr>
                <w:rFonts w:hint="eastAsia" w:ascii="宋体" w:hAnsi="宋体" w:eastAsia="宋体" w:cs="宋体"/>
                <w:sz w:val="24"/>
                <w:szCs w:val="24"/>
                <w:highlight w:val="none"/>
              </w:rPr>
              <w:t>工业</w:t>
            </w:r>
          </w:p>
        </w:tc>
        <w:tc>
          <w:tcPr>
            <w:tcW w:w="261" w:type="pct"/>
            <w:vAlign w:val="center"/>
          </w:tcPr>
          <w:p w14:paraId="6A6D2A67">
            <w:pPr>
              <w:rPr>
                <w:rFonts w:ascii="宋体" w:hAnsi="宋体" w:eastAsia="宋体" w:cs="宋体"/>
                <w:sz w:val="24"/>
                <w:szCs w:val="24"/>
                <w:highlight w:val="none"/>
              </w:rPr>
            </w:pPr>
          </w:p>
        </w:tc>
      </w:tr>
      <w:tr w14:paraId="2BD24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 w:type="pct"/>
            <w:shd w:val="clear" w:color="auto" w:fill="auto"/>
            <w:vAlign w:val="center"/>
          </w:tcPr>
          <w:p w14:paraId="378F188A">
            <w:pPr>
              <w:widowControl/>
              <w:jc w:val="right"/>
              <w:textAlignment w:val="center"/>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5</w:t>
            </w:r>
          </w:p>
        </w:tc>
        <w:tc>
          <w:tcPr>
            <w:tcW w:w="427" w:type="pct"/>
            <w:shd w:val="clear" w:color="auto" w:fill="auto"/>
            <w:vAlign w:val="center"/>
          </w:tcPr>
          <w:p w14:paraId="5BC7D150">
            <w:pPr>
              <w:rPr>
                <w:rFonts w:ascii="宋体" w:hAnsi="宋体" w:eastAsia="宋体" w:cs="宋体"/>
                <w:sz w:val="24"/>
                <w:szCs w:val="24"/>
                <w:highlight w:val="none"/>
                <w:lang w:eastAsia="en-US"/>
              </w:rPr>
            </w:pPr>
            <w:r>
              <w:rPr>
                <w:rFonts w:hint="eastAsia" w:ascii="宋体" w:hAnsi="宋体" w:eastAsia="宋体" w:cs="宋体"/>
                <w:sz w:val="24"/>
                <w:szCs w:val="24"/>
                <w:highlight w:val="none"/>
                <w:lang w:eastAsia="en-US"/>
              </w:rPr>
              <w:t>千兆汇聚交换机</w:t>
            </w:r>
          </w:p>
        </w:tc>
        <w:tc>
          <w:tcPr>
            <w:tcW w:w="3036" w:type="pct"/>
            <w:shd w:val="clear" w:color="auto" w:fill="auto"/>
            <w:vAlign w:val="center"/>
          </w:tcPr>
          <w:p w14:paraId="6E6BC4CC">
            <w:pPr>
              <w:rPr>
                <w:rFonts w:ascii="宋体" w:hAnsi="宋体" w:eastAsia="宋体" w:cs="宋体"/>
                <w:sz w:val="24"/>
                <w:szCs w:val="24"/>
                <w:highlight w:val="none"/>
              </w:rPr>
            </w:pPr>
            <w:r>
              <w:rPr>
                <w:rFonts w:hint="eastAsia" w:ascii="宋体" w:hAnsi="宋体" w:eastAsia="宋体" w:cs="宋体"/>
                <w:sz w:val="24"/>
                <w:szCs w:val="24"/>
                <w:highlight w:val="none"/>
              </w:rPr>
              <w:t xml:space="preserve">1.交换容量≥336Gbps  </w:t>
            </w:r>
          </w:p>
          <w:p w14:paraId="018A9CC0">
            <w:pPr>
              <w:rPr>
                <w:rFonts w:ascii="宋体" w:hAnsi="宋体" w:eastAsia="宋体" w:cs="宋体"/>
                <w:sz w:val="24"/>
                <w:szCs w:val="24"/>
                <w:highlight w:val="none"/>
              </w:rPr>
            </w:pPr>
            <w:r>
              <w:rPr>
                <w:rFonts w:hint="eastAsia" w:ascii="宋体" w:hAnsi="宋体" w:eastAsia="宋体" w:cs="宋体"/>
                <w:sz w:val="24"/>
                <w:szCs w:val="24"/>
                <w:highlight w:val="none"/>
              </w:rPr>
              <w:t>2.包转发率≥126/144Mpps</w:t>
            </w:r>
          </w:p>
          <w:p w14:paraId="3495885C">
            <w:pPr>
              <w:rPr>
                <w:rFonts w:ascii="宋体" w:hAnsi="宋体" w:eastAsia="宋体" w:cs="宋体"/>
                <w:sz w:val="24"/>
                <w:szCs w:val="24"/>
                <w:highlight w:val="none"/>
              </w:rPr>
            </w:pPr>
            <w:r>
              <w:rPr>
                <w:rFonts w:hint="eastAsia" w:ascii="宋体" w:hAnsi="宋体" w:eastAsia="宋体" w:cs="宋体"/>
                <w:sz w:val="24"/>
                <w:szCs w:val="24"/>
                <w:highlight w:val="none"/>
              </w:rPr>
              <w:t>3.端口≥24个100/1000BASE-X SFP口,8个10/100/1000BASE-T电口,支持4个1/10G BASE-X SFP Plus光口，1个CONSOLE口，支持WEB、CLI等管理方式。</w:t>
            </w:r>
          </w:p>
          <w:p w14:paraId="2F8B253B">
            <w:pPr>
              <w:rPr>
                <w:rFonts w:ascii="宋体" w:hAnsi="宋体" w:eastAsia="宋体" w:cs="宋体"/>
                <w:sz w:val="24"/>
                <w:szCs w:val="24"/>
                <w:highlight w:val="none"/>
              </w:rPr>
            </w:pPr>
            <w:r>
              <w:rPr>
                <w:rFonts w:hint="eastAsia" w:ascii="宋体" w:hAnsi="宋体" w:eastAsia="宋体" w:cs="宋体"/>
                <w:sz w:val="24"/>
                <w:szCs w:val="24"/>
                <w:highlight w:val="none"/>
              </w:rPr>
              <w:t>4.VLAN：支持</w:t>
            </w:r>
          </w:p>
          <w:p w14:paraId="45366F0F">
            <w:pPr>
              <w:rPr>
                <w:rFonts w:ascii="宋体" w:hAnsi="宋体" w:eastAsia="宋体" w:cs="宋体"/>
                <w:sz w:val="24"/>
                <w:szCs w:val="24"/>
                <w:highlight w:val="none"/>
              </w:rPr>
            </w:pPr>
            <w:r>
              <w:rPr>
                <w:rFonts w:hint="eastAsia" w:ascii="宋体" w:hAnsi="宋体" w:eastAsia="宋体" w:cs="宋体"/>
                <w:sz w:val="24"/>
                <w:szCs w:val="24"/>
                <w:highlight w:val="none"/>
              </w:rPr>
              <w:t>5.链路聚合:支持GE端口聚合、静态聚合、支持跨设备聚合</w:t>
            </w:r>
          </w:p>
          <w:p w14:paraId="224AD987">
            <w:pPr>
              <w:rPr>
                <w:rFonts w:ascii="宋体" w:hAnsi="宋体" w:eastAsia="宋体" w:cs="宋体"/>
                <w:sz w:val="24"/>
                <w:szCs w:val="24"/>
                <w:highlight w:val="none"/>
              </w:rPr>
            </w:pPr>
            <w:r>
              <w:rPr>
                <w:rFonts w:hint="eastAsia" w:ascii="宋体" w:hAnsi="宋体" w:eastAsia="宋体" w:cs="宋体"/>
                <w:sz w:val="24"/>
                <w:szCs w:val="24"/>
                <w:highlight w:val="none"/>
              </w:rPr>
              <w:t>6.网管支持：支持WEB网管</w:t>
            </w:r>
          </w:p>
          <w:p w14:paraId="58BF4DE1">
            <w:pPr>
              <w:rPr>
                <w:rFonts w:ascii="宋体" w:hAnsi="宋体" w:eastAsia="宋体" w:cs="宋体"/>
                <w:sz w:val="24"/>
                <w:szCs w:val="24"/>
                <w:highlight w:val="none"/>
              </w:rPr>
            </w:pPr>
            <w:r>
              <w:rPr>
                <w:rFonts w:hint="eastAsia" w:ascii="宋体" w:hAnsi="宋体" w:eastAsia="宋体" w:cs="宋体"/>
                <w:sz w:val="24"/>
                <w:szCs w:val="24"/>
                <w:highlight w:val="none"/>
              </w:rPr>
              <w:t>7.支持用户分级管理和口令保护</w:t>
            </w:r>
          </w:p>
          <w:p w14:paraId="79AF43AF">
            <w:pPr>
              <w:rPr>
                <w:rFonts w:ascii="宋体" w:hAnsi="宋体" w:eastAsia="宋体" w:cs="宋体"/>
                <w:sz w:val="24"/>
                <w:szCs w:val="24"/>
                <w:highlight w:val="none"/>
              </w:rPr>
            </w:pPr>
            <w:r>
              <w:rPr>
                <w:rFonts w:hint="eastAsia" w:ascii="宋体" w:hAnsi="宋体" w:eastAsia="宋体" w:cs="宋体"/>
                <w:sz w:val="24"/>
                <w:szCs w:val="24"/>
                <w:highlight w:val="none"/>
              </w:rPr>
              <w:t>8.支持SSH2.0</w:t>
            </w:r>
          </w:p>
          <w:p w14:paraId="6725263D">
            <w:pPr>
              <w:rPr>
                <w:rFonts w:ascii="宋体" w:hAnsi="宋体" w:eastAsia="宋体" w:cs="宋体"/>
                <w:sz w:val="24"/>
                <w:szCs w:val="24"/>
                <w:highlight w:val="none"/>
              </w:rPr>
            </w:pPr>
            <w:r>
              <w:rPr>
                <w:rFonts w:hint="eastAsia" w:ascii="宋体" w:hAnsi="宋体" w:eastAsia="宋体" w:cs="宋体"/>
                <w:sz w:val="24"/>
                <w:szCs w:val="24"/>
                <w:highlight w:val="none"/>
              </w:rPr>
              <w:t>9.支持端口隔离</w:t>
            </w:r>
          </w:p>
          <w:p w14:paraId="5DF85F0B">
            <w:pPr>
              <w:rPr>
                <w:rFonts w:ascii="宋体" w:hAnsi="宋体" w:eastAsia="宋体" w:cs="宋体"/>
                <w:sz w:val="24"/>
                <w:szCs w:val="24"/>
                <w:highlight w:val="none"/>
              </w:rPr>
            </w:pPr>
            <w:r>
              <w:rPr>
                <w:rFonts w:hint="eastAsia" w:ascii="宋体" w:hAnsi="宋体" w:eastAsia="宋体" w:cs="宋体"/>
                <w:sz w:val="24"/>
                <w:szCs w:val="24"/>
                <w:highlight w:val="none"/>
              </w:rPr>
              <w:t>10.支持 802.1X</w:t>
            </w:r>
          </w:p>
          <w:p w14:paraId="5A71A932">
            <w:pPr>
              <w:rPr>
                <w:rFonts w:ascii="宋体" w:hAnsi="宋体" w:eastAsia="宋体" w:cs="宋体"/>
                <w:sz w:val="24"/>
                <w:szCs w:val="24"/>
                <w:highlight w:val="none"/>
              </w:rPr>
            </w:pPr>
            <w:r>
              <w:rPr>
                <w:rFonts w:hint="eastAsia" w:ascii="宋体" w:hAnsi="宋体" w:eastAsia="宋体" w:cs="宋体"/>
                <w:sz w:val="24"/>
                <w:szCs w:val="24"/>
                <w:highlight w:val="none"/>
              </w:rPr>
              <w:t>11.支持端口安全</w:t>
            </w:r>
          </w:p>
        </w:tc>
        <w:tc>
          <w:tcPr>
            <w:tcW w:w="380" w:type="pct"/>
            <w:shd w:val="clear" w:color="auto" w:fill="auto"/>
            <w:vAlign w:val="center"/>
          </w:tcPr>
          <w:p w14:paraId="23C923C9">
            <w:pPr>
              <w:rPr>
                <w:rFonts w:ascii="宋体" w:hAnsi="宋体" w:eastAsia="宋体" w:cs="宋体"/>
                <w:sz w:val="24"/>
                <w:szCs w:val="24"/>
                <w:highlight w:val="none"/>
              </w:rPr>
            </w:pPr>
            <w:r>
              <w:rPr>
                <w:rFonts w:hint="eastAsia" w:ascii="宋体" w:hAnsi="宋体" w:eastAsia="宋体" w:cs="宋体"/>
                <w:sz w:val="24"/>
                <w:szCs w:val="24"/>
                <w:highlight w:val="none"/>
              </w:rPr>
              <w:t>1</w:t>
            </w:r>
          </w:p>
        </w:tc>
        <w:tc>
          <w:tcPr>
            <w:tcW w:w="218" w:type="pct"/>
            <w:shd w:val="clear" w:color="auto" w:fill="auto"/>
            <w:vAlign w:val="center"/>
          </w:tcPr>
          <w:p w14:paraId="4FBC0680">
            <w:pPr>
              <w:rPr>
                <w:rFonts w:ascii="宋体" w:hAnsi="宋体" w:eastAsia="宋体" w:cs="宋体"/>
                <w:sz w:val="24"/>
                <w:szCs w:val="24"/>
                <w:highlight w:val="none"/>
              </w:rPr>
            </w:pPr>
            <w:r>
              <w:rPr>
                <w:rFonts w:hint="eastAsia" w:ascii="宋体" w:hAnsi="宋体" w:eastAsia="宋体" w:cs="宋体"/>
                <w:sz w:val="24"/>
                <w:szCs w:val="24"/>
                <w:highlight w:val="none"/>
              </w:rPr>
              <w:t>台</w:t>
            </w:r>
          </w:p>
        </w:tc>
        <w:tc>
          <w:tcPr>
            <w:tcW w:w="414" w:type="pct"/>
            <w:vAlign w:val="center"/>
          </w:tcPr>
          <w:p w14:paraId="70478240">
            <w:pPr>
              <w:rPr>
                <w:rFonts w:ascii="宋体" w:hAnsi="宋体" w:eastAsia="宋体" w:cs="宋体"/>
                <w:sz w:val="24"/>
                <w:szCs w:val="24"/>
                <w:highlight w:val="none"/>
              </w:rPr>
            </w:pPr>
            <w:r>
              <w:rPr>
                <w:rFonts w:hint="eastAsia" w:ascii="宋体" w:hAnsi="宋体" w:eastAsia="宋体" w:cs="宋体"/>
                <w:sz w:val="24"/>
                <w:szCs w:val="24"/>
                <w:highlight w:val="none"/>
              </w:rPr>
              <w:t>工业</w:t>
            </w:r>
          </w:p>
        </w:tc>
        <w:tc>
          <w:tcPr>
            <w:tcW w:w="261" w:type="pct"/>
            <w:vAlign w:val="center"/>
          </w:tcPr>
          <w:p w14:paraId="6BE187AF">
            <w:pPr>
              <w:rPr>
                <w:rFonts w:ascii="宋体" w:hAnsi="宋体" w:eastAsia="宋体" w:cs="宋体"/>
                <w:sz w:val="24"/>
                <w:szCs w:val="24"/>
                <w:highlight w:val="none"/>
              </w:rPr>
            </w:pPr>
          </w:p>
        </w:tc>
      </w:tr>
      <w:tr w14:paraId="41B57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261" w:type="pct"/>
            <w:shd w:val="clear" w:color="auto" w:fill="auto"/>
            <w:vAlign w:val="center"/>
          </w:tcPr>
          <w:p w14:paraId="110961A9">
            <w:pPr>
              <w:widowControl/>
              <w:jc w:val="right"/>
              <w:textAlignment w:val="center"/>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6</w:t>
            </w:r>
          </w:p>
        </w:tc>
        <w:tc>
          <w:tcPr>
            <w:tcW w:w="427" w:type="pct"/>
            <w:shd w:val="clear" w:color="auto" w:fill="auto"/>
            <w:vAlign w:val="center"/>
          </w:tcPr>
          <w:p w14:paraId="41252AA6">
            <w:pPr>
              <w:rPr>
                <w:rFonts w:ascii="宋体" w:hAnsi="宋体" w:eastAsia="宋体" w:cs="宋体"/>
                <w:sz w:val="24"/>
                <w:szCs w:val="24"/>
                <w:highlight w:val="none"/>
                <w:lang w:eastAsia="en-US"/>
              </w:rPr>
            </w:pPr>
            <w:r>
              <w:rPr>
                <w:rFonts w:hint="eastAsia" w:ascii="宋体" w:hAnsi="宋体" w:eastAsia="宋体" w:cs="宋体"/>
                <w:sz w:val="24"/>
                <w:szCs w:val="24"/>
                <w:highlight w:val="none"/>
              </w:rPr>
              <w:t>用户信息传输装置</w:t>
            </w:r>
          </w:p>
        </w:tc>
        <w:tc>
          <w:tcPr>
            <w:tcW w:w="3036" w:type="pct"/>
            <w:shd w:val="clear" w:color="auto" w:fill="auto"/>
            <w:vAlign w:val="center"/>
          </w:tcPr>
          <w:p w14:paraId="001213CB">
            <w:pPr>
              <w:rPr>
                <w:rFonts w:ascii="宋体" w:hAnsi="宋体" w:eastAsia="宋体" w:cs="宋体"/>
                <w:sz w:val="24"/>
                <w:szCs w:val="24"/>
                <w:highlight w:val="none"/>
              </w:rPr>
            </w:pPr>
            <w:r>
              <w:rPr>
                <w:rFonts w:hint="eastAsia" w:ascii="宋体" w:hAnsi="宋体" w:eastAsia="宋体" w:cs="宋体"/>
                <w:sz w:val="24"/>
                <w:szCs w:val="24"/>
                <w:highlight w:val="none"/>
              </w:rPr>
              <w:t>★1.设备不少于2路RS232，2路485，1路CAN通信口，1路RJ45口，2路开关量输出，1路开关量输入。设备通过增加输入输出模块，可拓展不少于5路开关量输入和2路5V电源输出接口；通过增加串口模块，可拓展至不少于4路RS232和4路RS485接口。（</w:t>
            </w:r>
            <w:r>
              <w:rPr>
                <w:rFonts w:hint="eastAsia" w:ascii="宋体" w:hAnsi="宋体" w:eastAsia="宋体" w:cs="宋体"/>
                <w:b/>
                <w:bCs/>
                <w:sz w:val="24"/>
                <w:szCs w:val="24"/>
                <w:highlight w:val="none"/>
              </w:rPr>
              <w:t>须提供具有CMA或CNAS标识的第三方有权机构出具的检验报告扫描件或影印件</w:t>
            </w:r>
            <w:r>
              <w:rPr>
                <w:rFonts w:hint="eastAsia" w:ascii="宋体" w:hAnsi="宋体" w:eastAsia="宋体" w:cs="宋体"/>
                <w:sz w:val="24"/>
                <w:szCs w:val="24"/>
                <w:highlight w:val="none"/>
              </w:rPr>
              <w:t>）</w:t>
            </w:r>
          </w:p>
          <w:p w14:paraId="68B52D9A">
            <w:pPr>
              <w:rPr>
                <w:rFonts w:ascii="宋体" w:hAnsi="宋体" w:eastAsia="宋体" w:cs="宋体"/>
                <w:sz w:val="24"/>
                <w:szCs w:val="24"/>
                <w:highlight w:val="none"/>
              </w:rPr>
            </w:pPr>
            <w:r>
              <w:rPr>
                <w:rFonts w:hint="eastAsia" w:ascii="宋体" w:hAnsi="宋体" w:eastAsia="宋体" w:cs="宋体"/>
                <w:sz w:val="24"/>
                <w:szCs w:val="24"/>
                <w:highlight w:val="none"/>
              </w:rPr>
              <w:t>2.手动报警：具有手动火警按钮，可以向管理平台上传人工火灾报警信息 ；</w:t>
            </w:r>
          </w:p>
          <w:p w14:paraId="083E2E4A">
            <w:pPr>
              <w:rPr>
                <w:rFonts w:ascii="宋体" w:hAnsi="宋体" w:eastAsia="宋体" w:cs="宋体"/>
                <w:sz w:val="24"/>
                <w:szCs w:val="24"/>
                <w:highlight w:val="none"/>
              </w:rPr>
            </w:pPr>
            <w:r>
              <w:rPr>
                <w:rFonts w:hint="eastAsia" w:ascii="宋体" w:hAnsi="宋体" w:eastAsia="宋体" w:cs="宋体"/>
                <w:sz w:val="24"/>
                <w:szCs w:val="24"/>
                <w:highlight w:val="none"/>
              </w:rPr>
              <w:t>3.断网续传：网络断网恢复后，接续上传断网期间的数据；</w:t>
            </w:r>
          </w:p>
          <w:p w14:paraId="58928CD0">
            <w:pPr>
              <w:rPr>
                <w:rFonts w:ascii="宋体" w:hAnsi="宋体" w:eastAsia="宋体" w:cs="宋体"/>
                <w:sz w:val="24"/>
                <w:szCs w:val="24"/>
                <w:highlight w:val="none"/>
              </w:rPr>
            </w:pPr>
            <w:r>
              <w:rPr>
                <w:rFonts w:hint="eastAsia" w:ascii="宋体" w:hAnsi="宋体" w:eastAsia="宋体" w:cs="宋体"/>
                <w:sz w:val="24"/>
                <w:szCs w:val="24"/>
                <w:highlight w:val="none"/>
              </w:rPr>
              <w:t>4.值班查岗：支持值班查岗功能；</w:t>
            </w:r>
          </w:p>
          <w:p w14:paraId="688DA562">
            <w:pPr>
              <w:rPr>
                <w:rFonts w:ascii="宋体" w:hAnsi="宋体" w:eastAsia="宋体" w:cs="宋体"/>
                <w:sz w:val="24"/>
                <w:szCs w:val="24"/>
                <w:highlight w:val="none"/>
              </w:rPr>
            </w:pPr>
            <w:r>
              <w:rPr>
                <w:rFonts w:hint="eastAsia" w:ascii="宋体" w:hAnsi="宋体" w:eastAsia="宋体" w:cs="宋体"/>
                <w:sz w:val="24"/>
                <w:szCs w:val="24"/>
                <w:highlight w:val="none"/>
              </w:rPr>
              <w:t>★5.主机与消防报警主机通讯延迟不大于1秒，主机与软件平台通讯延迟不大于1秒。（</w:t>
            </w:r>
            <w:r>
              <w:rPr>
                <w:rFonts w:hint="eastAsia" w:ascii="宋体" w:hAnsi="宋体" w:eastAsia="宋体" w:cs="宋体"/>
                <w:b/>
                <w:bCs/>
                <w:sz w:val="24"/>
                <w:szCs w:val="24"/>
                <w:highlight w:val="none"/>
              </w:rPr>
              <w:t>须提供具有CMA或CNAS标识的第三方有权机构出具的检验报告扫描件或影印件</w:t>
            </w:r>
            <w:r>
              <w:rPr>
                <w:rFonts w:hint="eastAsia" w:ascii="宋体" w:hAnsi="宋体" w:eastAsia="宋体" w:cs="宋体"/>
                <w:sz w:val="24"/>
                <w:szCs w:val="24"/>
                <w:highlight w:val="none"/>
              </w:rPr>
              <w:t>）</w:t>
            </w:r>
          </w:p>
          <w:p w14:paraId="2BFB2FBB">
            <w:pPr>
              <w:rPr>
                <w:rFonts w:ascii="宋体" w:hAnsi="宋体" w:eastAsia="宋体" w:cs="宋体"/>
                <w:sz w:val="24"/>
                <w:szCs w:val="24"/>
                <w:highlight w:val="none"/>
              </w:rPr>
            </w:pPr>
            <w:r>
              <w:rPr>
                <w:rFonts w:hint="eastAsia" w:ascii="宋体" w:hAnsi="宋体" w:eastAsia="宋体" w:cs="宋体"/>
                <w:sz w:val="24"/>
                <w:szCs w:val="24"/>
                <w:highlight w:val="none"/>
              </w:rPr>
              <w:t>6.不少于1个以太网接口，能够对目标 IP，目标机号，本机机号设置；</w:t>
            </w:r>
          </w:p>
          <w:p w14:paraId="57408113">
            <w:pPr>
              <w:rPr>
                <w:rFonts w:ascii="宋体" w:hAnsi="宋体" w:eastAsia="宋体" w:cs="宋体"/>
                <w:sz w:val="24"/>
                <w:szCs w:val="24"/>
                <w:highlight w:val="none"/>
              </w:rPr>
            </w:pPr>
            <w:r>
              <w:rPr>
                <w:rFonts w:hint="eastAsia" w:ascii="宋体" w:hAnsi="宋体" w:eastAsia="宋体" w:cs="宋体"/>
                <w:sz w:val="24"/>
                <w:szCs w:val="24"/>
                <w:highlight w:val="none"/>
              </w:rPr>
              <w:t>7.支持查找历史记录：历史火警、历史请求/反馈、历史故障、历史操作各 1000 条。</w:t>
            </w:r>
          </w:p>
          <w:p w14:paraId="1DA0E4C9">
            <w:pPr>
              <w:rPr>
                <w:rFonts w:ascii="宋体" w:hAnsi="宋体" w:eastAsia="宋体" w:cs="宋体"/>
                <w:sz w:val="24"/>
                <w:szCs w:val="24"/>
                <w:highlight w:val="none"/>
              </w:rPr>
            </w:pPr>
            <w:r>
              <w:rPr>
                <w:rFonts w:hint="eastAsia" w:ascii="宋体" w:hAnsi="宋体" w:eastAsia="宋体" w:cs="宋体"/>
                <w:sz w:val="24"/>
                <w:szCs w:val="24"/>
                <w:highlight w:val="none"/>
              </w:rPr>
              <w:t>8.提供液晶显示（不低于128x64），提供实时时钟；</w:t>
            </w:r>
          </w:p>
          <w:p w14:paraId="5994F08B">
            <w:pPr>
              <w:rPr>
                <w:rFonts w:ascii="宋体" w:hAnsi="宋体" w:eastAsia="宋体" w:cs="宋体"/>
                <w:sz w:val="24"/>
                <w:szCs w:val="24"/>
                <w:highlight w:val="none"/>
              </w:rPr>
            </w:pPr>
            <w:r>
              <w:rPr>
                <w:rFonts w:hint="eastAsia" w:ascii="宋体" w:hAnsi="宋体" w:eastAsia="宋体" w:cs="宋体"/>
                <w:sz w:val="24"/>
                <w:szCs w:val="24"/>
                <w:highlight w:val="none"/>
              </w:rPr>
              <w:t>9.蓄电池备用供电（待机 24 小时以上）</w:t>
            </w:r>
          </w:p>
          <w:p w14:paraId="461FA5A6">
            <w:pPr>
              <w:rPr>
                <w:rFonts w:ascii="宋体" w:hAnsi="宋体" w:eastAsia="宋体" w:cs="宋体"/>
                <w:sz w:val="24"/>
                <w:szCs w:val="24"/>
                <w:highlight w:val="none"/>
              </w:rPr>
            </w:pPr>
            <w:r>
              <w:rPr>
                <w:rFonts w:hint="eastAsia" w:ascii="宋体" w:hAnsi="宋体" w:eastAsia="宋体" w:cs="宋体"/>
                <w:sz w:val="24"/>
                <w:szCs w:val="24"/>
                <w:highlight w:val="none"/>
              </w:rPr>
              <w:t>10.直流备电不低于12V 7Ah 铅酸电池一节</w:t>
            </w:r>
          </w:p>
        </w:tc>
        <w:tc>
          <w:tcPr>
            <w:tcW w:w="380" w:type="pct"/>
            <w:shd w:val="clear" w:color="auto" w:fill="auto"/>
            <w:vAlign w:val="center"/>
          </w:tcPr>
          <w:p w14:paraId="4141526A">
            <w:pPr>
              <w:rPr>
                <w:rFonts w:ascii="宋体" w:hAnsi="宋体" w:eastAsia="宋体" w:cs="宋体"/>
                <w:sz w:val="24"/>
                <w:szCs w:val="24"/>
                <w:highlight w:val="none"/>
              </w:rPr>
            </w:pPr>
            <w:r>
              <w:rPr>
                <w:rFonts w:hint="eastAsia" w:ascii="宋体" w:hAnsi="宋体" w:eastAsia="宋体" w:cs="宋体"/>
                <w:sz w:val="24"/>
                <w:szCs w:val="24"/>
                <w:highlight w:val="none"/>
              </w:rPr>
              <w:t>5</w:t>
            </w:r>
          </w:p>
        </w:tc>
        <w:tc>
          <w:tcPr>
            <w:tcW w:w="218" w:type="pct"/>
            <w:shd w:val="clear" w:color="auto" w:fill="auto"/>
            <w:vAlign w:val="center"/>
          </w:tcPr>
          <w:p w14:paraId="22785358">
            <w:pPr>
              <w:rPr>
                <w:rFonts w:ascii="宋体" w:hAnsi="宋体" w:eastAsia="宋体" w:cs="宋体"/>
                <w:sz w:val="24"/>
                <w:szCs w:val="24"/>
                <w:highlight w:val="none"/>
              </w:rPr>
            </w:pPr>
            <w:r>
              <w:rPr>
                <w:rFonts w:hint="eastAsia" w:ascii="宋体" w:hAnsi="宋体" w:eastAsia="宋体" w:cs="宋体"/>
                <w:sz w:val="24"/>
                <w:szCs w:val="24"/>
                <w:highlight w:val="none"/>
              </w:rPr>
              <w:t>台</w:t>
            </w:r>
          </w:p>
        </w:tc>
        <w:tc>
          <w:tcPr>
            <w:tcW w:w="414" w:type="pct"/>
            <w:vAlign w:val="center"/>
          </w:tcPr>
          <w:p w14:paraId="2D9CC79E">
            <w:pPr>
              <w:rPr>
                <w:rFonts w:ascii="宋体" w:hAnsi="宋体" w:eastAsia="宋体" w:cs="宋体"/>
                <w:sz w:val="24"/>
                <w:szCs w:val="24"/>
                <w:highlight w:val="none"/>
              </w:rPr>
            </w:pPr>
            <w:r>
              <w:rPr>
                <w:rFonts w:hint="eastAsia" w:ascii="宋体" w:hAnsi="宋体" w:eastAsia="宋体" w:cs="宋体"/>
                <w:sz w:val="24"/>
                <w:szCs w:val="24"/>
                <w:highlight w:val="none"/>
              </w:rPr>
              <w:t>工业</w:t>
            </w:r>
          </w:p>
        </w:tc>
        <w:tc>
          <w:tcPr>
            <w:tcW w:w="261" w:type="pct"/>
            <w:vAlign w:val="center"/>
          </w:tcPr>
          <w:p w14:paraId="69ED24A3">
            <w:pPr>
              <w:rPr>
                <w:rFonts w:ascii="宋体" w:hAnsi="宋体" w:eastAsia="宋体" w:cs="宋体"/>
                <w:sz w:val="24"/>
                <w:szCs w:val="24"/>
                <w:highlight w:val="none"/>
              </w:rPr>
            </w:pPr>
          </w:p>
        </w:tc>
      </w:tr>
      <w:tr w14:paraId="440CD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 w:type="pct"/>
            <w:shd w:val="clear" w:color="auto" w:fill="auto"/>
            <w:vAlign w:val="center"/>
          </w:tcPr>
          <w:p w14:paraId="62F3145D">
            <w:pPr>
              <w:widowControl/>
              <w:jc w:val="right"/>
              <w:textAlignment w:val="center"/>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7</w:t>
            </w:r>
          </w:p>
        </w:tc>
        <w:tc>
          <w:tcPr>
            <w:tcW w:w="427" w:type="pct"/>
            <w:shd w:val="clear" w:color="auto" w:fill="auto"/>
            <w:vAlign w:val="center"/>
          </w:tcPr>
          <w:p w14:paraId="5CCB5E13">
            <w:pPr>
              <w:rPr>
                <w:rFonts w:ascii="宋体" w:hAnsi="宋体" w:eastAsia="宋体" w:cs="宋体"/>
                <w:sz w:val="24"/>
                <w:szCs w:val="24"/>
                <w:highlight w:val="none"/>
              </w:rPr>
            </w:pPr>
            <w:r>
              <w:rPr>
                <w:rFonts w:hint="eastAsia" w:ascii="宋体" w:hAnsi="宋体" w:eastAsia="宋体" w:cs="宋体"/>
                <w:sz w:val="24"/>
                <w:szCs w:val="24"/>
                <w:highlight w:val="none"/>
              </w:rPr>
              <w:t>总线短路隔离器</w:t>
            </w:r>
          </w:p>
        </w:tc>
        <w:tc>
          <w:tcPr>
            <w:tcW w:w="3036" w:type="pct"/>
            <w:shd w:val="clear" w:color="auto" w:fill="auto"/>
            <w:vAlign w:val="center"/>
          </w:tcPr>
          <w:p w14:paraId="6675757E">
            <w:pPr>
              <w:rPr>
                <w:rFonts w:ascii="宋体" w:hAnsi="宋体" w:eastAsia="宋体" w:cs="宋体"/>
                <w:sz w:val="24"/>
                <w:szCs w:val="24"/>
                <w:highlight w:val="none"/>
              </w:rPr>
            </w:pPr>
            <w:r>
              <w:rPr>
                <w:rFonts w:hint="eastAsia" w:ascii="宋体" w:hAnsi="宋体" w:eastAsia="宋体" w:cs="宋体"/>
                <w:sz w:val="24"/>
                <w:szCs w:val="24"/>
                <w:highlight w:val="none"/>
              </w:rPr>
              <w:t>非编码型，自恢复型，每只隔离模块后配接总线设备≤32只</w:t>
            </w:r>
          </w:p>
        </w:tc>
        <w:tc>
          <w:tcPr>
            <w:tcW w:w="380" w:type="pct"/>
            <w:shd w:val="clear" w:color="auto" w:fill="auto"/>
            <w:vAlign w:val="center"/>
          </w:tcPr>
          <w:p w14:paraId="37972AEC">
            <w:pPr>
              <w:rPr>
                <w:rFonts w:ascii="宋体" w:hAnsi="宋体" w:eastAsia="宋体" w:cs="宋体"/>
                <w:sz w:val="24"/>
                <w:szCs w:val="24"/>
                <w:highlight w:val="none"/>
              </w:rPr>
            </w:pPr>
            <w:r>
              <w:rPr>
                <w:rFonts w:hint="eastAsia" w:ascii="宋体" w:hAnsi="宋体" w:eastAsia="宋体" w:cs="宋体"/>
                <w:sz w:val="24"/>
                <w:szCs w:val="24"/>
                <w:highlight w:val="none"/>
              </w:rPr>
              <w:t>204</w:t>
            </w:r>
          </w:p>
        </w:tc>
        <w:tc>
          <w:tcPr>
            <w:tcW w:w="218" w:type="pct"/>
            <w:shd w:val="clear" w:color="auto" w:fill="auto"/>
            <w:vAlign w:val="center"/>
          </w:tcPr>
          <w:p w14:paraId="23064C0B">
            <w:pPr>
              <w:rPr>
                <w:rFonts w:ascii="宋体" w:hAnsi="宋体" w:eastAsia="宋体" w:cs="宋体"/>
                <w:sz w:val="24"/>
                <w:szCs w:val="24"/>
                <w:highlight w:val="none"/>
              </w:rPr>
            </w:pPr>
            <w:r>
              <w:rPr>
                <w:rFonts w:hint="eastAsia" w:ascii="宋体" w:hAnsi="宋体" w:eastAsia="宋体" w:cs="宋体"/>
                <w:sz w:val="24"/>
                <w:szCs w:val="24"/>
                <w:highlight w:val="none"/>
              </w:rPr>
              <w:t>台</w:t>
            </w:r>
          </w:p>
        </w:tc>
        <w:tc>
          <w:tcPr>
            <w:tcW w:w="414" w:type="pct"/>
            <w:vAlign w:val="center"/>
          </w:tcPr>
          <w:p w14:paraId="1EBD0FF9">
            <w:pPr>
              <w:rPr>
                <w:rFonts w:ascii="宋体" w:hAnsi="宋体" w:eastAsia="宋体" w:cs="宋体"/>
                <w:sz w:val="24"/>
                <w:szCs w:val="24"/>
                <w:highlight w:val="none"/>
              </w:rPr>
            </w:pPr>
            <w:r>
              <w:rPr>
                <w:rFonts w:hint="eastAsia" w:ascii="宋体" w:hAnsi="宋体" w:eastAsia="宋体" w:cs="宋体"/>
                <w:sz w:val="24"/>
                <w:szCs w:val="24"/>
                <w:highlight w:val="none"/>
              </w:rPr>
              <w:t>工业</w:t>
            </w:r>
          </w:p>
        </w:tc>
        <w:tc>
          <w:tcPr>
            <w:tcW w:w="261" w:type="pct"/>
            <w:vAlign w:val="center"/>
          </w:tcPr>
          <w:p w14:paraId="260D2FD8">
            <w:pPr>
              <w:rPr>
                <w:rFonts w:ascii="宋体" w:hAnsi="宋体" w:eastAsia="宋体" w:cs="宋体"/>
                <w:sz w:val="24"/>
                <w:szCs w:val="24"/>
                <w:highlight w:val="none"/>
              </w:rPr>
            </w:pPr>
          </w:p>
        </w:tc>
      </w:tr>
      <w:tr w14:paraId="7C089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 w:type="pct"/>
            <w:shd w:val="clear" w:color="auto" w:fill="auto"/>
            <w:vAlign w:val="center"/>
          </w:tcPr>
          <w:p w14:paraId="50DC87F4">
            <w:pPr>
              <w:widowControl/>
              <w:jc w:val="right"/>
              <w:textAlignment w:val="center"/>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8</w:t>
            </w:r>
          </w:p>
        </w:tc>
        <w:tc>
          <w:tcPr>
            <w:tcW w:w="427" w:type="pct"/>
            <w:shd w:val="clear" w:color="auto" w:fill="auto"/>
            <w:vAlign w:val="center"/>
          </w:tcPr>
          <w:p w14:paraId="5C37DF10">
            <w:pPr>
              <w:rPr>
                <w:rFonts w:ascii="宋体" w:hAnsi="宋体" w:eastAsia="宋体" w:cs="宋体"/>
                <w:sz w:val="24"/>
                <w:szCs w:val="24"/>
                <w:highlight w:val="none"/>
              </w:rPr>
            </w:pPr>
            <w:r>
              <w:rPr>
                <w:rFonts w:hint="eastAsia" w:ascii="宋体" w:hAnsi="宋体" w:eastAsia="宋体" w:cs="宋体"/>
                <w:sz w:val="24"/>
                <w:szCs w:val="24"/>
                <w:highlight w:val="none"/>
              </w:rPr>
              <w:t>电子编码器</w:t>
            </w:r>
          </w:p>
        </w:tc>
        <w:tc>
          <w:tcPr>
            <w:tcW w:w="3036" w:type="pct"/>
            <w:shd w:val="clear" w:color="auto" w:fill="auto"/>
            <w:vAlign w:val="center"/>
          </w:tcPr>
          <w:p w14:paraId="1EBF52BD">
            <w:pPr>
              <w:rPr>
                <w:rFonts w:ascii="宋体" w:hAnsi="宋体" w:eastAsia="宋体" w:cs="宋体"/>
                <w:sz w:val="24"/>
                <w:szCs w:val="24"/>
                <w:highlight w:val="none"/>
              </w:rPr>
            </w:pPr>
            <w:r>
              <w:rPr>
                <w:rFonts w:hint="eastAsia" w:ascii="宋体" w:hAnsi="宋体" w:eastAsia="宋体" w:cs="宋体"/>
                <w:sz w:val="24"/>
                <w:szCs w:val="24"/>
                <w:highlight w:val="none"/>
              </w:rPr>
              <w:t>支持4节AA电池供电和Type-C供电，支持手动、自动写入模式，编码范围：1～250，可通过Type-C口升级程序。具有读&amp;写、注册、电阻检测、CPT升级功能</w:t>
            </w:r>
          </w:p>
        </w:tc>
        <w:tc>
          <w:tcPr>
            <w:tcW w:w="380" w:type="pct"/>
            <w:shd w:val="clear" w:color="auto" w:fill="auto"/>
            <w:vAlign w:val="center"/>
          </w:tcPr>
          <w:p w14:paraId="69A35C62">
            <w:pPr>
              <w:rPr>
                <w:rFonts w:ascii="宋体" w:hAnsi="宋体" w:eastAsia="宋体" w:cs="宋体"/>
                <w:sz w:val="24"/>
                <w:szCs w:val="24"/>
                <w:highlight w:val="none"/>
              </w:rPr>
            </w:pPr>
            <w:r>
              <w:rPr>
                <w:rFonts w:hint="eastAsia" w:ascii="宋体" w:hAnsi="宋体" w:eastAsia="宋体" w:cs="宋体"/>
                <w:sz w:val="24"/>
                <w:szCs w:val="24"/>
                <w:highlight w:val="none"/>
              </w:rPr>
              <w:t>4</w:t>
            </w:r>
          </w:p>
        </w:tc>
        <w:tc>
          <w:tcPr>
            <w:tcW w:w="218" w:type="pct"/>
            <w:shd w:val="clear" w:color="auto" w:fill="auto"/>
            <w:vAlign w:val="center"/>
          </w:tcPr>
          <w:p w14:paraId="44EA04DB">
            <w:pPr>
              <w:rPr>
                <w:rFonts w:ascii="宋体" w:hAnsi="宋体" w:eastAsia="宋体" w:cs="宋体"/>
                <w:sz w:val="24"/>
                <w:szCs w:val="24"/>
                <w:highlight w:val="none"/>
              </w:rPr>
            </w:pPr>
            <w:r>
              <w:rPr>
                <w:rFonts w:hint="eastAsia" w:ascii="宋体" w:hAnsi="宋体" w:eastAsia="宋体" w:cs="宋体"/>
                <w:sz w:val="24"/>
                <w:szCs w:val="24"/>
                <w:highlight w:val="none"/>
              </w:rPr>
              <w:t>台</w:t>
            </w:r>
          </w:p>
        </w:tc>
        <w:tc>
          <w:tcPr>
            <w:tcW w:w="414" w:type="pct"/>
            <w:vAlign w:val="center"/>
          </w:tcPr>
          <w:p w14:paraId="634880BB">
            <w:pPr>
              <w:rPr>
                <w:rFonts w:ascii="宋体" w:hAnsi="宋体" w:eastAsia="宋体" w:cs="宋体"/>
                <w:sz w:val="24"/>
                <w:szCs w:val="24"/>
                <w:highlight w:val="none"/>
              </w:rPr>
            </w:pPr>
            <w:r>
              <w:rPr>
                <w:rFonts w:hint="eastAsia" w:ascii="宋体" w:hAnsi="宋体" w:eastAsia="宋体" w:cs="宋体"/>
                <w:sz w:val="24"/>
                <w:szCs w:val="24"/>
                <w:highlight w:val="none"/>
              </w:rPr>
              <w:t>工业</w:t>
            </w:r>
          </w:p>
        </w:tc>
        <w:tc>
          <w:tcPr>
            <w:tcW w:w="261" w:type="pct"/>
            <w:vAlign w:val="center"/>
          </w:tcPr>
          <w:p w14:paraId="663D3305">
            <w:pPr>
              <w:rPr>
                <w:rFonts w:ascii="宋体" w:hAnsi="宋体" w:eastAsia="宋体" w:cs="宋体"/>
                <w:sz w:val="24"/>
                <w:szCs w:val="24"/>
                <w:highlight w:val="none"/>
              </w:rPr>
            </w:pPr>
          </w:p>
        </w:tc>
      </w:tr>
      <w:tr w14:paraId="61A32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 w:type="pct"/>
            <w:shd w:val="clear" w:color="auto" w:fill="auto"/>
            <w:vAlign w:val="center"/>
          </w:tcPr>
          <w:p w14:paraId="43E531F9">
            <w:pPr>
              <w:widowControl/>
              <w:jc w:val="right"/>
              <w:textAlignment w:val="center"/>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9</w:t>
            </w:r>
          </w:p>
        </w:tc>
        <w:tc>
          <w:tcPr>
            <w:tcW w:w="427" w:type="pct"/>
            <w:shd w:val="clear" w:color="auto" w:fill="auto"/>
            <w:vAlign w:val="center"/>
          </w:tcPr>
          <w:p w14:paraId="51C9881C">
            <w:pPr>
              <w:rPr>
                <w:rFonts w:ascii="宋体" w:hAnsi="宋体" w:eastAsia="宋体" w:cs="宋体"/>
                <w:sz w:val="24"/>
                <w:szCs w:val="24"/>
                <w:highlight w:val="none"/>
                <w:lang w:eastAsia="en-US"/>
              </w:rPr>
            </w:pPr>
            <w:r>
              <w:rPr>
                <w:rFonts w:hint="eastAsia" w:ascii="宋体" w:hAnsi="宋体" w:eastAsia="宋体" w:cs="宋体"/>
                <w:sz w:val="24"/>
                <w:szCs w:val="24"/>
                <w:highlight w:val="none"/>
              </w:rPr>
              <w:t>联动模块箱</w:t>
            </w:r>
          </w:p>
        </w:tc>
        <w:tc>
          <w:tcPr>
            <w:tcW w:w="3036" w:type="pct"/>
            <w:shd w:val="clear" w:color="auto" w:fill="auto"/>
            <w:vAlign w:val="center"/>
          </w:tcPr>
          <w:p w14:paraId="4D28F966">
            <w:pPr>
              <w:rPr>
                <w:rFonts w:ascii="宋体" w:hAnsi="宋体" w:eastAsia="宋体" w:cs="宋体"/>
                <w:sz w:val="24"/>
                <w:szCs w:val="24"/>
                <w:highlight w:val="none"/>
              </w:rPr>
            </w:pPr>
            <w:r>
              <w:rPr>
                <w:rFonts w:hint="eastAsia" w:ascii="宋体" w:hAnsi="宋体" w:eastAsia="宋体" w:cs="宋体"/>
                <w:sz w:val="24"/>
                <w:szCs w:val="24"/>
                <w:highlight w:val="none"/>
              </w:rPr>
              <w:t>20位接线端子，可安装≥4个模块</w:t>
            </w:r>
          </w:p>
        </w:tc>
        <w:tc>
          <w:tcPr>
            <w:tcW w:w="380" w:type="pct"/>
            <w:shd w:val="clear" w:color="auto" w:fill="auto"/>
            <w:vAlign w:val="center"/>
          </w:tcPr>
          <w:p w14:paraId="775135BE">
            <w:pPr>
              <w:rPr>
                <w:rFonts w:ascii="宋体" w:hAnsi="宋体" w:eastAsia="宋体" w:cs="宋体"/>
                <w:sz w:val="24"/>
                <w:szCs w:val="24"/>
                <w:highlight w:val="none"/>
              </w:rPr>
            </w:pPr>
            <w:r>
              <w:rPr>
                <w:rFonts w:hint="eastAsia" w:ascii="宋体" w:hAnsi="宋体" w:eastAsia="宋体" w:cs="宋体"/>
                <w:sz w:val="24"/>
                <w:szCs w:val="24"/>
                <w:highlight w:val="none"/>
              </w:rPr>
              <w:t>204</w:t>
            </w:r>
          </w:p>
        </w:tc>
        <w:tc>
          <w:tcPr>
            <w:tcW w:w="218" w:type="pct"/>
            <w:shd w:val="clear" w:color="auto" w:fill="auto"/>
            <w:vAlign w:val="center"/>
          </w:tcPr>
          <w:p w14:paraId="1BD3B856">
            <w:pPr>
              <w:rPr>
                <w:rFonts w:ascii="宋体" w:hAnsi="宋体" w:eastAsia="宋体" w:cs="宋体"/>
                <w:sz w:val="24"/>
                <w:szCs w:val="24"/>
                <w:highlight w:val="none"/>
              </w:rPr>
            </w:pPr>
            <w:r>
              <w:rPr>
                <w:rFonts w:hint="eastAsia" w:ascii="宋体" w:hAnsi="宋体" w:eastAsia="宋体" w:cs="宋体"/>
                <w:sz w:val="24"/>
                <w:szCs w:val="24"/>
                <w:highlight w:val="none"/>
              </w:rPr>
              <w:t>台</w:t>
            </w:r>
          </w:p>
        </w:tc>
        <w:tc>
          <w:tcPr>
            <w:tcW w:w="414" w:type="pct"/>
            <w:vAlign w:val="center"/>
          </w:tcPr>
          <w:p w14:paraId="4343CED1">
            <w:pPr>
              <w:rPr>
                <w:rFonts w:ascii="宋体" w:hAnsi="宋体" w:eastAsia="宋体" w:cs="宋体"/>
                <w:sz w:val="24"/>
                <w:szCs w:val="24"/>
                <w:highlight w:val="none"/>
              </w:rPr>
            </w:pPr>
            <w:r>
              <w:rPr>
                <w:rFonts w:hint="eastAsia" w:ascii="宋体" w:hAnsi="宋体" w:eastAsia="宋体" w:cs="宋体"/>
                <w:sz w:val="24"/>
                <w:szCs w:val="24"/>
                <w:highlight w:val="none"/>
              </w:rPr>
              <w:t>工业</w:t>
            </w:r>
          </w:p>
        </w:tc>
        <w:tc>
          <w:tcPr>
            <w:tcW w:w="261" w:type="pct"/>
            <w:vAlign w:val="center"/>
          </w:tcPr>
          <w:p w14:paraId="497502CA">
            <w:pPr>
              <w:rPr>
                <w:rFonts w:ascii="宋体" w:hAnsi="宋体" w:eastAsia="宋体" w:cs="宋体"/>
                <w:sz w:val="24"/>
                <w:szCs w:val="24"/>
                <w:highlight w:val="none"/>
              </w:rPr>
            </w:pPr>
          </w:p>
        </w:tc>
      </w:tr>
      <w:tr w14:paraId="071F7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 w:type="pct"/>
            <w:shd w:val="clear" w:color="auto" w:fill="auto"/>
            <w:vAlign w:val="center"/>
          </w:tcPr>
          <w:p w14:paraId="293601E7">
            <w:pPr>
              <w:widowControl/>
              <w:jc w:val="right"/>
              <w:textAlignment w:val="center"/>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10</w:t>
            </w:r>
          </w:p>
        </w:tc>
        <w:tc>
          <w:tcPr>
            <w:tcW w:w="427" w:type="pct"/>
            <w:shd w:val="clear" w:color="auto" w:fill="auto"/>
            <w:vAlign w:val="center"/>
          </w:tcPr>
          <w:p w14:paraId="5BF98E58">
            <w:pPr>
              <w:rPr>
                <w:rFonts w:ascii="宋体" w:hAnsi="宋体" w:eastAsia="宋体" w:cs="宋体"/>
                <w:sz w:val="24"/>
                <w:szCs w:val="24"/>
                <w:highlight w:val="none"/>
                <w:lang w:eastAsia="en-US"/>
              </w:rPr>
            </w:pPr>
            <w:r>
              <w:rPr>
                <w:rFonts w:hint="eastAsia" w:ascii="宋体" w:hAnsi="宋体" w:eastAsia="宋体" w:cs="宋体"/>
                <w:sz w:val="24"/>
                <w:szCs w:val="24"/>
                <w:highlight w:val="none"/>
              </w:rPr>
              <w:t>▲感烟探测器</w:t>
            </w:r>
          </w:p>
        </w:tc>
        <w:tc>
          <w:tcPr>
            <w:tcW w:w="3036" w:type="pct"/>
            <w:shd w:val="clear" w:color="auto" w:fill="auto"/>
            <w:vAlign w:val="center"/>
          </w:tcPr>
          <w:p w14:paraId="3725475B">
            <w:pPr>
              <w:rPr>
                <w:rFonts w:ascii="宋体" w:hAnsi="宋体" w:eastAsia="宋体" w:cs="宋体"/>
                <w:sz w:val="24"/>
                <w:szCs w:val="24"/>
                <w:highlight w:val="none"/>
              </w:rPr>
            </w:pPr>
            <w:r>
              <w:rPr>
                <w:rFonts w:ascii="宋体" w:hAnsi="宋体" w:eastAsia="宋体" w:cs="宋体"/>
                <w:sz w:val="24"/>
                <w:szCs w:val="24"/>
                <w:highlight w:val="none"/>
              </w:rPr>
              <w:t>1、内置高性能超低功耗微处理器</w:t>
            </w:r>
          </w:p>
          <w:p w14:paraId="2778EA3F">
            <w:pPr>
              <w:rPr>
                <w:rFonts w:ascii="宋体" w:hAnsi="宋体" w:eastAsia="宋体" w:cs="宋体"/>
                <w:sz w:val="24"/>
                <w:szCs w:val="24"/>
                <w:highlight w:val="none"/>
              </w:rPr>
            </w:pPr>
            <w:r>
              <w:rPr>
                <w:rFonts w:ascii="宋体" w:hAnsi="宋体" w:eastAsia="宋体" w:cs="宋体"/>
                <w:sz w:val="24"/>
                <w:szCs w:val="24"/>
                <w:highlight w:val="none"/>
              </w:rPr>
              <w:t>2、无极性两总线</w:t>
            </w:r>
          </w:p>
          <w:p w14:paraId="085DAD65">
            <w:pPr>
              <w:rPr>
                <w:rFonts w:ascii="宋体" w:hAnsi="宋体" w:eastAsia="宋体" w:cs="宋体"/>
                <w:sz w:val="24"/>
                <w:szCs w:val="24"/>
                <w:highlight w:val="none"/>
              </w:rPr>
            </w:pPr>
            <w:r>
              <w:rPr>
                <w:rFonts w:ascii="宋体" w:hAnsi="宋体" w:eastAsia="宋体" w:cs="宋体"/>
                <w:sz w:val="24"/>
                <w:szCs w:val="24"/>
                <w:highlight w:val="none"/>
              </w:rPr>
              <w:t>3、实时数据采集存储和智能算法，具有自诊断功能</w:t>
            </w:r>
          </w:p>
          <w:p w14:paraId="01976F96">
            <w:pPr>
              <w:rPr>
                <w:rFonts w:ascii="宋体" w:hAnsi="宋体" w:eastAsia="宋体" w:cs="宋体"/>
                <w:sz w:val="24"/>
                <w:szCs w:val="24"/>
                <w:highlight w:val="none"/>
              </w:rPr>
            </w:pPr>
            <w:r>
              <w:rPr>
                <w:rFonts w:ascii="宋体" w:hAnsi="宋体" w:eastAsia="宋体" w:cs="宋体"/>
                <w:sz w:val="24"/>
                <w:szCs w:val="24"/>
                <w:highlight w:val="none"/>
              </w:rPr>
              <w:t>4、火警确认灯采用导光柱传导，360°可见。</w:t>
            </w:r>
          </w:p>
          <w:p w14:paraId="1C7BC484">
            <w:pPr>
              <w:rPr>
                <w:rFonts w:ascii="宋体" w:hAnsi="宋体" w:eastAsia="宋体" w:cs="宋体"/>
                <w:sz w:val="24"/>
                <w:szCs w:val="24"/>
                <w:highlight w:val="none"/>
              </w:rPr>
            </w:pPr>
            <w:r>
              <w:rPr>
                <w:rFonts w:ascii="宋体" w:hAnsi="宋体" w:eastAsia="宋体" w:cs="宋体"/>
                <w:sz w:val="24"/>
                <w:szCs w:val="24"/>
                <w:highlight w:val="none"/>
              </w:rPr>
              <w:t>5、污染自动补偿，根据自身的污染程度进行自动补偿，最大程度减少误报</w:t>
            </w:r>
          </w:p>
          <w:p w14:paraId="5A168E86">
            <w:pPr>
              <w:rPr>
                <w:rFonts w:ascii="宋体" w:hAnsi="宋体" w:eastAsia="宋体" w:cs="宋体"/>
                <w:sz w:val="24"/>
                <w:szCs w:val="24"/>
                <w:highlight w:val="none"/>
              </w:rPr>
            </w:pPr>
            <w:r>
              <w:rPr>
                <w:rFonts w:ascii="宋体" w:hAnsi="宋体" w:eastAsia="宋体" w:cs="宋体"/>
                <w:sz w:val="24"/>
                <w:szCs w:val="24"/>
                <w:highlight w:val="none"/>
              </w:rPr>
              <w:t>6、抗干扰能力强，抗灰尘附着、抗电磁干扰、抗温度影响、抗腐蚀、抗环境光线（光源）干扰。抗湿热能力强，可适应不同气候环境的要求</w:t>
            </w:r>
          </w:p>
          <w:p w14:paraId="0817D583">
            <w:pPr>
              <w:rPr>
                <w:rFonts w:ascii="宋体" w:hAnsi="宋体" w:eastAsia="宋体" w:cs="宋体"/>
                <w:sz w:val="24"/>
                <w:szCs w:val="24"/>
                <w:highlight w:val="none"/>
              </w:rPr>
            </w:pPr>
            <w:r>
              <w:rPr>
                <w:rFonts w:ascii="宋体" w:hAnsi="宋体" w:eastAsia="宋体" w:cs="宋体"/>
                <w:sz w:val="24"/>
                <w:szCs w:val="24"/>
                <w:highlight w:val="none"/>
              </w:rPr>
              <w:t>7、报警电流：≤400 uA</w:t>
            </w:r>
          </w:p>
          <w:p w14:paraId="4FA9F3E8">
            <w:pPr>
              <w:rPr>
                <w:rFonts w:ascii="宋体" w:hAnsi="宋体" w:eastAsia="宋体" w:cs="宋体"/>
                <w:sz w:val="24"/>
                <w:szCs w:val="24"/>
                <w:highlight w:val="none"/>
              </w:rPr>
            </w:pPr>
            <w:r>
              <w:rPr>
                <w:rFonts w:ascii="宋体" w:hAnsi="宋体" w:eastAsia="宋体" w:cs="宋体"/>
                <w:sz w:val="24"/>
                <w:szCs w:val="24"/>
                <w:highlight w:val="none"/>
              </w:rPr>
              <w:t>8、指示灯：不少于1个</w:t>
            </w:r>
          </w:p>
          <w:p w14:paraId="6D6EE65B">
            <w:pPr>
              <w:rPr>
                <w:rFonts w:ascii="宋体" w:hAnsi="宋体" w:eastAsia="宋体" w:cs="宋体"/>
                <w:sz w:val="24"/>
                <w:szCs w:val="24"/>
                <w:highlight w:val="none"/>
              </w:rPr>
            </w:pPr>
            <w:r>
              <w:rPr>
                <w:rFonts w:ascii="宋体" w:hAnsi="宋体" w:eastAsia="宋体" w:cs="宋体"/>
                <w:sz w:val="24"/>
                <w:szCs w:val="24"/>
                <w:highlight w:val="none"/>
              </w:rPr>
              <w:t>9、保护面积：60~80 m²</w:t>
            </w:r>
          </w:p>
          <w:p w14:paraId="68F035CB">
            <w:pPr>
              <w:rPr>
                <w:rFonts w:ascii="宋体" w:hAnsi="宋体" w:eastAsia="宋体" w:cs="宋体"/>
                <w:sz w:val="24"/>
                <w:szCs w:val="24"/>
                <w:highlight w:val="none"/>
              </w:rPr>
            </w:pPr>
            <w:r>
              <w:rPr>
                <w:rFonts w:ascii="宋体" w:hAnsi="宋体" w:eastAsia="宋体" w:cs="宋体"/>
                <w:sz w:val="24"/>
                <w:szCs w:val="24"/>
                <w:highlight w:val="none"/>
              </w:rPr>
              <w:t>10、编码参数：1~250</w:t>
            </w:r>
          </w:p>
          <w:p w14:paraId="779AFD18">
            <w:pPr>
              <w:rPr>
                <w:rFonts w:ascii="宋体" w:hAnsi="宋体" w:eastAsia="宋体" w:cs="宋体"/>
                <w:sz w:val="24"/>
                <w:szCs w:val="24"/>
                <w:highlight w:val="none"/>
              </w:rPr>
            </w:pPr>
            <w:r>
              <w:rPr>
                <w:rFonts w:ascii="宋体" w:hAnsi="宋体" w:eastAsia="宋体" w:cs="宋体"/>
                <w:sz w:val="24"/>
                <w:szCs w:val="24"/>
                <w:highlight w:val="none"/>
              </w:rPr>
              <w:t>11、监视电流：≤200 uA</w:t>
            </w:r>
          </w:p>
          <w:p w14:paraId="2BE22270">
            <w:pPr>
              <w:rPr>
                <w:rFonts w:ascii="宋体" w:hAnsi="宋体" w:eastAsia="宋体" w:cs="宋体"/>
                <w:sz w:val="24"/>
                <w:szCs w:val="24"/>
                <w:highlight w:val="none"/>
              </w:rPr>
            </w:pPr>
            <w:r>
              <w:rPr>
                <w:rFonts w:ascii="宋体" w:hAnsi="宋体" w:eastAsia="宋体" w:cs="宋体"/>
                <w:sz w:val="24"/>
                <w:szCs w:val="24"/>
                <w:highlight w:val="none"/>
              </w:rPr>
              <w:t>12、工作环境：工作温度在-10 °C～55 °C，相对湿度≤95%，不结露</w:t>
            </w:r>
          </w:p>
          <w:p w14:paraId="01B6C31B">
            <w:pPr>
              <w:rPr>
                <w:rFonts w:ascii="宋体" w:hAnsi="宋体" w:eastAsia="宋体" w:cs="宋体"/>
                <w:sz w:val="24"/>
                <w:szCs w:val="24"/>
                <w:highlight w:val="none"/>
              </w:rPr>
            </w:pPr>
            <w:r>
              <w:rPr>
                <w:rFonts w:ascii="宋体" w:hAnsi="宋体" w:eastAsia="宋体" w:cs="宋体"/>
                <w:sz w:val="24"/>
                <w:szCs w:val="24"/>
                <w:highlight w:val="none"/>
              </w:rPr>
              <w:t>1</w:t>
            </w:r>
            <w:r>
              <w:rPr>
                <w:rFonts w:hint="eastAsia" w:ascii="宋体" w:hAnsi="宋体" w:eastAsia="宋体" w:cs="宋体"/>
                <w:sz w:val="24"/>
                <w:szCs w:val="24"/>
                <w:highlight w:val="none"/>
              </w:rPr>
              <w:t>3</w:t>
            </w:r>
            <w:r>
              <w:rPr>
                <w:rFonts w:ascii="宋体" w:hAnsi="宋体" w:eastAsia="宋体" w:cs="宋体"/>
                <w:sz w:val="24"/>
                <w:szCs w:val="24"/>
                <w:highlight w:val="none"/>
              </w:rPr>
              <w:t xml:space="preserve">、检测类型：光电式 </w:t>
            </w:r>
          </w:p>
          <w:p w14:paraId="2FF98F43">
            <w:pPr>
              <w:rPr>
                <w:rFonts w:ascii="宋体" w:hAnsi="宋体" w:eastAsia="宋体" w:cs="宋体"/>
                <w:sz w:val="24"/>
                <w:szCs w:val="24"/>
                <w:highlight w:val="none"/>
              </w:rPr>
            </w:pPr>
            <w:r>
              <w:rPr>
                <w:rFonts w:ascii="宋体" w:hAnsi="宋体" w:eastAsia="宋体" w:cs="宋体"/>
                <w:sz w:val="24"/>
                <w:szCs w:val="24"/>
                <w:highlight w:val="none"/>
              </w:rPr>
              <w:t>1</w:t>
            </w:r>
            <w:r>
              <w:rPr>
                <w:rFonts w:hint="eastAsia" w:ascii="宋体" w:hAnsi="宋体" w:eastAsia="宋体" w:cs="宋体"/>
                <w:sz w:val="24"/>
                <w:szCs w:val="24"/>
                <w:highlight w:val="none"/>
              </w:rPr>
              <w:t>4</w:t>
            </w:r>
            <w:r>
              <w:rPr>
                <w:rFonts w:ascii="宋体" w:hAnsi="宋体" w:eastAsia="宋体" w:cs="宋体"/>
                <w:sz w:val="24"/>
                <w:szCs w:val="24"/>
                <w:highlight w:val="none"/>
              </w:rPr>
              <w:t>、★应符合GB 4715-2005《点型感烟火灾探测器》执行标准，</w:t>
            </w:r>
            <w:r>
              <w:rPr>
                <w:rFonts w:hint="eastAsia" w:ascii="宋体" w:hAnsi="宋体" w:eastAsia="宋体" w:cs="宋体"/>
                <w:b/>
                <w:bCs/>
                <w:sz w:val="24"/>
                <w:szCs w:val="24"/>
                <w:highlight w:val="none"/>
              </w:rPr>
              <w:t>提供消防产品认证证书复印件或扫描件</w:t>
            </w:r>
          </w:p>
          <w:p w14:paraId="6B3CC836">
            <w:pPr>
              <w:rPr>
                <w:rFonts w:ascii="宋体" w:hAnsi="宋体" w:eastAsia="宋体" w:cs="宋体"/>
                <w:sz w:val="24"/>
                <w:szCs w:val="24"/>
                <w:highlight w:val="none"/>
              </w:rPr>
            </w:pPr>
            <w:r>
              <w:rPr>
                <w:rFonts w:ascii="宋体" w:hAnsi="宋体" w:eastAsia="宋体" w:cs="宋体"/>
                <w:sz w:val="24"/>
                <w:szCs w:val="24"/>
                <w:highlight w:val="none"/>
              </w:rPr>
              <w:t>1</w:t>
            </w:r>
            <w:r>
              <w:rPr>
                <w:rFonts w:hint="eastAsia" w:ascii="宋体" w:hAnsi="宋体" w:eastAsia="宋体" w:cs="宋体"/>
                <w:sz w:val="24"/>
                <w:szCs w:val="24"/>
                <w:highlight w:val="none"/>
              </w:rPr>
              <w:t>5</w:t>
            </w:r>
            <w:r>
              <w:rPr>
                <w:rFonts w:ascii="宋体" w:hAnsi="宋体" w:eastAsia="宋体" w:cs="宋体"/>
                <w:sz w:val="24"/>
                <w:szCs w:val="24"/>
                <w:highlight w:val="none"/>
              </w:rPr>
              <w:t>、★应符合GB 4715-2005《点型感烟火灾探测器》执行标准，</w:t>
            </w:r>
            <w:r>
              <w:rPr>
                <w:rFonts w:hint="eastAsia" w:ascii="宋体" w:hAnsi="宋体" w:eastAsia="宋体" w:cs="宋体"/>
                <w:sz w:val="24"/>
                <w:szCs w:val="24"/>
                <w:highlight w:val="none"/>
              </w:rPr>
              <w:t>（</w:t>
            </w:r>
            <w:r>
              <w:rPr>
                <w:rFonts w:hint="eastAsia" w:ascii="宋体" w:hAnsi="宋体" w:eastAsia="宋体" w:cs="宋体"/>
                <w:b/>
                <w:bCs/>
                <w:sz w:val="24"/>
                <w:szCs w:val="24"/>
                <w:highlight w:val="none"/>
              </w:rPr>
              <w:t>提供具有CMA或CNAS标识的第三方有权机构出具的检验报告</w:t>
            </w:r>
            <w:r>
              <w:rPr>
                <w:rFonts w:hint="eastAsia" w:ascii="宋体" w:hAnsi="宋体" w:eastAsia="宋体" w:cs="宋体"/>
                <w:sz w:val="24"/>
                <w:szCs w:val="24"/>
                <w:highlight w:val="none"/>
              </w:rPr>
              <w:t>）</w:t>
            </w:r>
          </w:p>
        </w:tc>
        <w:tc>
          <w:tcPr>
            <w:tcW w:w="380" w:type="pct"/>
            <w:shd w:val="clear" w:color="auto" w:fill="auto"/>
            <w:vAlign w:val="center"/>
          </w:tcPr>
          <w:p w14:paraId="2552BCD0">
            <w:pPr>
              <w:rPr>
                <w:rFonts w:ascii="宋体" w:hAnsi="宋体" w:eastAsia="宋体" w:cs="宋体"/>
                <w:sz w:val="24"/>
                <w:szCs w:val="24"/>
                <w:highlight w:val="none"/>
              </w:rPr>
            </w:pPr>
            <w:r>
              <w:rPr>
                <w:rFonts w:hint="eastAsia" w:ascii="宋体" w:hAnsi="宋体" w:eastAsia="宋体" w:cs="宋体"/>
                <w:sz w:val="24"/>
                <w:szCs w:val="24"/>
                <w:highlight w:val="none"/>
              </w:rPr>
              <w:t>4075</w:t>
            </w:r>
          </w:p>
        </w:tc>
        <w:tc>
          <w:tcPr>
            <w:tcW w:w="218" w:type="pct"/>
            <w:shd w:val="clear" w:color="auto" w:fill="auto"/>
            <w:vAlign w:val="center"/>
          </w:tcPr>
          <w:p w14:paraId="62B553B2">
            <w:pPr>
              <w:rPr>
                <w:rFonts w:ascii="宋体" w:hAnsi="宋体" w:eastAsia="宋体" w:cs="宋体"/>
                <w:sz w:val="24"/>
                <w:szCs w:val="24"/>
                <w:highlight w:val="none"/>
              </w:rPr>
            </w:pPr>
            <w:r>
              <w:rPr>
                <w:rFonts w:hint="eastAsia" w:ascii="宋体" w:hAnsi="宋体" w:eastAsia="宋体" w:cs="宋体"/>
                <w:sz w:val="24"/>
                <w:szCs w:val="24"/>
                <w:highlight w:val="none"/>
              </w:rPr>
              <w:t>套</w:t>
            </w:r>
          </w:p>
        </w:tc>
        <w:tc>
          <w:tcPr>
            <w:tcW w:w="414" w:type="pct"/>
            <w:vAlign w:val="center"/>
          </w:tcPr>
          <w:p w14:paraId="6BE36827">
            <w:pPr>
              <w:rPr>
                <w:rFonts w:ascii="宋体" w:hAnsi="宋体" w:eastAsia="宋体" w:cs="宋体"/>
                <w:sz w:val="24"/>
                <w:szCs w:val="24"/>
                <w:highlight w:val="none"/>
              </w:rPr>
            </w:pPr>
            <w:r>
              <w:rPr>
                <w:rFonts w:hint="eastAsia" w:ascii="宋体" w:hAnsi="宋体" w:eastAsia="宋体" w:cs="宋体"/>
                <w:sz w:val="24"/>
                <w:szCs w:val="24"/>
                <w:highlight w:val="none"/>
              </w:rPr>
              <w:t>工业</w:t>
            </w:r>
          </w:p>
        </w:tc>
        <w:tc>
          <w:tcPr>
            <w:tcW w:w="261" w:type="pct"/>
            <w:vAlign w:val="center"/>
          </w:tcPr>
          <w:p w14:paraId="30593501">
            <w:pPr>
              <w:rPr>
                <w:rFonts w:ascii="宋体" w:hAnsi="宋体" w:eastAsia="宋体" w:cs="宋体"/>
                <w:sz w:val="24"/>
                <w:szCs w:val="24"/>
                <w:highlight w:val="none"/>
              </w:rPr>
            </w:pPr>
          </w:p>
        </w:tc>
      </w:tr>
      <w:tr w14:paraId="057DA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 w:type="pct"/>
            <w:shd w:val="clear" w:color="auto" w:fill="auto"/>
            <w:vAlign w:val="center"/>
          </w:tcPr>
          <w:p w14:paraId="448E1D90">
            <w:pPr>
              <w:widowControl/>
              <w:jc w:val="right"/>
              <w:textAlignment w:val="center"/>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11</w:t>
            </w:r>
          </w:p>
        </w:tc>
        <w:tc>
          <w:tcPr>
            <w:tcW w:w="427" w:type="pct"/>
            <w:shd w:val="clear" w:color="auto" w:fill="auto"/>
            <w:vAlign w:val="center"/>
          </w:tcPr>
          <w:p w14:paraId="05514FE9">
            <w:pPr>
              <w:rPr>
                <w:rFonts w:ascii="宋体" w:hAnsi="宋体" w:eastAsia="宋体" w:cs="宋体"/>
                <w:sz w:val="24"/>
                <w:szCs w:val="24"/>
                <w:highlight w:val="none"/>
                <w:lang w:eastAsia="en-US"/>
              </w:rPr>
            </w:pPr>
            <w:r>
              <w:rPr>
                <w:rFonts w:hint="eastAsia" w:ascii="宋体" w:hAnsi="宋体" w:eastAsia="宋体" w:cs="宋体"/>
                <w:sz w:val="24"/>
                <w:szCs w:val="24"/>
                <w:highlight w:val="none"/>
              </w:rPr>
              <w:t>火灾声光警报器</w:t>
            </w:r>
          </w:p>
        </w:tc>
        <w:tc>
          <w:tcPr>
            <w:tcW w:w="3036" w:type="pct"/>
            <w:shd w:val="clear" w:color="auto" w:fill="auto"/>
            <w:vAlign w:val="center"/>
          </w:tcPr>
          <w:p w14:paraId="3A88A2F4">
            <w:pPr>
              <w:rPr>
                <w:rFonts w:ascii="宋体" w:hAnsi="宋体" w:eastAsia="宋体" w:cs="宋体"/>
                <w:sz w:val="24"/>
                <w:szCs w:val="24"/>
                <w:highlight w:val="none"/>
              </w:rPr>
            </w:pPr>
            <w:r>
              <w:rPr>
                <w:rFonts w:hint="eastAsia" w:ascii="宋体" w:hAnsi="宋体" w:eastAsia="宋体" w:cs="宋体"/>
                <w:sz w:val="24"/>
                <w:szCs w:val="24"/>
                <w:highlight w:val="none"/>
              </w:rPr>
              <w:t>1.执行标准：GB 26851-2011《 火灾声和/或光警报器》</w:t>
            </w:r>
          </w:p>
          <w:p w14:paraId="0806E8E4">
            <w:pPr>
              <w:rPr>
                <w:rFonts w:ascii="宋体" w:hAnsi="宋体" w:eastAsia="宋体" w:cs="宋体"/>
                <w:sz w:val="24"/>
                <w:szCs w:val="24"/>
                <w:highlight w:val="none"/>
              </w:rPr>
            </w:pPr>
            <w:r>
              <w:rPr>
                <w:rFonts w:hint="eastAsia" w:ascii="宋体" w:hAnsi="宋体" w:eastAsia="宋体" w:cs="宋体"/>
                <w:sz w:val="24"/>
                <w:szCs w:val="24"/>
                <w:highlight w:val="none"/>
              </w:rPr>
              <w:t>2.额定工作电压：总线24V</w:t>
            </w:r>
          </w:p>
          <w:p w14:paraId="1604D867">
            <w:pPr>
              <w:rPr>
                <w:rFonts w:ascii="宋体" w:hAnsi="宋体" w:eastAsia="宋体" w:cs="宋体"/>
                <w:sz w:val="24"/>
                <w:szCs w:val="24"/>
                <w:highlight w:val="none"/>
              </w:rPr>
            </w:pPr>
            <w:r>
              <w:rPr>
                <w:rFonts w:hint="eastAsia" w:ascii="宋体" w:hAnsi="宋体" w:eastAsia="宋体" w:cs="宋体"/>
                <w:sz w:val="24"/>
                <w:szCs w:val="24"/>
                <w:highlight w:val="none"/>
              </w:rPr>
              <w:t>3.声压等级：75dB～100dB</w:t>
            </w:r>
          </w:p>
          <w:p w14:paraId="524A4ED0">
            <w:pPr>
              <w:rPr>
                <w:rFonts w:ascii="宋体" w:hAnsi="宋体" w:eastAsia="宋体" w:cs="宋体"/>
                <w:sz w:val="24"/>
                <w:szCs w:val="24"/>
                <w:highlight w:val="none"/>
              </w:rPr>
            </w:pPr>
            <w:r>
              <w:rPr>
                <w:rFonts w:hint="eastAsia" w:ascii="宋体" w:hAnsi="宋体" w:eastAsia="宋体" w:cs="宋体"/>
                <w:sz w:val="24"/>
                <w:szCs w:val="24"/>
                <w:highlight w:val="none"/>
              </w:rPr>
              <w:t>4.闪光频率：1Hz～1.5Hz</w:t>
            </w:r>
          </w:p>
          <w:p w14:paraId="7A2BFD1E">
            <w:pPr>
              <w:rPr>
                <w:rFonts w:ascii="宋体" w:hAnsi="宋体" w:eastAsia="宋体" w:cs="宋体"/>
                <w:sz w:val="24"/>
                <w:szCs w:val="24"/>
                <w:highlight w:val="none"/>
              </w:rPr>
            </w:pPr>
            <w:r>
              <w:rPr>
                <w:rFonts w:hint="eastAsia" w:ascii="宋体" w:hAnsi="宋体" w:eastAsia="宋体" w:cs="宋体"/>
                <w:sz w:val="24"/>
                <w:szCs w:val="24"/>
                <w:highlight w:val="none"/>
              </w:rPr>
              <w:t>5.变调周期：4s～5s</w:t>
            </w:r>
          </w:p>
          <w:p w14:paraId="35492BCD">
            <w:pPr>
              <w:rPr>
                <w:rFonts w:ascii="宋体" w:hAnsi="宋体" w:eastAsia="宋体" w:cs="宋体"/>
                <w:sz w:val="24"/>
                <w:szCs w:val="24"/>
                <w:highlight w:val="none"/>
              </w:rPr>
            </w:pPr>
            <w:r>
              <w:rPr>
                <w:rFonts w:hint="eastAsia" w:ascii="宋体" w:hAnsi="宋体" w:eastAsia="宋体" w:cs="宋体"/>
                <w:sz w:val="24"/>
                <w:szCs w:val="24"/>
                <w:highlight w:val="none"/>
              </w:rPr>
              <w:t>6.报警电流：≤5mA</w:t>
            </w:r>
          </w:p>
          <w:p w14:paraId="5EB8DF54">
            <w:pPr>
              <w:rPr>
                <w:rFonts w:ascii="宋体" w:hAnsi="宋体" w:eastAsia="宋体" w:cs="宋体"/>
                <w:sz w:val="24"/>
                <w:szCs w:val="24"/>
                <w:highlight w:val="none"/>
              </w:rPr>
            </w:pPr>
            <w:r>
              <w:rPr>
                <w:rFonts w:hint="eastAsia" w:ascii="宋体" w:hAnsi="宋体" w:eastAsia="宋体" w:cs="宋体"/>
                <w:sz w:val="24"/>
                <w:szCs w:val="24"/>
                <w:highlight w:val="none"/>
              </w:rPr>
              <w:t>7.线 制：两线制</w:t>
            </w:r>
          </w:p>
          <w:p w14:paraId="1B064FC6">
            <w:pPr>
              <w:rPr>
                <w:rFonts w:ascii="宋体" w:hAnsi="宋体" w:eastAsia="宋体" w:cs="宋体"/>
                <w:sz w:val="24"/>
                <w:szCs w:val="24"/>
                <w:highlight w:val="none"/>
              </w:rPr>
            </w:pPr>
            <w:r>
              <w:rPr>
                <w:rFonts w:hint="eastAsia" w:ascii="宋体" w:hAnsi="宋体" w:eastAsia="宋体" w:cs="宋体"/>
                <w:sz w:val="24"/>
                <w:szCs w:val="24"/>
                <w:highlight w:val="none"/>
              </w:rPr>
              <w:t>8.布线要求：RVS 2×1.5mm²阻燃线， 最大距离：1000m</w:t>
            </w:r>
          </w:p>
          <w:p w14:paraId="267F87E9">
            <w:pPr>
              <w:rPr>
                <w:rFonts w:ascii="宋体" w:hAnsi="宋体" w:eastAsia="宋体" w:cs="宋体"/>
                <w:sz w:val="24"/>
                <w:szCs w:val="24"/>
                <w:highlight w:val="none"/>
              </w:rPr>
            </w:pPr>
            <w:r>
              <w:rPr>
                <w:rFonts w:hint="eastAsia" w:ascii="宋体" w:hAnsi="宋体" w:eastAsia="宋体" w:cs="宋体"/>
                <w:sz w:val="24"/>
                <w:szCs w:val="24"/>
                <w:highlight w:val="none"/>
              </w:rPr>
              <w:t>9.使用环境：温度：-10℃～55℃</w:t>
            </w:r>
          </w:p>
          <w:p w14:paraId="0CFBEC9B">
            <w:pPr>
              <w:rPr>
                <w:rFonts w:ascii="宋体" w:hAnsi="宋体" w:eastAsia="宋体" w:cs="宋体"/>
                <w:sz w:val="24"/>
                <w:szCs w:val="24"/>
                <w:highlight w:val="none"/>
              </w:rPr>
            </w:pPr>
            <w:r>
              <w:rPr>
                <w:rFonts w:hint="eastAsia" w:ascii="宋体" w:hAnsi="宋体" w:eastAsia="宋体" w:cs="宋体"/>
                <w:sz w:val="24"/>
                <w:szCs w:val="24"/>
                <w:highlight w:val="none"/>
              </w:rPr>
              <w:t>10.相对湿度：≤95%，不结露</w:t>
            </w:r>
          </w:p>
        </w:tc>
        <w:tc>
          <w:tcPr>
            <w:tcW w:w="380" w:type="pct"/>
            <w:shd w:val="clear" w:color="auto" w:fill="auto"/>
            <w:vAlign w:val="center"/>
          </w:tcPr>
          <w:p w14:paraId="2E778570">
            <w:pPr>
              <w:rPr>
                <w:rFonts w:ascii="宋体" w:hAnsi="宋体" w:eastAsia="宋体" w:cs="宋体"/>
                <w:sz w:val="24"/>
                <w:szCs w:val="24"/>
                <w:highlight w:val="none"/>
              </w:rPr>
            </w:pPr>
            <w:r>
              <w:rPr>
                <w:rFonts w:hint="eastAsia" w:ascii="宋体" w:hAnsi="宋体" w:eastAsia="宋体" w:cs="宋体"/>
                <w:sz w:val="24"/>
                <w:szCs w:val="24"/>
                <w:highlight w:val="none"/>
              </w:rPr>
              <w:t>144</w:t>
            </w:r>
          </w:p>
        </w:tc>
        <w:tc>
          <w:tcPr>
            <w:tcW w:w="218" w:type="pct"/>
            <w:shd w:val="clear" w:color="auto" w:fill="auto"/>
            <w:vAlign w:val="center"/>
          </w:tcPr>
          <w:p w14:paraId="5728A375">
            <w:pPr>
              <w:rPr>
                <w:rFonts w:ascii="宋体" w:hAnsi="宋体" w:eastAsia="宋体" w:cs="宋体"/>
                <w:sz w:val="24"/>
                <w:szCs w:val="24"/>
                <w:highlight w:val="none"/>
              </w:rPr>
            </w:pPr>
            <w:r>
              <w:rPr>
                <w:rFonts w:hint="eastAsia" w:ascii="宋体" w:hAnsi="宋体" w:eastAsia="宋体" w:cs="宋体"/>
                <w:sz w:val="24"/>
                <w:szCs w:val="24"/>
                <w:highlight w:val="none"/>
              </w:rPr>
              <w:t>套</w:t>
            </w:r>
          </w:p>
        </w:tc>
        <w:tc>
          <w:tcPr>
            <w:tcW w:w="414" w:type="pct"/>
            <w:vAlign w:val="center"/>
          </w:tcPr>
          <w:p w14:paraId="475966FF">
            <w:pPr>
              <w:rPr>
                <w:rFonts w:ascii="宋体" w:hAnsi="宋体" w:eastAsia="宋体" w:cs="宋体"/>
                <w:sz w:val="24"/>
                <w:szCs w:val="24"/>
                <w:highlight w:val="none"/>
              </w:rPr>
            </w:pPr>
            <w:r>
              <w:rPr>
                <w:rFonts w:hint="eastAsia" w:ascii="宋体" w:hAnsi="宋体" w:eastAsia="宋体" w:cs="宋体"/>
                <w:sz w:val="24"/>
                <w:szCs w:val="24"/>
                <w:highlight w:val="none"/>
              </w:rPr>
              <w:t>工业</w:t>
            </w:r>
          </w:p>
        </w:tc>
        <w:tc>
          <w:tcPr>
            <w:tcW w:w="261" w:type="pct"/>
            <w:vAlign w:val="center"/>
          </w:tcPr>
          <w:p w14:paraId="7E201C98">
            <w:pPr>
              <w:rPr>
                <w:rFonts w:ascii="宋体" w:hAnsi="宋体" w:eastAsia="宋体" w:cs="宋体"/>
                <w:sz w:val="24"/>
                <w:szCs w:val="24"/>
                <w:highlight w:val="none"/>
              </w:rPr>
            </w:pPr>
          </w:p>
        </w:tc>
      </w:tr>
      <w:tr w14:paraId="3F776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 w:type="pct"/>
            <w:shd w:val="clear" w:color="auto" w:fill="auto"/>
            <w:vAlign w:val="center"/>
          </w:tcPr>
          <w:p w14:paraId="0BF24D63">
            <w:pPr>
              <w:widowControl/>
              <w:jc w:val="right"/>
              <w:textAlignment w:val="center"/>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12</w:t>
            </w:r>
          </w:p>
        </w:tc>
        <w:tc>
          <w:tcPr>
            <w:tcW w:w="427" w:type="pct"/>
            <w:shd w:val="clear" w:color="auto" w:fill="auto"/>
            <w:vAlign w:val="center"/>
          </w:tcPr>
          <w:p w14:paraId="2796DA64">
            <w:pPr>
              <w:rPr>
                <w:rFonts w:ascii="宋体" w:hAnsi="宋体" w:eastAsia="宋体" w:cs="宋体"/>
                <w:sz w:val="24"/>
                <w:szCs w:val="24"/>
                <w:highlight w:val="none"/>
              </w:rPr>
            </w:pPr>
            <w:r>
              <w:rPr>
                <w:rFonts w:hint="eastAsia" w:ascii="宋体" w:hAnsi="宋体" w:eastAsia="宋体" w:cs="宋体"/>
                <w:sz w:val="24"/>
                <w:szCs w:val="24"/>
                <w:highlight w:val="none"/>
              </w:rPr>
              <w:t>手动火灾报警器</w:t>
            </w:r>
          </w:p>
        </w:tc>
        <w:tc>
          <w:tcPr>
            <w:tcW w:w="3036" w:type="pct"/>
            <w:shd w:val="clear" w:color="auto" w:fill="auto"/>
            <w:vAlign w:val="center"/>
          </w:tcPr>
          <w:p w14:paraId="2353B8D1">
            <w:pPr>
              <w:rPr>
                <w:rFonts w:ascii="宋体" w:hAnsi="宋体" w:eastAsia="宋体" w:cs="宋体"/>
                <w:sz w:val="24"/>
                <w:szCs w:val="24"/>
                <w:highlight w:val="none"/>
              </w:rPr>
            </w:pPr>
            <w:r>
              <w:rPr>
                <w:rFonts w:hint="eastAsia" w:ascii="宋体" w:hAnsi="宋体" w:eastAsia="宋体" w:cs="宋体"/>
                <w:sz w:val="24"/>
                <w:szCs w:val="24"/>
                <w:highlight w:val="none"/>
              </w:rPr>
              <w:t>1.执行标准：GB19880-2005《手动火灾报警按钮》</w:t>
            </w:r>
          </w:p>
          <w:p w14:paraId="0642EDDF">
            <w:pPr>
              <w:rPr>
                <w:rFonts w:ascii="宋体" w:hAnsi="宋体" w:eastAsia="宋体" w:cs="宋体"/>
                <w:sz w:val="24"/>
                <w:szCs w:val="24"/>
                <w:highlight w:val="none"/>
              </w:rPr>
            </w:pPr>
            <w:r>
              <w:rPr>
                <w:rFonts w:hint="eastAsia" w:ascii="宋体" w:hAnsi="宋体" w:eastAsia="宋体" w:cs="宋体"/>
                <w:sz w:val="24"/>
                <w:szCs w:val="24"/>
                <w:highlight w:val="none"/>
              </w:rPr>
              <w:t>2.启动方式：手动按下启动零件</w:t>
            </w:r>
          </w:p>
          <w:p w14:paraId="2C10C1D2">
            <w:pPr>
              <w:rPr>
                <w:rFonts w:ascii="宋体" w:hAnsi="宋体" w:eastAsia="宋体" w:cs="宋体"/>
                <w:sz w:val="24"/>
                <w:szCs w:val="24"/>
                <w:highlight w:val="none"/>
              </w:rPr>
            </w:pPr>
            <w:r>
              <w:rPr>
                <w:rFonts w:hint="eastAsia" w:ascii="宋体" w:hAnsi="宋体" w:eastAsia="宋体" w:cs="宋体"/>
                <w:sz w:val="24"/>
                <w:szCs w:val="24"/>
                <w:highlight w:val="none"/>
              </w:rPr>
              <w:t>3.复位方式：专用钥匙手动复位</w:t>
            </w:r>
          </w:p>
          <w:p w14:paraId="6203A9D7">
            <w:pPr>
              <w:rPr>
                <w:rFonts w:ascii="宋体" w:hAnsi="宋体" w:eastAsia="宋体" w:cs="宋体"/>
                <w:sz w:val="24"/>
                <w:szCs w:val="24"/>
                <w:highlight w:val="none"/>
              </w:rPr>
            </w:pPr>
            <w:r>
              <w:rPr>
                <w:rFonts w:hint="eastAsia" w:ascii="宋体" w:hAnsi="宋体" w:eastAsia="宋体" w:cs="宋体"/>
                <w:sz w:val="24"/>
                <w:szCs w:val="24"/>
                <w:highlight w:val="none"/>
              </w:rPr>
              <w:t>4.监视电流：≤150uA</w:t>
            </w:r>
          </w:p>
          <w:p w14:paraId="1A584F76">
            <w:pPr>
              <w:rPr>
                <w:rFonts w:ascii="宋体" w:hAnsi="宋体" w:eastAsia="宋体" w:cs="宋体"/>
                <w:sz w:val="24"/>
                <w:szCs w:val="24"/>
                <w:highlight w:val="none"/>
              </w:rPr>
            </w:pPr>
            <w:r>
              <w:rPr>
                <w:rFonts w:hint="eastAsia" w:ascii="宋体" w:hAnsi="宋体" w:eastAsia="宋体" w:cs="宋体"/>
                <w:sz w:val="24"/>
                <w:szCs w:val="24"/>
                <w:highlight w:val="none"/>
              </w:rPr>
              <w:t>5.动作电流：≤0.3mA</w:t>
            </w:r>
          </w:p>
          <w:p w14:paraId="24D29A74">
            <w:pPr>
              <w:rPr>
                <w:rFonts w:ascii="宋体" w:hAnsi="宋体" w:eastAsia="宋体" w:cs="宋体"/>
                <w:sz w:val="24"/>
                <w:szCs w:val="24"/>
                <w:highlight w:val="none"/>
              </w:rPr>
            </w:pPr>
            <w:r>
              <w:rPr>
                <w:rFonts w:hint="eastAsia" w:ascii="宋体" w:hAnsi="宋体" w:eastAsia="宋体" w:cs="宋体"/>
                <w:sz w:val="24"/>
                <w:szCs w:val="24"/>
                <w:highlight w:val="none"/>
              </w:rPr>
              <w:t>6.指 示 灯：启动指示灯、回答指示灯</w:t>
            </w:r>
          </w:p>
          <w:p w14:paraId="0C64B333">
            <w:pPr>
              <w:rPr>
                <w:rFonts w:ascii="宋体" w:hAnsi="宋体" w:eastAsia="宋体" w:cs="宋体"/>
                <w:sz w:val="24"/>
                <w:szCs w:val="24"/>
                <w:highlight w:val="none"/>
              </w:rPr>
            </w:pPr>
            <w:r>
              <w:rPr>
                <w:rFonts w:hint="eastAsia" w:ascii="宋体" w:hAnsi="宋体" w:eastAsia="宋体" w:cs="宋体"/>
                <w:sz w:val="24"/>
                <w:szCs w:val="24"/>
                <w:highlight w:val="none"/>
              </w:rPr>
              <w:t>7.编码方式：专用电子编码器编码</w:t>
            </w:r>
          </w:p>
          <w:p w14:paraId="1A5CC721">
            <w:pPr>
              <w:rPr>
                <w:rFonts w:ascii="宋体" w:hAnsi="宋体" w:eastAsia="宋体" w:cs="宋体"/>
                <w:sz w:val="24"/>
                <w:szCs w:val="24"/>
                <w:highlight w:val="none"/>
              </w:rPr>
            </w:pPr>
            <w:r>
              <w:rPr>
                <w:rFonts w:hint="eastAsia" w:ascii="宋体" w:hAnsi="宋体" w:eastAsia="宋体" w:cs="宋体"/>
                <w:sz w:val="24"/>
                <w:szCs w:val="24"/>
                <w:highlight w:val="none"/>
              </w:rPr>
              <w:t>8.编码范围：1～250</w:t>
            </w:r>
          </w:p>
          <w:p w14:paraId="79267D0B">
            <w:pPr>
              <w:rPr>
                <w:rFonts w:ascii="宋体" w:hAnsi="宋体" w:eastAsia="宋体" w:cs="宋体"/>
                <w:sz w:val="24"/>
                <w:szCs w:val="24"/>
                <w:highlight w:val="none"/>
              </w:rPr>
            </w:pPr>
            <w:r>
              <w:rPr>
                <w:rFonts w:hint="eastAsia" w:ascii="宋体" w:hAnsi="宋体" w:eastAsia="宋体" w:cs="宋体"/>
                <w:sz w:val="24"/>
                <w:szCs w:val="24"/>
                <w:highlight w:val="none"/>
              </w:rPr>
              <w:t>9.线 制：无极性两总线</w:t>
            </w:r>
          </w:p>
          <w:p w14:paraId="2B0A1F3E">
            <w:pPr>
              <w:rPr>
                <w:rFonts w:ascii="宋体" w:hAnsi="宋体" w:eastAsia="宋体" w:cs="宋体"/>
                <w:sz w:val="24"/>
                <w:szCs w:val="24"/>
                <w:highlight w:val="none"/>
              </w:rPr>
            </w:pPr>
            <w:r>
              <w:rPr>
                <w:rFonts w:hint="eastAsia" w:ascii="宋体" w:hAnsi="宋体" w:eastAsia="宋体" w:cs="宋体"/>
                <w:sz w:val="24"/>
                <w:szCs w:val="24"/>
                <w:highlight w:val="none"/>
              </w:rPr>
              <w:t>10.布线要求：RVS 2×1.5mm²阻燃线，最大距离：1000m</w:t>
            </w:r>
          </w:p>
          <w:p w14:paraId="4236916E">
            <w:pPr>
              <w:rPr>
                <w:rFonts w:ascii="宋体" w:hAnsi="宋体" w:eastAsia="宋体" w:cs="宋体"/>
                <w:sz w:val="24"/>
                <w:szCs w:val="24"/>
                <w:highlight w:val="none"/>
              </w:rPr>
            </w:pPr>
            <w:r>
              <w:rPr>
                <w:rFonts w:hint="eastAsia" w:ascii="宋体" w:hAnsi="宋体" w:eastAsia="宋体" w:cs="宋体"/>
                <w:sz w:val="24"/>
                <w:szCs w:val="24"/>
                <w:highlight w:val="none"/>
              </w:rPr>
              <w:t>11.使用环境：温度：-10℃～55℃</w:t>
            </w:r>
          </w:p>
          <w:p w14:paraId="769DB4A2">
            <w:pPr>
              <w:rPr>
                <w:rFonts w:ascii="宋体" w:hAnsi="宋体" w:eastAsia="宋体" w:cs="宋体"/>
                <w:sz w:val="24"/>
                <w:szCs w:val="24"/>
                <w:highlight w:val="none"/>
              </w:rPr>
            </w:pPr>
            <w:r>
              <w:rPr>
                <w:rFonts w:hint="eastAsia" w:ascii="宋体" w:hAnsi="宋体" w:eastAsia="宋体" w:cs="宋体"/>
                <w:sz w:val="24"/>
                <w:szCs w:val="24"/>
                <w:highlight w:val="none"/>
              </w:rPr>
              <w:t>12.相对湿度：≤95%，不结露</w:t>
            </w:r>
          </w:p>
        </w:tc>
        <w:tc>
          <w:tcPr>
            <w:tcW w:w="380" w:type="pct"/>
            <w:shd w:val="clear" w:color="auto" w:fill="auto"/>
            <w:vAlign w:val="center"/>
          </w:tcPr>
          <w:p w14:paraId="5C6A825D">
            <w:pPr>
              <w:rPr>
                <w:rFonts w:ascii="宋体" w:hAnsi="宋体" w:eastAsia="宋体" w:cs="宋体"/>
                <w:sz w:val="24"/>
                <w:szCs w:val="24"/>
                <w:highlight w:val="none"/>
                <w:lang w:eastAsia="en-US"/>
              </w:rPr>
            </w:pPr>
            <w:r>
              <w:rPr>
                <w:rFonts w:hint="eastAsia" w:ascii="宋体" w:hAnsi="宋体" w:eastAsia="宋体" w:cs="宋体"/>
                <w:sz w:val="24"/>
                <w:szCs w:val="24"/>
                <w:highlight w:val="none"/>
              </w:rPr>
              <w:t>144</w:t>
            </w:r>
          </w:p>
        </w:tc>
        <w:tc>
          <w:tcPr>
            <w:tcW w:w="218" w:type="pct"/>
            <w:shd w:val="clear" w:color="auto" w:fill="auto"/>
            <w:vAlign w:val="center"/>
          </w:tcPr>
          <w:p w14:paraId="5406D61E">
            <w:pPr>
              <w:rPr>
                <w:rFonts w:ascii="宋体" w:hAnsi="宋体" w:eastAsia="宋体" w:cs="宋体"/>
                <w:sz w:val="24"/>
                <w:szCs w:val="24"/>
                <w:highlight w:val="none"/>
                <w:lang w:eastAsia="en-US"/>
              </w:rPr>
            </w:pPr>
            <w:r>
              <w:rPr>
                <w:rFonts w:hint="eastAsia" w:ascii="宋体" w:hAnsi="宋体" w:eastAsia="宋体" w:cs="宋体"/>
                <w:sz w:val="24"/>
                <w:szCs w:val="24"/>
                <w:highlight w:val="none"/>
              </w:rPr>
              <w:t>套</w:t>
            </w:r>
          </w:p>
        </w:tc>
        <w:tc>
          <w:tcPr>
            <w:tcW w:w="414" w:type="pct"/>
            <w:vAlign w:val="center"/>
          </w:tcPr>
          <w:p w14:paraId="7090DE51">
            <w:pPr>
              <w:rPr>
                <w:rFonts w:ascii="宋体" w:hAnsi="宋体" w:eastAsia="宋体" w:cs="宋体"/>
                <w:sz w:val="24"/>
                <w:szCs w:val="24"/>
                <w:highlight w:val="none"/>
              </w:rPr>
            </w:pPr>
            <w:r>
              <w:rPr>
                <w:rFonts w:hint="eastAsia" w:ascii="宋体" w:hAnsi="宋体" w:eastAsia="宋体" w:cs="宋体"/>
                <w:sz w:val="24"/>
                <w:szCs w:val="24"/>
                <w:highlight w:val="none"/>
              </w:rPr>
              <w:t>工业</w:t>
            </w:r>
          </w:p>
        </w:tc>
        <w:tc>
          <w:tcPr>
            <w:tcW w:w="261" w:type="pct"/>
            <w:vAlign w:val="center"/>
          </w:tcPr>
          <w:p w14:paraId="4C514093">
            <w:pPr>
              <w:rPr>
                <w:rFonts w:ascii="宋体" w:hAnsi="宋体" w:eastAsia="宋体" w:cs="宋体"/>
                <w:sz w:val="24"/>
                <w:szCs w:val="24"/>
                <w:highlight w:val="none"/>
              </w:rPr>
            </w:pPr>
          </w:p>
        </w:tc>
      </w:tr>
      <w:tr w14:paraId="6FB16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 w:type="pct"/>
            <w:shd w:val="clear" w:color="auto" w:fill="auto"/>
            <w:vAlign w:val="center"/>
          </w:tcPr>
          <w:p w14:paraId="102DCDBE">
            <w:pPr>
              <w:widowControl/>
              <w:jc w:val="right"/>
              <w:textAlignment w:val="center"/>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13</w:t>
            </w:r>
          </w:p>
        </w:tc>
        <w:tc>
          <w:tcPr>
            <w:tcW w:w="427" w:type="pct"/>
            <w:shd w:val="clear" w:color="auto" w:fill="auto"/>
            <w:vAlign w:val="center"/>
          </w:tcPr>
          <w:p w14:paraId="3BFB12E2">
            <w:pPr>
              <w:rPr>
                <w:rFonts w:ascii="宋体" w:hAnsi="宋体" w:eastAsia="宋体" w:cs="宋体"/>
                <w:sz w:val="24"/>
                <w:szCs w:val="24"/>
                <w:highlight w:val="none"/>
              </w:rPr>
            </w:pPr>
            <w:r>
              <w:rPr>
                <w:rFonts w:hint="eastAsia" w:ascii="宋体" w:hAnsi="宋体" w:eastAsia="宋体" w:cs="宋体"/>
                <w:sz w:val="24"/>
                <w:szCs w:val="24"/>
                <w:highlight w:val="none"/>
              </w:rPr>
              <w:t>消防控制室图形显示装置</w:t>
            </w:r>
          </w:p>
        </w:tc>
        <w:tc>
          <w:tcPr>
            <w:tcW w:w="3036" w:type="pct"/>
            <w:shd w:val="clear" w:color="auto" w:fill="auto"/>
            <w:vAlign w:val="center"/>
          </w:tcPr>
          <w:p w14:paraId="4EC337E3">
            <w:pPr>
              <w:rPr>
                <w:rFonts w:ascii="宋体" w:hAnsi="宋体" w:eastAsia="宋体" w:cs="宋体"/>
                <w:sz w:val="24"/>
                <w:szCs w:val="24"/>
                <w:highlight w:val="none"/>
              </w:rPr>
            </w:pPr>
            <w:r>
              <w:rPr>
                <w:rFonts w:hint="eastAsia" w:ascii="宋体" w:hAnsi="宋体" w:eastAsia="宋体" w:cs="宋体"/>
                <w:sz w:val="24"/>
                <w:szCs w:val="24"/>
                <w:highlight w:val="none"/>
              </w:rPr>
              <w:t>1.液晶分辨率：≥1366 × 768</w:t>
            </w:r>
          </w:p>
          <w:p w14:paraId="676A6354">
            <w:pPr>
              <w:rPr>
                <w:rFonts w:ascii="宋体" w:hAnsi="宋体" w:eastAsia="宋体" w:cs="宋体"/>
                <w:sz w:val="24"/>
                <w:szCs w:val="24"/>
                <w:highlight w:val="none"/>
              </w:rPr>
            </w:pPr>
            <w:r>
              <w:rPr>
                <w:rFonts w:hint="eastAsia" w:ascii="宋体" w:hAnsi="宋体" w:eastAsia="宋体" w:cs="宋体"/>
                <w:sz w:val="24"/>
                <w:szCs w:val="24"/>
                <w:highlight w:val="none"/>
              </w:rPr>
              <w:t>2.音频输入接口：不低于 1路MIC IN，音频输出接口： 1路LINE OUT，网络接口： 2个10M/100M/1000M自适应以太网接口，支持双网隔离，输出： 1路RS-232，4路RS-485，4路USB3.0</w:t>
            </w:r>
          </w:p>
          <w:p w14:paraId="35FE0991">
            <w:pPr>
              <w:rPr>
                <w:rFonts w:ascii="宋体" w:hAnsi="宋体" w:eastAsia="宋体" w:cs="宋体"/>
                <w:sz w:val="24"/>
                <w:szCs w:val="24"/>
                <w:highlight w:val="none"/>
              </w:rPr>
            </w:pPr>
            <w:r>
              <w:rPr>
                <w:rFonts w:hint="eastAsia" w:ascii="宋体" w:hAnsi="宋体" w:eastAsia="宋体" w:cs="宋体"/>
                <w:sz w:val="24"/>
                <w:szCs w:val="24"/>
                <w:highlight w:val="none"/>
              </w:rPr>
              <w:t>3.处理器：≥</w:t>
            </w:r>
            <w:r>
              <w:rPr>
                <w:rFonts w:ascii="宋体" w:hAnsi="宋体" w:eastAsia="宋体" w:cs="宋体"/>
                <w:sz w:val="24"/>
                <w:szCs w:val="24"/>
                <w:highlight w:val="none"/>
              </w:rPr>
              <w:t>2个 CPU 内核，1.1GHz CPU HFM 频率，1.8 CPU 内核单核脉冲频率，2 MB 高速缓存，6W 散热设计功率，8GB的 LPDDR4</w:t>
            </w:r>
            <w:r>
              <w:rPr>
                <w:rFonts w:hint="eastAsia" w:ascii="宋体" w:hAnsi="宋体" w:eastAsia="宋体" w:cs="宋体"/>
                <w:sz w:val="24"/>
                <w:szCs w:val="24"/>
                <w:highlight w:val="none"/>
              </w:rPr>
              <w:t xml:space="preserve"> </w:t>
            </w:r>
          </w:p>
          <w:p w14:paraId="181EC4DC">
            <w:pPr>
              <w:rPr>
                <w:rFonts w:ascii="宋体" w:hAnsi="宋体" w:eastAsia="宋体" w:cs="宋体"/>
                <w:sz w:val="24"/>
                <w:szCs w:val="24"/>
                <w:highlight w:val="none"/>
              </w:rPr>
            </w:pPr>
            <w:r>
              <w:rPr>
                <w:rFonts w:hint="eastAsia" w:ascii="宋体" w:hAnsi="宋体" w:eastAsia="宋体" w:cs="宋体"/>
                <w:sz w:val="24"/>
                <w:szCs w:val="24"/>
                <w:highlight w:val="none"/>
              </w:rPr>
              <w:t xml:space="preserve">4.内存：≥4 GB    </w:t>
            </w:r>
          </w:p>
          <w:p w14:paraId="6C5139CC">
            <w:pPr>
              <w:rPr>
                <w:rFonts w:ascii="宋体" w:hAnsi="宋体" w:eastAsia="宋体" w:cs="宋体"/>
                <w:sz w:val="24"/>
                <w:szCs w:val="24"/>
                <w:highlight w:val="none"/>
              </w:rPr>
            </w:pPr>
            <w:r>
              <w:rPr>
                <w:rFonts w:hint="eastAsia" w:ascii="宋体" w:hAnsi="宋体" w:eastAsia="宋体" w:cs="宋体"/>
                <w:sz w:val="24"/>
                <w:szCs w:val="24"/>
                <w:highlight w:val="none"/>
              </w:rPr>
              <w:t>5.指示灯： ≥7个：传输（红色）、火警（红色）、启动（红色）、反馈（红色）、故障（黄色）、屏蔽（黄色）、运行（绿色）</w:t>
            </w:r>
          </w:p>
          <w:p w14:paraId="68717543">
            <w:pPr>
              <w:rPr>
                <w:rFonts w:ascii="宋体" w:hAnsi="宋体" w:eastAsia="宋体" w:cs="宋体"/>
                <w:sz w:val="24"/>
                <w:szCs w:val="24"/>
                <w:highlight w:val="none"/>
              </w:rPr>
            </w:pPr>
            <w:r>
              <w:rPr>
                <w:rFonts w:hint="eastAsia" w:ascii="宋体" w:hAnsi="宋体" w:eastAsia="宋体" w:cs="宋体"/>
                <w:sz w:val="24"/>
                <w:szCs w:val="24"/>
                <w:highlight w:val="none"/>
              </w:rPr>
              <w:t>6.额定电压： AC 220 V，50 Hz，额定功率： ≤ 30 W</w:t>
            </w:r>
          </w:p>
          <w:p w14:paraId="4DD30312">
            <w:pPr>
              <w:rPr>
                <w:rFonts w:ascii="宋体" w:hAnsi="宋体" w:eastAsia="宋体" w:cs="宋体"/>
                <w:sz w:val="24"/>
                <w:szCs w:val="24"/>
                <w:highlight w:val="none"/>
              </w:rPr>
            </w:pPr>
            <w:r>
              <w:rPr>
                <w:rFonts w:hint="eastAsia" w:ascii="宋体" w:hAnsi="宋体" w:eastAsia="宋体" w:cs="宋体"/>
                <w:sz w:val="24"/>
                <w:szCs w:val="24"/>
                <w:highlight w:val="none"/>
              </w:rPr>
              <w:t>7.支持嵌入到柜式/琴台机柜中，也支持桌面式安装使用。</w:t>
            </w:r>
          </w:p>
          <w:p w14:paraId="01D87172">
            <w:pPr>
              <w:rPr>
                <w:rFonts w:ascii="宋体" w:hAnsi="宋体" w:eastAsia="宋体" w:cs="宋体"/>
                <w:sz w:val="24"/>
                <w:szCs w:val="24"/>
                <w:highlight w:val="none"/>
              </w:rPr>
            </w:pPr>
            <w:r>
              <w:rPr>
                <w:rFonts w:hint="eastAsia" w:ascii="宋体" w:hAnsi="宋体" w:eastAsia="宋体" w:cs="宋体"/>
                <w:sz w:val="24"/>
                <w:szCs w:val="24"/>
                <w:highlight w:val="none"/>
              </w:rPr>
              <w:t>8.支持双千兆网卡，支持网络容错、双网络 IP 设定以及双网隔离等。</w:t>
            </w:r>
          </w:p>
          <w:p w14:paraId="0B6D1AFC">
            <w:pPr>
              <w:rPr>
                <w:rFonts w:ascii="宋体" w:hAnsi="宋体" w:eastAsia="宋体" w:cs="宋体"/>
                <w:sz w:val="24"/>
                <w:szCs w:val="24"/>
                <w:highlight w:val="none"/>
              </w:rPr>
            </w:pPr>
            <w:r>
              <w:rPr>
                <w:rFonts w:hint="eastAsia" w:ascii="宋体" w:hAnsi="宋体" w:eastAsia="宋体" w:cs="宋体"/>
                <w:sz w:val="24"/>
                <w:szCs w:val="24"/>
                <w:highlight w:val="none"/>
              </w:rPr>
              <w:t>9.自主设计开发 BIOS。</w:t>
            </w:r>
          </w:p>
          <w:p w14:paraId="3310E8AF">
            <w:pPr>
              <w:rPr>
                <w:rFonts w:ascii="宋体" w:hAnsi="宋体" w:eastAsia="宋体" w:cs="宋体"/>
                <w:sz w:val="24"/>
                <w:szCs w:val="24"/>
                <w:highlight w:val="none"/>
              </w:rPr>
            </w:pPr>
            <w:r>
              <w:rPr>
                <w:rFonts w:hint="eastAsia" w:ascii="宋体" w:hAnsi="宋体" w:eastAsia="宋体" w:cs="宋体"/>
                <w:sz w:val="24"/>
                <w:szCs w:val="24"/>
                <w:highlight w:val="none"/>
              </w:rPr>
              <w:t>★10.支持普通摄像机、球机、热成像摄像机、安消智能摄像机及视频储存设备的接入，支持添加的视频通道数不少于</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000路。（</w:t>
            </w:r>
            <w:r>
              <w:rPr>
                <w:rFonts w:hint="eastAsia" w:ascii="宋体" w:hAnsi="宋体" w:eastAsia="宋体" w:cs="宋体"/>
                <w:b/>
                <w:bCs/>
                <w:sz w:val="24"/>
                <w:szCs w:val="24"/>
                <w:highlight w:val="none"/>
              </w:rPr>
              <w:t>提供具有CMA或CNAS标识的第三方有权机构出具的检验报告</w:t>
            </w:r>
            <w:r>
              <w:rPr>
                <w:rFonts w:hint="eastAsia" w:ascii="宋体" w:hAnsi="宋体" w:eastAsia="宋体" w:cs="宋体"/>
                <w:sz w:val="24"/>
                <w:szCs w:val="24"/>
                <w:highlight w:val="none"/>
              </w:rPr>
              <w:t>）</w:t>
            </w:r>
          </w:p>
          <w:p w14:paraId="5CACC9D9">
            <w:pPr>
              <w:rPr>
                <w:rFonts w:ascii="宋体" w:hAnsi="宋体" w:eastAsia="宋体" w:cs="宋体"/>
                <w:sz w:val="24"/>
                <w:szCs w:val="24"/>
                <w:highlight w:val="none"/>
              </w:rPr>
            </w:pPr>
            <w:r>
              <w:rPr>
                <w:rFonts w:hint="eastAsia" w:ascii="宋体" w:hAnsi="宋体" w:eastAsia="宋体" w:cs="宋体"/>
                <w:sz w:val="24"/>
                <w:szCs w:val="24"/>
                <w:highlight w:val="none"/>
              </w:rPr>
              <w:t>★11.支持将火灾自动报警系统报警点位与视频通道进行关联，当接收到火灾自动报警系统，可在3S内弹窗显示关联的视频，实时查看报警区域的视频图像，实现火警的远程视频复核。（</w:t>
            </w:r>
            <w:r>
              <w:rPr>
                <w:rFonts w:hint="eastAsia" w:ascii="宋体" w:hAnsi="宋体" w:eastAsia="宋体" w:cs="宋体"/>
                <w:b/>
                <w:bCs/>
                <w:sz w:val="24"/>
                <w:szCs w:val="24"/>
                <w:highlight w:val="none"/>
              </w:rPr>
              <w:t>提供具有CMA或CNAS标识的第三方有权机构出具的检验报告</w:t>
            </w:r>
            <w:r>
              <w:rPr>
                <w:rFonts w:hint="eastAsia" w:ascii="宋体" w:hAnsi="宋体" w:eastAsia="宋体" w:cs="宋体"/>
                <w:sz w:val="24"/>
                <w:szCs w:val="24"/>
                <w:highlight w:val="none"/>
              </w:rPr>
              <w:t>）</w:t>
            </w:r>
          </w:p>
          <w:p w14:paraId="486BAAA0">
            <w:pPr>
              <w:rPr>
                <w:rFonts w:ascii="宋体" w:hAnsi="宋体" w:eastAsia="宋体" w:cs="宋体"/>
                <w:sz w:val="24"/>
                <w:szCs w:val="24"/>
                <w:highlight w:val="none"/>
              </w:rPr>
            </w:pPr>
            <w:r>
              <w:rPr>
                <w:rFonts w:hint="eastAsia" w:ascii="宋体" w:hAnsi="宋体" w:eastAsia="宋体" w:cs="宋体"/>
                <w:sz w:val="24"/>
                <w:szCs w:val="24"/>
                <w:highlight w:val="none"/>
              </w:rPr>
              <w:t>★12.支持将气体灭控制系统的手动/自动启停按钮与视频通道进行关联，当接收到气体灭控制系统的启动喷洒事件后，可在3S内弹窗显示关联的视频，实时查看气体灭火区域的视频图像及弹窗显示气体灭火系统即将启动的倒计时窗口，并支持提前启动或停止气体灭火控制系统的气体喷洒。（</w:t>
            </w:r>
            <w:r>
              <w:rPr>
                <w:rFonts w:hint="eastAsia" w:ascii="宋体" w:hAnsi="宋体" w:eastAsia="宋体" w:cs="宋体"/>
                <w:b/>
                <w:bCs/>
                <w:sz w:val="24"/>
                <w:szCs w:val="24"/>
                <w:highlight w:val="none"/>
              </w:rPr>
              <w:t>提供具有CMA或CNAS标识的第三方有权机构出具的检验报告</w:t>
            </w:r>
            <w:r>
              <w:rPr>
                <w:rFonts w:hint="eastAsia" w:ascii="宋体" w:hAnsi="宋体" w:eastAsia="宋体" w:cs="宋体"/>
                <w:sz w:val="24"/>
                <w:szCs w:val="24"/>
                <w:highlight w:val="none"/>
              </w:rPr>
              <w:t>）</w:t>
            </w:r>
          </w:p>
          <w:p w14:paraId="49E210B3">
            <w:pPr>
              <w:rPr>
                <w:rFonts w:ascii="宋体" w:hAnsi="宋体" w:eastAsia="宋体" w:cs="宋体"/>
                <w:sz w:val="24"/>
                <w:szCs w:val="24"/>
                <w:highlight w:val="none"/>
              </w:rPr>
            </w:pPr>
            <w:r>
              <w:rPr>
                <w:rFonts w:hint="eastAsia" w:ascii="宋体" w:hAnsi="宋体" w:eastAsia="宋体" w:cs="宋体"/>
                <w:sz w:val="24"/>
                <w:szCs w:val="24"/>
                <w:highlight w:val="none"/>
              </w:rPr>
              <w:t>★13.火警、故障、启动、反馈、监管、屏蔽等记录存储支持</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0000条以上（且均支持按时间段进行查询），关联的图片存储支持</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000张以上，用户操作记录支持</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0000条以上。（</w:t>
            </w:r>
            <w:r>
              <w:rPr>
                <w:rFonts w:hint="eastAsia" w:ascii="宋体" w:hAnsi="宋体" w:eastAsia="宋体" w:cs="宋体"/>
                <w:b/>
                <w:bCs/>
                <w:sz w:val="24"/>
                <w:szCs w:val="24"/>
                <w:highlight w:val="none"/>
              </w:rPr>
              <w:t>提供具有CMA或CNAS标识的第三方有权机构出具的检验报告</w:t>
            </w:r>
            <w:r>
              <w:rPr>
                <w:rFonts w:hint="eastAsia" w:ascii="宋体" w:hAnsi="宋体" w:eastAsia="宋体" w:cs="宋体"/>
                <w:sz w:val="24"/>
                <w:szCs w:val="24"/>
                <w:highlight w:val="none"/>
              </w:rPr>
              <w:t>）</w:t>
            </w:r>
          </w:p>
        </w:tc>
        <w:tc>
          <w:tcPr>
            <w:tcW w:w="380" w:type="pct"/>
            <w:shd w:val="clear" w:color="auto" w:fill="auto"/>
            <w:vAlign w:val="center"/>
          </w:tcPr>
          <w:p w14:paraId="7DBA4E98">
            <w:pPr>
              <w:rPr>
                <w:rFonts w:ascii="宋体" w:hAnsi="宋体" w:eastAsia="宋体" w:cs="宋体"/>
                <w:sz w:val="24"/>
                <w:szCs w:val="24"/>
                <w:highlight w:val="none"/>
                <w:lang w:eastAsia="en-US"/>
              </w:rPr>
            </w:pPr>
            <w:r>
              <w:rPr>
                <w:rFonts w:hint="eastAsia" w:ascii="宋体" w:hAnsi="宋体" w:eastAsia="宋体" w:cs="宋体"/>
                <w:sz w:val="24"/>
                <w:szCs w:val="24"/>
                <w:highlight w:val="none"/>
              </w:rPr>
              <w:t>13</w:t>
            </w:r>
          </w:p>
        </w:tc>
        <w:tc>
          <w:tcPr>
            <w:tcW w:w="218" w:type="pct"/>
            <w:shd w:val="clear" w:color="auto" w:fill="auto"/>
            <w:vAlign w:val="center"/>
          </w:tcPr>
          <w:p w14:paraId="322B55E2">
            <w:pPr>
              <w:rPr>
                <w:rFonts w:ascii="宋体" w:hAnsi="宋体" w:eastAsia="宋体" w:cs="宋体"/>
                <w:sz w:val="24"/>
                <w:szCs w:val="24"/>
                <w:highlight w:val="none"/>
                <w:lang w:eastAsia="en-US"/>
              </w:rPr>
            </w:pPr>
            <w:r>
              <w:rPr>
                <w:rFonts w:hint="eastAsia" w:ascii="宋体" w:hAnsi="宋体" w:eastAsia="宋体" w:cs="宋体"/>
                <w:sz w:val="24"/>
                <w:szCs w:val="24"/>
                <w:highlight w:val="none"/>
              </w:rPr>
              <w:t>套</w:t>
            </w:r>
          </w:p>
        </w:tc>
        <w:tc>
          <w:tcPr>
            <w:tcW w:w="414" w:type="pct"/>
            <w:vAlign w:val="center"/>
          </w:tcPr>
          <w:p w14:paraId="234E7CEA">
            <w:pPr>
              <w:rPr>
                <w:rFonts w:ascii="宋体" w:hAnsi="宋体" w:eastAsia="宋体" w:cs="宋体"/>
                <w:sz w:val="24"/>
                <w:szCs w:val="24"/>
                <w:highlight w:val="none"/>
              </w:rPr>
            </w:pPr>
            <w:r>
              <w:rPr>
                <w:rFonts w:hint="eastAsia" w:ascii="宋体" w:hAnsi="宋体" w:eastAsia="宋体" w:cs="宋体"/>
                <w:sz w:val="24"/>
                <w:szCs w:val="24"/>
                <w:highlight w:val="none"/>
              </w:rPr>
              <w:t>工业</w:t>
            </w:r>
          </w:p>
        </w:tc>
        <w:tc>
          <w:tcPr>
            <w:tcW w:w="261" w:type="pct"/>
            <w:vAlign w:val="center"/>
          </w:tcPr>
          <w:p w14:paraId="1B800039">
            <w:pPr>
              <w:rPr>
                <w:rFonts w:ascii="宋体" w:hAnsi="宋体" w:eastAsia="宋体" w:cs="宋体"/>
                <w:sz w:val="24"/>
                <w:szCs w:val="24"/>
                <w:highlight w:val="none"/>
              </w:rPr>
            </w:pPr>
          </w:p>
        </w:tc>
      </w:tr>
      <w:tr w14:paraId="763E9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 w:type="pct"/>
            <w:shd w:val="clear" w:color="auto" w:fill="auto"/>
            <w:vAlign w:val="center"/>
          </w:tcPr>
          <w:p w14:paraId="5BAEE889">
            <w:pPr>
              <w:widowControl/>
              <w:jc w:val="right"/>
              <w:textAlignment w:val="center"/>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14</w:t>
            </w:r>
          </w:p>
        </w:tc>
        <w:tc>
          <w:tcPr>
            <w:tcW w:w="427" w:type="pct"/>
            <w:shd w:val="clear" w:color="auto" w:fill="auto"/>
            <w:vAlign w:val="center"/>
          </w:tcPr>
          <w:p w14:paraId="0178641F">
            <w:pPr>
              <w:rPr>
                <w:rFonts w:ascii="宋体" w:hAnsi="宋体" w:eastAsia="宋体" w:cs="宋体"/>
                <w:sz w:val="24"/>
                <w:szCs w:val="24"/>
                <w:highlight w:val="none"/>
                <w:lang w:eastAsia="en-US"/>
              </w:rPr>
            </w:pPr>
            <w:r>
              <w:rPr>
                <w:rFonts w:hint="eastAsia" w:ascii="宋体" w:hAnsi="宋体" w:eastAsia="宋体" w:cs="宋体"/>
                <w:sz w:val="24"/>
                <w:szCs w:val="24"/>
                <w:highlight w:val="none"/>
              </w:rPr>
              <w:t>火灾报警控制器</w:t>
            </w:r>
          </w:p>
        </w:tc>
        <w:tc>
          <w:tcPr>
            <w:tcW w:w="3036" w:type="pct"/>
            <w:shd w:val="clear" w:color="auto" w:fill="auto"/>
            <w:vAlign w:val="center"/>
          </w:tcPr>
          <w:p w14:paraId="23D17503">
            <w:pPr>
              <w:rPr>
                <w:rFonts w:ascii="宋体" w:hAnsi="宋体" w:eastAsia="宋体" w:cs="宋体"/>
                <w:sz w:val="24"/>
                <w:szCs w:val="24"/>
                <w:highlight w:val="none"/>
              </w:rPr>
            </w:pPr>
            <w:r>
              <w:rPr>
                <w:rFonts w:hint="eastAsia" w:ascii="宋体" w:hAnsi="宋体" w:eastAsia="宋体" w:cs="宋体"/>
                <w:sz w:val="24"/>
                <w:szCs w:val="24"/>
                <w:highlight w:val="none"/>
              </w:rPr>
              <w:t>1.容量：≥2回路，每回路满载250点</w:t>
            </w:r>
          </w:p>
          <w:p w14:paraId="4F50E343">
            <w:pPr>
              <w:rPr>
                <w:rFonts w:ascii="宋体" w:hAnsi="宋体" w:eastAsia="宋体" w:cs="宋体"/>
                <w:sz w:val="24"/>
                <w:szCs w:val="24"/>
                <w:highlight w:val="none"/>
              </w:rPr>
            </w:pPr>
            <w:r>
              <w:rPr>
                <w:rFonts w:hint="eastAsia" w:ascii="宋体" w:hAnsi="宋体" w:eastAsia="宋体" w:cs="宋体"/>
                <w:sz w:val="24"/>
                <w:szCs w:val="24"/>
                <w:highlight w:val="none"/>
              </w:rPr>
              <w:t>2.执行标准：GB 4717-2005、GB 16806-2006</w:t>
            </w:r>
          </w:p>
          <w:p w14:paraId="12C014E8">
            <w:pPr>
              <w:rPr>
                <w:rFonts w:ascii="宋体" w:hAnsi="宋体" w:eastAsia="宋体" w:cs="宋体"/>
                <w:sz w:val="24"/>
                <w:szCs w:val="24"/>
                <w:highlight w:val="none"/>
              </w:rPr>
            </w:pPr>
            <w:r>
              <w:rPr>
                <w:rFonts w:hint="eastAsia" w:ascii="宋体" w:hAnsi="宋体" w:eastAsia="宋体" w:cs="宋体"/>
                <w:sz w:val="24"/>
                <w:szCs w:val="24"/>
                <w:highlight w:val="none"/>
              </w:rPr>
              <w:t>3.安装方式：立柜式</w:t>
            </w:r>
          </w:p>
          <w:p w14:paraId="1E3F3DB0">
            <w:pPr>
              <w:rPr>
                <w:rFonts w:ascii="宋体" w:hAnsi="宋体" w:eastAsia="宋体" w:cs="宋体"/>
                <w:sz w:val="24"/>
                <w:szCs w:val="24"/>
                <w:highlight w:val="none"/>
              </w:rPr>
            </w:pPr>
            <w:r>
              <w:rPr>
                <w:rFonts w:hint="eastAsia" w:ascii="宋体" w:hAnsi="宋体" w:eastAsia="宋体" w:cs="宋体"/>
                <w:sz w:val="24"/>
                <w:szCs w:val="24"/>
                <w:highlight w:val="none"/>
              </w:rPr>
              <w:t>4.存储温湿度：温度：0 ℃~40 ℃；湿度：10%~95%RH（不结露）</w:t>
            </w:r>
          </w:p>
          <w:p w14:paraId="14CC4202">
            <w:pPr>
              <w:rPr>
                <w:rFonts w:ascii="宋体" w:hAnsi="宋体" w:eastAsia="宋体" w:cs="宋体"/>
                <w:sz w:val="24"/>
                <w:szCs w:val="24"/>
                <w:highlight w:val="none"/>
              </w:rPr>
            </w:pPr>
            <w:r>
              <w:rPr>
                <w:rFonts w:hint="eastAsia" w:ascii="宋体" w:hAnsi="宋体" w:eastAsia="宋体" w:cs="宋体"/>
                <w:sz w:val="24"/>
                <w:szCs w:val="24"/>
                <w:highlight w:val="none"/>
              </w:rPr>
              <w:t>5.打印机：微型热敏打印机（打印纸规格不大于：57 mm（宽）× 50 mm（直径））</w:t>
            </w:r>
          </w:p>
          <w:p w14:paraId="082BDF42">
            <w:pPr>
              <w:rPr>
                <w:rFonts w:ascii="宋体" w:hAnsi="宋体" w:eastAsia="宋体" w:cs="宋体"/>
                <w:sz w:val="24"/>
                <w:szCs w:val="24"/>
                <w:highlight w:val="none"/>
              </w:rPr>
            </w:pPr>
            <w:r>
              <w:rPr>
                <w:rFonts w:hint="eastAsia" w:ascii="宋体" w:hAnsi="宋体" w:eastAsia="宋体" w:cs="宋体"/>
                <w:sz w:val="24"/>
                <w:szCs w:val="24"/>
                <w:highlight w:val="none"/>
              </w:rPr>
              <w:t>6.线制：无极性两总线</w:t>
            </w:r>
          </w:p>
          <w:p w14:paraId="7C5E6AFA">
            <w:pPr>
              <w:rPr>
                <w:rFonts w:ascii="宋体" w:hAnsi="宋体" w:eastAsia="宋体" w:cs="宋体"/>
                <w:sz w:val="24"/>
                <w:szCs w:val="24"/>
                <w:highlight w:val="none"/>
              </w:rPr>
            </w:pPr>
            <w:r>
              <w:rPr>
                <w:rFonts w:hint="eastAsia" w:ascii="宋体" w:hAnsi="宋体" w:eastAsia="宋体" w:cs="宋体"/>
                <w:sz w:val="24"/>
                <w:szCs w:val="24"/>
                <w:highlight w:val="none"/>
              </w:rPr>
              <w:t>7.标配：含1个8路多线操作盘</w:t>
            </w:r>
          </w:p>
          <w:p w14:paraId="153423E9">
            <w:pPr>
              <w:rPr>
                <w:rFonts w:ascii="宋体" w:hAnsi="宋体" w:eastAsia="宋体" w:cs="宋体"/>
                <w:sz w:val="24"/>
                <w:szCs w:val="24"/>
                <w:highlight w:val="none"/>
              </w:rPr>
            </w:pPr>
            <w:r>
              <w:rPr>
                <w:rFonts w:hint="eastAsia" w:ascii="宋体" w:hAnsi="宋体" w:eastAsia="宋体" w:cs="宋体"/>
                <w:sz w:val="24"/>
                <w:szCs w:val="24"/>
                <w:highlight w:val="none"/>
              </w:rPr>
              <w:t>8.受控24V：DC 24 V/2A</w:t>
            </w:r>
          </w:p>
          <w:p w14:paraId="23ECC06F">
            <w:pPr>
              <w:rPr>
                <w:rFonts w:ascii="宋体" w:hAnsi="宋体" w:eastAsia="宋体" w:cs="宋体"/>
                <w:sz w:val="24"/>
                <w:szCs w:val="24"/>
                <w:highlight w:val="none"/>
              </w:rPr>
            </w:pPr>
            <w:r>
              <w:rPr>
                <w:rFonts w:hint="eastAsia" w:ascii="宋体" w:hAnsi="宋体" w:eastAsia="宋体" w:cs="宋体"/>
                <w:sz w:val="24"/>
                <w:szCs w:val="24"/>
                <w:highlight w:val="none"/>
              </w:rPr>
              <w:t>9.输出接口：火警继电器、RS-485 ╳3、CAN ╳1，24V对外供电输出</w:t>
            </w:r>
          </w:p>
          <w:p w14:paraId="5950E8D1">
            <w:pPr>
              <w:rPr>
                <w:rFonts w:ascii="宋体" w:hAnsi="宋体" w:eastAsia="宋体" w:cs="宋体"/>
                <w:sz w:val="24"/>
                <w:szCs w:val="24"/>
                <w:highlight w:val="none"/>
              </w:rPr>
            </w:pPr>
            <w:r>
              <w:rPr>
                <w:rFonts w:hint="eastAsia" w:ascii="宋体" w:hAnsi="宋体" w:eastAsia="宋体" w:cs="宋体"/>
                <w:sz w:val="24"/>
                <w:szCs w:val="24"/>
                <w:highlight w:val="none"/>
              </w:rPr>
              <w:t>10.总线参数：总线电压：24 V脉冲电平</w:t>
            </w:r>
          </w:p>
          <w:p w14:paraId="0C12012B">
            <w:pPr>
              <w:rPr>
                <w:rFonts w:ascii="宋体" w:hAnsi="宋体" w:eastAsia="宋体" w:cs="宋体"/>
                <w:sz w:val="24"/>
                <w:szCs w:val="24"/>
                <w:highlight w:val="none"/>
              </w:rPr>
            </w:pPr>
            <w:r>
              <w:rPr>
                <w:rFonts w:hint="eastAsia" w:ascii="宋体" w:hAnsi="宋体" w:eastAsia="宋体" w:cs="宋体"/>
                <w:sz w:val="24"/>
                <w:szCs w:val="24"/>
                <w:highlight w:val="none"/>
              </w:rPr>
              <w:t>11.布线要求： RVS 2 × 1.5 mm²， 最大距离：1000 m</w:t>
            </w:r>
          </w:p>
          <w:p w14:paraId="619CD74B">
            <w:pPr>
              <w:rPr>
                <w:rFonts w:ascii="宋体" w:hAnsi="宋体" w:eastAsia="宋体" w:cs="宋体"/>
                <w:sz w:val="24"/>
                <w:szCs w:val="24"/>
                <w:highlight w:val="none"/>
              </w:rPr>
            </w:pPr>
            <w:r>
              <w:rPr>
                <w:rFonts w:hint="eastAsia" w:ascii="宋体" w:hAnsi="宋体" w:eastAsia="宋体" w:cs="宋体"/>
                <w:sz w:val="24"/>
                <w:szCs w:val="24"/>
                <w:highlight w:val="none"/>
              </w:rPr>
              <w:t>12.提供配件。</w:t>
            </w:r>
          </w:p>
          <w:p w14:paraId="3BFF2B65">
            <w:pPr>
              <w:rPr>
                <w:rFonts w:ascii="宋体" w:hAnsi="宋体" w:eastAsia="宋体" w:cs="宋体"/>
                <w:sz w:val="24"/>
                <w:szCs w:val="24"/>
                <w:highlight w:val="none"/>
              </w:rPr>
            </w:pPr>
            <w:r>
              <w:rPr>
                <w:rFonts w:hint="eastAsia" w:ascii="宋体" w:hAnsi="宋体" w:eastAsia="宋体" w:cs="宋体"/>
                <w:sz w:val="24"/>
                <w:szCs w:val="24"/>
                <w:highlight w:val="none"/>
              </w:rPr>
              <w:t>★13.</w:t>
            </w:r>
            <w:r>
              <w:rPr>
                <w:rFonts w:hint="eastAsia" w:ascii="宋体" w:hAnsi="宋体" w:eastAsia="宋体" w:cs="宋体"/>
                <w:b/>
                <w:bCs/>
                <w:sz w:val="24"/>
                <w:szCs w:val="24"/>
                <w:highlight w:val="none"/>
              </w:rPr>
              <w:t>提供消防产品认证证书复印件或扫描件</w:t>
            </w:r>
          </w:p>
        </w:tc>
        <w:tc>
          <w:tcPr>
            <w:tcW w:w="380" w:type="pct"/>
            <w:shd w:val="clear" w:color="auto" w:fill="auto"/>
            <w:vAlign w:val="center"/>
          </w:tcPr>
          <w:p w14:paraId="0D68E9CF">
            <w:pPr>
              <w:rPr>
                <w:rFonts w:ascii="宋体" w:hAnsi="宋体" w:eastAsia="宋体" w:cs="宋体"/>
                <w:sz w:val="24"/>
                <w:szCs w:val="24"/>
                <w:highlight w:val="none"/>
                <w:lang w:eastAsia="en-US"/>
              </w:rPr>
            </w:pPr>
            <w:r>
              <w:rPr>
                <w:rFonts w:hint="eastAsia" w:ascii="宋体" w:hAnsi="宋体" w:eastAsia="宋体" w:cs="宋体"/>
                <w:sz w:val="24"/>
                <w:szCs w:val="24"/>
                <w:highlight w:val="none"/>
              </w:rPr>
              <w:t>13</w:t>
            </w:r>
          </w:p>
        </w:tc>
        <w:tc>
          <w:tcPr>
            <w:tcW w:w="218" w:type="pct"/>
            <w:shd w:val="clear" w:color="auto" w:fill="auto"/>
            <w:vAlign w:val="center"/>
          </w:tcPr>
          <w:p w14:paraId="13E0AD02">
            <w:pPr>
              <w:rPr>
                <w:rFonts w:ascii="宋体" w:hAnsi="宋体" w:eastAsia="宋体" w:cs="宋体"/>
                <w:sz w:val="24"/>
                <w:szCs w:val="24"/>
                <w:highlight w:val="none"/>
                <w:lang w:eastAsia="en-US"/>
              </w:rPr>
            </w:pPr>
            <w:r>
              <w:rPr>
                <w:rFonts w:hint="eastAsia" w:ascii="宋体" w:hAnsi="宋体" w:eastAsia="宋体" w:cs="宋体"/>
                <w:sz w:val="24"/>
                <w:szCs w:val="24"/>
                <w:highlight w:val="none"/>
              </w:rPr>
              <w:t>套</w:t>
            </w:r>
          </w:p>
        </w:tc>
        <w:tc>
          <w:tcPr>
            <w:tcW w:w="414" w:type="pct"/>
            <w:vAlign w:val="center"/>
          </w:tcPr>
          <w:p w14:paraId="2A246BC0">
            <w:pPr>
              <w:rPr>
                <w:rFonts w:ascii="宋体" w:hAnsi="宋体" w:eastAsia="宋体" w:cs="宋体"/>
                <w:sz w:val="24"/>
                <w:szCs w:val="24"/>
                <w:highlight w:val="none"/>
              </w:rPr>
            </w:pPr>
            <w:r>
              <w:rPr>
                <w:rFonts w:hint="eastAsia" w:ascii="宋体" w:hAnsi="宋体" w:eastAsia="宋体" w:cs="宋体"/>
                <w:sz w:val="24"/>
                <w:szCs w:val="24"/>
                <w:highlight w:val="none"/>
              </w:rPr>
              <w:t>工业</w:t>
            </w:r>
          </w:p>
        </w:tc>
        <w:tc>
          <w:tcPr>
            <w:tcW w:w="261" w:type="pct"/>
            <w:vAlign w:val="center"/>
          </w:tcPr>
          <w:p w14:paraId="5F035E64">
            <w:pPr>
              <w:rPr>
                <w:rFonts w:ascii="宋体" w:hAnsi="宋体" w:eastAsia="宋体" w:cs="宋体"/>
                <w:sz w:val="24"/>
                <w:szCs w:val="24"/>
                <w:highlight w:val="none"/>
              </w:rPr>
            </w:pPr>
          </w:p>
        </w:tc>
      </w:tr>
      <w:tr w14:paraId="62A94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 w:type="pct"/>
            <w:shd w:val="clear" w:color="auto" w:fill="auto"/>
            <w:vAlign w:val="center"/>
          </w:tcPr>
          <w:p w14:paraId="53FDBF5F">
            <w:pPr>
              <w:widowControl/>
              <w:jc w:val="right"/>
              <w:textAlignment w:val="center"/>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15</w:t>
            </w:r>
          </w:p>
        </w:tc>
        <w:tc>
          <w:tcPr>
            <w:tcW w:w="427" w:type="pct"/>
            <w:shd w:val="clear" w:color="auto" w:fill="auto"/>
            <w:vAlign w:val="center"/>
          </w:tcPr>
          <w:p w14:paraId="0B99F12F">
            <w:pPr>
              <w:rPr>
                <w:rFonts w:ascii="宋体" w:hAnsi="宋体" w:eastAsia="宋体" w:cs="宋体"/>
                <w:sz w:val="24"/>
                <w:szCs w:val="24"/>
                <w:highlight w:val="none"/>
                <w:lang w:eastAsia="en-US"/>
              </w:rPr>
            </w:pPr>
            <w:r>
              <w:rPr>
                <w:rFonts w:hint="eastAsia" w:ascii="宋体" w:hAnsi="宋体" w:eastAsia="宋体" w:cs="宋体"/>
                <w:sz w:val="24"/>
                <w:szCs w:val="24"/>
                <w:highlight w:val="none"/>
              </w:rPr>
              <w:t>火灾显示盘</w:t>
            </w:r>
          </w:p>
        </w:tc>
        <w:tc>
          <w:tcPr>
            <w:tcW w:w="3036" w:type="pct"/>
            <w:shd w:val="clear" w:color="auto" w:fill="auto"/>
            <w:vAlign w:val="center"/>
          </w:tcPr>
          <w:p w14:paraId="6CF62E57">
            <w:pPr>
              <w:rPr>
                <w:rFonts w:ascii="宋体" w:hAnsi="宋体" w:eastAsia="宋体" w:cs="宋体"/>
                <w:sz w:val="24"/>
                <w:szCs w:val="24"/>
                <w:highlight w:val="none"/>
              </w:rPr>
            </w:pPr>
            <w:r>
              <w:rPr>
                <w:rFonts w:hint="eastAsia" w:ascii="宋体" w:hAnsi="宋体" w:eastAsia="宋体" w:cs="宋体"/>
                <w:sz w:val="24"/>
                <w:szCs w:val="24"/>
                <w:highlight w:val="none"/>
              </w:rPr>
              <w:t>1.执行标准：GB 17429-2011《火灾显示盘》</w:t>
            </w:r>
          </w:p>
          <w:p w14:paraId="7CFE4050">
            <w:pPr>
              <w:rPr>
                <w:rFonts w:ascii="宋体" w:hAnsi="宋体" w:eastAsia="宋体" w:cs="宋体"/>
                <w:sz w:val="24"/>
                <w:szCs w:val="24"/>
                <w:highlight w:val="none"/>
              </w:rPr>
            </w:pPr>
            <w:r>
              <w:rPr>
                <w:rFonts w:hint="eastAsia" w:ascii="宋体" w:hAnsi="宋体" w:eastAsia="宋体" w:cs="宋体"/>
                <w:sz w:val="24"/>
                <w:szCs w:val="24"/>
                <w:highlight w:val="none"/>
              </w:rPr>
              <w:t>2.显 示 屏：≥128 × 64 点阵中文液晶显示屏</w:t>
            </w:r>
          </w:p>
          <w:p w14:paraId="615405D2">
            <w:pPr>
              <w:rPr>
                <w:rFonts w:ascii="宋体" w:hAnsi="宋体" w:eastAsia="宋体" w:cs="宋体"/>
                <w:sz w:val="24"/>
                <w:szCs w:val="24"/>
                <w:highlight w:val="none"/>
              </w:rPr>
            </w:pPr>
            <w:r>
              <w:rPr>
                <w:rFonts w:hint="eastAsia" w:ascii="宋体" w:hAnsi="宋体" w:eastAsia="宋体" w:cs="宋体"/>
                <w:sz w:val="24"/>
                <w:szCs w:val="24"/>
                <w:highlight w:val="none"/>
              </w:rPr>
              <w:t>额定工作电压：总线脉动电压 24 V</w:t>
            </w:r>
          </w:p>
          <w:p w14:paraId="4C04FBC1">
            <w:pPr>
              <w:rPr>
                <w:rFonts w:ascii="宋体" w:hAnsi="宋体" w:eastAsia="宋体" w:cs="宋体"/>
                <w:sz w:val="24"/>
                <w:szCs w:val="24"/>
                <w:highlight w:val="none"/>
              </w:rPr>
            </w:pPr>
            <w:r>
              <w:rPr>
                <w:rFonts w:hint="eastAsia" w:ascii="宋体" w:hAnsi="宋体" w:eastAsia="宋体" w:cs="宋体"/>
                <w:sz w:val="24"/>
                <w:szCs w:val="24"/>
                <w:highlight w:val="none"/>
              </w:rPr>
              <w:t>3.整机功耗：待机状态 &lt; 1.5uA 、报警状态 &lt; 7.5mA</w:t>
            </w:r>
          </w:p>
          <w:p w14:paraId="12187485">
            <w:pPr>
              <w:rPr>
                <w:rFonts w:ascii="宋体" w:hAnsi="宋体" w:eastAsia="宋体" w:cs="宋体"/>
                <w:sz w:val="24"/>
                <w:szCs w:val="24"/>
                <w:highlight w:val="none"/>
              </w:rPr>
            </w:pPr>
            <w:r>
              <w:rPr>
                <w:rFonts w:hint="eastAsia" w:ascii="宋体" w:hAnsi="宋体" w:eastAsia="宋体" w:cs="宋体"/>
                <w:sz w:val="24"/>
                <w:szCs w:val="24"/>
                <w:highlight w:val="none"/>
              </w:rPr>
              <w:t>4.显示容量：≥999 条</w:t>
            </w:r>
          </w:p>
          <w:p w14:paraId="3734036E">
            <w:pPr>
              <w:rPr>
                <w:rFonts w:ascii="宋体" w:hAnsi="宋体" w:eastAsia="宋体" w:cs="宋体"/>
                <w:sz w:val="24"/>
                <w:szCs w:val="24"/>
                <w:highlight w:val="none"/>
              </w:rPr>
            </w:pPr>
            <w:r>
              <w:rPr>
                <w:rFonts w:hint="eastAsia" w:ascii="宋体" w:hAnsi="宋体" w:eastAsia="宋体" w:cs="宋体"/>
                <w:sz w:val="24"/>
                <w:szCs w:val="24"/>
                <w:highlight w:val="none"/>
              </w:rPr>
              <w:t>5.接线方式：信号线：无极性两总线</w:t>
            </w:r>
          </w:p>
          <w:p w14:paraId="52536C6C">
            <w:pPr>
              <w:rPr>
                <w:rFonts w:ascii="宋体" w:hAnsi="宋体" w:eastAsia="宋体" w:cs="宋体"/>
                <w:sz w:val="24"/>
                <w:szCs w:val="24"/>
                <w:highlight w:val="none"/>
              </w:rPr>
            </w:pPr>
            <w:r>
              <w:rPr>
                <w:rFonts w:hint="eastAsia" w:ascii="宋体" w:hAnsi="宋体" w:eastAsia="宋体" w:cs="宋体"/>
                <w:sz w:val="24"/>
                <w:szCs w:val="24"/>
                <w:highlight w:val="none"/>
              </w:rPr>
              <w:t>6.接口：总线正、总线负：接入火灾报警控制器的回路总线</w:t>
            </w:r>
          </w:p>
          <w:p w14:paraId="43EAC8C0">
            <w:pPr>
              <w:rPr>
                <w:rFonts w:ascii="宋体" w:hAnsi="宋体" w:eastAsia="宋体" w:cs="宋体"/>
                <w:sz w:val="24"/>
                <w:szCs w:val="24"/>
                <w:highlight w:val="none"/>
              </w:rPr>
            </w:pPr>
            <w:r>
              <w:rPr>
                <w:rFonts w:hint="eastAsia" w:ascii="宋体" w:hAnsi="宋体" w:eastAsia="宋体" w:cs="宋体"/>
                <w:sz w:val="24"/>
                <w:szCs w:val="24"/>
                <w:highlight w:val="none"/>
              </w:rPr>
              <w:t>7.使用环境：温度：0 ℃ ～ 40 ℃、湿度：10%~95%RH（40℃不结露）</w:t>
            </w:r>
          </w:p>
          <w:p w14:paraId="6F4C8D9E">
            <w:pPr>
              <w:rPr>
                <w:rFonts w:ascii="宋体" w:hAnsi="宋体" w:eastAsia="宋体" w:cs="宋体"/>
                <w:sz w:val="24"/>
                <w:szCs w:val="24"/>
                <w:highlight w:val="none"/>
                <w:lang w:eastAsia="en-US"/>
              </w:rPr>
            </w:pPr>
            <w:r>
              <w:rPr>
                <w:rFonts w:hint="eastAsia" w:ascii="宋体" w:hAnsi="宋体" w:eastAsia="宋体" w:cs="宋体"/>
                <w:sz w:val="24"/>
                <w:szCs w:val="24"/>
                <w:highlight w:val="none"/>
              </w:rPr>
              <w:t>8.安装方式：壁挂式</w:t>
            </w:r>
          </w:p>
        </w:tc>
        <w:tc>
          <w:tcPr>
            <w:tcW w:w="380" w:type="pct"/>
            <w:shd w:val="clear" w:color="auto" w:fill="auto"/>
            <w:vAlign w:val="center"/>
          </w:tcPr>
          <w:p w14:paraId="35BE97D9">
            <w:pPr>
              <w:rPr>
                <w:rFonts w:ascii="宋体" w:hAnsi="宋体" w:eastAsia="宋体" w:cs="宋体"/>
                <w:sz w:val="24"/>
                <w:szCs w:val="24"/>
                <w:highlight w:val="none"/>
                <w:lang w:eastAsia="en-US"/>
              </w:rPr>
            </w:pPr>
            <w:r>
              <w:rPr>
                <w:rFonts w:hint="eastAsia" w:ascii="宋体" w:hAnsi="宋体" w:eastAsia="宋体" w:cs="宋体"/>
                <w:sz w:val="24"/>
                <w:szCs w:val="24"/>
                <w:highlight w:val="none"/>
              </w:rPr>
              <w:t>144</w:t>
            </w:r>
          </w:p>
        </w:tc>
        <w:tc>
          <w:tcPr>
            <w:tcW w:w="218" w:type="pct"/>
            <w:shd w:val="clear" w:color="auto" w:fill="auto"/>
            <w:vAlign w:val="center"/>
          </w:tcPr>
          <w:p w14:paraId="67A18A5A">
            <w:pPr>
              <w:rPr>
                <w:rFonts w:ascii="宋体" w:hAnsi="宋体" w:eastAsia="宋体" w:cs="宋体"/>
                <w:sz w:val="24"/>
                <w:szCs w:val="24"/>
                <w:highlight w:val="none"/>
                <w:lang w:eastAsia="en-US"/>
              </w:rPr>
            </w:pPr>
            <w:r>
              <w:rPr>
                <w:rFonts w:hint="eastAsia" w:ascii="宋体" w:hAnsi="宋体" w:eastAsia="宋体" w:cs="宋体"/>
                <w:sz w:val="24"/>
                <w:szCs w:val="24"/>
                <w:highlight w:val="none"/>
              </w:rPr>
              <w:t>个</w:t>
            </w:r>
          </w:p>
        </w:tc>
        <w:tc>
          <w:tcPr>
            <w:tcW w:w="414" w:type="pct"/>
            <w:vAlign w:val="center"/>
          </w:tcPr>
          <w:p w14:paraId="1D4531DD">
            <w:pPr>
              <w:rPr>
                <w:rFonts w:ascii="宋体" w:hAnsi="宋体" w:eastAsia="宋体" w:cs="宋体"/>
                <w:sz w:val="24"/>
                <w:szCs w:val="24"/>
                <w:highlight w:val="none"/>
              </w:rPr>
            </w:pPr>
            <w:r>
              <w:rPr>
                <w:rFonts w:hint="eastAsia" w:ascii="宋体" w:hAnsi="宋体" w:eastAsia="宋体" w:cs="宋体"/>
                <w:sz w:val="24"/>
                <w:szCs w:val="24"/>
                <w:highlight w:val="none"/>
              </w:rPr>
              <w:t>工业</w:t>
            </w:r>
          </w:p>
        </w:tc>
        <w:tc>
          <w:tcPr>
            <w:tcW w:w="261" w:type="pct"/>
            <w:vAlign w:val="center"/>
          </w:tcPr>
          <w:p w14:paraId="07496F08">
            <w:pPr>
              <w:rPr>
                <w:rFonts w:ascii="宋体" w:hAnsi="宋体" w:eastAsia="宋体" w:cs="宋体"/>
                <w:sz w:val="24"/>
                <w:szCs w:val="24"/>
                <w:highlight w:val="none"/>
              </w:rPr>
            </w:pPr>
          </w:p>
        </w:tc>
      </w:tr>
      <w:tr w14:paraId="0BA39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 w:type="pct"/>
            <w:shd w:val="clear" w:color="auto" w:fill="auto"/>
            <w:vAlign w:val="center"/>
          </w:tcPr>
          <w:p w14:paraId="5B0C6BB6">
            <w:pPr>
              <w:widowControl/>
              <w:jc w:val="right"/>
              <w:textAlignment w:val="center"/>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16</w:t>
            </w:r>
          </w:p>
        </w:tc>
        <w:tc>
          <w:tcPr>
            <w:tcW w:w="427" w:type="pct"/>
            <w:shd w:val="clear" w:color="auto" w:fill="auto"/>
            <w:vAlign w:val="center"/>
          </w:tcPr>
          <w:p w14:paraId="09A40C5E">
            <w:pPr>
              <w:rPr>
                <w:rFonts w:ascii="宋体" w:hAnsi="宋体" w:eastAsia="宋体" w:cs="宋体"/>
                <w:sz w:val="24"/>
                <w:szCs w:val="24"/>
                <w:highlight w:val="none"/>
                <w:lang w:eastAsia="en-US"/>
              </w:rPr>
            </w:pPr>
            <w:r>
              <w:rPr>
                <w:rFonts w:hint="eastAsia" w:ascii="宋体" w:hAnsi="宋体" w:eastAsia="宋体" w:cs="宋体"/>
                <w:sz w:val="24"/>
                <w:szCs w:val="24"/>
                <w:highlight w:val="none"/>
              </w:rPr>
              <w:t>消防广播主机</w:t>
            </w:r>
          </w:p>
        </w:tc>
        <w:tc>
          <w:tcPr>
            <w:tcW w:w="3036" w:type="pct"/>
            <w:shd w:val="clear" w:color="auto" w:fill="auto"/>
            <w:vAlign w:val="center"/>
          </w:tcPr>
          <w:p w14:paraId="2CDC77A4">
            <w:pPr>
              <w:rPr>
                <w:rFonts w:ascii="宋体" w:hAnsi="宋体" w:eastAsia="宋体" w:cs="宋体"/>
                <w:sz w:val="24"/>
                <w:szCs w:val="24"/>
                <w:highlight w:val="none"/>
              </w:rPr>
            </w:pPr>
            <w:r>
              <w:rPr>
                <w:rFonts w:hint="eastAsia" w:ascii="宋体" w:hAnsi="宋体" w:eastAsia="宋体" w:cs="宋体"/>
                <w:sz w:val="24"/>
                <w:szCs w:val="24"/>
                <w:highlight w:val="none"/>
              </w:rPr>
              <w:t>1.播音方式：应急、话筒、MP3、外线</w:t>
            </w:r>
          </w:p>
          <w:p w14:paraId="5C46CAD9">
            <w:pPr>
              <w:rPr>
                <w:rFonts w:ascii="宋体" w:hAnsi="宋体" w:eastAsia="宋体" w:cs="宋体"/>
                <w:sz w:val="24"/>
                <w:szCs w:val="24"/>
                <w:highlight w:val="none"/>
              </w:rPr>
            </w:pPr>
            <w:r>
              <w:rPr>
                <w:rFonts w:hint="eastAsia" w:ascii="宋体" w:hAnsi="宋体" w:eastAsia="宋体" w:cs="宋体"/>
                <w:sz w:val="24"/>
                <w:szCs w:val="24"/>
                <w:highlight w:val="none"/>
              </w:rPr>
              <w:t>2.输入：RS485/CAN 开关量</w:t>
            </w:r>
          </w:p>
          <w:p w14:paraId="193F620E">
            <w:pPr>
              <w:rPr>
                <w:rFonts w:ascii="宋体" w:hAnsi="宋体" w:eastAsia="宋体" w:cs="宋体"/>
                <w:sz w:val="24"/>
                <w:szCs w:val="24"/>
                <w:highlight w:val="none"/>
              </w:rPr>
            </w:pPr>
            <w:r>
              <w:rPr>
                <w:rFonts w:hint="eastAsia" w:ascii="宋体" w:hAnsi="宋体" w:eastAsia="宋体" w:cs="宋体"/>
                <w:sz w:val="24"/>
                <w:szCs w:val="24"/>
                <w:highlight w:val="none"/>
              </w:rPr>
              <w:t>3.输出：音频输出</w:t>
            </w:r>
          </w:p>
          <w:p w14:paraId="15DBA40F">
            <w:pPr>
              <w:rPr>
                <w:rFonts w:ascii="宋体" w:hAnsi="宋体" w:eastAsia="宋体" w:cs="宋体"/>
                <w:sz w:val="24"/>
                <w:szCs w:val="24"/>
                <w:highlight w:val="none"/>
              </w:rPr>
            </w:pPr>
            <w:r>
              <w:rPr>
                <w:rFonts w:hint="eastAsia" w:ascii="宋体" w:hAnsi="宋体" w:eastAsia="宋体" w:cs="宋体"/>
                <w:sz w:val="24"/>
                <w:szCs w:val="24"/>
                <w:highlight w:val="none"/>
              </w:rPr>
              <w:t>4.显示：液晶+指示灯</w:t>
            </w:r>
          </w:p>
        </w:tc>
        <w:tc>
          <w:tcPr>
            <w:tcW w:w="380" w:type="pct"/>
            <w:shd w:val="clear" w:color="auto" w:fill="auto"/>
            <w:vAlign w:val="center"/>
          </w:tcPr>
          <w:p w14:paraId="1A7E9CAD">
            <w:pPr>
              <w:rPr>
                <w:rFonts w:ascii="宋体" w:hAnsi="宋体" w:eastAsia="宋体" w:cs="宋体"/>
                <w:sz w:val="24"/>
                <w:szCs w:val="24"/>
                <w:highlight w:val="none"/>
              </w:rPr>
            </w:pPr>
            <w:r>
              <w:rPr>
                <w:rFonts w:hint="eastAsia" w:ascii="宋体" w:hAnsi="宋体" w:eastAsia="宋体" w:cs="宋体"/>
                <w:sz w:val="24"/>
                <w:szCs w:val="24"/>
                <w:highlight w:val="none"/>
              </w:rPr>
              <w:t>13</w:t>
            </w:r>
          </w:p>
        </w:tc>
        <w:tc>
          <w:tcPr>
            <w:tcW w:w="218" w:type="pct"/>
            <w:shd w:val="clear" w:color="auto" w:fill="auto"/>
            <w:vAlign w:val="center"/>
          </w:tcPr>
          <w:p w14:paraId="297150B0">
            <w:pPr>
              <w:rPr>
                <w:rFonts w:ascii="宋体" w:hAnsi="宋体" w:eastAsia="宋体" w:cs="宋体"/>
                <w:sz w:val="24"/>
                <w:szCs w:val="24"/>
                <w:highlight w:val="none"/>
              </w:rPr>
            </w:pPr>
            <w:r>
              <w:rPr>
                <w:rFonts w:hint="eastAsia" w:ascii="宋体" w:hAnsi="宋体" w:eastAsia="宋体" w:cs="宋体"/>
                <w:sz w:val="24"/>
                <w:szCs w:val="24"/>
                <w:highlight w:val="none"/>
              </w:rPr>
              <w:t>台</w:t>
            </w:r>
          </w:p>
        </w:tc>
        <w:tc>
          <w:tcPr>
            <w:tcW w:w="414" w:type="pct"/>
            <w:vAlign w:val="center"/>
          </w:tcPr>
          <w:p w14:paraId="337ED59B">
            <w:pPr>
              <w:rPr>
                <w:rFonts w:ascii="宋体" w:hAnsi="宋体" w:eastAsia="宋体" w:cs="宋体"/>
                <w:sz w:val="24"/>
                <w:szCs w:val="24"/>
                <w:highlight w:val="none"/>
              </w:rPr>
            </w:pPr>
            <w:r>
              <w:rPr>
                <w:rFonts w:hint="eastAsia" w:ascii="宋体" w:hAnsi="宋体" w:eastAsia="宋体" w:cs="宋体"/>
                <w:sz w:val="24"/>
                <w:szCs w:val="24"/>
                <w:highlight w:val="none"/>
              </w:rPr>
              <w:t>工业</w:t>
            </w:r>
          </w:p>
        </w:tc>
        <w:tc>
          <w:tcPr>
            <w:tcW w:w="261" w:type="pct"/>
            <w:vAlign w:val="center"/>
          </w:tcPr>
          <w:p w14:paraId="27870B58">
            <w:pPr>
              <w:rPr>
                <w:rFonts w:ascii="宋体" w:hAnsi="宋体" w:eastAsia="宋体" w:cs="宋体"/>
                <w:sz w:val="24"/>
                <w:szCs w:val="24"/>
                <w:highlight w:val="none"/>
              </w:rPr>
            </w:pPr>
          </w:p>
        </w:tc>
      </w:tr>
      <w:tr w14:paraId="40D90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 w:type="pct"/>
            <w:shd w:val="clear" w:color="auto" w:fill="auto"/>
            <w:vAlign w:val="center"/>
          </w:tcPr>
          <w:p w14:paraId="0083DB2F">
            <w:pPr>
              <w:widowControl/>
              <w:jc w:val="right"/>
              <w:textAlignment w:val="center"/>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17</w:t>
            </w:r>
          </w:p>
        </w:tc>
        <w:tc>
          <w:tcPr>
            <w:tcW w:w="427" w:type="pct"/>
            <w:shd w:val="clear" w:color="auto" w:fill="auto"/>
            <w:vAlign w:val="center"/>
          </w:tcPr>
          <w:p w14:paraId="7F3266FA">
            <w:pPr>
              <w:rPr>
                <w:rFonts w:ascii="宋体" w:hAnsi="宋体" w:eastAsia="宋体" w:cs="宋体"/>
                <w:sz w:val="24"/>
                <w:szCs w:val="24"/>
                <w:highlight w:val="none"/>
                <w:lang w:eastAsia="en-US"/>
              </w:rPr>
            </w:pPr>
            <w:r>
              <w:rPr>
                <w:rFonts w:hint="eastAsia" w:ascii="宋体" w:hAnsi="宋体" w:eastAsia="宋体" w:cs="宋体"/>
                <w:sz w:val="24"/>
                <w:szCs w:val="24"/>
                <w:highlight w:val="none"/>
              </w:rPr>
              <w:t>功率放大器</w:t>
            </w:r>
          </w:p>
        </w:tc>
        <w:tc>
          <w:tcPr>
            <w:tcW w:w="3036" w:type="pct"/>
            <w:shd w:val="clear" w:color="auto" w:fill="auto"/>
            <w:vAlign w:val="center"/>
          </w:tcPr>
          <w:p w14:paraId="56E8FB35">
            <w:pPr>
              <w:rPr>
                <w:rFonts w:ascii="宋体" w:hAnsi="宋体" w:eastAsia="宋体" w:cs="宋体"/>
                <w:sz w:val="24"/>
                <w:szCs w:val="24"/>
                <w:highlight w:val="none"/>
              </w:rPr>
            </w:pPr>
            <w:r>
              <w:rPr>
                <w:rFonts w:hint="eastAsia" w:ascii="宋体" w:hAnsi="宋体" w:eastAsia="宋体" w:cs="宋体"/>
                <w:sz w:val="24"/>
                <w:szCs w:val="24"/>
                <w:highlight w:val="none"/>
              </w:rPr>
              <w:t>1.在使用话筒播音时，监听能够自动静音，以彻底消除音频回授。</w:t>
            </w:r>
          </w:p>
          <w:p w14:paraId="657A509A">
            <w:pPr>
              <w:rPr>
                <w:rFonts w:ascii="宋体" w:hAnsi="宋体" w:eastAsia="宋体" w:cs="宋体"/>
                <w:sz w:val="24"/>
                <w:szCs w:val="24"/>
                <w:highlight w:val="none"/>
              </w:rPr>
            </w:pPr>
            <w:r>
              <w:rPr>
                <w:rFonts w:hint="eastAsia" w:ascii="宋体" w:hAnsi="宋体" w:eastAsia="宋体" w:cs="宋体"/>
                <w:sz w:val="24"/>
                <w:szCs w:val="24"/>
                <w:highlight w:val="none"/>
              </w:rPr>
              <w:t>2.当接收应急广播控制信号时，能自动调整音频输出至预定位置，不受音量电位器的控制，消除人为操作对音频输出的影响。</w:t>
            </w:r>
          </w:p>
          <w:p w14:paraId="36FB03B1">
            <w:pPr>
              <w:rPr>
                <w:rFonts w:ascii="宋体" w:hAnsi="宋体" w:eastAsia="宋体" w:cs="宋体"/>
                <w:sz w:val="24"/>
                <w:szCs w:val="24"/>
                <w:highlight w:val="none"/>
              </w:rPr>
            </w:pPr>
            <w:r>
              <w:rPr>
                <w:rFonts w:hint="eastAsia" w:ascii="宋体" w:hAnsi="宋体" w:eastAsia="宋体" w:cs="宋体"/>
                <w:sz w:val="24"/>
                <w:szCs w:val="24"/>
                <w:highlight w:val="none"/>
              </w:rPr>
              <w:t>3.功放主电或备电存在异常时，能将故障信号上传到广播盘，可以实现声光告警。</w:t>
            </w:r>
          </w:p>
          <w:p w14:paraId="3DE13F79">
            <w:pPr>
              <w:rPr>
                <w:rFonts w:ascii="宋体" w:hAnsi="宋体" w:eastAsia="宋体" w:cs="宋体"/>
                <w:sz w:val="24"/>
                <w:szCs w:val="24"/>
                <w:highlight w:val="none"/>
              </w:rPr>
            </w:pPr>
            <w:r>
              <w:rPr>
                <w:rFonts w:hint="eastAsia" w:ascii="宋体" w:hAnsi="宋体" w:eastAsia="宋体" w:cs="宋体"/>
                <w:sz w:val="24"/>
                <w:szCs w:val="24"/>
                <w:highlight w:val="none"/>
              </w:rPr>
              <w:t>4.当功放故障或外部线路出现异常致使其处于故障不可恢复的状态时，可以实现声光告警。</w:t>
            </w:r>
          </w:p>
          <w:p w14:paraId="6CAA119E">
            <w:pPr>
              <w:rPr>
                <w:rFonts w:ascii="宋体" w:hAnsi="宋体" w:eastAsia="宋体" w:cs="宋体"/>
                <w:sz w:val="24"/>
                <w:szCs w:val="24"/>
                <w:highlight w:val="none"/>
              </w:rPr>
            </w:pPr>
            <w:r>
              <w:rPr>
                <w:rFonts w:hint="eastAsia" w:ascii="宋体" w:hAnsi="宋体" w:eastAsia="宋体" w:cs="宋体"/>
                <w:sz w:val="24"/>
                <w:szCs w:val="24"/>
                <w:highlight w:val="none"/>
              </w:rPr>
              <w:t>5.功率：150 W；内部控制线：RS-232接口。</w:t>
            </w:r>
          </w:p>
        </w:tc>
        <w:tc>
          <w:tcPr>
            <w:tcW w:w="380" w:type="pct"/>
            <w:shd w:val="clear" w:color="auto" w:fill="auto"/>
            <w:vAlign w:val="center"/>
          </w:tcPr>
          <w:p w14:paraId="6F60D3D1">
            <w:pPr>
              <w:rPr>
                <w:rFonts w:ascii="宋体" w:hAnsi="宋体" w:eastAsia="宋体" w:cs="宋体"/>
                <w:sz w:val="24"/>
                <w:szCs w:val="24"/>
                <w:highlight w:val="none"/>
              </w:rPr>
            </w:pPr>
            <w:r>
              <w:rPr>
                <w:rFonts w:hint="eastAsia" w:ascii="宋体" w:hAnsi="宋体" w:eastAsia="宋体" w:cs="宋体"/>
                <w:sz w:val="24"/>
                <w:szCs w:val="24"/>
                <w:highlight w:val="none"/>
              </w:rPr>
              <w:t>13</w:t>
            </w:r>
          </w:p>
        </w:tc>
        <w:tc>
          <w:tcPr>
            <w:tcW w:w="218" w:type="pct"/>
            <w:shd w:val="clear" w:color="auto" w:fill="auto"/>
            <w:vAlign w:val="center"/>
          </w:tcPr>
          <w:p w14:paraId="4C0A95C7">
            <w:pPr>
              <w:rPr>
                <w:rFonts w:ascii="宋体" w:hAnsi="宋体" w:eastAsia="宋体" w:cs="宋体"/>
                <w:sz w:val="24"/>
                <w:szCs w:val="24"/>
                <w:highlight w:val="none"/>
              </w:rPr>
            </w:pPr>
            <w:r>
              <w:rPr>
                <w:rFonts w:hint="eastAsia" w:ascii="宋体" w:hAnsi="宋体" w:eastAsia="宋体" w:cs="宋体"/>
                <w:sz w:val="24"/>
                <w:szCs w:val="24"/>
                <w:highlight w:val="none"/>
              </w:rPr>
              <w:t>台</w:t>
            </w:r>
          </w:p>
        </w:tc>
        <w:tc>
          <w:tcPr>
            <w:tcW w:w="414" w:type="pct"/>
            <w:vAlign w:val="center"/>
          </w:tcPr>
          <w:p w14:paraId="7ED49DAD">
            <w:pPr>
              <w:rPr>
                <w:rFonts w:ascii="宋体" w:hAnsi="宋体" w:eastAsia="宋体" w:cs="宋体"/>
                <w:sz w:val="24"/>
                <w:szCs w:val="24"/>
                <w:highlight w:val="none"/>
              </w:rPr>
            </w:pPr>
            <w:r>
              <w:rPr>
                <w:rFonts w:hint="eastAsia" w:ascii="宋体" w:hAnsi="宋体" w:eastAsia="宋体" w:cs="宋体"/>
                <w:sz w:val="24"/>
                <w:szCs w:val="24"/>
                <w:highlight w:val="none"/>
              </w:rPr>
              <w:t>工业</w:t>
            </w:r>
          </w:p>
        </w:tc>
        <w:tc>
          <w:tcPr>
            <w:tcW w:w="261" w:type="pct"/>
            <w:vAlign w:val="center"/>
          </w:tcPr>
          <w:p w14:paraId="4952C5F4">
            <w:pPr>
              <w:rPr>
                <w:rFonts w:ascii="宋体" w:hAnsi="宋体" w:eastAsia="宋体" w:cs="宋体"/>
                <w:sz w:val="24"/>
                <w:szCs w:val="24"/>
                <w:highlight w:val="none"/>
              </w:rPr>
            </w:pPr>
          </w:p>
        </w:tc>
      </w:tr>
      <w:tr w14:paraId="5DEFA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 w:type="pct"/>
            <w:shd w:val="clear" w:color="auto" w:fill="auto"/>
            <w:vAlign w:val="center"/>
          </w:tcPr>
          <w:p w14:paraId="3E88195F">
            <w:pPr>
              <w:widowControl/>
              <w:jc w:val="right"/>
              <w:textAlignment w:val="center"/>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18</w:t>
            </w:r>
          </w:p>
        </w:tc>
        <w:tc>
          <w:tcPr>
            <w:tcW w:w="427" w:type="pct"/>
            <w:shd w:val="clear" w:color="auto" w:fill="auto"/>
            <w:vAlign w:val="center"/>
          </w:tcPr>
          <w:p w14:paraId="1A0D235B">
            <w:pPr>
              <w:rPr>
                <w:rFonts w:ascii="宋体" w:hAnsi="宋体" w:eastAsia="宋体" w:cs="宋体"/>
                <w:sz w:val="24"/>
                <w:szCs w:val="24"/>
                <w:highlight w:val="none"/>
                <w:lang w:eastAsia="en-US"/>
              </w:rPr>
            </w:pPr>
            <w:r>
              <w:rPr>
                <w:rFonts w:hint="eastAsia" w:ascii="宋体" w:hAnsi="宋体" w:eastAsia="宋体" w:cs="宋体"/>
                <w:sz w:val="24"/>
                <w:szCs w:val="24"/>
                <w:highlight w:val="none"/>
              </w:rPr>
              <w:t>扬声器</w:t>
            </w:r>
          </w:p>
        </w:tc>
        <w:tc>
          <w:tcPr>
            <w:tcW w:w="3036" w:type="pct"/>
            <w:shd w:val="clear" w:color="auto" w:fill="auto"/>
            <w:vAlign w:val="center"/>
          </w:tcPr>
          <w:p w14:paraId="733CDED1">
            <w:pPr>
              <w:rPr>
                <w:rFonts w:ascii="宋体" w:hAnsi="宋体" w:eastAsia="宋体" w:cs="宋体"/>
                <w:sz w:val="24"/>
                <w:szCs w:val="24"/>
                <w:highlight w:val="none"/>
              </w:rPr>
            </w:pPr>
            <w:r>
              <w:rPr>
                <w:rFonts w:hint="eastAsia" w:ascii="宋体" w:hAnsi="宋体" w:eastAsia="宋体" w:cs="宋体"/>
                <w:sz w:val="24"/>
                <w:szCs w:val="24"/>
                <w:highlight w:val="none"/>
              </w:rPr>
              <w:t>1.壁挂扬声器</w:t>
            </w:r>
          </w:p>
          <w:p w14:paraId="49A2B9FF">
            <w:pPr>
              <w:rPr>
                <w:rFonts w:ascii="宋体" w:hAnsi="宋体" w:eastAsia="宋体" w:cs="宋体"/>
                <w:sz w:val="24"/>
                <w:szCs w:val="24"/>
                <w:highlight w:val="none"/>
              </w:rPr>
            </w:pPr>
            <w:r>
              <w:rPr>
                <w:rFonts w:hint="eastAsia" w:ascii="宋体" w:hAnsi="宋体" w:eastAsia="宋体" w:cs="宋体"/>
                <w:sz w:val="24"/>
                <w:szCs w:val="24"/>
                <w:highlight w:val="none"/>
              </w:rPr>
              <w:t xml:space="preserve">2.额定功率：≥5W </w:t>
            </w:r>
          </w:p>
          <w:p w14:paraId="0EBCE63B">
            <w:pPr>
              <w:rPr>
                <w:rFonts w:ascii="宋体" w:hAnsi="宋体" w:eastAsia="宋体" w:cs="宋体"/>
                <w:sz w:val="24"/>
                <w:szCs w:val="24"/>
                <w:highlight w:val="none"/>
              </w:rPr>
            </w:pPr>
            <w:r>
              <w:rPr>
                <w:rFonts w:hint="eastAsia" w:ascii="宋体" w:hAnsi="宋体" w:eastAsia="宋体" w:cs="宋体"/>
                <w:sz w:val="24"/>
                <w:szCs w:val="24"/>
                <w:highlight w:val="none"/>
              </w:rPr>
              <w:t>3.输入电压：AC120V</w:t>
            </w:r>
          </w:p>
          <w:p w14:paraId="62E8D7DE">
            <w:pPr>
              <w:rPr>
                <w:rFonts w:ascii="宋体" w:hAnsi="宋体" w:eastAsia="宋体" w:cs="宋体"/>
                <w:sz w:val="24"/>
                <w:szCs w:val="24"/>
                <w:highlight w:val="none"/>
              </w:rPr>
            </w:pPr>
            <w:r>
              <w:rPr>
                <w:rFonts w:hint="eastAsia" w:ascii="宋体" w:hAnsi="宋体" w:eastAsia="宋体" w:cs="宋体"/>
                <w:sz w:val="24"/>
                <w:szCs w:val="24"/>
                <w:highlight w:val="none"/>
              </w:rPr>
              <w:t>4.输入阻抗：4800欧姆/2800欧姆</w:t>
            </w:r>
          </w:p>
        </w:tc>
        <w:tc>
          <w:tcPr>
            <w:tcW w:w="380" w:type="pct"/>
            <w:shd w:val="clear" w:color="auto" w:fill="auto"/>
            <w:vAlign w:val="center"/>
          </w:tcPr>
          <w:p w14:paraId="5A784271">
            <w:pPr>
              <w:rPr>
                <w:rFonts w:ascii="宋体" w:hAnsi="宋体" w:eastAsia="宋体" w:cs="宋体"/>
                <w:sz w:val="24"/>
                <w:szCs w:val="24"/>
                <w:highlight w:val="none"/>
              </w:rPr>
            </w:pPr>
            <w:r>
              <w:rPr>
                <w:rFonts w:hint="eastAsia" w:ascii="宋体" w:hAnsi="宋体" w:eastAsia="宋体" w:cs="宋体"/>
                <w:sz w:val="24"/>
                <w:szCs w:val="24"/>
                <w:highlight w:val="none"/>
              </w:rPr>
              <w:t>288</w:t>
            </w:r>
          </w:p>
        </w:tc>
        <w:tc>
          <w:tcPr>
            <w:tcW w:w="218" w:type="pct"/>
            <w:shd w:val="clear" w:color="auto" w:fill="auto"/>
            <w:vAlign w:val="center"/>
          </w:tcPr>
          <w:p w14:paraId="7F4822DC">
            <w:pPr>
              <w:rPr>
                <w:rFonts w:ascii="宋体" w:hAnsi="宋体" w:eastAsia="宋体" w:cs="宋体"/>
                <w:sz w:val="24"/>
                <w:szCs w:val="24"/>
                <w:highlight w:val="none"/>
              </w:rPr>
            </w:pPr>
            <w:r>
              <w:rPr>
                <w:rFonts w:hint="eastAsia" w:ascii="宋体" w:hAnsi="宋体" w:eastAsia="宋体" w:cs="宋体"/>
                <w:sz w:val="24"/>
                <w:szCs w:val="24"/>
                <w:highlight w:val="none"/>
              </w:rPr>
              <w:t>台</w:t>
            </w:r>
          </w:p>
        </w:tc>
        <w:tc>
          <w:tcPr>
            <w:tcW w:w="414" w:type="pct"/>
            <w:vAlign w:val="center"/>
          </w:tcPr>
          <w:p w14:paraId="06EAD2FC">
            <w:pPr>
              <w:rPr>
                <w:rFonts w:ascii="宋体" w:hAnsi="宋体" w:eastAsia="宋体" w:cs="宋体"/>
                <w:sz w:val="24"/>
                <w:szCs w:val="24"/>
                <w:highlight w:val="none"/>
              </w:rPr>
            </w:pPr>
            <w:r>
              <w:rPr>
                <w:rFonts w:hint="eastAsia" w:ascii="宋体" w:hAnsi="宋体" w:eastAsia="宋体" w:cs="宋体"/>
                <w:sz w:val="24"/>
                <w:szCs w:val="24"/>
                <w:highlight w:val="none"/>
              </w:rPr>
              <w:t>工业</w:t>
            </w:r>
          </w:p>
        </w:tc>
        <w:tc>
          <w:tcPr>
            <w:tcW w:w="261" w:type="pct"/>
            <w:vAlign w:val="center"/>
          </w:tcPr>
          <w:p w14:paraId="3FA5BCB4">
            <w:pPr>
              <w:rPr>
                <w:rFonts w:ascii="宋体" w:hAnsi="宋体" w:eastAsia="宋体" w:cs="宋体"/>
                <w:sz w:val="24"/>
                <w:szCs w:val="24"/>
                <w:highlight w:val="none"/>
              </w:rPr>
            </w:pPr>
          </w:p>
        </w:tc>
      </w:tr>
      <w:tr w14:paraId="12982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 w:type="pct"/>
            <w:shd w:val="clear" w:color="auto" w:fill="auto"/>
            <w:vAlign w:val="center"/>
          </w:tcPr>
          <w:p w14:paraId="7E9FB4D6">
            <w:pPr>
              <w:widowControl/>
              <w:jc w:val="right"/>
              <w:textAlignment w:val="center"/>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19</w:t>
            </w:r>
          </w:p>
        </w:tc>
        <w:tc>
          <w:tcPr>
            <w:tcW w:w="427" w:type="pct"/>
            <w:shd w:val="clear" w:color="auto" w:fill="auto"/>
            <w:vAlign w:val="center"/>
          </w:tcPr>
          <w:p w14:paraId="221E5B1C">
            <w:pPr>
              <w:rPr>
                <w:rFonts w:ascii="宋体" w:hAnsi="宋体" w:eastAsia="宋体" w:cs="宋体"/>
                <w:sz w:val="24"/>
                <w:szCs w:val="24"/>
                <w:highlight w:val="none"/>
                <w:lang w:eastAsia="en-US"/>
              </w:rPr>
            </w:pPr>
            <w:r>
              <w:rPr>
                <w:rFonts w:hint="eastAsia" w:ascii="宋体" w:hAnsi="宋体" w:eastAsia="宋体" w:cs="宋体"/>
                <w:sz w:val="24"/>
                <w:szCs w:val="24"/>
                <w:highlight w:val="none"/>
              </w:rPr>
              <w:t>扬声器监视模块</w:t>
            </w:r>
          </w:p>
        </w:tc>
        <w:tc>
          <w:tcPr>
            <w:tcW w:w="3036" w:type="pct"/>
            <w:shd w:val="clear" w:color="auto" w:fill="auto"/>
            <w:vAlign w:val="center"/>
          </w:tcPr>
          <w:p w14:paraId="172A2E78">
            <w:pPr>
              <w:rPr>
                <w:rFonts w:ascii="宋体" w:hAnsi="宋体" w:eastAsia="宋体" w:cs="宋体"/>
                <w:sz w:val="24"/>
                <w:szCs w:val="24"/>
                <w:highlight w:val="none"/>
              </w:rPr>
            </w:pPr>
            <w:r>
              <w:rPr>
                <w:rFonts w:hint="eastAsia" w:ascii="宋体" w:hAnsi="宋体" w:eastAsia="宋体" w:cs="宋体"/>
                <w:sz w:val="24"/>
                <w:szCs w:val="24"/>
                <w:highlight w:val="none"/>
              </w:rPr>
              <w:t>1.内置高性能超低功耗微处理器</w:t>
            </w:r>
          </w:p>
          <w:p w14:paraId="656467F0">
            <w:pPr>
              <w:rPr>
                <w:rFonts w:hint="eastAsia" w:ascii="宋体" w:hAnsi="宋体" w:eastAsia="宋体" w:cs="宋体"/>
                <w:sz w:val="24"/>
                <w:szCs w:val="24"/>
                <w:highlight w:val="none"/>
              </w:rPr>
            </w:pPr>
            <w:r>
              <w:rPr>
                <w:rFonts w:hint="eastAsia" w:ascii="宋体" w:hAnsi="宋体" w:eastAsia="宋体" w:cs="宋体"/>
                <w:sz w:val="24"/>
                <w:szCs w:val="24"/>
                <w:highlight w:val="none"/>
              </w:rPr>
              <w:t>2.无极性两总线</w:t>
            </w:r>
          </w:p>
          <w:p w14:paraId="32BB2D21">
            <w:pPr>
              <w:rPr>
                <w:rFonts w:ascii="宋体" w:hAnsi="宋体" w:eastAsia="宋体" w:cs="宋体"/>
                <w:sz w:val="24"/>
                <w:szCs w:val="24"/>
                <w:highlight w:val="none"/>
              </w:rPr>
            </w:pPr>
            <w:r>
              <w:rPr>
                <w:rFonts w:hint="eastAsia" w:ascii="宋体" w:hAnsi="宋体" w:eastAsia="宋体" w:cs="宋体"/>
                <w:sz w:val="24"/>
                <w:szCs w:val="24"/>
                <w:highlight w:val="none"/>
              </w:rPr>
              <w:t>3.采用底座分离式结构设计</w:t>
            </w:r>
          </w:p>
          <w:p w14:paraId="44A77E07">
            <w:pPr>
              <w:rPr>
                <w:rFonts w:ascii="宋体" w:hAnsi="宋体" w:eastAsia="宋体" w:cs="宋体"/>
                <w:sz w:val="24"/>
                <w:szCs w:val="24"/>
                <w:highlight w:val="none"/>
              </w:rPr>
            </w:pPr>
            <w:r>
              <w:rPr>
                <w:rFonts w:hint="eastAsia" w:ascii="宋体" w:hAnsi="宋体" w:eastAsia="宋体" w:cs="宋体"/>
                <w:sz w:val="24"/>
                <w:szCs w:val="24"/>
                <w:highlight w:val="none"/>
              </w:rPr>
              <w:t>4.人性化交互设计，前盖设计动作指示灯</w:t>
            </w:r>
          </w:p>
          <w:p w14:paraId="11BDE4A6">
            <w:pPr>
              <w:rPr>
                <w:rFonts w:ascii="宋体" w:hAnsi="宋体" w:eastAsia="宋体" w:cs="宋体"/>
                <w:sz w:val="24"/>
                <w:szCs w:val="24"/>
                <w:highlight w:val="none"/>
              </w:rPr>
            </w:pPr>
            <w:r>
              <w:rPr>
                <w:rFonts w:hint="eastAsia" w:ascii="宋体" w:hAnsi="宋体" w:eastAsia="宋体" w:cs="宋体"/>
                <w:sz w:val="24"/>
                <w:szCs w:val="24"/>
                <w:highlight w:val="none"/>
              </w:rPr>
              <w:t>5.具备消防广播线路断线检测、短路检测</w:t>
            </w:r>
          </w:p>
          <w:p w14:paraId="53BEF5AB">
            <w:pPr>
              <w:rPr>
                <w:rFonts w:ascii="宋体" w:hAnsi="宋体" w:eastAsia="宋体" w:cs="宋体"/>
                <w:sz w:val="24"/>
                <w:szCs w:val="24"/>
                <w:highlight w:val="none"/>
              </w:rPr>
            </w:pPr>
            <w:r>
              <w:rPr>
                <w:rFonts w:hint="eastAsia" w:ascii="宋体" w:hAnsi="宋体" w:eastAsia="宋体" w:cs="宋体"/>
                <w:sz w:val="24"/>
                <w:szCs w:val="24"/>
                <w:highlight w:val="none"/>
              </w:rPr>
              <w:t>6.指示灯：1个：动作指示灯</w:t>
            </w:r>
          </w:p>
          <w:p w14:paraId="64DC1ABF">
            <w:pPr>
              <w:rPr>
                <w:rFonts w:ascii="宋体" w:hAnsi="宋体" w:eastAsia="宋体" w:cs="宋体"/>
                <w:sz w:val="24"/>
                <w:szCs w:val="24"/>
                <w:highlight w:val="none"/>
              </w:rPr>
            </w:pPr>
            <w:r>
              <w:rPr>
                <w:rFonts w:hint="eastAsia" w:ascii="宋体" w:hAnsi="宋体" w:eastAsia="宋体" w:cs="宋体"/>
                <w:sz w:val="24"/>
                <w:szCs w:val="24"/>
                <w:highlight w:val="none"/>
              </w:rPr>
              <w:t>7.编码参数：编码型，编码范围：1~250</w:t>
            </w:r>
          </w:p>
          <w:p w14:paraId="3BF0D4B2">
            <w:pPr>
              <w:rPr>
                <w:rFonts w:ascii="宋体" w:hAnsi="宋体" w:eastAsia="宋体" w:cs="宋体"/>
                <w:sz w:val="24"/>
                <w:szCs w:val="24"/>
                <w:highlight w:val="none"/>
              </w:rPr>
            </w:pPr>
            <w:r>
              <w:rPr>
                <w:rFonts w:hint="eastAsia" w:ascii="宋体" w:hAnsi="宋体" w:eastAsia="宋体" w:cs="宋体"/>
                <w:sz w:val="24"/>
                <w:szCs w:val="24"/>
                <w:highlight w:val="none"/>
              </w:rPr>
              <w:t>8.线制：无极性两总线</w:t>
            </w:r>
          </w:p>
          <w:p w14:paraId="2D4ED7D9">
            <w:pPr>
              <w:rPr>
                <w:rFonts w:ascii="宋体" w:hAnsi="宋体" w:eastAsia="宋体" w:cs="宋体"/>
                <w:sz w:val="24"/>
                <w:szCs w:val="24"/>
                <w:highlight w:val="none"/>
              </w:rPr>
            </w:pPr>
            <w:r>
              <w:rPr>
                <w:rFonts w:hint="eastAsia" w:ascii="宋体" w:hAnsi="宋体" w:eastAsia="宋体" w:cs="宋体"/>
                <w:sz w:val="24"/>
                <w:szCs w:val="24"/>
                <w:highlight w:val="none"/>
              </w:rPr>
              <w:t xml:space="preserve">9.输出：每只模块最多可带负载180W </w:t>
            </w:r>
          </w:p>
          <w:p w14:paraId="099FD10A">
            <w:pPr>
              <w:rPr>
                <w:rFonts w:ascii="宋体" w:hAnsi="宋体" w:eastAsia="宋体" w:cs="宋体"/>
                <w:sz w:val="24"/>
                <w:szCs w:val="24"/>
                <w:highlight w:val="none"/>
              </w:rPr>
            </w:pPr>
            <w:r>
              <w:rPr>
                <w:rFonts w:hint="eastAsia" w:ascii="宋体" w:hAnsi="宋体" w:eastAsia="宋体" w:cs="宋体"/>
                <w:sz w:val="24"/>
                <w:szCs w:val="24"/>
                <w:highlight w:val="none"/>
              </w:rPr>
              <w:t>10.总线电流：监视电流：≤200uA</w:t>
            </w:r>
          </w:p>
          <w:p w14:paraId="20C3B999">
            <w:pPr>
              <w:rPr>
                <w:rFonts w:ascii="宋体" w:hAnsi="宋体" w:eastAsia="宋体" w:cs="宋体"/>
                <w:sz w:val="24"/>
                <w:szCs w:val="24"/>
                <w:highlight w:val="none"/>
              </w:rPr>
            </w:pPr>
            <w:r>
              <w:rPr>
                <w:rFonts w:hint="eastAsia" w:ascii="宋体" w:hAnsi="宋体" w:eastAsia="宋体" w:cs="宋体"/>
                <w:sz w:val="24"/>
                <w:szCs w:val="24"/>
                <w:highlight w:val="none"/>
              </w:rPr>
              <w:t>11.动作电流：≤9 mA</w:t>
            </w:r>
          </w:p>
          <w:p w14:paraId="376EE670">
            <w:pPr>
              <w:rPr>
                <w:rFonts w:ascii="宋体" w:hAnsi="宋体" w:eastAsia="宋体" w:cs="宋体"/>
                <w:sz w:val="24"/>
                <w:szCs w:val="24"/>
                <w:highlight w:val="none"/>
              </w:rPr>
            </w:pPr>
            <w:r>
              <w:rPr>
                <w:rFonts w:hint="eastAsia" w:ascii="宋体" w:hAnsi="宋体" w:eastAsia="宋体" w:cs="宋体"/>
                <w:sz w:val="24"/>
                <w:szCs w:val="24"/>
                <w:highlight w:val="none"/>
              </w:rPr>
              <w:t xml:space="preserve">12.布线要求：RVS 2 × 1.5 mm²， 最大距离：1000 m </w:t>
            </w:r>
          </w:p>
        </w:tc>
        <w:tc>
          <w:tcPr>
            <w:tcW w:w="380" w:type="pct"/>
            <w:shd w:val="clear" w:color="auto" w:fill="auto"/>
            <w:vAlign w:val="center"/>
          </w:tcPr>
          <w:p w14:paraId="03DAFE96">
            <w:pPr>
              <w:rPr>
                <w:rFonts w:ascii="宋体" w:hAnsi="宋体" w:eastAsia="宋体" w:cs="宋体"/>
                <w:sz w:val="24"/>
                <w:szCs w:val="24"/>
                <w:highlight w:val="none"/>
                <w:lang w:eastAsia="en-US"/>
              </w:rPr>
            </w:pPr>
            <w:r>
              <w:rPr>
                <w:rFonts w:hint="eastAsia" w:ascii="宋体" w:hAnsi="宋体" w:eastAsia="宋体" w:cs="宋体"/>
                <w:sz w:val="24"/>
                <w:szCs w:val="24"/>
                <w:highlight w:val="none"/>
              </w:rPr>
              <w:t>13</w:t>
            </w:r>
          </w:p>
        </w:tc>
        <w:tc>
          <w:tcPr>
            <w:tcW w:w="218" w:type="pct"/>
            <w:shd w:val="clear" w:color="auto" w:fill="auto"/>
            <w:vAlign w:val="center"/>
          </w:tcPr>
          <w:p w14:paraId="5E8DF72A">
            <w:pPr>
              <w:rPr>
                <w:rFonts w:ascii="宋体" w:hAnsi="宋体" w:eastAsia="宋体" w:cs="宋体"/>
                <w:sz w:val="24"/>
                <w:szCs w:val="24"/>
                <w:highlight w:val="none"/>
                <w:lang w:eastAsia="en-US"/>
              </w:rPr>
            </w:pPr>
            <w:r>
              <w:rPr>
                <w:rFonts w:hint="eastAsia" w:ascii="宋体" w:hAnsi="宋体" w:eastAsia="宋体" w:cs="宋体"/>
                <w:sz w:val="24"/>
                <w:szCs w:val="24"/>
                <w:highlight w:val="none"/>
              </w:rPr>
              <w:t>台</w:t>
            </w:r>
          </w:p>
        </w:tc>
        <w:tc>
          <w:tcPr>
            <w:tcW w:w="414" w:type="pct"/>
            <w:vAlign w:val="center"/>
          </w:tcPr>
          <w:p w14:paraId="3355B684">
            <w:pPr>
              <w:rPr>
                <w:rFonts w:ascii="宋体" w:hAnsi="宋体" w:eastAsia="宋体" w:cs="宋体"/>
                <w:sz w:val="24"/>
                <w:szCs w:val="24"/>
                <w:highlight w:val="none"/>
              </w:rPr>
            </w:pPr>
            <w:r>
              <w:rPr>
                <w:rFonts w:hint="eastAsia" w:ascii="宋体" w:hAnsi="宋体" w:eastAsia="宋体" w:cs="宋体"/>
                <w:sz w:val="24"/>
                <w:szCs w:val="24"/>
                <w:highlight w:val="none"/>
              </w:rPr>
              <w:t>工业</w:t>
            </w:r>
          </w:p>
        </w:tc>
        <w:tc>
          <w:tcPr>
            <w:tcW w:w="261" w:type="pct"/>
            <w:vAlign w:val="center"/>
          </w:tcPr>
          <w:p w14:paraId="53629023">
            <w:pPr>
              <w:rPr>
                <w:rFonts w:ascii="宋体" w:hAnsi="宋体" w:eastAsia="宋体" w:cs="宋体"/>
                <w:sz w:val="24"/>
                <w:szCs w:val="24"/>
                <w:highlight w:val="none"/>
              </w:rPr>
            </w:pPr>
          </w:p>
        </w:tc>
      </w:tr>
      <w:tr w14:paraId="66BDA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 w:type="pct"/>
            <w:shd w:val="clear" w:color="auto" w:fill="auto"/>
            <w:vAlign w:val="center"/>
          </w:tcPr>
          <w:p w14:paraId="333C5194">
            <w:pPr>
              <w:widowControl/>
              <w:jc w:val="right"/>
              <w:textAlignment w:val="center"/>
              <w:rPr>
                <w:rFonts w:ascii="宋体" w:hAnsi="宋体" w:eastAsia="宋体" w:cs="宋体"/>
                <w:sz w:val="24"/>
                <w:szCs w:val="24"/>
                <w:highlight w:val="none"/>
                <w:lang w:eastAsia="en-US"/>
              </w:rPr>
            </w:pPr>
            <w:r>
              <w:rPr>
                <w:rFonts w:hint="eastAsia" w:ascii="宋体" w:hAnsi="宋体" w:eastAsia="宋体" w:cs="宋体"/>
                <w:color w:val="000000"/>
                <w:kern w:val="0"/>
                <w:sz w:val="24"/>
                <w:szCs w:val="24"/>
                <w:highlight w:val="none"/>
              </w:rPr>
              <w:t>20</w:t>
            </w:r>
          </w:p>
        </w:tc>
        <w:tc>
          <w:tcPr>
            <w:tcW w:w="427" w:type="pct"/>
            <w:shd w:val="clear" w:color="auto" w:fill="auto"/>
            <w:vAlign w:val="center"/>
          </w:tcPr>
          <w:p w14:paraId="652B8419">
            <w:pPr>
              <w:rPr>
                <w:rFonts w:ascii="宋体" w:hAnsi="宋体" w:eastAsia="宋体" w:cs="宋体"/>
                <w:sz w:val="24"/>
                <w:szCs w:val="24"/>
                <w:highlight w:val="none"/>
                <w:lang w:eastAsia="en-US"/>
              </w:rPr>
            </w:pPr>
            <w:r>
              <w:rPr>
                <w:rFonts w:hint="eastAsia" w:ascii="宋体" w:hAnsi="宋体" w:eastAsia="宋体" w:cs="宋体"/>
                <w:sz w:val="24"/>
                <w:szCs w:val="24"/>
                <w:highlight w:val="none"/>
              </w:rPr>
              <w:t>火灾报警线缆</w:t>
            </w:r>
          </w:p>
        </w:tc>
        <w:tc>
          <w:tcPr>
            <w:tcW w:w="3036" w:type="pct"/>
            <w:shd w:val="clear" w:color="auto" w:fill="auto"/>
            <w:vAlign w:val="center"/>
          </w:tcPr>
          <w:p w14:paraId="7F2F3BE8">
            <w:pPr>
              <w:rPr>
                <w:rFonts w:ascii="宋体" w:hAnsi="宋体" w:eastAsia="宋体" w:cs="宋体"/>
                <w:sz w:val="24"/>
                <w:szCs w:val="24"/>
                <w:highlight w:val="none"/>
                <w:lang w:eastAsia="en-US"/>
              </w:rPr>
            </w:pPr>
            <w:r>
              <w:rPr>
                <w:rFonts w:hint="eastAsia" w:ascii="宋体" w:hAnsi="宋体" w:eastAsia="宋体" w:cs="宋体"/>
                <w:sz w:val="24"/>
                <w:szCs w:val="24"/>
                <w:highlight w:val="none"/>
              </w:rPr>
              <w:t>ZR/NH-RVS-2×2.5mm2</w:t>
            </w:r>
          </w:p>
        </w:tc>
        <w:tc>
          <w:tcPr>
            <w:tcW w:w="380" w:type="pct"/>
            <w:shd w:val="clear" w:color="auto" w:fill="auto"/>
            <w:vAlign w:val="center"/>
          </w:tcPr>
          <w:p w14:paraId="4E2334A2">
            <w:pPr>
              <w:rPr>
                <w:rFonts w:ascii="宋体" w:hAnsi="宋体" w:eastAsia="宋体" w:cs="宋体"/>
                <w:sz w:val="24"/>
                <w:szCs w:val="24"/>
                <w:highlight w:val="none"/>
                <w:lang w:eastAsia="en-US"/>
              </w:rPr>
            </w:pPr>
            <w:r>
              <w:rPr>
                <w:rFonts w:hint="eastAsia" w:ascii="宋体" w:hAnsi="宋体" w:eastAsia="宋体" w:cs="宋体"/>
                <w:sz w:val="24"/>
                <w:szCs w:val="24"/>
                <w:highlight w:val="none"/>
              </w:rPr>
              <w:t>8770</w:t>
            </w:r>
          </w:p>
        </w:tc>
        <w:tc>
          <w:tcPr>
            <w:tcW w:w="218" w:type="pct"/>
            <w:shd w:val="clear" w:color="auto" w:fill="auto"/>
            <w:vAlign w:val="center"/>
          </w:tcPr>
          <w:p w14:paraId="16FB1D05">
            <w:pPr>
              <w:rPr>
                <w:rFonts w:ascii="宋体" w:hAnsi="宋体" w:eastAsia="宋体" w:cs="宋体"/>
                <w:sz w:val="24"/>
                <w:szCs w:val="24"/>
                <w:highlight w:val="none"/>
                <w:lang w:eastAsia="en-US"/>
              </w:rPr>
            </w:pPr>
            <w:r>
              <w:rPr>
                <w:rFonts w:hint="eastAsia" w:ascii="宋体" w:hAnsi="宋体" w:eastAsia="宋体" w:cs="宋体"/>
                <w:sz w:val="24"/>
                <w:szCs w:val="24"/>
                <w:highlight w:val="none"/>
              </w:rPr>
              <w:t>米</w:t>
            </w:r>
          </w:p>
        </w:tc>
        <w:tc>
          <w:tcPr>
            <w:tcW w:w="414" w:type="pct"/>
            <w:vAlign w:val="center"/>
          </w:tcPr>
          <w:p w14:paraId="7D5C4E06">
            <w:pPr>
              <w:rPr>
                <w:rFonts w:ascii="宋体" w:hAnsi="宋体" w:eastAsia="宋体" w:cs="宋体"/>
                <w:sz w:val="24"/>
                <w:szCs w:val="24"/>
                <w:highlight w:val="none"/>
              </w:rPr>
            </w:pPr>
            <w:r>
              <w:rPr>
                <w:rFonts w:hint="eastAsia" w:ascii="宋体" w:hAnsi="宋体" w:eastAsia="宋体" w:cs="宋体"/>
                <w:sz w:val="24"/>
                <w:szCs w:val="24"/>
                <w:highlight w:val="none"/>
              </w:rPr>
              <w:t>工业</w:t>
            </w:r>
          </w:p>
        </w:tc>
        <w:tc>
          <w:tcPr>
            <w:tcW w:w="261" w:type="pct"/>
            <w:vAlign w:val="center"/>
          </w:tcPr>
          <w:p w14:paraId="79BEE53C">
            <w:pPr>
              <w:rPr>
                <w:rFonts w:ascii="宋体" w:hAnsi="宋体" w:eastAsia="宋体" w:cs="宋体"/>
                <w:sz w:val="24"/>
                <w:szCs w:val="24"/>
                <w:highlight w:val="none"/>
              </w:rPr>
            </w:pPr>
          </w:p>
        </w:tc>
      </w:tr>
      <w:tr w14:paraId="479E3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 w:type="pct"/>
            <w:shd w:val="clear" w:color="auto" w:fill="auto"/>
            <w:vAlign w:val="center"/>
          </w:tcPr>
          <w:p w14:paraId="0F303E91">
            <w:pPr>
              <w:widowControl/>
              <w:jc w:val="right"/>
              <w:textAlignment w:val="center"/>
              <w:rPr>
                <w:rFonts w:ascii="宋体" w:hAnsi="宋体" w:eastAsia="宋体" w:cs="宋体"/>
                <w:sz w:val="24"/>
                <w:szCs w:val="24"/>
                <w:highlight w:val="none"/>
                <w:lang w:eastAsia="en-US"/>
              </w:rPr>
            </w:pPr>
            <w:r>
              <w:rPr>
                <w:rFonts w:hint="eastAsia" w:ascii="宋体" w:hAnsi="宋体" w:eastAsia="宋体" w:cs="宋体"/>
                <w:color w:val="000000"/>
                <w:kern w:val="0"/>
                <w:sz w:val="24"/>
                <w:szCs w:val="24"/>
                <w:highlight w:val="none"/>
              </w:rPr>
              <w:t>21</w:t>
            </w:r>
          </w:p>
        </w:tc>
        <w:tc>
          <w:tcPr>
            <w:tcW w:w="427" w:type="pct"/>
            <w:shd w:val="clear" w:color="auto" w:fill="auto"/>
            <w:vAlign w:val="center"/>
          </w:tcPr>
          <w:p w14:paraId="3E8A0B89">
            <w:pPr>
              <w:rPr>
                <w:rFonts w:ascii="宋体" w:hAnsi="宋体" w:eastAsia="宋体" w:cs="宋体"/>
                <w:sz w:val="24"/>
                <w:szCs w:val="24"/>
                <w:highlight w:val="none"/>
                <w:lang w:eastAsia="en-US"/>
              </w:rPr>
            </w:pPr>
            <w:r>
              <w:rPr>
                <w:rFonts w:hint="eastAsia" w:ascii="宋体" w:hAnsi="宋体" w:eastAsia="宋体" w:cs="宋体"/>
                <w:sz w:val="24"/>
                <w:szCs w:val="24"/>
                <w:highlight w:val="none"/>
              </w:rPr>
              <w:t>火灾报警线缆</w:t>
            </w:r>
          </w:p>
        </w:tc>
        <w:tc>
          <w:tcPr>
            <w:tcW w:w="3036" w:type="pct"/>
            <w:shd w:val="clear" w:color="auto" w:fill="auto"/>
            <w:vAlign w:val="center"/>
          </w:tcPr>
          <w:p w14:paraId="1E260CB2">
            <w:pPr>
              <w:rPr>
                <w:rFonts w:ascii="宋体" w:hAnsi="宋体" w:eastAsia="宋体" w:cs="宋体"/>
                <w:sz w:val="24"/>
                <w:szCs w:val="24"/>
                <w:highlight w:val="none"/>
                <w:lang w:eastAsia="en-US"/>
              </w:rPr>
            </w:pPr>
            <w:r>
              <w:rPr>
                <w:rFonts w:hint="eastAsia" w:ascii="宋体" w:hAnsi="宋体" w:eastAsia="宋体" w:cs="宋体"/>
                <w:sz w:val="24"/>
                <w:szCs w:val="24"/>
                <w:highlight w:val="none"/>
              </w:rPr>
              <w:t>NH-RVS-2×1.5mm2</w:t>
            </w:r>
          </w:p>
        </w:tc>
        <w:tc>
          <w:tcPr>
            <w:tcW w:w="380" w:type="pct"/>
            <w:shd w:val="clear" w:color="auto" w:fill="auto"/>
            <w:vAlign w:val="center"/>
          </w:tcPr>
          <w:p w14:paraId="5D470D19">
            <w:pPr>
              <w:rPr>
                <w:rFonts w:ascii="宋体" w:hAnsi="宋体" w:eastAsia="宋体" w:cs="宋体"/>
                <w:sz w:val="24"/>
                <w:szCs w:val="24"/>
                <w:highlight w:val="none"/>
                <w:lang w:eastAsia="en-US"/>
              </w:rPr>
            </w:pPr>
            <w:r>
              <w:rPr>
                <w:rFonts w:hint="eastAsia" w:ascii="宋体" w:hAnsi="宋体" w:eastAsia="宋体" w:cs="宋体"/>
                <w:sz w:val="24"/>
                <w:szCs w:val="24"/>
                <w:highlight w:val="none"/>
              </w:rPr>
              <w:t>57530</w:t>
            </w:r>
          </w:p>
        </w:tc>
        <w:tc>
          <w:tcPr>
            <w:tcW w:w="218" w:type="pct"/>
            <w:shd w:val="clear" w:color="auto" w:fill="auto"/>
            <w:vAlign w:val="center"/>
          </w:tcPr>
          <w:p w14:paraId="7F61743C">
            <w:pPr>
              <w:rPr>
                <w:rFonts w:ascii="宋体" w:hAnsi="宋体" w:eastAsia="宋体" w:cs="宋体"/>
                <w:sz w:val="24"/>
                <w:szCs w:val="24"/>
                <w:highlight w:val="none"/>
                <w:lang w:eastAsia="en-US"/>
              </w:rPr>
            </w:pPr>
            <w:r>
              <w:rPr>
                <w:rFonts w:hint="eastAsia" w:ascii="宋体" w:hAnsi="宋体" w:eastAsia="宋体" w:cs="宋体"/>
                <w:sz w:val="24"/>
                <w:szCs w:val="24"/>
                <w:highlight w:val="none"/>
              </w:rPr>
              <w:t>米</w:t>
            </w:r>
          </w:p>
        </w:tc>
        <w:tc>
          <w:tcPr>
            <w:tcW w:w="414" w:type="pct"/>
            <w:vAlign w:val="center"/>
          </w:tcPr>
          <w:p w14:paraId="227CC68D">
            <w:pPr>
              <w:rPr>
                <w:rFonts w:ascii="宋体" w:hAnsi="宋体" w:eastAsia="宋体" w:cs="宋体"/>
                <w:sz w:val="24"/>
                <w:szCs w:val="24"/>
                <w:highlight w:val="none"/>
              </w:rPr>
            </w:pPr>
            <w:r>
              <w:rPr>
                <w:rFonts w:hint="eastAsia" w:ascii="宋体" w:hAnsi="宋体" w:eastAsia="宋体" w:cs="宋体"/>
                <w:sz w:val="24"/>
                <w:szCs w:val="24"/>
                <w:highlight w:val="none"/>
              </w:rPr>
              <w:t>工业</w:t>
            </w:r>
          </w:p>
        </w:tc>
        <w:tc>
          <w:tcPr>
            <w:tcW w:w="261" w:type="pct"/>
            <w:vAlign w:val="center"/>
          </w:tcPr>
          <w:p w14:paraId="6B77256D">
            <w:pPr>
              <w:rPr>
                <w:rFonts w:ascii="宋体" w:hAnsi="宋体" w:eastAsia="宋体" w:cs="宋体"/>
                <w:sz w:val="24"/>
                <w:szCs w:val="24"/>
                <w:highlight w:val="none"/>
              </w:rPr>
            </w:pPr>
          </w:p>
        </w:tc>
      </w:tr>
      <w:tr w14:paraId="0EB64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 w:type="pct"/>
            <w:shd w:val="clear" w:color="auto" w:fill="auto"/>
            <w:vAlign w:val="center"/>
          </w:tcPr>
          <w:p w14:paraId="4CB59A25">
            <w:pPr>
              <w:widowControl/>
              <w:jc w:val="right"/>
              <w:textAlignment w:val="center"/>
              <w:rPr>
                <w:rFonts w:ascii="宋体" w:hAnsi="宋体" w:eastAsia="宋体" w:cs="宋体"/>
                <w:sz w:val="24"/>
                <w:szCs w:val="24"/>
                <w:highlight w:val="none"/>
                <w:lang w:eastAsia="en-US"/>
              </w:rPr>
            </w:pPr>
            <w:r>
              <w:rPr>
                <w:rFonts w:hint="eastAsia" w:ascii="宋体" w:hAnsi="宋体" w:eastAsia="宋体" w:cs="宋体"/>
                <w:color w:val="000000"/>
                <w:kern w:val="0"/>
                <w:sz w:val="24"/>
                <w:szCs w:val="24"/>
                <w:highlight w:val="none"/>
              </w:rPr>
              <w:t>22</w:t>
            </w:r>
          </w:p>
        </w:tc>
        <w:tc>
          <w:tcPr>
            <w:tcW w:w="427" w:type="pct"/>
            <w:shd w:val="clear" w:color="auto" w:fill="auto"/>
            <w:vAlign w:val="center"/>
          </w:tcPr>
          <w:p w14:paraId="46E77429">
            <w:pPr>
              <w:rPr>
                <w:rFonts w:ascii="宋体" w:hAnsi="宋体" w:eastAsia="宋体" w:cs="宋体"/>
                <w:sz w:val="24"/>
                <w:szCs w:val="24"/>
                <w:highlight w:val="none"/>
              </w:rPr>
            </w:pPr>
            <w:r>
              <w:rPr>
                <w:rFonts w:hint="eastAsia" w:ascii="宋体" w:hAnsi="宋体" w:eastAsia="宋体" w:cs="宋体"/>
                <w:sz w:val="24"/>
                <w:szCs w:val="24"/>
                <w:highlight w:val="none"/>
              </w:rPr>
              <w:t>镀锌桥架</w:t>
            </w:r>
          </w:p>
        </w:tc>
        <w:tc>
          <w:tcPr>
            <w:tcW w:w="3036" w:type="pct"/>
            <w:shd w:val="clear" w:color="auto" w:fill="auto"/>
            <w:vAlign w:val="center"/>
          </w:tcPr>
          <w:p w14:paraId="37A3A71D">
            <w:pPr>
              <w:rPr>
                <w:rFonts w:ascii="宋体" w:hAnsi="宋体" w:eastAsia="宋体" w:cs="宋体"/>
                <w:sz w:val="24"/>
                <w:szCs w:val="24"/>
                <w:highlight w:val="none"/>
              </w:rPr>
            </w:pPr>
            <w:r>
              <w:rPr>
                <w:rFonts w:hint="eastAsia" w:ascii="宋体" w:hAnsi="宋体" w:eastAsia="宋体" w:cs="宋体"/>
                <w:sz w:val="24"/>
                <w:szCs w:val="24"/>
                <w:highlight w:val="none"/>
              </w:rPr>
              <w:t>≥50mm*50mm</w:t>
            </w:r>
          </w:p>
        </w:tc>
        <w:tc>
          <w:tcPr>
            <w:tcW w:w="380" w:type="pct"/>
            <w:shd w:val="clear" w:color="auto" w:fill="auto"/>
            <w:vAlign w:val="center"/>
          </w:tcPr>
          <w:p w14:paraId="5FFD0EBA">
            <w:pPr>
              <w:rPr>
                <w:rFonts w:ascii="宋体" w:hAnsi="宋体" w:eastAsia="宋体" w:cs="宋体"/>
                <w:sz w:val="24"/>
                <w:szCs w:val="24"/>
                <w:highlight w:val="none"/>
              </w:rPr>
            </w:pPr>
            <w:r>
              <w:rPr>
                <w:rFonts w:hint="eastAsia" w:ascii="宋体" w:hAnsi="宋体" w:eastAsia="宋体" w:cs="宋体"/>
                <w:sz w:val="24"/>
                <w:szCs w:val="24"/>
                <w:highlight w:val="none"/>
              </w:rPr>
              <w:t>21940</w:t>
            </w:r>
          </w:p>
        </w:tc>
        <w:tc>
          <w:tcPr>
            <w:tcW w:w="218" w:type="pct"/>
            <w:shd w:val="clear" w:color="auto" w:fill="auto"/>
            <w:vAlign w:val="center"/>
          </w:tcPr>
          <w:p w14:paraId="1B12DDB1">
            <w:pPr>
              <w:rPr>
                <w:rFonts w:ascii="宋体" w:hAnsi="宋体" w:eastAsia="宋体" w:cs="宋体"/>
                <w:sz w:val="24"/>
                <w:szCs w:val="24"/>
                <w:highlight w:val="none"/>
              </w:rPr>
            </w:pPr>
            <w:r>
              <w:rPr>
                <w:rFonts w:hint="eastAsia" w:ascii="宋体" w:hAnsi="宋体" w:eastAsia="宋体" w:cs="宋体"/>
                <w:sz w:val="24"/>
                <w:szCs w:val="24"/>
                <w:highlight w:val="none"/>
              </w:rPr>
              <w:t>米</w:t>
            </w:r>
          </w:p>
        </w:tc>
        <w:tc>
          <w:tcPr>
            <w:tcW w:w="414" w:type="pct"/>
            <w:vAlign w:val="center"/>
          </w:tcPr>
          <w:p w14:paraId="36DA9D24">
            <w:pPr>
              <w:rPr>
                <w:rFonts w:ascii="宋体" w:hAnsi="宋体" w:eastAsia="宋体" w:cs="宋体"/>
                <w:sz w:val="24"/>
                <w:szCs w:val="24"/>
                <w:highlight w:val="none"/>
              </w:rPr>
            </w:pPr>
            <w:r>
              <w:rPr>
                <w:rFonts w:hint="eastAsia" w:ascii="宋体" w:hAnsi="宋体" w:eastAsia="宋体" w:cs="宋体"/>
                <w:sz w:val="24"/>
                <w:szCs w:val="24"/>
                <w:highlight w:val="none"/>
              </w:rPr>
              <w:t>工业</w:t>
            </w:r>
          </w:p>
        </w:tc>
        <w:tc>
          <w:tcPr>
            <w:tcW w:w="261" w:type="pct"/>
            <w:vAlign w:val="center"/>
          </w:tcPr>
          <w:p w14:paraId="520B7583">
            <w:pPr>
              <w:rPr>
                <w:rFonts w:ascii="宋体" w:hAnsi="宋体" w:eastAsia="宋体" w:cs="宋体"/>
                <w:sz w:val="24"/>
                <w:szCs w:val="24"/>
                <w:highlight w:val="none"/>
              </w:rPr>
            </w:pPr>
          </w:p>
        </w:tc>
      </w:tr>
      <w:tr w14:paraId="4F3FA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 w:type="pct"/>
            <w:shd w:val="clear" w:color="auto" w:fill="auto"/>
            <w:vAlign w:val="center"/>
          </w:tcPr>
          <w:p w14:paraId="190EDC23">
            <w:pPr>
              <w:widowControl/>
              <w:jc w:val="right"/>
              <w:textAlignment w:val="center"/>
              <w:rPr>
                <w:rFonts w:ascii="宋体" w:hAnsi="宋体" w:eastAsia="宋体" w:cs="宋体"/>
                <w:sz w:val="24"/>
                <w:szCs w:val="24"/>
                <w:highlight w:val="none"/>
                <w:lang w:eastAsia="en-US"/>
              </w:rPr>
            </w:pPr>
            <w:r>
              <w:rPr>
                <w:rFonts w:hint="eastAsia" w:ascii="宋体" w:hAnsi="宋体" w:eastAsia="宋体" w:cs="宋体"/>
                <w:color w:val="000000"/>
                <w:kern w:val="0"/>
                <w:sz w:val="24"/>
                <w:szCs w:val="24"/>
                <w:highlight w:val="none"/>
              </w:rPr>
              <w:t>23</w:t>
            </w:r>
          </w:p>
        </w:tc>
        <w:tc>
          <w:tcPr>
            <w:tcW w:w="427" w:type="pct"/>
            <w:shd w:val="clear" w:color="auto" w:fill="auto"/>
            <w:vAlign w:val="center"/>
          </w:tcPr>
          <w:p w14:paraId="3472FF7E">
            <w:pPr>
              <w:rPr>
                <w:rFonts w:ascii="宋体" w:hAnsi="宋体" w:eastAsia="宋体" w:cs="宋体"/>
                <w:sz w:val="24"/>
                <w:szCs w:val="24"/>
                <w:highlight w:val="none"/>
                <w:lang w:eastAsia="en-US"/>
              </w:rPr>
            </w:pPr>
            <w:r>
              <w:rPr>
                <w:rFonts w:hint="eastAsia" w:ascii="宋体" w:hAnsi="宋体" w:eastAsia="宋体" w:cs="宋体"/>
                <w:sz w:val="24"/>
                <w:szCs w:val="24"/>
                <w:highlight w:val="none"/>
              </w:rPr>
              <w:t>金属波纹管</w:t>
            </w:r>
          </w:p>
        </w:tc>
        <w:tc>
          <w:tcPr>
            <w:tcW w:w="3036" w:type="pct"/>
            <w:shd w:val="clear" w:color="auto" w:fill="auto"/>
            <w:vAlign w:val="center"/>
          </w:tcPr>
          <w:p w14:paraId="46483CDE">
            <w:pPr>
              <w:rPr>
                <w:rFonts w:ascii="宋体" w:hAnsi="宋体" w:eastAsia="宋体" w:cs="宋体"/>
                <w:sz w:val="24"/>
                <w:szCs w:val="24"/>
                <w:highlight w:val="none"/>
                <w:lang w:eastAsia="en-US"/>
              </w:rPr>
            </w:pPr>
            <w:r>
              <w:rPr>
                <w:rFonts w:hint="eastAsia" w:ascii="宋体" w:hAnsi="宋体" w:eastAsia="宋体" w:cs="宋体"/>
                <w:sz w:val="24"/>
                <w:szCs w:val="24"/>
                <w:highlight w:val="none"/>
              </w:rPr>
              <w:t>≥D16mm</w:t>
            </w:r>
          </w:p>
        </w:tc>
        <w:tc>
          <w:tcPr>
            <w:tcW w:w="380" w:type="pct"/>
            <w:shd w:val="clear" w:color="auto" w:fill="auto"/>
            <w:vAlign w:val="center"/>
          </w:tcPr>
          <w:p w14:paraId="07A310F1">
            <w:pPr>
              <w:rPr>
                <w:rFonts w:ascii="宋体" w:hAnsi="宋体" w:eastAsia="宋体" w:cs="宋体"/>
                <w:sz w:val="24"/>
                <w:szCs w:val="24"/>
                <w:highlight w:val="none"/>
                <w:lang w:eastAsia="en-US"/>
              </w:rPr>
            </w:pPr>
            <w:r>
              <w:rPr>
                <w:rFonts w:hint="eastAsia" w:ascii="宋体" w:hAnsi="宋体" w:eastAsia="宋体" w:cs="宋体"/>
                <w:sz w:val="24"/>
                <w:szCs w:val="24"/>
                <w:highlight w:val="none"/>
              </w:rPr>
              <w:t>22550</w:t>
            </w:r>
          </w:p>
        </w:tc>
        <w:tc>
          <w:tcPr>
            <w:tcW w:w="218" w:type="pct"/>
            <w:shd w:val="clear" w:color="auto" w:fill="auto"/>
            <w:vAlign w:val="center"/>
          </w:tcPr>
          <w:p w14:paraId="2F131BF6">
            <w:pPr>
              <w:rPr>
                <w:rFonts w:ascii="宋体" w:hAnsi="宋体" w:eastAsia="宋体" w:cs="宋体"/>
                <w:sz w:val="24"/>
                <w:szCs w:val="24"/>
                <w:highlight w:val="none"/>
                <w:lang w:eastAsia="en-US"/>
              </w:rPr>
            </w:pPr>
            <w:r>
              <w:rPr>
                <w:rFonts w:hint="eastAsia" w:ascii="宋体" w:hAnsi="宋体" w:eastAsia="宋体" w:cs="宋体"/>
                <w:sz w:val="24"/>
                <w:szCs w:val="24"/>
                <w:highlight w:val="none"/>
              </w:rPr>
              <w:t>米</w:t>
            </w:r>
          </w:p>
        </w:tc>
        <w:tc>
          <w:tcPr>
            <w:tcW w:w="414" w:type="pct"/>
            <w:vAlign w:val="center"/>
          </w:tcPr>
          <w:p w14:paraId="71D94181">
            <w:pPr>
              <w:rPr>
                <w:rFonts w:ascii="宋体" w:hAnsi="宋体" w:eastAsia="宋体" w:cs="宋体"/>
                <w:sz w:val="24"/>
                <w:szCs w:val="24"/>
                <w:highlight w:val="none"/>
              </w:rPr>
            </w:pPr>
            <w:r>
              <w:rPr>
                <w:rFonts w:hint="eastAsia" w:ascii="宋体" w:hAnsi="宋体" w:eastAsia="宋体" w:cs="宋体"/>
                <w:sz w:val="24"/>
                <w:szCs w:val="24"/>
                <w:highlight w:val="none"/>
              </w:rPr>
              <w:t>工业</w:t>
            </w:r>
          </w:p>
        </w:tc>
        <w:tc>
          <w:tcPr>
            <w:tcW w:w="261" w:type="pct"/>
            <w:vAlign w:val="center"/>
          </w:tcPr>
          <w:p w14:paraId="039AD08D">
            <w:pPr>
              <w:rPr>
                <w:rFonts w:ascii="宋体" w:hAnsi="宋体" w:eastAsia="宋体" w:cs="宋体"/>
                <w:sz w:val="24"/>
                <w:szCs w:val="24"/>
                <w:highlight w:val="none"/>
              </w:rPr>
            </w:pPr>
          </w:p>
        </w:tc>
      </w:tr>
      <w:tr w14:paraId="5FEED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 w:type="pct"/>
            <w:shd w:val="clear" w:color="auto" w:fill="auto"/>
            <w:vAlign w:val="center"/>
          </w:tcPr>
          <w:p w14:paraId="68A8CE4D">
            <w:pPr>
              <w:widowControl/>
              <w:jc w:val="right"/>
              <w:textAlignment w:val="center"/>
              <w:rPr>
                <w:rFonts w:ascii="宋体" w:hAnsi="宋体" w:eastAsia="宋体" w:cs="宋体"/>
                <w:sz w:val="24"/>
                <w:szCs w:val="24"/>
                <w:highlight w:val="none"/>
                <w:lang w:eastAsia="en-US"/>
              </w:rPr>
            </w:pPr>
            <w:r>
              <w:rPr>
                <w:rFonts w:hint="eastAsia" w:ascii="宋体" w:hAnsi="宋体" w:eastAsia="宋体" w:cs="宋体"/>
                <w:color w:val="000000"/>
                <w:kern w:val="0"/>
                <w:sz w:val="24"/>
                <w:szCs w:val="24"/>
                <w:highlight w:val="none"/>
              </w:rPr>
              <w:t>24</w:t>
            </w:r>
          </w:p>
        </w:tc>
        <w:tc>
          <w:tcPr>
            <w:tcW w:w="427" w:type="pct"/>
            <w:shd w:val="clear" w:color="auto" w:fill="auto"/>
            <w:vAlign w:val="center"/>
          </w:tcPr>
          <w:p w14:paraId="779F80E9">
            <w:pPr>
              <w:rPr>
                <w:rFonts w:ascii="宋体" w:hAnsi="宋体" w:eastAsia="宋体" w:cs="宋体"/>
                <w:sz w:val="24"/>
                <w:szCs w:val="24"/>
                <w:highlight w:val="none"/>
              </w:rPr>
            </w:pPr>
            <w:r>
              <w:rPr>
                <w:rFonts w:hint="eastAsia" w:ascii="宋体" w:hAnsi="宋体" w:eastAsia="宋体" w:cs="宋体"/>
                <w:sz w:val="24"/>
                <w:szCs w:val="24"/>
                <w:highlight w:val="none"/>
              </w:rPr>
              <w:t>热成像感温火灾探测器</w:t>
            </w:r>
          </w:p>
        </w:tc>
        <w:tc>
          <w:tcPr>
            <w:tcW w:w="3036" w:type="pct"/>
            <w:shd w:val="clear" w:color="auto" w:fill="auto"/>
            <w:vAlign w:val="center"/>
          </w:tcPr>
          <w:p w14:paraId="5FD8C1C6">
            <w:pPr>
              <w:rPr>
                <w:rFonts w:ascii="宋体" w:hAnsi="宋体" w:eastAsia="宋体" w:cs="宋体"/>
                <w:sz w:val="24"/>
                <w:szCs w:val="24"/>
                <w:highlight w:val="none"/>
              </w:rPr>
            </w:pPr>
            <w:r>
              <w:rPr>
                <w:rFonts w:hint="eastAsia" w:ascii="宋体" w:hAnsi="宋体" w:eastAsia="宋体" w:cs="宋体"/>
                <w:sz w:val="24"/>
                <w:szCs w:val="24"/>
                <w:highlight w:val="none"/>
              </w:rPr>
              <w:t>1.火焰传感器：4.3um主探测+5.0um参比+3.8um参比，可见光：最大图像尺寸≥ 2560 × 1440</w:t>
            </w:r>
          </w:p>
          <w:p w14:paraId="0065818E">
            <w:pPr>
              <w:rPr>
                <w:rFonts w:ascii="宋体" w:hAnsi="宋体" w:eastAsia="宋体" w:cs="宋体"/>
                <w:sz w:val="24"/>
                <w:szCs w:val="24"/>
                <w:highlight w:val="none"/>
              </w:rPr>
            </w:pPr>
            <w:r>
              <w:rPr>
                <w:rFonts w:hint="eastAsia" w:ascii="宋体" w:hAnsi="宋体" w:eastAsia="宋体" w:cs="宋体"/>
                <w:sz w:val="24"/>
                <w:szCs w:val="24"/>
                <w:highlight w:val="none"/>
              </w:rPr>
              <w:t>★2.可在预览画面中实时叠加火焰的三波段红外数据并报警（</w:t>
            </w:r>
            <w:r>
              <w:rPr>
                <w:rFonts w:hint="eastAsia" w:ascii="宋体" w:hAnsi="宋体" w:eastAsia="宋体" w:cs="宋体"/>
                <w:b/>
                <w:bCs/>
                <w:sz w:val="24"/>
                <w:szCs w:val="24"/>
                <w:highlight w:val="none"/>
              </w:rPr>
              <w:t>提供具有CMA或CNAS标识的第三方有权机构出具的检验报告</w:t>
            </w:r>
            <w:r>
              <w:rPr>
                <w:rFonts w:hint="eastAsia" w:ascii="宋体" w:hAnsi="宋体" w:eastAsia="宋体" w:cs="宋体"/>
                <w:sz w:val="24"/>
                <w:szCs w:val="24"/>
                <w:highlight w:val="none"/>
              </w:rPr>
              <w:t>）</w:t>
            </w:r>
          </w:p>
          <w:p w14:paraId="3D81AD2E">
            <w:pPr>
              <w:rPr>
                <w:rFonts w:ascii="宋体" w:hAnsi="宋体" w:eastAsia="宋体" w:cs="宋体"/>
                <w:sz w:val="24"/>
                <w:szCs w:val="24"/>
                <w:highlight w:val="none"/>
              </w:rPr>
            </w:pPr>
            <w:r>
              <w:rPr>
                <w:rFonts w:hint="eastAsia" w:ascii="宋体" w:hAnsi="宋体" w:eastAsia="宋体" w:cs="宋体"/>
                <w:sz w:val="24"/>
                <w:szCs w:val="24"/>
                <w:highlight w:val="none"/>
              </w:rPr>
              <w:t>3.传感器类型：1/2.7" CMOS，可见光镜头：4 mm,F1.6，可见光视场角：≥86°×44°</w:t>
            </w:r>
          </w:p>
          <w:p w14:paraId="471153F2">
            <w:pPr>
              <w:rPr>
                <w:rFonts w:ascii="宋体" w:hAnsi="宋体" w:eastAsia="宋体" w:cs="宋体"/>
                <w:sz w:val="24"/>
                <w:szCs w:val="24"/>
                <w:highlight w:val="none"/>
              </w:rPr>
            </w:pPr>
            <w:r>
              <w:rPr>
                <w:rFonts w:hint="eastAsia" w:ascii="宋体" w:hAnsi="宋体" w:eastAsia="宋体" w:cs="宋体"/>
                <w:sz w:val="24"/>
                <w:szCs w:val="24"/>
                <w:highlight w:val="none"/>
              </w:rPr>
              <w:t>4.热成像：氧化钒（VOx）微测辐射热计，最大图像尺寸：160 × 120，像元尺寸 17 μm，响应波段：8~14 μm，热成像镜头：3 mm，热成像视场角：≥50°×37.2°</w:t>
            </w:r>
          </w:p>
          <w:p w14:paraId="3792C6C3">
            <w:pPr>
              <w:rPr>
                <w:rFonts w:ascii="宋体" w:hAnsi="宋体" w:eastAsia="宋体" w:cs="宋体"/>
                <w:sz w:val="24"/>
                <w:szCs w:val="24"/>
                <w:highlight w:val="none"/>
              </w:rPr>
            </w:pPr>
            <w:r>
              <w:rPr>
                <w:rFonts w:hint="eastAsia" w:ascii="宋体" w:hAnsi="宋体" w:eastAsia="宋体" w:cs="宋体"/>
                <w:sz w:val="24"/>
                <w:szCs w:val="24"/>
                <w:highlight w:val="none"/>
              </w:rPr>
              <w:t>5.伪彩模式：支持白热、黑热、融合1、彩虹、融合2、铁红1、铁红2等多种模式</w:t>
            </w:r>
          </w:p>
          <w:p w14:paraId="790DF04D">
            <w:pPr>
              <w:rPr>
                <w:rFonts w:ascii="宋体" w:hAnsi="宋体" w:eastAsia="宋体" w:cs="宋体"/>
                <w:sz w:val="24"/>
                <w:szCs w:val="24"/>
                <w:highlight w:val="none"/>
              </w:rPr>
            </w:pPr>
            <w:r>
              <w:rPr>
                <w:rFonts w:hint="eastAsia" w:ascii="宋体" w:hAnsi="宋体" w:eastAsia="宋体" w:cs="宋体"/>
                <w:sz w:val="24"/>
                <w:szCs w:val="24"/>
                <w:highlight w:val="none"/>
              </w:rPr>
              <w:t>★6.火灾报警信号传输功能：发生火灾时，探测器可将报警信息通过输入模块传输到火灾报警主机中，并在火灾报警主机中显示该报警信息（</w:t>
            </w:r>
            <w:r>
              <w:rPr>
                <w:rFonts w:hint="eastAsia" w:ascii="宋体" w:hAnsi="宋体" w:eastAsia="宋体" w:cs="宋体"/>
                <w:b/>
                <w:bCs/>
                <w:sz w:val="24"/>
                <w:szCs w:val="24"/>
                <w:highlight w:val="none"/>
              </w:rPr>
              <w:t>提供具有CMA或CNAS标识的第三方有权机构出具的检验报告</w:t>
            </w:r>
            <w:r>
              <w:rPr>
                <w:rFonts w:hint="eastAsia" w:ascii="宋体" w:hAnsi="宋体" w:eastAsia="宋体" w:cs="宋体"/>
                <w:sz w:val="24"/>
                <w:szCs w:val="24"/>
                <w:highlight w:val="none"/>
              </w:rPr>
              <w:t>）</w:t>
            </w:r>
          </w:p>
          <w:p w14:paraId="2DC4CAB4">
            <w:pPr>
              <w:rPr>
                <w:rFonts w:ascii="宋体" w:hAnsi="宋体" w:eastAsia="宋体" w:cs="宋体"/>
                <w:sz w:val="24"/>
                <w:szCs w:val="24"/>
                <w:highlight w:val="none"/>
              </w:rPr>
            </w:pPr>
            <w:r>
              <w:rPr>
                <w:rFonts w:hint="eastAsia" w:ascii="宋体" w:hAnsi="宋体" w:eastAsia="宋体" w:cs="宋体"/>
                <w:sz w:val="24"/>
                <w:szCs w:val="24"/>
                <w:highlight w:val="none"/>
              </w:rPr>
              <w:t>7.测温范围：0 °C~400 °C，测温精度：±2℃或读数的±2%（取最大值）（距离摄像机0.3~3.3米范围内）</w:t>
            </w:r>
          </w:p>
          <w:p w14:paraId="3A0C9061">
            <w:pPr>
              <w:rPr>
                <w:rFonts w:ascii="宋体" w:hAnsi="宋体" w:eastAsia="宋体" w:cs="宋体"/>
                <w:sz w:val="24"/>
                <w:szCs w:val="24"/>
                <w:highlight w:val="none"/>
              </w:rPr>
            </w:pPr>
            <w:r>
              <w:rPr>
                <w:rFonts w:hint="eastAsia" w:ascii="宋体" w:hAnsi="宋体" w:eastAsia="宋体" w:cs="宋体"/>
                <w:sz w:val="24"/>
                <w:szCs w:val="24"/>
                <w:highlight w:val="none"/>
              </w:rPr>
              <w:t>★8.温度异常报警功能：可通过IE浏览器设置在热成像枧频图像探温度区域中出现以下条件时，可在客户端给出报警提示、联动报警输出、联动录像及联动抓拍：当设定区域的最高温度值/最低温度值/平均温度值/温差值大于或小于预设阈值时(</w:t>
            </w:r>
            <w:r>
              <w:rPr>
                <w:rFonts w:hint="eastAsia" w:ascii="宋体" w:hAnsi="宋体" w:eastAsia="宋体" w:cs="宋体"/>
                <w:b/>
                <w:bCs/>
                <w:sz w:val="24"/>
                <w:szCs w:val="24"/>
                <w:highlight w:val="none"/>
              </w:rPr>
              <w:t>提供具有CMA或CNAS标识的第三方有权机构出具的检验报告</w:t>
            </w:r>
            <w:r>
              <w:rPr>
                <w:rFonts w:hint="eastAsia" w:ascii="宋体" w:hAnsi="宋体" w:eastAsia="宋体" w:cs="宋体"/>
                <w:sz w:val="24"/>
                <w:szCs w:val="24"/>
                <w:highlight w:val="none"/>
              </w:rPr>
              <w:t>）</w:t>
            </w:r>
          </w:p>
          <w:p w14:paraId="10065371">
            <w:pPr>
              <w:rPr>
                <w:rFonts w:ascii="宋体" w:hAnsi="宋体" w:eastAsia="宋体" w:cs="宋体"/>
                <w:sz w:val="24"/>
                <w:szCs w:val="24"/>
                <w:highlight w:val="none"/>
              </w:rPr>
            </w:pPr>
            <w:r>
              <w:rPr>
                <w:rFonts w:hint="eastAsia" w:ascii="宋体" w:hAnsi="宋体" w:eastAsia="宋体" w:cs="宋体"/>
                <w:sz w:val="24"/>
                <w:szCs w:val="24"/>
                <w:highlight w:val="none"/>
              </w:rPr>
              <w:t>★9.内置GPU芯片，具有至少1个RJ45网络接口、一个三波段火焰探测器、3个状态指示灯（绿色、黄色、红色）、1个SD卡槽、1个音频输入接口、1个音频输出接口、1个报警输入接口、2个报警输出接口、1个RS485接口（</w:t>
            </w:r>
            <w:r>
              <w:rPr>
                <w:rFonts w:hint="eastAsia" w:ascii="宋体" w:hAnsi="宋体" w:eastAsia="宋体" w:cs="宋体"/>
                <w:b/>
                <w:bCs/>
                <w:sz w:val="24"/>
                <w:szCs w:val="24"/>
                <w:highlight w:val="none"/>
              </w:rPr>
              <w:t>提供具有CMA或CNAS标识的第三方有权机构出具的检验报告</w:t>
            </w:r>
            <w:r>
              <w:rPr>
                <w:rFonts w:hint="eastAsia" w:ascii="宋体" w:hAnsi="宋体" w:eastAsia="宋体" w:cs="宋体"/>
                <w:sz w:val="24"/>
                <w:szCs w:val="24"/>
                <w:highlight w:val="none"/>
              </w:rPr>
              <w:t>）</w:t>
            </w:r>
          </w:p>
          <w:p w14:paraId="3526C4C9">
            <w:pPr>
              <w:rPr>
                <w:rFonts w:ascii="宋体" w:hAnsi="宋体" w:eastAsia="宋体" w:cs="宋体"/>
                <w:sz w:val="24"/>
                <w:szCs w:val="24"/>
                <w:highlight w:val="none"/>
              </w:rPr>
            </w:pPr>
            <w:r>
              <w:rPr>
                <w:rFonts w:hint="eastAsia" w:ascii="宋体" w:hAnsi="宋体" w:eastAsia="宋体" w:cs="宋体"/>
                <w:sz w:val="24"/>
                <w:szCs w:val="24"/>
                <w:highlight w:val="none"/>
              </w:rPr>
              <w:t>10.异常侦测：移动侦测, 遮挡报警, 网线断, IP地址冲突, 非法登录, 存储器满, 存储器错</w:t>
            </w:r>
          </w:p>
          <w:p w14:paraId="50955072">
            <w:pPr>
              <w:rPr>
                <w:rFonts w:ascii="宋体" w:hAnsi="宋体" w:eastAsia="宋体" w:cs="宋体"/>
                <w:sz w:val="24"/>
                <w:szCs w:val="24"/>
                <w:highlight w:val="none"/>
              </w:rPr>
            </w:pPr>
            <w:r>
              <w:rPr>
                <w:rFonts w:hint="eastAsia" w:ascii="宋体" w:hAnsi="宋体" w:eastAsia="宋体" w:cs="宋体"/>
                <w:sz w:val="24"/>
                <w:szCs w:val="24"/>
                <w:highlight w:val="none"/>
              </w:rPr>
              <w:t>11.报警接口：不少于2路报警输入(Alarm in), 2路报警输出(Alarm out, 最大支持DC 30 V/2 A或AC 125 V/0.5 A)；音频接口：1路内置麦克风，1路内置扬声器，1路音频输入(Line in), 1 路音频输出(Line out)；网络接口：1个RJ45 10 M/100 M自适应以太网口</w:t>
            </w:r>
          </w:p>
          <w:p w14:paraId="7E6F8406">
            <w:pPr>
              <w:rPr>
                <w:rFonts w:ascii="宋体" w:hAnsi="宋体" w:eastAsia="宋体" w:cs="宋体"/>
                <w:sz w:val="24"/>
                <w:szCs w:val="24"/>
                <w:highlight w:val="none"/>
              </w:rPr>
            </w:pPr>
            <w:r>
              <w:rPr>
                <w:rFonts w:hint="eastAsia" w:ascii="宋体" w:hAnsi="宋体" w:eastAsia="宋体" w:cs="宋体"/>
                <w:sz w:val="24"/>
                <w:szCs w:val="24"/>
                <w:highlight w:val="none"/>
              </w:rPr>
              <w:t>12.报警指示灯：红色：报警； 绿色：正常运行； 黄色：故障</w:t>
            </w:r>
          </w:p>
          <w:p w14:paraId="50E52AC5">
            <w:pPr>
              <w:rPr>
                <w:rFonts w:ascii="宋体" w:hAnsi="宋体" w:eastAsia="宋体" w:cs="宋体"/>
                <w:sz w:val="24"/>
                <w:szCs w:val="24"/>
                <w:highlight w:val="none"/>
              </w:rPr>
            </w:pPr>
            <w:r>
              <w:rPr>
                <w:rFonts w:hint="eastAsia" w:ascii="宋体" w:hAnsi="宋体" w:eastAsia="宋体" w:cs="宋体"/>
                <w:sz w:val="24"/>
                <w:szCs w:val="24"/>
                <w:highlight w:val="none"/>
              </w:rPr>
              <w:t>13.使用环境：-20~60°C，湿度小于95%；防护等级：IP66</w:t>
            </w:r>
          </w:p>
          <w:p w14:paraId="7D704B45">
            <w:pPr>
              <w:rPr>
                <w:rFonts w:ascii="宋体" w:hAnsi="宋体" w:eastAsia="宋体" w:cs="宋体"/>
                <w:sz w:val="24"/>
                <w:szCs w:val="24"/>
                <w:highlight w:val="none"/>
                <w:lang w:eastAsia="en-US"/>
              </w:rPr>
            </w:pPr>
            <w:r>
              <w:rPr>
                <w:rFonts w:hint="eastAsia" w:ascii="宋体" w:hAnsi="宋体" w:eastAsia="宋体" w:cs="宋体"/>
                <w:sz w:val="24"/>
                <w:szCs w:val="24"/>
                <w:highlight w:val="none"/>
              </w:rPr>
              <w:t>14.产品应能在电压DC9V~36V的范围内正常工作。支持POE供电方式</w:t>
            </w:r>
          </w:p>
        </w:tc>
        <w:tc>
          <w:tcPr>
            <w:tcW w:w="380" w:type="pct"/>
            <w:shd w:val="clear" w:color="auto" w:fill="auto"/>
            <w:vAlign w:val="center"/>
          </w:tcPr>
          <w:p w14:paraId="29A4A42D">
            <w:pPr>
              <w:rPr>
                <w:rFonts w:ascii="宋体" w:hAnsi="宋体" w:eastAsia="宋体" w:cs="宋体"/>
                <w:sz w:val="24"/>
                <w:szCs w:val="24"/>
                <w:highlight w:val="none"/>
                <w:lang w:eastAsia="en-US"/>
              </w:rPr>
            </w:pPr>
            <w:r>
              <w:rPr>
                <w:rFonts w:hint="eastAsia" w:ascii="宋体" w:hAnsi="宋体" w:eastAsia="宋体" w:cs="宋体"/>
                <w:sz w:val="24"/>
                <w:szCs w:val="24"/>
                <w:highlight w:val="none"/>
              </w:rPr>
              <w:t>4</w:t>
            </w:r>
          </w:p>
        </w:tc>
        <w:tc>
          <w:tcPr>
            <w:tcW w:w="218" w:type="pct"/>
            <w:shd w:val="clear" w:color="auto" w:fill="auto"/>
            <w:vAlign w:val="center"/>
          </w:tcPr>
          <w:p w14:paraId="0161D4F6">
            <w:pPr>
              <w:rPr>
                <w:rFonts w:ascii="宋体" w:hAnsi="宋体" w:eastAsia="宋体" w:cs="宋体"/>
                <w:sz w:val="24"/>
                <w:szCs w:val="24"/>
                <w:highlight w:val="none"/>
                <w:lang w:eastAsia="en-US"/>
              </w:rPr>
            </w:pPr>
            <w:r>
              <w:rPr>
                <w:rFonts w:hint="eastAsia" w:ascii="宋体" w:hAnsi="宋体" w:eastAsia="宋体" w:cs="宋体"/>
                <w:sz w:val="24"/>
                <w:szCs w:val="24"/>
                <w:highlight w:val="none"/>
              </w:rPr>
              <w:t>套</w:t>
            </w:r>
          </w:p>
        </w:tc>
        <w:tc>
          <w:tcPr>
            <w:tcW w:w="414" w:type="pct"/>
            <w:vAlign w:val="center"/>
          </w:tcPr>
          <w:p w14:paraId="47DA8D28">
            <w:pPr>
              <w:rPr>
                <w:rFonts w:ascii="宋体" w:hAnsi="宋体" w:eastAsia="宋体" w:cs="宋体"/>
                <w:sz w:val="24"/>
                <w:szCs w:val="24"/>
                <w:highlight w:val="none"/>
              </w:rPr>
            </w:pPr>
            <w:r>
              <w:rPr>
                <w:rFonts w:hint="eastAsia" w:ascii="宋体" w:hAnsi="宋体" w:eastAsia="宋体" w:cs="宋体"/>
                <w:sz w:val="24"/>
                <w:szCs w:val="24"/>
                <w:highlight w:val="none"/>
              </w:rPr>
              <w:t>工业</w:t>
            </w:r>
          </w:p>
        </w:tc>
        <w:tc>
          <w:tcPr>
            <w:tcW w:w="261" w:type="pct"/>
            <w:vAlign w:val="center"/>
          </w:tcPr>
          <w:p w14:paraId="187A5ED0">
            <w:pPr>
              <w:rPr>
                <w:rFonts w:ascii="宋体" w:hAnsi="宋体" w:eastAsia="宋体" w:cs="宋体"/>
                <w:sz w:val="24"/>
                <w:szCs w:val="24"/>
                <w:highlight w:val="none"/>
              </w:rPr>
            </w:pPr>
          </w:p>
        </w:tc>
      </w:tr>
      <w:tr w14:paraId="109FA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 w:type="pct"/>
            <w:shd w:val="clear" w:color="auto" w:fill="auto"/>
            <w:vAlign w:val="center"/>
          </w:tcPr>
          <w:p w14:paraId="29051533">
            <w:pPr>
              <w:widowControl/>
              <w:jc w:val="right"/>
              <w:textAlignment w:val="center"/>
              <w:rPr>
                <w:rFonts w:ascii="宋体" w:hAnsi="宋体" w:eastAsia="宋体" w:cs="宋体"/>
                <w:sz w:val="24"/>
                <w:szCs w:val="24"/>
                <w:highlight w:val="none"/>
                <w:lang w:eastAsia="en-US"/>
              </w:rPr>
            </w:pPr>
            <w:r>
              <w:rPr>
                <w:rFonts w:hint="eastAsia" w:ascii="宋体" w:hAnsi="宋体" w:eastAsia="宋体" w:cs="宋体"/>
                <w:color w:val="000000"/>
                <w:kern w:val="0"/>
                <w:sz w:val="24"/>
                <w:szCs w:val="24"/>
                <w:highlight w:val="none"/>
              </w:rPr>
              <w:t>25</w:t>
            </w:r>
          </w:p>
        </w:tc>
        <w:tc>
          <w:tcPr>
            <w:tcW w:w="427" w:type="pct"/>
            <w:shd w:val="clear" w:color="auto" w:fill="auto"/>
            <w:vAlign w:val="center"/>
          </w:tcPr>
          <w:p w14:paraId="24235F2B">
            <w:pPr>
              <w:rPr>
                <w:rFonts w:ascii="宋体" w:hAnsi="宋体" w:eastAsia="宋体" w:cs="宋体"/>
                <w:sz w:val="24"/>
                <w:szCs w:val="24"/>
                <w:highlight w:val="none"/>
                <w:lang w:eastAsia="en-US"/>
              </w:rPr>
            </w:pPr>
            <w:r>
              <w:rPr>
                <w:rFonts w:hint="eastAsia" w:ascii="宋体" w:hAnsi="宋体" w:eastAsia="宋体" w:cs="宋体"/>
                <w:sz w:val="24"/>
                <w:szCs w:val="24"/>
                <w:highlight w:val="none"/>
                <w:lang w:eastAsia="en-US"/>
              </w:rPr>
              <w:t>千兆光口模块</w:t>
            </w:r>
          </w:p>
        </w:tc>
        <w:tc>
          <w:tcPr>
            <w:tcW w:w="3036" w:type="pct"/>
            <w:shd w:val="clear" w:color="auto" w:fill="auto"/>
            <w:vAlign w:val="center"/>
          </w:tcPr>
          <w:p w14:paraId="01FAB39C">
            <w:pPr>
              <w:rPr>
                <w:rFonts w:ascii="宋体" w:hAnsi="宋体" w:eastAsia="宋体" w:cs="宋体"/>
                <w:sz w:val="24"/>
                <w:szCs w:val="24"/>
                <w:highlight w:val="none"/>
              </w:rPr>
            </w:pPr>
            <w:r>
              <w:rPr>
                <w:rFonts w:hint="eastAsia" w:ascii="宋体" w:hAnsi="宋体" w:eastAsia="宋体" w:cs="宋体"/>
                <w:sz w:val="24"/>
                <w:szCs w:val="24"/>
                <w:highlight w:val="none"/>
              </w:rPr>
              <w:t>1.千兆10公里单模双纤模块；</w:t>
            </w:r>
          </w:p>
          <w:p w14:paraId="1F0B86EB">
            <w:pPr>
              <w:rPr>
                <w:rFonts w:ascii="宋体" w:hAnsi="宋体" w:eastAsia="宋体" w:cs="宋体"/>
                <w:sz w:val="24"/>
                <w:szCs w:val="24"/>
                <w:highlight w:val="none"/>
                <w:lang w:eastAsia="en-US"/>
              </w:rPr>
            </w:pPr>
            <w:r>
              <w:rPr>
                <w:rFonts w:hint="eastAsia" w:ascii="宋体" w:hAnsi="宋体" w:eastAsia="宋体" w:cs="宋体"/>
                <w:sz w:val="24"/>
                <w:szCs w:val="24"/>
                <w:highlight w:val="none"/>
                <w:lang w:eastAsia="en-US"/>
              </w:rPr>
              <w:t>2.不分收发：TX1310nm/1.25G；RX1310nm/1.25G；</w:t>
            </w:r>
          </w:p>
          <w:p w14:paraId="02834BEA">
            <w:pPr>
              <w:rPr>
                <w:rFonts w:ascii="宋体" w:hAnsi="宋体" w:eastAsia="宋体" w:cs="宋体"/>
                <w:sz w:val="24"/>
                <w:szCs w:val="24"/>
                <w:highlight w:val="none"/>
              </w:rPr>
            </w:pPr>
            <w:r>
              <w:rPr>
                <w:rFonts w:hint="eastAsia" w:ascii="宋体" w:hAnsi="宋体" w:eastAsia="宋体" w:cs="宋体"/>
                <w:sz w:val="24"/>
                <w:szCs w:val="24"/>
                <w:highlight w:val="none"/>
                <w:lang w:eastAsia="en-US"/>
              </w:rPr>
              <w:t>LC.</w:t>
            </w:r>
          </w:p>
        </w:tc>
        <w:tc>
          <w:tcPr>
            <w:tcW w:w="380" w:type="pct"/>
            <w:shd w:val="clear" w:color="auto" w:fill="auto"/>
            <w:vAlign w:val="center"/>
          </w:tcPr>
          <w:p w14:paraId="3DF796F4">
            <w:pPr>
              <w:rPr>
                <w:rFonts w:ascii="宋体" w:hAnsi="宋体" w:eastAsia="宋体" w:cs="宋体"/>
                <w:sz w:val="24"/>
                <w:szCs w:val="24"/>
                <w:highlight w:val="none"/>
              </w:rPr>
            </w:pPr>
            <w:r>
              <w:rPr>
                <w:rFonts w:hint="eastAsia" w:ascii="宋体" w:hAnsi="宋体" w:eastAsia="宋体" w:cs="宋体"/>
                <w:sz w:val="24"/>
                <w:szCs w:val="24"/>
                <w:highlight w:val="none"/>
              </w:rPr>
              <w:t>26</w:t>
            </w:r>
          </w:p>
        </w:tc>
        <w:tc>
          <w:tcPr>
            <w:tcW w:w="218" w:type="pct"/>
            <w:shd w:val="clear" w:color="auto" w:fill="auto"/>
            <w:vAlign w:val="center"/>
          </w:tcPr>
          <w:p w14:paraId="04F61252">
            <w:pPr>
              <w:rPr>
                <w:rFonts w:ascii="宋体" w:hAnsi="宋体" w:eastAsia="宋体" w:cs="宋体"/>
                <w:sz w:val="24"/>
                <w:szCs w:val="24"/>
                <w:highlight w:val="none"/>
              </w:rPr>
            </w:pPr>
            <w:r>
              <w:rPr>
                <w:rFonts w:hint="eastAsia" w:ascii="宋体" w:hAnsi="宋体" w:eastAsia="宋体" w:cs="宋体"/>
                <w:sz w:val="24"/>
                <w:szCs w:val="24"/>
                <w:highlight w:val="none"/>
              </w:rPr>
              <w:t>个</w:t>
            </w:r>
          </w:p>
        </w:tc>
        <w:tc>
          <w:tcPr>
            <w:tcW w:w="414" w:type="pct"/>
            <w:vAlign w:val="center"/>
          </w:tcPr>
          <w:p w14:paraId="5ADD4492">
            <w:pPr>
              <w:rPr>
                <w:rFonts w:ascii="宋体" w:hAnsi="宋体" w:eastAsia="宋体" w:cs="宋体"/>
                <w:sz w:val="24"/>
                <w:szCs w:val="24"/>
                <w:highlight w:val="none"/>
              </w:rPr>
            </w:pPr>
            <w:r>
              <w:rPr>
                <w:rFonts w:hint="eastAsia" w:ascii="宋体" w:hAnsi="宋体" w:eastAsia="宋体" w:cs="宋体"/>
                <w:sz w:val="24"/>
                <w:szCs w:val="24"/>
                <w:highlight w:val="none"/>
              </w:rPr>
              <w:t>工业</w:t>
            </w:r>
          </w:p>
        </w:tc>
        <w:tc>
          <w:tcPr>
            <w:tcW w:w="261" w:type="pct"/>
            <w:vAlign w:val="center"/>
          </w:tcPr>
          <w:p w14:paraId="3066FC3F">
            <w:pPr>
              <w:rPr>
                <w:rFonts w:ascii="宋体" w:hAnsi="宋体" w:eastAsia="宋体" w:cs="宋体"/>
                <w:sz w:val="24"/>
                <w:szCs w:val="24"/>
                <w:highlight w:val="none"/>
              </w:rPr>
            </w:pPr>
          </w:p>
        </w:tc>
      </w:tr>
      <w:tr w14:paraId="7BE44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 w:type="pct"/>
            <w:shd w:val="clear" w:color="auto" w:fill="auto"/>
            <w:vAlign w:val="center"/>
          </w:tcPr>
          <w:p w14:paraId="4ADCB843">
            <w:pPr>
              <w:widowControl/>
              <w:jc w:val="right"/>
              <w:textAlignment w:val="center"/>
              <w:rPr>
                <w:rFonts w:ascii="宋体" w:hAnsi="宋体" w:eastAsia="宋体" w:cs="宋体"/>
                <w:sz w:val="24"/>
                <w:szCs w:val="24"/>
                <w:highlight w:val="none"/>
                <w:lang w:eastAsia="en-US"/>
              </w:rPr>
            </w:pPr>
            <w:r>
              <w:rPr>
                <w:rFonts w:hint="eastAsia" w:ascii="宋体" w:hAnsi="宋体" w:eastAsia="宋体" w:cs="宋体"/>
                <w:color w:val="000000"/>
                <w:kern w:val="0"/>
                <w:sz w:val="24"/>
                <w:szCs w:val="24"/>
                <w:highlight w:val="none"/>
              </w:rPr>
              <w:t>26</w:t>
            </w:r>
          </w:p>
        </w:tc>
        <w:tc>
          <w:tcPr>
            <w:tcW w:w="427" w:type="pct"/>
            <w:shd w:val="clear" w:color="auto" w:fill="auto"/>
            <w:vAlign w:val="center"/>
          </w:tcPr>
          <w:p w14:paraId="201FA72E">
            <w:pPr>
              <w:rPr>
                <w:rFonts w:ascii="宋体" w:hAnsi="宋体" w:eastAsia="宋体" w:cs="宋体"/>
                <w:sz w:val="24"/>
                <w:szCs w:val="24"/>
                <w:highlight w:val="none"/>
              </w:rPr>
            </w:pPr>
            <w:r>
              <w:rPr>
                <w:rFonts w:hint="eastAsia" w:ascii="宋体" w:hAnsi="宋体" w:eastAsia="宋体" w:cs="宋体"/>
                <w:sz w:val="24"/>
                <w:szCs w:val="24"/>
                <w:highlight w:val="none"/>
                <w:lang w:eastAsia="en-US"/>
              </w:rPr>
              <w:t>插排4位</w:t>
            </w:r>
          </w:p>
        </w:tc>
        <w:tc>
          <w:tcPr>
            <w:tcW w:w="3036" w:type="pct"/>
            <w:shd w:val="clear" w:color="auto" w:fill="auto"/>
            <w:vAlign w:val="center"/>
          </w:tcPr>
          <w:p w14:paraId="6CFF1410">
            <w:pPr>
              <w:rPr>
                <w:rFonts w:ascii="宋体" w:hAnsi="宋体" w:eastAsia="宋体" w:cs="宋体"/>
                <w:sz w:val="24"/>
                <w:szCs w:val="24"/>
                <w:highlight w:val="none"/>
              </w:rPr>
            </w:pPr>
            <w:r>
              <w:rPr>
                <w:rFonts w:hint="eastAsia" w:ascii="宋体" w:hAnsi="宋体" w:eastAsia="宋体" w:cs="宋体"/>
                <w:sz w:val="24"/>
                <w:szCs w:val="24"/>
                <w:highlight w:val="none"/>
                <w:lang w:eastAsia="en-US"/>
              </w:rPr>
              <w:t>国标优质</w:t>
            </w: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en-US"/>
              </w:rPr>
              <w:t>位5孔插排</w:t>
            </w:r>
          </w:p>
        </w:tc>
        <w:tc>
          <w:tcPr>
            <w:tcW w:w="380" w:type="pct"/>
            <w:shd w:val="clear" w:color="auto" w:fill="auto"/>
            <w:vAlign w:val="center"/>
          </w:tcPr>
          <w:p w14:paraId="41D2BD75">
            <w:pPr>
              <w:rPr>
                <w:rFonts w:ascii="宋体" w:hAnsi="宋体" w:eastAsia="宋体" w:cs="宋体"/>
                <w:sz w:val="24"/>
                <w:szCs w:val="24"/>
                <w:highlight w:val="none"/>
              </w:rPr>
            </w:pPr>
            <w:r>
              <w:rPr>
                <w:rFonts w:hint="eastAsia" w:ascii="宋体" w:hAnsi="宋体" w:eastAsia="宋体" w:cs="宋体"/>
                <w:sz w:val="24"/>
                <w:szCs w:val="24"/>
                <w:highlight w:val="none"/>
              </w:rPr>
              <w:t>13</w:t>
            </w:r>
          </w:p>
        </w:tc>
        <w:tc>
          <w:tcPr>
            <w:tcW w:w="218" w:type="pct"/>
            <w:shd w:val="clear" w:color="auto" w:fill="auto"/>
            <w:vAlign w:val="center"/>
          </w:tcPr>
          <w:p w14:paraId="6470A52A">
            <w:pPr>
              <w:rPr>
                <w:rFonts w:ascii="宋体" w:hAnsi="宋体" w:eastAsia="宋体" w:cs="宋体"/>
                <w:sz w:val="24"/>
                <w:szCs w:val="24"/>
                <w:highlight w:val="none"/>
              </w:rPr>
            </w:pPr>
            <w:r>
              <w:rPr>
                <w:rFonts w:hint="eastAsia" w:ascii="宋体" w:hAnsi="宋体" w:eastAsia="宋体" w:cs="宋体"/>
                <w:sz w:val="24"/>
                <w:szCs w:val="24"/>
                <w:highlight w:val="none"/>
              </w:rPr>
              <w:t>个</w:t>
            </w:r>
          </w:p>
        </w:tc>
        <w:tc>
          <w:tcPr>
            <w:tcW w:w="414" w:type="pct"/>
            <w:vAlign w:val="center"/>
          </w:tcPr>
          <w:p w14:paraId="450BACA2">
            <w:pPr>
              <w:rPr>
                <w:rFonts w:ascii="宋体" w:hAnsi="宋体" w:eastAsia="宋体" w:cs="宋体"/>
                <w:sz w:val="24"/>
                <w:szCs w:val="24"/>
                <w:highlight w:val="none"/>
              </w:rPr>
            </w:pPr>
            <w:r>
              <w:rPr>
                <w:rFonts w:hint="eastAsia" w:ascii="宋体" w:hAnsi="宋体" w:eastAsia="宋体" w:cs="宋体"/>
                <w:sz w:val="24"/>
                <w:szCs w:val="24"/>
                <w:highlight w:val="none"/>
              </w:rPr>
              <w:t>工业</w:t>
            </w:r>
          </w:p>
        </w:tc>
        <w:tc>
          <w:tcPr>
            <w:tcW w:w="261" w:type="pct"/>
            <w:vAlign w:val="center"/>
          </w:tcPr>
          <w:p w14:paraId="7CA4FECA">
            <w:pPr>
              <w:rPr>
                <w:rFonts w:ascii="宋体" w:hAnsi="宋体" w:eastAsia="宋体" w:cs="宋体"/>
                <w:sz w:val="24"/>
                <w:szCs w:val="24"/>
                <w:highlight w:val="none"/>
              </w:rPr>
            </w:pPr>
          </w:p>
        </w:tc>
      </w:tr>
      <w:tr w14:paraId="78F39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 w:type="pct"/>
            <w:shd w:val="clear" w:color="auto" w:fill="auto"/>
            <w:vAlign w:val="center"/>
          </w:tcPr>
          <w:p w14:paraId="507ED02F">
            <w:pPr>
              <w:widowControl/>
              <w:jc w:val="right"/>
              <w:textAlignment w:val="center"/>
              <w:rPr>
                <w:rFonts w:ascii="宋体" w:hAnsi="宋体" w:eastAsia="宋体" w:cs="宋体"/>
                <w:sz w:val="24"/>
                <w:szCs w:val="24"/>
                <w:highlight w:val="none"/>
                <w:lang w:eastAsia="en-US"/>
              </w:rPr>
            </w:pPr>
            <w:r>
              <w:rPr>
                <w:rFonts w:hint="eastAsia" w:ascii="宋体" w:hAnsi="宋体" w:eastAsia="宋体" w:cs="宋体"/>
                <w:color w:val="000000"/>
                <w:kern w:val="0"/>
                <w:sz w:val="24"/>
                <w:szCs w:val="24"/>
                <w:highlight w:val="none"/>
              </w:rPr>
              <w:t>27</w:t>
            </w:r>
          </w:p>
        </w:tc>
        <w:tc>
          <w:tcPr>
            <w:tcW w:w="427" w:type="pct"/>
            <w:shd w:val="clear" w:color="auto" w:fill="auto"/>
            <w:vAlign w:val="center"/>
          </w:tcPr>
          <w:p w14:paraId="1D20370E">
            <w:pPr>
              <w:rPr>
                <w:rFonts w:ascii="宋体" w:hAnsi="宋体" w:eastAsia="宋体" w:cs="宋体"/>
                <w:sz w:val="24"/>
                <w:szCs w:val="24"/>
                <w:highlight w:val="none"/>
                <w:lang w:eastAsia="en-US"/>
              </w:rPr>
            </w:pPr>
            <w:r>
              <w:rPr>
                <w:rFonts w:hint="eastAsia" w:ascii="宋体" w:hAnsi="宋体" w:eastAsia="宋体" w:cs="宋体"/>
                <w:sz w:val="24"/>
                <w:szCs w:val="24"/>
                <w:highlight w:val="none"/>
                <w:lang w:eastAsia="en-US"/>
              </w:rPr>
              <w:t>辅材</w:t>
            </w:r>
          </w:p>
        </w:tc>
        <w:tc>
          <w:tcPr>
            <w:tcW w:w="3036" w:type="pct"/>
            <w:shd w:val="clear" w:color="auto" w:fill="auto"/>
            <w:vAlign w:val="center"/>
          </w:tcPr>
          <w:p w14:paraId="5D901FC2">
            <w:pPr>
              <w:rPr>
                <w:rFonts w:ascii="宋体" w:hAnsi="宋体" w:eastAsia="宋体" w:cs="宋体"/>
                <w:sz w:val="24"/>
                <w:szCs w:val="24"/>
                <w:highlight w:val="none"/>
              </w:rPr>
            </w:pPr>
            <w:r>
              <w:rPr>
                <w:rFonts w:hint="eastAsia" w:ascii="宋体" w:hAnsi="宋体" w:eastAsia="宋体" w:cs="宋体"/>
                <w:sz w:val="24"/>
                <w:szCs w:val="24"/>
                <w:highlight w:val="none"/>
              </w:rPr>
              <w:t>插头、熔纤、胶布、扎带、波纹管、水晶头等施工所需其他辅助材料</w:t>
            </w:r>
          </w:p>
        </w:tc>
        <w:tc>
          <w:tcPr>
            <w:tcW w:w="380" w:type="pct"/>
            <w:shd w:val="clear" w:color="auto" w:fill="auto"/>
            <w:vAlign w:val="center"/>
          </w:tcPr>
          <w:p w14:paraId="2E99717E">
            <w:pPr>
              <w:rPr>
                <w:rFonts w:ascii="宋体" w:hAnsi="宋体" w:eastAsia="宋体" w:cs="宋体"/>
                <w:sz w:val="24"/>
                <w:szCs w:val="24"/>
                <w:highlight w:val="none"/>
              </w:rPr>
            </w:pPr>
            <w:r>
              <w:rPr>
                <w:rFonts w:hint="eastAsia" w:ascii="宋体" w:hAnsi="宋体" w:eastAsia="宋体" w:cs="宋体"/>
                <w:sz w:val="24"/>
                <w:szCs w:val="24"/>
                <w:highlight w:val="none"/>
              </w:rPr>
              <w:t>1</w:t>
            </w:r>
          </w:p>
        </w:tc>
        <w:tc>
          <w:tcPr>
            <w:tcW w:w="218" w:type="pct"/>
            <w:shd w:val="clear" w:color="auto" w:fill="auto"/>
            <w:vAlign w:val="center"/>
          </w:tcPr>
          <w:p w14:paraId="53E8998C">
            <w:pPr>
              <w:rPr>
                <w:rFonts w:ascii="宋体" w:hAnsi="宋体" w:eastAsia="宋体" w:cs="宋体"/>
                <w:sz w:val="24"/>
                <w:szCs w:val="24"/>
                <w:highlight w:val="none"/>
              </w:rPr>
            </w:pPr>
            <w:r>
              <w:rPr>
                <w:rFonts w:hint="eastAsia" w:ascii="宋体" w:hAnsi="宋体" w:eastAsia="宋体" w:cs="宋体"/>
                <w:sz w:val="24"/>
                <w:szCs w:val="24"/>
                <w:highlight w:val="none"/>
              </w:rPr>
              <w:t>批</w:t>
            </w:r>
          </w:p>
        </w:tc>
        <w:tc>
          <w:tcPr>
            <w:tcW w:w="414" w:type="pct"/>
            <w:vAlign w:val="center"/>
          </w:tcPr>
          <w:p w14:paraId="5E1E1C9F">
            <w:p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w:t>
            </w:r>
          </w:p>
        </w:tc>
        <w:tc>
          <w:tcPr>
            <w:tcW w:w="261" w:type="pct"/>
            <w:vAlign w:val="center"/>
          </w:tcPr>
          <w:p w14:paraId="3E405F69">
            <w:pPr>
              <w:rPr>
                <w:rFonts w:ascii="宋体" w:hAnsi="宋体" w:eastAsia="宋体" w:cs="宋体"/>
                <w:sz w:val="24"/>
                <w:szCs w:val="24"/>
                <w:highlight w:val="none"/>
              </w:rPr>
            </w:pPr>
          </w:p>
        </w:tc>
      </w:tr>
      <w:tr w14:paraId="6370C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 w:type="pct"/>
            <w:shd w:val="clear" w:color="auto" w:fill="auto"/>
            <w:vAlign w:val="center"/>
          </w:tcPr>
          <w:p w14:paraId="00D489E6">
            <w:pPr>
              <w:widowControl/>
              <w:jc w:val="right"/>
              <w:textAlignment w:val="center"/>
              <w:rPr>
                <w:rFonts w:ascii="宋体" w:hAnsi="宋体" w:eastAsia="宋体" w:cs="宋体"/>
                <w:sz w:val="24"/>
                <w:szCs w:val="24"/>
                <w:highlight w:val="none"/>
                <w:lang w:eastAsia="en-US"/>
              </w:rPr>
            </w:pPr>
            <w:r>
              <w:rPr>
                <w:rFonts w:hint="eastAsia" w:ascii="宋体" w:hAnsi="宋体" w:eastAsia="宋体" w:cs="宋体"/>
                <w:color w:val="000000"/>
                <w:kern w:val="0"/>
                <w:sz w:val="24"/>
                <w:szCs w:val="24"/>
                <w:highlight w:val="none"/>
              </w:rPr>
              <w:t>28</w:t>
            </w:r>
          </w:p>
        </w:tc>
        <w:tc>
          <w:tcPr>
            <w:tcW w:w="427" w:type="pct"/>
            <w:shd w:val="clear" w:color="auto" w:fill="auto"/>
            <w:vAlign w:val="center"/>
          </w:tcPr>
          <w:p w14:paraId="4F5262F3">
            <w:pPr>
              <w:rPr>
                <w:rFonts w:ascii="宋体" w:hAnsi="宋体" w:eastAsia="宋体" w:cs="宋体"/>
                <w:sz w:val="24"/>
                <w:szCs w:val="24"/>
                <w:highlight w:val="none"/>
                <w:lang w:eastAsia="en-US"/>
              </w:rPr>
            </w:pPr>
            <w:r>
              <w:rPr>
                <w:rFonts w:hint="eastAsia" w:ascii="宋体" w:hAnsi="宋体" w:eastAsia="宋体" w:cs="宋体"/>
                <w:sz w:val="24"/>
                <w:szCs w:val="24"/>
                <w:highlight w:val="none"/>
              </w:rPr>
              <w:t>水压监测终端</w:t>
            </w:r>
          </w:p>
        </w:tc>
        <w:tc>
          <w:tcPr>
            <w:tcW w:w="3036" w:type="pct"/>
            <w:shd w:val="clear" w:color="auto" w:fill="auto"/>
            <w:vAlign w:val="center"/>
          </w:tcPr>
          <w:p w14:paraId="0F9E410A">
            <w:pPr>
              <w:rPr>
                <w:rFonts w:ascii="宋体" w:hAnsi="宋体" w:eastAsia="宋体" w:cs="宋体"/>
                <w:sz w:val="24"/>
                <w:szCs w:val="24"/>
                <w:highlight w:val="none"/>
              </w:rPr>
            </w:pPr>
            <w:r>
              <w:rPr>
                <w:rFonts w:hint="eastAsia" w:ascii="宋体" w:hAnsi="宋体" w:eastAsia="宋体" w:cs="宋体"/>
                <w:sz w:val="24"/>
                <w:szCs w:val="24"/>
                <w:highlight w:val="none"/>
              </w:rPr>
              <w:t>1.通讯方式：上行：LAN 下行：RS485</w:t>
            </w:r>
          </w:p>
          <w:p w14:paraId="77465626">
            <w:pPr>
              <w:rPr>
                <w:rFonts w:ascii="宋体" w:hAnsi="宋体" w:eastAsia="宋体" w:cs="宋体"/>
                <w:sz w:val="24"/>
                <w:szCs w:val="24"/>
                <w:highlight w:val="none"/>
              </w:rPr>
            </w:pPr>
            <w:r>
              <w:rPr>
                <w:rFonts w:hint="eastAsia" w:ascii="宋体" w:hAnsi="宋体" w:eastAsia="宋体" w:cs="宋体"/>
                <w:sz w:val="24"/>
                <w:szCs w:val="24"/>
                <w:highlight w:val="none"/>
              </w:rPr>
              <w:t>2.含适配器，适配器供电：12V 1A</w:t>
            </w:r>
          </w:p>
          <w:p w14:paraId="149699C4">
            <w:pPr>
              <w:rPr>
                <w:rFonts w:ascii="宋体" w:hAnsi="宋体" w:eastAsia="宋体" w:cs="宋体"/>
                <w:sz w:val="24"/>
                <w:szCs w:val="24"/>
                <w:highlight w:val="none"/>
              </w:rPr>
            </w:pPr>
            <w:r>
              <w:rPr>
                <w:rFonts w:hint="eastAsia" w:ascii="宋体" w:hAnsi="宋体" w:eastAsia="宋体" w:cs="宋体"/>
                <w:sz w:val="24"/>
                <w:szCs w:val="24"/>
                <w:highlight w:val="none"/>
              </w:rPr>
              <w:t>3.接口：不少两路传感器接口，1路RS485,1路输入接口，RJ45，电源接口</w:t>
            </w:r>
          </w:p>
          <w:p w14:paraId="68926CB1">
            <w:pPr>
              <w:rPr>
                <w:rFonts w:ascii="宋体" w:hAnsi="宋体" w:eastAsia="宋体" w:cs="宋体"/>
                <w:sz w:val="24"/>
                <w:szCs w:val="24"/>
                <w:highlight w:val="none"/>
              </w:rPr>
            </w:pPr>
            <w:r>
              <w:rPr>
                <w:rFonts w:hint="eastAsia" w:ascii="宋体" w:hAnsi="宋体" w:eastAsia="宋体" w:cs="宋体"/>
                <w:sz w:val="24"/>
                <w:szCs w:val="24"/>
                <w:highlight w:val="none"/>
              </w:rPr>
              <w:t>4.工作温度：-20~70℃</w:t>
            </w:r>
          </w:p>
          <w:p w14:paraId="22A2AB84">
            <w:pPr>
              <w:rPr>
                <w:rFonts w:ascii="宋体" w:hAnsi="宋体" w:eastAsia="宋体" w:cs="宋体"/>
                <w:sz w:val="24"/>
                <w:szCs w:val="24"/>
                <w:highlight w:val="none"/>
              </w:rPr>
            </w:pPr>
            <w:r>
              <w:rPr>
                <w:rFonts w:hint="eastAsia" w:ascii="宋体" w:hAnsi="宋体" w:eastAsia="宋体" w:cs="宋体"/>
                <w:sz w:val="24"/>
                <w:szCs w:val="24"/>
                <w:highlight w:val="none"/>
              </w:rPr>
              <w:t>5.工作湿度：5%~95%RH（无凝露）</w:t>
            </w:r>
          </w:p>
          <w:p w14:paraId="120B5FB6">
            <w:pPr>
              <w:rPr>
                <w:rFonts w:ascii="宋体" w:hAnsi="宋体" w:eastAsia="宋体" w:cs="宋体"/>
                <w:sz w:val="24"/>
                <w:szCs w:val="24"/>
                <w:highlight w:val="none"/>
              </w:rPr>
            </w:pPr>
            <w:r>
              <w:rPr>
                <w:rFonts w:hint="eastAsia" w:ascii="宋体" w:hAnsi="宋体" w:eastAsia="宋体" w:cs="宋体"/>
                <w:sz w:val="24"/>
                <w:szCs w:val="24"/>
                <w:highlight w:val="none"/>
              </w:rPr>
              <w:t>6.防护等级：IP30</w:t>
            </w:r>
          </w:p>
        </w:tc>
        <w:tc>
          <w:tcPr>
            <w:tcW w:w="380" w:type="pct"/>
            <w:shd w:val="clear" w:color="auto" w:fill="auto"/>
            <w:vAlign w:val="center"/>
          </w:tcPr>
          <w:p w14:paraId="1D3372F6">
            <w:pPr>
              <w:rPr>
                <w:rFonts w:ascii="宋体" w:hAnsi="宋体" w:eastAsia="宋体" w:cs="宋体"/>
                <w:sz w:val="24"/>
                <w:szCs w:val="24"/>
                <w:highlight w:val="none"/>
              </w:rPr>
            </w:pPr>
            <w:r>
              <w:rPr>
                <w:rFonts w:hint="eastAsia" w:ascii="宋体" w:hAnsi="宋体" w:eastAsia="宋体" w:cs="宋体"/>
                <w:sz w:val="24"/>
                <w:szCs w:val="24"/>
                <w:highlight w:val="none"/>
              </w:rPr>
              <w:t>24</w:t>
            </w:r>
          </w:p>
        </w:tc>
        <w:tc>
          <w:tcPr>
            <w:tcW w:w="218" w:type="pct"/>
            <w:shd w:val="clear" w:color="auto" w:fill="auto"/>
            <w:vAlign w:val="center"/>
          </w:tcPr>
          <w:p w14:paraId="40ECF1C8">
            <w:pPr>
              <w:rPr>
                <w:rFonts w:ascii="宋体" w:hAnsi="宋体" w:eastAsia="宋体" w:cs="宋体"/>
                <w:sz w:val="24"/>
                <w:szCs w:val="24"/>
                <w:highlight w:val="none"/>
              </w:rPr>
            </w:pPr>
            <w:r>
              <w:rPr>
                <w:rFonts w:hint="eastAsia" w:ascii="宋体" w:hAnsi="宋体" w:eastAsia="宋体" w:cs="宋体"/>
                <w:sz w:val="24"/>
                <w:szCs w:val="24"/>
                <w:highlight w:val="none"/>
              </w:rPr>
              <w:t>台</w:t>
            </w:r>
          </w:p>
        </w:tc>
        <w:tc>
          <w:tcPr>
            <w:tcW w:w="414" w:type="pct"/>
            <w:vAlign w:val="center"/>
          </w:tcPr>
          <w:p w14:paraId="1151C881">
            <w:pPr>
              <w:rPr>
                <w:rFonts w:ascii="宋体" w:hAnsi="宋体" w:eastAsia="宋体" w:cs="宋体"/>
                <w:sz w:val="24"/>
                <w:szCs w:val="24"/>
                <w:highlight w:val="none"/>
              </w:rPr>
            </w:pPr>
            <w:r>
              <w:rPr>
                <w:rFonts w:hint="eastAsia" w:ascii="宋体" w:hAnsi="宋体" w:eastAsia="宋体" w:cs="宋体"/>
                <w:sz w:val="24"/>
                <w:szCs w:val="24"/>
                <w:highlight w:val="none"/>
              </w:rPr>
              <w:t>工业</w:t>
            </w:r>
          </w:p>
        </w:tc>
        <w:tc>
          <w:tcPr>
            <w:tcW w:w="261" w:type="pct"/>
            <w:vAlign w:val="center"/>
          </w:tcPr>
          <w:p w14:paraId="6BBD53AC">
            <w:pPr>
              <w:rPr>
                <w:rFonts w:ascii="宋体" w:hAnsi="宋体" w:eastAsia="宋体" w:cs="宋体"/>
                <w:sz w:val="24"/>
                <w:szCs w:val="24"/>
                <w:highlight w:val="none"/>
              </w:rPr>
            </w:pPr>
          </w:p>
        </w:tc>
      </w:tr>
      <w:tr w14:paraId="5FDE0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 w:type="pct"/>
            <w:shd w:val="clear" w:color="auto" w:fill="auto"/>
            <w:vAlign w:val="center"/>
          </w:tcPr>
          <w:p w14:paraId="269ADB12">
            <w:pPr>
              <w:widowControl/>
              <w:jc w:val="right"/>
              <w:textAlignment w:val="center"/>
              <w:rPr>
                <w:rFonts w:ascii="宋体" w:hAnsi="宋体" w:eastAsia="宋体" w:cs="宋体"/>
                <w:sz w:val="24"/>
                <w:szCs w:val="24"/>
                <w:highlight w:val="none"/>
                <w:lang w:eastAsia="en-US"/>
              </w:rPr>
            </w:pPr>
            <w:r>
              <w:rPr>
                <w:rFonts w:hint="eastAsia" w:ascii="宋体" w:hAnsi="宋体" w:eastAsia="宋体" w:cs="宋体"/>
                <w:color w:val="000000"/>
                <w:kern w:val="0"/>
                <w:sz w:val="24"/>
                <w:szCs w:val="24"/>
                <w:highlight w:val="none"/>
              </w:rPr>
              <w:t>29</w:t>
            </w:r>
          </w:p>
        </w:tc>
        <w:tc>
          <w:tcPr>
            <w:tcW w:w="427" w:type="pct"/>
            <w:shd w:val="clear" w:color="auto" w:fill="auto"/>
            <w:vAlign w:val="center"/>
          </w:tcPr>
          <w:p w14:paraId="06A88975">
            <w:pPr>
              <w:rPr>
                <w:rFonts w:ascii="宋体" w:hAnsi="宋体" w:eastAsia="宋体" w:cs="宋体"/>
                <w:sz w:val="24"/>
                <w:szCs w:val="24"/>
                <w:highlight w:val="none"/>
                <w:lang w:eastAsia="en-US"/>
              </w:rPr>
            </w:pPr>
            <w:r>
              <w:rPr>
                <w:rFonts w:hint="eastAsia" w:ascii="宋体" w:hAnsi="宋体" w:eastAsia="宋体" w:cs="宋体"/>
                <w:sz w:val="24"/>
                <w:szCs w:val="24"/>
                <w:highlight w:val="none"/>
              </w:rPr>
              <w:t>液位监测终端</w:t>
            </w:r>
          </w:p>
        </w:tc>
        <w:tc>
          <w:tcPr>
            <w:tcW w:w="3036" w:type="pct"/>
            <w:shd w:val="clear" w:color="auto" w:fill="auto"/>
            <w:vAlign w:val="center"/>
          </w:tcPr>
          <w:p w14:paraId="5162554E">
            <w:pPr>
              <w:rPr>
                <w:rFonts w:ascii="宋体" w:hAnsi="宋体" w:eastAsia="宋体" w:cs="宋体"/>
                <w:sz w:val="24"/>
                <w:szCs w:val="24"/>
                <w:highlight w:val="none"/>
              </w:rPr>
            </w:pPr>
            <w:r>
              <w:rPr>
                <w:rFonts w:hint="eastAsia" w:ascii="宋体" w:hAnsi="宋体" w:eastAsia="宋体" w:cs="宋体"/>
                <w:sz w:val="24"/>
                <w:szCs w:val="24"/>
                <w:highlight w:val="none"/>
              </w:rPr>
              <w:t>1.通讯方式：上行：LAN 下行：RS485</w:t>
            </w:r>
          </w:p>
          <w:p w14:paraId="406CBFC1">
            <w:pPr>
              <w:rPr>
                <w:rFonts w:ascii="宋体" w:hAnsi="宋体" w:eastAsia="宋体" w:cs="宋体"/>
                <w:sz w:val="24"/>
                <w:szCs w:val="24"/>
                <w:highlight w:val="none"/>
              </w:rPr>
            </w:pPr>
            <w:r>
              <w:rPr>
                <w:rFonts w:hint="eastAsia" w:ascii="宋体" w:hAnsi="宋体" w:eastAsia="宋体" w:cs="宋体"/>
                <w:sz w:val="24"/>
                <w:szCs w:val="24"/>
                <w:highlight w:val="none"/>
              </w:rPr>
              <w:t>2.含适配器，适配器供电：12V 1A</w:t>
            </w:r>
          </w:p>
          <w:p w14:paraId="474BC766">
            <w:pPr>
              <w:rPr>
                <w:rFonts w:ascii="宋体" w:hAnsi="宋体" w:eastAsia="宋体" w:cs="宋体"/>
                <w:sz w:val="24"/>
                <w:szCs w:val="24"/>
                <w:highlight w:val="none"/>
              </w:rPr>
            </w:pPr>
            <w:r>
              <w:rPr>
                <w:rFonts w:hint="eastAsia" w:ascii="宋体" w:hAnsi="宋体" w:eastAsia="宋体" w:cs="宋体"/>
                <w:sz w:val="24"/>
                <w:szCs w:val="24"/>
                <w:highlight w:val="none"/>
              </w:rPr>
              <w:t>3.接口：不少于两路传感器接口，1路RS485,1路输入接口，RJ45，电源接口</w:t>
            </w:r>
          </w:p>
          <w:p w14:paraId="72E97B74">
            <w:pPr>
              <w:rPr>
                <w:rFonts w:ascii="宋体" w:hAnsi="宋体" w:eastAsia="宋体" w:cs="宋体"/>
                <w:sz w:val="24"/>
                <w:szCs w:val="24"/>
                <w:highlight w:val="none"/>
              </w:rPr>
            </w:pPr>
            <w:r>
              <w:rPr>
                <w:rFonts w:hint="eastAsia" w:ascii="宋体" w:hAnsi="宋体" w:eastAsia="宋体" w:cs="宋体"/>
                <w:sz w:val="24"/>
                <w:szCs w:val="24"/>
                <w:highlight w:val="none"/>
              </w:rPr>
              <w:t>4.工作温度：-20~70℃</w:t>
            </w:r>
          </w:p>
          <w:p w14:paraId="0C9E9642">
            <w:pPr>
              <w:rPr>
                <w:rFonts w:ascii="宋体" w:hAnsi="宋体" w:eastAsia="宋体" w:cs="宋体"/>
                <w:sz w:val="24"/>
                <w:szCs w:val="24"/>
                <w:highlight w:val="none"/>
              </w:rPr>
            </w:pPr>
            <w:r>
              <w:rPr>
                <w:rFonts w:hint="eastAsia" w:ascii="宋体" w:hAnsi="宋体" w:eastAsia="宋体" w:cs="宋体"/>
                <w:sz w:val="24"/>
                <w:szCs w:val="24"/>
                <w:highlight w:val="none"/>
              </w:rPr>
              <w:t>5.工作湿度：5%~95%RH（无凝露）</w:t>
            </w:r>
          </w:p>
          <w:p w14:paraId="5C5A5C3D">
            <w:pPr>
              <w:rPr>
                <w:rFonts w:ascii="宋体" w:hAnsi="宋体" w:eastAsia="宋体" w:cs="宋体"/>
                <w:sz w:val="24"/>
                <w:szCs w:val="24"/>
                <w:highlight w:val="none"/>
              </w:rPr>
            </w:pPr>
            <w:r>
              <w:rPr>
                <w:rFonts w:hint="eastAsia" w:ascii="宋体" w:hAnsi="宋体" w:eastAsia="宋体" w:cs="宋体"/>
                <w:sz w:val="24"/>
                <w:szCs w:val="24"/>
                <w:highlight w:val="none"/>
              </w:rPr>
              <w:t>6.防护等级：≥IP30</w:t>
            </w:r>
          </w:p>
        </w:tc>
        <w:tc>
          <w:tcPr>
            <w:tcW w:w="380" w:type="pct"/>
            <w:shd w:val="clear" w:color="auto" w:fill="auto"/>
            <w:vAlign w:val="center"/>
          </w:tcPr>
          <w:p w14:paraId="3A35F994">
            <w:pPr>
              <w:rPr>
                <w:rFonts w:ascii="宋体" w:hAnsi="宋体" w:eastAsia="宋体" w:cs="宋体"/>
                <w:sz w:val="24"/>
                <w:szCs w:val="24"/>
                <w:highlight w:val="none"/>
              </w:rPr>
            </w:pPr>
            <w:r>
              <w:rPr>
                <w:rFonts w:hint="eastAsia" w:ascii="宋体" w:hAnsi="宋体" w:eastAsia="宋体" w:cs="宋体"/>
                <w:sz w:val="24"/>
                <w:szCs w:val="24"/>
                <w:highlight w:val="none"/>
              </w:rPr>
              <w:t>1</w:t>
            </w:r>
          </w:p>
        </w:tc>
        <w:tc>
          <w:tcPr>
            <w:tcW w:w="218" w:type="pct"/>
            <w:shd w:val="clear" w:color="auto" w:fill="auto"/>
            <w:vAlign w:val="center"/>
          </w:tcPr>
          <w:p w14:paraId="73C0EDA7">
            <w:pPr>
              <w:rPr>
                <w:rFonts w:ascii="宋体" w:hAnsi="宋体" w:eastAsia="宋体" w:cs="宋体"/>
                <w:sz w:val="24"/>
                <w:szCs w:val="24"/>
                <w:highlight w:val="none"/>
              </w:rPr>
            </w:pPr>
            <w:r>
              <w:rPr>
                <w:rFonts w:hint="eastAsia" w:ascii="宋体" w:hAnsi="宋体" w:eastAsia="宋体" w:cs="宋体"/>
                <w:sz w:val="24"/>
                <w:szCs w:val="24"/>
                <w:highlight w:val="none"/>
              </w:rPr>
              <w:t>台</w:t>
            </w:r>
          </w:p>
        </w:tc>
        <w:tc>
          <w:tcPr>
            <w:tcW w:w="414" w:type="pct"/>
            <w:vAlign w:val="center"/>
          </w:tcPr>
          <w:p w14:paraId="6454E266">
            <w:pPr>
              <w:rPr>
                <w:rFonts w:ascii="宋体" w:hAnsi="宋体" w:eastAsia="宋体" w:cs="宋体"/>
                <w:sz w:val="24"/>
                <w:szCs w:val="24"/>
                <w:highlight w:val="none"/>
              </w:rPr>
            </w:pPr>
            <w:r>
              <w:rPr>
                <w:rFonts w:hint="eastAsia" w:ascii="宋体" w:hAnsi="宋体" w:eastAsia="宋体" w:cs="宋体"/>
                <w:sz w:val="24"/>
                <w:szCs w:val="24"/>
                <w:highlight w:val="none"/>
              </w:rPr>
              <w:t>工业</w:t>
            </w:r>
          </w:p>
        </w:tc>
        <w:tc>
          <w:tcPr>
            <w:tcW w:w="261" w:type="pct"/>
            <w:vAlign w:val="center"/>
          </w:tcPr>
          <w:p w14:paraId="57862637">
            <w:pPr>
              <w:rPr>
                <w:rFonts w:ascii="宋体" w:hAnsi="宋体" w:eastAsia="宋体" w:cs="宋体"/>
                <w:sz w:val="24"/>
                <w:szCs w:val="24"/>
                <w:highlight w:val="none"/>
              </w:rPr>
            </w:pPr>
          </w:p>
        </w:tc>
      </w:tr>
      <w:tr w14:paraId="51F42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 w:type="pct"/>
            <w:shd w:val="clear" w:color="auto" w:fill="auto"/>
            <w:vAlign w:val="center"/>
          </w:tcPr>
          <w:p w14:paraId="48005F4F">
            <w:pPr>
              <w:widowControl/>
              <w:jc w:val="right"/>
              <w:textAlignment w:val="center"/>
              <w:rPr>
                <w:rFonts w:ascii="宋体" w:hAnsi="宋体" w:eastAsia="宋体" w:cs="宋体"/>
                <w:sz w:val="24"/>
                <w:szCs w:val="24"/>
                <w:highlight w:val="none"/>
                <w:lang w:eastAsia="en-US"/>
              </w:rPr>
            </w:pPr>
            <w:r>
              <w:rPr>
                <w:rFonts w:hint="eastAsia" w:ascii="宋体" w:hAnsi="宋体" w:eastAsia="宋体" w:cs="宋体"/>
                <w:color w:val="000000"/>
                <w:kern w:val="0"/>
                <w:sz w:val="24"/>
                <w:szCs w:val="24"/>
                <w:highlight w:val="none"/>
              </w:rPr>
              <w:t>30</w:t>
            </w:r>
          </w:p>
        </w:tc>
        <w:tc>
          <w:tcPr>
            <w:tcW w:w="427" w:type="pct"/>
            <w:shd w:val="clear" w:color="auto" w:fill="auto"/>
            <w:vAlign w:val="center"/>
          </w:tcPr>
          <w:p w14:paraId="385524F4">
            <w:pPr>
              <w:rPr>
                <w:rFonts w:ascii="宋体" w:hAnsi="宋体" w:eastAsia="宋体" w:cs="宋体"/>
                <w:sz w:val="24"/>
                <w:szCs w:val="24"/>
                <w:highlight w:val="none"/>
                <w:lang w:eastAsia="en-US"/>
              </w:rPr>
            </w:pPr>
            <w:r>
              <w:rPr>
                <w:rFonts w:hint="eastAsia" w:ascii="宋体" w:hAnsi="宋体" w:eastAsia="宋体" w:cs="宋体"/>
                <w:sz w:val="24"/>
                <w:szCs w:val="24"/>
                <w:highlight w:val="none"/>
              </w:rPr>
              <w:t>六类网线</w:t>
            </w:r>
          </w:p>
        </w:tc>
        <w:tc>
          <w:tcPr>
            <w:tcW w:w="3036" w:type="pct"/>
            <w:shd w:val="clear" w:color="auto" w:fill="auto"/>
            <w:vAlign w:val="center"/>
          </w:tcPr>
          <w:p w14:paraId="60A65D28">
            <w:pPr>
              <w:rPr>
                <w:rFonts w:ascii="宋体" w:hAnsi="宋体" w:eastAsia="宋体" w:cs="宋体"/>
                <w:sz w:val="24"/>
                <w:szCs w:val="24"/>
                <w:highlight w:val="none"/>
              </w:rPr>
            </w:pPr>
            <w:r>
              <w:rPr>
                <w:rFonts w:hint="eastAsia" w:ascii="宋体" w:hAnsi="宋体" w:eastAsia="宋体" w:cs="宋体"/>
                <w:sz w:val="24"/>
                <w:szCs w:val="24"/>
                <w:highlight w:val="none"/>
              </w:rPr>
              <w:t>六类4对UTP电缆</w:t>
            </w:r>
          </w:p>
        </w:tc>
        <w:tc>
          <w:tcPr>
            <w:tcW w:w="380" w:type="pct"/>
            <w:shd w:val="clear" w:color="auto" w:fill="auto"/>
            <w:vAlign w:val="center"/>
          </w:tcPr>
          <w:p w14:paraId="533EF950">
            <w:pPr>
              <w:rPr>
                <w:rFonts w:ascii="宋体" w:hAnsi="宋体" w:eastAsia="宋体" w:cs="宋体"/>
                <w:sz w:val="24"/>
                <w:szCs w:val="24"/>
                <w:highlight w:val="none"/>
              </w:rPr>
            </w:pPr>
            <w:r>
              <w:rPr>
                <w:rFonts w:hint="eastAsia" w:ascii="宋体" w:hAnsi="宋体" w:eastAsia="宋体" w:cs="宋体"/>
                <w:sz w:val="24"/>
                <w:szCs w:val="24"/>
                <w:highlight w:val="none"/>
              </w:rPr>
              <w:t>8</w:t>
            </w:r>
          </w:p>
        </w:tc>
        <w:tc>
          <w:tcPr>
            <w:tcW w:w="218" w:type="pct"/>
            <w:shd w:val="clear" w:color="auto" w:fill="auto"/>
            <w:vAlign w:val="center"/>
          </w:tcPr>
          <w:p w14:paraId="2C203D84">
            <w:pPr>
              <w:rPr>
                <w:rFonts w:ascii="宋体" w:hAnsi="宋体" w:eastAsia="宋体" w:cs="宋体"/>
                <w:sz w:val="24"/>
                <w:szCs w:val="24"/>
                <w:highlight w:val="none"/>
              </w:rPr>
            </w:pPr>
            <w:r>
              <w:rPr>
                <w:rFonts w:hint="eastAsia" w:ascii="宋体" w:hAnsi="宋体" w:eastAsia="宋体" w:cs="宋体"/>
                <w:sz w:val="24"/>
                <w:szCs w:val="24"/>
                <w:highlight w:val="none"/>
              </w:rPr>
              <w:t>箱</w:t>
            </w:r>
          </w:p>
        </w:tc>
        <w:tc>
          <w:tcPr>
            <w:tcW w:w="414" w:type="pct"/>
            <w:vAlign w:val="center"/>
          </w:tcPr>
          <w:p w14:paraId="1D3CE4DB">
            <w:pPr>
              <w:rPr>
                <w:rFonts w:ascii="宋体" w:hAnsi="宋体" w:eastAsia="宋体" w:cs="宋体"/>
                <w:sz w:val="24"/>
                <w:szCs w:val="24"/>
                <w:highlight w:val="none"/>
              </w:rPr>
            </w:pPr>
            <w:r>
              <w:rPr>
                <w:rFonts w:hint="eastAsia" w:ascii="宋体" w:hAnsi="宋体" w:eastAsia="宋体" w:cs="宋体"/>
                <w:sz w:val="24"/>
                <w:szCs w:val="24"/>
                <w:highlight w:val="none"/>
              </w:rPr>
              <w:t>工业</w:t>
            </w:r>
          </w:p>
        </w:tc>
        <w:tc>
          <w:tcPr>
            <w:tcW w:w="261" w:type="pct"/>
            <w:vAlign w:val="center"/>
          </w:tcPr>
          <w:p w14:paraId="1555ACF3">
            <w:pPr>
              <w:rPr>
                <w:rFonts w:ascii="宋体" w:hAnsi="宋体" w:eastAsia="宋体" w:cs="宋体"/>
                <w:sz w:val="24"/>
                <w:szCs w:val="24"/>
                <w:highlight w:val="none"/>
              </w:rPr>
            </w:pPr>
          </w:p>
        </w:tc>
      </w:tr>
      <w:tr w14:paraId="09BEB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 w:type="pct"/>
            <w:shd w:val="clear" w:color="auto" w:fill="auto"/>
            <w:vAlign w:val="center"/>
          </w:tcPr>
          <w:p w14:paraId="42309A83">
            <w:pPr>
              <w:widowControl/>
              <w:jc w:val="right"/>
              <w:textAlignment w:val="center"/>
              <w:rPr>
                <w:rFonts w:ascii="宋体" w:hAnsi="宋体" w:eastAsia="宋体" w:cs="宋体"/>
                <w:sz w:val="24"/>
                <w:szCs w:val="24"/>
                <w:highlight w:val="none"/>
                <w:lang w:eastAsia="en-US"/>
              </w:rPr>
            </w:pPr>
            <w:r>
              <w:rPr>
                <w:rFonts w:hint="eastAsia" w:ascii="宋体" w:hAnsi="宋体" w:eastAsia="宋体" w:cs="宋体"/>
                <w:color w:val="000000"/>
                <w:kern w:val="0"/>
                <w:sz w:val="24"/>
                <w:szCs w:val="24"/>
                <w:highlight w:val="none"/>
              </w:rPr>
              <w:t>31</w:t>
            </w:r>
          </w:p>
        </w:tc>
        <w:tc>
          <w:tcPr>
            <w:tcW w:w="427" w:type="pct"/>
            <w:shd w:val="clear" w:color="auto" w:fill="auto"/>
            <w:vAlign w:val="center"/>
          </w:tcPr>
          <w:p w14:paraId="69EAE3E0">
            <w:pPr>
              <w:rPr>
                <w:rFonts w:ascii="宋体" w:hAnsi="宋体" w:eastAsia="宋体" w:cs="宋体"/>
                <w:sz w:val="24"/>
                <w:szCs w:val="24"/>
                <w:highlight w:val="none"/>
                <w:lang w:eastAsia="en-US"/>
              </w:rPr>
            </w:pPr>
            <w:r>
              <w:rPr>
                <w:rFonts w:hint="eastAsia" w:ascii="宋体" w:hAnsi="宋体" w:eastAsia="宋体" w:cs="宋体"/>
                <w:sz w:val="24"/>
                <w:szCs w:val="24"/>
                <w:highlight w:val="none"/>
              </w:rPr>
              <w:t>电源线</w:t>
            </w:r>
          </w:p>
        </w:tc>
        <w:tc>
          <w:tcPr>
            <w:tcW w:w="3036" w:type="pct"/>
            <w:shd w:val="clear" w:color="auto" w:fill="auto"/>
            <w:vAlign w:val="center"/>
          </w:tcPr>
          <w:p w14:paraId="3480EE89">
            <w:pPr>
              <w:rPr>
                <w:rFonts w:ascii="宋体" w:hAnsi="宋体" w:eastAsia="宋体" w:cs="宋体"/>
                <w:sz w:val="24"/>
                <w:szCs w:val="24"/>
                <w:highlight w:val="none"/>
              </w:rPr>
            </w:pPr>
            <w:r>
              <w:rPr>
                <w:rFonts w:hint="eastAsia" w:ascii="宋体" w:hAnsi="宋体" w:eastAsia="宋体" w:cs="宋体"/>
                <w:sz w:val="24"/>
                <w:szCs w:val="24"/>
                <w:highlight w:val="none"/>
              </w:rPr>
              <w:t>RVV2*1.0</w:t>
            </w:r>
          </w:p>
        </w:tc>
        <w:tc>
          <w:tcPr>
            <w:tcW w:w="380" w:type="pct"/>
            <w:shd w:val="clear" w:color="auto" w:fill="auto"/>
            <w:vAlign w:val="center"/>
          </w:tcPr>
          <w:p w14:paraId="775EC49C">
            <w:pPr>
              <w:rPr>
                <w:rFonts w:ascii="宋体" w:hAnsi="宋体" w:eastAsia="宋体" w:cs="宋体"/>
                <w:sz w:val="24"/>
                <w:szCs w:val="24"/>
                <w:highlight w:val="none"/>
              </w:rPr>
            </w:pPr>
            <w:r>
              <w:rPr>
                <w:rFonts w:hint="eastAsia" w:ascii="宋体" w:hAnsi="宋体" w:eastAsia="宋体" w:cs="宋体"/>
                <w:sz w:val="24"/>
                <w:szCs w:val="24"/>
                <w:highlight w:val="none"/>
              </w:rPr>
              <w:t>10</w:t>
            </w:r>
          </w:p>
        </w:tc>
        <w:tc>
          <w:tcPr>
            <w:tcW w:w="218" w:type="pct"/>
            <w:shd w:val="clear" w:color="auto" w:fill="auto"/>
            <w:vAlign w:val="center"/>
          </w:tcPr>
          <w:p w14:paraId="0D067CBB">
            <w:pPr>
              <w:rPr>
                <w:rFonts w:ascii="宋体" w:hAnsi="宋体" w:eastAsia="宋体" w:cs="宋体"/>
                <w:sz w:val="24"/>
                <w:szCs w:val="24"/>
                <w:highlight w:val="none"/>
              </w:rPr>
            </w:pPr>
            <w:r>
              <w:rPr>
                <w:rFonts w:hint="eastAsia" w:ascii="宋体" w:hAnsi="宋体" w:eastAsia="宋体" w:cs="宋体"/>
                <w:sz w:val="24"/>
                <w:szCs w:val="24"/>
                <w:highlight w:val="none"/>
              </w:rPr>
              <w:t>卷</w:t>
            </w:r>
          </w:p>
        </w:tc>
        <w:tc>
          <w:tcPr>
            <w:tcW w:w="414" w:type="pct"/>
            <w:vAlign w:val="center"/>
          </w:tcPr>
          <w:p w14:paraId="35F9CC11">
            <w:pPr>
              <w:rPr>
                <w:rFonts w:ascii="宋体" w:hAnsi="宋体" w:eastAsia="宋体" w:cs="宋体"/>
                <w:sz w:val="24"/>
                <w:szCs w:val="24"/>
                <w:highlight w:val="none"/>
              </w:rPr>
            </w:pPr>
            <w:r>
              <w:rPr>
                <w:rFonts w:hint="eastAsia" w:ascii="宋体" w:hAnsi="宋体" w:eastAsia="宋体" w:cs="宋体"/>
                <w:sz w:val="24"/>
                <w:szCs w:val="24"/>
                <w:highlight w:val="none"/>
              </w:rPr>
              <w:t>工业</w:t>
            </w:r>
          </w:p>
        </w:tc>
        <w:tc>
          <w:tcPr>
            <w:tcW w:w="261" w:type="pct"/>
            <w:vAlign w:val="center"/>
          </w:tcPr>
          <w:p w14:paraId="784D97FB">
            <w:pPr>
              <w:rPr>
                <w:rFonts w:ascii="宋体" w:hAnsi="宋体" w:eastAsia="宋体" w:cs="宋体"/>
                <w:sz w:val="24"/>
                <w:szCs w:val="24"/>
                <w:highlight w:val="none"/>
              </w:rPr>
            </w:pPr>
          </w:p>
        </w:tc>
      </w:tr>
    </w:tbl>
    <w:p w14:paraId="4113C6D1">
      <w:pPr>
        <w:spacing w:line="360" w:lineRule="auto"/>
        <w:outlineLvl w:val="1"/>
        <w:rPr>
          <w:rFonts w:hint="eastAsia" w:ascii="宋体" w:hAnsi="宋体" w:eastAsia="宋体"/>
          <w:b/>
          <w:bCs/>
          <w:sz w:val="24"/>
          <w:szCs w:val="18"/>
          <w:highlight w:val="none"/>
        </w:rPr>
      </w:pPr>
      <w:bookmarkStart w:id="82" w:name="_Toc15938"/>
      <w:r>
        <w:rPr>
          <w:rFonts w:ascii="宋体" w:hAnsi="宋体" w:eastAsia="宋体" w:cs="宋体"/>
          <w:sz w:val="24"/>
          <w:szCs w:val="24"/>
          <w:highlight w:val="none"/>
        </w:rPr>
        <w:t>注：上表所属行业中标注“/”的品目，投标人在《中小企业声明函》中无需列明。</w:t>
      </w:r>
    </w:p>
    <w:p w14:paraId="405ADB31">
      <w:pPr>
        <w:spacing w:line="360" w:lineRule="auto"/>
        <w:outlineLvl w:val="1"/>
        <w:rPr>
          <w:rFonts w:ascii="宋体" w:hAnsi="宋体" w:eastAsia="宋体"/>
          <w:b/>
          <w:bCs/>
          <w:sz w:val="24"/>
          <w:szCs w:val="18"/>
          <w:highlight w:val="none"/>
        </w:rPr>
      </w:pPr>
      <w:r>
        <w:rPr>
          <w:rFonts w:hint="eastAsia" w:ascii="宋体" w:hAnsi="宋体" w:eastAsia="宋体"/>
          <w:b/>
          <w:bCs/>
          <w:sz w:val="24"/>
          <w:szCs w:val="18"/>
          <w:highlight w:val="none"/>
        </w:rPr>
        <w:t>三、报价及实施要求</w:t>
      </w:r>
      <w:bookmarkEnd w:id="80"/>
      <w:bookmarkEnd w:id="81"/>
      <w:bookmarkEnd w:id="82"/>
    </w:p>
    <w:p w14:paraId="2A0F041C">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1.本次项目建设所需辅材及设备运输、安装、调试、系统集成、对接、测试等费用由投标人自行解决，包含在本次预算中，所有材料需符合安全使用标准。</w:t>
      </w:r>
    </w:p>
    <w:p w14:paraId="6313F189">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2.本项目技术参数中有要求提供证明资料的(例如检测报告、检验报告、软件著作权登记证书)，采购人如需要查验原件，中标人需在接采购人通知后 7 个工作日内提交给采购人查验。</w:t>
      </w:r>
    </w:p>
    <w:p w14:paraId="38B2B99F">
      <w:pPr>
        <w:spacing w:line="360" w:lineRule="auto"/>
        <w:ind w:firstLine="480" w:firstLineChars="200"/>
        <w:outlineLvl w:val="1"/>
        <w:rPr>
          <w:rFonts w:ascii="宋体" w:hAnsi="宋体" w:eastAsia="宋体"/>
          <w:bCs/>
          <w:sz w:val="24"/>
          <w:szCs w:val="18"/>
          <w:highlight w:val="none"/>
        </w:rPr>
      </w:pPr>
      <w:bookmarkStart w:id="83" w:name="_Toc16326"/>
      <w:bookmarkStart w:id="84" w:name="_Toc14698"/>
      <w:bookmarkStart w:id="85" w:name="_Toc15293"/>
      <w:r>
        <w:rPr>
          <w:rFonts w:hint="eastAsia" w:ascii="宋体" w:hAnsi="宋体" w:eastAsia="宋体"/>
          <w:bCs/>
          <w:sz w:val="24"/>
          <w:szCs w:val="18"/>
          <w:highlight w:val="none"/>
        </w:rPr>
        <w:t>3</w:t>
      </w:r>
      <w:r>
        <w:rPr>
          <w:rFonts w:ascii="宋体" w:hAnsi="宋体" w:eastAsia="宋体"/>
          <w:bCs/>
          <w:sz w:val="24"/>
          <w:szCs w:val="18"/>
          <w:highlight w:val="none"/>
        </w:rPr>
        <w:t>、项目实施过程中，参与人员必须严格遵守学校及相关的安全管理规定，</w:t>
      </w:r>
    </w:p>
    <w:p w14:paraId="1B37625D">
      <w:pPr>
        <w:spacing w:line="360" w:lineRule="auto"/>
        <w:ind w:firstLine="0" w:firstLineChars="0"/>
        <w:outlineLvl w:val="1"/>
        <w:rPr>
          <w:rFonts w:ascii="宋体" w:hAnsi="宋体" w:eastAsia="宋体"/>
          <w:bCs/>
          <w:sz w:val="24"/>
          <w:szCs w:val="18"/>
          <w:highlight w:val="none"/>
        </w:rPr>
      </w:pPr>
      <w:r>
        <w:rPr>
          <w:rFonts w:hint="eastAsia" w:ascii="宋体" w:hAnsi="宋体" w:eastAsia="宋体"/>
          <w:bCs/>
          <w:sz w:val="24"/>
          <w:szCs w:val="18"/>
          <w:highlight w:val="none"/>
        </w:rPr>
        <w:t>中标人的所有从业人员在工作期间发生的任何安全事故及对他人人身财产造成伤害的损失或造成其他不良影响的，由中标人承担一切后果和责任，与采购人无关。</w:t>
      </w:r>
    </w:p>
    <w:p w14:paraId="2C18FFEC">
      <w:pPr>
        <w:spacing w:line="360" w:lineRule="auto"/>
        <w:ind w:firstLine="480" w:firstLineChars="200"/>
        <w:outlineLvl w:val="1"/>
        <w:rPr>
          <w:rFonts w:ascii="宋体" w:hAnsi="宋体" w:eastAsia="宋体"/>
          <w:bCs/>
          <w:sz w:val="24"/>
          <w:szCs w:val="18"/>
          <w:highlight w:val="none"/>
        </w:rPr>
      </w:pPr>
      <w:r>
        <w:rPr>
          <w:rFonts w:hint="eastAsia" w:ascii="宋体" w:hAnsi="宋体" w:eastAsia="宋体"/>
          <w:bCs/>
          <w:sz w:val="24"/>
          <w:szCs w:val="18"/>
          <w:highlight w:val="none"/>
        </w:rPr>
        <w:t>4</w:t>
      </w:r>
      <w:r>
        <w:rPr>
          <w:rFonts w:ascii="宋体" w:hAnsi="宋体" w:eastAsia="宋体"/>
          <w:bCs/>
          <w:sz w:val="24"/>
          <w:szCs w:val="18"/>
          <w:highlight w:val="none"/>
        </w:rPr>
        <w:t>、合同签订后供货前，中标人必须根据学校要求进行深化设计，包括但不限</w:t>
      </w:r>
      <w:r>
        <w:rPr>
          <w:rFonts w:hint="eastAsia" w:ascii="宋体" w:hAnsi="宋体" w:eastAsia="宋体"/>
          <w:bCs/>
          <w:sz w:val="24"/>
          <w:szCs w:val="18"/>
          <w:highlight w:val="none"/>
        </w:rPr>
        <w:t>于对新增监控点位部署（一包）、对现有老旧监控点位进行优化移位（一包），消防设施线路设备点位部署（二包），实施方案等。本次项目投标报价包含深化设计和建设可能发生的一切费用，采购人不再增补任何费用。</w:t>
      </w:r>
    </w:p>
    <w:p w14:paraId="3840CD96">
      <w:pPr>
        <w:spacing w:line="360" w:lineRule="auto"/>
        <w:ind w:firstLine="480" w:firstLineChars="200"/>
        <w:outlineLvl w:val="1"/>
        <w:rPr>
          <w:rFonts w:ascii="宋体" w:hAnsi="宋体" w:eastAsia="宋体"/>
          <w:bCs/>
          <w:sz w:val="24"/>
          <w:szCs w:val="18"/>
          <w:highlight w:val="none"/>
        </w:rPr>
      </w:pPr>
      <w:r>
        <w:rPr>
          <w:rFonts w:hint="eastAsia" w:ascii="宋体" w:hAnsi="宋体" w:eastAsia="宋体"/>
          <w:bCs/>
          <w:sz w:val="24"/>
          <w:szCs w:val="18"/>
          <w:highlight w:val="none"/>
        </w:rPr>
        <w:t>5</w:t>
      </w:r>
      <w:r>
        <w:rPr>
          <w:rFonts w:ascii="宋体" w:hAnsi="宋体" w:eastAsia="宋体"/>
          <w:bCs/>
          <w:sz w:val="24"/>
          <w:szCs w:val="18"/>
          <w:highlight w:val="none"/>
        </w:rPr>
        <w:t>、</w:t>
      </w:r>
      <w:r>
        <w:rPr>
          <w:rFonts w:hint="eastAsia" w:ascii="宋体" w:hAnsi="宋体" w:eastAsia="宋体"/>
          <w:bCs/>
          <w:sz w:val="24"/>
          <w:szCs w:val="18"/>
          <w:highlight w:val="none"/>
        </w:rPr>
        <w:t>为保证系统更好的兼容性与稳定性，本次项目一包对学校现有安防管理平台及运维平台进行升级,并对1200 路监控、300路设备扩容授权。为实现视频监控、智能运维统一平台管理的要求，需承诺按招标文件文件要求完成对接工作：</w:t>
      </w:r>
    </w:p>
    <w:p w14:paraId="2B1FE0E2">
      <w:pPr>
        <w:spacing w:line="360" w:lineRule="auto"/>
        <w:ind w:firstLine="480" w:firstLineChars="200"/>
        <w:outlineLvl w:val="1"/>
        <w:rPr>
          <w:rFonts w:ascii="宋体" w:hAnsi="宋体" w:eastAsia="宋体"/>
          <w:bCs/>
          <w:sz w:val="24"/>
          <w:szCs w:val="18"/>
          <w:highlight w:val="none"/>
        </w:rPr>
      </w:pPr>
      <w:r>
        <w:rPr>
          <w:rFonts w:ascii="宋体" w:hAnsi="宋体" w:eastAsia="宋体"/>
          <w:bCs/>
          <w:sz w:val="24"/>
          <w:szCs w:val="18"/>
          <w:highlight w:val="none"/>
        </w:rPr>
        <w:t>（1）</w:t>
      </w:r>
      <w:r>
        <w:rPr>
          <w:rFonts w:hint="eastAsia" w:ascii="宋体" w:hAnsi="宋体" w:eastAsia="宋体"/>
          <w:bCs/>
          <w:sz w:val="24"/>
          <w:szCs w:val="18"/>
          <w:highlight w:val="none"/>
        </w:rPr>
        <w:t>安防平台能够实现对采购人现有摄像机以及新增摄像机的兼容接入以及统一管理，并能够实现对实时、历史视频数据进行智能化分析、多画面同步回放和异步回放切换、超高倍速回放、分段回放、录像下载、录像剪辑、录像标签、录像锁定、录像抓图、联动等功能。</w:t>
      </w:r>
    </w:p>
    <w:p w14:paraId="57E31511">
      <w:pPr>
        <w:spacing w:line="360" w:lineRule="auto"/>
        <w:ind w:firstLine="480" w:firstLineChars="200"/>
        <w:outlineLvl w:val="1"/>
        <w:rPr>
          <w:rFonts w:hint="eastAsia" w:ascii="宋体" w:hAnsi="宋体" w:eastAsia="宋体"/>
          <w:bCs/>
          <w:sz w:val="24"/>
          <w:szCs w:val="18"/>
          <w:highlight w:val="none"/>
        </w:rPr>
      </w:pPr>
      <w:r>
        <w:rPr>
          <w:rFonts w:ascii="宋体" w:hAnsi="宋体" w:eastAsia="宋体"/>
          <w:bCs/>
          <w:sz w:val="24"/>
          <w:szCs w:val="18"/>
          <w:highlight w:val="none"/>
        </w:rPr>
        <w:t>（2）能够实现本次视频存储设备与</w:t>
      </w:r>
      <w:r>
        <w:rPr>
          <w:rFonts w:hint="eastAsia" w:ascii="宋体" w:hAnsi="宋体" w:eastAsia="宋体"/>
          <w:bCs/>
          <w:sz w:val="24"/>
          <w:szCs w:val="18"/>
          <w:highlight w:val="none"/>
        </w:rPr>
        <w:t>现</w:t>
      </w:r>
      <w:r>
        <w:rPr>
          <w:rFonts w:ascii="宋体" w:hAnsi="宋体" w:eastAsia="宋体"/>
          <w:bCs/>
          <w:sz w:val="24"/>
          <w:szCs w:val="18"/>
          <w:highlight w:val="none"/>
        </w:rPr>
        <w:t>有</w:t>
      </w:r>
      <w:r>
        <w:rPr>
          <w:rFonts w:hint="eastAsia" w:ascii="宋体" w:hAnsi="宋体" w:eastAsia="宋体"/>
          <w:bCs/>
          <w:sz w:val="24"/>
          <w:szCs w:val="18"/>
          <w:highlight w:val="none"/>
        </w:rPr>
        <w:t>安防</w:t>
      </w:r>
      <w:r>
        <w:rPr>
          <w:rFonts w:ascii="宋体" w:hAnsi="宋体" w:eastAsia="宋体"/>
          <w:bCs/>
          <w:sz w:val="24"/>
          <w:szCs w:val="18"/>
          <w:highlight w:val="none"/>
        </w:rPr>
        <w:t>管理平</w:t>
      </w:r>
      <w:r>
        <w:rPr>
          <w:rFonts w:hint="eastAsia" w:ascii="宋体" w:hAnsi="宋体" w:eastAsia="宋体"/>
          <w:bCs/>
          <w:sz w:val="24"/>
          <w:szCs w:val="18"/>
          <w:highlight w:val="none"/>
        </w:rPr>
        <w:t>台兼容对接，便于采购人在现有平台上实现统一的增、删、调、查、录的功能。</w:t>
      </w:r>
    </w:p>
    <w:p w14:paraId="0AC08CE0">
      <w:pPr>
        <w:spacing w:line="360" w:lineRule="auto"/>
        <w:ind w:firstLine="480" w:firstLineChars="200"/>
        <w:outlineLvl w:val="1"/>
        <w:rPr>
          <w:rFonts w:hint="eastAsia" w:ascii="宋体" w:hAnsi="宋体" w:eastAsia="宋体"/>
          <w:bCs/>
          <w:sz w:val="24"/>
          <w:szCs w:val="18"/>
          <w:highlight w:val="none"/>
        </w:rPr>
      </w:pPr>
      <w:r>
        <w:rPr>
          <w:rFonts w:hint="eastAsia" w:ascii="宋体" w:hAnsi="宋体" w:eastAsia="宋体"/>
          <w:bCs/>
          <w:sz w:val="24"/>
          <w:szCs w:val="18"/>
          <w:highlight w:val="none"/>
        </w:rPr>
        <w:t>（3）与现有智能运维平台实现</w:t>
      </w:r>
      <w:r>
        <w:rPr>
          <w:rFonts w:hint="eastAsia" w:ascii="宋体" w:hAnsi="宋体" w:eastAsia="宋体"/>
          <w:bCs/>
          <w:sz w:val="24"/>
          <w:szCs w:val="18"/>
          <w:highlight w:val="none"/>
          <w:lang w:eastAsia="zh-CN"/>
        </w:rPr>
        <w:t>兼容</w:t>
      </w:r>
      <w:r>
        <w:rPr>
          <w:rFonts w:hint="eastAsia" w:ascii="宋体" w:hAnsi="宋体" w:eastAsia="宋体"/>
          <w:bCs/>
          <w:sz w:val="24"/>
          <w:szCs w:val="18"/>
          <w:highlight w:val="none"/>
        </w:rPr>
        <w:t>对接。</w:t>
      </w:r>
    </w:p>
    <w:p w14:paraId="7BB73C8D">
      <w:pPr>
        <w:spacing w:line="360" w:lineRule="auto"/>
        <w:ind w:firstLine="480" w:firstLineChars="200"/>
        <w:outlineLvl w:val="1"/>
        <w:rPr>
          <w:rFonts w:ascii="宋体" w:hAnsi="宋体" w:eastAsia="宋体"/>
          <w:bCs/>
          <w:sz w:val="24"/>
          <w:szCs w:val="18"/>
          <w:highlight w:val="none"/>
        </w:rPr>
      </w:pPr>
      <w:r>
        <w:rPr>
          <w:rFonts w:ascii="宋体" w:hAnsi="宋体" w:eastAsia="宋体"/>
          <w:bCs/>
          <w:sz w:val="24"/>
          <w:szCs w:val="18"/>
          <w:highlight w:val="none"/>
        </w:rPr>
        <w:t>本次项目</w:t>
      </w:r>
      <w:r>
        <w:rPr>
          <w:rFonts w:hint="eastAsia" w:ascii="宋体" w:hAnsi="宋体" w:eastAsia="宋体"/>
          <w:bCs/>
          <w:sz w:val="24"/>
          <w:szCs w:val="18"/>
          <w:highlight w:val="none"/>
        </w:rPr>
        <w:t>二</w:t>
      </w:r>
      <w:r>
        <w:rPr>
          <w:rFonts w:ascii="宋体" w:hAnsi="宋体" w:eastAsia="宋体"/>
          <w:bCs/>
          <w:sz w:val="24"/>
          <w:szCs w:val="18"/>
          <w:highlight w:val="none"/>
        </w:rPr>
        <w:t>包消防平台需纳管接入现有消防设备，并</w:t>
      </w:r>
      <w:r>
        <w:rPr>
          <w:rFonts w:hint="eastAsia" w:ascii="宋体" w:hAnsi="宋体" w:eastAsia="宋体" w:cs="宋体"/>
          <w:sz w:val="24"/>
          <w:szCs w:val="24"/>
          <w:highlight w:val="none"/>
        </w:rPr>
        <w:t>实现与安防平台的融合对接，形成安消一体化。</w:t>
      </w:r>
    </w:p>
    <w:p w14:paraId="2A0EAC21">
      <w:pPr>
        <w:spacing w:line="360" w:lineRule="auto"/>
        <w:ind w:firstLine="480" w:firstLineChars="200"/>
        <w:outlineLvl w:val="1"/>
        <w:rPr>
          <w:rFonts w:ascii="宋体" w:hAnsi="宋体" w:eastAsia="宋体"/>
          <w:bCs/>
          <w:sz w:val="24"/>
          <w:szCs w:val="18"/>
          <w:highlight w:val="none"/>
        </w:rPr>
      </w:pPr>
      <w:r>
        <w:rPr>
          <w:rFonts w:hint="eastAsia" w:ascii="宋体" w:hAnsi="宋体" w:eastAsia="宋体"/>
          <w:bCs/>
          <w:sz w:val="24"/>
          <w:szCs w:val="18"/>
          <w:highlight w:val="none"/>
        </w:rPr>
        <w:t>注：以上兼容性要求，采购人协调接口数据开放，投标文件中</w:t>
      </w:r>
      <w:r>
        <w:rPr>
          <w:rFonts w:hint="eastAsia" w:ascii="宋体" w:hAnsi="宋体" w:eastAsia="宋体"/>
          <w:bCs/>
          <w:sz w:val="24"/>
          <w:szCs w:val="18"/>
          <w:highlight w:val="none"/>
          <w:lang w:val="en-US" w:eastAsia="zh-CN"/>
        </w:rPr>
        <w:t>提供承诺函（格式自拟），承诺中标后提供生产厂家针对本项目出具的兼容对接承诺函</w:t>
      </w:r>
      <w:r>
        <w:rPr>
          <w:rFonts w:hint="eastAsia" w:ascii="宋体" w:hAnsi="宋体" w:eastAsia="宋体"/>
          <w:bCs/>
          <w:sz w:val="24"/>
          <w:szCs w:val="18"/>
          <w:highlight w:val="none"/>
        </w:rPr>
        <w:t>。</w:t>
      </w:r>
    </w:p>
    <w:p w14:paraId="7E9FA505">
      <w:pPr>
        <w:spacing w:line="360" w:lineRule="auto"/>
        <w:ind w:firstLine="480" w:firstLineChars="200"/>
        <w:outlineLvl w:val="1"/>
        <w:rPr>
          <w:rFonts w:ascii="宋体" w:hAnsi="宋体" w:eastAsia="宋体"/>
          <w:bCs/>
          <w:sz w:val="24"/>
          <w:szCs w:val="18"/>
          <w:highlight w:val="none"/>
        </w:rPr>
      </w:pPr>
      <w:r>
        <w:rPr>
          <w:rFonts w:hint="eastAsia" w:ascii="宋体" w:hAnsi="宋体" w:eastAsia="宋体"/>
          <w:bCs/>
          <w:sz w:val="24"/>
          <w:szCs w:val="18"/>
          <w:highlight w:val="none"/>
        </w:rPr>
        <w:t>注：以上</w:t>
      </w:r>
      <w:r>
        <w:rPr>
          <w:rFonts w:ascii="宋体" w:hAnsi="宋体" w:eastAsia="宋体"/>
          <w:bCs/>
          <w:sz w:val="24"/>
          <w:szCs w:val="18"/>
          <w:highlight w:val="none"/>
        </w:rPr>
        <w:t>要求，投标人须在投标文件中提供承诺函并加盖投标人</w:t>
      </w:r>
      <w:r>
        <w:rPr>
          <w:rFonts w:hint="eastAsia" w:ascii="宋体" w:hAnsi="宋体" w:eastAsia="宋体"/>
          <w:bCs/>
          <w:sz w:val="24"/>
          <w:szCs w:val="18"/>
          <w:highlight w:val="none"/>
        </w:rPr>
        <w:t>公章或电子签章，未提供承诺或承诺内容不全的将导致投标无效。</w:t>
      </w:r>
    </w:p>
    <w:p w14:paraId="33805EAB">
      <w:pPr>
        <w:spacing w:line="360" w:lineRule="auto"/>
        <w:outlineLvl w:val="1"/>
        <w:rPr>
          <w:rFonts w:hint="eastAsia" w:ascii="宋体" w:hAnsi="宋体" w:eastAsia="宋体"/>
          <w:b/>
          <w:bCs/>
          <w:sz w:val="24"/>
          <w:szCs w:val="18"/>
          <w:highlight w:val="none"/>
        </w:rPr>
      </w:pPr>
      <w:r>
        <w:rPr>
          <w:rFonts w:hint="eastAsia" w:ascii="宋体" w:hAnsi="宋体" w:eastAsia="宋体"/>
          <w:b/>
          <w:bCs/>
          <w:sz w:val="24"/>
          <w:szCs w:val="18"/>
          <w:highlight w:val="none"/>
        </w:rPr>
        <w:t>四、其他要求</w:t>
      </w:r>
      <w:bookmarkEnd w:id="83"/>
      <w:bookmarkEnd w:id="84"/>
      <w:bookmarkEnd w:id="85"/>
    </w:p>
    <w:p w14:paraId="1E39D3D3">
      <w:pPr>
        <w:spacing w:line="360" w:lineRule="auto"/>
        <w:ind w:right="-147" w:firstLine="480" w:firstLineChars="200"/>
        <w:jc w:val="left"/>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 xml:space="preserve">1、本技术规格所提出的要求是对本次招标货物的基本技术要求，并未涉及所有技术细节，也未充分引述有关标准、规范的全部条款。投标人应保证其提供的货物除了满足本技术规格的要求外，还应符合中国国家、行业、地方或设备制造商所在国的有关标准、规范（尤其是必须符合中国国家标准的有关强制性规定)。 </w:t>
      </w:r>
    </w:p>
    <w:p w14:paraId="6F93111D">
      <w:pPr>
        <w:spacing w:line="360" w:lineRule="auto"/>
        <w:ind w:right="-147" w:firstLine="480" w:firstLineChars="200"/>
        <w:jc w:val="left"/>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 xml:space="preserve">2、本技术规格中提及的工艺、材料、设备的标准仅起说明作用，并没有强制性、限制性。投标人在投标中可以用替代工艺、材料、设备的标准，但这种替代须实质上满足、等同或优于本技术规格的要求，否则其投标无效。 </w:t>
      </w:r>
    </w:p>
    <w:p w14:paraId="321F0771">
      <w:pPr>
        <w:spacing w:line="360" w:lineRule="auto"/>
        <w:jc w:val="left"/>
        <w:outlineLvl w:val="1"/>
        <w:rPr>
          <w:rFonts w:ascii="宋体" w:hAnsi="宋体" w:eastAsia="宋体"/>
          <w:b/>
          <w:bCs/>
          <w:sz w:val="24"/>
          <w:szCs w:val="18"/>
          <w:highlight w:val="none"/>
        </w:rPr>
      </w:pPr>
      <w:r>
        <w:rPr>
          <w:rFonts w:hint="eastAsia" w:ascii="宋体" w:hAnsi="宋体" w:eastAsia="宋体"/>
          <w:b/>
          <w:bCs/>
          <w:sz w:val="24"/>
          <w:szCs w:val="18"/>
          <w:highlight w:val="none"/>
        </w:rPr>
        <w:t>五、配套服务要求</w:t>
      </w:r>
    </w:p>
    <w:p w14:paraId="2B8D1835">
      <w:pPr>
        <w:spacing w:line="360" w:lineRule="auto"/>
        <w:ind w:right="-147" w:firstLine="480" w:firstLineChars="200"/>
        <w:jc w:val="left"/>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1、中标供应商应在合同生效后及时告知采购人必要的安装条件、环境要求并提供技术咨询，以确保采购人提前做好水、电、气等方面的设备安装准备。</w:t>
      </w:r>
    </w:p>
    <w:p w14:paraId="5D3AA2CB">
      <w:pPr>
        <w:spacing w:line="360" w:lineRule="auto"/>
        <w:ind w:right="-147" w:firstLine="480" w:firstLineChars="200"/>
        <w:jc w:val="left"/>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产品安装并调试完毕后，中标供应商须派专业技术工程师为采购人免费提供系统的技术培训，以确保采购人能安全、有效的使用标的产品。在后续使用过程中，中标供应商应按采购人需求继续提供相关技术培训。</w:t>
      </w:r>
    </w:p>
    <w:p w14:paraId="6B27D50D">
      <w:pPr>
        <w:spacing w:line="360" w:lineRule="auto"/>
        <w:ind w:right="-147" w:firstLine="480" w:firstLineChars="200"/>
        <w:jc w:val="left"/>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w:t>
      </w:r>
      <w:r>
        <w:rPr>
          <w:rFonts w:hint="eastAsia" w:ascii="宋体" w:hAnsi="宋体" w:eastAsia="宋体" w:cs="宋体"/>
          <w:color w:val="000000" w:themeColor="text1"/>
          <w:sz w:val="24"/>
          <w:szCs w:val="24"/>
          <w:highlight w:val="none"/>
          <w:lang w:eastAsia="zh-CN"/>
        </w:rPr>
        <w:t>质量保修期</w:t>
      </w:r>
      <w:r>
        <w:rPr>
          <w:rFonts w:hint="eastAsia" w:ascii="宋体" w:hAnsi="宋体" w:eastAsia="宋体" w:cs="宋体"/>
          <w:color w:val="000000" w:themeColor="text1"/>
          <w:sz w:val="24"/>
          <w:szCs w:val="24"/>
          <w:highlight w:val="none"/>
        </w:rPr>
        <w:t>内，中标供应商须提供7*24小时的故障受理和技术支持，在收到采购人的维修服务或技术支持要求后，中标供应商须及时派出专业技术人员在采购人指定时间内到达现场提供相应服务。若故障无法立即修复，中标供应商须在 3 日内以更换产品等方式解决，因此所发生的费用由中标供应商承担。</w:t>
      </w:r>
    </w:p>
    <w:p w14:paraId="2C93D5CD">
      <w:pPr>
        <w:spacing w:line="360" w:lineRule="auto"/>
        <w:ind w:right="-147" w:firstLine="480" w:firstLineChars="200"/>
        <w:jc w:val="left"/>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4、中标供应商须对本项目产品使用的所有软件提供投标文件中承诺的质保期内的免费升级服务。</w:t>
      </w:r>
    </w:p>
    <w:p w14:paraId="52465FA2">
      <w:pPr>
        <w:spacing w:line="360" w:lineRule="auto"/>
        <w:ind w:right="-147" w:firstLine="480" w:firstLineChars="200"/>
        <w:jc w:val="left"/>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5、中标供应商须确保本项目内的所有平台系统均可部署至本地平台进行统一管理，并承诺提供相应的技术支持。</w:t>
      </w:r>
    </w:p>
    <w:p w14:paraId="36B1BD41">
      <w:pPr>
        <w:spacing w:line="360" w:lineRule="auto"/>
        <w:ind w:right="-147" w:firstLine="480" w:firstLineChars="200"/>
        <w:jc w:val="left"/>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6、中标供应商在投标文件内承诺的其他技术支持与售后服务。</w:t>
      </w:r>
    </w:p>
    <w:bookmarkEnd w:id="193"/>
    <w:p w14:paraId="0C52AA37">
      <w:pPr>
        <w:ind w:right="-147" w:firstLine="480" w:firstLineChars="200"/>
        <w:jc w:val="left"/>
        <w:rPr>
          <w:rFonts w:ascii="宋体" w:hAnsi="宋体" w:eastAsia="宋体" w:cs="宋体"/>
          <w:color w:val="000000" w:themeColor="text1"/>
          <w:sz w:val="24"/>
          <w:szCs w:val="24"/>
          <w:highlight w:val="none"/>
        </w:rPr>
      </w:pPr>
    </w:p>
    <w:p w14:paraId="1649F013">
      <w:pPr>
        <w:ind w:right="-146"/>
        <w:jc w:val="left"/>
        <w:rPr>
          <w:rFonts w:asciiTheme="minorEastAsia" w:hAnsiTheme="minorEastAsia" w:eastAsiaTheme="minorEastAsia"/>
          <w:sz w:val="24"/>
          <w:highlight w:val="none"/>
        </w:rPr>
      </w:pPr>
      <w:r>
        <w:rPr>
          <w:rFonts w:hint="eastAsia" w:ascii="宋体" w:hAnsi="宋体" w:eastAsia="宋体" w:cs="宋体"/>
          <w:color w:val="000000" w:themeColor="text1"/>
          <w:sz w:val="24"/>
          <w:szCs w:val="24"/>
          <w:highlight w:val="none"/>
        </w:rPr>
        <w:br w:type="page"/>
      </w:r>
    </w:p>
    <w:p w14:paraId="5E965919">
      <w:pPr>
        <w:spacing w:line="360" w:lineRule="auto"/>
        <w:jc w:val="center"/>
        <w:outlineLvl w:val="0"/>
        <w:rPr>
          <w:rFonts w:asciiTheme="minorEastAsia" w:hAnsiTheme="minorEastAsia" w:eastAsiaTheme="minorEastAsia"/>
          <w:b/>
          <w:sz w:val="28"/>
          <w:highlight w:val="none"/>
        </w:rPr>
      </w:pPr>
      <w:bookmarkStart w:id="86" w:name="_Toc4099"/>
      <w:r>
        <w:rPr>
          <w:rFonts w:hint="eastAsia" w:asciiTheme="minorEastAsia" w:hAnsiTheme="minorEastAsia" w:eastAsiaTheme="minorEastAsia"/>
          <w:b/>
          <w:sz w:val="28"/>
          <w:highlight w:val="none"/>
        </w:rPr>
        <w:t>第四章  评标方法和标准（综合评分法）</w:t>
      </w:r>
      <w:bookmarkEnd w:id="86"/>
    </w:p>
    <w:p w14:paraId="54852B9F">
      <w:pPr>
        <w:spacing w:line="360" w:lineRule="auto"/>
        <w:ind w:firstLine="437"/>
        <w:outlineLvl w:val="1"/>
        <w:rPr>
          <w:rFonts w:asciiTheme="minorEastAsia" w:hAnsiTheme="minorEastAsia" w:eastAsiaTheme="minorEastAsia"/>
          <w:b/>
          <w:sz w:val="24"/>
          <w:highlight w:val="none"/>
        </w:rPr>
      </w:pPr>
      <w:bookmarkStart w:id="87" w:name="_Toc11823"/>
      <w:bookmarkStart w:id="88" w:name="_Toc1246"/>
      <w:bookmarkStart w:id="89" w:name="_Toc19299"/>
      <w:r>
        <w:rPr>
          <w:rFonts w:hint="eastAsia" w:asciiTheme="minorEastAsia" w:hAnsiTheme="minorEastAsia" w:eastAsiaTheme="minorEastAsia"/>
          <w:b/>
          <w:sz w:val="24"/>
          <w:highlight w:val="none"/>
        </w:rPr>
        <w:t>一、总则</w:t>
      </w:r>
      <w:bookmarkEnd w:id="87"/>
      <w:bookmarkEnd w:id="88"/>
      <w:bookmarkEnd w:id="89"/>
    </w:p>
    <w:p w14:paraId="60CD8D9C">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本项目将按照招标文件第二章 投标人须知的相关要求</w:t>
      </w:r>
      <w:r>
        <w:rPr>
          <w:rFonts w:asciiTheme="minorEastAsia" w:hAnsiTheme="minorEastAsia" w:eastAsiaTheme="minorEastAsia"/>
          <w:sz w:val="24"/>
          <w:highlight w:val="none"/>
        </w:rPr>
        <w:t>及本章的规定评标。</w:t>
      </w:r>
    </w:p>
    <w:p w14:paraId="5C6E1AF8">
      <w:pPr>
        <w:spacing w:line="360" w:lineRule="auto"/>
        <w:ind w:firstLine="437"/>
        <w:outlineLvl w:val="1"/>
        <w:rPr>
          <w:rFonts w:asciiTheme="minorEastAsia" w:hAnsiTheme="minorEastAsia" w:eastAsiaTheme="minorEastAsia"/>
          <w:b/>
          <w:sz w:val="24"/>
          <w:highlight w:val="none"/>
        </w:rPr>
      </w:pPr>
      <w:bookmarkStart w:id="90" w:name="_Toc31871"/>
      <w:bookmarkStart w:id="91" w:name="_Toc21930"/>
      <w:bookmarkStart w:id="92" w:name="_Toc13117"/>
      <w:r>
        <w:rPr>
          <w:rFonts w:hint="eastAsia" w:asciiTheme="minorEastAsia" w:hAnsiTheme="minorEastAsia" w:eastAsiaTheme="minorEastAsia"/>
          <w:b/>
          <w:sz w:val="24"/>
          <w:highlight w:val="none"/>
        </w:rPr>
        <w:t>二、评标方法</w:t>
      </w:r>
      <w:bookmarkEnd w:id="90"/>
      <w:bookmarkEnd w:id="91"/>
      <w:bookmarkEnd w:id="92"/>
    </w:p>
    <w:p w14:paraId="60A4E0BD">
      <w:pPr>
        <w:spacing w:line="360" w:lineRule="auto"/>
        <w:ind w:firstLine="437"/>
        <w:outlineLvl w:val="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2.1资格审查</w:t>
      </w:r>
    </w:p>
    <w:tbl>
      <w:tblPr>
        <w:tblStyle w:val="26"/>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1253"/>
        <w:gridCol w:w="4952"/>
        <w:gridCol w:w="1903"/>
      </w:tblGrid>
      <w:tr w14:paraId="3BCA2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56703D99">
            <w:pPr>
              <w:adjustRightInd w:val="0"/>
              <w:snapToGrid w:val="0"/>
              <w:spacing w:line="360" w:lineRule="auto"/>
              <w:ind w:right="-10"/>
              <w:jc w:val="center"/>
              <w:rPr>
                <w:rFonts w:ascii="宋体" w:hAnsi="宋体" w:eastAsia="宋体"/>
                <w:sz w:val="24"/>
                <w:highlight w:val="none"/>
              </w:rPr>
            </w:pPr>
            <w:r>
              <w:rPr>
                <w:rFonts w:hint="eastAsia" w:ascii="宋体" w:hAnsi="宋体" w:eastAsia="宋体"/>
                <w:b/>
                <w:sz w:val="24"/>
                <w:szCs w:val="22"/>
                <w:highlight w:val="none"/>
              </w:rPr>
              <w:t>资格审查表</w:t>
            </w:r>
          </w:p>
        </w:tc>
      </w:tr>
      <w:tr w14:paraId="093BC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tcBorders>
              <w:bottom w:val="single" w:color="auto" w:sz="4" w:space="0"/>
            </w:tcBorders>
            <w:vAlign w:val="center"/>
          </w:tcPr>
          <w:p w14:paraId="7616253E">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序号</w:t>
            </w:r>
          </w:p>
        </w:tc>
        <w:tc>
          <w:tcPr>
            <w:tcW w:w="715" w:type="pct"/>
            <w:tcBorders>
              <w:bottom w:val="single" w:color="auto" w:sz="4" w:space="0"/>
            </w:tcBorders>
            <w:vAlign w:val="center"/>
          </w:tcPr>
          <w:p w14:paraId="1E900403">
            <w:pPr>
              <w:pStyle w:val="35"/>
              <w:pBdr>
                <w:bottom w:val="none" w:color="auto" w:sz="0" w:space="0"/>
              </w:pBdr>
              <w:tabs>
                <w:tab w:val="clear" w:pos="4153"/>
                <w:tab w:val="clear" w:pos="8306"/>
              </w:tabs>
              <w:snapToGrid w:val="0"/>
              <w:spacing w:line="360" w:lineRule="auto"/>
              <w:ind w:right="-10"/>
              <w:textAlignment w:val="auto"/>
              <w:rPr>
                <w:rFonts w:ascii="宋体" w:hAnsi="宋体" w:eastAsia="宋体"/>
                <w:kern w:val="2"/>
                <w:szCs w:val="24"/>
                <w:highlight w:val="none"/>
              </w:rPr>
            </w:pPr>
            <w:r>
              <w:rPr>
                <w:rFonts w:hint="eastAsia" w:ascii="宋体" w:hAnsi="宋体" w:eastAsia="宋体"/>
                <w:kern w:val="2"/>
                <w:szCs w:val="24"/>
                <w:highlight w:val="none"/>
              </w:rPr>
              <w:t>审查因素</w:t>
            </w:r>
          </w:p>
        </w:tc>
        <w:tc>
          <w:tcPr>
            <w:tcW w:w="2826" w:type="pct"/>
            <w:tcBorders>
              <w:bottom w:val="single" w:color="auto" w:sz="4" w:space="0"/>
            </w:tcBorders>
            <w:vAlign w:val="center"/>
          </w:tcPr>
          <w:p w14:paraId="2EA9D8E8">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审查内容</w:t>
            </w:r>
          </w:p>
        </w:tc>
        <w:tc>
          <w:tcPr>
            <w:tcW w:w="1084" w:type="pct"/>
            <w:tcBorders>
              <w:bottom w:val="single" w:color="auto" w:sz="4" w:space="0"/>
            </w:tcBorders>
            <w:vAlign w:val="center"/>
          </w:tcPr>
          <w:p w14:paraId="01FC9C6A">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格式要求</w:t>
            </w:r>
          </w:p>
        </w:tc>
      </w:tr>
      <w:tr w14:paraId="28F9A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3" w:type="pct"/>
            <w:tcBorders>
              <w:bottom w:val="single" w:color="auto" w:sz="4" w:space="0"/>
            </w:tcBorders>
            <w:vAlign w:val="center"/>
          </w:tcPr>
          <w:p w14:paraId="42778535">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1</w:t>
            </w:r>
          </w:p>
        </w:tc>
        <w:tc>
          <w:tcPr>
            <w:tcW w:w="715" w:type="pct"/>
            <w:tcBorders>
              <w:bottom w:val="single" w:color="auto" w:sz="4" w:space="0"/>
            </w:tcBorders>
            <w:vAlign w:val="center"/>
          </w:tcPr>
          <w:p w14:paraId="05F02358">
            <w:pPr>
              <w:spacing w:after="50" w:line="360" w:lineRule="auto"/>
              <w:ind w:right="-10"/>
              <w:jc w:val="center"/>
              <w:rPr>
                <w:rFonts w:ascii="宋体" w:hAnsi="宋体" w:eastAsia="宋体"/>
                <w:sz w:val="24"/>
                <w:szCs w:val="28"/>
                <w:highlight w:val="none"/>
              </w:rPr>
            </w:pPr>
            <w:r>
              <w:rPr>
                <w:rFonts w:ascii="宋体" w:hAnsi="宋体" w:eastAsia="宋体" w:cs="宋体"/>
                <w:spacing w:val="9"/>
                <w:sz w:val="24"/>
                <w:szCs w:val="24"/>
                <w:highlight w:val="none"/>
              </w:rPr>
              <w:t>营业执照等证明</w:t>
            </w:r>
            <w:r>
              <w:rPr>
                <w:rFonts w:ascii="宋体" w:hAnsi="宋体" w:eastAsia="宋体" w:cs="宋体"/>
                <w:spacing w:val="-3"/>
                <w:sz w:val="24"/>
                <w:szCs w:val="24"/>
                <w:highlight w:val="none"/>
              </w:rPr>
              <w:t>文件</w:t>
            </w:r>
          </w:p>
        </w:tc>
        <w:tc>
          <w:tcPr>
            <w:tcW w:w="2826" w:type="pct"/>
            <w:tcBorders>
              <w:bottom w:val="single" w:color="auto" w:sz="4" w:space="0"/>
            </w:tcBorders>
            <w:vAlign w:val="center"/>
          </w:tcPr>
          <w:p w14:paraId="5DCACC01">
            <w:pPr>
              <w:spacing w:after="50" w:line="360" w:lineRule="auto"/>
              <w:ind w:right="-10"/>
              <w:jc w:val="left"/>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投标人为企业（包括合伙企业）的，应</w:t>
            </w:r>
            <w:r>
              <w:rPr>
                <w:rFonts w:hint="eastAsia" w:ascii="宋体" w:hAnsi="宋体" w:eastAsia="宋体" w:cs="宋体"/>
                <w:sz w:val="24"/>
                <w:szCs w:val="24"/>
                <w:highlight w:val="none"/>
              </w:rPr>
              <w:t>提</w:t>
            </w:r>
            <w:r>
              <w:rPr>
                <w:rFonts w:ascii="宋体" w:hAnsi="宋体" w:eastAsia="宋体" w:cs="宋体"/>
                <w:sz w:val="24"/>
                <w:szCs w:val="24"/>
                <w:highlight w:val="none"/>
              </w:rPr>
              <w:t>供有效的营业执照；</w:t>
            </w:r>
          </w:p>
          <w:p w14:paraId="502C9DB1">
            <w:pPr>
              <w:spacing w:after="50" w:line="360" w:lineRule="auto"/>
              <w:ind w:right="-10"/>
              <w:jc w:val="left"/>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投标人为事业单位的，应</w:t>
            </w:r>
            <w:r>
              <w:rPr>
                <w:rFonts w:hint="eastAsia" w:ascii="宋体" w:hAnsi="宋体" w:eastAsia="宋体" w:cs="宋体"/>
                <w:sz w:val="24"/>
                <w:szCs w:val="24"/>
                <w:highlight w:val="none"/>
              </w:rPr>
              <w:t>提</w:t>
            </w:r>
            <w:r>
              <w:rPr>
                <w:rFonts w:ascii="宋体" w:hAnsi="宋体" w:eastAsia="宋体" w:cs="宋体"/>
                <w:sz w:val="24"/>
                <w:szCs w:val="24"/>
                <w:highlight w:val="none"/>
              </w:rPr>
              <w:t>供有效的事业单位法人证书；</w:t>
            </w:r>
          </w:p>
          <w:p w14:paraId="70246EEC">
            <w:pPr>
              <w:spacing w:after="50" w:line="360" w:lineRule="auto"/>
              <w:ind w:right="-10"/>
              <w:jc w:val="left"/>
              <w:rPr>
                <w:rFonts w:ascii="宋体" w:hAnsi="宋体" w:eastAsia="宋体" w:cs="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投标人是非企业机构的，应</w:t>
            </w:r>
            <w:r>
              <w:rPr>
                <w:rFonts w:hint="eastAsia" w:ascii="宋体" w:hAnsi="宋体" w:eastAsia="宋体" w:cs="宋体"/>
                <w:sz w:val="24"/>
                <w:szCs w:val="24"/>
                <w:highlight w:val="none"/>
              </w:rPr>
              <w:t>提</w:t>
            </w:r>
            <w:r>
              <w:rPr>
                <w:rFonts w:ascii="宋体" w:hAnsi="宋体" w:eastAsia="宋体" w:cs="宋体"/>
                <w:sz w:val="24"/>
                <w:szCs w:val="24"/>
                <w:highlight w:val="none"/>
              </w:rPr>
              <w:t>供有效的执业许可证</w:t>
            </w:r>
            <w:r>
              <w:rPr>
                <w:rFonts w:hint="eastAsia" w:ascii="宋体" w:hAnsi="宋体" w:eastAsia="宋体" w:cs="宋体"/>
                <w:sz w:val="24"/>
                <w:szCs w:val="24"/>
                <w:highlight w:val="none"/>
              </w:rPr>
              <w:t>或</w:t>
            </w:r>
            <w:r>
              <w:rPr>
                <w:rFonts w:ascii="宋体" w:hAnsi="宋体" w:eastAsia="宋体" w:cs="宋体"/>
                <w:sz w:val="24"/>
                <w:szCs w:val="24"/>
                <w:highlight w:val="none"/>
              </w:rPr>
              <w:t>登记证书等证明文件；</w:t>
            </w:r>
          </w:p>
          <w:p w14:paraId="0F30862D">
            <w:pPr>
              <w:spacing w:after="50" w:line="360" w:lineRule="auto"/>
              <w:ind w:right="-10"/>
              <w:jc w:val="left"/>
              <w:rPr>
                <w:rFonts w:ascii="宋体" w:hAnsi="宋体" w:eastAsia="宋体" w:cs="宋体"/>
                <w:sz w:val="24"/>
                <w:szCs w:val="24"/>
                <w:highlight w:val="none"/>
              </w:rPr>
            </w:pPr>
            <w:r>
              <w:rPr>
                <w:rFonts w:hint="eastAsia" w:ascii="宋体" w:hAnsi="宋体" w:eastAsia="宋体" w:cs="宋体"/>
                <w:sz w:val="24"/>
                <w:szCs w:val="24"/>
                <w:highlight w:val="none"/>
              </w:rPr>
              <w:t>（4）</w:t>
            </w:r>
            <w:r>
              <w:rPr>
                <w:rFonts w:ascii="宋体" w:hAnsi="宋体" w:eastAsia="宋体" w:cs="宋体"/>
                <w:sz w:val="24"/>
                <w:szCs w:val="24"/>
                <w:highlight w:val="none"/>
              </w:rPr>
              <w:t>投标人是个体工商户的，应</w:t>
            </w:r>
            <w:r>
              <w:rPr>
                <w:rFonts w:hint="eastAsia" w:ascii="宋体" w:hAnsi="宋体" w:eastAsia="宋体" w:cs="宋体"/>
                <w:sz w:val="24"/>
                <w:szCs w:val="24"/>
                <w:highlight w:val="none"/>
              </w:rPr>
              <w:t>提</w:t>
            </w:r>
            <w:r>
              <w:rPr>
                <w:rFonts w:ascii="宋体" w:hAnsi="宋体" w:eastAsia="宋体" w:cs="宋体"/>
                <w:sz w:val="24"/>
                <w:szCs w:val="24"/>
                <w:highlight w:val="none"/>
              </w:rPr>
              <w:t>供有效的个体工商户营业执照；</w:t>
            </w:r>
          </w:p>
          <w:p w14:paraId="30307CC8">
            <w:pPr>
              <w:spacing w:after="50" w:line="360" w:lineRule="auto"/>
              <w:ind w:right="-10"/>
              <w:jc w:val="left"/>
              <w:rPr>
                <w:rFonts w:ascii="宋体" w:hAnsi="宋体" w:eastAsia="宋体" w:cs="宋体"/>
                <w:sz w:val="24"/>
                <w:szCs w:val="24"/>
                <w:highlight w:val="none"/>
              </w:rPr>
            </w:pPr>
            <w:r>
              <w:rPr>
                <w:rFonts w:hint="eastAsia" w:ascii="宋体" w:hAnsi="宋体" w:eastAsia="宋体" w:cs="宋体"/>
                <w:sz w:val="24"/>
                <w:szCs w:val="24"/>
                <w:highlight w:val="none"/>
              </w:rPr>
              <w:t>（5）</w:t>
            </w:r>
            <w:r>
              <w:rPr>
                <w:rFonts w:ascii="宋体" w:hAnsi="宋体" w:eastAsia="宋体" w:cs="宋体"/>
                <w:sz w:val="24"/>
                <w:szCs w:val="24"/>
                <w:highlight w:val="none"/>
              </w:rPr>
              <w:t>投标人是自然人的，应</w:t>
            </w:r>
            <w:r>
              <w:rPr>
                <w:rFonts w:hint="eastAsia" w:ascii="宋体" w:hAnsi="宋体" w:eastAsia="宋体" w:cs="宋体"/>
                <w:sz w:val="24"/>
                <w:szCs w:val="24"/>
                <w:highlight w:val="none"/>
              </w:rPr>
              <w:t>提</w:t>
            </w:r>
            <w:r>
              <w:rPr>
                <w:rFonts w:ascii="宋体" w:hAnsi="宋体" w:eastAsia="宋体" w:cs="宋体"/>
                <w:sz w:val="24"/>
                <w:szCs w:val="24"/>
                <w:highlight w:val="none"/>
              </w:rPr>
              <w:t>供有效的自然人身份证明。</w:t>
            </w:r>
          </w:p>
          <w:p w14:paraId="3C1464A9">
            <w:pPr>
              <w:spacing w:after="50" w:line="360" w:lineRule="auto"/>
              <w:ind w:right="-10"/>
              <w:jc w:val="left"/>
              <w:rPr>
                <w:rFonts w:ascii="宋体" w:hAnsi="宋体" w:eastAsia="宋体"/>
                <w:sz w:val="24"/>
                <w:szCs w:val="28"/>
                <w:highlight w:val="none"/>
              </w:rPr>
            </w:pPr>
            <w:r>
              <w:rPr>
                <w:rFonts w:hint="eastAsia" w:ascii="宋体" w:hAnsi="宋体" w:eastAsia="宋体" w:cs="宋体"/>
                <w:sz w:val="24"/>
                <w:szCs w:val="24"/>
                <w:highlight w:val="none"/>
              </w:rPr>
              <w:t>（6）对于银行、保险、石油石化、电力、电信等行业的分公司参加的，应提供该分公司的相应证明文件（如营业执照）；同时还应提供其总公司或上级主管部门出具的授权其参与本项目的书面唯一授权书（格式自拟，须加盖其总公司或上级主管部门的公章），也可以提供其总公司或上级主管部门的有关文件或制度等能够证明授权其独立开展业务的证明材料。</w:t>
            </w:r>
          </w:p>
        </w:tc>
        <w:tc>
          <w:tcPr>
            <w:tcW w:w="1084" w:type="pct"/>
            <w:vAlign w:val="center"/>
          </w:tcPr>
          <w:p w14:paraId="3B7C859F">
            <w:pPr>
              <w:spacing w:line="360" w:lineRule="auto"/>
              <w:jc w:val="left"/>
              <w:rPr>
                <w:rFonts w:ascii="宋体" w:hAnsi="宋体" w:eastAsia="宋体"/>
                <w:sz w:val="24"/>
                <w:highlight w:val="none"/>
              </w:rPr>
            </w:pPr>
            <w:r>
              <w:rPr>
                <w:rFonts w:hint="eastAsia" w:ascii="宋体" w:hAnsi="宋体" w:eastAsia="宋体" w:cs="宋体"/>
                <w:sz w:val="24"/>
                <w:szCs w:val="24"/>
                <w:highlight w:val="none"/>
              </w:rPr>
              <w:t>提供材料扫描件或电子证照，应完整的体现出材料或电子证照全部内容。联合体投标的联合体各方均须提供。</w:t>
            </w:r>
          </w:p>
        </w:tc>
      </w:tr>
      <w:tr w14:paraId="1905A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73" w:type="pct"/>
            <w:tcBorders>
              <w:bottom w:val="single" w:color="auto" w:sz="4" w:space="0"/>
            </w:tcBorders>
            <w:vAlign w:val="center"/>
          </w:tcPr>
          <w:p w14:paraId="465705A6">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2</w:t>
            </w:r>
          </w:p>
        </w:tc>
        <w:tc>
          <w:tcPr>
            <w:tcW w:w="715" w:type="pct"/>
            <w:tcBorders>
              <w:bottom w:val="single" w:color="auto" w:sz="4" w:space="0"/>
            </w:tcBorders>
            <w:vAlign w:val="center"/>
          </w:tcPr>
          <w:p w14:paraId="5B65CA98">
            <w:pPr>
              <w:spacing w:after="50" w:line="360" w:lineRule="auto"/>
              <w:ind w:right="-10"/>
              <w:jc w:val="center"/>
              <w:rPr>
                <w:rFonts w:ascii="宋体" w:hAnsi="宋体" w:eastAsia="宋体"/>
                <w:sz w:val="24"/>
                <w:szCs w:val="28"/>
                <w:highlight w:val="none"/>
              </w:rPr>
            </w:pPr>
            <w:r>
              <w:rPr>
                <w:rFonts w:hint="eastAsia" w:ascii="宋体" w:hAnsi="宋体" w:eastAsia="宋体"/>
                <w:sz w:val="24"/>
                <w:szCs w:val="18"/>
                <w:highlight w:val="none"/>
              </w:rPr>
              <w:t>投标人资格声明书</w:t>
            </w:r>
          </w:p>
        </w:tc>
        <w:tc>
          <w:tcPr>
            <w:tcW w:w="2826" w:type="pct"/>
            <w:tcBorders>
              <w:bottom w:val="single" w:color="auto" w:sz="4" w:space="0"/>
            </w:tcBorders>
            <w:vAlign w:val="center"/>
          </w:tcPr>
          <w:p w14:paraId="3388BE9F">
            <w:pPr>
              <w:spacing w:after="50" w:line="360" w:lineRule="auto"/>
              <w:ind w:right="-10"/>
              <w:jc w:val="left"/>
              <w:rPr>
                <w:rFonts w:ascii="宋体" w:hAnsi="宋体" w:eastAsia="宋体"/>
                <w:sz w:val="24"/>
                <w:szCs w:val="28"/>
                <w:highlight w:val="none"/>
              </w:rPr>
            </w:pPr>
            <w:r>
              <w:rPr>
                <w:rFonts w:hint="eastAsia" w:ascii="宋体" w:hAnsi="宋体" w:eastAsia="宋体" w:cs="宋体"/>
                <w:sz w:val="24"/>
                <w:szCs w:val="24"/>
                <w:highlight w:val="none"/>
              </w:rPr>
              <w:t>提</w:t>
            </w:r>
            <w:r>
              <w:rPr>
                <w:rFonts w:ascii="宋体" w:hAnsi="宋体" w:eastAsia="宋体" w:cs="宋体"/>
                <w:sz w:val="24"/>
                <w:szCs w:val="24"/>
                <w:highlight w:val="none"/>
              </w:rPr>
              <w:t>供符合招标文件要求的《投标人资格声明书》</w:t>
            </w:r>
            <w:r>
              <w:rPr>
                <w:rFonts w:hint="eastAsia" w:ascii="宋体" w:hAnsi="宋体" w:eastAsia="宋体" w:cs="宋体"/>
                <w:sz w:val="24"/>
                <w:szCs w:val="24"/>
                <w:highlight w:val="none"/>
              </w:rPr>
              <w:t>。</w:t>
            </w:r>
          </w:p>
        </w:tc>
        <w:tc>
          <w:tcPr>
            <w:tcW w:w="1084" w:type="pct"/>
            <w:vAlign w:val="center"/>
          </w:tcPr>
          <w:p w14:paraId="337127F9">
            <w:pPr>
              <w:spacing w:line="360" w:lineRule="auto"/>
              <w:jc w:val="left"/>
              <w:rPr>
                <w:rFonts w:ascii="宋体" w:hAnsi="宋体" w:eastAsia="宋体" w:cs="宋体"/>
                <w:sz w:val="24"/>
                <w:szCs w:val="24"/>
                <w:highlight w:val="none"/>
              </w:rPr>
            </w:pPr>
            <w:r>
              <w:rPr>
                <w:rFonts w:hint="eastAsia" w:ascii="宋体" w:hAnsi="宋体" w:eastAsia="宋体"/>
                <w:sz w:val="24"/>
                <w:highlight w:val="none"/>
              </w:rPr>
              <w:t>详见第六章投标文件格式。</w:t>
            </w:r>
          </w:p>
        </w:tc>
      </w:tr>
      <w:tr w14:paraId="71C5C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tcBorders>
              <w:bottom w:val="single" w:color="auto" w:sz="4" w:space="0"/>
            </w:tcBorders>
            <w:vAlign w:val="center"/>
          </w:tcPr>
          <w:p w14:paraId="4A455953">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3</w:t>
            </w:r>
          </w:p>
        </w:tc>
        <w:tc>
          <w:tcPr>
            <w:tcW w:w="715" w:type="pct"/>
            <w:tcBorders>
              <w:bottom w:val="single" w:color="auto" w:sz="4" w:space="0"/>
            </w:tcBorders>
            <w:vAlign w:val="center"/>
          </w:tcPr>
          <w:p w14:paraId="301B9E13">
            <w:pPr>
              <w:spacing w:after="50" w:line="360" w:lineRule="auto"/>
              <w:ind w:right="-10"/>
              <w:jc w:val="center"/>
              <w:rPr>
                <w:rFonts w:ascii="宋体" w:hAnsi="宋体" w:eastAsia="宋体"/>
                <w:sz w:val="24"/>
                <w:szCs w:val="28"/>
                <w:highlight w:val="none"/>
              </w:rPr>
            </w:pPr>
            <w:r>
              <w:rPr>
                <w:rFonts w:hint="eastAsia" w:ascii="宋体" w:hAnsi="宋体" w:eastAsia="宋体" w:cs="宋体"/>
                <w:sz w:val="24"/>
                <w:szCs w:val="24"/>
                <w:highlight w:val="none"/>
              </w:rPr>
              <w:t>投标人信用记录</w:t>
            </w:r>
          </w:p>
        </w:tc>
        <w:tc>
          <w:tcPr>
            <w:tcW w:w="2826" w:type="pct"/>
            <w:tcBorders>
              <w:bottom w:val="single" w:color="auto" w:sz="4" w:space="0"/>
            </w:tcBorders>
            <w:vAlign w:val="center"/>
          </w:tcPr>
          <w:p w14:paraId="2BA49F1A">
            <w:pPr>
              <w:spacing w:after="50" w:line="360" w:lineRule="auto"/>
              <w:ind w:right="-10"/>
              <w:jc w:val="left"/>
              <w:rPr>
                <w:highlight w:val="none"/>
              </w:rPr>
            </w:pPr>
            <w:r>
              <w:rPr>
                <w:rFonts w:hint="eastAsia" w:ascii="宋体" w:hAnsi="宋体" w:eastAsia="宋体" w:cs="宋体"/>
                <w:sz w:val="24"/>
                <w:szCs w:val="24"/>
                <w:highlight w:val="none"/>
                <w:lang w:val="zh-CN"/>
              </w:rPr>
              <w:t>投标人不得存在投标人须知正文第1</w:t>
            </w:r>
            <w:r>
              <w:rPr>
                <w:rFonts w:hint="eastAsia" w:ascii="宋体" w:hAnsi="宋体" w:eastAsia="宋体" w:cs="宋体"/>
                <w:sz w:val="24"/>
                <w:szCs w:val="24"/>
                <w:highlight w:val="none"/>
              </w:rPr>
              <w:t>4</w:t>
            </w:r>
            <w:r>
              <w:rPr>
                <w:rFonts w:hint="eastAsia" w:ascii="宋体" w:hAnsi="宋体" w:eastAsia="宋体" w:cs="宋体"/>
                <w:sz w:val="24"/>
                <w:szCs w:val="24"/>
                <w:highlight w:val="none"/>
                <w:lang w:val="zh-CN"/>
              </w:rPr>
              <w:t>.2</w:t>
            </w:r>
            <w:r>
              <w:rPr>
                <w:rFonts w:hint="eastAsia" w:ascii="宋体" w:hAnsi="宋体" w:eastAsia="宋体" w:cs="宋体"/>
                <w:sz w:val="24"/>
                <w:szCs w:val="24"/>
                <w:highlight w:val="none"/>
              </w:rPr>
              <w:t>条中</w:t>
            </w:r>
            <w:r>
              <w:rPr>
                <w:rFonts w:hint="eastAsia" w:ascii="宋体" w:hAnsi="宋体" w:eastAsia="宋体"/>
                <w:sz w:val="24"/>
                <w:szCs w:val="28"/>
                <w:highlight w:val="none"/>
              </w:rPr>
              <w:t>的</w:t>
            </w:r>
            <w:r>
              <w:rPr>
                <w:rFonts w:hint="eastAsia" w:ascii="宋体" w:hAnsi="宋体" w:eastAsia="宋体"/>
                <w:sz w:val="24"/>
                <w:szCs w:val="18"/>
                <w:highlight w:val="none"/>
              </w:rPr>
              <w:t>不良信用记录情形</w:t>
            </w:r>
          </w:p>
        </w:tc>
        <w:tc>
          <w:tcPr>
            <w:tcW w:w="1084" w:type="pct"/>
            <w:tcBorders>
              <w:bottom w:val="single" w:color="auto" w:sz="4" w:space="0"/>
            </w:tcBorders>
            <w:vAlign w:val="center"/>
          </w:tcPr>
          <w:p w14:paraId="08ECDC7F">
            <w:pPr>
              <w:spacing w:line="360" w:lineRule="auto"/>
              <w:jc w:val="left"/>
              <w:rPr>
                <w:highlight w:val="none"/>
              </w:rPr>
            </w:pPr>
            <w:r>
              <w:rPr>
                <w:rFonts w:hint="eastAsia" w:ascii="宋体" w:hAnsi="宋体" w:eastAsia="宋体" w:cs="宋体"/>
                <w:sz w:val="24"/>
                <w:szCs w:val="24"/>
                <w:highlight w:val="none"/>
              </w:rPr>
              <w:t>无须投标人提供，由采购人或采购代理机构查询。</w:t>
            </w:r>
          </w:p>
        </w:tc>
      </w:tr>
    </w:tbl>
    <w:p w14:paraId="010DFAB3">
      <w:pPr>
        <w:spacing w:line="360" w:lineRule="auto"/>
        <w:ind w:firstLine="435"/>
        <w:rPr>
          <w:rFonts w:asciiTheme="minorEastAsia" w:hAnsiTheme="minorEastAsia" w:eastAsiaTheme="minorEastAsia"/>
          <w:sz w:val="24"/>
          <w:highlight w:val="none"/>
        </w:rPr>
      </w:pPr>
      <w:r>
        <w:rPr>
          <w:rFonts w:hint="eastAsia" w:ascii="宋体" w:hAnsi="宋体" w:eastAsia="宋体"/>
          <w:b/>
          <w:bCs/>
          <w:sz w:val="24"/>
          <w:highlight w:val="none"/>
        </w:rPr>
        <w:t>资格审查指标通过标准：</w:t>
      </w:r>
      <w:r>
        <w:rPr>
          <w:rFonts w:hint="eastAsia" w:ascii="宋体" w:hAnsi="宋体" w:eastAsia="宋体"/>
          <w:sz w:val="24"/>
          <w:highlight w:val="none"/>
        </w:rPr>
        <w:t>投标人必须通过资格审查表中的全部评审指标。</w:t>
      </w:r>
    </w:p>
    <w:p w14:paraId="4D74FD68">
      <w:pPr>
        <w:spacing w:line="360" w:lineRule="auto"/>
        <w:ind w:firstLine="437"/>
        <w:outlineLvl w:val="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2.2符合性审查</w:t>
      </w:r>
    </w:p>
    <w:p w14:paraId="0C8ECB56">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评标委员会对通过资格审查的投标人的投标文件进行符合性审查，以确定其是否满足招标文件的实质性要求。符合性审查表如下：</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1735"/>
        <w:gridCol w:w="3508"/>
        <w:gridCol w:w="2516"/>
      </w:tblGrid>
      <w:tr w14:paraId="09CA6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16A54E7F">
            <w:pPr>
              <w:adjustRightInd w:val="0"/>
              <w:snapToGrid w:val="0"/>
              <w:spacing w:line="360" w:lineRule="auto"/>
              <w:ind w:right="-10"/>
              <w:jc w:val="center"/>
              <w:rPr>
                <w:rFonts w:ascii="宋体" w:hAnsi="宋体" w:eastAsia="宋体"/>
                <w:b/>
                <w:bCs/>
                <w:sz w:val="24"/>
                <w:highlight w:val="none"/>
              </w:rPr>
            </w:pPr>
            <w:r>
              <w:rPr>
                <w:rFonts w:hint="eastAsia" w:ascii="宋体" w:hAnsi="宋体" w:eastAsia="宋体"/>
                <w:b/>
                <w:bCs/>
                <w:sz w:val="24"/>
                <w:highlight w:val="none"/>
              </w:rPr>
              <w:t>符合性审查表</w:t>
            </w:r>
          </w:p>
        </w:tc>
      </w:tr>
      <w:tr w14:paraId="45A66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48" w:type="pct"/>
            <w:tcBorders>
              <w:bottom w:val="single" w:color="auto" w:sz="4" w:space="0"/>
            </w:tcBorders>
            <w:vAlign w:val="center"/>
          </w:tcPr>
          <w:p w14:paraId="3A14AD75">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序号</w:t>
            </w:r>
          </w:p>
        </w:tc>
        <w:tc>
          <w:tcPr>
            <w:tcW w:w="1018" w:type="pct"/>
            <w:tcBorders>
              <w:bottom w:val="single" w:color="auto" w:sz="4" w:space="0"/>
            </w:tcBorders>
            <w:vAlign w:val="center"/>
          </w:tcPr>
          <w:p w14:paraId="59153947">
            <w:pPr>
              <w:pStyle w:val="35"/>
              <w:pBdr>
                <w:bottom w:val="none" w:color="auto" w:sz="0" w:space="0"/>
              </w:pBdr>
              <w:tabs>
                <w:tab w:val="clear" w:pos="4153"/>
                <w:tab w:val="clear" w:pos="8306"/>
              </w:tabs>
              <w:snapToGrid w:val="0"/>
              <w:spacing w:line="360" w:lineRule="auto"/>
              <w:ind w:right="-10"/>
              <w:textAlignment w:val="auto"/>
              <w:rPr>
                <w:rFonts w:ascii="宋体" w:hAnsi="宋体" w:eastAsia="宋体"/>
                <w:kern w:val="2"/>
                <w:highlight w:val="none"/>
              </w:rPr>
            </w:pPr>
            <w:r>
              <w:rPr>
                <w:rFonts w:hint="eastAsia" w:ascii="宋体" w:hAnsi="宋体" w:eastAsia="宋体"/>
                <w:kern w:val="2"/>
                <w:highlight w:val="none"/>
              </w:rPr>
              <w:t>审查指标</w:t>
            </w:r>
          </w:p>
        </w:tc>
        <w:tc>
          <w:tcPr>
            <w:tcW w:w="2058" w:type="pct"/>
            <w:tcBorders>
              <w:bottom w:val="single" w:color="auto" w:sz="4" w:space="0"/>
            </w:tcBorders>
            <w:vAlign w:val="center"/>
          </w:tcPr>
          <w:p w14:paraId="483AC18C">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审查标准</w:t>
            </w:r>
          </w:p>
        </w:tc>
        <w:tc>
          <w:tcPr>
            <w:tcW w:w="1473" w:type="pct"/>
            <w:tcBorders>
              <w:bottom w:val="single" w:color="auto" w:sz="4" w:space="0"/>
            </w:tcBorders>
            <w:vAlign w:val="center"/>
          </w:tcPr>
          <w:p w14:paraId="5D1D1AF7">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格式要求</w:t>
            </w:r>
          </w:p>
        </w:tc>
      </w:tr>
      <w:tr w14:paraId="04791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vAlign w:val="center"/>
          </w:tcPr>
          <w:p w14:paraId="1D748DBF">
            <w:pPr>
              <w:adjustRightInd w:val="0"/>
              <w:snapToGrid w:val="0"/>
              <w:spacing w:line="360" w:lineRule="auto"/>
              <w:ind w:right="-10"/>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p>
        </w:tc>
        <w:tc>
          <w:tcPr>
            <w:tcW w:w="1018" w:type="pct"/>
            <w:vAlign w:val="center"/>
          </w:tcPr>
          <w:p w14:paraId="30C591E8">
            <w:pPr>
              <w:spacing w:after="50" w:line="360" w:lineRule="auto"/>
              <w:ind w:right="-10"/>
              <w:jc w:val="center"/>
              <w:rPr>
                <w:rFonts w:asciiTheme="minorEastAsia" w:hAnsiTheme="minorEastAsia" w:eastAsiaTheme="minorEastAsia"/>
                <w:sz w:val="24"/>
                <w:szCs w:val="28"/>
                <w:highlight w:val="none"/>
              </w:rPr>
            </w:pPr>
            <w:r>
              <w:rPr>
                <w:rFonts w:hint="eastAsia" w:asciiTheme="minorEastAsia" w:hAnsiTheme="minorEastAsia" w:eastAsiaTheme="minorEastAsia"/>
                <w:sz w:val="24"/>
                <w:highlight w:val="none"/>
              </w:rPr>
              <w:t>开标一览表</w:t>
            </w:r>
          </w:p>
        </w:tc>
        <w:tc>
          <w:tcPr>
            <w:tcW w:w="2058" w:type="pct"/>
            <w:vAlign w:val="center"/>
          </w:tcPr>
          <w:p w14:paraId="3958A5DF">
            <w:pPr>
              <w:spacing w:after="50" w:line="360" w:lineRule="auto"/>
              <w:ind w:right="-10"/>
              <w:jc w:val="center"/>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格式、填写要求符合招标文件规定并加盖投标人电子签章</w:t>
            </w:r>
          </w:p>
        </w:tc>
        <w:tc>
          <w:tcPr>
            <w:tcW w:w="1473" w:type="pct"/>
            <w:vAlign w:val="center"/>
          </w:tcPr>
          <w:p w14:paraId="2603F502">
            <w:pPr>
              <w:adjustRightInd w:val="0"/>
              <w:snapToGrid w:val="0"/>
              <w:spacing w:line="360" w:lineRule="auto"/>
              <w:ind w:right="-10"/>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详见第六章投标文件格式。</w:t>
            </w:r>
          </w:p>
        </w:tc>
      </w:tr>
      <w:tr w14:paraId="0C389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vAlign w:val="center"/>
          </w:tcPr>
          <w:p w14:paraId="3D56C742">
            <w:pPr>
              <w:adjustRightInd w:val="0"/>
              <w:snapToGrid w:val="0"/>
              <w:spacing w:line="360" w:lineRule="auto"/>
              <w:ind w:right="-10"/>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p>
        </w:tc>
        <w:tc>
          <w:tcPr>
            <w:tcW w:w="1018" w:type="pct"/>
            <w:vAlign w:val="center"/>
          </w:tcPr>
          <w:p w14:paraId="75BEE6EF">
            <w:pPr>
              <w:spacing w:after="50" w:line="360" w:lineRule="auto"/>
              <w:ind w:right="-10"/>
              <w:jc w:val="center"/>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投标函</w:t>
            </w:r>
          </w:p>
        </w:tc>
        <w:tc>
          <w:tcPr>
            <w:tcW w:w="2058" w:type="pct"/>
            <w:vAlign w:val="center"/>
          </w:tcPr>
          <w:p w14:paraId="2113F952">
            <w:pPr>
              <w:spacing w:after="50" w:line="360" w:lineRule="auto"/>
              <w:ind w:right="-10"/>
              <w:jc w:val="center"/>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格式、填写要求符合招标文件规定并加盖投标人电子签章</w:t>
            </w:r>
          </w:p>
        </w:tc>
        <w:tc>
          <w:tcPr>
            <w:tcW w:w="1473" w:type="pct"/>
            <w:vAlign w:val="center"/>
          </w:tcPr>
          <w:p w14:paraId="408989E6">
            <w:pPr>
              <w:adjustRightInd w:val="0"/>
              <w:snapToGrid w:val="0"/>
              <w:spacing w:line="360" w:lineRule="auto"/>
              <w:ind w:right="-10"/>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详见第六章投标文件格式。</w:t>
            </w:r>
          </w:p>
        </w:tc>
      </w:tr>
      <w:tr w14:paraId="4FD0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vAlign w:val="center"/>
          </w:tcPr>
          <w:p w14:paraId="7E21A63D">
            <w:pPr>
              <w:adjustRightInd w:val="0"/>
              <w:snapToGrid w:val="0"/>
              <w:spacing w:line="360" w:lineRule="auto"/>
              <w:ind w:right="-10"/>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3</w:t>
            </w:r>
          </w:p>
        </w:tc>
        <w:tc>
          <w:tcPr>
            <w:tcW w:w="1018" w:type="pct"/>
            <w:vAlign w:val="center"/>
          </w:tcPr>
          <w:p w14:paraId="1FCC5C24">
            <w:pPr>
              <w:spacing w:after="50" w:line="360" w:lineRule="auto"/>
              <w:ind w:right="-10"/>
              <w:jc w:val="center"/>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授权书</w:t>
            </w:r>
          </w:p>
        </w:tc>
        <w:tc>
          <w:tcPr>
            <w:tcW w:w="2058" w:type="pct"/>
            <w:vAlign w:val="center"/>
          </w:tcPr>
          <w:p w14:paraId="4F92FA5A">
            <w:pPr>
              <w:spacing w:after="50" w:line="360" w:lineRule="auto"/>
              <w:ind w:right="-10"/>
              <w:jc w:val="center"/>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格式、填写要求符合招标文件规定并加盖投标人电子签章</w:t>
            </w:r>
          </w:p>
        </w:tc>
        <w:tc>
          <w:tcPr>
            <w:tcW w:w="1473" w:type="pct"/>
            <w:vAlign w:val="center"/>
          </w:tcPr>
          <w:p w14:paraId="56FD3C16">
            <w:pPr>
              <w:adjustRightInd w:val="0"/>
              <w:snapToGrid w:val="0"/>
              <w:spacing w:line="360" w:lineRule="auto"/>
              <w:ind w:right="-10"/>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法定代表人参加投标的无需此件，提供身份证明即可。详见第六章投标文件格式。</w:t>
            </w:r>
          </w:p>
        </w:tc>
      </w:tr>
      <w:tr w14:paraId="643E2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vAlign w:val="center"/>
          </w:tcPr>
          <w:p w14:paraId="21570AD3">
            <w:pPr>
              <w:adjustRightInd w:val="0"/>
              <w:snapToGrid w:val="0"/>
              <w:spacing w:line="360" w:lineRule="auto"/>
              <w:ind w:right="-10"/>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p>
        </w:tc>
        <w:tc>
          <w:tcPr>
            <w:tcW w:w="1018" w:type="pct"/>
            <w:vAlign w:val="center"/>
          </w:tcPr>
          <w:p w14:paraId="466915D6">
            <w:pPr>
              <w:spacing w:after="50" w:line="360" w:lineRule="auto"/>
              <w:ind w:right="-10"/>
              <w:jc w:val="center"/>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投标报价</w:t>
            </w:r>
          </w:p>
        </w:tc>
        <w:tc>
          <w:tcPr>
            <w:tcW w:w="2058" w:type="pct"/>
            <w:vAlign w:val="center"/>
          </w:tcPr>
          <w:p w14:paraId="7006833E">
            <w:pPr>
              <w:spacing w:after="50" w:line="360" w:lineRule="auto"/>
              <w:ind w:right="-10"/>
              <w:jc w:val="center"/>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符合</w:t>
            </w:r>
            <w:r>
              <w:rPr>
                <w:rFonts w:hint="eastAsia" w:asciiTheme="minorEastAsia" w:hAnsiTheme="minorEastAsia" w:eastAsiaTheme="minorEastAsia"/>
                <w:sz w:val="24"/>
                <w:highlight w:val="none"/>
              </w:rPr>
              <w:t>招标文件投标人须知正文第9条要求</w:t>
            </w:r>
          </w:p>
        </w:tc>
        <w:tc>
          <w:tcPr>
            <w:tcW w:w="1473" w:type="pct"/>
            <w:vAlign w:val="center"/>
          </w:tcPr>
          <w:p w14:paraId="67C83C90">
            <w:pPr>
              <w:adjustRightInd w:val="0"/>
              <w:snapToGrid w:val="0"/>
              <w:spacing w:line="360" w:lineRule="auto"/>
              <w:ind w:right="-10"/>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详见第六章投标文件格式。</w:t>
            </w:r>
          </w:p>
        </w:tc>
      </w:tr>
      <w:tr w14:paraId="0E88C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vAlign w:val="center"/>
          </w:tcPr>
          <w:p w14:paraId="3766DC85">
            <w:pPr>
              <w:adjustRightInd w:val="0"/>
              <w:snapToGrid w:val="0"/>
              <w:spacing w:line="360" w:lineRule="auto"/>
              <w:ind w:right="-10"/>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w:t>
            </w:r>
          </w:p>
        </w:tc>
        <w:tc>
          <w:tcPr>
            <w:tcW w:w="1018" w:type="pct"/>
            <w:vAlign w:val="center"/>
          </w:tcPr>
          <w:p w14:paraId="36DE3CC1">
            <w:pPr>
              <w:spacing w:after="50" w:line="360" w:lineRule="auto"/>
              <w:ind w:right="-10"/>
              <w:jc w:val="center"/>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商务响应情况</w:t>
            </w:r>
          </w:p>
        </w:tc>
        <w:tc>
          <w:tcPr>
            <w:tcW w:w="2058" w:type="pct"/>
            <w:vAlign w:val="center"/>
          </w:tcPr>
          <w:p w14:paraId="383631BF">
            <w:pPr>
              <w:spacing w:after="50" w:line="360" w:lineRule="auto"/>
              <w:ind w:right="-10"/>
              <w:jc w:val="center"/>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符合招标文件采购需求中对付款方式、供货及安装期限、供货及安装地点、</w:t>
            </w:r>
            <w:r>
              <w:rPr>
                <w:rFonts w:hint="eastAsia" w:asciiTheme="minorEastAsia" w:hAnsiTheme="minorEastAsia" w:eastAsiaTheme="minorEastAsia"/>
                <w:sz w:val="24"/>
                <w:szCs w:val="28"/>
                <w:highlight w:val="none"/>
                <w:lang w:eastAsia="zh-CN"/>
              </w:rPr>
              <w:t>质量保修期</w:t>
            </w:r>
            <w:r>
              <w:rPr>
                <w:rFonts w:hint="eastAsia" w:asciiTheme="minorEastAsia" w:hAnsiTheme="minorEastAsia" w:eastAsiaTheme="minorEastAsia"/>
                <w:sz w:val="24"/>
                <w:szCs w:val="28"/>
                <w:highlight w:val="none"/>
              </w:rPr>
              <w:t>等实质性要求</w:t>
            </w:r>
          </w:p>
        </w:tc>
        <w:tc>
          <w:tcPr>
            <w:tcW w:w="1473" w:type="pct"/>
            <w:vAlign w:val="center"/>
          </w:tcPr>
          <w:p w14:paraId="7C57590D">
            <w:pPr>
              <w:adjustRightInd w:val="0"/>
              <w:snapToGrid w:val="0"/>
              <w:spacing w:line="360" w:lineRule="auto"/>
              <w:ind w:right="-10"/>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详见第六章投标文件格式。</w:t>
            </w:r>
          </w:p>
        </w:tc>
      </w:tr>
      <w:tr w14:paraId="7D252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8" w:type="pct"/>
            <w:vAlign w:val="center"/>
          </w:tcPr>
          <w:p w14:paraId="261F5C52">
            <w:pPr>
              <w:adjustRightInd w:val="0"/>
              <w:snapToGrid w:val="0"/>
              <w:spacing w:line="360" w:lineRule="auto"/>
              <w:ind w:right="-10"/>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w:t>
            </w:r>
          </w:p>
        </w:tc>
        <w:tc>
          <w:tcPr>
            <w:tcW w:w="1018" w:type="pct"/>
            <w:vAlign w:val="center"/>
          </w:tcPr>
          <w:p w14:paraId="70CDE9E5">
            <w:pPr>
              <w:spacing w:after="50" w:line="360" w:lineRule="auto"/>
              <w:ind w:right="-10"/>
              <w:jc w:val="center"/>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技术响应情况</w:t>
            </w:r>
          </w:p>
        </w:tc>
        <w:tc>
          <w:tcPr>
            <w:tcW w:w="2058" w:type="pct"/>
            <w:vAlign w:val="center"/>
          </w:tcPr>
          <w:p w14:paraId="3AF75B83">
            <w:pPr>
              <w:spacing w:after="50" w:line="360" w:lineRule="auto"/>
              <w:ind w:right="-10"/>
              <w:jc w:val="center"/>
              <w:rPr>
                <w:rFonts w:hint="eastAsia" w:asciiTheme="minorEastAsia" w:hAnsiTheme="minorEastAsia" w:eastAsiaTheme="minorEastAsia"/>
                <w:sz w:val="24"/>
                <w:szCs w:val="28"/>
                <w:highlight w:val="none"/>
                <w:lang w:val="en-US" w:eastAsia="zh-CN"/>
              </w:rPr>
            </w:pPr>
            <w:r>
              <w:rPr>
                <w:rFonts w:hint="eastAsia" w:asciiTheme="minorEastAsia" w:hAnsiTheme="minorEastAsia" w:eastAsiaTheme="minorEastAsia"/>
                <w:sz w:val="24"/>
                <w:szCs w:val="28"/>
                <w:highlight w:val="none"/>
              </w:rPr>
              <w:t>符合招标文件采购需求中货物技术参数等实质性要求</w:t>
            </w:r>
            <w:r>
              <w:rPr>
                <w:rFonts w:hint="eastAsia" w:asciiTheme="minorEastAsia" w:hAnsiTheme="minorEastAsia" w:eastAsiaTheme="minorEastAsia"/>
                <w:sz w:val="24"/>
                <w:szCs w:val="28"/>
                <w:highlight w:val="none"/>
                <w:lang w:val="en-US" w:eastAsia="zh-CN"/>
              </w:rPr>
              <w:t>,</w:t>
            </w:r>
            <w:r>
              <w:rPr>
                <w:rFonts w:hint="eastAsia" w:ascii="宋体" w:hAnsi="宋体" w:eastAsia="宋体" w:cs="宋体"/>
                <w:sz w:val="24"/>
                <w:szCs w:val="24"/>
                <w:highlight w:val="none"/>
              </w:rPr>
              <w:t>有5条及以上未响应或负偏离，则投标无效</w:t>
            </w:r>
          </w:p>
        </w:tc>
        <w:tc>
          <w:tcPr>
            <w:tcW w:w="1473" w:type="pct"/>
            <w:vAlign w:val="center"/>
          </w:tcPr>
          <w:p w14:paraId="2DE0B88A">
            <w:pPr>
              <w:adjustRightInd w:val="0"/>
              <w:snapToGrid w:val="0"/>
              <w:spacing w:line="360" w:lineRule="auto"/>
              <w:ind w:right="-10"/>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详见第六章投标文件格式。</w:t>
            </w:r>
          </w:p>
        </w:tc>
      </w:tr>
      <w:tr w14:paraId="09909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vAlign w:val="center"/>
          </w:tcPr>
          <w:p w14:paraId="0EF4AC31">
            <w:pPr>
              <w:adjustRightInd w:val="0"/>
              <w:snapToGrid w:val="0"/>
              <w:spacing w:line="360" w:lineRule="auto"/>
              <w:ind w:right="-10"/>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7</w:t>
            </w:r>
          </w:p>
        </w:tc>
        <w:tc>
          <w:tcPr>
            <w:tcW w:w="1018" w:type="pct"/>
            <w:vAlign w:val="center"/>
          </w:tcPr>
          <w:p w14:paraId="5D202639">
            <w:pPr>
              <w:spacing w:after="50" w:line="360" w:lineRule="auto"/>
              <w:ind w:right="-10"/>
              <w:jc w:val="center"/>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其他要求</w:t>
            </w:r>
          </w:p>
        </w:tc>
        <w:tc>
          <w:tcPr>
            <w:tcW w:w="2058" w:type="pct"/>
            <w:vAlign w:val="center"/>
          </w:tcPr>
          <w:p w14:paraId="6F8B8DBE">
            <w:pPr>
              <w:spacing w:after="50" w:line="360" w:lineRule="auto"/>
              <w:ind w:right="-10"/>
              <w:jc w:val="center"/>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符合法律、行政法规规定的其他条件或招标文件列明的其他实质性要求</w:t>
            </w:r>
          </w:p>
        </w:tc>
        <w:tc>
          <w:tcPr>
            <w:tcW w:w="1473" w:type="pct"/>
            <w:vAlign w:val="center"/>
          </w:tcPr>
          <w:p w14:paraId="01CE38F4">
            <w:pPr>
              <w:adjustRightInd w:val="0"/>
              <w:snapToGrid w:val="0"/>
              <w:spacing w:line="360" w:lineRule="auto"/>
              <w:ind w:right="-10"/>
              <w:jc w:val="center"/>
              <w:rPr>
                <w:rFonts w:asciiTheme="minorEastAsia" w:hAnsiTheme="minorEastAsia" w:eastAsiaTheme="minorEastAsia"/>
                <w:sz w:val="24"/>
                <w:highlight w:val="none"/>
              </w:rPr>
            </w:pPr>
          </w:p>
        </w:tc>
      </w:tr>
    </w:tbl>
    <w:p w14:paraId="4B3EFCC5">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b/>
          <w:bCs/>
          <w:sz w:val="24"/>
          <w:highlight w:val="none"/>
        </w:rPr>
        <w:t>符合性审查指标通过标准：</w:t>
      </w:r>
      <w:r>
        <w:rPr>
          <w:rFonts w:hint="eastAsia" w:asciiTheme="minorEastAsia" w:hAnsiTheme="minorEastAsia" w:eastAsiaTheme="minorEastAsia"/>
          <w:sz w:val="24"/>
          <w:highlight w:val="none"/>
        </w:rPr>
        <w:t>投标人必须通过符合性审查表中的全部评审指标。</w:t>
      </w:r>
    </w:p>
    <w:p w14:paraId="5AF2313C">
      <w:pPr>
        <w:spacing w:line="360" w:lineRule="auto"/>
        <w:ind w:firstLine="437"/>
        <w:outlineLvl w:val="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2.3详细审查</w:t>
      </w:r>
    </w:p>
    <w:p w14:paraId="3B633408">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.3.1</w:t>
      </w:r>
      <w:r>
        <w:rPr>
          <w:rFonts w:hint="eastAsia" w:asciiTheme="minorEastAsia" w:hAnsiTheme="minorEastAsia" w:eastAsiaTheme="minorEastAsia"/>
          <w:sz w:val="24"/>
          <w:highlight w:val="none"/>
        </w:rPr>
        <w:t>评标委员会按照下表对投标文件进行详细审查和评分。</w:t>
      </w:r>
    </w:p>
    <w:p w14:paraId="2246097D">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.3.2</w:t>
      </w:r>
      <w:r>
        <w:rPr>
          <w:rFonts w:hint="eastAsia" w:asciiTheme="minorEastAsia" w:hAnsiTheme="minorEastAsia" w:eastAsiaTheme="minorEastAsia"/>
          <w:sz w:val="24"/>
          <w:highlight w:val="none"/>
        </w:rPr>
        <w:t>本项目综合评分满分为1</w:t>
      </w:r>
      <w:r>
        <w:rPr>
          <w:rFonts w:asciiTheme="minorEastAsia" w:hAnsiTheme="minorEastAsia" w:eastAsiaTheme="minorEastAsia"/>
          <w:sz w:val="24"/>
          <w:highlight w:val="none"/>
        </w:rPr>
        <w:t>00</w:t>
      </w:r>
      <w:r>
        <w:rPr>
          <w:rFonts w:hint="eastAsia" w:asciiTheme="minorEastAsia" w:hAnsiTheme="minorEastAsia" w:eastAsiaTheme="minorEastAsia"/>
          <w:sz w:val="24"/>
          <w:highlight w:val="none"/>
        </w:rPr>
        <w:t>分，其中：技术资信分值占总分值的权重为</w:t>
      </w:r>
      <w:r>
        <w:rPr>
          <w:rFonts w:hint="eastAsia" w:asciiTheme="minorEastAsia" w:hAnsiTheme="minorEastAsia" w:eastAsiaTheme="minorEastAsia"/>
          <w:sz w:val="24"/>
          <w:highlight w:val="none"/>
          <w:u w:val="single"/>
        </w:rPr>
        <w:t>70</w:t>
      </w:r>
      <w:r>
        <w:rPr>
          <w:rFonts w:asciiTheme="minorEastAsia" w:hAnsiTheme="minorEastAsia" w:eastAsiaTheme="minorEastAsia"/>
          <w:sz w:val="24"/>
          <w:highlight w:val="none"/>
        </w:rPr>
        <w:t>%，价格分值占总分值的权重为</w:t>
      </w:r>
      <w:r>
        <w:rPr>
          <w:rFonts w:hint="eastAsia" w:asciiTheme="minorEastAsia" w:hAnsiTheme="minorEastAsia" w:eastAsiaTheme="minorEastAsia"/>
          <w:sz w:val="24"/>
          <w:highlight w:val="none"/>
          <w:u w:val="single"/>
        </w:rPr>
        <w:t>30</w:t>
      </w:r>
      <w:r>
        <w:rPr>
          <w:rFonts w:asciiTheme="minorEastAsia" w:hAnsiTheme="minorEastAsia" w:eastAsiaTheme="minorEastAsia"/>
          <w:sz w:val="24"/>
          <w:highlight w:val="none"/>
        </w:rPr>
        <w:t>%。具体评分细则如下：</w:t>
      </w:r>
    </w:p>
    <w:p w14:paraId="21C8128E">
      <w:pPr>
        <w:pStyle w:val="6"/>
        <w:rPr>
          <w:highlight w:val="none"/>
        </w:rPr>
      </w:pPr>
      <w:r>
        <w:rPr>
          <w:rFonts w:hint="eastAsia"/>
          <w:highlight w:val="none"/>
        </w:rPr>
        <w:t>第1包：校园重点区域监控升级建设</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1386"/>
        <w:gridCol w:w="5218"/>
        <w:gridCol w:w="914"/>
      </w:tblGrid>
      <w:tr w14:paraId="6367E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89" w:type="pct"/>
            <w:tcBorders>
              <w:top w:val="single" w:color="auto" w:sz="4" w:space="0"/>
              <w:left w:val="single" w:color="auto" w:sz="4" w:space="0"/>
              <w:bottom w:val="single" w:color="auto" w:sz="4" w:space="0"/>
              <w:right w:val="single" w:color="auto" w:sz="4" w:space="0"/>
            </w:tcBorders>
            <w:vAlign w:val="center"/>
          </w:tcPr>
          <w:p w14:paraId="511394C0">
            <w:pPr>
              <w:spacing w:line="360" w:lineRule="auto"/>
              <w:jc w:val="center"/>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类别</w:t>
            </w:r>
          </w:p>
        </w:tc>
        <w:tc>
          <w:tcPr>
            <w:tcW w:w="813" w:type="pct"/>
            <w:tcBorders>
              <w:top w:val="single" w:color="auto" w:sz="4" w:space="0"/>
              <w:left w:val="single" w:color="auto" w:sz="4" w:space="0"/>
              <w:bottom w:val="single" w:color="auto" w:sz="4" w:space="0"/>
              <w:right w:val="single" w:color="auto" w:sz="4" w:space="0"/>
            </w:tcBorders>
            <w:vAlign w:val="center"/>
          </w:tcPr>
          <w:p w14:paraId="27DCB371">
            <w:pPr>
              <w:spacing w:line="360" w:lineRule="auto"/>
              <w:jc w:val="center"/>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评分内容</w:t>
            </w:r>
          </w:p>
        </w:tc>
        <w:tc>
          <w:tcPr>
            <w:tcW w:w="3061" w:type="pct"/>
            <w:tcBorders>
              <w:top w:val="single" w:color="auto" w:sz="4" w:space="0"/>
              <w:left w:val="single" w:color="auto" w:sz="4" w:space="0"/>
              <w:bottom w:val="single" w:color="auto" w:sz="4" w:space="0"/>
              <w:right w:val="single" w:color="auto" w:sz="4" w:space="0"/>
            </w:tcBorders>
            <w:vAlign w:val="center"/>
          </w:tcPr>
          <w:p w14:paraId="2040F06B">
            <w:pPr>
              <w:spacing w:line="360" w:lineRule="auto"/>
              <w:jc w:val="center"/>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评分标准</w:t>
            </w:r>
          </w:p>
        </w:tc>
        <w:tc>
          <w:tcPr>
            <w:tcW w:w="536" w:type="pct"/>
            <w:tcBorders>
              <w:top w:val="single" w:color="auto" w:sz="4" w:space="0"/>
              <w:left w:val="single" w:color="auto" w:sz="4" w:space="0"/>
              <w:bottom w:val="single" w:color="auto" w:sz="4" w:space="0"/>
              <w:right w:val="single" w:color="auto" w:sz="4" w:space="0"/>
            </w:tcBorders>
            <w:vAlign w:val="center"/>
          </w:tcPr>
          <w:p w14:paraId="2434E65B">
            <w:pPr>
              <w:spacing w:line="360" w:lineRule="auto"/>
              <w:jc w:val="center"/>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分值范围</w:t>
            </w:r>
          </w:p>
        </w:tc>
      </w:tr>
      <w:tr w14:paraId="12011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 w:type="pct"/>
            <w:vMerge w:val="restart"/>
            <w:tcBorders>
              <w:top w:val="single" w:color="auto" w:sz="4" w:space="0"/>
              <w:left w:val="single" w:color="auto" w:sz="4" w:space="0"/>
              <w:right w:val="single" w:color="auto" w:sz="4" w:space="0"/>
            </w:tcBorders>
            <w:vAlign w:val="center"/>
          </w:tcPr>
          <w:p w14:paraId="48DB3A3E">
            <w:pPr>
              <w:spacing w:line="360" w:lineRule="auto"/>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技术资信分</w:t>
            </w:r>
          </w:p>
          <w:p w14:paraId="26F07ED3">
            <w:pPr>
              <w:spacing w:line="360" w:lineRule="auto"/>
              <w:jc w:val="center"/>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u w:val="single"/>
              </w:rPr>
              <w:t>70</w:t>
            </w:r>
            <w:r>
              <w:rPr>
                <w:rFonts w:hint="eastAsia" w:asciiTheme="minorEastAsia" w:hAnsiTheme="minorEastAsia" w:eastAsiaTheme="minorEastAsia" w:cstheme="minorEastAsia"/>
                <w:sz w:val="24"/>
                <w:szCs w:val="24"/>
                <w:highlight w:val="none"/>
              </w:rPr>
              <w:t>分）</w:t>
            </w:r>
          </w:p>
        </w:tc>
        <w:tc>
          <w:tcPr>
            <w:tcW w:w="813" w:type="pct"/>
            <w:tcBorders>
              <w:top w:val="single" w:color="auto" w:sz="4" w:space="0"/>
              <w:left w:val="single" w:color="auto" w:sz="4" w:space="0"/>
              <w:bottom w:val="single" w:color="auto" w:sz="4" w:space="0"/>
              <w:right w:val="single" w:color="auto" w:sz="4" w:space="0"/>
            </w:tcBorders>
            <w:shd w:val="clear" w:color="auto" w:fill="auto"/>
            <w:vAlign w:val="center"/>
          </w:tcPr>
          <w:p w14:paraId="6228F781">
            <w:pPr>
              <w:spacing w:line="360" w:lineRule="auto"/>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Cs/>
                <w:sz w:val="24"/>
                <w:szCs w:val="24"/>
                <w:highlight w:val="none"/>
                <w:lang w:val="zh-CN"/>
              </w:rPr>
              <w:t>技术指标响应</w:t>
            </w:r>
          </w:p>
        </w:tc>
        <w:tc>
          <w:tcPr>
            <w:tcW w:w="3061" w:type="pct"/>
            <w:tcBorders>
              <w:top w:val="single" w:color="auto" w:sz="4" w:space="0"/>
              <w:left w:val="single" w:color="auto" w:sz="4" w:space="0"/>
              <w:bottom w:val="single" w:color="auto" w:sz="4" w:space="0"/>
              <w:right w:val="single" w:color="auto" w:sz="4" w:space="0"/>
            </w:tcBorders>
            <w:shd w:val="clear" w:color="auto" w:fill="auto"/>
            <w:vAlign w:val="center"/>
          </w:tcPr>
          <w:p w14:paraId="72C575EB">
            <w:pPr>
              <w:spacing w:line="360" w:lineRule="auto"/>
              <w:rPr>
                <w:rFonts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标记为“★”的指标是关键技术条款，满足并提供证明材料的，每项得1.5分，共计2</w:t>
            </w:r>
            <w:r>
              <w:rPr>
                <w:rFonts w:hint="eastAsia" w:asciiTheme="minorEastAsia" w:hAnsiTheme="minorEastAsia" w:eastAsiaTheme="minorEastAsia" w:cstheme="minorEastAsia"/>
                <w:color w:val="000000"/>
                <w:sz w:val="24"/>
                <w:szCs w:val="24"/>
                <w:highlight w:val="none"/>
                <w:lang w:val="en-US" w:eastAsia="zh-CN"/>
              </w:rPr>
              <w:t>0</w:t>
            </w:r>
            <w:r>
              <w:rPr>
                <w:rFonts w:hint="eastAsia" w:asciiTheme="minorEastAsia" w:hAnsiTheme="minorEastAsia" w:eastAsiaTheme="minorEastAsia" w:cstheme="minorEastAsia"/>
                <w:color w:val="000000"/>
                <w:sz w:val="24"/>
                <w:szCs w:val="24"/>
                <w:highlight w:val="none"/>
              </w:rPr>
              <w:t>条，全部满足得3</w:t>
            </w:r>
            <w:r>
              <w:rPr>
                <w:rFonts w:hint="eastAsia" w:asciiTheme="minorEastAsia" w:hAnsiTheme="minorEastAsia" w:eastAsiaTheme="minorEastAsia" w:cstheme="minorEastAsia"/>
                <w:color w:val="000000"/>
                <w:sz w:val="24"/>
                <w:szCs w:val="24"/>
                <w:highlight w:val="none"/>
                <w:lang w:val="en-US" w:eastAsia="zh-CN"/>
              </w:rPr>
              <w:t>0</w:t>
            </w:r>
            <w:r>
              <w:rPr>
                <w:rFonts w:hint="eastAsia" w:asciiTheme="minorEastAsia" w:hAnsiTheme="minorEastAsia" w:eastAsiaTheme="minorEastAsia" w:cstheme="minorEastAsia"/>
                <w:color w:val="000000"/>
                <w:sz w:val="24"/>
                <w:szCs w:val="24"/>
                <w:highlight w:val="none"/>
              </w:rPr>
              <w:t>分。</w:t>
            </w:r>
          </w:p>
        </w:tc>
        <w:tc>
          <w:tcPr>
            <w:tcW w:w="536" w:type="pct"/>
            <w:tcBorders>
              <w:top w:val="single" w:color="auto" w:sz="4" w:space="0"/>
              <w:left w:val="single" w:color="auto" w:sz="4" w:space="0"/>
              <w:bottom w:val="single" w:color="auto" w:sz="4" w:space="0"/>
              <w:right w:val="single" w:color="auto" w:sz="4" w:space="0"/>
            </w:tcBorders>
            <w:vAlign w:val="center"/>
          </w:tcPr>
          <w:p w14:paraId="561A6E20">
            <w:pPr>
              <w:spacing w:line="360" w:lineRule="auto"/>
              <w:jc w:val="center"/>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Cs/>
                <w:sz w:val="24"/>
                <w:szCs w:val="24"/>
                <w:highlight w:val="none"/>
              </w:rPr>
              <w:t>3</w:t>
            </w:r>
            <w:r>
              <w:rPr>
                <w:rFonts w:hint="eastAsia" w:asciiTheme="minorEastAsia" w:hAnsiTheme="minorEastAsia" w:eastAsiaTheme="minorEastAsia" w:cstheme="minorEastAsia"/>
                <w:bCs/>
                <w:sz w:val="24"/>
                <w:szCs w:val="24"/>
                <w:highlight w:val="none"/>
                <w:lang w:val="en-US" w:eastAsia="zh-CN"/>
              </w:rPr>
              <w:t>0</w:t>
            </w:r>
            <w:r>
              <w:rPr>
                <w:rFonts w:hint="eastAsia" w:asciiTheme="minorEastAsia" w:hAnsiTheme="minorEastAsia" w:eastAsiaTheme="minorEastAsia" w:cstheme="minorEastAsia"/>
                <w:bCs/>
                <w:sz w:val="24"/>
                <w:szCs w:val="24"/>
                <w:highlight w:val="none"/>
              </w:rPr>
              <w:t>分</w:t>
            </w:r>
          </w:p>
        </w:tc>
      </w:tr>
      <w:tr w14:paraId="6F5F8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 w:type="pct"/>
            <w:vMerge w:val="continue"/>
            <w:tcBorders>
              <w:left w:val="single" w:color="auto" w:sz="4" w:space="0"/>
              <w:right w:val="single" w:color="auto" w:sz="4" w:space="0"/>
            </w:tcBorders>
            <w:vAlign w:val="center"/>
          </w:tcPr>
          <w:p w14:paraId="57FE0396">
            <w:pPr>
              <w:spacing w:line="360" w:lineRule="auto"/>
              <w:ind w:firstLine="435"/>
              <w:jc w:val="center"/>
              <w:rPr>
                <w:rFonts w:asciiTheme="minorEastAsia" w:hAnsiTheme="minorEastAsia" w:eastAsiaTheme="minorEastAsia" w:cstheme="minorEastAsia"/>
                <w:b/>
                <w:bCs/>
                <w:sz w:val="24"/>
                <w:szCs w:val="24"/>
                <w:highlight w:val="none"/>
              </w:rPr>
            </w:pPr>
          </w:p>
        </w:tc>
        <w:tc>
          <w:tcPr>
            <w:tcW w:w="813" w:type="pct"/>
            <w:tcBorders>
              <w:top w:val="single" w:color="auto" w:sz="4" w:space="0"/>
              <w:left w:val="single" w:color="auto" w:sz="4" w:space="0"/>
              <w:bottom w:val="single" w:color="auto" w:sz="4" w:space="0"/>
              <w:right w:val="single" w:color="auto" w:sz="4" w:space="0"/>
            </w:tcBorders>
            <w:shd w:val="clear" w:color="auto" w:fill="auto"/>
            <w:vAlign w:val="center"/>
          </w:tcPr>
          <w:p w14:paraId="306E71DD">
            <w:pPr>
              <w:autoSpaceDE w:val="0"/>
              <w:autoSpaceDN w:val="0"/>
              <w:adjustRightInd w:val="0"/>
              <w:snapToGrid w:val="0"/>
              <w:spacing w:line="360" w:lineRule="auto"/>
              <w:ind w:left="6" w:right="-109" w:rightChars="-52" w:hanging="6"/>
              <w:jc w:val="center"/>
              <w:rPr>
                <w:rFonts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color w:val="000000"/>
                <w:sz w:val="24"/>
                <w:szCs w:val="24"/>
                <w:highlight w:val="none"/>
              </w:rPr>
              <w:t>业绩</w:t>
            </w:r>
          </w:p>
        </w:tc>
        <w:tc>
          <w:tcPr>
            <w:tcW w:w="3061" w:type="pct"/>
            <w:tcBorders>
              <w:top w:val="single" w:color="auto" w:sz="4" w:space="0"/>
              <w:left w:val="single" w:color="auto" w:sz="4" w:space="0"/>
              <w:bottom w:val="single" w:color="auto" w:sz="4" w:space="0"/>
              <w:right w:val="single" w:color="auto" w:sz="4" w:space="0"/>
            </w:tcBorders>
            <w:shd w:val="clear" w:color="auto" w:fill="auto"/>
            <w:vAlign w:val="center"/>
          </w:tcPr>
          <w:p w14:paraId="1C8684D9">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提供近</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年（202</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年1月之后）以来（以合同签订时间为准）的类似业绩，每提供1个类似业绩得</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分，满分</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分。</w:t>
            </w:r>
          </w:p>
          <w:p w14:paraId="44F3162D">
            <w:pPr>
              <w:spacing w:line="360" w:lineRule="auto"/>
              <w:rPr>
                <w:highlight w:val="none"/>
              </w:rPr>
            </w:pPr>
            <w:r>
              <w:rPr>
                <w:rFonts w:hint="eastAsia" w:asciiTheme="minorEastAsia" w:hAnsiTheme="minorEastAsia" w:eastAsiaTheme="minorEastAsia" w:cstheme="minorEastAsia"/>
                <w:sz w:val="24"/>
                <w:szCs w:val="24"/>
                <w:highlight w:val="none"/>
              </w:rPr>
              <w:t>注：投标文件中提供合同扫描件，若合同扫描件无法体现签订时间、评审因素等内容，另须提供业主单位出具的证明材料</w:t>
            </w:r>
          </w:p>
        </w:tc>
        <w:tc>
          <w:tcPr>
            <w:tcW w:w="536" w:type="pct"/>
            <w:tcBorders>
              <w:top w:val="single" w:color="auto" w:sz="4" w:space="0"/>
              <w:left w:val="single" w:color="auto" w:sz="4" w:space="0"/>
              <w:bottom w:val="single" w:color="auto" w:sz="4" w:space="0"/>
              <w:right w:val="single" w:color="auto" w:sz="4" w:space="0"/>
            </w:tcBorders>
            <w:vAlign w:val="center"/>
          </w:tcPr>
          <w:p w14:paraId="61CA80C7">
            <w:pPr>
              <w:spacing w:line="360" w:lineRule="auto"/>
              <w:jc w:val="center"/>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4</w:t>
            </w:r>
            <w:r>
              <w:rPr>
                <w:rFonts w:hint="eastAsia" w:asciiTheme="minorEastAsia" w:hAnsiTheme="minorEastAsia" w:eastAsiaTheme="minorEastAsia" w:cstheme="minorEastAsia"/>
                <w:color w:val="000000"/>
                <w:sz w:val="24"/>
                <w:szCs w:val="24"/>
                <w:highlight w:val="none"/>
              </w:rPr>
              <w:t>分</w:t>
            </w:r>
          </w:p>
        </w:tc>
      </w:tr>
      <w:tr w14:paraId="3C755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 w:type="pct"/>
            <w:vMerge w:val="continue"/>
            <w:tcBorders>
              <w:left w:val="single" w:color="auto" w:sz="4" w:space="0"/>
              <w:right w:val="single" w:color="auto" w:sz="4" w:space="0"/>
            </w:tcBorders>
            <w:vAlign w:val="center"/>
          </w:tcPr>
          <w:p w14:paraId="377DBAE8">
            <w:pPr>
              <w:spacing w:line="360" w:lineRule="auto"/>
              <w:ind w:firstLine="435"/>
              <w:jc w:val="center"/>
              <w:rPr>
                <w:rFonts w:asciiTheme="minorEastAsia" w:hAnsiTheme="minorEastAsia" w:eastAsiaTheme="minorEastAsia" w:cstheme="minorEastAsia"/>
                <w:b/>
                <w:bCs/>
                <w:sz w:val="24"/>
                <w:szCs w:val="24"/>
                <w:highlight w:val="none"/>
              </w:rPr>
            </w:pPr>
          </w:p>
        </w:tc>
        <w:tc>
          <w:tcPr>
            <w:tcW w:w="813" w:type="pct"/>
            <w:tcBorders>
              <w:top w:val="single" w:color="auto" w:sz="4" w:space="0"/>
              <w:left w:val="single" w:color="auto" w:sz="4" w:space="0"/>
              <w:bottom w:val="single" w:color="auto" w:sz="4" w:space="0"/>
              <w:right w:val="single" w:color="auto" w:sz="4" w:space="0"/>
            </w:tcBorders>
            <w:shd w:val="clear" w:color="auto" w:fill="auto"/>
            <w:vAlign w:val="center"/>
          </w:tcPr>
          <w:p w14:paraId="446D7A98">
            <w:pPr>
              <w:autoSpaceDE w:val="0"/>
              <w:autoSpaceDN w:val="0"/>
              <w:adjustRightInd w:val="0"/>
              <w:snapToGrid w:val="0"/>
              <w:spacing w:line="360" w:lineRule="auto"/>
              <w:ind w:left="6" w:right="-109" w:rightChars="-52" w:hanging="6"/>
              <w:jc w:val="center"/>
              <w:rPr>
                <w:rFonts w:hint="default" w:asciiTheme="minorEastAsia" w:hAnsiTheme="minorEastAsia" w:eastAsiaTheme="minorEastAsia" w:cstheme="minorEastAsia"/>
                <w:bCs/>
                <w:sz w:val="24"/>
                <w:szCs w:val="24"/>
                <w:highlight w:val="none"/>
                <w:lang w:val="en-US" w:eastAsia="zh-CN"/>
              </w:rPr>
            </w:pPr>
            <w:r>
              <w:rPr>
                <w:rFonts w:hint="eastAsia" w:asciiTheme="minorEastAsia" w:hAnsiTheme="minorEastAsia" w:eastAsiaTheme="minorEastAsia" w:cstheme="minorEastAsia"/>
                <w:bCs/>
                <w:sz w:val="24"/>
                <w:szCs w:val="24"/>
                <w:highlight w:val="none"/>
                <w:lang w:val="en-US" w:eastAsia="zh-CN"/>
              </w:rPr>
              <w:t>项目经理</w:t>
            </w:r>
          </w:p>
        </w:tc>
        <w:tc>
          <w:tcPr>
            <w:tcW w:w="3061" w:type="pct"/>
            <w:tcBorders>
              <w:top w:val="single" w:color="auto" w:sz="4" w:space="0"/>
              <w:left w:val="single" w:color="auto" w:sz="4" w:space="0"/>
              <w:bottom w:val="single" w:color="auto" w:sz="4" w:space="0"/>
              <w:right w:val="single" w:color="auto" w:sz="4" w:space="0"/>
            </w:tcBorders>
            <w:shd w:val="clear" w:color="auto" w:fill="auto"/>
            <w:vAlign w:val="center"/>
          </w:tcPr>
          <w:p w14:paraId="210ADA22">
            <w:pPr>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投标人为本项目拟配备的</w:t>
            </w:r>
            <w:r>
              <w:rPr>
                <w:rFonts w:hint="eastAsia" w:asciiTheme="minorEastAsia" w:hAnsiTheme="minorEastAsia" w:eastAsiaTheme="minorEastAsia" w:cstheme="minorEastAsia"/>
                <w:color w:val="000000"/>
                <w:sz w:val="24"/>
                <w:szCs w:val="24"/>
                <w:highlight w:val="none"/>
                <w:lang w:val="en-US" w:eastAsia="zh-CN"/>
              </w:rPr>
              <w:t>项目经理</w:t>
            </w:r>
            <w:r>
              <w:rPr>
                <w:rFonts w:hint="eastAsia" w:asciiTheme="minorEastAsia" w:hAnsiTheme="minorEastAsia" w:eastAsiaTheme="minorEastAsia" w:cstheme="minorEastAsia"/>
                <w:color w:val="000000"/>
                <w:sz w:val="24"/>
                <w:szCs w:val="24"/>
                <w:highlight w:val="none"/>
              </w:rPr>
              <w:t>(1人)</w:t>
            </w:r>
          </w:p>
          <w:p w14:paraId="5736E8C4">
            <w:pPr>
              <w:numPr>
                <w:ilvl w:val="0"/>
                <w:numId w:val="2"/>
              </w:numPr>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具有计算机技术与软件专业技术资格信息系统项目管理师证书，得2分;</w:t>
            </w:r>
          </w:p>
          <w:p w14:paraId="24E6F522">
            <w:pPr>
              <w:numPr>
                <w:ilvl w:val="0"/>
                <w:numId w:val="2"/>
              </w:numPr>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具有</w:t>
            </w:r>
            <w:r>
              <w:rPr>
                <w:rFonts w:hint="eastAsia" w:asciiTheme="minorEastAsia" w:hAnsiTheme="minorEastAsia" w:eastAsiaTheme="minorEastAsia" w:cstheme="minorEastAsia"/>
                <w:color w:val="000000"/>
                <w:sz w:val="24"/>
                <w:szCs w:val="24"/>
                <w:highlight w:val="none"/>
              </w:rPr>
              <w:t>机电专业注册</w:t>
            </w:r>
            <w:r>
              <w:rPr>
                <w:rFonts w:hint="eastAsia" w:asciiTheme="minorEastAsia" w:hAnsiTheme="minorEastAsia" w:eastAsiaTheme="minorEastAsia" w:cstheme="minorEastAsia"/>
                <w:color w:val="000000"/>
                <w:sz w:val="24"/>
                <w:szCs w:val="24"/>
                <w:highlight w:val="none"/>
                <w:lang w:val="en-US" w:eastAsia="zh-CN"/>
              </w:rPr>
              <w:t>二</w:t>
            </w:r>
            <w:r>
              <w:rPr>
                <w:rFonts w:hint="eastAsia" w:asciiTheme="minorEastAsia" w:hAnsiTheme="minorEastAsia" w:eastAsiaTheme="minorEastAsia" w:cstheme="minorEastAsia"/>
                <w:color w:val="000000"/>
                <w:sz w:val="24"/>
                <w:szCs w:val="24"/>
                <w:highlight w:val="none"/>
              </w:rPr>
              <w:t>级</w:t>
            </w:r>
            <w:r>
              <w:rPr>
                <w:rFonts w:hint="eastAsia" w:asciiTheme="minorEastAsia" w:hAnsiTheme="minorEastAsia" w:eastAsiaTheme="minorEastAsia" w:cstheme="minorEastAsia"/>
                <w:color w:val="000000"/>
                <w:sz w:val="24"/>
                <w:szCs w:val="24"/>
                <w:highlight w:val="none"/>
                <w:lang w:val="en-US" w:eastAsia="zh-CN"/>
              </w:rPr>
              <w:t>及以上</w:t>
            </w:r>
            <w:r>
              <w:rPr>
                <w:rFonts w:hint="eastAsia" w:asciiTheme="minorEastAsia" w:hAnsiTheme="minorEastAsia" w:eastAsiaTheme="minorEastAsia" w:cstheme="minorEastAsia"/>
                <w:color w:val="000000"/>
                <w:sz w:val="24"/>
                <w:szCs w:val="24"/>
                <w:highlight w:val="none"/>
              </w:rPr>
              <w:t>建造师证书，得2分。</w:t>
            </w:r>
          </w:p>
          <w:p w14:paraId="4A1580A1">
            <w:pPr>
              <w:numPr>
                <w:ilvl w:val="-1"/>
                <w:numId w:val="0"/>
              </w:numPr>
              <w:spacing w:line="360" w:lineRule="auto"/>
              <w:rPr>
                <w:rFonts w:hint="eastAsia" w:asciiTheme="minorEastAsia" w:hAnsiTheme="minorEastAsia" w:eastAsiaTheme="minorEastAsia" w:cstheme="minorEastAsia"/>
                <w:color w:val="000000"/>
                <w:sz w:val="24"/>
                <w:szCs w:val="24"/>
                <w:highlight w:val="none"/>
              </w:rPr>
            </w:pPr>
            <w:r>
              <w:rPr>
                <w:rFonts w:hint="eastAsia" w:ascii="宋体" w:hAnsi="宋体" w:eastAsia="宋体" w:cs="宋体"/>
                <w:sz w:val="24"/>
                <w:szCs w:val="24"/>
                <w:highlight w:val="none"/>
                <w:lang w:val="en-US" w:eastAsia="zh-CN"/>
              </w:rPr>
              <w:t>注：</w:t>
            </w:r>
            <w:r>
              <w:rPr>
                <w:rFonts w:ascii="宋体" w:hAnsi="宋体" w:eastAsia="宋体" w:cs="宋体"/>
                <w:sz w:val="24"/>
                <w:szCs w:val="24"/>
                <w:highlight w:val="none"/>
              </w:rPr>
              <w:t>投标文件中</w:t>
            </w:r>
            <w:r>
              <w:rPr>
                <w:rFonts w:hint="eastAsia" w:ascii="宋体" w:hAnsi="宋体" w:eastAsia="宋体" w:cs="宋体"/>
                <w:sz w:val="24"/>
                <w:szCs w:val="24"/>
                <w:highlight w:val="none"/>
                <w:lang w:val="en-US" w:eastAsia="zh-CN"/>
              </w:rPr>
              <w:t>提供证书扫描件及</w:t>
            </w:r>
            <w:r>
              <w:rPr>
                <w:rFonts w:ascii="宋体" w:hAnsi="宋体" w:eastAsia="宋体" w:cs="宋体"/>
                <w:sz w:val="24"/>
                <w:szCs w:val="24"/>
                <w:highlight w:val="none"/>
              </w:rPr>
              <w:t>投标人为上述人员缴纳的近三个月内（任意一个月）的社保证明材料，社保证明材料形式详见第二章投标人须知前附表（提供任意五险之一的社保缴纳证明即可）。</w:t>
            </w:r>
          </w:p>
        </w:tc>
        <w:tc>
          <w:tcPr>
            <w:tcW w:w="536" w:type="pct"/>
            <w:tcBorders>
              <w:top w:val="single" w:color="auto" w:sz="4" w:space="0"/>
              <w:left w:val="single" w:color="auto" w:sz="4" w:space="0"/>
              <w:bottom w:val="single" w:color="auto" w:sz="4" w:space="0"/>
              <w:right w:val="single" w:color="auto" w:sz="4" w:space="0"/>
            </w:tcBorders>
            <w:vAlign w:val="center"/>
          </w:tcPr>
          <w:p w14:paraId="460A54CC">
            <w:pPr>
              <w:spacing w:line="360" w:lineRule="auto"/>
              <w:jc w:val="center"/>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4</w:t>
            </w:r>
            <w:r>
              <w:rPr>
                <w:rFonts w:hint="eastAsia" w:asciiTheme="minorEastAsia" w:hAnsiTheme="minorEastAsia" w:eastAsiaTheme="minorEastAsia" w:cstheme="minorEastAsia"/>
                <w:color w:val="000000"/>
                <w:sz w:val="24"/>
                <w:szCs w:val="24"/>
                <w:highlight w:val="none"/>
              </w:rPr>
              <w:t>分</w:t>
            </w:r>
          </w:p>
        </w:tc>
      </w:tr>
      <w:tr w14:paraId="4A9C7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 w:type="pct"/>
            <w:vMerge w:val="continue"/>
            <w:tcBorders>
              <w:left w:val="single" w:color="auto" w:sz="4" w:space="0"/>
              <w:right w:val="single" w:color="auto" w:sz="4" w:space="0"/>
            </w:tcBorders>
            <w:vAlign w:val="center"/>
          </w:tcPr>
          <w:p w14:paraId="70C0C826">
            <w:pPr>
              <w:spacing w:line="360" w:lineRule="auto"/>
              <w:ind w:firstLine="435"/>
              <w:jc w:val="center"/>
              <w:rPr>
                <w:rFonts w:asciiTheme="minorEastAsia" w:hAnsiTheme="minorEastAsia" w:eastAsiaTheme="minorEastAsia" w:cstheme="minorEastAsia"/>
                <w:b/>
                <w:bCs/>
                <w:sz w:val="24"/>
                <w:szCs w:val="24"/>
                <w:highlight w:val="none"/>
              </w:rPr>
            </w:pPr>
          </w:p>
        </w:tc>
        <w:tc>
          <w:tcPr>
            <w:tcW w:w="813" w:type="pct"/>
            <w:tcBorders>
              <w:top w:val="single" w:color="auto" w:sz="4" w:space="0"/>
              <w:left w:val="single" w:color="auto" w:sz="4" w:space="0"/>
              <w:bottom w:val="single" w:color="auto" w:sz="4" w:space="0"/>
              <w:right w:val="single" w:color="auto" w:sz="4" w:space="0"/>
            </w:tcBorders>
            <w:shd w:val="clear" w:color="auto" w:fill="auto"/>
            <w:vAlign w:val="center"/>
          </w:tcPr>
          <w:p w14:paraId="696CB27A">
            <w:pPr>
              <w:autoSpaceDE w:val="0"/>
              <w:autoSpaceDN w:val="0"/>
              <w:adjustRightInd w:val="0"/>
              <w:snapToGrid w:val="0"/>
              <w:spacing w:line="360" w:lineRule="auto"/>
              <w:ind w:left="6" w:leftChars="0" w:right="-109" w:rightChars="-52" w:hanging="6" w:firstLineChars="0"/>
              <w:jc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color w:val="000000"/>
                <w:sz w:val="24"/>
                <w:szCs w:val="24"/>
                <w:highlight w:val="none"/>
              </w:rPr>
              <w:t>质保承诺</w:t>
            </w:r>
          </w:p>
        </w:tc>
        <w:tc>
          <w:tcPr>
            <w:tcW w:w="3061" w:type="pct"/>
            <w:tcBorders>
              <w:top w:val="single" w:color="auto" w:sz="4" w:space="0"/>
              <w:left w:val="single" w:color="auto" w:sz="4" w:space="0"/>
              <w:bottom w:val="single" w:color="auto" w:sz="4" w:space="0"/>
              <w:right w:val="single" w:color="auto" w:sz="4" w:space="0"/>
            </w:tcBorders>
            <w:shd w:val="clear" w:color="auto" w:fill="auto"/>
            <w:vAlign w:val="center"/>
          </w:tcPr>
          <w:p w14:paraId="7BB66E59">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在招标文件要求的</w:t>
            </w:r>
            <w:r>
              <w:rPr>
                <w:rFonts w:hint="eastAsia" w:asciiTheme="minorEastAsia" w:hAnsiTheme="minorEastAsia" w:eastAsiaTheme="minorEastAsia" w:cstheme="minorEastAsia"/>
                <w:sz w:val="24"/>
                <w:szCs w:val="24"/>
                <w:highlight w:val="none"/>
                <w:lang w:eastAsia="zh-CN"/>
              </w:rPr>
              <w:t>质量保修期</w:t>
            </w:r>
            <w:r>
              <w:rPr>
                <w:rFonts w:hint="eastAsia" w:asciiTheme="minorEastAsia" w:hAnsiTheme="minorEastAsia" w:eastAsiaTheme="minorEastAsia" w:cstheme="minorEastAsia"/>
                <w:sz w:val="24"/>
                <w:szCs w:val="24"/>
                <w:highlight w:val="none"/>
              </w:rPr>
              <w:t>基础上承诺</w:t>
            </w:r>
            <w:r>
              <w:rPr>
                <w:rFonts w:ascii="宋体" w:hAnsi="宋体" w:eastAsia="宋体" w:cs="宋体"/>
                <w:sz w:val="24"/>
                <w:szCs w:val="24"/>
                <w:highlight w:val="none"/>
              </w:rPr>
              <w:t>针对所有产品</w:t>
            </w:r>
            <w:r>
              <w:rPr>
                <w:rFonts w:hint="eastAsia" w:ascii="宋体" w:hAnsi="宋体" w:eastAsia="宋体" w:cs="宋体"/>
                <w:sz w:val="24"/>
                <w:szCs w:val="24"/>
                <w:highlight w:val="none"/>
              </w:rPr>
              <w:t>每</w:t>
            </w:r>
            <w:r>
              <w:rPr>
                <w:rFonts w:hint="eastAsia" w:asciiTheme="minorEastAsia" w:hAnsiTheme="minorEastAsia" w:eastAsiaTheme="minorEastAsia" w:cstheme="minorEastAsia"/>
                <w:sz w:val="24"/>
                <w:szCs w:val="24"/>
                <w:highlight w:val="none"/>
              </w:rPr>
              <w:t>增加1年质保，得1分，最多2分。</w:t>
            </w:r>
          </w:p>
          <w:p w14:paraId="2D80B82B">
            <w:pPr>
              <w:spacing w:line="360" w:lineRule="auto"/>
              <w:rPr>
                <w:rFonts w:hint="eastAsia" w:ascii="@仿宋_GB2312" w:hAnsi="@仿宋_GB2312" w:cs="@仿宋_GB2312" w:eastAsiaTheme="minorEastAsia"/>
                <w:kern w:val="2"/>
                <w:sz w:val="21"/>
                <w:highlight w:val="none"/>
                <w:lang w:val="en-US" w:eastAsia="zh-CN" w:bidi="ar-SA"/>
              </w:rPr>
            </w:pPr>
            <w:r>
              <w:rPr>
                <w:rFonts w:hint="eastAsia" w:asciiTheme="minorEastAsia" w:hAnsiTheme="minorEastAsia" w:eastAsiaTheme="minorEastAsia" w:cstheme="minorEastAsia"/>
                <w:sz w:val="24"/>
                <w:szCs w:val="24"/>
                <w:highlight w:val="none"/>
              </w:rPr>
              <w:t>注：以商务响应表中</w:t>
            </w:r>
            <w:r>
              <w:rPr>
                <w:rFonts w:hint="eastAsia" w:asciiTheme="minorEastAsia" w:hAnsiTheme="minorEastAsia" w:eastAsiaTheme="minorEastAsia" w:cstheme="minorEastAsia"/>
                <w:sz w:val="24"/>
                <w:szCs w:val="24"/>
                <w:highlight w:val="none"/>
                <w:lang w:eastAsia="zh-CN"/>
              </w:rPr>
              <w:t>质量保修期</w:t>
            </w:r>
            <w:r>
              <w:rPr>
                <w:rFonts w:hint="eastAsia" w:asciiTheme="minorEastAsia" w:hAnsiTheme="minorEastAsia" w:eastAsiaTheme="minorEastAsia" w:cstheme="minorEastAsia"/>
                <w:sz w:val="24"/>
                <w:szCs w:val="24"/>
                <w:highlight w:val="none"/>
              </w:rPr>
              <w:t>响应为准。</w:t>
            </w:r>
          </w:p>
        </w:tc>
        <w:tc>
          <w:tcPr>
            <w:tcW w:w="536" w:type="pct"/>
            <w:tcBorders>
              <w:top w:val="single" w:color="auto" w:sz="4" w:space="0"/>
              <w:left w:val="single" w:color="auto" w:sz="4" w:space="0"/>
              <w:bottom w:val="single" w:color="auto" w:sz="4" w:space="0"/>
              <w:right w:val="single" w:color="auto" w:sz="4" w:space="0"/>
            </w:tcBorders>
            <w:shd w:val="clear" w:color="auto" w:fill="auto"/>
            <w:vAlign w:val="center"/>
          </w:tcPr>
          <w:p w14:paraId="6F85FE76">
            <w:pPr>
              <w:spacing w:line="360" w:lineRule="auto"/>
              <w:jc w:val="center"/>
              <w:rPr>
                <w:rFonts w:hint="eastAsia" w:asciiTheme="minorEastAsia" w:hAnsiTheme="minorEastAsia" w:eastAsiaTheme="minorEastAsia" w:cstheme="minorEastAsia"/>
                <w:b/>
                <w:bCs/>
                <w:kern w:val="2"/>
                <w:sz w:val="24"/>
                <w:szCs w:val="24"/>
                <w:highlight w:val="none"/>
                <w:lang w:val="en-US" w:eastAsia="zh-CN" w:bidi="ar-SA"/>
              </w:rPr>
            </w:pPr>
            <w:r>
              <w:rPr>
                <w:rFonts w:hint="eastAsia" w:asciiTheme="minorEastAsia" w:hAnsiTheme="minorEastAsia" w:eastAsiaTheme="minorEastAsia" w:cstheme="minorEastAsia"/>
                <w:color w:val="000000"/>
                <w:sz w:val="24"/>
                <w:szCs w:val="24"/>
                <w:highlight w:val="none"/>
              </w:rPr>
              <w:t>2分</w:t>
            </w:r>
          </w:p>
        </w:tc>
      </w:tr>
      <w:tr w14:paraId="2E59A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 w:type="pct"/>
            <w:vMerge w:val="continue"/>
            <w:tcBorders>
              <w:left w:val="single" w:color="auto" w:sz="4" w:space="0"/>
              <w:right w:val="single" w:color="auto" w:sz="4" w:space="0"/>
            </w:tcBorders>
            <w:vAlign w:val="center"/>
          </w:tcPr>
          <w:p w14:paraId="4B3501C3">
            <w:pPr>
              <w:spacing w:line="360" w:lineRule="auto"/>
              <w:ind w:firstLine="435"/>
              <w:jc w:val="center"/>
              <w:rPr>
                <w:rFonts w:asciiTheme="minorEastAsia" w:hAnsiTheme="minorEastAsia" w:eastAsiaTheme="minorEastAsia" w:cstheme="minorEastAsia"/>
                <w:b/>
                <w:bCs/>
                <w:sz w:val="24"/>
                <w:szCs w:val="24"/>
                <w:highlight w:val="none"/>
              </w:rPr>
            </w:pPr>
          </w:p>
        </w:tc>
        <w:tc>
          <w:tcPr>
            <w:tcW w:w="813" w:type="pct"/>
            <w:tcBorders>
              <w:top w:val="single" w:color="auto" w:sz="4" w:space="0"/>
              <w:left w:val="single" w:color="auto" w:sz="4" w:space="0"/>
              <w:bottom w:val="single" w:color="auto" w:sz="4" w:space="0"/>
              <w:right w:val="single" w:color="auto" w:sz="4" w:space="0"/>
            </w:tcBorders>
            <w:shd w:val="clear" w:color="auto" w:fill="auto"/>
            <w:vAlign w:val="center"/>
          </w:tcPr>
          <w:p w14:paraId="02FA1E5C">
            <w:pPr>
              <w:autoSpaceDE w:val="0"/>
              <w:autoSpaceDN w:val="0"/>
              <w:adjustRightInd w:val="0"/>
              <w:snapToGrid w:val="0"/>
              <w:spacing w:line="360" w:lineRule="auto"/>
              <w:ind w:left="6" w:right="-109" w:rightChars="-52" w:hanging="6"/>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color w:val="000000"/>
                <w:sz w:val="24"/>
                <w:szCs w:val="24"/>
                <w:highlight w:val="none"/>
              </w:rPr>
              <w:t>现状需求分析</w:t>
            </w:r>
          </w:p>
        </w:tc>
        <w:tc>
          <w:tcPr>
            <w:tcW w:w="3061" w:type="pct"/>
            <w:tcBorders>
              <w:top w:val="single" w:color="auto" w:sz="4" w:space="0"/>
              <w:left w:val="single" w:color="auto" w:sz="4" w:space="0"/>
              <w:bottom w:val="single" w:color="auto" w:sz="4" w:space="0"/>
              <w:right w:val="single" w:color="auto" w:sz="4" w:space="0"/>
            </w:tcBorders>
            <w:shd w:val="clear" w:color="auto" w:fill="auto"/>
            <w:vAlign w:val="center"/>
          </w:tcPr>
          <w:p w14:paraId="3B74FBEA">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对包括现有系统、管理及使用情况，目标需求等内容进行编制：</w:t>
            </w:r>
          </w:p>
          <w:p w14:paraId="4ED965A9">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（1）对现有监控系统了解全面，调查资料内容详细，目标需求分析明确，与学校实际情况符合，得 5 分；</w:t>
            </w:r>
          </w:p>
          <w:p w14:paraId="5B8E2960">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（2）对现有监控系统了解基本全面，调查资料内容基本详细，目标需求分析较明确，与学校实际情况基本符合得 3 分；</w:t>
            </w:r>
          </w:p>
          <w:p w14:paraId="0010D611">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（3）对现有监控系统了解有缺失，调查资料内容不详细，目标需求分析一般，与学校实际情况有偏差得 1 分；</w:t>
            </w:r>
          </w:p>
          <w:p w14:paraId="6B06E6F0">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（4）项目情况不了解或未提供的得 0 分。</w:t>
            </w:r>
          </w:p>
        </w:tc>
        <w:tc>
          <w:tcPr>
            <w:tcW w:w="536" w:type="pct"/>
            <w:tcBorders>
              <w:top w:val="single" w:color="auto" w:sz="4" w:space="0"/>
              <w:left w:val="single" w:color="auto" w:sz="4" w:space="0"/>
              <w:bottom w:val="single" w:color="auto" w:sz="4" w:space="0"/>
              <w:right w:val="single" w:color="auto" w:sz="4" w:space="0"/>
            </w:tcBorders>
            <w:vAlign w:val="center"/>
          </w:tcPr>
          <w:p w14:paraId="15CDB5FD">
            <w:pPr>
              <w:spacing w:line="360" w:lineRule="auto"/>
              <w:jc w:val="center"/>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color w:val="000000"/>
                <w:sz w:val="24"/>
                <w:szCs w:val="24"/>
                <w:highlight w:val="none"/>
              </w:rPr>
              <w:t>5分</w:t>
            </w:r>
          </w:p>
        </w:tc>
      </w:tr>
      <w:tr w14:paraId="5E3FE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 w:type="pct"/>
            <w:vMerge w:val="continue"/>
            <w:tcBorders>
              <w:left w:val="single" w:color="auto" w:sz="4" w:space="0"/>
              <w:right w:val="single" w:color="auto" w:sz="4" w:space="0"/>
            </w:tcBorders>
            <w:vAlign w:val="center"/>
          </w:tcPr>
          <w:p w14:paraId="23F1B254">
            <w:pPr>
              <w:spacing w:line="360" w:lineRule="auto"/>
              <w:ind w:firstLine="435"/>
              <w:jc w:val="center"/>
              <w:rPr>
                <w:rFonts w:asciiTheme="minorEastAsia" w:hAnsiTheme="minorEastAsia" w:eastAsiaTheme="minorEastAsia" w:cstheme="minorEastAsia"/>
                <w:b/>
                <w:bCs/>
                <w:sz w:val="24"/>
                <w:szCs w:val="24"/>
                <w:highlight w:val="none"/>
              </w:rPr>
            </w:pPr>
          </w:p>
        </w:tc>
        <w:tc>
          <w:tcPr>
            <w:tcW w:w="813" w:type="pct"/>
            <w:tcBorders>
              <w:top w:val="single" w:color="auto" w:sz="4" w:space="0"/>
              <w:left w:val="single" w:color="auto" w:sz="4" w:space="0"/>
              <w:bottom w:val="single" w:color="auto" w:sz="4" w:space="0"/>
              <w:right w:val="single" w:color="auto" w:sz="4" w:space="0"/>
            </w:tcBorders>
            <w:shd w:val="clear" w:color="auto" w:fill="auto"/>
            <w:vAlign w:val="center"/>
          </w:tcPr>
          <w:p w14:paraId="2393D321">
            <w:pPr>
              <w:autoSpaceDE w:val="0"/>
              <w:autoSpaceDN w:val="0"/>
              <w:adjustRightInd w:val="0"/>
              <w:snapToGrid w:val="0"/>
              <w:spacing w:line="360" w:lineRule="auto"/>
              <w:ind w:left="6" w:right="-109" w:rightChars="-52" w:hanging="6"/>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color w:val="000000"/>
                <w:sz w:val="24"/>
                <w:szCs w:val="24"/>
                <w:highlight w:val="none"/>
              </w:rPr>
              <w:t>技术方案</w:t>
            </w:r>
          </w:p>
        </w:tc>
        <w:tc>
          <w:tcPr>
            <w:tcW w:w="3061" w:type="pct"/>
            <w:tcBorders>
              <w:top w:val="single" w:color="auto" w:sz="4" w:space="0"/>
              <w:left w:val="single" w:color="auto" w:sz="4" w:space="0"/>
              <w:bottom w:val="single" w:color="auto" w:sz="4" w:space="0"/>
              <w:right w:val="single" w:color="auto" w:sz="4" w:space="0"/>
            </w:tcBorders>
            <w:shd w:val="clear" w:color="auto" w:fill="auto"/>
            <w:vAlign w:val="center"/>
          </w:tcPr>
          <w:p w14:paraId="61095236">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提供本次建设平台的技术方案，包括平台架构、功能组成等；</w:t>
            </w:r>
          </w:p>
          <w:p w14:paraId="3DB304C4">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（1）方案</w:t>
            </w:r>
            <w:r>
              <w:rPr>
                <w:rFonts w:hint="eastAsia" w:asciiTheme="minorEastAsia" w:hAnsiTheme="minorEastAsia" w:eastAsiaTheme="minorEastAsia" w:cstheme="minorEastAsia"/>
                <w:sz w:val="24"/>
                <w:szCs w:val="24"/>
                <w:highlight w:val="none"/>
                <w:lang w:val="en-US" w:eastAsia="zh-CN"/>
              </w:rPr>
              <w:t>适合</w:t>
            </w:r>
            <w:r>
              <w:rPr>
                <w:rFonts w:hint="eastAsia" w:asciiTheme="minorEastAsia" w:hAnsiTheme="minorEastAsia" w:eastAsiaTheme="minorEastAsia" w:cstheme="minorEastAsia"/>
                <w:sz w:val="24"/>
                <w:szCs w:val="24"/>
                <w:highlight w:val="none"/>
              </w:rPr>
              <w:t>本项目采购需求，完整详细，可行性，实用性，针对性强，得5分；</w:t>
            </w:r>
          </w:p>
          <w:p w14:paraId="4BD9D0F4">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（2）方案</w:t>
            </w:r>
            <w:r>
              <w:rPr>
                <w:rFonts w:hint="eastAsia" w:asciiTheme="minorEastAsia" w:hAnsiTheme="minorEastAsia" w:eastAsiaTheme="minorEastAsia" w:cstheme="minorEastAsia"/>
                <w:sz w:val="24"/>
                <w:szCs w:val="24"/>
                <w:highlight w:val="none"/>
                <w:lang w:val="en-US" w:eastAsia="zh-CN"/>
              </w:rPr>
              <w:t>较</w:t>
            </w:r>
            <w:r>
              <w:rPr>
                <w:rFonts w:hint="eastAsia" w:asciiTheme="minorEastAsia" w:hAnsiTheme="minorEastAsia" w:eastAsiaTheme="minorEastAsia" w:cstheme="minorEastAsia"/>
                <w:sz w:val="24"/>
                <w:szCs w:val="24"/>
                <w:highlight w:val="none"/>
              </w:rPr>
              <w:t xml:space="preserve">适合本项目采购需求，较完整详细，较具有可行性，实用性和针对性，得3分； </w:t>
            </w:r>
          </w:p>
          <w:p w14:paraId="12F3401B">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（3）方案基本适合本项目采购需求，可行性，实用性、针对性一般，得1分；</w:t>
            </w:r>
          </w:p>
          <w:p w14:paraId="35639919">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（4）方案不可行或者未提供得0分。</w:t>
            </w:r>
          </w:p>
        </w:tc>
        <w:tc>
          <w:tcPr>
            <w:tcW w:w="536" w:type="pct"/>
            <w:tcBorders>
              <w:top w:val="single" w:color="auto" w:sz="4" w:space="0"/>
              <w:left w:val="single" w:color="auto" w:sz="4" w:space="0"/>
              <w:bottom w:val="single" w:color="auto" w:sz="4" w:space="0"/>
              <w:right w:val="single" w:color="auto" w:sz="4" w:space="0"/>
            </w:tcBorders>
            <w:vAlign w:val="center"/>
          </w:tcPr>
          <w:p w14:paraId="4086EA69">
            <w:pPr>
              <w:spacing w:line="360" w:lineRule="auto"/>
              <w:jc w:val="center"/>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color w:val="000000"/>
                <w:sz w:val="24"/>
                <w:szCs w:val="24"/>
                <w:highlight w:val="none"/>
              </w:rPr>
              <w:t>5分</w:t>
            </w:r>
          </w:p>
        </w:tc>
      </w:tr>
      <w:tr w14:paraId="027B4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 w:type="pct"/>
            <w:vMerge w:val="continue"/>
            <w:tcBorders>
              <w:left w:val="single" w:color="auto" w:sz="4" w:space="0"/>
              <w:right w:val="single" w:color="auto" w:sz="4" w:space="0"/>
            </w:tcBorders>
            <w:vAlign w:val="center"/>
          </w:tcPr>
          <w:p w14:paraId="133F03BA">
            <w:pPr>
              <w:spacing w:line="360" w:lineRule="auto"/>
              <w:ind w:firstLine="435"/>
              <w:jc w:val="center"/>
              <w:rPr>
                <w:rFonts w:asciiTheme="minorEastAsia" w:hAnsiTheme="minorEastAsia" w:eastAsiaTheme="minorEastAsia" w:cstheme="minorEastAsia"/>
                <w:b/>
                <w:bCs/>
                <w:sz w:val="24"/>
                <w:szCs w:val="24"/>
                <w:highlight w:val="none"/>
              </w:rPr>
            </w:pPr>
          </w:p>
        </w:tc>
        <w:tc>
          <w:tcPr>
            <w:tcW w:w="813" w:type="pct"/>
            <w:tcBorders>
              <w:top w:val="single" w:color="auto" w:sz="4" w:space="0"/>
              <w:left w:val="single" w:color="auto" w:sz="4" w:space="0"/>
              <w:bottom w:val="single" w:color="auto" w:sz="4" w:space="0"/>
              <w:right w:val="single" w:color="auto" w:sz="4" w:space="0"/>
            </w:tcBorders>
            <w:shd w:val="clear" w:color="auto" w:fill="auto"/>
            <w:vAlign w:val="center"/>
          </w:tcPr>
          <w:p w14:paraId="0B929CF6">
            <w:pPr>
              <w:autoSpaceDE w:val="0"/>
              <w:autoSpaceDN w:val="0"/>
              <w:adjustRightInd w:val="0"/>
              <w:snapToGrid w:val="0"/>
              <w:spacing w:line="360" w:lineRule="auto"/>
              <w:ind w:left="6" w:right="-109" w:rightChars="-52" w:hanging="6"/>
              <w:jc w:val="center"/>
              <w:rPr>
                <w:rFonts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对接方案</w:t>
            </w:r>
          </w:p>
        </w:tc>
        <w:tc>
          <w:tcPr>
            <w:tcW w:w="3061" w:type="pct"/>
            <w:tcBorders>
              <w:top w:val="single" w:color="auto" w:sz="4" w:space="0"/>
              <w:left w:val="single" w:color="auto" w:sz="4" w:space="0"/>
              <w:bottom w:val="single" w:color="auto" w:sz="4" w:space="0"/>
              <w:right w:val="single" w:color="auto" w:sz="4" w:space="0"/>
            </w:tcBorders>
            <w:shd w:val="clear" w:color="auto" w:fill="auto"/>
            <w:vAlign w:val="center"/>
          </w:tcPr>
          <w:p w14:paraId="1F8524B7">
            <w:pPr>
              <w:spacing w:line="360" w:lineRule="auto"/>
              <w:rPr>
                <w:rFonts w:asciiTheme="minorEastAsia" w:hAnsiTheme="minorEastAsia" w:eastAsiaTheme="minorEastAsia" w:cstheme="minorEastAsia"/>
                <w:i/>
                <w:iCs/>
                <w:strike/>
                <w:sz w:val="24"/>
                <w:szCs w:val="24"/>
                <w:highlight w:val="none"/>
              </w:rPr>
            </w:pPr>
            <w:r>
              <w:rPr>
                <w:rFonts w:hint="eastAsia" w:asciiTheme="minorEastAsia" w:hAnsiTheme="minorEastAsia" w:eastAsiaTheme="minorEastAsia" w:cstheme="minorEastAsia"/>
                <w:sz w:val="24"/>
                <w:szCs w:val="24"/>
                <w:highlight w:val="none"/>
              </w:rPr>
              <w:t>针对学校现状，提供符合学校管理要求和监管部门要求的对接方案：</w:t>
            </w:r>
          </w:p>
          <w:p w14:paraId="4A644383">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（1）方案</w:t>
            </w:r>
            <w:r>
              <w:rPr>
                <w:rFonts w:hint="eastAsia" w:asciiTheme="minorEastAsia" w:hAnsiTheme="minorEastAsia" w:eastAsiaTheme="minorEastAsia" w:cstheme="minorEastAsia"/>
                <w:sz w:val="24"/>
                <w:szCs w:val="24"/>
                <w:highlight w:val="none"/>
                <w:lang w:val="en-US" w:eastAsia="zh-CN"/>
              </w:rPr>
              <w:t>适合</w:t>
            </w:r>
            <w:r>
              <w:rPr>
                <w:rFonts w:hint="eastAsia" w:asciiTheme="minorEastAsia" w:hAnsiTheme="minorEastAsia" w:eastAsiaTheme="minorEastAsia" w:cstheme="minorEastAsia"/>
                <w:sz w:val="24"/>
                <w:szCs w:val="24"/>
                <w:highlight w:val="none"/>
              </w:rPr>
              <w:t>本项目采购需求，完整详细，可行性，实用性，针对性强，得5分；</w:t>
            </w:r>
          </w:p>
          <w:p w14:paraId="20DE8327">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（2）方案</w:t>
            </w:r>
            <w:r>
              <w:rPr>
                <w:rFonts w:hint="eastAsia" w:asciiTheme="minorEastAsia" w:hAnsiTheme="minorEastAsia" w:eastAsiaTheme="minorEastAsia" w:cstheme="minorEastAsia"/>
                <w:sz w:val="24"/>
                <w:szCs w:val="24"/>
                <w:highlight w:val="none"/>
                <w:lang w:val="en-US" w:eastAsia="zh-CN"/>
              </w:rPr>
              <w:t>较</w:t>
            </w:r>
            <w:r>
              <w:rPr>
                <w:rFonts w:hint="eastAsia" w:asciiTheme="minorEastAsia" w:hAnsiTheme="minorEastAsia" w:eastAsiaTheme="minorEastAsia" w:cstheme="minorEastAsia"/>
                <w:sz w:val="24"/>
                <w:szCs w:val="24"/>
                <w:highlight w:val="none"/>
              </w:rPr>
              <w:t xml:space="preserve">适合本项目采购需求，较完整详细，较具有可行性，实用性和针对性，得3分； </w:t>
            </w:r>
          </w:p>
          <w:p w14:paraId="09AE81C9">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（3）方案基本适合本项目采购需求，可行性，实用性、针对性一般，得1分；</w:t>
            </w:r>
          </w:p>
          <w:p w14:paraId="7B496D38">
            <w:pPr>
              <w:pStyle w:val="25"/>
              <w:tabs>
                <w:tab w:val="left" w:pos="3600"/>
              </w:tabs>
              <w:spacing w:line="360" w:lineRule="auto"/>
              <w:ind w:left="0" w:leftChars="0" w:firstLine="0" w:firstLineChars="0"/>
              <w:rPr>
                <w:rFonts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sz w:val="24"/>
                <w:szCs w:val="24"/>
                <w:highlight w:val="none"/>
              </w:rPr>
              <w:t>（4）方案不可行或者未提供得0分。</w:t>
            </w:r>
          </w:p>
        </w:tc>
        <w:tc>
          <w:tcPr>
            <w:tcW w:w="536" w:type="pct"/>
            <w:tcBorders>
              <w:top w:val="single" w:color="auto" w:sz="4" w:space="0"/>
              <w:left w:val="single" w:color="auto" w:sz="4" w:space="0"/>
              <w:bottom w:val="single" w:color="auto" w:sz="4" w:space="0"/>
              <w:right w:val="single" w:color="auto" w:sz="4" w:space="0"/>
            </w:tcBorders>
            <w:vAlign w:val="center"/>
          </w:tcPr>
          <w:p w14:paraId="5D22F9D6">
            <w:pPr>
              <w:spacing w:line="360" w:lineRule="auto"/>
              <w:jc w:val="center"/>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color w:val="000000"/>
                <w:sz w:val="24"/>
                <w:szCs w:val="24"/>
                <w:highlight w:val="none"/>
              </w:rPr>
              <w:t>5分</w:t>
            </w:r>
          </w:p>
        </w:tc>
      </w:tr>
      <w:tr w14:paraId="567F3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 w:type="pct"/>
            <w:vMerge w:val="continue"/>
            <w:tcBorders>
              <w:left w:val="single" w:color="auto" w:sz="4" w:space="0"/>
              <w:right w:val="single" w:color="auto" w:sz="4" w:space="0"/>
            </w:tcBorders>
            <w:vAlign w:val="center"/>
          </w:tcPr>
          <w:p w14:paraId="38AC0F96">
            <w:pPr>
              <w:spacing w:line="360" w:lineRule="auto"/>
              <w:ind w:firstLine="435"/>
              <w:jc w:val="center"/>
              <w:rPr>
                <w:rFonts w:asciiTheme="minorEastAsia" w:hAnsiTheme="minorEastAsia" w:eastAsiaTheme="minorEastAsia" w:cstheme="minorEastAsia"/>
                <w:b/>
                <w:bCs/>
                <w:sz w:val="24"/>
                <w:szCs w:val="24"/>
                <w:highlight w:val="none"/>
              </w:rPr>
            </w:pPr>
          </w:p>
        </w:tc>
        <w:tc>
          <w:tcPr>
            <w:tcW w:w="813" w:type="pct"/>
            <w:tcBorders>
              <w:top w:val="single" w:color="auto" w:sz="4" w:space="0"/>
              <w:left w:val="single" w:color="auto" w:sz="4" w:space="0"/>
              <w:bottom w:val="single" w:color="auto" w:sz="4" w:space="0"/>
              <w:right w:val="single" w:color="auto" w:sz="4" w:space="0"/>
            </w:tcBorders>
            <w:shd w:val="clear" w:color="auto" w:fill="auto"/>
            <w:vAlign w:val="center"/>
          </w:tcPr>
          <w:p w14:paraId="4E399F39">
            <w:pPr>
              <w:autoSpaceDE w:val="0"/>
              <w:autoSpaceDN w:val="0"/>
              <w:adjustRightInd w:val="0"/>
              <w:snapToGrid w:val="0"/>
              <w:spacing w:line="360" w:lineRule="auto"/>
              <w:ind w:left="6" w:right="-109" w:rightChars="-52" w:hanging="6"/>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color w:val="000000"/>
                <w:sz w:val="24"/>
                <w:szCs w:val="24"/>
                <w:highlight w:val="none"/>
              </w:rPr>
              <w:t>重难点分析</w:t>
            </w:r>
          </w:p>
        </w:tc>
        <w:tc>
          <w:tcPr>
            <w:tcW w:w="3061" w:type="pct"/>
            <w:tcBorders>
              <w:top w:val="single" w:color="auto" w:sz="4" w:space="0"/>
              <w:left w:val="single" w:color="auto" w:sz="4" w:space="0"/>
              <w:bottom w:val="single" w:color="auto" w:sz="4" w:space="0"/>
              <w:right w:val="single" w:color="auto" w:sz="4" w:space="0"/>
            </w:tcBorders>
            <w:shd w:val="clear" w:color="auto" w:fill="auto"/>
            <w:vAlign w:val="center"/>
          </w:tcPr>
          <w:p w14:paraId="483C6F4D">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对项目实施过程中的重难点进行分析，提出有针对性的解决方案及措施；</w:t>
            </w:r>
          </w:p>
          <w:p w14:paraId="02FAAD11">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（1）重难点分析到位，解决方案及措施完整详细，可行性，实用性，针对性强，得 5 分；</w:t>
            </w:r>
          </w:p>
          <w:p w14:paraId="58A4B7BC">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（2）重难点分析基本到位，解决方案及措施较具有可行性，实用性和针对性，得 3 分；</w:t>
            </w:r>
          </w:p>
          <w:p w14:paraId="742590C9">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（3）重难点分析欠缺，解决方案及措施可行性，实用性、针对性一般，得 1 分；</w:t>
            </w:r>
          </w:p>
          <w:p w14:paraId="04BED362">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（4）方案不可行或者未提供得 0 分。</w:t>
            </w:r>
          </w:p>
        </w:tc>
        <w:tc>
          <w:tcPr>
            <w:tcW w:w="536" w:type="pct"/>
            <w:tcBorders>
              <w:top w:val="single" w:color="auto" w:sz="4" w:space="0"/>
              <w:left w:val="single" w:color="auto" w:sz="4" w:space="0"/>
              <w:bottom w:val="single" w:color="auto" w:sz="4" w:space="0"/>
              <w:right w:val="single" w:color="auto" w:sz="4" w:space="0"/>
            </w:tcBorders>
            <w:vAlign w:val="center"/>
          </w:tcPr>
          <w:p w14:paraId="31442958">
            <w:pPr>
              <w:spacing w:line="360" w:lineRule="auto"/>
              <w:jc w:val="center"/>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color w:val="000000"/>
                <w:sz w:val="24"/>
                <w:szCs w:val="24"/>
                <w:highlight w:val="none"/>
              </w:rPr>
              <w:t>5分</w:t>
            </w:r>
          </w:p>
        </w:tc>
      </w:tr>
      <w:tr w14:paraId="2EDD2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 w:type="pct"/>
            <w:vMerge w:val="continue"/>
            <w:tcBorders>
              <w:left w:val="single" w:color="auto" w:sz="4" w:space="0"/>
              <w:right w:val="single" w:color="auto" w:sz="4" w:space="0"/>
            </w:tcBorders>
            <w:vAlign w:val="center"/>
          </w:tcPr>
          <w:p w14:paraId="0FC148D2">
            <w:pPr>
              <w:spacing w:line="360" w:lineRule="auto"/>
              <w:ind w:firstLine="435"/>
              <w:jc w:val="center"/>
              <w:rPr>
                <w:rFonts w:asciiTheme="minorEastAsia" w:hAnsiTheme="minorEastAsia" w:eastAsiaTheme="minorEastAsia" w:cstheme="minorEastAsia"/>
                <w:b/>
                <w:bCs/>
                <w:sz w:val="24"/>
                <w:szCs w:val="24"/>
                <w:highlight w:val="none"/>
              </w:rPr>
            </w:pPr>
          </w:p>
        </w:tc>
        <w:tc>
          <w:tcPr>
            <w:tcW w:w="813" w:type="pct"/>
            <w:tcBorders>
              <w:top w:val="single" w:color="auto" w:sz="4" w:space="0"/>
              <w:left w:val="single" w:color="auto" w:sz="4" w:space="0"/>
              <w:bottom w:val="single" w:color="auto" w:sz="4" w:space="0"/>
              <w:right w:val="single" w:color="auto" w:sz="4" w:space="0"/>
            </w:tcBorders>
            <w:shd w:val="clear" w:color="auto" w:fill="auto"/>
            <w:vAlign w:val="center"/>
          </w:tcPr>
          <w:p w14:paraId="2C9B081D">
            <w:pPr>
              <w:autoSpaceDE w:val="0"/>
              <w:autoSpaceDN w:val="0"/>
              <w:adjustRightInd w:val="0"/>
              <w:snapToGrid w:val="0"/>
              <w:spacing w:line="360" w:lineRule="auto"/>
              <w:ind w:left="6" w:right="-109" w:rightChars="-52" w:hanging="6"/>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color w:val="000000"/>
                <w:sz w:val="24"/>
                <w:szCs w:val="24"/>
                <w:highlight w:val="none"/>
              </w:rPr>
              <w:t>实施方案</w:t>
            </w:r>
          </w:p>
        </w:tc>
        <w:tc>
          <w:tcPr>
            <w:tcW w:w="3061" w:type="pct"/>
            <w:tcBorders>
              <w:top w:val="single" w:color="auto" w:sz="4" w:space="0"/>
              <w:left w:val="single" w:color="auto" w:sz="4" w:space="0"/>
              <w:bottom w:val="single" w:color="auto" w:sz="4" w:space="0"/>
              <w:right w:val="single" w:color="auto" w:sz="4" w:space="0"/>
            </w:tcBorders>
            <w:shd w:val="clear" w:color="auto" w:fill="auto"/>
            <w:vAlign w:val="center"/>
          </w:tcPr>
          <w:p w14:paraId="6F891453">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对包括进度安排、实施组织方案、实施团队等进行编制：</w:t>
            </w:r>
          </w:p>
          <w:p w14:paraId="6E5E751D">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（1）方案整体进度安排合理，实施组织方案完整详细，实施团队分工明确、针对性强，得5分；</w:t>
            </w:r>
          </w:p>
          <w:p w14:paraId="0C726581">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（2）方案整体进度安排较合理，实施组织方案较完整详细，实施团队分工较明确、针对性较强，得3分； </w:t>
            </w:r>
          </w:p>
          <w:p w14:paraId="5D0BF26D">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（3）方案整体进度安排较一般，实施组织方案一般，实施团队分工一般、针对性一般，得1分；</w:t>
            </w:r>
          </w:p>
          <w:p w14:paraId="4DA25BFF">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（4）方案不可行或者未提供得0分。</w:t>
            </w:r>
          </w:p>
        </w:tc>
        <w:tc>
          <w:tcPr>
            <w:tcW w:w="536" w:type="pct"/>
            <w:tcBorders>
              <w:top w:val="single" w:color="auto" w:sz="4" w:space="0"/>
              <w:left w:val="single" w:color="auto" w:sz="4" w:space="0"/>
              <w:bottom w:val="single" w:color="auto" w:sz="4" w:space="0"/>
              <w:right w:val="single" w:color="auto" w:sz="4" w:space="0"/>
            </w:tcBorders>
            <w:vAlign w:val="center"/>
          </w:tcPr>
          <w:p w14:paraId="6451D50F">
            <w:pPr>
              <w:spacing w:line="360" w:lineRule="auto"/>
              <w:jc w:val="center"/>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color w:val="000000"/>
                <w:sz w:val="24"/>
                <w:szCs w:val="24"/>
                <w:highlight w:val="none"/>
              </w:rPr>
              <w:t>5分</w:t>
            </w:r>
          </w:p>
        </w:tc>
      </w:tr>
      <w:tr w14:paraId="11102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 w:type="pct"/>
            <w:vMerge w:val="continue"/>
            <w:tcBorders>
              <w:left w:val="single" w:color="auto" w:sz="4" w:space="0"/>
              <w:right w:val="single" w:color="auto" w:sz="4" w:space="0"/>
            </w:tcBorders>
            <w:vAlign w:val="center"/>
          </w:tcPr>
          <w:p w14:paraId="39E700EB">
            <w:pPr>
              <w:spacing w:line="360" w:lineRule="auto"/>
              <w:ind w:firstLine="435"/>
              <w:jc w:val="center"/>
              <w:rPr>
                <w:rFonts w:asciiTheme="minorEastAsia" w:hAnsiTheme="minorEastAsia" w:eastAsiaTheme="minorEastAsia" w:cstheme="minorEastAsia"/>
                <w:b/>
                <w:bCs/>
                <w:sz w:val="24"/>
                <w:szCs w:val="24"/>
                <w:highlight w:val="none"/>
              </w:rPr>
            </w:pPr>
          </w:p>
        </w:tc>
        <w:tc>
          <w:tcPr>
            <w:tcW w:w="813" w:type="pct"/>
            <w:tcBorders>
              <w:top w:val="single" w:color="auto" w:sz="4" w:space="0"/>
              <w:left w:val="single" w:color="auto" w:sz="4" w:space="0"/>
              <w:bottom w:val="single" w:color="auto" w:sz="4" w:space="0"/>
              <w:right w:val="single" w:color="auto" w:sz="4" w:space="0"/>
            </w:tcBorders>
            <w:shd w:val="clear" w:color="auto" w:fill="auto"/>
            <w:vAlign w:val="center"/>
          </w:tcPr>
          <w:p w14:paraId="3E2698B2">
            <w:pPr>
              <w:autoSpaceDE w:val="0"/>
              <w:autoSpaceDN w:val="0"/>
              <w:adjustRightInd w:val="0"/>
              <w:snapToGrid w:val="0"/>
              <w:spacing w:line="360" w:lineRule="auto"/>
              <w:ind w:left="6" w:right="-109" w:rightChars="-52" w:hanging="6"/>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color w:val="000000"/>
                <w:sz w:val="24"/>
                <w:szCs w:val="24"/>
                <w:highlight w:val="none"/>
              </w:rPr>
              <w:t>售后服务方案</w:t>
            </w:r>
          </w:p>
        </w:tc>
        <w:tc>
          <w:tcPr>
            <w:tcW w:w="3061" w:type="pct"/>
            <w:tcBorders>
              <w:top w:val="single" w:color="auto" w:sz="4" w:space="0"/>
              <w:left w:val="single" w:color="auto" w:sz="4" w:space="0"/>
              <w:bottom w:val="single" w:color="auto" w:sz="4" w:space="0"/>
              <w:right w:val="single" w:color="auto" w:sz="4" w:space="0"/>
            </w:tcBorders>
            <w:shd w:val="clear" w:color="auto" w:fill="auto"/>
            <w:vAlign w:val="center"/>
          </w:tcPr>
          <w:p w14:paraId="55456504">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对包括服务体系、服务内容、故障应急解决方案、响应时间、拟投入本项目的专业技术人员情况等进行方案编制：</w:t>
            </w:r>
          </w:p>
          <w:p w14:paraId="21C9C314">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（1）方案</w:t>
            </w:r>
            <w:r>
              <w:rPr>
                <w:rFonts w:hint="eastAsia" w:asciiTheme="minorEastAsia" w:hAnsiTheme="minorEastAsia" w:eastAsiaTheme="minorEastAsia" w:cstheme="minorEastAsia"/>
                <w:sz w:val="24"/>
                <w:szCs w:val="24"/>
                <w:highlight w:val="none"/>
                <w:lang w:val="en-US" w:eastAsia="zh-CN"/>
              </w:rPr>
              <w:t>适合</w:t>
            </w:r>
            <w:r>
              <w:rPr>
                <w:rFonts w:hint="eastAsia" w:asciiTheme="minorEastAsia" w:hAnsiTheme="minorEastAsia" w:eastAsiaTheme="minorEastAsia" w:cstheme="minorEastAsia"/>
                <w:sz w:val="24"/>
                <w:szCs w:val="24"/>
                <w:highlight w:val="none"/>
              </w:rPr>
              <w:t>本项目采购需求，完整详细，可行性，实用性，针对性强，得5分；</w:t>
            </w:r>
          </w:p>
          <w:p w14:paraId="2354C412">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（2）方案</w:t>
            </w:r>
            <w:r>
              <w:rPr>
                <w:rFonts w:hint="eastAsia" w:asciiTheme="minorEastAsia" w:hAnsiTheme="minorEastAsia" w:eastAsiaTheme="minorEastAsia" w:cstheme="minorEastAsia"/>
                <w:sz w:val="24"/>
                <w:szCs w:val="24"/>
                <w:highlight w:val="none"/>
                <w:lang w:val="en-US" w:eastAsia="zh-CN"/>
              </w:rPr>
              <w:t>较</w:t>
            </w:r>
            <w:r>
              <w:rPr>
                <w:rFonts w:hint="eastAsia" w:asciiTheme="minorEastAsia" w:hAnsiTheme="minorEastAsia" w:eastAsiaTheme="minorEastAsia" w:cstheme="minorEastAsia"/>
                <w:sz w:val="24"/>
                <w:szCs w:val="24"/>
                <w:highlight w:val="none"/>
              </w:rPr>
              <w:t xml:space="preserve">适合本项目采购需求，较完整详细，较具有可行性，实用性和针对性，得3分； </w:t>
            </w:r>
          </w:p>
          <w:p w14:paraId="20ECF3A7">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（3）方案基本适合本项目采购需求，可行性，实用性、针对性一般，得1分；</w:t>
            </w:r>
          </w:p>
          <w:p w14:paraId="5FBB2699">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（4）方案不可行或者未提供得0分。</w:t>
            </w:r>
          </w:p>
        </w:tc>
        <w:tc>
          <w:tcPr>
            <w:tcW w:w="536" w:type="pct"/>
            <w:tcBorders>
              <w:top w:val="single" w:color="auto" w:sz="4" w:space="0"/>
              <w:left w:val="single" w:color="auto" w:sz="4" w:space="0"/>
              <w:bottom w:val="single" w:color="auto" w:sz="4" w:space="0"/>
              <w:right w:val="single" w:color="auto" w:sz="4" w:space="0"/>
            </w:tcBorders>
            <w:vAlign w:val="center"/>
          </w:tcPr>
          <w:p w14:paraId="4DF7FFE0">
            <w:pPr>
              <w:spacing w:line="360" w:lineRule="auto"/>
              <w:jc w:val="center"/>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color w:val="000000"/>
                <w:sz w:val="24"/>
                <w:szCs w:val="24"/>
                <w:highlight w:val="none"/>
              </w:rPr>
              <w:t>5分</w:t>
            </w:r>
          </w:p>
        </w:tc>
      </w:tr>
      <w:tr w14:paraId="1C36D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 w:type="pct"/>
            <w:tcBorders>
              <w:left w:val="single" w:color="auto" w:sz="4" w:space="0"/>
              <w:right w:val="single" w:color="auto" w:sz="4" w:space="0"/>
            </w:tcBorders>
            <w:vAlign w:val="center"/>
          </w:tcPr>
          <w:p w14:paraId="4E11345D">
            <w:pPr>
              <w:spacing w:line="360" w:lineRule="auto"/>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价格分</w:t>
            </w:r>
          </w:p>
          <w:p w14:paraId="0038B398">
            <w:pPr>
              <w:spacing w:line="360" w:lineRule="auto"/>
              <w:jc w:val="center"/>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u w:val="single"/>
              </w:rPr>
              <w:t>30</w:t>
            </w:r>
            <w:r>
              <w:rPr>
                <w:rFonts w:hint="eastAsia" w:asciiTheme="minorEastAsia" w:hAnsiTheme="minorEastAsia" w:eastAsiaTheme="minorEastAsia" w:cstheme="minorEastAsia"/>
                <w:sz w:val="24"/>
                <w:szCs w:val="24"/>
                <w:highlight w:val="none"/>
              </w:rPr>
              <w:t>分）</w:t>
            </w:r>
          </w:p>
        </w:tc>
        <w:tc>
          <w:tcPr>
            <w:tcW w:w="4410" w:type="pct"/>
            <w:gridSpan w:val="3"/>
            <w:tcBorders>
              <w:top w:val="single" w:color="auto" w:sz="4" w:space="0"/>
              <w:left w:val="single" w:color="auto" w:sz="4" w:space="0"/>
              <w:bottom w:val="single" w:color="auto" w:sz="4" w:space="0"/>
              <w:right w:val="single" w:color="auto" w:sz="4" w:space="0"/>
            </w:tcBorders>
            <w:vAlign w:val="center"/>
          </w:tcPr>
          <w:p w14:paraId="5A917505">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价格分统一采用低价优先法，即满足招标文件要求且投标价格最低的投标报价为评标基准价，其价格分为满分</w:t>
            </w:r>
            <w:r>
              <w:rPr>
                <w:rFonts w:hint="eastAsia" w:asciiTheme="minorEastAsia" w:hAnsiTheme="minorEastAsia" w:eastAsiaTheme="minorEastAsia" w:cstheme="minorEastAsia"/>
                <w:sz w:val="24"/>
                <w:szCs w:val="24"/>
                <w:highlight w:val="none"/>
                <w:u w:val="single"/>
              </w:rPr>
              <w:t>30</w:t>
            </w:r>
            <w:r>
              <w:rPr>
                <w:rFonts w:hint="eastAsia" w:asciiTheme="minorEastAsia" w:hAnsiTheme="minorEastAsia" w:eastAsiaTheme="minorEastAsia" w:cstheme="minorEastAsia"/>
                <w:sz w:val="24"/>
                <w:szCs w:val="24"/>
                <w:highlight w:val="none"/>
              </w:rPr>
              <w:t>分。其他投标人的价格分统一按照下列公式计算：</w:t>
            </w:r>
          </w:p>
          <w:p w14:paraId="3C88EF66">
            <w:pPr>
              <w:spacing w:line="360" w:lineRule="auto"/>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sz w:val="24"/>
                <w:szCs w:val="24"/>
                <w:highlight w:val="none"/>
              </w:rPr>
              <w:t>投标报价得分＝（评标基准价/投标报价）×</w:t>
            </w:r>
            <w:r>
              <w:rPr>
                <w:rFonts w:hint="eastAsia" w:asciiTheme="minorEastAsia" w:hAnsiTheme="minorEastAsia" w:eastAsiaTheme="minorEastAsia" w:cstheme="minorEastAsia"/>
                <w:sz w:val="24"/>
                <w:szCs w:val="24"/>
                <w:highlight w:val="none"/>
                <w:u w:val="single"/>
              </w:rPr>
              <w:t>30</w:t>
            </w:r>
            <w:r>
              <w:rPr>
                <w:rFonts w:hint="eastAsia" w:asciiTheme="minorEastAsia" w:hAnsiTheme="minorEastAsia" w:eastAsiaTheme="minorEastAsia" w:cstheme="minorEastAsia"/>
                <w:sz w:val="24"/>
                <w:szCs w:val="24"/>
                <w:highlight w:val="none"/>
              </w:rPr>
              <w:t>％×100</w:t>
            </w:r>
          </w:p>
        </w:tc>
      </w:tr>
    </w:tbl>
    <w:p w14:paraId="0B472F12">
      <w:pPr>
        <w:pStyle w:val="6"/>
        <w:rPr>
          <w:highlight w:val="none"/>
        </w:rPr>
      </w:pPr>
      <w:r>
        <w:rPr>
          <w:rFonts w:hint="eastAsia"/>
          <w:highlight w:val="none"/>
        </w:rPr>
        <w:t>第</w:t>
      </w:r>
      <w:r>
        <w:rPr>
          <w:rFonts w:hint="eastAsia" w:ascii="宋体" w:hAnsi="宋体" w:eastAsia="宋体" w:cs="宋体"/>
          <w:highlight w:val="none"/>
        </w:rPr>
        <w:t>二</w:t>
      </w:r>
      <w:r>
        <w:rPr>
          <w:rFonts w:hint="eastAsia"/>
          <w:highlight w:val="none"/>
        </w:rPr>
        <w:t>包：学生宿舍智慧消防平台及消控终端建设</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1386"/>
        <w:gridCol w:w="5218"/>
        <w:gridCol w:w="914"/>
      </w:tblGrid>
      <w:tr w14:paraId="677C0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89" w:type="pct"/>
            <w:tcBorders>
              <w:top w:val="single" w:color="auto" w:sz="4" w:space="0"/>
              <w:left w:val="single" w:color="auto" w:sz="4" w:space="0"/>
              <w:bottom w:val="single" w:color="auto" w:sz="4" w:space="0"/>
              <w:right w:val="single" w:color="auto" w:sz="4" w:space="0"/>
            </w:tcBorders>
            <w:vAlign w:val="center"/>
          </w:tcPr>
          <w:p w14:paraId="0087C1B0">
            <w:pPr>
              <w:spacing w:line="360" w:lineRule="auto"/>
              <w:jc w:val="center"/>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类别</w:t>
            </w:r>
          </w:p>
        </w:tc>
        <w:tc>
          <w:tcPr>
            <w:tcW w:w="813" w:type="pct"/>
            <w:tcBorders>
              <w:top w:val="single" w:color="auto" w:sz="4" w:space="0"/>
              <w:left w:val="single" w:color="auto" w:sz="4" w:space="0"/>
              <w:bottom w:val="single" w:color="auto" w:sz="4" w:space="0"/>
              <w:right w:val="single" w:color="auto" w:sz="4" w:space="0"/>
            </w:tcBorders>
            <w:vAlign w:val="center"/>
          </w:tcPr>
          <w:p w14:paraId="2BAD5E73">
            <w:pPr>
              <w:spacing w:line="360" w:lineRule="auto"/>
              <w:jc w:val="center"/>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评分内容</w:t>
            </w:r>
          </w:p>
        </w:tc>
        <w:tc>
          <w:tcPr>
            <w:tcW w:w="3061" w:type="pct"/>
            <w:tcBorders>
              <w:top w:val="single" w:color="auto" w:sz="4" w:space="0"/>
              <w:left w:val="single" w:color="auto" w:sz="4" w:space="0"/>
              <w:bottom w:val="single" w:color="auto" w:sz="4" w:space="0"/>
              <w:right w:val="single" w:color="auto" w:sz="4" w:space="0"/>
            </w:tcBorders>
            <w:vAlign w:val="center"/>
          </w:tcPr>
          <w:p w14:paraId="252BD88C">
            <w:pPr>
              <w:spacing w:line="360" w:lineRule="auto"/>
              <w:jc w:val="center"/>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评分标准</w:t>
            </w:r>
          </w:p>
        </w:tc>
        <w:tc>
          <w:tcPr>
            <w:tcW w:w="536" w:type="pct"/>
            <w:tcBorders>
              <w:top w:val="single" w:color="auto" w:sz="4" w:space="0"/>
              <w:left w:val="single" w:color="auto" w:sz="4" w:space="0"/>
              <w:bottom w:val="single" w:color="auto" w:sz="4" w:space="0"/>
              <w:right w:val="single" w:color="auto" w:sz="4" w:space="0"/>
            </w:tcBorders>
            <w:vAlign w:val="center"/>
          </w:tcPr>
          <w:p w14:paraId="2D51AA87">
            <w:pPr>
              <w:spacing w:line="360" w:lineRule="auto"/>
              <w:jc w:val="center"/>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分值范围</w:t>
            </w:r>
          </w:p>
        </w:tc>
      </w:tr>
      <w:tr w14:paraId="1FD74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 w:type="pct"/>
            <w:vMerge w:val="restart"/>
            <w:tcBorders>
              <w:top w:val="single" w:color="auto" w:sz="4" w:space="0"/>
              <w:left w:val="single" w:color="auto" w:sz="4" w:space="0"/>
              <w:right w:val="single" w:color="auto" w:sz="4" w:space="0"/>
            </w:tcBorders>
            <w:vAlign w:val="center"/>
          </w:tcPr>
          <w:p w14:paraId="6C0B070D">
            <w:pPr>
              <w:spacing w:line="360" w:lineRule="auto"/>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技术资信分</w:t>
            </w:r>
          </w:p>
          <w:p w14:paraId="4D520109">
            <w:pPr>
              <w:spacing w:line="360" w:lineRule="auto"/>
              <w:jc w:val="center"/>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u w:val="single"/>
              </w:rPr>
              <w:t>70</w:t>
            </w:r>
            <w:r>
              <w:rPr>
                <w:rFonts w:hint="eastAsia" w:asciiTheme="minorEastAsia" w:hAnsiTheme="minorEastAsia" w:eastAsiaTheme="minorEastAsia" w:cstheme="minorEastAsia"/>
                <w:sz w:val="24"/>
                <w:szCs w:val="24"/>
                <w:highlight w:val="none"/>
              </w:rPr>
              <w:t>分）</w:t>
            </w:r>
          </w:p>
        </w:tc>
        <w:tc>
          <w:tcPr>
            <w:tcW w:w="813" w:type="pct"/>
            <w:tcBorders>
              <w:top w:val="single" w:color="auto" w:sz="4" w:space="0"/>
              <w:left w:val="single" w:color="auto" w:sz="4" w:space="0"/>
              <w:bottom w:val="single" w:color="auto" w:sz="4" w:space="0"/>
              <w:right w:val="single" w:color="auto" w:sz="4" w:space="0"/>
            </w:tcBorders>
            <w:shd w:val="clear" w:color="auto" w:fill="auto"/>
            <w:vAlign w:val="center"/>
          </w:tcPr>
          <w:p w14:paraId="104F1199">
            <w:pPr>
              <w:spacing w:line="360" w:lineRule="auto"/>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Cs/>
                <w:sz w:val="24"/>
                <w:szCs w:val="24"/>
                <w:highlight w:val="none"/>
                <w:lang w:val="zh-CN"/>
              </w:rPr>
              <w:t>技术指标响应</w:t>
            </w:r>
          </w:p>
        </w:tc>
        <w:tc>
          <w:tcPr>
            <w:tcW w:w="3061" w:type="pct"/>
            <w:tcBorders>
              <w:top w:val="single" w:color="auto" w:sz="4" w:space="0"/>
              <w:left w:val="single" w:color="auto" w:sz="4" w:space="0"/>
              <w:bottom w:val="single" w:color="auto" w:sz="4" w:space="0"/>
              <w:right w:val="single" w:color="auto" w:sz="4" w:space="0"/>
            </w:tcBorders>
            <w:shd w:val="clear" w:color="auto" w:fill="auto"/>
            <w:vAlign w:val="center"/>
          </w:tcPr>
          <w:p w14:paraId="5905CD84">
            <w:pPr>
              <w:spacing w:line="360" w:lineRule="auto"/>
              <w:rPr>
                <w:rFonts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标记为“★”的指标是关键技术条款，满足并提供证明材料的，每项得1.5分，共计2</w:t>
            </w:r>
            <w:r>
              <w:rPr>
                <w:rFonts w:hint="eastAsia" w:asciiTheme="minorEastAsia" w:hAnsiTheme="minorEastAsia" w:eastAsiaTheme="minorEastAsia" w:cstheme="minorEastAsia"/>
                <w:color w:val="000000"/>
                <w:sz w:val="24"/>
                <w:szCs w:val="24"/>
                <w:highlight w:val="none"/>
                <w:lang w:val="en-US" w:eastAsia="zh-CN"/>
              </w:rPr>
              <w:t>0</w:t>
            </w:r>
            <w:r>
              <w:rPr>
                <w:rFonts w:hint="eastAsia" w:asciiTheme="minorEastAsia" w:hAnsiTheme="minorEastAsia" w:eastAsiaTheme="minorEastAsia" w:cstheme="minorEastAsia"/>
                <w:color w:val="000000"/>
                <w:sz w:val="24"/>
                <w:szCs w:val="24"/>
                <w:highlight w:val="none"/>
              </w:rPr>
              <w:t>条，全部满足得3</w:t>
            </w:r>
            <w:r>
              <w:rPr>
                <w:rFonts w:hint="eastAsia" w:asciiTheme="minorEastAsia" w:hAnsiTheme="minorEastAsia" w:eastAsiaTheme="minorEastAsia" w:cstheme="minorEastAsia"/>
                <w:color w:val="000000"/>
                <w:sz w:val="24"/>
                <w:szCs w:val="24"/>
                <w:highlight w:val="none"/>
                <w:lang w:val="en-US" w:eastAsia="zh-CN"/>
              </w:rPr>
              <w:t>0</w:t>
            </w:r>
            <w:r>
              <w:rPr>
                <w:rFonts w:hint="eastAsia" w:asciiTheme="minorEastAsia" w:hAnsiTheme="minorEastAsia" w:eastAsiaTheme="minorEastAsia" w:cstheme="minorEastAsia"/>
                <w:color w:val="000000"/>
                <w:sz w:val="24"/>
                <w:szCs w:val="24"/>
                <w:highlight w:val="none"/>
              </w:rPr>
              <w:t>分。</w:t>
            </w:r>
          </w:p>
        </w:tc>
        <w:tc>
          <w:tcPr>
            <w:tcW w:w="536" w:type="pct"/>
            <w:tcBorders>
              <w:top w:val="single" w:color="auto" w:sz="4" w:space="0"/>
              <w:left w:val="single" w:color="auto" w:sz="4" w:space="0"/>
              <w:bottom w:val="single" w:color="auto" w:sz="4" w:space="0"/>
              <w:right w:val="single" w:color="auto" w:sz="4" w:space="0"/>
            </w:tcBorders>
            <w:vAlign w:val="center"/>
          </w:tcPr>
          <w:p w14:paraId="1CAB99DF">
            <w:pPr>
              <w:spacing w:line="360" w:lineRule="auto"/>
              <w:jc w:val="center"/>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Cs/>
                <w:sz w:val="24"/>
                <w:szCs w:val="24"/>
                <w:highlight w:val="none"/>
              </w:rPr>
              <w:t>3</w:t>
            </w:r>
            <w:r>
              <w:rPr>
                <w:rFonts w:hint="eastAsia" w:asciiTheme="minorEastAsia" w:hAnsiTheme="minorEastAsia" w:eastAsiaTheme="minorEastAsia" w:cstheme="minorEastAsia"/>
                <w:bCs/>
                <w:sz w:val="24"/>
                <w:szCs w:val="24"/>
                <w:highlight w:val="none"/>
                <w:lang w:val="en-US" w:eastAsia="zh-CN"/>
              </w:rPr>
              <w:t>0</w:t>
            </w:r>
            <w:r>
              <w:rPr>
                <w:rFonts w:hint="eastAsia" w:asciiTheme="minorEastAsia" w:hAnsiTheme="minorEastAsia" w:eastAsiaTheme="minorEastAsia" w:cstheme="minorEastAsia"/>
                <w:bCs/>
                <w:sz w:val="24"/>
                <w:szCs w:val="24"/>
                <w:highlight w:val="none"/>
              </w:rPr>
              <w:t>分</w:t>
            </w:r>
          </w:p>
        </w:tc>
      </w:tr>
      <w:tr w14:paraId="36ACC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 w:type="pct"/>
            <w:vMerge w:val="continue"/>
            <w:tcBorders>
              <w:left w:val="single" w:color="auto" w:sz="4" w:space="0"/>
              <w:right w:val="single" w:color="auto" w:sz="4" w:space="0"/>
            </w:tcBorders>
            <w:vAlign w:val="center"/>
          </w:tcPr>
          <w:p w14:paraId="17ED45B5">
            <w:pPr>
              <w:spacing w:line="360" w:lineRule="auto"/>
              <w:ind w:firstLine="435"/>
              <w:jc w:val="center"/>
              <w:rPr>
                <w:rFonts w:asciiTheme="minorEastAsia" w:hAnsiTheme="minorEastAsia" w:eastAsiaTheme="minorEastAsia" w:cstheme="minorEastAsia"/>
                <w:b/>
                <w:bCs/>
                <w:sz w:val="24"/>
                <w:szCs w:val="24"/>
                <w:highlight w:val="none"/>
              </w:rPr>
            </w:pPr>
          </w:p>
        </w:tc>
        <w:tc>
          <w:tcPr>
            <w:tcW w:w="813" w:type="pct"/>
            <w:tcBorders>
              <w:top w:val="single" w:color="auto" w:sz="4" w:space="0"/>
              <w:left w:val="single" w:color="auto" w:sz="4" w:space="0"/>
              <w:bottom w:val="single" w:color="auto" w:sz="4" w:space="0"/>
              <w:right w:val="single" w:color="auto" w:sz="4" w:space="0"/>
            </w:tcBorders>
            <w:shd w:val="clear" w:color="auto" w:fill="auto"/>
            <w:vAlign w:val="center"/>
          </w:tcPr>
          <w:p w14:paraId="4FC3BE25">
            <w:pPr>
              <w:autoSpaceDE w:val="0"/>
              <w:autoSpaceDN w:val="0"/>
              <w:adjustRightInd w:val="0"/>
              <w:snapToGrid w:val="0"/>
              <w:spacing w:line="360" w:lineRule="auto"/>
              <w:ind w:left="6" w:right="-109" w:rightChars="-52" w:hanging="6"/>
              <w:jc w:val="center"/>
              <w:rPr>
                <w:rFonts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color w:val="000000"/>
                <w:sz w:val="24"/>
                <w:szCs w:val="24"/>
                <w:highlight w:val="none"/>
              </w:rPr>
              <w:t>业绩</w:t>
            </w:r>
          </w:p>
        </w:tc>
        <w:tc>
          <w:tcPr>
            <w:tcW w:w="3061" w:type="pct"/>
            <w:tcBorders>
              <w:top w:val="single" w:color="auto" w:sz="4" w:space="0"/>
              <w:left w:val="single" w:color="auto" w:sz="4" w:space="0"/>
              <w:bottom w:val="single" w:color="auto" w:sz="4" w:space="0"/>
              <w:right w:val="single" w:color="auto" w:sz="4" w:space="0"/>
            </w:tcBorders>
            <w:shd w:val="clear" w:color="auto" w:fill="auto"/>
            <w:vAlign w:val="center"/>
          </w:tcPr>
          <w:p w14:paraId="7C40AFFA">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提供近5年（2020年1月之后）以来（以合同签订时间为准）的类似业绩，每提供1个类似业绩得</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分，满分</w:t>
            </w: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分。</w:t>
            </w:r>
          </w:p>
          <w:p w14:paraId="2DCCB596">
            <w:pPr>
              <w:spacing w:line="360" w:lineRule="auto"/>
              <w:rPr>
                <w:highlight w:val="none"/>
              </w:rPr>
            </w:pPr>
            <w:r>
              <w:rPr>
                <w:rFonts w:hint="eastAsia" w:asciiTheme="minorEastAsia" w:hAnsiTheme="minorEastAsia" w:eastAsiaTheme="minorEastAsia" w:cstheme="minorEastAsia"/>
                <w:sz w:val="24"/>
                <w:szCs w:val="24"/>
                <w:highlight w:val="none"/>
              </w:rPr>
              <w:t>注：投标文件中提供合同扫描件，若合同扫描件无法体现签订时间、评审因素等内容，另须提供业主单位出具的证明材料。</w:t>
            </w:r>
          </w:p>
        </w:tc>
        <w:tc>
          <w:tcPr>
            <w:tcW w:w="536" w:type="pct"/>
            <w:tcBorders>
              <w:top w:val="single" w:color="auto" w:sz="4" w:space="0"/>
              <w:left w:val="single" w:color="auto" w:sz="4" w:space="0"/>
              <w:bottom w:val="single" w:color="auto" w:sz="4" w:space="0"/>
              <w:right w:val="single" w:color="auto" w:sz="4" w:space="0"/>
            </w:tcBorders>
            <w:vAlign w:val="center"/>
          </w:tcPr>
          <w:p w14:paraId="4D2CF837">
            <w:pPr>
              <w:spacing w:line="360" w:lineRule="auto"/>
              <w:jc w:val="center"/>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6</w:t>
            </w:r>
            <w:r>
              <w:rPr>
                <w:rFonts w:hint="eastAsia" w:asciiTheme="minorEastAsia" w:hAnsiTheme="minorEastAsia" w:eastAsiaTheme="minorEastAsia" w:cstheme="minorEastAsia"/>
                <w:color w:val="000000"/>
                <w:sz w:val="24"/>
                <w:szCs w:val="24"/>
                <w:highlight w:val="none"/>
              </w:rPr>
              <w:t>分</w:t>
            </w:r>
          </w:p>
        </w:tc>
      </w:tr>
      <w:tr w14:paraId="14C91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 w:type="pct"/>
            <w:vMerge w:val="continue"/>
            <w:tcBorders>
              <w:left w:val="single" w:color="auto" w:sz="4" w:space="0"/>
              <w:right w:val="single" w:color="auto" w:sz="4" w:space="0"/>
            </w:tcBorders>
            <w:vAlign w:val="center"/>
          </w:tcPr>
          <w:p w14:paraId="0F803CC9">
            <w:pPr>
              <w:spacing w:line="360" w:lineRule="auto"/>
              <w:ind w:firstLine="435"/>
              <w:jc w:val="center"/>
              <w:rPr>
                <w:rFonts w:asciiTheme="minorEastAsia" w:hAnsiTheme="minorEastAsia" w:eastAsiaTheme="minorEastAsia" w:cstheme="minorEastAsia"/>
                <w:b/>
                <w:bCs/>
                <w:sz w:val="24"/>
                <w:szCs w:val="24"/>
                <w:highlight w:val="none"/>
              </w:rPr>
            </w:pPr>
          </w:p>
        </w:tc>
        <w:tc>
          <w:tcPr>
            <w:tcW w:w="813" w:type="pct"/>
            <w:tcBorders>
              <w:top w:val="single" w:color="auto" w:sz="4" w:space="0"/>
              <w:left w:val="single" w:color="auto" w:sz="4" w:space="0"/>
              <w:bottom w:val="single" w:color="auto" w:sz="4" w:space="0"/>
              <w:right w:val="single" w:color="auto" w:sz="4" w:space="0"/>
            </w:tcBorders>
            <w:shd w:val="clear" w:color="auto" w:fill="auto"/>
            <w:vAlign w:val="center"/>
          </w:tcPr>
          <w:p w14:paraId="256CEDA8">
            <w:pPr>
              <w:autoSpaceDE w:val="0"/>
              <w:autoSpaceDN w:val="0"/>
              <w:adjustRightInd w:val="0"/>
              <w:snapToGrid w:val="0"/>
              <w:spacing w:line="360" w:lineRule="auto"/>
              <w:ind w:left="6" w:leftChars="0" w:right="-109" w:rightChars="-52" w:hanging="6" w:firstLineChars="0"/>
              <w:jc w:val="center"/>
              <w:rPr>
                <w:rFonts w:hint="eastAsia" w:asciiTheme="minorEastAsia" w:hAnsiTheme="minorEastAsia" w:eastAsiaTheme="minorEastAsia" w:cstheme="minorEastAsia"/>
                <w:bCs/>
                <w:kern w:val="2"/>
                <w:sz w:val="24"/>
                <w:szCs w:val="24"/>
                <w:highlight w:val="none"/>
                <w:lang w:val="en-US" w:eastAsia="zh-CN" w:bidi="ar-SA"/>
              </w:rPr>
            </w:pPr>
            <w:r>
              <w:rPr>
                <w:rFonts w:hint="eastAsia" w:asciiTheme="minorEastAsia" w:hAnsiTheme="minorEastAsia" w:eastAsiaTheme="minorEastAsia" w:cstheme="minorEastAsia"/>
                <w:bCs/>
                <w:sz w:val="24"/>
                <w:szCs w:val="24"/>
                <w:highlight w:val="none"/>
                <w:lang w:val="en-US" w:eastAsia="zh-CN"/>
              </w:rPr>
              <w:t>项目经理</w:t>
            </w:r>
          </w:p>
        </w:tc>
        <w:tc>
          <w:tcPr>
            <w:tcW w:w="3061" w:type="pct"/>
            <w:tcBorders>
              <w:top w:val="single" w:color="auto" w:sz="4" w:space="0"/>
              <w:left w:val="single" w:color="auto" w:sz="4" w:space="0"/>
              <w:bottom w:val="single" w:color="auto" w:sz="4" w:space="0"/>
              <w:right w:val="single" w:color="auto" w:sz="4" w:space="0"/>
            </w:tcBorders>
            <w:shd w:val="clear" w:color="auto" w:fill="auto"/>
            <w:vAlign w:val="center"/>
          </w:tcPr>
          <w:p w14:paraId="0B8D090E">
            <w:pPr>
              <w:spacing w:line="360" w:lineRule="auto"/>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rPr>
              <w:t>投标人为本项目拟配备的</w:t>
            </w:r>
            <w:r>
              <w:rPr>
                <w:rFonts w:hint="eastAsia" w:asciiTheme="minorEastAsia" w:hAnsiTheme="minorEastAsia" w:eastAsiaTheme="minorEastAsia" w:cstheme="minorEastAsia"/>
                <w:color w:val="000000"/>
                <w:sz w:val="24"/>
                <w:szCs w:val="24"/>
                <w:highlight w:val="none"/>
                <w:lang w:val="en-US" w:eastAsia="zh-CN"/>
              </w:rPr>
              <w:t>项目经理</w:t>
            </w:r>
            <w:r>
              <w:rPr>
                <w:rFonts w:hint="eastAsia" w:asciiTheme="minorEastAsia" w:hAnsiTheme="minorEastAsia" w:eastAsiaTheme="minorEastAsia" w:cstheme="minorEastAsia"/>
                <w:color w:val="000000"/>
                <w:sz w:val="24"/>
                <w:szCs w:val="24"/>
                <w:highlight w:val="none"/>
              </w:rPr>
              <w:t>(1人)具有计算机技术与软件专业技术资格信息系统项目管理师证书，得2分</w:t>
            </w:r>
            <w:r>
              <w:rPr>
                <w:rFonts w:hint="eastAsia" w:asciiTheme="minorEastAsia" w:hAnsiTheme="minorEastAsia" w:eastAsiaTheme="minorEastAsia" w:cstheme="minorEastAsia"/>
                <w:color w:val="000000"/>
                <w:sz w:val="24"/>
                <w:szCs w:val="24"/>
                <w:highlight w:val="none"/>
                <w:lang w:eastAsia="zh-CN"/>
              </w:rPr>
              <w:t>。</w:t>
            </w:r>
          </w:p>
          <w:p w14:paraId="4BE500DA">
            <w:pPr>
              <w:numPr>
                <w:ilvl w:val="-1"/>
                <w:numId w:val="0"/>
              </w:numPr>
              <w:spacing w:line="360" w:lineRule="auto"/>
              <w:ind w:left="0" w:leftChars="0" w:firstLine="0" w:firstLineChars="0"/>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宋体" w:hAnsi="宋体" w:eastAsia="宋体" w:cs="宋体"/>
                <w:sz w:val="24"/>
                <w:szCs w:val="24"/>
                <w:highlight w:val="none"/>
                <w:lang w:val="en-US" w:eastAsia="zh-CN"/>
              </w:rPr>
              <w:t>注：</w:t>
            </w:r>
            <w:r>
              <w:rPr>
                <w:rFonts w:ascii="宋体" w:hAnsi="宋体" w:eastAsia="宋体" w:cs="宋体"/>
                <w:sz w:val="24"/>
                <w:szCs w:val="24"/>
                <w:highlight w:val="none"/>
              </w:rPr>
              <w:t>投标文件中</w:t>
            </w:r>
            <w:r>
              <w:rPr>
                <w:rFonts w:hint="eastAsia" w:ascii="宋体" w:hAnsi="宋体" w:eastAsia="宋体" w:cs="宋体"/>
                <w:sz w:val="24"/>
                <w:szCs w:val="24"/>
                <w:highlight w:val="none"/>
                <w:lang w:val="en-US" w:eastAsia="zh-CN"/>
              </w:rPr>
              <w:t>提供证书扫描件及</w:t>
            </w:r>
            <w:r>
              <w:rPr>
                <w:rFonts w:ascii="宋体" w:hAnsi="宋体" w:eastAsia="宋体" w:cs="宋体"/>
                <w:sz w:val="24"/>
                <w:szCs w:val="24"/>
                <w:highlight w:val="none"/>
              </w:rPr>
              <w:t>投标人为上述人员缴纳的近三个月内（任意一个月）的社保证明材料，社保证明材料形式详见第二章投标人须知前附表（提供任意五险之一的社保缴纳证明即可）。</w:t>
            </w:r>
          </w:p>
        </w:tc>
        <w:tc>
          <w:tcPr>
            <w:tcW w:w="536" w:type="pct"/>
            <w:tcBorders>
              <w:top w:val="single" w:color="auto" w:sz="4" w:space="0"/>
              <w:left w:val="single" w:color="auto" w:sz="4" w:space="0"/>
              <w:bottom w:val="single" w:color="auto" w:sz="4" w:space="0"/>
              <w:right w:val="single" w:color="auto" w:sz="4" w:space="0"/>
            </w:tcBorders>
            <w:shd w:val="clear" w:color="auto" w:fill="auto"/>
            <w:vAlign w:val="center"/>
          </w:tcPr>
          <w:p w14:paraId="1DA78B5E">
            <w:pPr>
              <w:spacing w:line="360" w:lineRule="auto"/>
              <w:jc w:val="center"/>
              <w:rPr>
                <w:rFonts w:hint="eastAsia" w:asciiTheme="minorEastAsia" w:hAnsiTheme="minorEastAsia" w:eastAsiaTheme="minorEastAsia" w:cstheme="minorEastAsia"/>
                <w:b/>
                <w:bCs/>
                <w:kern w:val="2"/>
                <w:sz w:val="24"/>
                <w:szCs w:val="24"/>
                <w:highlight w:val="none"/>
                <w:lang w:val="en-US" w:eastAsia="zh-CN" w:bidi="ar-SA"/>
              </w:rPr>
            </w:pPr>
            <w:r>
              <w:rPr>
                <w:rFonts w:hint="eastAsia" w:asciiTheme="minorEastAsia" w:hAnsiTheme="minorEastAsia" w:eastAsiaTheme="minorEastAsia" w:cstheme="minorEastAsia"/>
                <w:color w:val="000000"/>
                <w:sz w:val="24"/>
                <w:szCs w:val="24"/>
                <w:highlight w:val="none"/>
              </w:rPr>
              <w:t>2分</w:t>
            </w:r>
          </w:p>
        </w:tc>
      </w:tr>
      <w:tr w14:paraId="4659F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 w:type="pct"/>
            <w:vMerge w:val="continue"/>
            <w:tcBorders>
              <w:left w:val="single" w:color="auto" w:sz="4" w:space="0"/>
              <w:right w:val="single" w:color="auto" w:sz="4" w:space="0"/>
            </w:tcBorders>
            <w:vAlign w:val="center"/>
          </w:tcPr>
          <w:p w14:paraId="2B878AD6">
            <w:pPr>
              <w:spacing w:line="360" w:lineRule="auto"/>
              <w:ind w:firstLine="435"/>
              <w:jc w:val="center"/>
              <w:rPr>
                <w:rFonts w:asciiTheme="minorEastAsia" w:hAnsiTheme="minorEastAsia" w:eastAsiaTheme="minorEastAsia" w:cstheme="minorEastAsia"/>
                <w:b/>
                <w:bCs/>
                <w:sz w:val="24"/>
                <w:szCs w:val="24"/>
                <w:highlight w:val="none"/>
              </w:rPr>
            </w:pPr>
          </w:p>
        </w:tc>
        <w:tc>
          <w:tcPr>
            <w:tcW w:w="813" w:type="pct"/>
            <w:tcBorders>
              <w:top w:val="single" w:color="auto" w:sz="4" w:space="0"/>
              <w:left w:val="single" w:color="auto" w:sz="4" w:space="0"/>
              <w:bottom w:val="single" w:color="auto" w:sz="4" w:space="0"/>
              <w:right w:val="single" w:color="auto" w:sz="4" w:space="0"/>
            </w:tcBorders>
            <w:shd w:val="clear" w:color="auto" w:fill="auto"/>
            <w:vAlign w:val="center"/>
          </w:tcPr>
          <w:p w14:paraId="62C30690">
            <w:pPr>
              <w:autoSpaceDE w:val="0"/>
              <w:autoSpaceDN w:val="0"/>
              <w:adjustRightInd w:val="0"/>
              <w:snapToGrid w:val="0"/>
              <w:spacing w:line="360" w:lineRule="auto"/>
              <w:ind w:left="6" w:right="-109" w:rightChars="-52" w:hanging="6"/>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rPr>
              <w:t>质保承诺</w:t>
            </w:r>
          </w:p>
        </w:tc>
        <w:tc>
          <w:tcPr>
            <w:tcW w:w="3061" w:type="pct"/>
            <w:tcBorders>
              <w:top w:val="single" w:color="auto" w:sz="4" w:space="0"/>
              <w:left w:val="single" w:color="auto" w:sz="4" w:space="0"/>
              <w:bottom w:val="single" w:color="auto" w:sz="4" w:space="0"/>
              <w:right w:val="single" w:color="auto" w:sz="4" w:space="0"/>
            </w:tcBorders>
            <w:shd w:val="clear" w:color="auto" w:fill="auto"/>
            <w:vAlign w:val="center"/>
          </w:tcPr>
          <w:p w14:paraId="53041B85">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在招标文件要求的</w:t>
            </w:r>
            <w:r>
              <w:rPr>
                <w:rFonts w:hint="eastAsia" w:asciiTheme="minorEastAsia" w:hAnsiTheme="minorEastAsia" w:eastAsiaTheme="minorEastAsia" w:cstheme="minorEastAsia"/>
                <w:sz w:val="24"/>
                <w:szCs w:val="24"/>
                <w:highlight w:val="none"/>
                <w:lang w:eastAsia="zh-CN"/>
              </w:rPr>
              <w:t>质量保修期</w:t>
            </w:r>
            <w:r>
              <w:rPr>
                <w:rFonts w:hint="eastAsia" w:asciiTheme="minorEastAsia" w:hAnsiTheme="minorEastAsia" w:eastAsiaTheme="minorEastAsia" w:cstheme="minorEastAsia"/>
                <w:sz w:val="24"/>
                <w:szCs w:val="24"/>
                <w:highlight w:val="none"/>
              </w:rPr>
              <w:t>基础上承诺</w:t>
            </w:r>
            <w:r>
              <w:rPr>
                <w:rFonts w:ascii="宋体" w:hAnsi="宋体" w:eastAsia="宋体" w:cs="宋体"/>
                <w:sz w:val="24"/>
                <w:szCs w:val="24"/>
                <w:highlight w:val="none"/>
              </w:rPr>
              <w:t>针对所有产品</w:t>
            </w:r>
            <w:r>
              <w:rPr>
                <w:rFonts w:hint="eastAsia" w:ascii="宋体" w:hAnsi="宋体" w:eastAsia="宋体" w:cs="宋体"/>
                <w:sz w:val="24"/>
                <w:szCs w:val="24"/>
                <w:highlight w:val="none"/>
              </w:rPr>
              <w:t>每</w:t>
            </w:r>
            <w:r>
              <w:rPr>
                <w:rFonts w:hint="eastAsia" w:asciiTheme="minorEastAsia" w:hAnsiTheme="minorEastAsia" w:eastAsiaTheme="minorEastAsia" w:cstheme="minorEastAsia"/>
                <w:sz w:val="24"/>
                <w:szCs w:val="24"/>
                <w:highlight w:val="none"/>
              </w:rPr>
              <w:t>增加1年质保，得1分，最多2分。</w:t>
            </w:r>
          </w:p>
          <w:p w14:paraId="3785B52D">
            <w:pPr>
              <w:spacing w:line="360" w:lineRule="auto"/>
              <w:rPr>
                <w:highlight w:val="none"/>
              </w:rPr>
            </w:pPr>
            <w:r>
              <w:rPr>
                <w:rFonts w:hint="eastAsia" w:asciiTheme="minorEastAsia" w:hAnsiTheme="minorEastAsia" w:eastAsiaTheme="minorEastAsia" w:cstheme="minorEastAsia"/>
                <w:sz w:val="24"/>
                <w:szCs w:val="24"/>
                <w:highlight w:val="none"/>
              </w:rPr>
              <w:t>注：以商务响应表中</w:t>
            </w:r>
            <w:r>
              <w:rPr>
                <w:rFonts w:hint="eastAsia" w:asciiTheme="minorEastAsia" w:hAnsiTheme="minorEastAsia" w:eastAsiaTheme="minorEastAsia" w:cstheme="minorEastAsia"/>
                <w:sz w:val="24"/>
                <w:szCs w:val="24"/>
                <w:highlight w:val="none"/>
                <w:lang w:eastAsia="zh-CN"/>
              </w:rPr>
              <w:t>质量保修期</w:t>
            </w:r>
            <w:r>
              <w:rPr>
                <w:rFonts w:hint="eastAsia" w:asciiTheme="minorEastAsia" w:hAnsiTheme="minorEastAsia" w:eastAsiaTheme="minorEastAsia" w:cstheme="minorEastAsia"/>
                <w:sz w:val="24"/>
                <w:szCs w:val="24"/>
                <w:highlight w:val="none"/>
              </w:rPr>
              <w:t>响应为准。</w:t>
            </w:r>
          </w:p>
        </w:tc>
        <w:tc>
          <w:tcPr>
            <w:tcW w:w="536" w:type="pct"/>
            <w:tcBorders>
              <w:top w:val="single" w:color="auto" w:sz="4" w:space="0"/>
              <w:left w:val="single" w:color="auto" w:sz="4" w:space="0"/>
              <w:bottom w:val="single" w:color="auto" w:sz="4" w:space="0"/>
              <w:right w:val="single" w:color="auto" w:sz="4" w:space="0"/>
            </w:tcBorders>
            <w:vAlign w:val="center"/>
          </w:tcPr>
          <w:p w14:paraId="726264A9">
            <w:pPr>
              <w:spacing w:line="360" w:lineRule="auto"/>
              <w:jc w:val="center"/>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color w:val="000000"/>
                <w:sz w:val="24"/>
                <w:szCs w:val="24"/>
                <w:highlight w:val="none"/>
              </w:rPr>
              <w:t>2分</w:t>
            </w:r>
          </w:p>
        </w:tc>
      </w:tr>
      <w:tr w14:paraId="4BD71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 w:type="pct"/>
            <w:vMerge w:val="continue"/>
            <w:tcBorders>
              <w:left w:val="single" w:color="auto" w:sz="4" w:space="0"/>
              <w:right w:val="single" w:color="auto" w:sz="4" w:space="0"/>
            </w:tcBorders>
            <w:vAlign w:val="center"/>
          </w:tcPr>
          <w:p w14:paraId="609E0DAD">
            <w:pPr>
              <w:spacing w:line="360" w:lineRule="auto"/>
              <w:ind w:firstLine="435"/>
              <w:jc w:val="center"/>
              <w:rPr>
                <w:rFonts w:asciiTheme="minorEastAsia" w:hAnsiTheme="minorEastAsia" w:eastAsiaTheme="minorEastAsia" w:cstheme="minorEastAsia"/>
                <w:b/>
                <w:bCs/>
                <w:sz w:val="24"/>
                <w:szCs w:val="24"/>
                <w:highlight w:val="none"/>
              </w:rPr>
            </w:pPr>
          </w:p>
        </w:tc>
        <w:tc>
          <w:tcPr>
            <w:tcW w:w="813" w:type="pct"/>
            <w:tcBorders>
              <w:top w:val="single" w:color="auto" w:sz="4" w:space="0"/>
              <w:left w:val="single" w:color="auto" w:sz="4" w:space="0"/>
              <w:bottom w:val="single" w:color="auto" w:sz="4" w:space="0"/>
              <w:right w:val="single" w:color="auto" w:sz="4" w:space="0"/>
            </w:tcBorders>
            <w:shd w:val="clear" w:color="auto" w:fill="auto"/>
            <w:vAlign w:val="center"/>
          </w:tcPr>
          <w:p w14:paraId="22AE01CB">
            <w:pPr>
              <w:autoSpaceDE w:val="0"/>
              <w:autoSpaceDN w:val="0"/>
              <w:adjustRightInd w:val="0"/>
              <w:snapToGrid w:val="0"/>
              <w:spacing w:line="360" w:lineRule="auto"/>
              <w:ind w:left="6" w:right="-109" w:rightChars="-52" w:hanging="6"/>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color w:val="000000"/>
                <w:sz w:val="24"/>
                <w:szCs w:val="24"/>
                <w:highlight w:val="none"/>
              </w:rPr>
              <w:t>现状需求分析</w:t>
            </w:r>
          </w:p>
        </w:tc>
        <w:tc>
          <w:tcPr>
            <w:tcW w:w="3061" w:type="pct"/>
            <w:tcBorders>
              <w:top w:val="single" w:color="auto" w:sz="4" w:space="0"/>
              <w:left w:val="single" w:color="auto" w:sz="4" w:space="0"/>
              <w:bottom w:val="single" w:color="auto" w:sz="4" w:space="0"/>
              <w:right w:val="single" w:color="auto" w:sz="4" w:space="0"/>
            </w:tcBorders>
            <w:shd w:val="clear" w:color="auto" w:fill="auto"/>
            <w:vAlign w:val="center"/>
          </w:tcPr>
          <w:p w14:paraId="3761C935">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对包括现有设备、管理及使用情况，目标需求等内容进行编制：</w:t>
            </w:r>
          </w:p>
          <w:p w14:paraId="4DF548B8">
            <w:pPr>
              <w:numPr>
                <w:ilvl w:val="0"/>
                <w:numId w:val="3"/>
              </w:num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对现有消防设备了解全面，调查资料内容详细，目标需求分析明确，与学校实际情况符合，得 5 分；</w:t>
            </w:r>
          </w:p>
          <w:p w14:paraId="5B43D8C7">
            <w:pPr>
              <w:numPr>
                <w:ilvl w:val="0"/>
                <w:numId w:val="3"/>
              </w:num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对现有消防设备了解基本全面，调查资料内容基本详细，目标需求分析较明确，与学校实际情况基本符合得 3 分；</w:t>
            </w:r>
          </w:p>
          <w:p w14:paraId="29C1B8C6">
            <w:pPr>
              <w:numPr>
                <w:ilvl w:val="0"/>
                <w:numId w:val="3"/>
              </w:num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对现有消防设备了解有缺失，调查资料内容不详细，目标需求分析一般，与学校实际情况有偏差得 1 分；</w:t>
            </w:r>
          </w:p>
          <w:p w14:paraId="6E93A877">
            <w:pPr>
              <w:numPr>
                <w:ilvl w:val="-1"/>
                <w:numId w:val="0"/>
              </w:num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（4）项目情况不了解或未提供的得 0 分。</w:t>
            </w:r>
          </w:p>
        </w:tc>
        <w:tc>
          <w:tcPr>
            <w:tcW w:w="536" w:type="pct"/>
            <w:tcBorders>
              <w:top w:val="single" w:color="auto" w:sz="4" w:space="0"/>
              <w:left w:val="single" w:color="auto" w:sz="4" w:space="0"/>
              <w:bottom w:val="single" w:color="auto" w:sz="4" w:space="0"/>
              <w:right w:val="single" w:color="auto" w:sz="4" w:space="0"/>
            </w:tcBorders>
            <w:vAlign w:val="center"/>
          </w:tcPr>
          <w:p w14:paraId="47D5D8A6">
            <w:pPr>
              <w:spacing w:line="360" w:lineRule="auto"/>
              <w:jc w:val="center"/>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color w:val="000000"/>
                <w:sz w:val="24"/>
                <w:szCs w:val="24"/>
                <w:highlight w:val="none"/>
              </w:rPr>
              <w:t>5分</w:t>
            </w:r>
          </w:p>
        </w:tc>
      </w:tr>
      <w:tr w14:paraId="5FED1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 w:type="pct"/>
            <w:vMerge w:val="continue"/>
            <w:tcBorders>
              <w:left w:val="single" w:color="auto" w:sz="4" w:space="0"/>
              <w:right w:val="single" w:color="auto" w:sz="4" w:space="0"/>
            </w:tcBorders>
            <w:vAlign w:val="center"/>
          </w:tcPr>
          <w:p w14:paraId="2E2DEDB1">
            <w:pPr>
              <w:spacing w:line="360" w:lineRule="auto"/>
              <w:ind w:firstLine="435"/>
              <w:jc w:val="center"/>
              <w:rPr>
                <w:rFonts w:asciiTheme="minorEastAsia" w:hAnsiTheme="minorEastAsia" w:eastAsiaTheme="minorEastAsia" w:cstheme="minorEastAsia"/>
                <w:b/>
                <w:bCs/>
                <w:sz w:val="24"/>
                <w:szCs w:val="24"/>
                <w:highlight w:val="none"/>
              </w:rPr>
            </w:pPr>
          </w:p>
        </w:tc>
        <w:tc>
          <w:tcPr>
            <w:tcW w:w="813" w:type="pct"/>
            <w:tcBorders>
              <w:top w:val="single" w:color="auto" w:sz="4" w:space="0"/>
              <w:left w:val="single" w:color="auto" w:sz="4" w:space="0"/>
              <w:bottom w:val="single" w:color="auto" w:sz="4" w:space="0"/>
              <w:right w:val="single" w:color="auto" w:sz="4" w:space="0"/>
            </w:tcBorders>
            <w:shd w:val="clear" w:color="auto" w:fill="auto"/>
            <w:vAlign w:val="center"/>
          </w:tcPr>
          <w:p w14:paraId="44CFCC93">
            <w:pPr>
              <w:autoSpaceDE w:val="0"/>
              <w:autoSpaceDN w:val="0"/>
              <w:adjustRightInd w:val="0"/>
              <w:snapToGrid w:val="0"/>
              <w:spacing w:line="360" w:lineRule="auto"/>
              <w:ind w:left="6" w:right="-109" w:rightChars="-52" w:hanging="6"/>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color w:val="000000"/>
                <w:sz w:val="24"/>
                <w:szCs w:val="24"/>
                <w:highlight w:val="none"/>
              </w:rPr>
              <w:t>技术方案</w:t>
            </w:r>
          </w:p>
        </w:tc>
        <w:tc>
          <w:tcPr>
            <w:tcW w:w="3061" w:type="pct"/>
            <w:tcBorders>
              <w:top w:val="single" w:color="auto" w:sz="4" w:space="0"/>
              <w:left w:val="single" w:color="auto" w:sz="4" w:space="0"/>
              <w:bottom w:val="single" w:color="auto" w:sz="4" w:space="0"/>
              <w:right w:val="single" w:color="auto" w:sz="4" w:space="0"/>
            </w:tcBorders>
            <w:shd w:val="clear" w:color="auto" w:fill="auto"/>
            <w:vAlign w:val="center"/>
          </w:tcPr>
          <w:p w14:paraId="125026F8">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提供本次建设平台的技术方案，包括平台架构、功能组成等；</w:t>
            </w:r>
          </w:p>
          <w:p w14:paraId="48004D9F">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（1）方案</w:t>
            </w:r>
            <w:r>
              <w:rPr>
                <w:rFonts w:hint="eastAsia" w:asciiTheme="minorEastAsia" w:hAnsiTheme="minorEastAsia" w:eastAsiaTheme="minorEastAsia" w:cstheme="minorEastAsia"/>
                <w:sz w:val="24"/>
                <w:szCs w:val="24"/>
                <w:highlight w:val="none"/>
                <w:lang w:val="en-US" w:eastAsia="zh-CN"/>
              </w:rPr>
              <w:t>适合</w:t>
            </w:r>
            <w:r>
              <w:rPr>
                <w:rFonts w:hint="eastAsia" w:asciiTheme="minorEastAsia" w:hAnsiTheme="minorEastAsia" w:eastAsiaTheme="minorEastAsia" w:cstheme="minorEastAsia"/>
                <w:sz w:val="24"/>
                <w:szCs w:val="24"/>
                <w:highlight w:val="none"/>
              </w:rPr>
              <w:t>本项目采购需求，完整详细，可行性，实用性，针对性强，得5分；</w:t>
            </w:r>
          </w:p>
          <w:p w14:paraId="738ECC6E">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（2）方案</w:t>
            </w:r>
            <w:r>
              <w:rPr>
                <w:rFonts w:hint="eastAsia" w:asciiTheme="minorEastAsia" w:hAnsiTheme="minorEastAsia" w:eastAsiaTheme="minorEastAsia" w:cstheme="minorEastAsia"/>
                <w:sz w:val="24"/>
                <w:szCs w:val="24"/>
                <w:highlight w:val="none"/>
                <w:lang w:val="en-US" w:eastAsia="zh-CN"/>
              </w:rPr>
              <w:t>较</w:t>
            </w:r>
            <w:r>
              <w:rPr>
                <w:rFonts w:hint="eastAsia" w:asciiTheme="minorEastAsia" w:hAnsiTheme="minorEastAsia" w:eastAsiaTheme="minorEastAsia" w:cstheme="minorEastAsia"/>
                <w:sz w:val="24"/>
                <w:szCs w:val="24"/>
                <w:highlight w:val="none"/>
              </w:rPr>
              <w:t xml:space="preserve">适合本项目采购需求，较完整详细，较具有可行性，实用性和针对性，得3分； </w:t>
            </w:r>
          </w:p>
          <w:p w14:paraId="434C6F2A">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（3）方案基本适合本项目采购需求，可行性，实用性、针对性一般，得1分；</w:t>
            </w:r>
          </w:p>
          <w:p w14:paraId="3D9A5799">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（4）方案不可行或者未提供得0分。</w:t>
            </w:r>
          </w:p>
        </w:tc>
        <w:tc>
          <w:tcPr>
            <w:tcW w:w="536" w:type="pct"/>
            <w:tcBorders>
              <w:top w:val="single" w:color="auto" w:sz="4" w:space="0"/>
              <w:left w:val="single" w:color="auto" w:sz="4" w:space="0"/>
              <w:bottom w:val="single" w:color="auto" w:sz="4" w:space="0"/>
              <w:right w:val="single" w:color="auto" w:sz="4" w:space="0"/>
            </w:tcBorders>
            <w:vAlign w:val="center"/>
          </w:tcPr>
          <w:p w14:paraId="6DD08D62">
            <w:pPr>
              <w:spacing w:line="360" w:lineRule="auto"/>
              <w:jc w:val="center"/>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color w:val="000000"/>
                <w:sz w:val="24"/>
                <w:szCs w:val="24"/>
                <w:highlight w:val="none"/>
              </w:rPr>
              <w:t>5分</w:t>
            </w:r>
          </w:p>
        </w:tc>
      </w:tr>
      <w:tr w14:paraId="443AF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 w:type="pct"/>
            <w:vMerge w:val="continue"/>
            <w:tcBorders>
              <w:left w:val="single" w:color="auto" w:sz="4" w:space="0"/>
              <w:right w:val="single" w:color="auto" w:sz="4" w:space="0"/>
            </w:tcBorders>
            <w:vAlign w:val="center"/>
          </w:tcPr>
          <w:p w14:paraId="5FDB940D">
            <w:pPr>
              <w:spacing w:line="360" w:lineRule="auto"/>
              <w:ind w:firstLine="435"/>
              <w:jc w:val="center"/>
              <w:rPr>
                <w:rFonts w:asciiTheme="minorEastAsia" w:hAnsiTheme="minorEastAsia" w:eastAsiaTheme="minorEastAsia" w:cstheme="minorEastAsia"/>
                <w:b/>
                <w:bCs/>
                <w:sz w:val="24"/>
                <w:szCs w:val="24"/>
                <w:highlight w:val="none"/>
              </w:rPr>
            </w:pPr>
          </w:p>
        </w:tc>
        <w:tc>
          <w:tcPr>
            <w:tcW w:w="813" w:type="pct"/>
            <w:tcBorders>
              <w:top w:val="single" w:color="auto" w:sz="4" w:space="0"/>
              <w:left w:val="single" w:color="auto" w:sz="4" w:space="0"/>
              <w:bottom w:val="single" w:color="auto" w:sz="4" w:space="0"/>
              <w:right w:val="single" w:color="auto" w:sz="4" w:space="0"/>
            </w:tcBorders>
            <w:shd w:val="clear" w:color="auto" w:fill="auto"/>
            <w:vAlign w:val="center"/>
          </w:tcPr>
          <w:p w14:paraId="4D6A7CC5">
            <w:pPr>
              <w:autoSpaceDE w:val="0"/>
              <w:autoSpaceDN w:val="0"/>
              <w:adjustRightInd w:val="0"/>
              <w:snapToGrid w:val="0"/>
              <w:spacing w:line="360" w:lineRule="auto"/>
              <w:ind w:left="6" w:right="-109" w:rightChars="-52" w:hanging="6"/>
              <w:jc w:val="center"/>
              <w:rPr>
                <w:rFonts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对接方案</w:t>
            </w:r>
          </w:p>
        </w:tc>
        <w:tc>
          <w:tcPr>
            <w:tcW w:w="3061" w:type="pct"/>
            <w:tcBorders>
              <w:top w:val="single" w:color="auto" w:sz="4" w:space="0"/>
              <w:left w:val="single" w:color="auto" w:sz="4" w:space="0"/>
              <w:bottom w:val="single" w:color="auto" w:sz="4" w:space="0"/>
              <w:right w:val="single" w:color="auto" w:sz="4" w:space="0"/>
            </w:tcBorders>
            <w:shd w:val="clear" w:color="auto" w:fill="auto"/>
            <w:vAlign w:val="center"/>
          </w:tcPr>
          <w:p w14:paraId="5E6DC304">
            <w:pPr>
              <w:spacing w:line="360" w:lineRule="auto"/>
              <w:rPr>
                <w:rFonts w:asciiTheme="minorEastAsia" w:hAnsiTheme="minorEastAsia" w:eastAsiaTheme="minorEastAsia" w:cstheme="minorEastAsia"/>
                <w:i/>
                <w:iCs/>
                <w:strike/>
                <w:sz w:val="24"/>
                <w:szCs w:val="24"/>
                <w:highlight w:val="none"/>
              </w:rPr>
            </w:pPr>
            <w:r>
              <w:rPr>
                <w:rFonts w:hint="eastAsia" w:asciiTheme="minorEastAsia" w:hAnsiTheme="minorEastAsia" w:eastAsiaTheme="minorEastAsia" w:cstheme="minorEastAsia"/>
                <w:sz w:val="24"/>
                <w:szCs w:val="24"/>
                <w:highlight w:val="none"/>
              </w:rPr>
              <w:t>针对学校现状，提供符合学校管理要求和监管部门要求的对接方案：</w:t>
            </w:r>
          </w:p>
          <w:p w14:paraId="4053C56A">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（1）方案</w:t>
            </w:r>
            <w:r>
              <w:rPr>
                <w:rFonts w:hint="eastAsia" w:asciiTheme="minorEastAsia" w:hAnsiTheme="minorEastAsia" w:eastAsiaTheme="minorEastAsia" w:cstheme="minorEastAsia"/>
                <w:sz w:val="24"/>
                <w:szCs w:val="24"/>
                <w:highlight w:val="none"/>
                <w:lang w:val="en-US" w:eastAsia="zh-CN"/>
              </w:rPr>
              <w:t>适合</w:t>
            </w:r>
            <w:r>
              <w:rPr>
                <w:rFonts w:hint="eastAsia" w:asciiTheme="minorEastAsia" w:hAnsiTheme="minorEastAsia" w:eastAsiaTheme="minorEastAsia" w:cstheme="minorEastAsia"/>
                <w:sz w:val="24"/>
                <w:szCs w:val="24"/>
                <w:highlight w:val="none"/>
              </w:rPr>
              <w:t>本项目采购需求，完整详细，可行性，实用性，针对性强，得5分；</w:t>
            </w:r>
          </w:p>
          <w:p w14:paraId="0BE89FBB">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（2）方案</w:t>
            </w:r>
            <w:r>
              <w:rPr>
                <w:rFonts w:hint="eastAsia" w:asciiTheme="minorEastAsia" w:hAnsiTheme="minorEastAsia" w:eastAsiaTheme="minorEastAsia" w:cstheme="minorEastAsia"/>
                <w:sz w:val="24"/>
                <w:szCs w:val="24"/>
                <w:highlight w:val="none"/>
                <w:lang w:val="en-US" w:eastAsia="zh-CN"/>
              </w:rPr>
              <w:t>较</w:t>
            </w:r>
            <w:r>
              <w:rPr>
                <w:rFonts w:hint="eastAsia" w:asciiTheme="minorEastAsia" w:hAnsiTheme="minorEastAsia" w:eastAsiaTheme="minorEastAsia" w:cstheme="minorEastAsia"/>
                <w:sz w:val="24"/>
                <w:szCs w:val="24"/>
                <w:highlight w:val="none"/>
              </w:rPr>
              <w:t xml:space="preserve">适合本项目采购需求，较完整详细，较具有可行性，实用性和针对性，得3分； </w:t>
            </w:r>
          </w:p>
          <w:p w14:paraId="5C0CA621">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（3）方案基本适合本项目采购需求，可行性，实用性、针对性一般，得1分；</w:t>
            </w:r>
          </w:p>
          <w:p w14:paraId="0F72B001">
            <w:pPr>
              <w:pStyle w:val="25"/>
              <w:tabs>
                <w:tab w:val="left" w:pos="3600"/>
              </w:tabs>
              <w:spacing w:line="360" w:lineRule="auto"/>
              <w:ind w:left="0" w:leftChars="0" w:firstLine="0" w:firstLineChars="0"/>
              <w:rPr>
                <w:rFonts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sz w:val="24"/>
                <w:szCs w:val="24"/>
                <w:highlight w:val="none"/>
              </w:rPr>
              <w:t>（4）方案不可行或者未提供得0分。</w:t>
            </w:r>
          </w:p>
        </w:tc>
        <w:tc>
          <w:tcPr>
            <w:tcW w:w="536" w:type="pct"/>
            <w:tcBorders>
              <w:top w:val="single" w:color="auto" w:sz="4" w:space="0"/>
              <w:left w:val="single" w:color="auto" w:sz="4" w:space="0"/>
              <w:bottom w:val="single" w:color="auto" w:sz="4" w:space="0"/>
              <w:right w:val="single" w:color="auto" w:sz="4" w:space="0"/>
            </w:tcBorders>
            <w:vAlign w:val="center"/>
          </w:tcPr>
          <w:p w14:paraId="3D003229">
            <w:pPr>
              <w:spacing w:line="360" w:lineRule="auto"/>
              <w:jc w:val="center"/>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color w:val="000000"/>
                <w:sz w:val="24"/>
                <w:szCs w:val="24"/>
                <w:highlight w:val="none"/>
              </w:rPr>
              <w:t>5分</w:t>
            </w:r>
          </w:p>
        </w:tc>
      </w:tr>
      <w:tr w14:paraId="4553B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 w:type="pct"/>
            <w:vMerge w:val="continue"/>
            <w:tcBorders>
              <w:left w:val="single" w:color="auto" w:sz="4" w:space="0"/>
              <w:right w:val="single" w:color="auto" w:sz="4" w:space="0"/>
            </w:tcBorders>
            <w:vAlign w:val="center"/>
          </w:tcPr>
          <w:p w14:paraId="176D5970">
            <w:pPr>
              <w:spacing w:line="360" w:lineRule="auto"/>
              <w:ind w:firstLine="435"/>
              <w:jc w:val="center"/>
              <w:rPr>
                <w:rFonts w:asciiTheme="minorEastAsia" w:hAnsiTheme="minorEastAsia" w:eastAsiaTheme="minorEastAsia" w:cstheme="minorEastAsia"/>
                <w:b/>
                <w:bCs/>
                <w:sz w:val="24"/>
                <w:szCs w:val="24"/>
                <w:highlight w:val="none"/>
              </w:rPr>
            </w:pPr>
          </w:p>
        </w:tc>
        <w:tc>
          <w:tcPr>
            <w:tcW w:w="813" w:type="pct"/>
            <w:tcBorders>
              <w:top w:val="single" w:color="auto" w:sz="4" w:space="0"/>
              <w:left w:val="single" w:color="auto" w:sz="4" w:space="0"/>
              <w:bottom w:val="single" w:color="auto" w:sz="4" w:space="0"/>
              <w:right w:val="single" w:color="auto" w:sz="4" w:space="0"/>
            </w:tcBorders>
            <w:shd w:val="clear" w:color="auto" w:fill="auto"/>
            <w:vAlign w:val="center"/>
          </w:tcPr>
          <w:p w14:paraId="4D82D92C">
            <w:pPr>
              <w:autoSpaceDE w:val="0"/>
              <w:autoSpaceDN w:val="0"/>
              <w:adjustRightInd w:val="0"/>
              <w:snapToGrid w:val="0"/>
              <w:spacing w:line="360" w:lineRule="auto"/>
              <w:ind w:left="6" w:right="-109" w:rightChars="-52" w:hanging="6"/>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color w:val="000000"/>
                <w:sz w:val="24"/>
                <w:szCs w:val="24"/>
                <w:highlight w:val="none"/>
              </w:rPr>
              <w:t>重难点分析</w:t>
            </w:r>
          </w:p>
        </w:tc>
        <w:tc>
          <w:tcPr>
            <w:tcW w:w="3061" w:type="pct"/>
            <w:tcBorders>
              <w:top w:val="single" w:color="auto" w:sz="4" w:space="0"/>
              <w:left w:val="single" w:color="auto" w:sz="4" w:space="0"/>
              <w:bottom w:val="single" w:color="auto" w:sz="4" w:space="0"/>
              <w:right w:val="single" w:color="auto" w:sz="4" w:space="0"/>
            </w:tcBorders>
            <w:shd w:val="clear" w:color="auto" w:fill="auto"/>
            <w:vAlign w:val="center"/>
          </w:tcPr>
          <w:p w14:paraId="3FE9BE02">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对项目实施过程中的重难点进行分析，提出有针对性的解决方案及措施；</w:t>
            </w:r>
          </w:p>
          <w:p w14:paraId="5BD5BF25">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（1）重难点分析到位，解决方案及措施完整详细，可行性，实用性，针对性强，得 5 分；</w:t>
            </w:r>
          </w:p>
          <w:p w14:paraId="27598848">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（2）重难点分析基本到位，解决方案及措施较具有可行性，实用性和针对性，得 3 分；</w:t>
            </w:r>
          </w:p>
          <w:p w14:paraId="7BF159CE">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（3）重难点分析欠缺，解决方案及措施可行性，实用性、针对性一般，得 1 分；</w:t>
            </w:r>
          </w:p>
          <w:p w14:paraId="40FF268B">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（4）方案不可行或者未提供得 0 分。</w:t>
            </w:r>
          </w:p>
        </w:tc>
        <w:tc>
          <w:tcPr>
            <w:tcW w:w="536" w:type="pct"/>
            <w:tcBorders>
              <w:top w:val="single" w:color="auto" w:sz="4" w:space="0"/>
              <w:left w:val="single" w:color="auto" w:sz="4" w:space="0"/>
              <w:bottom w:val="single" w:color="auto" w:sz="4" w:space="0"/>
              <w:right w:val="single" w:color="auto" w:sz="4" w:space="0"/>
            </w:tcBorders>
            <w:vAlign w:val="center"/>
          </w:tcPr>
          <w:p w14:paraId="532CA000">
            <w:pPr>
              <w:spacing w:line="360" w:lineRule="auto"/>
              <w:jc w:val="center"/>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color w:val="000000"/>
                <w:sz w:val="24"/>
                <w:szCs w:val="24"/>
                <w:highlight w:val="none"/>
              </w:rPr>
              <w:t>5分</w:t>
            </w:r>
          </w:p>
        </w:tc>
      </w:tr>
      <w:tr w14:paraId="1AF6D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 w:type="pct"/>
            <w:vMerge w:val="continue"/>
            <w:tcBorders>
              <w:left w:val="single" w:color="auto" w:sz="4" w:space="0"/>
              <w:right w:val="single" w:color="auto" w:sz="4" w:space="0"/>
            </w:tcBorders>
            <w:vAlign w:val="center"/>
          </w:tcPr>
          <w:p w14:paraId="5F7251D3">
            <w:pPr>
              <w:spacing w:line="360" w:lineRule="auto"/>
              <w:ind w:firstLine="435"/>
              <w:jc w:val="center"/>
              <w:rPr>
                <w:rFonts w:asciiTheme="minorEastAsia" w:hAnsiTheme="minorEastAsia" w:eastAsiaTheme="minorEastAsia" w:cstheme="minorEastAsia"/>
                <w:b/>
                <w:bCs/>
                <w:sz w:val="24"/>
                <w:szCs w:val="24"/>
                <w:highlight w:val="none"/>
              </w:rPr>
            </w:pPr>
          </w:p>
        </w:tc>
        <w:tc>
          <w:tcPr>
            <w:tcW w:w="813" w:type="pct"/>
            <w:tcBorders>
              <w:top w:val="single" w:color="auto" w:sz="4" w:space="0"/>
              <w:left w:val="single" w:color="auto" w:sz="4" w:space="0"/>
              <w:bottom w:val="single" w:color="auto" w:sz="4" w:space="0"/>
              <w:right w:val="single" w:color="auto" w:sz="4" w:space="0"/>
            </w:tcBorders>
            <w:shd w:val="clear" w:color="auto" w:fill="auto"/>
            <w:vAlign w:val="center"/>
          </w:tcPr>
          <w:p w14:paraId="2EC42FC2">
            <w:pPr>
              <w:autoSpaceDE w:val="0"/>
              <w:autoSpaceDN w:val="0"/>
              <w:adjustRightInd w:val="0"/>
              <w:snapToGrid w:val="0"/>
              <w:spacing w:line="360" w:lineRule="auto"/>
              <w:ind w:left="6" w:right="-109" w:rightChars="-52" w:hanging="6"/>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color w:val="000000"/>
                <w:sz w:val="24"/>
                <w:szCs w:val="24"/>
                <w:highlight w:val="none"/>
              </w:rPr>
              <w:t>实施方案</w:t>
            </w:r>
          </w:p>
        </w:tc>
        <w:tc>
          <w:tcPr>
            <w:tcW w:w="3061" w:type="pct"/>
            <w:tcBorders>
              <w:top w:val="single" w:color="auto" w:sz="4" w:space="0"/>
              <w:left w:val="single" w:color="auto" w:sz="4" w:space="0"/>
              <w:bottom w:val="single" w:color="auto" w:sz="4" w:space="0"/>
              <w:right w:val="single" w:color="auto" w:sz="4" w:space="0"/>
            </w:tcBorders>
            <w:shd w:val="clear" w:color="auto" w:fill="auto"/>
            <w:vAlign w:val="center"/>
          </w:tcPr>
          <w:p w14:paraId="30C37178">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对包括进度安排、实施组织方案、实施团队等进行编制：</w:t>
            </w:r>
          </w:p>
          <w:p w14:paraId="03B37697">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（1）方案整体进度安排合理，实施组织方案完整详细，实施团队分工明确、针对性强，得5分；</w:t>
            </w:r>
          </w:p>
          <w:p w14:paraId="23237983">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（2）方案整体进度安排较合理，实施组织方案较完整详细，实施团队分工较明确、针对性较强，得3分； </w:t>
            </w:r>
          </w:p>
          <w:p w14:paraId="096E59D7">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（3）方案整体进度安排较一般，实施组织方案一般，实施团队分工一般、针对性一般，得1分；</w:t>
            </w:r>
          </w:p>
          <w:p w14:paraId="49B71D6F">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（4）方案不可行或者未提供得0分。</w:t>
            </w:r>
          </w:p>
        </w:tc>
        <w:tc>
          <w:tcPr>
            <w:tcW w:w="536" w:type="pct"/>
            <w:tcBorders>
              <w:top w:val="single" w:color="auto" w:sz="4" w:space="0"/>
              <w:left w:val="single" w:color="auto" w:sz="4" w:space="0"/>
              <w:bottom w:val="single" w:color="auto" w:sz="4" w:space="0"/>
              <w:right w:val="single" w:color="auto" w:sz="4" w:space="0"/>
            </w:tcBorders>
            <w:vAlign w:val="center"/>
          </w:tcPr>
          <w:p w14:paraId="3375D33B">
            <w:pPr>
              <w:spacing w:line="360" w:lineRule="auto"/>
              <w:jc w:val="center"/>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color w:val="000000"/>
                <w:sz w:val="24"/>
                <w:szCs w:val="24"/>
                <w:highlight w:val="none"/>
              </w:rPr>
              <w:t>5分</w:t>
            </w:r>
          </w:p>
        </w:tc>
      </w:tr>
      <w:tr w14:paraId="51877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 w:type="pct"/>
            <w:vMerge w:val="continue"/>
            <w:tcBorders>
              <w:left w:val="single" w:color="auto" w:sz="4" w:space="0"/>
              <w:right w:val="single" w:color="auto" w:sz="4" w:space="0"/>
            </w:tcBorders>
            <w:vAlign w:val="center"/>
          </w:tcPr>
          <w:p w14:paraId="2DC3D199">
            <w:pPr>
              <w:spacing w:line="360" w:lineRule="auto"/>
              <w:ind w:firstLine="435"/>
              <w:jc w:val="center"/>
              <w:rPr>
                <w:rFonts w:asciiTheme="minorEastAsia" w:hAnsiTheme="minorEastAsia" w:eastAsiaTheme="minorEastAsia" w:cstheme="minorEastAsia"/>
                <w:b/>
                <w:bCs/>
                <w:sz w:val="24"/>
                <w:szCs w:val="24"/>
                <w:highlight w:val="none"/>
              </w:rPr>
            </w:pPr>
          </w:p>
        </w:tc>
        <w:tc>
          <w:tcPr>
            <w:tcW w:w="813" w:type="pct"/>
            <w:tcBorders>
              <w:top w:val="single" w:color="auto" w:sz="4" w:space="0"/>
              <w:left w:val="single" w:color="auto" w:sz="4" w:space="0"/>
              <w:bottom w:val="single" w:color="auto" w:sz="4" w:space="0"/>
              <w:right w:val="single" w:color="auto" w:sz="4" w:space="0"/>
            </w:tcBorders>
            <w:shd w:val="clear" w:color="auto" w:fill="auto"/>
            <w:vAlign w:val="center"/>
          </w:tcPr>
          <w:p w14:paraId="0554CD61">
            <w:pPr>
              <w:autoSpaceDE w:val="0"/>
              <w:autoSpaceDN w:val="0"/>
              <w:adjustRightInd w:val="0"/>
              <w:snapToGrid w:val="0"/>
              <w:spacing w:line="360" w:lineRule="auto"/>
              <w:ind w:left="6" w:right="-109" w:rightChars="-52" w:hanging="6"/>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color w:val="000000"/>
                <w:sz w:val="24"/>
                <w:szCs w:val="24"/>
                <w:highlight w:val="none"/>
              </w:rPr>
              <w:t>售后服务方案</w:t>
            </w:r>
          </w:p>
        </w:tc>
        <w:tc>
          <w:tcPr>
            <w:tcW w:w="3061" w:type="pct"/>
            <w:tcBorders>
              <w:top w:val="single" w:color="auto" w:sz="4" w:space="0"/>
              <w:left w:val="single" w:color="auto" w:sz="4" w:space="0"/>
              <w:bottom w:val="single" w:color="auto" w:sz="4" w:space="0"/>
              <w:right w:val="single" w:color="auto" w:sz="4" w:space="0"/>
            </w:tcBorders>
            <w:shd w:val="clear" w:color="auto" w:fill="auto"/>
            <w:vAlign w:val="center"/>
          </w:tcPr>
          <w:p w14:paraId="07182B2B">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对包括服务体系、服务内容、故障应急解决方案、响应时间、拟投入本项目的专业技术人员情况等进行方案编制：</w:t>
            </w:r>
          </w:p>
          <w:p w14:paraId="5AD712F2">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（1）方案</w:t>
            </w:r>
            <w:r>
              <w:rPr>
                <w:rFonts w:hint="eastAsia" w:asciiTheme="minorEastAsia" w:hAnsiTheme="minorEastAsia" w:eastAsiaTheme="minorEastAsia" w:cstheme="minorEastAsia"/>
                <w:sz w:val="24"/>
                <w:szCs w:val="24"/>
                <w:highlight w:val="none"/>
                <w:lang w:val="en-US" w:eastAsia="zh-CN"/>
              </w:rPr>
              <w:t>适合</w:t>
            </w:r>
            <w:r>
              <w:rPr>
                <w:rFonts w:hint="eastAsia" w:asciiTheme="minorEastAsia" w:hAnsiTheme="minorEastAsia" w:eastAsiaTheme="minorEastAsia" w:cstheme="minorEastAsia"/>
                <w:sz w:val="24"/>
                <w:szCs w:val="24"/>
                <w:highlight w:val="none"/>
              </w:rPr>
              <w:t>本项目采购需求，完整详细，可行性，实用性，针对性强，得5分；</w:t>
            </w:r>
          </w:p>
          <w:p w14:paraId="400DAB2A">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（2）方案</w:t>
            </w:r>
            <w:r>
              <w:rPr>
                <w:rFonts w:hint="eastAsia" w:asciiTheme="minorEastAsia" w:hAnsiTheme="minorEastAsia" w:eastAsiaTheme="minorEastAsia" w:cstheme="minorEastAsia"/>
                <w:sz w:val="24"/>
                <w:szCs w:val="24"/>
                <w:highlight w:val="none"/>
                <w:lang w:val="en-US" w:eastAsia="zh-CN"/>
              </w:rPr>
              <w:t>较</w:t>
            </w:r>
            <w:r>
              <w:rPr>
                <w:rFonts w:hint="eastAsia" w:asciiTheme="minorEastAsia" w:hAnsiTheme="minorEastAsia" w:eastAsiaTheme="minorEastAsia" w:cstheme="minorEastAsia"/>
                <w:sz w:val="24"/>
                <w:szCs w:val="24"/>
                <w:highlight w:val="none"/>
              </w:rPr>
              <w:t xml:space="preserve">适合本项目采购需求，较完整详细，较具有可行性，实用性和针对性，得3分； </w:t>
            </w:r>
          </w:p>
          <w:p w14:paraId="2049E75C">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（3）方案基本适合本项目采购需求，可行性，实用性、针对性一般，得1分；</w:t>
            </w:r>
          </w:p>
          <w:p w14:paraId="3FFD7F0D">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（4）方案不可行或者未提供得0分。</w:t>
            </w:r>
          </w:p>
        </w:tc>
        <w:tc>
          <w:tcPr>
            <w:tcW w:w="536" w:type="pct"/>
            <w:tcBorders>
              <w:top w:val="single" w:color="auto" w:sz="4" w:space="0"/>
              <w:left w:val="single" w:color="auto" w:sz="4" w:space="0"/>
              <w:bottom w:val="single" w:color="auto" w:sz="4" w:space="0"/>
              <w:right w:val="single" w:color="auto" w:sz="4" w:space="0"/>
            </w:tcBorders>
            <w:vAlign w:val="center"/>
          </w:tcPr>
          <w:p w14:paraId="5B63A82C">
            <w:pPr>
              <w:spacing w:line="360" w:lineRule="auto"/>
              <w:jc w:val="center"/>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color w:val="000000"/>
                <w:sz w:val="24"/>
                <w:szCs w:val="24"/>
                <w:highlight w:val="none"/>
              </w:rPr>
              <w:t>5分</w:t>
            </w:r>
          </w:p>
        </w:tc>
      </w:tr>
      <w:tr w14:paraId="04058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 w:type="pct"/>
            <w:tcBorders>
              <w:left w:val="single" w:color="auto" w:sz="4" w:space="0"/>
              <w:right w:val="single" w:color="auto" w:sz="4" w:space="0"/>
            </w:tcBorders>
            <w:vAlign w:val="center"/>
          </w:tcPr>
          <w:p w14:paraId="241B39CE">
            <w:pPr>
              <w:spacing w:line="360" w:lineRule="auto"/>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价格分</w:t>
            </w:r>
          </w:p>
          <w:p w14:paraId="2FDA0369">
            <w:pPr>
              <w:spacing w:line="360" w:lineRule="auto"/>
              <w:jc w:val="center"/>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u w:val="single"/>
              </w:rPr>
              <w:t>30</w:t>
            </w:r>
            <w:r>
              <w:rPr>
                <w:rFonts w:hint="eastAsia" w:asciiTheme="minorEastAsia" w:hAnsiTheme="minorEastAsia" w:eastAsiaTheme="minorEastAsia" w:cstheme="minorEastAsia"/>
                <w:sz w:val="24"/>
                <w:szCs w:val="24"/>
                <w:highlight w:val="none"/>
              </w:rPr>
              <w:t>分）</w:t>
            </w:r>
          </w:p>
        </w:tc>
        <w:tc>
          <w:tcPr>
            <w:tcW w:w="4410" w:type="pct"/>
            <w:gridSpan w:val="3"/>
            <w:tcBorders>
              <w:top w:val="single" w:color="auto" w:sz="4" w:space="0"/>
              <w:left w:val="single" w:color="auto" w:sz="4" w:space="0"/>
              <w:bottom w:val="single" w:color="auto" w:sz="4" w:space="0"/>
              <w:right w:val="single" w:color="auto" w:sz="4" w:space="0"/>
            </w:tcBorders>
            <w:vAlign w:val="center"/>
          </w:tcPr>
          <w:p w14:paraId="302B72D9">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价格分统一采用低价优先法，即满足招标文件要求且投标价格最低的投标报价为评标基准价，其价格分为满分</w:t>
            </w:r>
            <w:r>
              <w:rPr>
                <w:rFonts w:hint="eastAsia" w:asciiTheme="minorEastAsia" w:hAnsiTheme="minorEastAsia" w:eastAsiaTheme="minorEastAsia" w:cstheme="minorEastAsia"/>
                <w:sz w:val="24"/>
                <w:szCs w:val="24"/>
                <w:highlight w:val="none"/>
                <w:u w:val="single"/>
              </w:rPr>
              <w:t>30</w:t>
            </w:r>
            <w:r>
              <w:rPr>
                <w:rFonts w:hint="eastAsia" w:asciiTheme="minorEastAsia" w:hAnsiTheme="minorEastAsia" w:eastAsiaTheme="minorEastAsia" w:cstheme="minorEastAsia"/>
                <w:sz w:val="24"/>
                <w:szCs w:val="24"/>
                <w:highlight w:val="none"/>
              </w:rPr>
              <w:t>分。其他投标人的价格分统一按照下列公式计算：</w:t>
            </w:r>
          </w:p>
          <w:p w14:paraId="52D872FD">
            <w:pPr>
              <w:spacing w:line="360" w:lineRule="auto"/>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sz w:val="24"/>
                <w:szCs w:val="24"/>
                <w:highlight w:val="none"/>
              </w:rPr>
              <w:t>投标报价得分＝（评标基准价/投标报价）×</w:t>
            </w:r>
            <w:r>
              <w:rPr>
                <w:rFonts w:hint="eastAsia" w:asciiTheme="minorEastAsia" w:hAnsiTheme="minorEastAsia" w:eastAsiaTheme="minorEastAsia" w:cstheme="minorEastAsia"/>
                <w:sz w:val="24"/>
                <w:szCs w:val="24"/>
                <w:highlight w:val="none"/>
                <w:u w:val="single"/>
              </w:rPr>
              <w:t>30</w:t>
            </w:r>
            <w:r>
              <w:rPr>
                <w:rFonts w:hint="eastAsia" w:asciiTheme="minorEastAsia" w:hAnsiTheme="minorEastAsia" w:eastAsiaTheme="minorEastAsia" w:cstheme="minorEastAsia"/>
                <w:sz w:val="24"/>
                <w:szCs w:val="24"/>
                <w:highlight w:val="none"/>
              </w:rPr>
              <w:t>％×100</w:t>
            </w:r>
          </w:p>
        </w:tc>
      </w:tr>
    </w:tbl>
    <w:p w14:paraId="7E77FB54">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.3.3</w:t>
      </w:r>
      <w:r>
        <w:rPr>
          <w:rFonts w:hint="eastAsia" w:asciiTheme="minorEastAsia" w:hAnsiTheme="minorEastAsia" w:eastAsiaTheme="minorEastAsia"/>
          <w:sz w:val="24"/>
          <w:highlight w:val="none"/>
        </w:rPr>
        <w:t>分值汇总</w:t>
      </w:r>
    </w:p>
    <w:p w14:paraId="06BF7348">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评标委员会各成员应当独立对每个</w:t>
      </w:r>
      <w:r>
        <w:rPr>
          <w:rFonts w:hint="eastAsia" w:asciiTheme="minorEastAsia" w:hAnsiTheme="minorEastAsia" w:eastAsiaTheme="minorEastAsia"/>
          <w:sz w:val="24"/>
          <w:highlight w:val="none"/>
        </w:rPr>
        <w:t>有效</w:t>
      </w:r>
      <w:r>
        <w:rPr>
          <w:rFonts w:asciiTheme="minorEastAsia" w:hAnsiTheme="minorEastAsia" w:eastAsiaTheme="minorEastAsia"/>
          <w:sz w:val="24"/>
          <w:highlight w:val="none"/>
        </w:rPr>
        <w:t>投标人的投标文件进行评</w:t>
      </w:r>
      <w:r>
        <w:rPr>
          <w:rFonts w:hint="eastAsia" w:asciiTheme="minorEastAsia" w:hAnsiTheme="minorEastAsia" w:eastAsiaTheme="minorEastAsia"/>
          <w:sz w:val="24"/>
          <w:highlight w:val="none"/>
        </w:rPr>
        <w:t>分</w:t>
      </w:r>
      <w:r>
        <w:rPr>
          <w:rFonts w:asciiTheme="minorEastAsia" w:hAnsiTheme="minorEastAsia" w:eastAsiaTheme="minorEastAsia"/>
          <w:sz w:val="24"/>
          <w:highlight w:val="none"/>
        </w:rPr>
        <w:t>，并汇总每个投</w:t>
      </w:r>
      <w:r>
        <w:rPr>
          <w:rFonts w:hint="eastAsia" w:asciiTheme="minorEastAsia" w:hAnsiTheme="minorEastAsia" w:eastAsiaTheme="minorEastAsia"/>
          <w:sz w:val="24"/>
          <w:highlight w:val="none"/>
        </w:rPr>
        <w:t>标人的得分。取各位评委评分之平均值，四舍五入保留至小数点后两位数，</w:t>
      </w:r>
      <w:r>
        <w:rPr>
          <w:rFonts w:asciiTheme="minorEastAsia" w:hAnsiTheme="minorEastAsia" w:eastAsiaTheme="minorEastAsia"/>
          <w:sz w:val="24"/>
          <w:highlight w:val="none"/>
        </w:rPr>
        <w:t>得到该投标</w:t>
      </w:r>
      <w:r>
        <w:rPr>
          <w:rFonts w:hint="eastAsia" w:asciiTheme="minorEastAsia" w:hAnsiTheme="minorEastAsia" w:eastAsiaTheme="minorEastAsia"/>
          <w:sz w:val="24"/>
          <w:highlight w:val="none"/>
        </w:rPr>
        <w:t>人</w:t>
      </w:r>
      <w:r>
        <w:rPr>
          <w:rFonts w:asciiTheme="minorEastAsia" w:hAnsiTheme="minorEastAsia" w:eastAsiaTheme="minorEastAsia"/>
          <w:sz w:val="24"/>
          <w:highlight w:val="none"/>
        </w:rPr>
        <w:t>的技术资信分</w:t>
      </w:r>
      <w:r>
        <w:rPr>
          <w:rFonts w:hint="eastAsia" w:asciiTheme="minorEastAsia" w:hAnsiTheme="minorEastAsia" w:eastAsiaTheme="minorEastAsia"/>
          <w:sz w:val="24"/>
          <w:highlight w:val="none"/>
        </w:rPr>
        <w:t>。</w:t>
      </w:r>
    </w:p>
    <w:p w14:paraId="2EC43820">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将投标</w:t>
      </w:r>
      <w:r>
        <w:rPr>
          <w:rFonts w:hint="eastAsia" w:asciiTheme="minorEastAsia" w:hAnsiTheme="minorEastAsia" w:eastAsiaTheme="minorEastAsia"/>
          <w:sz w:val="24"/>
          <w:highlight w:val="none"/>
        </w:rPr>
        <w:t>人</w:t>
      </w:r>
      <w:r>
        <w:rPr>
          <w:rFonts w:asciiTheme="minorEastAsia" w:hAnsiTheme="minorEastAsia" w:eastAsiaTheme="minorEastAsia"/>
          <w:sz w:val="24"/>
          <w:highlight w:val="none"/>
        </w:rPr>
        <w:t>的技术资信分加上根据上述标准计算出的价格分，即为该投标</w:t>
      </w:r>
      <w:r>
        <w:rPr>
          <w:rFonts w:hint="eastAsia" w:asciiTheme="minorEastAsia" w:hAnsiTheme="minorEastAsia" w:eastAsiaTheme="minorEastAsia"/>
          <w:sz w:val="24"/>
          <w:highlight w:val="none"/>
        </w:rPr>
        <w:t>人</w:t>
      </w:r>
      <w:r>
        <w:rPr>
          <w:rFonts w:asciiTheme="minorEastAsia" w:hAnsiTheme="minorEastAsia" w:eastAsiaTheme="minorEastAsia"/>
          <w:sz w:val="24"/>
          <w:highlight w:val="none"/>
        </w:rPr>
        <w:t>的综合总得分。</w:t>
      </w:r>
      <w:r>
        <w:rPr>
          <w:rFonts w:asciiTheme="minorEastAsia" w:hAnsiTheme="minorEastAsia" w:eastAsiaTheme="minorEastAsia"/>
          <w:sz w:val="24"/>
          <w:highlight w:val="none"/>
        </w:rPr>
        <w:br w:type="page"/>
      </w:r>
    </w:p>
    <w:p w14:paraId="6CA09DF6">
      <w:pPr>
        <w:spacing w:line="360" w:lineRule="auto"/>
        <w:jc w:val="center"/>
        <w:outlineLvl w:val="0"/>
        <w:rPr>
          <w:rFonts w:asciiTheme="minorEastAsia" w:hAnsiTheme="minorEastAsia" w:eastAsiaTheme="minorEastAsia"/>
          <w:b/>
          <w:sz w:val="28"/>
          <w:highlight w:val="none"/>
        </w:rPr>
      </w:pPr>
      <w:bookmarkStart w:id="93" w:name="_Toc32658"/>
      <w:r>
        <w:rPr>
          <w:rFonts w:hint="eastAsia" w:asciiTheme="minorEastAsia" w:hAnsiTheme="minorEastAsia" w:eastAsiaTheme="minorEastAsia"/>
          <w:b/>
          <w:sz w:val="28"/>
          <w:highlight w:val="none"/>
        </w:rPr>
        <w:t xml:space="preserve">第五章  </w:t>
      </w:r>
      <w:r>
        <w:rPr>
          <w:rFonts w:asciiTheme="minorEastAsia" w:hAnsiTheme="minorEastAsia" w:eastAsiaTheme="minorEastAsia"/>
          <w:b/>
          <w:sz w:val="28"/>
          <w:highlight w:val="none"/>
        </w:rPr>
        <w:t>政府采购合同</w:t>
      </w:r>
      <w:bookmarkEnd w:id="93"/>
    </w:p>
    <w:p w14:paraId="40756F8C">
      <w:pPr>
        <w:pStyle w:val="9"/>
        <w:spacing w:after="0" w:line="360" w:lineRule="auto"/>
        <w:rPr>
          <w:rFonts w:ascii="宋体" w:hAnsi="宋体" w:eastAsia="宋体" w:cs="宋体"/>
          <w:b/>
          <w:bCs/>
          <w:spacing w:val="-20"/>
          <w:kern w:val="44"/>
          <w:sz w:val="24"/>
          <w:highlight w:val="none"/>
        </w:rPr>
      </w:pPr>
    </w:p>
    <w:p w14:paraId="10C951C0">
      <w:pPr>
        <w:spacing w:line="480" w:lineRule="auto"/>
        <w:jc w:val="center"/>
        <w:rPr>
          <w:rFonts w:ascii="宋体" w:hAnsi="宋体"/>
          <w:b/>
          <w:sz w:val="24"/>
          <w:highlight w:val="none"/>
        </w:rPr>
      </w:pPr>
      <w:r>
        <w:rPr>
          <w:rFonts w:hint="eastAsia" w:ascii="宋体" w:hAnsi="宋体"/>
          <w:b/>
          <w:sz w:val="32"/>
          <w:szCs w:val="32"/>
          <w:highlight w:val="none"/>
        </w:rPr>
        <w:t>淮南师范学院校园智慧安全项目采购合同</w:t>
      </w:r>
    </w:p>
    <w:p w14:paraId="173D61BD">
      <w:pPr>
        <w:spacing w:line="480" w:lineRule="auto"/>
        <w:jc w:val="center"/>
        <w:rPr>
          <w:rFonts w:ascii="宋体" w:hAnsi="宋体"/>
          <w:b/>
          <w:sz w:val="24"/>
          <w:highlight w:val="none"/>
        </w:rPr>
      </w:pPr>
    </w:p>
    <w:p w14:paraId="2F21DEEA">
      <w:pPr>
        <w:spacing w:line="480" w:lineRule="auto"/>
        <w:jc w:val="center"/>
        <w:rPr>
          <w:rFonts w:ascii="宋体" w:hAnsi="宋体"/>
          <w:b/>
          <w:sz w:val="24"/>
          <w:highlight w:val="none"/>
        </w:rPr>
      </w:pPr>
    </w:p>
    <w:p w14:paraId="7199D6CB">
      <w:pPr>
        <w:spacing w:line="360" w:lineRule="auto"/>
        <w:jc w:val="center"/>
        <w:outlineLvl w:val="2"/>
        <w:rPr>
          <w:rFonts w:ascii="宋体" w:hAnsi="宋体"/>
          <w:b/>
          <w:sz w:val="24"/>
          <w:highlight w:val="none"/>
        </w:rPr>
      </w:pPr>
      <w:bookmarkStart w:id="94" w:name="_Toc9138"/>
      <w:r>
        <w:rPr>
          <w:rFonts w:hint="eastAsia" w:ascii="宋体" w:hAnsi="宋体"/>
          <w:b/>
          <w:sz w:val="24"/>
          <w:highlight w:val="none"/>
        </w:rPr>
        <w:t>第一部分 合同书</w:t>
      </w:r>
      <w:bookmarkEnd w:id="94"/>
    </w:p>
    <w:p w14:paraId="7282EBB7">
      <w:pPr>
        <w:spacing w:line="480" w:lineRule="auto"/>
        <w:jc w:val="center"/>
        <w:rPr>
          <w:rFonts w:ascii="宋体" w:hAnsi="宋体"/>
          <w:b/>
          <w:sz w:val="24"/>
          <w:highlight w:val="none"/>
        </w:rPr>
      </w:pPr>
    </w:p>
    <w:p w14:paraId="3EF3417F">
      <w:pPr>
        <w:spacing w:line="480" w:lineRule="auto"/>
        <w:jc w:val="center"/>
        <w:rPr>
          <w:rFonts w:ascii="宋体" w:hAnsi="宋体"/>
          <w:b/>
          <w:sz w:val="24"/>
          <w:highlight w:val="none"/>
        </w:rPr>
      </w:pPr>
    </w:p>
    <w:p w14:paraId="5DCC9990">
      <w:pPr>
        <w:spacing w:line="480" w:lineRule="auto"/>
        <w:jc w:val="center"/>
        <w:rPr>
          <w:rFonts w:asciiTheme="minorEastAsia" w:hAnsiTheme="minorEastAsia" w:eastAsiaTheme="minorEastAsia" w:cstheme="minorEastAsia"/>
          <w:b/>
          <w:sz w:val="24"/>
          <w:highlight w:val="none"/>
        </w:rPr>
      </w:pPr>
    </w:p>
    <w:p w14:paraId="7EACE793">
      <w:pPr>
        <w:spacing w:line="360" w:lineRule="auto"/>
        <w:ind w:left="420" w:leftChars="200"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项目名称：（分包项目须填写完整的分包号及分包名称）</w:t>
      </w:r>
    </w:p>
    <w:p w14:paraId="738B53CC">
      <w:pPr>
        <w:spacing w:before="120" w:line="480" w:lineRule="auto"/>
        <w:ind w:left="96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项目编号：</w:t>
      </w:r>
    </w:p>
    <w:p w14:paraId="08FB01D6">
      <w:pPr>
        <w:spacing w:before="120" w:line="480" w:lineRule="auto"/>
        <w:ind w:left="960"/>
        <w:rPr>
          <w:rFonts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甲方（采购人）：</w:t>
      </w:r>
    </w:p>
    <w:p w14:paraId="4AC1AF62">
      <w:pPr>
        <w:spacing w:before="120" w:line="480" w:lineRule="auto"/>
        <w:ind w:left="960"/>
        <w:rPr>
          <w:rFonts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乙方（中标供应商）：</w:t>
      </w:r>
    </w:p>
    <w:p w14:paraId="554BD673">
      <w:pPr>
        <w:spacing w:before="120" w:line="480" w:lineRule="auto"/>
        <w:ind w:firstLine="960" w:firstLineChars="400"/>
        <w:rPr>
          <w:rFonts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签订地：</w:t>
      </w:r>
    </w:p>
    <w:p w14:paraId="39918368">
      <w:pPr>
        <w:spacing w:before="120" w:line="480" w:lineRule="auto"/>
        <w:ind w:firstLine="960" w:firstLineChars="4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签订日期：年月日</w:t>
      </w:r>
    </w:p>
    <w:p w14:paraId="53399A74">
      <w:pPr>
        <w:widowControl/>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br w:type="page"/>
      </w:r>
    </w:p>
    <w:p w14:paraId="2FDB64A4">
      <w:pPr>
        <w:spacing w:line="360" w:lineRule="auto"/>
        <w:ind w:firstLine="43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淮南师范学院（以下简称：甲方）通过安徽安天利信工程管理股份有限公司组织的</w:t>
      </w:r>
      <w:r>
        <w:rPr>
          <w:rFonts w:hint="eastAsia" w:asciiTheme="minorEastAsia" w:hAnsiTheme="minorEastAsia" w:eastAsiaTheme="minorEastAsia" w:cstheme="minorEastAsia"/>
          <w:sz w:val="24"/>
          <w:highlight w:val="none"/>
          <w:u w:val="single"/>
        </w:rPr>
        <w:t>公开招标</w:t>
      </w:r>
      <w:r>
        <w:rPr>
          <w:rFonts w:hint="eastAsia" w:asciiTheme="minorEastAsia" w:hAnsiTheme="minorEastAsia" w:eastAsiaTheme="minorEastAsia" w:cstheme="minorEastAsia"/>
          <w:sz w:val="24"/>
          <w:highlight w:val="none"/>
        </w:rPr>
        <w:t>方式采购活动，经</w:t>
      </w:r>
      <w:r>
        <w:rPr>
          <w:rFonts w:hint="eastAsia" w:asciiTheme="minorEastAsia" w:hAnsiTheme="minorEastAsia" w:eastAsiaTheme="minorEastAsia" w:cstheme="minorEastAsia"/>
          <w:sz w:val="24"/>
          <w:highlight w:val="none"/>
          <w:u w:val="single"/>
        </w:rPr>
        <w:t>评标委员会</w:t>
      </w:r>
      <w:r>
        <w:rPr>
          <w:rFonts w:hint="eastAsia" w:asciiTheme="minorEastAsia" w:hAnsiTheme="minorEastAsia" w:eastAsiaTheme="minorEastAsia" w:cstheme="minorEastAsia"/>
          <w:sz w:val="24"/>
          <w:highlight w:val="none"/>
        </w:rPr>
        <w:t>评定，</w:t>
      </w:r>
      <w:r>
        <w:rPr>
          <w:rFonts w:hint="eastAsia" w:asciiTheme="minorEastAsia" w:hAnsiTheme="minorEastAsia" w:eastAsiaTheme="minorEastAsia" w:cstheme="minorEastAsia"/>
          <w:i/>
          <w:iCs/>
          <w:sz w:val="24"/>
          <w:highlight w:val="none"/>
          <w:u w:val="single"/>
        </w:rPr>
        <w:t>（中标供应商名称）</w:t>
      </w:r>
      <w:r>
        <w:rPr>
          <w:rFonts w:hint="eastAsia" w:asciiTheme="minorEastAsia" w:hAnsiTheme="minorEastAsia" w:eastAsiaTheme="minorEastAsia" w:cstheme="minorEastAsia"/>
          <w:sz w:val="24"/>
          <w:highlight w:val="none"/>
        </w:rPr>
        <w:t>（以下简称：乙方）为本项目中标供应商，现按照采购文件确定的事项签订本合同。</w:t>
      </w:r>
    </w:p>
    <w:p w14:paraId="2B0FE545">
      <w:pPr>
        <w:spacing w:line="360" w:lineRule="auto"/>
        <w:ind w:firstLine="43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根据《中华人民共和国民法典》等相关法律法规之规定，按照平等、自愿、公平和诚实信用的原则，经甲方和乙方协商一致，约定以下合同条款，以兹共同遵守、全面履行。</w:t>
      </w:r>
    </w:p>
    <w:p w14:paraId="4D9E0EFC">
      <w:pPr>
        <w:spacing w:line="360" w:lineRule="auto"/>
        <w:ind w:firstLine="437"/>
        <w:outlineLvl w:val="3"/>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1.1 合同组成部分</w:t>
      </w:r>
    </w:p>
    <w:p w14:paraId="4EC6D917">
      <w:pPr>
        <w:spacing w:line="360" w:lineRule="auto"/>
        <w:ind w:firstLine="43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下列文件为本合同的组成部分，并构成一个整体，需综合解释、相互补充。如果下列文件内容出现不一致的情形，那么在保证按照采购文件确定的事项前提下，组成本合同的多个文件的优先适用顺序如下：</w:t>
      </w:r>
    </w:p>
    <w:p w14:paraId="7600BD3D">
      <w:pPr>
        <w:spacing w:line="360" w:lineRule="auto"/>
        <w:ind w:firstLine="43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1.1.1本合同及其补充合同、变更协议；</w:t>
      </w:r>
    </w:p>
    <w:p w14:paraId="6EEE45B8">
      <w:pPr>
        <w:spacing w:line="360" w:lineRule="auto"/>
        <w:ind w:firstLine="43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1.1.2中标通知书；</w:t>
      </w:r>
    </w:p>
    <w:p w14:paraId="53CA7B13">
      <w:pPr>
        <w:spacing w:line="360" w:lineRule="auto"/>
        <w:ind w:firstLine="43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1.1.3投标文件（含澄清或者说明文件）；</w:t>
      </w:r>
    </w:p>
    <w:p w14:paraId="59196CF3">
      <w:pPr>
        <w:spacing w:line="360" w:lineRule="auto"/>
        <w:ind w:firstLine="43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1.1.4招标文件（含澄清或者修改文件）；</w:t>
      </w:r>
    </w:p>
    <w:p w14:paraId="11257FC2">
      <w:pPr>
        <w:spacing w:line="360" w:lineRule="auto"/>
        <w:ind w:firstLine="43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1.1.5其他相关采购文件。</w:t>
      </w:r>
    </w:p>
    <w:p w14:paraId="07340CD6">
      <w:pPr>
        <w:spacing w:line="360" w:lineRule="auto"/>
        <w:ind w:firstLine="437"/>
        <w:outlineLvl w:val="3"/>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1.2 货物</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1516"/>
        <w:gridCol w:w="1516"/>
        <w:gridCol w:w="1510"/>
        <w:gridCol w:w="1510"/>
        <w:gridCol w:w="1510"/>
      </w:tblGrid>
      <w:tr w14:paraId="40324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tcBorders>
              <w:top w:val="single" w:color="auto" w:sz="4" w:space="0"/>
              <w:left w:val="single" w:color="auto" w:sz="4" w:space="0"/>
              <w:bottom w:val="single" w:color="auto" w:sz="4" w:space="0"/>
              <w:right w:val="single" w:color="auto" w:sz="4" w:space="0"/>
            </w:tcBorders>
            <w:noWrap/>
          </w:tcPr>
          <w:p w14:paraId="2E1D2FDE">
            <w:pPr>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序号</w:t>
            </w:r>
          </w:p>
        </w:tc>
        <w:tc>
          <w:tcPr>
            <w:tcW w:w="889" w:type="pct"/>
            <w:tcBorders>
              <w:top w:val="single" w:color="auto" w:sz="4" w:space="0"/>
              <w:left w:val="nil"/>
              <w:bottom w:val="single" w:color="auto" w:sz="4" w:space="0"/>
              <w:right w:val="single" w:color="auto" w:sz="4" w:space="0"/>
            </w:tcBorders>
            <w:noWrap/>
            <w:vAlign w:val="center"/>
          </w:tcPr>
          <w:p w14:paraId="02AED409">
            <w:pPr>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货物名称</w:t>
            </w:r>
          </w:p>
        </w:tc>
        <w:tc>
          <w:tcPr>
            <w:tcW w:w="889" w:type="pct"/>
            <w:tcBorders>
              <w:top w:val="single" w:color="auto" w:sz="4" w:space="0"/>
              <w:left w:val="nil"/>
              <w:bottom w:val="single" w:color="auto" w:sz="4" w:space="0"/>
              <w:right w:val="single" w:color="auto" w:sz="4" w:space="0"/>
            </w:tcBorders>
            <w:noWrap/>
            <w:vAlign w:val="center"/>
          </w:tcPr>
          <w:p w14:paraId="381099B8">
            <w:pPr>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规格型号</w:t>
            </w:r>
          </w:p>
        </w:tc>
        <w:tc>
          <w:tcPr>
            <w:tcW w:w="886" w:type="pct"/>
            <w:tcBorders>
              <w:top w:val="single" w:color="auto" w:sz="4" w:space="0"/>
              <w:left w:val="nil"/>
              <w:bottom w:val="single" w:color="auto" w:sz="4" w:space="0"/>
              <w:right w:val="single" w:color="auto" w:sz="4" w:space="0"/>
            </w:tcBorders>
            <w:noWrap/>
            <w:vAlign w:val="center"/>
          </w:tcPr>
          <w:p w14:paraId="4081ABBA">
            <w:pPr>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单位</w:t>
            </w:r>
          </w:p>
        </w:tc>
        <w:tc>
          <w:tcPr>
            <w:tcW w:w="886" w:type="pct"/>
            <w:tcBorders>
              <w:top w:val="single" w:color="auto" w:sz="4" w:space="0"/>
              <w:left w:val="nil"/>
              <w:bottom w:val="single" w:color="auto" w:sz="4" w:space="0"/>
              <w:right w:val="single" w:color="auto" w:sz="4" w:space="0"/>
            </w:tcBorders>
            <w:noWrap/>
            <w:vAlign w:val="center"/>
          </w:tcPr>
          <w:p w14:paraId="144E5E18">
            <w:pPr>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数量</w:t>
            </w:r>
          </w:p>
        </w:tc>
        <w:tc>
          <w:tcPr>
            <w:tcW w:w="886" w:type="pct"/>
            <w:tcBorders>
              <w:top w:val="single" w:color="auto" w:sz="4" w:space="0"/>
              <w:left w:val="nil"/>
              <w:bottom w:val="single" w:color="auto" w:sz="4" w:space="0"/>
              <w:right w:val="single" w:color="auto" w:sz="4" w:space="0"/>
            </w:tcBorders>
            <w:noWrap/>
            <w:vAlign w:val="center"/>
          </w:tcPr>
          <w:p w14:paraId="78290908">
            <w:pPr>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生产厂商</w:t>
            </w:r>
          </w:p>
        </w:tc>
      </w:tr>
      <w:tr w14:paraId="5FC99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tcBorders>
              <w:top w:val="single" w:color="auto" w:sz="4" w:space="0"/>
              <w:left w:val="single" w:color="auto" w:sz="4" w:space="0"/>
              <w:bottom w:val="single" w:color="auto" w:sz="4" w:space="0"/>
              <w:right w:val="single" w:color="auto" w:sz="4" w:space="0"/>
            </w:tcBorders>
            <w:noWrap/>
          </w:tcPr>
          <w:p w14:paraId="6D5427CB">
            <w:pPr>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w:t>
            </w:r>
          </w:p>
        </w:tc>
        <w:tc>
          <w:tcPr>
            <w:tcW w:w="889" w:type="pct"/>
            <w:tcBorders>
              <w:top w:val="single" w:color="auto" w:sz="4" w:space="0"/>
              <w:left w:val="nil"/>
              <w:bottom w:val="single" w:color="auto" w:sz="4" w:space="0"/>
              <w:right w:val="single" w:color="auto" w:sz="4" w:space="0"/>
            </w:tcBorders>
            <w:noWrap/>
            <w:vAlign w:val="center"/>
          </w:tcPr>
          <w:p w14:paraId="003D6D11">
            <w:pPr>
              <w:jc w:val="center"/>
              <w:rPr>
                <w:rFonts w:asciiTheme="minorEastAsia" w:hAnsiTheme="minorEastAsia" w:eastAsiaTheme="minorEastAsia" w:cstheme="minorEastAsia"/>
                <w:sz w:val="24"/>
                <w:highlight w:val="none"/>
              </w:rPr>
            </w:pPr>
          </w:p>
        </w:tc>
        <w:tc>
          <w:tcPr>
            <w:tcW w:w="889" w:type="pct"/>
            <w:tcBorders>
              <w:top w:val="single" w:color="auto" w:sz="4" w:space="0"/>
              <w:left w:val="nil"/>
              <w:bottom w:val="single" w:color="auto" w:sz="4" w:space="0"/>
              <w:right w:val="single" w:color="auto" w:sz="4" w:space="0"/>
            </w:tcBorders>
            <w:noWrap/>
            <w:vAlign w:val="center"/>
          </w:tcPr>
          <w:p w14:paraId="16139D4A">
            <w:pPr>
              <w:jc w:val="center"/>
              <w:rPr>
                <w:rFonts w:asciiTheme="minorEastAsia" w:hAnsiTheme="minorEastAsia" w:eastAsiaTheme="minorEastAsia" w:cstheme="minorEastAsia"/>
                <w:sz w:val="24"/>
                <w:highlight w:val="none"/>
              </w:rPr>
            </w:pPr>
          </w:p>
        </w:tc>
        <w:tc>
          <w:tcPr>
            <w:tcW w:w="886" w:type="pct"/>
            <w:tcBorders>
              <w:top w:val="single" w:color="auto" w:sz="4" w:space="0"/>
              <w:left w:val="nil"/>
              <w:bottom w:val="single" w:color="auto" w:sz="4" w:space="0"/>
              <w:right w:val="single" w:color="auto" w:sz="4" w:space="0"/>
            </w:tcBorders>
            <w:noWrap/>
            <w:vAlign w:val="center"/>
          </w:tcPr>
          <w:p w14:paraId="23814CE5">
            <w:pPr>
              <w:jc w:val="center"/>
              <w:rPr>
                <w:rFonts w:asciiTheme="minorEastAsia" w:hAnsiTheme="minorEastAsia" w:eastAsiaTheme="minorEastAsia" w:cstheme="minorEastAsia"/>
                <w:sz w:val="24"/>
                <w:highlight w:val="none"/>
              </w:rPr>
            </w:pPr>
          </w:p>
        </w:tc>
        <w:tc>
          <w:tcPr>
            <w:tcW w:w="886" w:type="pct"/>
            <w:tcBorders>
              <w:top w:val="single" w:color="auto" w:sz="4" w:space="0"/>
              <w:left w:val="nil"/>
              <w:bottom w:val="single" w:color="auto" w:sz="4" w:space="0"/>
              <w:right w:val="single" w:color="auto" w:sz="4" w:space="0"/>
            </w:tcBorders>
            <w:noWrap/>
            <w:vAlign w:val="center"/>
          </w:tcPr>
          <w:p w14:paraId="4F9D8CE3">
            <w:pPr>
              <w:jc w:val="center"/>
              <w:rPr>
                <w:rFonts w:asciiTheme="minorEastAsia" w:hAnsiTheme="minorEastAsia" w:eastAsiaTheme="minorEastAsia" w:cstheme="minorEastAsia"/>
                <w:sz w:val="24"/>
                <w:highlight w:val="none"/>
              </w:rPr>
            </w:pPr>
          </w:p>
        </w:tc>
        <w:tc>
          <w:tcPr>
            <w:tcW w:w="886" w:type="pct"/>
            <w:tcBorders>
              <w:top w:val="single" w:color="auto" w:sz="4" w:space="0"/>
              <w:left w:val="nil"/>
              <w:bottom w:val="single" w:color="auto" w:sz="4" w:space="0"/>
              <w:right w:val="single" w:color="auto" w:sz="4" w:space="0"/>
            </w:tcBorders>
            <w:noWrap/>
            <w:vAlign w:val="center"/>
          </w:tcPr>
          <w:p w14:paraId="59D46BCE">
            <w:pPr>
              <w:jc w:val="center"/>
              <w:rPr>
                <w:rFonts w:asciiTheme="minorEastAsia" w:hAnsiTheme="minorEastAsia" w:eastAsiaTheme="minorEastAsia" w:cstheme="minorEastAsia"/>
                <w:sz w:val="24"/>
                <w:highlight w:val="none"/>
              </w:rPr>
            </w:pPr>
          </w:p>
        </w:tc>
      </w:tr>
      <w:tr w14:paraId="15D7B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tcBorders>
              <w:top w:val="single" w:color="auto" w:sz="4" w:space="0"/>
              <w:left w:val="single" w:color="auto" w:sz="4" w:space="0"/>
              <w:bottom w:val="single" w:color="auto" w:sz="4" w:space="0"/>
              <w:right w:val="single" w:color="auto" w:sz="4" w:space="0"/>
            </w:tcBorders>
            <w:noWrap/>
          </w:tcPr>
          <w:p w14:paraId="46A7C78F">
            <w:pPr>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w:t>
            </w:r>
          </w:p>
        </w:tc>
        <w:tc>
          <w:tcPr>
            <w:tcW w:w="889" w:type="pct"/>
            <w:tcBorders>
              <w:top w:val="single" w:color="auto" w:sz="4" w:space="0"/>
              <w:left w:val="nil"/>
              <w:bottom w:val="single" w:color="auto" w:sz="4" w:space="0"/>
              <w:right w:val="single" w:color="auto" w:sz="4" w:space="0"/>
            </w:tcBorders>
            <w:noWrap/>
            <w:vAlign w:val="center"/>
          </w:tcPr>
          <w:p w14:paraId="284F4814">
            <w:pPr>
              <w:jc w:val="center"/>
              <w:rPr>
                <w:rFonts w:asciiTheme="minorEastAsia" w:hAnsiTheme="minorEastAsia" w:eastAsiaTheme="minorEastAsia" w:cstheme="minorEastAsia"/>
                <w:sz w:val="24"/>
                <w:highlight w:val="none"/>
              </w:rPr>
            </w:pPr>
          </w:p>
        </w:tc>
        <w:tc>
          <w:tcPr>
            <w:tcW w:w="889" w:type="pct"/>
            <w:tcBorders>
              <w:top w:val="single" w:color="auto" w:sz="4" w:space="0"/>
              <w:left w:val="nil"/>
              <w:bottom w:val="single" w:color="auto" w:sz="4" w:space="0"/>
              <w:right w:val="single" w:color="auto" w:sz="4" w:space="0"/>
            </w:tcBorders>
            <w:noWrap/>
            <w:vAlign w:val="center"/>
          </w:tcPr>
          <w:p w14:paraId="2493CA39">
            <w:pPr>
              <w:jc w:val="center"/>
              <w:rPr>
                <w:rFonts w:asciiTheme="minorEastAsia" w:hAnsiTheme="minorEastAsia" w:eastAsiaTheme="minorEastAsia" w:cstheme="minorEastAsia"/>
                <w:sz w:val="24"/>
                <w:highlight w:val="none"/>
              </w:rPr>
            </w:pPr>
          </w:p>
        </w:tc>
        <w:tc>
          <w:tcPr>
            <w:tcW w:w="886" w:type="pct"/>
            <w:tcBorders>
              <w:top w:val="single" w:color="auto" w:sz="4" w:space="0"/>
              <w:left w:val="nil"/>
              <w:bottom w:val="single" w:color="auto" w:sz="4" w:space="0"/>
              <w:right w:val="single" w:color="auto" w:sz="4" w:space="0"/>
            </w:tcBorders>
            <w:noWrap/>
            <w:vAlign w:val="center"/>
          </w:tcPr>
          <w:p w14:paraId="60944C75">
            <w:pPr>
              <w:jc w:val="center"/>
              <w:rPr>
                <w:rFonts w:asciiTheme="minorEastAsia" w:hAnsiTheme="minorEastAsia" w:eastAsiaTheme="minorEastAsia" w:cstheme="minorEastAsia"/>
                <w:sz w:val="24"/>
                <w:highlight w:val="none"/>
              </w:rPr>
            </w:pPr>
          </w:p>
        </w:tc>
        <w:tc>
          <w:tcPr>
            <w:tcW w:w="886" w:type="pct"/>
            <w:tcBorders>
              <w:top w:val="single" w:color="auto" w:sz="4" w:space="0"/>
              <w:left w:val="nil"/>
              <w:bottom w:val="single" w:color="auto" w:sz="4" w:space="0"/>
              <w:right w:val="single" w:color="auto" w:sz="4" w:space="0"/>
            </w:tcBorders>
            <w:noWrap/>
            <w:vAlign w:val="center"/>
          </w:tcPr>
          <w:p w14:paraId="5A46A80A">
            <w:pPr>
              <w:jc w:val="center"/>
              <w:rPr>
                <w:rFonts w:asciiTheme="minorEastAsia" w:hAnsiTheme="minorEastAsia" w:eastAsiaTheme="minorEastAsia" w:cstheme="minorEastAsia"/>
                <w:sz w:val="24"/>
                <w:highlight w:val="none"/>
              </w:rPr>
            </w:pPr>
          </w:p>
        </w:tc>
        <w:tc>
          <w:tcPr>
            <w:tcW w:w="886" w:type="pct"/>
            <w:tcBorders>
              <w:top w:val="single" w:color="auto" w:sz="4" w:space="0"/>
              <w:left w:val="nil"/>
              <w:bottom w:val="single" w:color="auto" w:sz="4" w:space="0"/>
              <w:right w:val="single" w:color="auto" w:sz="4" w:space="0"/>
            </w:tcBorders>
            <w:noWrap/>
            <w:vAlign w:val="center"/>
          </w:tcPr>
          <w:p w14:paraId="0FF90F7E">
            <w:pPr>
              <w:jc w:val="center"/>
              <w:rPr>
                <w:rFonts w:asciiTheme="minorEastAsia" w:hAnsiTheme="minorEastAsia" w:eastAsiaTheme="minorEastAsia" w:cstheme="minorEastAsia"/>
                <w:sz w:val="24"/>
                <w:highlight w:val="none"/>
              </w:rPr>
            </w:pPr>
          </w:p>
        </w:tc>
      </w:tr>
      <w:tr w14:paraId="0250C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tcBorders>
              <w:top w:val="single" w:color="auto" w:sz="4" w:space="0"/>
              <w:left w:val="single" w:color="auto" w:sz="4" w:space="0"/>
              <w:bottom w:val="single" w:color="auto" w:sz="4" w:space="0"/>
              <w:right w:val="single" w:color="auto" w:sz="4" w:space="0"/>
            </w:tcBorders>
            <w:noWrap/>
          </w:tcPr>
          <w:p w14:paraId="1C7236E7">
            <w:pPr>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w:t>
            </w:r>
          </w:p>
        </w:tc>
        <w:tc>
          <w:tcPr>
            <w:tcW w:w="889" w:type="pct"/>
            <w:tcBorders>
              <w:top w:val="single" w:color="auto" w:sz="4" w:space="0"/>
              <w:left w:val="nil"/>
              <w:bottom w:val="single" w:color="auto" w:sz="4" w:space="0"/>
              <w:right w:val="single" w:color="auto" w:sz="4" w:space="0"/>
            </w:tcBorders>
            <w:noWrap/>
            <w:vAlign w:val="center"/>
          </w:tcPr>
          <w:p w14:paraId="4F444C59">
            <w:pPr>
              <w:jc w:val="center"/>
              <w:rPr>
                <w:rFonts w:asciiTheme="minorEastAsia" w:hAnsiTheme="minorEastAsia" w:eastAsiaTheme="minorEastAsia" w:cstheme="minorEastAsia"/>
                <w:sz w:val="24"/>
                <w:highlight w:val="none"/>
              </w:rPr>
            </w:pPr>
          </w:p>
        </w:tc>
        <w:tc>
          <w:tcPr>
            <w:tcW w:w="889" w:type="pct"/>
            <w:tcBorders>
              <w:top w:val="single" w:color="auto" w:sz="4" w:space="0"/>
              <w:left w:val="nil"/>
              <w:bottom w:val="single" w:color="auto" w:sz="4" w:space="0"/>
              <w:right w:val="single" w:color="auto" w:sz="4" w:space="0"/>
            </w:tcBorders>
            <w:noWrap/>
            <w:vAlign w:val="center"/>
          </w:tcPr>
          <w:p w14:paraId="66A62708">
            <w:pPr>
              <w:jc w:val="center"/>
              <w:rPr>
                <w:rFonts w:asciiTheme="minorEastAsia" w:hAnsiTheme="minorEastAsia" w:eastAsiaTheme="minorEastAsia" w:cstheme="minorEastAsia"/>
                <w:sz w:val="24"/>
                <w:highlight w:val="none"/>
              </w:rPr>
            </w:pPr>
          </w:p>
        </w:tc>
        <w:tc>
          <w:tcPr>
            <w:tcW w:w="886" w:type="pct"/>
            <w:tcBorders>
              <w:top w:val="single" w:color="auto" w:sz="4" w:space="0"/>
              <w:left w:val="nil"/>
              <w:bottom w:val="single" w:color="auto" w:sz="4" w:space="0"/>
              <w:right w:val="single" w:color="auto" w:sz="4" w:space="0"/>
            </w:tcBorders>
            <w:noWrap/>
            <w:vAlign w:val="center"/>
          </w:tcPr>
          <w:p w14:paraId="7FCB9877">
            <w:pPr>
              <w:jc w:val="center"/>
              <w:rPr>
                <w:rFonts w:asciiTheme="minorEastAsia" w:hAnsiTheme="minorEastAsia" w:eastAsiaTheme="minorEastAsia" w:cstheme="minorEastAsia"/>
                <w:sz w:val="24"/>
                <w:highlight w:val="none"/>
              </w:rPr>
            </w:pPr>
          </w:p>
        </w:tc>
        <w:tc>
          <w:tcPr>
            <w:tcW w:w="886" w:type="pct"/>
            <w:tcBorders>
              <w:top w:val="single" w:color="auto" w:sz="4" w:space="0"/>
              <w:left w:val="nil"/>
              <w:bottom w:val="single" w:color="auto" w:sz="4" w:space="0"/>
              <w:right w:val="single" w:color="auto" w:sz="4" w:space="0"/>
            </w:tcBorders>
            <w:noWrap/>
            <w:vAlign w:val="center"/>
          </w:tcPr>
          <w:p w14:paraId="1BAB19EA">
            <w:pPr>
              <w:jc w:val="center"/>
              <w:rPr>
                <w:rFonts w:asciiTheme="minorEastAsia" w:hAnsiTheme="minorEastAsia" w:eastAsiaTheme="minorEastAsia" w:cstheme="minorEastAsia"/>
                <w:sz w:val="24"/>
                <w:highlight w:val="none"/>
              </w:rPr>
            </w:pPr>
          </w:p>
        </w:tc>
        <w:tc>
          <w:tcPr>
            <w:tcW w:w="886" w:type="pct"/>
            <w:tcBorders>
              <w:top w:val="single" w:color="auto" w:sz="4" w:space="0"/>
              <w:left w:val="nil"/>
              <w:bottom w:val="single" w:color="auto" w:sz="4" w:space="0"/>
              <w:right w:val="single" w:color="auto" w:sz="4" w:space="0"/>
            </w:tcBorders>
            <w:noWrap/>
            <w:vAlign w:val="center"/>
          </w:tcPr>
          <w:p w14:paraId="3D89BF3D">
            <w:pPr>
              <w:jc w:val="center"/>
              <w:rPr>
                <w:rFonts w:asciiTheme="minorEastAsia" w:hAnsiTheme="minorEastAsia" w:eastAsiaTheme="minorEastAsia" w:cstheme="minorEastAsia"/>
                <w:sz w:val="24"/>
                <w:highlight w:val="none"/>
              </w:rPr>
            </w:pPr>
          </w:p>
        </w:tc>
      </w:tr>
      <w:tr w14:paraId="57963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tcBorders>
              <w:top w:val="single" w:color="auto" w:sz="4" w:space="0"/>
              <w:left w:val="single" w:color="auto" w:sz="4" w:space="0"/>
              <w:bottom w:val="single" w:color="auto" w:sz="4" w:space="0"/>
              <w:right w:val="single" w:color="auto" w:sz="4" w:space="0"/>
            </w:tcBorders>
            <w:noWrap/>
          </w:tcPr>
          <w:p w14:paraId="4FDD09B4">
            <w:pPr>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w:t>
            </w:r>
          </w:p>
        </w:tc>
        <w:tc>
          <w:tcPr>
            <w:tcW w:w="889" w:type="pct"/>
            <w:tcBorders>
              <w:top w:val="single" w:color="auto" w:sz="4" w:space="0"/>
              <w:left w:val="nil"/>
              <w:bottom w:val="single" w:color="auto" w:sz="4" w:space="0"/>
              <w:right w:val="single" w:color="auto" w:sz="4" w:space="0"/>
            </w:tcBorders>
            <w:noWrap/>
            <w:vAlign w:val="center"/>
          </w:tcPr>
          <w:p w14:paraId="29843D66">
            <w:pPr>
              <w:jc w:val="center"/>
              <w:rPr>
                <w:rFonts w:asciiTheme="minorEastAsia" w:hAnsiTheme="minorEastAsia" w:eastAsiaTheme="minorEastAsia" w:cstheme="minorEastAsia"/>
                <w:sz w:val="24"/>
                <w:highlight w:val="none"/>
              </w:rPr>
            </w:pPr>
          </w:p>
        </w:tc>
        <w:tc>
          <w:tcPr>
            <w:tcW w:w="889" w:type="pct"/>
            <w:tcBorders>
              <w:top w:val="single" w:color="auto" w:sz="4" w:space="0"/>
              <w:left w:val="nil"/>
              <w:bottom w:val="single" w:color="auto" w:sz="4" w:space="0"/>
              <w:right w:val="single" w:color="auto" w:sz="4" w:space="0"/>
            </w:tcBorders>
            <w:noWrap/>
            <w:vAlign w:val="center"/>
          </w:tcPr>
          <w:p w14:paraId="5E3CD69E">
            <w:pPr>
              <w:jc w:val="center"/>
              <w:rPr>
                <w:rFonts w:asciiTheme="minorEastAsia" w:hAnsiTheme="minorEastAsia" w:eastAsiaTheme="minorEastAsia" w:cstheme="minorEastAsia"/>
                <w:sz w:val="24"/>
                <w:highlight w:val="none"/>
              </w:rPr>
            </w:pPr>
          </w:p>
        </w:tc>
        <w:tc>
          <w:tcPr>
            <w:tcW w:w="886" w:type="pct"/>
            <w:tcBorders>
              <w:top w:val="single" w:color="auto" w:sz="4" w:space="0"/>
              <w:left w:val="nil"/>
              <w:bottom w:val="single" w:color="auto" w:sz="4" w:space="0"/>
              <w:right w:val="single" w:color="auto" w:sz="4" w:space="0"/>
            </w:tcBorders>
            <w:noWrap/>
            <w:vAlign w:val="center"/>
          </w:tcPr>
          <w:p w14:paraId="7B3DC791">
            <w:pPr>
              <w:jc w:val="center"/>
              <w:rPr>
                <w:rFonts w:asciiTheme="minorEastAsia" w:hAnsiTheme="minorEastAsia" w:eastAsiaTheme="minorEastAsia" w:cstheme="minorEastAsia"/>
                <w:sz w:val="24"/>
                <w:highlight w:val="none"/>
              </w:rPr>
            </w:pPr>
          </w:p>
        </w:tc>
        <w:tc>
          <w:tcPr>
            <w:tcW w:w="886" w:type="pct"/>
            <w:tcBorders>
              <w:top w:val="single" w:color="auto" w:sz="4" w:space="0"/>
              <w:left w:val="nil"/>
              <w:bottom w:val="single" w:color="auto" w:sz="4" w:space="0"/>
              <w:right w:val="single" w:color="auto" w:sz="4" w:space="0"/>
            </w:tcBorders>
            <w:noWrap/>
            <w:vAlign w:val="center"/>
          </w:tcPr>
          <w:p w14:paraId="295A64E6">
            <w:pPr>
              <w:jc w:val="center"/>
              <w:rPr>
                <w:rFonts w:asciiTheme="minorEastAsia" w:hAnsiTheme="minorEastAsia" w:eastAsiaTheme="minorEastAsia" w:cstheme="minorEastAsia"/>
                <w:sz w:val="24"/>
                <w:highlight w:val="none"/>
              </w:rPr>
            </w:pPr>
          </w:p>
        </w:tc>
        <w:tc>
          <w:tcPr>
            <w:tcW w:w="886" w:type="pct"/>
            <w:tcBorders>
              <w:top w:val="single" w:color="auto" w:sz="4" w:space="0"/>
              <w:left w:val="nil"/>
              <w:bottom w:val="single" w:color="auto" w:sz="4" w:space="0"/>
              <w:right w:val="single" w:color="auto" w:sz="4" w:space="0"/>
            </w:tcBorders>
            <w:noWrap/>
            <w:vAlign w:val="center"/>
          </w:tcPr>
          <w:p w14:paraId="764C1C2A">
            <w:pPr>
              <w:jc w:val="center"/>
              <w:rPr>
                <w:rFonts w:asciiTheme="minorEastAsia" w:hAnsiTheme="minorEastAsia" w:eastAsiaTheme="minorEastAsia" w:cstheme="minorEastAsia"/>
                <w:sz w:val="24"/>
                <w:highlight w:val="none"/>
              </w:rPr>
            </w:pPr>
          </w:p>
        </w:tc>
      </w:tr>
    </w:tbl>
    <w:p w14:paraId="7E520035">
      <w:pPr>
        <w:spacing w:line="360" w:lineRule="auto"/>
        <w:ind w:firstLine="437"/>
        <w:outlineLvl w:val="3"/>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1.3 价款</w:t>
      </w:r>
    </w:p>
    <w:p w14:paraId="2EBFAF56">
      <w:pPr>
        <w:spacing w:line="360" w:lineRule="auto"/>
        <w:ind w:firstLine="43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本合同总价为：￥元（大写：人民币元）。</w:t>
      </w:r>
    </w:p>
    <w:p w14:paraId="40CF4D68">
      <w:pPr>
        <w:spacing w:line="360" w:lineRule="auto"/>
        <w:ind w:firstLine="435"/>
        <w:rPr>
          <w:rFonts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分项价格：</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2798"/>
        <w:gridCol w:w="1533"/>
        <w:gridCol w:w="3222"/>
        <w:gridCol w:w="14"/>
      </w:tblGrid>
      <w:tr w14:paraId="7BD1A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 w:type="pct"/>
          <w:trHeight w:val="369" w:hRule="atLeast"/>
          <w:jc w:val="center"/>
        </w:trPr>
        <w:tc>
          <w:tcPr>
            <w:tcW w:w="561" w:type="pct"/>
            <w:tcBorders>
              <w:top w:val="single" w:color="auto" w:sz="4" w:space="0"/>
              <w:left w:val="single" w:color="auto" w:sz="4" w:space="0"/>
              <w:bottom w:val="single" w:color="auto" w:sz="4" w:space="0"/>
              <w:right w:val="single" w:color="auto" w:sz="4" w:space="0"/>
            </w:tcBorders>
            <w:noWrap/>
            <w:vAlign w:val="center"/>
          </w:tcPr>
          <w:p w14:paraId="484F3792">
            <w:pPr>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序号</w:t>
            </w:r>
          </w:p>
        </w:tc>
        <w:tc>
          <w:tcPr>
            <w:tcW w:w="1641" w:type="pct"/>
            <w:tcBorders>
              <w:top w:val="single" w:color="auto" w:sz="4" w:space="0"/>
              <w:left w:val="nil"/>
              <w:bottom w:val="single" w:color="auto" w:sz="4" w:space="0"/>
              <w:right w:val="single" w:color="auto" w:sz="4" w:space="0"/>
            </w:tcBorders>
            <w:noWrap/>
            <w:vAlign w:val="center"/>
          </w:tcPr>
          <w:p w14:paraId="748FAF29">
            <w:pPr>
              <w:pStyle w:val="65"/>
              <w:widowControl/>
              <w:ind w:firstLine="200"/>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分项名称</w:t>
            </w:r>
          </w:p>
        </w:tc>
        <w:tc>
          <w:tcPr>
            <w:tcW w:w="2789" w:type="pct"/>
            <w:gridSpan w:val="2"/>
            <w:tcBorders>
              <w:top w:val="single" w:color="auto" w:sz="4" w:space="0"/>
              <w:left w:val="nil"/>
              <w:bottom w:val="single" w:color="auto" w:sz="4" w:space="0"/>
              <w:right w:val="single" w:color="auto" w:sz="4" w:space="0"/>
            </w:tcBorders>
            <w:noWrap/>
            <w:vAlign w:val="center"/>
          </w:tcPr>
          <w:p w14:paraId="6DA89867">
            <w:pPr>
              <w:pStyle w:val="65"/>
              <w:widowControl/>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分项价格</w:t>
            </w:r>
          </w:p>
        </w:tc>
      </w:tr>
      <w:tr w14:paraId="4FD46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1" w:type="pct"/>
            <w:tcBorders>
              <w:top w:val="single" w:color="auto" w:sz="4" w:space="0"/>
              <w:left w:val="single" w:color="auto" w:sz="4" w:space="0"/>
              <w:bottom w:val="single" w:color="auto" w:sz="4" w:space="0"/>
              <w:right w:val="single" w:color="auto" w:sz="4" w:space="0"/>
            </w:tcBorders>
            <w:noWrap/>
          </w:tcPr>
          <w:p w14:paraId="242B8207">
            <w:pPr>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w:t>
            </w:r>
          </w:p>
        </w:tc>
        <w:tc>
          <w:tcPr>
            <w:tcW w:w="1641" w:type="pct"/>
            <w:tcBorders>
              <w:top w:val="single" w:color="auto" w:sz="4" w:space="0"/>
              <w:left w:val="nil"/>
              <w:bottom w:val="single" w:color="auto" w:sz="4" w:space="0"/>
              <w:right w:val="single" w:color="auto" w:sz="4" w:space="0"/>
            </w:tcBorders>
            <w:noWrap/>
            <w:vAlign w:val="center"/>
          </w:tcPr>
          <w:p w14:paraId="0058EC1E">
            <w:pPr>
              <w:pStyle w:val="65"/>
              <w:widowControl/>
              <w:ind w:firstLine="200"/>
              <w:jc w:val="center"/>
              <w:rPr>
                <w:rFonts w:asciiTheme="minorEastAsia" w:hAnsiTheme="minorEastAsia" w:eastAsiaTheme="minorEastAsia" w:cstheme="minorEastAsia"/>
                <w:sz w:val="24"/>
                <w:szCs w:val="24"/>
                <w:highlight w:val="none"/>
              </w:rPr>
            </w:pPr>
          </w:p>
        </w:tc>
        <w:tc>
          <w:tcPr>
            <w:tcW w:w="2789" w:type="pct"/>
            <w:gridSpan w:val="2"/>
            <w:tcBorders>
              <w:top w:val="single" w:color="auto" w:sz="4" w:space="0"/>
              <w:left w:val="nil"/>
              <w:bottom w:val="single" w:color="auto" w:sz="4" w:space="0"/>
              <w:right w:val="single" w:color="auto" w:sz="4" w:space="0"/>
            </w:tcBorders>
            <w:noWrap/>
            <w:vAlign w:val="center"/>
          </w:tcPr>
          <w:p w14:paraId="5DB971F4">
            <w:pPr>
              <w:pStyle w:val="65"/>
              <w:widowControl/>
              <w:ind w:firstLine="200"/>
              <w:jc w:val="center"/>
              <w:rPr>
                <w:rFonts w:asciiTheme="minorEastAsia" w:hAnsiTheme="minorEastAsia" w:eastAsiaTheme="minorEastAsia" w:cstheme="minorEastAsia"/>
                <w:sz w:val="24"/>
                <w:szCs w:val="24"/>
                <w:highlight w:val="none"/>
              </w:rPr>
            </w:pPr>
          </w:p>
        </w:tc>
      </w:tr>
      <w:tr w14:paraId="3E50E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1" w:type="pct"/>
            <w:tcBorders>
              <w:top w:val="single" w:color="auto" w:sz="4" w:space="0"/>
              <w:left w:val="single" w:color="auto" w:sz="4" w:space="0"/>
              <w:bottom w:val="single" w:color="auto" w:sz="4" w:space="0"/>
              <w:right w:val="single" w:color="auto" w:sz="4" w:space="0"/>
            </w:tcBorders>
            <w:noWrap/>
          </w:tcPr>
          <w:p w14:paraId="5D5E341E">
            <w:pPr>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w:t>
            </w:r>
          </w:p>
        </w:tc>
        <w:tc>
          <w:tcPr>
            <w:tcW w:w="1641" w:type="pct"/>
            <w:tcBorders>
              <w:top w:val="single" w:color="auto" w:sz="4" w:space="0"/>
              <w:left w:val="nil"/>
              <w:bottom w:val="single" w:color="auto" w:sz="4" w:space="0"/>
              <w:right w:val="single" w:color="auto" w:sz="4" w:space="0"/>
            </w:tcBorders>
            <w:noWrap/>
            <w:vAlign w:val="center"/>
          </w:tcPr>
          <w:p w14:paraId="51897108">
            <w:pPr>
              <w:pStyle w:val="65"/>
              <w:widowControl/>
              <w:ind w:firstLine="200"/>
              <w:jc w:val="center"/>
              <w:rPr>
                <w:rFonts w:asciiTheme="minorEastAsia" w:hAnsiTheme="minorEastAsia" w:eastAsiaTheme="minorEastAsia" w:cstheme="minorEastAsia"/>
                <w:sz w:val="24"/>
                <w:szCs w:val="24"/>
                <w:highlight w:val="none"/>
              </w:rPr>
            </w:pPr>
          </w:p>
        </w:tc>
        <w:tc>
          <w:tcPr>
            <w:tcW w:w="2789" w:type="pct"/>
            <w:gridSpan w:val="2"/>
            <w:tcBorders>
              <w:top w:val="single" w:color="auto" w:sz="4" w:space="0"/>
              <w:left w:val="nil"/>
              <w:bottom w:val="single" w:color="auto" w:sz="4" w:space="0"/>
              <w:right w:val="single" w:color="auto" w:sz="4" w:space="0"/>
            </w:tcBorders>
            <w:noWrap/>
            <w:vAlign w:val="center"/>
          </w:tcPr>
          <w:p w14:paraId="5D5E57A0">
            <w:pPr>
              <w:pStyle w:val="65"/>
              <w:widowControl/>
              <w:ind w:firstLine="200"/>
              <w:jc w:val="center"/>
              <w:rPr>
                <w:rFonts w:asciiTheme="minorEastAsia" w:hAnsiTheme="minorEastAsia" w:eastAsiaTheme="minorEastAsia" w:cstheme="minorEastAsia"/>
                <w:sz w:val="24"/>
                <w:szCs w:val="24"/>
                <w:highlight w:val="none"/>
              </w:rPr>
            </w:pPr>
          </w:p>
        </w:tc>
      </w:tr>
      <w:tr w14:paraId="413D4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1" w:type="pct"/>
            <w:tcBorders>
              <w:top w:val="single" w:color="auto" w:sz="4" w:space="0"/>
              <w:left w:val="single" w:color="auto" w:sz="4" w:space="0"/>
              <w:bottom w:val="single" w:color="auto" w:sz="4" w:space="0"/>
              <w:right w:val="single" w:color="auto" w:sz="4" w:space="0"/>
            </w:tcBorders>
            <w:noWrap/>
          </w:tcPr>
          <w:p w14:paraId="7CEAB337">
            <w:pPr>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w:t>
            </w:r>
          </w:p>
        </w:tc>
        <w:tc>
          <w:tcPr>
            <w:tcW w:w="1641" w:type="pct"/>
            <w:tcBorders>
              <w:top w:val="single" w:color="auto" w:sz="4" w:space="0"/>
              <w:left w:val="nil"/>
              <w:bottom w:val="single" w:color="auto" w:sz="4" w:space="0"/>
              <w:right w:val="single" w:color="auto" w:sz="4" w:space="0"/>
            </w:tcBorders>
            <w:noWrap/>
            <w:vAlign w:val="center"/>
          </w:tcPr>
          <w:p w14:paraId="331D8F24">
            <w:pPr>
              <w:pStyle w:val="65"/>
              <w:widowControl/>
              <w:ind w:firstLine="200"/>
              <w:jc w:val="center"/>
              <w:rPr>
                <w:rFonts w:asciiTheme="minorEastAsia" w:hAnsiTheme="minorEastAsia" w:eastAsiaTheme="minorEastAsia" w:cstheme="minorEastAsia"/>
                <w:sz w:val="24"/>
                <w:szCs w:val="24"/>
                <w:highlight w:val="none"/>
              </w:rPr>
            </w:pPr>
          </w:p>
        </w:tc>
        <w:tc>
          <w:tcPr>
            <w:tcW w:w="2789" w:type="pct"/>
            <w:gridSpan w:val="2"/>
            <w:tcBorders>
              <w:top w:val="single" w:color="auto" w:sz="4" w:space="0"/>
              <w:left w:val="nil"/>
              <w:bottom w:val="single" w:color="auto" w:sz="4" w:space="0"/>
              <w:right w:val="single" w:color="auto" w:sz="4" w:space="0"/>
            </w:tcBorders>
            <w:noWrap/>
            <w:vAlign w:val="center"/>
          </w:tcPr>
          <w:p w14:paraId="65FC318F">
            <w:pPr>
              <w:pStyle w:val="65"/>
              <w:widowControl/>
              <w:ind w:firstLine="200"/>
              <w:jc w:val="center"/>
              <w:rPr>
                <w:rFonts w:asciiTheme="minorEastAsia" w:hAnsiTheme="minorEastAsia" w:eastAsiaTheme="minorEastAsia" w:cstheme="minorEastAsia"/>
                <w:sz w:val="24"/>
                <w:szCs w:val="24"/>
                <w:highlight w:val="none"/>
              </w:rPr>
            </w:pPr>
          </w:p>
        </w:tc>
      </w:tr>
      <w:tr w14:paraId="67538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1" w:type="pct"/>
            <w:tcBorders>
              <w:top w:val="single" w:color="auto" w:sz="4" w:space="0"/>
              <w:left w:val="single" w:color="auto" w:sz="4" w:space="0"/>
              <w:bottom w:val="single" w:color="auto" w:sz="4" w:space="0"/>
              <w:right w:val="single" w:color="auto" w:sz="4" w:space="0"/>
            </w:tcBorders>
            <w:noWrap/>
          </w:tcPr>
          <w:p w14:paraId="7C4D898E">
            <w:pPr>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w:t>
            </w:r>
          </w:p>
        </w:tc>
        <w:tc>
          <w:tcPr>
            <w:tcW w:w="1641" w:type="pct"/>
            <w:tcBorders>
              <w:top w:val="single" w:color="auto" w:sz="4" w:space="0"/>
              <w:left w:val="nil"/>
              <w:bottom w:val="single" w:color="auto" w:sz="4" w:space="0"/>
              <w:right w:val="single" w:color="auto" w:sz="4" w:space="0"/>
            </w:tcBorders>
            <w:noWrap/>
            <w:vAlign w:val="center"/>
          </w:tcPr>
          <w:p w14:paraId="2BC60F22">
            <w:pPr>
              <w:pStyle w:val="65"/>
              <w:widowControl/>
              <w:ind w:firstLine="200"/>
              <w:jc w:val="center"/>
              <w:rPr>
                <w:rFonts w:asciiTheme="minorEastAsia" w:hAnsiTheme="minorEastAsia" w:eastAsiaTheme="minorEastAsia" w:cstheme="minorEastAsia"/>
                <w:sz w:val="24"/>
                <w:szCs w:val="24"/>
                <w:highlight w:val="none"/>
              </w:rPr>
            </w:pPr>
          </w:p>
        </w:tc>
        <w:tc>
          <w:tcPr>
            <w:tcW w:w="2789" w:type="pct"/>
            <w:gridSpan w:val="2"/>
            <w:tcBorders>
              <w:top w:val="single" w:color="auto" w:sz="4" w:space="0"/>
              <w:left w:val="nil"/>
              <w:bottom w:val="single" w:color="auto" w:sz="4" w:space="0"/>
              <w:right w:val="single" w:color="auto" w:sz="4" w:space="0"/>
            </w:tcBorders>
            <w:noWrap/>
            <w:vAlign w:val="center"/>
          </w:tcPr>
          <w:p w14:paraId="5FF09F43">
            <w:pPr>
              <w:pStyle w:val="65"/>
              <w:widowControl/>
              <w:ind w:firstLine="200"/>
              <w:jc w:val="center"/>
              <w:rPr>
                <w:rFonts w:asciiTheme="minorEastAsia" w:hAnsiTheme="minorEastAsia" w:eastAsiaTheme="minorEastAsia" w:cstheme="minorEastAsia"/>
                <w:sz w:val="24"/>
                <w:szCs w:val="24"/>
                <w:highlight w:val="none"/>
              </w:rPr>
            </w:pPr>
          </w:p>
        </w:tc>
      </w:tr>
      <w:tr w14:paraId="7C16C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01" w:type="pct"/>
            <w:gridSpan w:val="3"/>
            <w:tcBorders>
              <w:top w:val="single" w:color="auto" w:sz="4" w:space="0"/>
              <w:left w:val="single" w:color="auto" w:sz="4" w:space="0"/>
              <w:bottom w:val="single" w:color="auto" w:sz="4" w:space="0"/>
              <w:right w:val="single" w:color="auto" w:sz="4" w:space="0"/>
            </w:tcBorders>
            <w:noWrap/>
            <w:vAlign w:val="center"/>
          </w:tcPr>
          <w:p w14:paraId="69326E1F">
            <w:pPr>
              <w:pStyle w:val="65"/>
              <w:widowControl/>
              <w:ind w:firstLine="200"/>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总价</w:t>
            </w:r>
          </w:p>
        </w:tc>
        <w:tc>
          <w:tcPr>
            <w:tcW w:w="1898" w:type="pct"/>
            <w:gridSpan w:val="2"/>
            <w:tcBorders>
              <w:top w:val="single" w:color="auto" w:sz="4" w:space="0"/>
              <w:left w:val="nil"/>
              <w:bottom w:val="single" w:color="auto" w:sz="4" w:space="0"/>
              <w:right w:val="single" w:color="auto" w:sz="4" w:space="0"/>
            </w:tcBorders>
            <w:noWrap/>
            <w:vAlign w:val="center"/>
          </w:tcPr>
          <w:p w14:paraId="0724B252">
            <w:pPr>
              <w:pStyle w:val="65"/>
              <w:widowControl/>
              <w:ind w:firstLine="200"/>
              <w:jc w:val="center"/>
              <w:rPr>
                <w:rFonts w:asciiTheme="minorEastAsia" w:hAnsiTheme="minorEastAsia" w:eastAsiaTheme="minorEastAsia" w:cstheme="minorEastAsia"/>
                <w:sz w:val="24"/>
                <w:szCs w:val="24"/>
                <w:highlight w:val="none"/>
              </w:rPr>
            </w:pPr>
          </w:p>
        </w:tc>
      </w:tr>
    </w:tbl>
    <w:p w14:paraId="3E3DDC12">
      <w:pPr>
        <w:spacing w:line="360" w:lineRule="auto"/>
        <w:ind w:firstLine="437"/>
        <w:outlineLvl w:val="3"/>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1.4 付款方式和发票开具方式</w:t>
      </w:r>
    </w:p>
    <w:p w14:paraId="26502309">
      <w:pPr>
        <w:widowControl/>
        <w:adjustRightInd w:val="0"/>
        <w:snapToGrid w:val="0"/>
        <w:spacing w:line="360" w:lineRule="auto"/>
        <w:ind w:firstLine="480" w:firstLineChars="200"/>
        <w:rPr>
          <w:rFonts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1.4.1付款方式：</w:t>
      </w:r>
    </w:p>
    <w:p w14:paraId="65DA52ED">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1.4.2发票开具方式：</w:t>
      </w:r>
      <w:r>
        <w:rPr>
          <w:rFonts w:hint="eastAsia" w:asciiTheme="minorEastAsia" w:hAnsiTheme="minorEastAsia" w:eastAsiaTheme="minorEastAsia" w:cstheme="minorEastAsia"/>
          <w:sz w:val="24"/>
          <w:highlight w:val="none"/>
          <w:u w:val="single"/>
        </w:rPr>
        <w:t>纸质或电子发票</w:t>
      </w:r>
      <w:r>
        <w:rPr>
          <w:rFonts w:hint="eastAsia" w:asciiTheme="minorEastAsia" w:hAnsiTheme="minorEastAsia" w:eastAsiaTheme="minorEastAsia" w:cstheme="minorEastAsia"/>
          <w:sz w:val="24"/>
          <w:highlight w:val="none"/>
          <w:u w:val="single"/>
          <w:lang w:eastAsia="zh-CN"/>
        </w:rPr>
        <w:t>，</w:t>
      </w:r>
      <w:r>
        <w:rPr>
          <w:rFonts w:hint="eastAsia" w:ascii="宋体" w:hAnsi="宋体" w:eastAsia="宋体"/>
          <w:b w:val="0"/>
          <w:sz w:val="24"/>
          <w:highlight w:val="none"/>
          <w:u w:val="single"/>
        </w:rPr>
        <w:t>增值税</w:t>
      </w:r>
      <w:r>
        <w:rPr>
          <w:rFonts w:hint="eastAsia" w:ascii="宋体" w:hAnsi="宋体" w:eastAsia="宋体"/>
          <w:b w:val="0"/>
          <w:sz w:val="24"/>
          <w:highlight w:val="none"/>
          <w:u w:val="single"/>
          <w:lang w:val="en-US" w:eastAsia="zh-CN"/>
        </w:rPr>
        <w:t>发</w:t>
      </w:r>
      <w:r>
        <w:rPr>
          <w:rFonts w:hint="eastAsia" w:ascii="宋体" w:hAnsi="宋体" w:eastAsia="宋体"/>
          <w:b w:val="0"/>
          <w:sz w:val="24"/>
          <w:highlight w:val="none"/>
          <w:u w:val="single"/>
        </w:rPr>
        <w:t>票</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w:t>
      </w:r>
    </w:p>
    <w:p w14:paraId="4DE0E895">
      <w:pPr>
        <w:spacing w:line="360" w:lineRule="auto"/>
        <w:ind w:firstLine="437"/>
        <w:outlineLvl w:val="3"/>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1.5 货物交付期限、地点和方式</w:t>
      </w:r>
    </w:p>
    <w:p w14:paraId="0A0E4B25">
      <w:pPr>
        <w:spacing w:line="360" w:lineRule="auto"/>
        <w:ind w:firstLine="43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1.5.1交付期限：；</w:t>
      </w:r>
    </w:p>
    <w:p w14:paraId="5FD10590">
      <w:pPr>
        <w:spacing w:line="360" w:lineRule="auto"/>
        <w:ind w:firstLine="435"/>
        <w:rPr>
          <w:rFonts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1.5.2交付地点：</w:t>
      </w:r>
      <w:r>
        <w:rPr>
          <w:rFonts w:hint="eastAsia" w:asciiTheme="minorEastAsia" w:hAnsiTheme="minorEastAsia" w:eastAsiaTheme="minorEastAsia" w:cstheme="minorEastAsia"/>
          <w:sz w:val="24"/>
          <w:highlight w:val="none"/>
          <w:u w:val="single"/>
        </w:rPr>
        <w:t>淮南师范学院；</w:t>
      </w:r>
    </w:p>
    <w:p w14:paraId="3B29C82E">
      <w:pPr>
        <w:spacing w:line="360" w:lineRule="auto"/>
        <w:ind w:firstLine="43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1.5.3交付方式：</w:t>
      </w:r>
    </w:p>
    <w:p w14:paraId="5119ED9A">
      <w:pPr>
        <w:spacing w:line="360" w:lineRule="auto"/>
        <w:ind w:firstLine="437"/>
        <w:outlineLvl w:val="3"/>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1.6 违约责任</w:t>
      </w:r>
    </w:p>
    <w:p w14:paraId="3C10898C">
      <w:pPr>
        <w:spacing w:line="360" w:lineRule="auto"/>
        <w:ind w:firstLine="43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1.6.1除不可抗力外，如果乙方没有按照本合同约定的期限、地点和方式交付货物，那么甲方可要求乙方支付违约金，违约金按每迟延交付货物一日的应交付而未交付货物价格的</w:t>
      </w:r>
      <w:r>
        <w:rPr>
          <w:rFonts w:hint="eastAsia" w:asciiTheme="minorEastAsia" w:hAnsiTheme="minorEastAsia" w:eastAsiaTheme="minorEastAsia" w:cstheme="minorEastAsia"/>
          <w:sz w:val="24"/>
          <w:highlight w:val="none"/>
          <w:u w:val="single"/>
        </w:rPr>
        <w:t>1</w:t>
      </w:r>
      <w:r>
        <w:rPr>
          <w:rFonts w:hint="eastAsia" w:asciiTheme="minorEastAsia" w:hAnsiTheme="minorEastAsia" w:eastAsiaTheme="minorEastAsia" w:cstheme="minorEastAsia"/>
          <w:sz w:val="24"/>
          <w:highlight w:val="none"/>
        </w:rPr>
        <w:t>%计算，最高限额为本合同总价的</w:t>
      </w:r>
      <w:r>
        <w:rPr>
          <w:rFonts w:hint="eastAsia" w:asciiTheme="minorEastAsia" w:hAnsiTheme="minorEastAsia" w:eastAsiaTheme="minorEastAsia" w:cstheme="minorEastAsia"/>
          <w:sz w:val="24"/>
          <w:highlight w:val="none"/>
          <w:u w:val="single"/>
        </w:rPr>
        <w:t>2</w:t>
      </w:r>
      <w:r>
        <w:rPr>
          <w:rFonts w:hint="eastAsia" w:asciiTheme="minorEastAsia" w:hAnsiTheme="minorEastAsia" w:eastAsiaTheme="minorEastAsia" w:cstheme="minorEastAsia"/>
          <w:sz w:val="24"/>
          <w:highlight w:val="none"/>
        </w:rPr>
        <w:t>%；迟延交付货物的违约金计算数额达到前述最高限额之日起，甲方有权在要求乙方支付违约金的同时，书面通知乙方解除本合同；</w:t>
      </w:r>
    </w:p>
    <w:p w14:paraId="1D4AF26E">
      <w:pPr>
        <w:spacing w:line="360" w:lineRule="auto"/>
        <w:ind w:firstLine="43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1.6.2除不可抗力外，如果甲方没有按照本合同约定的付款方式付款，那么乙方可要求甲方支付违约金，违约金按每迟延付款一日的应付而未付款的</w:t>
      </w:r>
      <w:r>
        <w:rPr>
          <w:rFonts w:hint="eastAsia" w:asciiTheme="minorEastAsia" w:hAnsiTheme="minorEastAsia" w:eastAsiaTheme="minorEastAsia" w:cstheme="minorEastAsia"/>
          <w:sz w:val="24"/>
          <w:highlight w:val="none"/>
          <w:u w:val="single"/>
        </w:rPr>
        <w:t>1</w:t>
      </w:r>
      <w:r>
        <w:rPr>
          <w:rFonts w:hint="eastAsia" w:asciiTheme="minorEastAsia" w:hAnsiTheme="minorEastAsia" w:eastAsiaTheme="minorEastAsia" w:cstheme="minorEastAsia"/>
          <w:sz w:val="24"/>
          <w:highlight w:val="none"/>
        </w:rPr>
        <w:t>%计算，最高限额为本合同总价的</w:t>
      </w:r>
      <w:r>
        <w:rPr>
          <w:rFonts w:hint="eastAsia" w:asciiTheme="minorEastAsia" w:hAnsiTheme="minorEastAsia" w:eastAsiaTheme="minorEastAsia" w:cstheme="minorEastAsia"/>
          <w:sz w:val="24"/>
          <w:highlight w:val="none"/>
          <w:u w:val="single"/>
        </w:rPr>
        <w:t>2</w:t>
      </w:r>
      <w:r>
        <w:rPr>
          <w:rFonts w:hint="eastAsia" w:asciiTheme="minorEastAsia" w:hAnsiTheme="minorEastAsia" w:eastAsiaTheme="minorEastAsia" w:cstheme="minorEastAsia"/>
          <w:sz w:val="24"/>
          <w:highlight w:val="none"/>
        </w:rPr>
        <w:t>%；迟延付款的违约金计算数额达到前述最高限额之日起，乙方有权在要求甲方支付违约金的同时，书面通知甲方解除本合同；</w:t>
      </w:r>
    </w:p>
    <w:p w14:paraId="54148C44">
      <w:pPr>
        <w:spacing w:line="360" w:lineRule="auto"/>
        <w:ind w:firstLine="43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77DBE9F">
      <w:pPr>
        <w:spacing w:line="360" w:lineRule="auto"/>
        <w:ind w:firstLine="43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223F466">
      <w:pPr>
        <w:spacing w:line="360" w:lineRule="auto"/>
        <w:ind w:firstLine="43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6957FCF">
      <w:pPr>
        <w:spacing w:line="360" w:lineRule="auto"/>
        <w:ind w:firstLine="43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1.6.6如果出现采购监督管理部门在处理投诉事项期间，书面通知甲方暂停采购活动的情形，或者询问或质疑事项可能影响中标结果的，导致甲方中止履行合同的情形，均不视为甲方违约。</w:t>
      </w:r>
    </w:p>
    <w:p w14:paraId="6E13E279">
      <w:pPr>
        <w:spacing w:line="360" w:lineRule="auto"/>
        <w:ind w:firstLine="437"/>
        <w:outlineLvl w:val="3"/>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1.7 合同争议的解决</w:t>
      </w:r>
    </w:p>
    <w:p w14:paraId="0E0E57C8">
      <w:pPr>
        <w:spacing w:line="360" w:lineRule="auto"/>
        <w:ind w:firstLine="43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本合同履行过程中发生的任何争议，双方当事人均可通过和解或者调解解决；不愿和解、调解或者和解、调解不成的，可以选择下列第</w:t>
      </w:r>
      <w:r>
        <w:rPr>
          <w:rFonts w:hint="eastAsia" w:asciiTheme="minorEastAsia" w:hAnsiTheme="minorEastAsia" w:eastAsiaTheme="minorEastAsia" w:cstheme="minorEastAsia"/>
          <w:sz w:val="24"/>
          <w:highlight w:val="none"/>
          <w:u w:val="single"/>
        </w:rPr>
        <w:t>1.7.2</w:t>
      </w:r>
      <w:r>
        <w:rPr>
          <w:rFonts w:hint="eastAsia" w:asciiTheme="minorEastAsia" w:hAnsiTheme="minorEastAsia" w:eastAsiaTheme="minorEastAsia" w:cstheme="minorEastAsia"/>
          <w:sz w:val="24"/>
          <w:highlight w:val="none"/>
        </w:rPr>
        <w:t>种方式解决：</w:t>
      </w:r>
    </w:p>
    <w:p w14:paraId="003A5048">
      <w:pPr>
        <w:spacing w:line="360" w:lineRule="auto"/>
        <w:ind w:firstLine="43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1.7.1将争议提交</w:t>
      </w:r>
      <w:r>
        <w:rPr>
          <w:rFonts w:hint="eastAsia" w:asciiTheme="minorEastAsia" w:hAnsiTheme="minorEastAsia" w:eastAsiaTheme="minorEastAsia" w:cstheme="minorEastAsia"/>
          <w:sz w:val="24"/>
          <w:highlight w:val="none"/>
          <w:u w:val="single"/>
        </w:rPr>
        <w:t xml:space="preserve">    /     </w:t>
      </w:r>
      <w:r>
        <w:rPr>
          <w:rFonts w:hint="eastAsia" w:asciiTheme="minorEastAsia" w:hAnsiTheme="minorEastAsia" w:eastAsiaTheme="minorEastAsia" w:cstheme="minorEastAsia"/>
          <w:sz w:val="24"/>
          <w:highlight w:val="none"/>
        </w:rPr>
        <w:t>仲裁委员会依申请仲裁时其现行有效的仲裁规则裁决；</w:t>
      </w:r>
    </w:p>
    <w:p w14:paraId="1D4BC5B2">
      <w:pPr>
        <w:spacing w:line="360" w:lineRule="auto"/>
        <w:ind w:firstLine="43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1.7.2向</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u w:val="single"/>
          <w:lang w:val="en-US" w:eastAsia="zh-CN"/>
        </w:rPr>
        <w:t>淮南市</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人民法院起诉。</w:t>
      </w:r>
    </w:p>
    <w:p w14:paraId="24E993C9">
      <w:pPr>
        <w:spacing w:line="360" w:lineRule="auto"/>
        <w:ind w:firstLine="437"/>
        <w:outlineLvl w:val="3"/>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1.8 合同生效</w:t>
      </w:r>
    </w:p>
    <w:p w14:paraId="0DB8E35B">
      <w:pPr>
        <w:spacing w:line="360" w:lineRule="auto"/>
        <w:ind w:firstLine="43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本合同自双方当事人盖章时生效。</w:t>
      </w:r>
    </w:p>
    <w:p w14:paraId="321789AA">
      <w:pPr>
        <w:autoSpaceDE w:val="0"/>
        <w:autoSpaceDN w:val="0"/>
        <w:adjustRightInd w:val="0"/>
        <w:spacing w:line="560" w:lineRule="exact"/>
        <w:rPr>
          <w:rFonts w:asciiTheme="minorEastAsia" w:hAnsiTheme="minorEastAsia" w:eastAsiaTheme="minorEastAsia" w:cstheme="minorEastAsia"/>
          <w:sz w:val="24"/>
          <w:highlight w:val="none"/>
        </w:rPr>
      </w:pPr>
    </w:p>
    <w:p w14:paraId="69462BE7">
      <w:pPr>
        <w:autoSpaceDE w:val="0"/>
        <w:autoSpaceDN w:val="0"/>
        <w:adjustRightInd w:val="0"/>
        <w:spacing w:line="560" w:lineRule="exact"/>
        <w:rPr>
          <w:rFonts w:asciiTheme="minorEastAsia" w:hAnsiTheme="minorEastAsia" w:eastAsiaTheme="minorEastAsia" w:cstheme="minorEastAsia"/>
          <w:sz w:val="24"/>
          <w:highlight w:val="none"/>
        </w:rPr>
      </w:pPr>
    </w:p>
    <w:p w14:paraId="65724014">
      <w:pPr>
        <w:autoSpaceDE w:val="0"/>
        <w:autoSpaceDN w:val="0"/>
        <w:adjustRightInd w:val="0"/>
        <w:spacing w:line="560" w:lineRule="exact"/>
        <w:rPr>
          <w:rFonts w:asciiTheme="minorEastAsia" w:hAnsiTheme="minorEastAsia" w:eastAsiaTheme="minorEastAsia" w:cstheme="minorEastAsia"/>
          <w:sz w:val="24"/>
          <w:highlight w:val="none"/>
        </w:rPr>
      </w:pPr>
    </w:p>
    <w:p w14:paraId="3AE93804">
      <w:pPr>
        <w:autoSpaceDE w:val="0"/>
        <w:autoSpaceDN w:val="0"/>
        <w:adjustRightInd w:val="0"/>
        <w:spacing w:line="560" w:lineRule="exact"/>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甲    方：</w:t>
      </w:r>
      <w:r>
        <w:rPr>
          <w:rFonts w:hint="eastAsia" w:asciiTheme="minorEastAsia" w:hAnsiTheme="minorEastAsia" w:eastAsiaTheme="minorEastAsia" w:cstheme="minorEastAsia"/>
          <w:bCs/>
          <w:sz w:val="24"/>
          <w:highlight w:val="none"/>
          <w:u w:val="single"/>
        </w:rPr>
        <w:t xml:space="preserve">    （单位盖章）     </w:t>
      </w:r>
      <w:r>
        <w:rPr>
          <w:rFonts w:hint="eastAsia" w:asciiTheme="minorEastAsia" w:hAnsiTheme="minorEastAsia" w:eastAsiaTheme="minorEastAsia" w:cstheme="minorEastAsia"/>
          <w:bCs/>
          <w:sz w:val="24"/>
          <w:highlight w:val="none"/>
        </w:rPr>
        <w:t xml:space="preserve">          乙方：</w:t>
      </w:r>
      <w:r>
        <w:rPr>
          <w:rFonts w:hint="eastAsia" w:asciiTheme="minorEastAsia" w:hAnsiTheme="minorEastAsia" w:eastAsiaTheme="minorEastAsia" w:cstheme="minorEastAsia"/>
          <w:bCs/>
          <w:sz w:val="24"/>
          <w:highlight w:val="none"/>
          <w:u w:val="single"/>
        </w:rPr>
        <w:t xml:space="preserve">    （单位盖章）     </w:t>
      </w:r>
    </w:p>
    <w:p w14:paraId="246B8F6A">
      <w:pPr>
        <w:autoSpaceDE w:val="0"/>
        <w:autoSpaceDN w:val="0"/>
        <w:adjustRightInd w:val="0"/>
        <w:spacing w:line="560" w:lineRule="exac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法定代表人                               法定代表人</w:t>
      </w:r>
    </w:p>
    <w:p w14:paraId="522F266E">
      <w:pPr>
        <w:autoSpaceDE w:val="0"/>
        <w:autoSpaceDN w:val="0"/>
        <w:adjustRightInd w:val="0"/>
        <w:spacing w:line="560" w:lineRule="exac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或授权代表（签字）：                      或授权代表（签字）：</w:t>
      </w:r>
    </w:p>
    <w:p w14:paraId="1132EB27">
      <w:pPr>
        <w:widowControl/>
        <w:spacing w:line="560" w:lineRule="exact"/>
        <w:jc w:val="left"/>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时间：年月日               时间：年月日</w:t>
      </w:r>
    </w:p>
    <w:p w14:paraId="480AFC7C">
      <w:pPr>
        <w:widowControl/>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br w:type="page"/>
      </w:r>
    </w:p>
    <w:p w14:paraId="31BED9B5">
      <w:pPr>
        <w:spacing w:line="360" w:lineRule="auto"/>
        <w:jc w:val="center"/>
        <w:outlineLvl w:val="2"/>
        <w:rPr>
          <w:rFonts w:asciiTheme="minorEastAsia" w:hAnsiTheme="minorEastAsia" w:eastAsiaTheme="minorEastAsia" w:cstheme="minorEastAsia"/>
          <w:b/>
          <w:sz w:val="24"/>
          <w:highlight w:val="none"/>
        </w:rPr>
      </w:pPr>
      <w:bookmarkStart w:id="95" w:name="_Toc22079"/>
      <w:r>
        <w:rPr>
          <w:rFonts w:hint="eastAsia" w:asciiTheme="minorEastAsia" w:hAnsiTheme="minorEastAsia" w:eastAsiaTheme="minorEastAsia" w:cstheme="minorEastAsia"/>
          <w:b/>
          <w:sz w:val="24"/>
          <w:highlight w:val="none"/>
        </w:rPr>
        <w:t>第二部分 合同一般条款</w:t>
      </w:r>
      <w:bookmarkEnd w:id="95"/>
    </w:p>
    <w:p w14:paraId="51DBE47D">
      <w:pPr>
        <w:spacing w:line="360" w:lineRule="auto"/>
        <w:ind w:firstLine="437"/>
        <w:outlineLvl w:val="3"/>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2.1 定义</w:t>
      </w:r>
    </w:p>
    <w:p w14:paraId="2C504DC5">
      <w:pPr>
        <w:spacing w:line="360" w:lineRule="auto"/>
        <w:ind w:firstLine="43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本合同中的下列词语应按以下内容进行解释：</w:t>
      </w:r>
    </w:p>
    <w:p w14:paraId="6BA70CEC">
      <w:pPr>
        <w:spacing w:line="360" w:lineRule="auto"/>
        <w:ind w:firstLine="43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2.1.1“合同”系指采购人和中标供应商签订的载明双方当事人所达成的协议，并包括所有的附件、附录和构成合同的其他文件。</w:t>
      </w:r>
    </w:p>
    <w:p w14:paraId="66507B37">
      <w:pPr>
        <w:spacing w:line="360" w:lineRule="auto"/>
        <w:ind w:firstLine="43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2.1.2“合同价”系指根据合同约定，中标供应商在完全履行合同义务后，采购人应支付给中标供应商的价格。</w:t>
      </w:r>
    </w:p>
    <w:p w14:paraId="118541BB">
      <w:pPr>
        <w:spacing w:line="360" w:lineRule="auto"/>
        <w:ind w:firstLine="43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2.1.3“货物”系指中标供应商根据合同约定应向采购人交付的一切各种形态和种类的物品，包括原材料、燃料、设备、机械、仪表、备件、计算机软件、产品等，并包括工具、手册等其他相关资料。</w:t>
      </w:r>
    </w:p>
    <w:p w14:paraId="49AE051C">
      <w:pPr>
        <w:spacing w:line="360" w:lineRule="auto"/>
        <w:ind w:firstLine="43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2.1.4“甲方”系指与中标供应商签署合同的采购人；采购人委托采购代理机构代表其与乙方签订合同的，采购人的授权委托书作为合同附件。</w:t>
      </w:r>
    </w:p>
    <w:p w14:paraId="1A8E5C35">
      <w:pPr>
        <w:spacing w:line="360" w:lineRule="auto"/>
        <w:ind w:firstLine="43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2.1.5“乙方”系指根据合同约定交付货物的中标供应商；两个以上的自然人、法人或者其他组织组成一个联合体，以一个供应商的身份共同参加采购的，联合体各方均应为乙方或者与乙方相同地位的合同当事人，并就合同约定的事项对甲方承担连带责任。</w:t>
      </w:r>
    </w:p>
    <w:p w14:paraId="76D4C192">
      <w:pPr>
        <w:spacing w:line="360" w:lineRule="auto"/>
        <w:ind w:firstLine="43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2.1.6“现场”系指合同约定货物将要运至或者安装的地点。</w:t>
      </w:r>
    </w:p>
    <w:p w14:paraId="65FCFC31">
      <w:pPr>
        <w:spacing w:line="360" w:lineRule="auto"/>
        <w:ind w:firstLine="437"/>
        <w:outlineLvl w:val="3"/>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2.2 技术规范</w:t>
      </w:r>
    </w:p>
    <w:p w14:paraId="20313B7A">
      <w:pPr>
        <w:spacing w:line="360" w:lineRule="auto"/>
        <w:ind w:firstLine="43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AF7C459">
      <w:pPr>
        <w:spacing w:line="360" w:lineRule="auto"/>
        <w:ind w:firstLine="437"/>
        <w:outlineLvl w:val="3"/>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2.3 知识产权</w:t>
      </w:r>
    </w:p>
    <w:p w14:paraId="0C5ED4B4">
      <w:pPr>
        <w:spacing w:line="360" w:lineRule="auto"/>
        <w:ind w:firstLine="43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2.3.1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5EC11F71">
      <w:pPr>
        <w:spacing w:line="360" w:lineRule="auto"/>
        <w:ind w:firstLine="43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2.3.2具有知识产权的计算机软件等货物的知识产权归属，详见</w:t>
      </w:r>
      <w:r>
        <w:rPr>
          <w:rFonts w:hint="eastAsia" w:asciiTheme="minorEastAsia" w:hAnsiTheme="minorEastAsia" w:eastAsiaTheme="minorEastAsia" w:cstheme="minorEastAsia"/>
          <w:b/>
          <w:i/>
          <w:sz w:val="24"/>
          <w:highlight w:val="none"/>
          <w:u w:val="single"/>
        </w:rPr>
        <w:t>合同专用条款</w:t>
      </w:r>
      <w:r>
        <w:rPr>
          <w:rFonts w:hint="eastAsia" w:asciiTheme="minorEastAsia" w:hAnsiTheme="minorEastAsia" w:eastAsiaTheme="minorEastAsia" w:cstheme="minorEastAsia"/>
          <w:sz w:val="24"/>
          <w:highlight w:val="none"/>
        </w:rPr>
        <w:t>。</w:t>
      </w:r>
    </w:p>
    <w:p w14:paraId="0A13848B">
      <w:pPr>
        <w:spacing w:line="360" w:lineRule="auto"/>
        <w:ind w:firstLine="437"/>
        <w:outlineLvl w:val="3"/>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bCs/>
          <w:sz w:val="24"/>
          <w:highlight w:val="none"/>
        </w:rPr>
        <w:t>2.4 包装和装运</w:t>
      </w:r>
    </w:p>
    <w:p w14:paraId="0AF71F6B">
      <w:pPr>
        <w:spacing w:line="360" w:lineRule="auto"/>
        <w:ind w:firstLine="43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2.4.1除</w:t>
      </w:r>
      <w:r>
        <w:rPr>
          <w:rFonts w:hint="eastAsia" w:asciiTheme="minorEastAsia" w:hAnsiTheme="minorEastAsia" w:eastAsiaTheme="minorEastAsia" w:cstheme="minorEastAsia"/>
          <w:b/>
          <w:i/>
          <w:sz w:val="24"/>
          <w:highlight w:val="none"/>
          <w:u w:val="single"/>
        </w:rPr>
        <w:t>合同专用条款</w:t>
      </w:r>
      <w:r>
        <w:rPr>
          <w:rFonts w:hint="eastAsia" w:asciiTheme="minorEastAsia" w:hAnsiTheme="minorEastAsia" w:eastAsiaTheme="minorEastAsia" w:cstheme="minorEastAsia"/>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0F3A7224">
      <w:pPr>
        <w:spacing w:line="360" w:lineRule="auto"/>
        <w:ind w:firstLine="43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2.4.2装运货物的要求和通知，详见</w:t>
      </w:r>
      <w:r>
        <w:rPr>
          <w:rFonts w:hint="eastAsia" w:asciiTheme="minorEastAsia" w:hAnsiTheme="minorEastAsia" w:eastAsiaTheme="minorEastAsia" w:cstheme="minorEastAsia"/>
          <w:b/>
          <w:i/>
          <w:sz w:val="24"/>
          <w:highlight w:val="none"/>
          <w:u w:val="single"/>
        </w:rPr>
        <w:t>合同专用条款</w:t>
      </w:r>
      <w:r>
        <w:rPr>
          <w:rFonts w:hint="eastAsia" w:asciiTheme="minorEastAsia" w:hAnsiTheme="minorEastAsia" w:eastAsiaTheme="minorEastAsia" w:cstheme="minorEastAsia"/>
          <w:sz w:val="24"/>
          <w:highlight w:val="none"/>
        </w:rPr>
        <w:t>。</w:t>
      </w:r>
    </w:p>
    <w:p w14:paraId="4CACEFF5">
      <w:pPr>
        <w:spacing w:line="360" w:lineRule="auto"/>
        <w:ind w:firstLine="437"/>
        <w:outlineLvl w:val="3"/>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2.5 履约检查和问题反馈</w:t>
      </w:r>
    </w:p>
    <w:p w14:paraId="23E70B8A">
      <w:pPr>
        <w:spacing w:line="360" w:lineRule="auto"/>
        <w:ind w:firstLine="43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2.5.1甲方有权在其认为必要时，对乙方是否能够按照合同约定交付货物进行履约检查，以确保乙方所交付的货物能够依约满足甲方项目需求，但不得因履约检查妨碍乙方的正常工作，乙方应予积极配合；</w:t>
      </w:r>
    </w:p>
    <w:p w14:paraId="0A5F3C05">
      <w:pPr>
        <w:spacing w:line="360" w:lineRule="auto"/>
        <w:ind w:firstLine="43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2.5.2合同履行期间，甲方有权将履行过程中出现的问题反馈给乙方，双方当事人应以书面形式约定需要完善和改进的内容。</w:t>
      </w:r>
    </w:p>
    <w:p w14:paraId="2B6985FD">
      <w:pPr>
        <w:spacing w:line="360" w:lineRule="auto"/>
        <w:ind w:firstLine="437"/>
        <w:outlineLvl w:val="3"/>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2.6 结算方式和付款条件</w:t>
      </w:r>
    </w:p>
    <w:p w14:paraId="2C7AA127">
      <w:pPr>
        <w:spacing w:line="360" w:lineRule="auto"/>
        <w:ind w:firstLine="43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详见</w:t>
      </w:r>
      <w:r>
        <w:rPr>
          <w:rFonts w:hint="eastAsia" w:asciiTheme="minorEastAsia" w:hAnsiTheme="minorEastAsia" w:eastAsiaTheme="minorEastAsia" w:cstheme="minorEastAsia"/>
          <w:b/>
          <w:i/>
          <w:sz w:val="24"/>
          <w:highlight w:val="none"/>
          <w:u w:val="single"/>
        </w:rPr>
        <w:t>合同专用条款</w:t>
      </w:r>
      <w:r>
        <w:rPr>
          <w:rFonts w:hint="eastAsia" w:asciiTheme="minorEastAsia" w:hAnsiTheme="minorEastAsia" w:eastAsiaTheme="minorEastAsia" w:cstheme="minorEastAsia"/>
          <w:sz w:val="24"/>
          <w:highlight w:val="none"/>
        </w:rPr>
        <w:t>。</w:t>
      </w:r>
    </w:p>
    <w:p w14:paraId="3F9A4586">
      <w:pPr>
        <w:spacing w:line="360" w:lineRule="auto"/>
        <w:ind w:firstLine="437"/>
        <w:outlineLvl w:val="3"/>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2.7 技术资料和保密义务</w:t>
      </w:r>
    </w:p>
    <w:p w14:paraId="6D211ABA">
      <w:pPr>
        <w:spacing w:line="360" w:lineRule="auto"/>
        <w:ind w:firstLine="43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2.7.1乙方有权依据合同约定和项目需要，向甲方了解有关情况，调阅有关资料等，甲方应予积极配合；</w:t>
      </w:r>
    </w:p>
    <w:p w14:paraId="194264CF">
      <w:pPr>
        <w:spacing w:line="360" w:lineRule="auto"/>
        <w:ind w:firstLine="43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2.7.2乙方有义务妥善保管和保护由甲方提供的前款信息和资料等；</w:t>
      </w:r>
    </w:p>
    <w:p w14:paraId="7F9CCB41">
      <w:pPr>
        <w:spacing w:line="360" w:lineRule="auto"/>
        <w:ind w:firstLine="43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2.7.3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13A45BD">
      <w:pPr>
        <w:spacing w:line="360" w:lineRule="auto"/>
        <w:ind w:firstLine="437"/>
        <w:outlineLvl w:val="3"/>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2.8 质量保证</w:t>
      </w:r>
    </w:p>
    <w:p w14:paraId="08ABE3D9">
      <w:pPr>
        <w:spacing w:line="360" w:lineRule="auto"/>
        <w:ind w:firstLine="43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2.8.1乙方应建立和完善履行合同的内部质量保证体系，并提供相关内部规章制度给甲方，以便甲方进行监督检查；</w:t>
      </w:r>
    </w:p>
    <w:p w14:paraId="715EE7CC">
      <w:pPr>
        <w:spacing w:line="360" w:lineRule="auto"/>
        <w:ind w:firstLine="43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2.8.2乙方应保证履行合同的人员数量和素质、软件和硬件设备的配置、场地、环境和设施等满足全面履行合同的要求，并应接受甲方的监督检查。</w:t>
      </w:r>
    </w:p>
    <w:p w14:paraId="1208A533">
      <w:pPr>
        <w:spacing w:line="360" w:lineRule="auto"/>
        <w:ind w:firstLine="437"/>
        <w:outlineLvl w:val="3"/>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2.9 货物的风险负担</w:t>
      </w:r>
    </w:p>
    <w:p w14:paraId="5F91CBC1">
      <w:pPr>
        <w:spacing w:line="360" w:lineRule="auto"/>
        <w:ind w:firstLine="435"/>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sz w:val="24"/>
          <w:highlight w:val="none"/>
        </w:rPr>
        <w:t>货物或者在途货物或者交付给第一承运人后的货物毁损、灭失的风险负担详见</w:t>
      </w:r>
      <w:r>
        <w:rPr>
          <w:rFonts w:hint="eastAsia" w:asciiTheme="minorEastAsia" w:hAnsiTheme="minorEastAsia" w:eastAsiaTheme="minorEastAsia" w:cstheme="minorEastAsia"/>
          <w:b/>
          <w:i/>
          <w:sz w:val="24"/>
          <w:highlight w:val="none"/>
          <w:u w:val="single"/>
        </w:rPr>
        <w:t>合同专用条款</w:t>
      </w:r>
      <w:r>
        <w:rPr>
          <w:rFonts w:hint="eastAsia" w:asciiTheme="minorEastAsia" w:hAnsiTheme="minorEastAsia" w:eastAsiaTheme="minorEastAsia" w:cstheme="minorEastAsia"/>
          <w:sz w:val="24"/>
          <w:highlight w:val="none"/>
        </w:rPr>
        <w:t>。</w:t>
      </w:r>
    </w:p>
    <w:p w14:paraId="16F1A1C8">
      <w:pPr>
        <w:spacing w:line="360" w:lineRule="auto"/>
        <w:ind w:firstLine="437"/>
        <w:outlineLvl w:val="3"/>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2.10 延迟交货</w:t>
      </w:r>
    </w:p>
    <w:p w14:paraId="35248F69">
      <w:pPr>
        <w:spacing w:line="360" w:lineRule="auto"/>
        <w:ind w:firstLine="43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5038353F">
      <w:pPr>
        <w:spacing w:line="360" w:lineRule="auto"/>
        <w:ind w:firstLine="437"/>
        <w:outlineLvl w:val="3"/>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2.11 合同变更</w:t>
      </w:r>
    </w:p>
    <w:p w14:paraId="57473FA4">
      <w:pPr>
        <w:spacing w:line="360" w:lineRule="auto"/>
        <w:ind w:firstLine="43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2.11.1双方当事人协商一致，可以签订书面补充合同的形式变更合同，但不得违背采购文件确定的事项；</w:t>
      </w:r>
    </w:p>
    <w:p w14:paraId="59C1EA4C">
      <w:pPr>
        <w:spacing w:line="360" w:lineRule="auto"/>
        <w:ind w:firstLine="43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2.11.2合同继续履行将损害国家利益和社会公共利益的，双方当事人应当以书面形式变更合同。有过错的一方应当承担赔偿责任，双方当事人都有过错的，各自承担相应的责任。</w:t>
      </w:r>
    </w:p>
    <w:p w14:paraId="33DE236A">
      <w:pPr>
        <w:spacing w:line="360" w:lineRule="auto"/>
        <w:ind w:firstLine="437"/>
        <w:outlineLvl w:val="3"/>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2.12 合同转让和分包</w:t>
      </w:r>
    </w:p>
    <w:p w14:paraId="729E241F">
      <w:pPr>
        <w:spacing w:line="360" w:lineRule="auto"/>
        <w:ind w:firstLine="43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5C45A9E">
      <w:pPr>
        <w:spacing w:line="360" w:lineRule="auto"/>
        <w:ind w:firstLine="437"/>
        <w:outlineLvl w:val="3"/>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2.13 不可抗力</w:t>
      </w:r>
    </w:p>
    <w:p w14:paraId="3F6B2C47">
      <w:pPr>
        <w:spacing w:line="360" w:lineRule="auto"/>
        <w:ind w:firstLine="43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2.13.1如果任何一方遭遇法律规定的不可抗力，致使合同履行受阻时，履行合同的期限应予延长，延长的期限应相当于不可抗力所影响的时间；</w:t>
      </w:r>
    </w:p>
    <w:p w14:paraId="7AD27D0C">
      <w:pPr>
        <w:spacing w:line="360" w:lineRule="auto"/>
        <w:ind w:firstLine="43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2.13.2因不可抗力致使不能实现合同目的的，当事人可以解除合同；</w:t>
      </w:r>
    </w:p>
    <w:p w14:paraId="02B70AB8">
      <w:pPr>
        <w:spacing w:line="360" w:lineRule="auto"/>
        <w:ind w:firstLine="43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2.13.3因不可抗力致使合同有变更必要的，双方当事人应在</w:t>
      </w:r>
      <w:r>
        <w:rPr>
          <w:rFonts w:hint="eastAsia" w:asciiTheme="minorEastAsia" w:hAnsiTheme="minorEastAsia" w:eastAsiaTheme="minorEastAsia" w:cstheme="minorEastAsia"/>
          <w:b/>
          <w:i/>
          <w:sz w:val="24"/>
          <w:highlight w:val="none"/>
          <w:u w:val="single"/>
        </w:rPr>
        <w:t>合同专用条款</w:t>
      </w:r>
      <w:r>
        <w:rPr>
          <w:rFonts w:hint="eastAsia" w:asciiTheme="minorEastAsia" w:hAnsiTheme="minorEastAsia" w:eastAsiaTheme="minorEastAsia" w:cstheme="minorEastAsia"/>
          <w:sz w:val="24"/>
          <w:highlight w:val="none"/>
        </w:rPr>
        <w:t>约定时间内以书面形式变更合同；</w:t>
      </w:r>
    </w:p>
    <w:p w14:paraId="1F2AA53E">
      <w:pPr>
        <w:spacing w:line="360" w:lineRule="auto"/>
        <w:ind w:firstLine="43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2.13.4受不可抗力影响的一方在不可抗力发生后，应在</w:t>
      </w:r>
      <w:r>
        <w:rPr>
          <w:rFonts w:hint="eastAsia" w:asciiTheme="minorEastAsia" w:hAnsiTheme="minorEastAsia" w:eastAsiaTheme="minorEastAsia" w:cstheme="minorEastAsia"/>
          <w:b/>
          <w:i/>
          <w:sz w:val="24"/>
          <w:highlight w:val="none"/>
          <w:u w:val="single"/>
        </w:rPr>
        <w:t>合同专用条款</w:t>
      </w:r>
      <w:r>
        <w:rPr>
          <w:rFonts w:hint="eastAsia" w:asciiTheme="minorEastAsia" w:hAnsiTheme="minorEastAsia" w:eastAsiaTheme="minorEastAsia" w:cstheme="minorEastAsia"/>
          <w:sz w:val="24"/>
          <w:highlight w:val="none"/>
        </w:rPr>
        <w:t>约定时间内以书面形式通知对方当事人，并在</w:t>
      </w:r>
      <w:r>
        <w:rPr>
          <w:rFonts w:hint="eastAsia" w:asciiTheme="minorEastAsia" w:hAnsiTheme="minorEastAsia" w:eastAsiaTheme="minorEastAsia" w:cstheme="minorEastAsia"/>
          <w:b/>
          <w:i/>
          <w:sz w:val="24"/>
          <w:highlight w:val="none"/>
          <w:u w:val="single"/>
        </w:rPr>
        <w:t>合同专用条款</w:t>
      </w:r>
      <w:r>
        <w:rPr>
          <w:rFonts w:hint="eastAsia" w:asciiTheme="minorEastAsia" w:hAnsiTheme="minorEastAsia" w:eastAsiaTheme="minorEastAsia" w:cstheme="minorEastAsia"/>
          <w:sz w:val="24"/>
          <w:highlight w:val="none"/>
        </w:rPr>
        <w:t>约定时间内，将有关部门出具的证明文件送达对方当事人。</w:t>
      </w:r>
    </w:p>
    <w:p w14:paraId="59FE7429">
      <w:pPr>
        <w:spacing w:line="360" w:lineRule="auto"/>
        <w:ind w:firstLine="437"/>
        <w:outlineLvl w:val="3"/>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2.14 税费</w:t>
      </w:r>
    </w:p>
    <w:p w14:paraId="6F5FDB2A">
      <w:pPr>
        <w:spacing w:line="360" w:lineRule="auto"/>
        <w:ind w:firstLine="43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与合同有关的一切税费，均按照中华人民共和国法律的相关规定缴纳。</w:t>
      </w:r>
    </w:p>
    <w:p w14:paraId="3FA71710">
      <w:pPr>
        <w:spacing w:line="360" w:lineRule="auto"/>
        <w:ind w:firstLine="437"/>
        <w:outlineLvl w:val="3"/>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2.15 乙方破产</w:t>
      </w:r>
    </w:p>
    <w:p w14:paraId="4E1CC592">
      <w:pPr>
        <w:spacing w:line="360" w:lineRule="auto"/>
        <w:ind w:firstLine="43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F5F14AA">
      <w:pPr>
        <w:spacing w:line="360" w:lineRule="auto"/>
        <w:ind w:firstLine="437"/>
        <w:outlineLvl w:val="3"/>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bCs/>
          <w:sz w:val="24"/>
          <w:highlight w:val="none"/>
        </w:rPr>
        <w:t>2.16 合同中止、终止</w:t>
      </w:r>
    </w:p>
    <w:p w14:paraId="58B56C68">
      <w:pPr>
        <w:spacing w:line="360" w:lineRule="auto"/>
        <w:ind w:firstLine="43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2.16.1双方当事人不得擅自中止或者终止合同；</w:t>
      </w:r>
    </w:p>
    <w:p w14:paraId="7BD1FC11">
      <w:pPr>
        <w:spacing w:line="360" w:lineRule="auto"/>
        <w:ind w:firstLine="43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2.16.2合同继续履行将损害国家利益和社会公共利益的，双方当事人应当中止或者终止合同。有过错的一方应当承担赔偿责任，双方当事人都有过错的，各自承担相应的责任。</w:t>
      </w:r>
    </w:p>
    <w:p w14:paraId="6B2EB9B7">
      <w:pPr>
        <w:spacing w:line="360" w:lineRule="auto"/>
        <w:ind w:firstLine="437"/>
        <w:outlineLvl w:val="3"/>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2.17 检验和验收</w:t>
      </w:r>
    </w:p>
    <w:p w14:paraId="3B1091C8">
      <w:pPr>
        <w:spacing w:line="360" w:lineRule="auto"/>
        <w:ind w:firstLine="43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2.17.1货物交付前，乙方应对货物的质量、数量等方面进行详细、全面的检验，并向甲方出具证明货物符合合同约定的文件；货物交付时，乙方在</w:t>
      </w:r>
      <w:r>
        <w:rPr>
          <w:rFonts w:hint="eastAsia" w:asciiTheme="minorEastAsia" w:hAnsiTheme="minorEastAsia" w:eastAsiaTheme="minorEastAsia" w:cstheme="minorEastAsia"/>
          <w:b/>
          <w:i/>
          <w:sz w:val="24"/>
          <w:highlight w:val="none"/>
          <w:u w:val="single"/>
        </w:rPr>
        <w:t>合同专用条款</w:t>
      </w:r>
      <w:r>
        <w:rPr>
          <w:rFonts w:hint="eastAsia" w:asciiTheme="minorEastAsia" w:hAnsiTheme="minorEastAsia" w:eastAsiaTheme="minorEastAsia" w:cstheme="minorEastAsia"/>
          <w:sz w:val="24"/>
          <w:highlight w:val="none"/>
        </w:rPr>
        <w:t>约定时间内组织验收，并可依法邀请相关方参加，验收应出具验收书。</w:t>
      </w:r>
    </w:p>
    <w:p w14:paraId="32902CDB">
      <w:pPr>
        <w:spacing w:line="360" w:lineRule="auto"/>
        <w:ind w:firstLine="43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4593DC7C">
      <w:pPr>
        <w:spacing w:line="360" w:lineRule="auto"/>
        <w:ind w:firstLine="43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2.17.3检验和验收标准、程序等具体内容以及前述验收书的效力详见</w:t>
      </w:r>
      <w:r>
        <w:rPr>
          <w:rFonts w:hint="eastAsia" w:asciiTheme="minorEastAsia" w:hAnsiTheme="minorEastAsia" w:eastAsiaTheme="minorEastAsia" w:cstheme="minorEastAsia"/>
          <w:b/>
          <w:i/>
          <w:sz w:val="24"/>
          <w:highlight w:val="none"/>
          <w:u w:val="single"/>
        </w:rPr>
        <w:t>合同专用条款</w:t>
      </w:r>
      <w:r>
        <w:rPr>
          <w:rFonts w:hint="eastAsia" w:asciiTheme="minorEastAsia" w:hAnsiTheme="minorEastAsia" w:eastAsiaTheme="minorEastAsia" w:cstheme="minorEastAsia"/>
          <w:i/>
          <w:sz w:val="24"/>
          <w:highlight w:val="none"/>
        </w:rPr>
        <w:t>。</w:t>
      </w:r>
    </w:p>
    <w:p w14:paraId="13A9CE6F">
      <w:pPr>
        <w:spacing w:line="360" w:lineRule="auto"/>
        <w:ind w:firstLine="437"/>
        <w:outlineLvl w:val="3"/>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bCs/>
          <w:sz w:val="24"/>
          <w:highlight w:val="none"/>
        </w:rPr>
        <w:t>2.18 计量单位</w:t>
      </w:r>
    </w:p>
    <w:p w14:paraId="21A31E06">
      <w:pPr>
        <w:spacing w:line="360" w:lineRule="auto"/>
        <w:ind w:firstLine="43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除技术规范中另有规定外,合同的计量单位均使用国家法定计量单位。</w:t>
      </w:r>
    </w:p>
    <w:p w14:paraId="0D9241BF">
      <w:pPr>
        <w:spacing w:line="360" w:lineRule="auto"/>
        <w:ind w:firstLine="437"/>
        <w:outlineLvl w:val="3"/>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2.19 合同使用的文字和适用的法律</w:t>
      </w:r>
    </w:p>
    <w:p w14:paraId="185EDA0B">
      <w:pPr>
        <w:spacing w:line="360" w:lineRule="auto"/>
        <w:ind w:firstLine="43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2.19.1合同使用汉语书就、变更和解释；</w:t>
      </w:r>
    </w:p>
    <w:p w14:paraId="244E636E">
      <w:pPr>
        <w:spacing w:line="360" w:lineRule="auto"/>
        <w:ind w:firstLine="43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2.19.2合同适用中华人民共和国法律。</w:t>
      </w:r>
    </w:p>
    <w:p w14:paraId="50C2C003">
      <w:pPr>
        <w:spacing w:line="360" w:lineRule="auto"/>
        <w:ind w:firstLine="437"/>
        <w:outlineLvl w:val="3"/>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bCs/>
          <w:sz w:val="24"/>
          <w:highlight w:val="none"/>
        </w:rPr>
        <w:t>2.20 履约保证金</w:t>
      </w:r>
    </w:p>
    <w:p w14:paraId="511DAB98">
      <w:pPr>
        <w:spacing w:line="360" w:lineRule="auto"/>
        <w:ind w:firstLine="43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2.20.1采购文件要求乙方提交履约保证金的，乙方应按</w:t>
      </w:r>
      <w:r>
        <w:rPr>
          <w:rFonts w:hint="eastAsia" w:asciiTheme="minorEastAsia" w:hAnsiTheme="minorEastAsia" w:eastAsiaTheme="minorEastAsia" w:cstheme="minorEastAsia"/>
          <w:b/>
          <w:i/>
          <w:sz w:val="24"/>
          <w:highlight w:val="none"/>
          <w:u w:val="single"/>
        </w:rPr>
        <w:t>合同专用条款</w:t>
      </w:r>
      <w:r>
        <w:rPr>
          <w:rFonts w:hint="eastAsia" w:asciiTheme="minorEastAsia" w:hAnsiTheme="minorEastAsia" w:eastAsiaTheme="minorEastAsia" w:cstheme="minorEastAsia"/>
          <w:sz w:val="24"/>
          <w:highlight w:val="none"/>
        </w:rPr>
        <w:t>约定的方式，以支票、汇票、本票或者金融机构、担保机构出具的保函等非现金形式，提交不超过合同价2.5%的履约保证金；</w:t>
      </w:r>
    </w:p>
    <w:p w14:paraId="2C8483DC">
      <w:pPr>
        <w:spacing w:line="360" w:lineRule="auto"/>
        <w:ind w:firstLine="43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2.20.2履约保证金在</w:t>
      </w:r>
      <w:r>
        <w:rPr>
          <w:rFonts w:hint="eastAsia" w:asciiTheme="minorEastAsia" w:hAnsiTheme="minorEastAsia" w:eastAsiaTheme="minorEastAsia" w:cstheme="minorEastAsia"/>
          <w:b/>
          <w:i/>
          <w:sz w:val="24"/>
          <w:highlight w:val="none"/>
          <w:u w:val="single"/>
        </w:rPr>
        <w:t>合同专用条款</w:t>
      </w:r>
      <w:r>
        <w:rPr>
          <w:rFonts w:hint="eastAsia" w:asciiTheme="minorEastAsia" w:hAnsiTheme="minorEastAsia" w:eastAsiaTheme="minorEastAsia" w:cstheme="minorEastAsia"/>
          <w:sz w:val="24"/>
          <w:highlight w:val="none"/>
        </w:rPr>
        <w:t>约定期间内或者货物</w:t>
      </w:r>
      <w:r>
        <w:rPr>
          <w:rFonts w:hint="eastAsia" w:asciiTheme="minorEastAsia" w:hAnsiTheme="minorEastAsia" w:eastAsiaTheme="minorEastAsia" w:cstheme="minorEastAsia"/>
          <w:sz w:val="24"/>
          <w:highlight w:val="none"/>
          <w:lang w:eastAsia="zh-CN"/>
        </w:rPr>
        <w:t>质量保修期</w:t>
      </w:r>
      <w:r>
        <w:rPr>
          <w:rFonts w:hint="eastAsia" w:asciiTheme="minorEastAsia" w:hAnsiTheme="minorEastAsia" w:eastAsiaTheme="minorEastAsia" w:cstheme="minorEastAsia"/>
          <w:sz w:val="24"/>
          <w:highlight w:val="none"/>
        </w:rPr>
        <w:t>内不予退还或者应完全有效，前述约定期间届满或者货物</w:t>
      </w:r>
      <w:r>
        <w:rPr>
          <w:rFonts w:hint="eastAsia" w:asciiTheme="minorEastAsia" w:hAnsiTheme="minorEastAsia" w:eastAsiaTheme="minorEastAsia" w:cstheme="minorEastAsia"/>
          <w:sz w:val="24"/>
          <w:highlight w:val="none"/>
          <w:lang w:eastAsia="zh-CN"/>
        </w:rPr>
        <w:t>质量保修期</w:t>
      </w:r>
      <w:r>
        <w:rPr>
          <w:rFonts w:hint="eastAsia" w:asciiTheme="minorEastAsia" w:hAnsiTheme="minorEastAsia" w:eastAsiaTheme="minorEastAsia" w:cstheme="minorEastAsia"/>
          <w:sz w:val="24"/>
          <w:highlight w:val="none"/>
        </w:rPr>
        <w:t>届满之日起个工作日内，甲方应将履约保证金退还乙方；</w:t>
      </w:r>
    </w:p>
    <w:p w14:paraId="712BBB66">
      <w:pPr>
        <w:spacing w:line="360" w:lineRule="auto"/>
        <w:ind w:firstLine="43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2.20.3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27BCC55">
      <w:pPr>
        <w:spacing w:line="360" w:lineRule="auto"/>
        <w:ind w:firstLine="437"/>
        <w:outlineLvl w:val="3"/>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bCs/>
          <w:sz w:val="24"/>
          <w:highlight w:val="none"/>
        </w:rPr>
        <w:t>2.21 合同份数</w:t>
      </w:r>
    </w:p>
    <w:p w14:paraId="45A09B59">
      <w:pPr>
        <w:spacing w:line="360" w:lineRule="auto"/>
        <w:ind w:firstLine="43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合同份数按</w:t>
      </w:r>
      <w:r>
        <w:rPr>
          <w:rFonts w:hint="eastAsia" w:asciiTheme="minorEastAsia" w:hAnsiTheme="minorEastAsia" w:eastAsiaTheme="minorEastAsia" w:cstheme="minorEastAsia"/>
          <w:b/>
          <w:i/>
          <w:sz w:val="24"/>
          <w:highlight w:val="none"/>
          <w:u w:val="single"/>
        </w:rPr>
        <w:t>合同专用条款</w:t>
      </w:r>
      <w:r>
        <w:rPr>
          <w:rFonts w:hint="eastAsia" w:asciiTheme="minorEastAsia" w:hAnsiTheme="minorEastAsia" w:eastAsiaTheme="minorEastAsia" w:cstheme="minorEastAsia"/>
          <w:sz w:val="24"/>
          <w:highlight w:val="none"/>
        </w:rPr>
        <w:t>规定，每份均具有同等法律效力。</w:t>
      </w:r>
    </w:p>
    <w:p w14:paraId="22B7798C">
      <w:pPr>
        <w:spacing w:line="360" w:lineRule="auto"/>
        <w:jc w:val="center"/>
        <w:outlineLvl w:val="2"/>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sz w:val="24"/>
          <w:highlight w:val="none"/>
        </w:rPr>
        <w:br w:type="page"/>
      </w:r>
      <w:bookmarkStart w:id="96" w:name="_Toc24955"/>
      <w:r>
        <w:rPr>
          <w:rFonts w:hint="eastAsia" w:asciiTheme="minorEastAsia" w:hAnsiTheme="minorEastAsia" w:eastAsiaTheme="minorEastAsia" w:cstheme="minorEastAsia"/>
          <w:b/>
          <w:sz w:val="24"/>
          <w:highlight w:val="none"/>
        </w:rPr>
        <w:t>第三部分 合同专用条款</w:t>
      </w:r>
      <w:bookmarkEnd w:id="96"/>
    </w:p>
    <w:p w14:paraId="0C4FBB5D">
      <w:pPr>
        <w:spacing w:line="360" w:lineRule="auto"/>
        <w:ind w:firstLine="43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6"/>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01"/>
        <w:gridCol w:w="7561"/>
      </w:tblGrid>
      <w:tr w14:paraId="03294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921" w:type="dxa"/>
            <w:tcBorders>
              <w:top w:val="single" w:color="auto" w:sz="6" w:space="0"/>
              <w:left w:val="single" w:color="auto" w:sz="4" w:space="0"/>
              <w:bottom w:val="single" w:color="auto" w:sz="6" w:space="0"/>
              <w:right w:val="single" w:color="auto" w:sz="6" w:space="0"/>
            </w:tcBorders>
            <w:noWrap/>
            <w:vAlign w:val="center"/>
          </w:tcPr>
          <w:p w14:paraId="39B4EB41">
            <w:pPr>
              <w:snapToGrid w:val="0"/>
              <w:spacing w:line="360" w:lineRule="auto"/>
              <w:jc w:val="center"/>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条款号</w:t>
            </w:r>
          </w:p>
        </w:tc>
        <w:tc>
          <w:tcPr>
            <w:tcW w:w="8773" w:type="dxa"/>
            <w:tcBorders>
              <w:top w:val="single" w:color="auto" w:sz="6" w:space="0"/>
              <w:left w:val="nil"/>
              <w:bottom w:val="single" w:color="auto" w:sz="6" w:space="0"/>
              <w:right w:val="single" w:color="auto" w:sz="6" w:space="0"/>
            </w:tcBorders>
            <w:noWrap/>
            <w:vAlign w:val="center"/>
          </w:tcPr>
          <w:p w14:paraId="0739D1BD">
            <w:pPr>
              <w:snapToGrid w:val="0"/>
              <w:spacing w:line="360" w:lineRule="auto"/>
              <w:jc w:val="center"/>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约定内容</w:t>
            </w:r>
          </w:p>
        </w:tc>
      </w:tr>
      <w:tr w14:paraId="3DCFB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21" w:type="dxa"/>
            <w:tcBorders>
              <w:top w:val="single" w:color="auto" w:sz="6" w:space="0"/>
              <w:left w:val="single" w:color="auto" w:sz="4" w:space="0"/>
              <w:bottom w:val="single" w:color="auto" w:sz="6" w:space="0"/>
              <w:right w:val="single" w:color="auto" w:sz="6" w:space="0"/>
            </w:tcBorders>
            <w:noWrap/>
            <w:vAlign w:val="center"/>
          </w:tcPr>
          <w:p w14:paraId="3645A49C">
            <w:pPr>
              <w:snapToGrid w:val="0"/>
              <w:spacing w:line="360" w:lineRule="auto"/>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b/>
                <w:sz w:val="24"/>
                <w:highlight w:val="none"/>
              </w:rPr>
              <w:t>1.5</w:t>
            </w:r>
          </w:p>
        </w:tc>
        <w:tc>
          <w:tcPr>
            <w:tcW w:w="8773" w:type="dxa"/>
            <w:tcBorders>
              <w:top w:val="single" w:color="auto" w:sz="6" w:space="0"/>
              <w:left w:val="nil"/>
              <w:bottom w:val="single" w:color="auto" w:sz="6" w:space="0"/>
              <w:right w:val="single" w:color="auto" w:sz="6" w:space="0"/>
            </w:tcBorders>
            <w:noWrap/>
            <w:vAlign w:val="center"/>
          </w:tcPr>
          <w:p w14:paraId="79FF9383">
            <w:pPr>
              <w:spacing w:line="360" w:lineRule="auto"/>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b/>
                <w:sz w:val="24"/>
                <w:highlight w:val="none"/>
              </w:rPr>
              <w:t>供货期限：</w:t>
            </w:r>
          </w:p>
        </w:tc>
      </w:tr>
      <w:tr w14:paraId="29CAD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921" w:type="dxa"/>
            <w:tcBorders>
              <w:top w:val="single" w:color="auto" w:sz="6" w:space="0"/>
              <w:left w:val="single" w:color="auto" w:sz="4" w:space="0"/>
              <w:bottom w:val="single" w:color="auto" w:sz="6" w:space="0"/>
              <w:right w:val="single" w:color="auto" w:sz="6" w:space="0"/>
            </w:tcBorders>
            <w:noWrap/>
            <w:vAlign w:val="center"/>
          </w:tcPr>
          <w:p w14:paraId="0612E51A">
            <w:pPr>
              <w:snapToGrid w:val="0"/>
              <w:spacing w:line="360" w:lineRule="auto"/>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2.3.2</w:t>
            </w:r>
          </w:p>
        </w:tc>
        <w:tc>
          <w:tcPr>
            <w:tcW w:w="8773" w:type="dxa"/>
            <w:tcBorders>
              <w:top w:val="single" w:color="auto" w:sz="6" w:space="0"/>
              <w:left w:val="nil"/>
              <w:bottom w:val="single" w:color="auto" w:sz="6" w:space="0"/>
              <w:right w:val="single" w:color="auto" w:sz="6" w:space="0"/>
            </w:tcBorders>
            <w:noWrap/>
            <w:vAlign w:val="center"/>
          </w:tcPr>
          <w:p w14:paraId="48D1F4A8">
            <w:pPr>
              <w:snapToGrid w:val="0"/>
              <w:spacing w:line="360" w:lineRule="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具有知识产权的计算机软件等货物的知识产权归属，</w:t>
            </w:r>
            <w:r>
              <w:rPr>
                <w:rFonts w:hint="eastAsia" w:asciiTheme="minorEastAsia" w:hAnsiTheme="minorEastAsia" w:eastAsiaTheme="minorEastAsia" w:cstheme="minorEastAsia"/>
                <w:b/>
                <w:bCs/>
                <w:sz w:val="24"/>
                <w:highlight w:val="none"/>
              </w:rPr>
              <w:t>归采购人所有。</w:t>
            </w:r>
          </w:p>
        </w:tc>
      </w:tr>
      <w:tr w14:paraId="58613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921" w:type="dxa"/>
            <w:tcBorders>
              <w:top w:val="single" w:color="auto" w:sz="6" w:space="0"/>
              <w:left w:val="single" w:color="auto" w:sz="4" w:space="0"/>
              <w:bottom w:val="single" w:color="auto" w:sz="6" w:space="0"/>
              <w:right w:val="single" w:color="auto" w:sz="6" w:space="0"/>
            </w:tcBorders>
            <w:noWrap/>
            <w:vAlign w:val="center"/>
          </w:tcPr>
          <w:p w14:paraId="43A51254">
            <w:pPr>
              <w:snapToGrid w:val="0"/>
              <w:spacing w:line="360" w:lineRule="auto"/>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b/>
                <w:bCs/>
                <w:sz w:val="24"/>
                <w:highlight w:val="none"/>
              </w:rPr>
              <w:t>2.6</w:t>
            </w:r>
          </w:p>
        </w:tc>
        <w:tc>
          <w:tcPr>
            <w:tcW w:w="8773" w:type="dxa"/>
            <w:tcBorders>
              <w:top w:val="single" w:color="auto" w:sz="6" w:space="0"/>
              <w:left w:val="nil"/>
              <w:bottom w:val="single" w:color="auto" w:sz="6" w:space="0"/>
              <w:right w:val="single" w:color="auto" w:sz="6" w:space="0"/>
            </w:tcBorders>
            <w:noWrap/>
            <w:vAlign w:val="center"/>
          </w:tcPr>
          <w:p w14:paraId="29AA064C">
            <w:pPr>
              <w:widowControl/>
              <w:adjustRightInd w:val="0"/>
              <w:snapToGrid w:val="0"/>
              <w:spacing w:line="360" w:lineRule="auto"/>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b/>
                <w:bCs/>
                <w:sz w:val="24"/>
                <w:highlight w:val="none"/>
              </w:rPr>
              <w:t>结算方式和付款条件：</w:t>
            </w:r>
          </w:p>
        </w:tc>
      </w:tr>
      <w:tr w14:paraId="1D8A9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921" w:type="dxa"/>
            <w:tcBorders>
              <w:top w:val="single" w:color="auto" w:sz="6" w:space="0"/>
              <w:left w:val="single" w:color="auto" w:sz="4" w:space="0"/>
              <w:bottom w:val="single" w:color="auto" w:sz="6" w:space="0"/>
              <w:right w:val="single" w:color="auto" w:sz="6" w:space="0"/>
            </w:tcBorders>
            <w:noWrap/>
            <w:vAlign w:val="center"/>
          </w:tcPr>
          <w:p w14:paraId="2EFBAB29">
            <w:pPr>
              <w:snapToGrid w:val="0"/>
              <w:spacing w:line="360" w:lineRule="auto"/>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b/>
                <w:bCs/>
                <w:sz w:val="24"/>
                <w:highlight w:val="none"/>
              </w:rPr>
              <w:t>2.9</w:t>
            </w:r>
          </w:p>
        </w:tc>
        <w:tc>
          <w:tcPr>
            <w:tcW w:w="8773" w:type="dxa"/>
            <w:tcBorders>
              <w:top w:val="single" w:color="auto" w:sz="6" w:space="0"/>
              <w:left w:val="nil"/>
              <w:bottom w:val="single" w:color="auto" w:sz="6" w:space="0"/>
              <w:right w:val="single" w:color="auto" w:sz="6" w:space="0"/>
            </w:tcBorders>
            <w:noWrap/>
            <w:vAlign w:val="center"/>
          </w:tcPr>
          <w:p w14:paraId="44E319B4">
            <w:pPr>
              <w:snapToGrid w:val="0"/>
              <w:spacing w:line="360" w:lineRule="auto"/>
              <w:outlineLvl w:val="3"/>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b/>
                <w:bCs/>
                <w:sz w:val="24"/>
                <w:highlight w:val="none"/>
              </w:rPr>
              <w:t>货物的风险负担：</w:t>
            </w:r>
            <w:r>
              <w:rPr>
                <w:rFonts w:hint="eastAsia" w:asciiTheme="minorEastAsia" w:hAnsiTheme="minorEastAsia" w:eastAsiaTheme="minorEastAsia" w:cstheme="minorEastAsia"/>
                <w:sz w:val="24"/>
                <w:highlight w:val="none"/>
              </w:rPr>
              <w:t>货物或者在途货物或者交付给第一承运人后的货物毁损、灭失的风险均由供货商承担。</w:t>
            </w:r>
          </w:p>
        </w:tc>
      </w:tr>
      <w:tr w14:paraId="61C0B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921" w:type="dxa"/>
            <w:tcBorders>
              <w:top w:val="single" w:color="auto" w:sz="6" w:space="0"/>
              <w:left w:val="single" w:color="auto" w:sz="4" w:space="0"/>
              <w:bottom w:val="single" w:color="auto" w:sz="6" w:space="0"/>
              <w:right w:val="single" w:color="auto" w:sz="6" w:space="0"/>
            </w:tcBorders>
            <w:noWrap/>
            <w:vAlign w:val="center"/>
          </w:tcPr>
          <w:p w14:paraId="45161816">
            <w:pPr>
              <w:snapToGrid w:val="0"/>
              <w:spacing w:line="360" w:lineRule="auto"/>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2.13.3</w:t>
            </w:r>
          </w:p>
        </w:tc>
        <w:tc>
          <w:tcPr>
            <w:tcW w:w="8773" w:type="dxa"/>
            <w:tcBorders>
              <w:top w:val="single" w:color="auto" w:sz="6" w:space="0"/>
              <w:left w:val="nil"/>
              <w:bottom w:val="single" w:color="auto" w:sz="6" w:space="0"/>
              <w:right w:val="single" w:color="auto" w:sz="6" w:space="0"/>
            </w:tcBorders>
            <w:noWrap/>
            <w:vAlign w:val="center"/>
          </w:tcPr>
          <w:p w14:paraId="00F71E52">
            <w:pPr>
              <w:snapToGrid w:val="0"/>
              <w:spacing w:line="360" w:lineRule="auto"/>
              <w:rPr>
                <w:rFonts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因不可抗力致使合同有变更必要的，双方当事人应在</w:t>
            </w:r>
            <w:r>
              <w:rPr>
                <w:rFonts w:hint="eastAsia" w:asciiTheme="minorEastAsia" w:hAnsiTheme="minorEastAsia" w:eastAsiaTheme="minorEastAsia" w:cstheme="minorEastAsia"/>
                <w:b/>
                <w:iCs/>
                <w:sz w:val="24"/>
                <w:highlight w:val="none"/>
                <w:u w:val="single"/>
              </w:rPr>
              <w:t>7日</w:t>
            </w:r>
            <w:r>
              <w:rPr>
                <w:rFonts w:hint="eastAsia" w:asciiTheme="minorEastAsia" w:hAnsiTheme="minorEastAsia" w:eastAsiaTheme="minorEastAsia" w:cstheme="minorEastAsia"/>
                <w:sz w:val="24"/>
                <w:highlight w:val="none"/>
              </w:rPr>
              <w:t>内以书面形式变更合同。</w:t>
            </w:r>
          </w:p>
        </w:tc>
      </w:tr>
      <w:tr w14:paraId="32304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921" w:type="dxa"/>
            <w:tcBorders>
              <w:top w:val="single" w:color="auto" w:sz="6" w:space="0"/>
              <w:left w:val="single" w:color="auto" w:sz="4" w:space="0"/>
              <w:bottom w:val="single" w:color="auto" w:sz="6" w:space="0"/>
              <w:right w:val="single" w:color="auto" w:sz="6" w:space="0"/>
            </w:tcBorders>
            <w:noWrap/>
            <w:vAlign w:val="center"/>
          </w:tcPr>
          <w:p w14:paraId="12383615">
            <w:pPr>
              <w:snapToGrid w:val="0"/>
              <w:spacing w:line="360" w:lineRule="auto"/>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2.13.4</w:t>
            </w:r>
          </w:p>
        </w:tc>
        <w:tc>
          <w:tcPr>
            <w:tcW w:w="8773" w:type="dxa"/>
            <w:tcBorders>
              <w:top w:val="single" w:color="auto" w:sz="6" w:space="0"/>
              <w:left w:val="nil"/>
              <w:bottom w:val="single" w:color="auto" w:sz="6" w:space="0"/>
              <w:right w:val="single" w:color="auto" w:sz="6" w:space="0"/>
            </w:tcBorders>
            <w:noWrap/>
            <w:vAlign w:val="center"/>
          </w:tcPr>
          <w:p w14:paraId="1D3C79F8">
            <w:pPr>
              <w:snapToGrid w:val="0"/>
              <w:spacing w:line="360" w:lineRule="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受不可抗力影响的一方在不可抗力发生后，应在</w:t>
            </w:r>
            <w:r>
              <w:rPr>
                <w:rFonts w:hint="eastAsia" w:asciiTheme="minorEastAsia" w:hAnsiTheme="minorEastAsia" w:eastAsiaTheme="minorEastAsia" w:cstheme="minorEastAsia"/>
                <w:b/>
                <w:iCs/>
                <w:sz w:val="24"/>
                <w:highlight w:val="none"/>
                <w:u w:val="single"/>
              </w:rPr>
              <w:t>7日</w:t>
            </w:r>
            <w:r>
              <w:rPr>
                <w:rFonts w:hint="eastAsia" w:asciiTheme="minorEastAsia" w:hAnsiTheme="minorEastAsia" w:eastAsiaTheme="minorEastAsia" w:cstheme="minorEastAsia"/>
                <w:sz w:val="24"/>
                <w:highlight w:val="none"/>
              </w:rPr>
              <w:t>内以书面形式通知对方当事人，并在</w:t>
            </w:r>
            <w:r>
              <w:rPr>
                <w:rFonts w:hint="eastAsia" w:asciiTheme="minorEastAsia" w:hAnsiTheme="minorEastAsia" w:eastAsiaTheme="minorEastAsia" w:cstheme="minorEastAsia"/>
                <w:b/>
                <w:iCs/>
                <w:sz w:val="24"/>
                <w:highlight w:val="none"/>
                <w:u w:val="single"/>
              </w:rPr>
              <w:t>7日</w:t>
            </w:r>
            <w:r>
              <w:rPr>
                <w:rFonts w:hint="eastAsia" w:asciiTheme="minorEastAsia" w:hAnsiTheme="minorEastAsia" w:eastAsiaTheme="minorEastAsia" w:cstheme="minorEastAsia"/>
                <w:sz w:val="24"/>
                <w:highlight w:val="none"/>
              </w:rPr>
              <w:t>内，将有关部门出具的证明文件送达对方当事人。</w:t>
            </w:r>
          </w:p>
        </w:tc>
      </w:tr>
      <w:tr w14:paraId="4D9A5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921" w:type="dxa"/>
            <w:tcBorders>
              <w:top w:val="single" w:color="auto" w:sz="6" w:space="0"/>
              <w:left w:val="single" w:color="auto" w:sz="4" w:space="0"/>
              <w:bottom w:val="single" w:color="auto" w:sz="6" w:space="0"/>
              <w:right w:val="single" w:color="auto" w:sz="6" w:space="0"/>
            </w:tcBorders>
            <w:noWrap/>
            <w:vAlign w:val="center"/>
          </w:tcPr>
          <w:p w14:paraId="6A195EF3">
            <w:pPr>
              <w:snapToGrid w:val="0"/>
              <w:spacing w:line="360" w:lineRule="auto"/>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b/>
                <w:bCs/>
                <w:sz w:val="24"/>
                <w:highlight w:val="none"/>
              </w:rPr>
              <w:t>2.16</w:t>
            </w:r>
          </w:p>
        </w:tc>
        <w:tc>
          <w:tcPr>
            <w:tcW w:w="8773" w:type="dxa"/>
            <w:tcBorders>
              <w:top w:val="single" w:color="auto" w:sz="6" w:space="0"/>
              <w:left w:val="nil"/>
              <w:bottom w:val="single" w:color="auto" w:sz="6" w:space="0"/>
              <w:right w:val="single" w:color="auto" w:sz="6" w:space="0"/>
            </w:tcBorders>
            <w:noWrap/>
            <w:vAlign w:val="center"/>
          </w:tcPr>
          <w:p w14:paraId="11E4F473">
            <w:pPr>
              <w:snapToGrid w:val="0"/>
              <w:spacing w:line="360" w:lineRule="auto"/>
              <w:rPr>
                <w:rFonts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b/>
                <w:bCs/>
                <w:sz w:val="24"/>
                <w:highlight w:val="none"/>
              </w:rPr>
              <w:t>合同中止、终止</w:t>
            </w:r>
          </w:p>
        </w:tc>
      </w:tr>
      <w:tr w14:paraId="2EF93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921" w:type="dxa"/>
            <w:tcBorders>
              <w:top w:val="single" w:color="auto" w:sz="6" w:space="0"/>
              <w:left w:val="single" w:color="auto" w:sz="4" w:space="0"/>
              <w:bottom w:val="single" w:color="auto" w:sz="6" w:space="0"/>
              <w:right w:val="single" w:color="auto" w:sz="6" w:space="0"/>
            </w:tcBorders>
            <w:noWrap/>
            <w:vAlign w:val="center"/>
          </w:tcPr>
          <w:p w14:paraId="22344EF4">
            <w:pPr>
              <w:snapToGrid w:val="0"/>
              <w:spacing w:line="360" w:lineRule="auto"/>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2.16.3</w:t>
            </w:r>
          </w:p>
        </w:tc>
        <w:tc>
          <w:tcPr>
            <w:tcW w:w="8773" w:type="dxa"/>
            <w:tcBorders>
              <w:top w:val="single" w:color="auto" w:sz="6" w:space="0"/>
              <w:left w:val="nil"/>
              <w:bottom w:val="single" w:color="auto" w:sz="6" w:space="0"/>
              <w:right w:val="single" w:color="auto" w:sz="6" w:space="0"/>
            </w:tcBorders>
            <w:noWrap/>
            <w:vAlign w:val="center"/>
          </w:tcPr>
          <w:p w14:paraId="649B5A40">
            <w:pPr>
              <w:snapToGrid w:val="0"/>
              <w:spacing w:line="360" w:lineRule="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卖方供货期内未能交货。卖方在履行合同过程中，如果遇到不能按时交货情况，应及时以书面形式将不能按期履行合同的理由、延误的时间通知买方。买方在收到卖方通知后，有权决定是否延长合同的履行时间或终止合同。如买方终止合同，卖方不得要求买方返还履约保证金；如买方同意延长合同的履行时间，卖方必须在买方规定的时间内提供符合质量标准的产品，由此造成的误期赔偿费按照1.6.1款约定执行。如卖方在买方规定的时间内未能提供符合质量标准的产品，买方有权终止合同，没收履约保证金。</w:t>
            </w:r>
          </w:p>
        </w:tc>
      </w:tr>
      <w:tr w14:paraId="6CA82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921" w:type="dxa"/>
            <w:tcBorders>
              <w:top w:val="single" w:color="auto" w:sz="6" w:space="0"/>
              <w:left w:val="single" w:color="auto" w:sz="4" w:space="0"/>
              <w:bottom w:val="single" w:color="auto" w:sz="6" w:space="0"/>
              <w:right w:val="single" w:color="auto" w:sz="6" w:space="0"/>
            </w:tcBorders>
            <w:noWrap/>
            <w:vAlign w:val="center"/>
          </w:tcPr>
          <w:p w14:paraId="5C2C6A42">
            <w:pPr>
              <w:snapToGrid w:val="0"/>
              <w:spacing w:line="360" w:lineRule="auto"/>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2.16.4</w:t>
            </w:r>
          </w:p>
        </w:tc>
        <w:tc>
          <w:tcPr>
            <w:tcW w:w="8773" w:type="dxa"/>
            <w:tcBorders>
              <w:top w:val="single" w:color="auto" w:sz="6" w:space="0"/>
              <w:left w:val="nil"/>
              <w:bottom w:val="single" w:color="auto" w:sz="6" w:space="0"/>
              <w:right w:val="single" w:color="auto" w:sz="6" w:space="0"/>
            </w:tcBorders>
            <w:noWrap/>
            <w:vAlign w:val="center"/>
          </w:tcPr>
          <w:p w14:paraId="002B70F6">
            <w:pPr>
              <w:snapToGrid w:val="0"/>
              <w:spacing w:line="360" w:lineRule="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卖方交货不符合合同质量标准，卖方必须重新提供符合质量标准的产品，由此造成的误期赔偿费按照1.6.1款约定执行。如卖方在买方规定的时间内未能提供符合质量标准的产品，买方有权终止合同，没收履约保证金。</w:t>
            </w:r>
          </w:p>
        </w:tc>
      </w:tr>
      <w:tr w14:paraId="4F599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921" w:type="dxa"/>
            <w:tcBorders>
              <w:top w:val="single" w:color="auto" w:sz="6" w:space="0"/>
              <w:left w:val="single" w:color="auto" w:sz="4" w:space="0"/>
              <w:bottom w:val="single" w:color="auto" w:sz="6" w:space="0"/>
              <w:right w:val="single" w:color="auto" w:sz="6" w:space="0"/>
            </w:tcBorders>
            <w:noWrap/>
            <w:vAlign w:val="center"/>
          </w:tcPr>
          <w:p w14:paraId="5EA6959E">
            <w:pPr>
              <w:snapToGrid w:val="0"/>
              <w:spacing w:line="360" w:lineRule="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2.16.5</w:t>
            </w:r>
          </w:p>
        </w:tc>
        <w:tc>
          <w:tcPr>
            <w:tcW w:w="8773" w:type="dxa"/>
            <w:tcBorders>
              <w:top w:val="single" w:color="auto" w:sz="6" w:space="0"/>
              <w:left w:val="nil"/>
              <w:bottom w:val="single" w:color="auto" w:sz="6" w:space="0"/>
              <w:right w:val="single" w:color="auto" w:sz="6" w:space="0"/>
            </w:tcBorders>
            <w:noWrap/>
            <w:vAlign w:val="center"/>
          </w:tcPr>
          <w:p w14:paraId="6B9EF01F">
            <w:pPr>
              <w:snapToGrid w:val="0"/>
              <w:spacing w:line="360" w:lineRule="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卖方将合同转包，提供假冒伪劣产品，擅自变更、中止或者终止合同的，买方有权终止合同，乙方退回全部款项并支付合同总价10%违约金。</w:t>
            </w:r>
          </w:p>
        </w:tc>
      </w:tr>
      <w:tr w14:paraId="64E8C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921" w:type="dxa"/>
            <w:tcBorders>
              <w:top w:val="single" w:color="auto" w:sz="6" w:space="0"/>
              <w:left w:val="single" w:color="auto" w:sz="4" w:space="0"/>
              <w:bottom w:val="single" w:color="auto" w:sz="6" w:space="0"/>
              <w:right w:val="single" w:color="auto" w:sz="6" w:space="0"/>
            </w:tcBorders>
            <w:noWrap/>
            <w:vAlign w:val="center"/>
          </w:tcPr>
          <w:p w14:paraId="0F6AD9C3">
            <w:pPr>
              <w:snapToGrid w:val="0"/>
              <w:spacing w:line="360" w:lineRule="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2.17</w:t>
            </w:r>
          </w:p>
        </w:tc>
        <w:tc>
          <w:tcPr>
            <w:tcW w:w="8773" w:type="dxa"/>
            <w:tcBorders>
              <w:top w:val="single" w:color="auto" w:sz="6" w:space="0"/>
              <w:left w:val="nil"/>
              <w:bottom w:val="single" w:color="auto" w:sz="6" w:space="0"/>
              <w:right w:val="single" w:color="auto" w:sz="6" w:space="0"/>
            </w:tcBorders>
            <w:noWrap/>
            <w:vAlign w:val="center"/>
          </w:tcPr>
          <w:p w14:paraId="0011C433">
            <w:pPr>
              <w:snapToGrid w:val="0"/>
              <w:spacing w:line="360" w:lineRule="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b/>
                <w:bCs/>
                <w:sz w:val="24"/>
                <w:highlight w:val="none"/>
              </w:rPr>
              <w:t>检验和验收</w:t>
            </w:r>
          </w:p>
        </w:tc>
      </w:tr>
      <w:tr w14:paraId="12389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921" w:type="dxa"/>
            <w:tcBorders>
              <w:top w:val="single" w:color="auto" w:sz="6" w:space="0"/>
              <w:left w:val="single" w:color="auto" w:sz="4" w:space="0"/>
              <w:bottom w:val="single" w:color="auto" w:sz="6" w:space="0"/>
              <w:right w:val="single" w:color="auto" w:sz="6" w:space="0"/>
            </w:tcBorders>
            <w:noWrap/>
            <w:vAlign w:val="center"/>
          </w:tcPr>
          <w:p w14:paraId="5504F31D">
            <w:pPr>
              <w:snapToGrid w:val="0"/>
              <w:spacing w:line="360" w:lineRule="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2.17.1</w:t>
            </w:r>
          </w:p>
        </w:tc>
        <w:tc>
          <w:tcPr>
            <w:tcW w:w="8773" w:type="dxa"/>
            <w:tcBorders>
              <w:top w:val="single" w:color="auto" w:sz="6" w:space="0"/>
              <w:left w:val="nil"/>
              <w:bottom w:val="single" w:color="auto" w:sz="6" w:space="0"/>
              <w:right w:val="single" w:color="auto" w:sz="6" w:space="0"/>
            </w:tcBorders>
            <w:noWrap/>
            <w:vAlign w:val="center"/>
          </w:tcPr>
          <w:p w14:paraId="1D9E52F6">
            <w:pPr>
              <w:snapToGrid w:val="0"/>
              <w:spacing w:line="360" w:lineRule="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货物交付前，乙方应对货物的质量、数量等方面进行详细、全面的检验，并向甲方出具证明货物符合合同约定的文件；货物具备交付条件后，乙方在</w:t>
            </w:r>
            <w:r>
              <w:rPr>
                <w:rFonts w:hint="eastAsia" w:asciiTheme="minorEastAsia" w:hAnsiTheme="minorEastAsia" w:eastAsiaTheme="minorEastAsia" w:cstheme="minorEastAsia"/>
                <w:b/>
                <w:iCs/>
                <w:sz w:val="24"/>
                <w:highlight w:val="none"/>
                <w:u w:val="single"/>
              </w:rPr>
              <w:t>7日</w:t>
            </w:r>
            <w:r>
              <w:rPr>
                <w:rFonts w:hint="eastAsia" w:asciiTheme="minorEastAsia" w:hAnsiTheme="minorEastAsia" w:eastAsiaTheme="minorEastAsia" w:cstheme="minorEastAsia"/>
                <w:sz w:val="24"/>
                <w:highlight w:val="none"/>
              </w:rPr>
              <w:t>内组织验收，并可依法邀请相关方参加，验收应出具验收书。</w:t>
            </w:r>
          </w:p>
        </w:tc>
      </w:tr>
      <w:tr w14:paraId="6A6F9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921" w:type="dxa"/>
            <w:tcBorders>
              <w:top w:val="single" w:color="auto" w:sz="6" w:space="0"/>
              <w:left w:val="single" w:color="auto" w:sz="4" w:space="0"/>
              <w:bottom w:val="single" w:color="auto" w:sz="6" w:space="0"/>
              <w:right w:val="single" w:color="auto" w:sz="6" w:space="0"/>
            </w:tcBorders>
            <w:noWrap/>
            <w:vAlign w:val="center"/>
          </w:tcPr>
          <w:p w14:paraId="46442B45">
            <w:pPr>
              <w:snapToGrid w:val="0"/>
              <w:spacing w:line="360" w:lineRule="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2.20.1</w:t>
            </w:r>
          </w:p>
        </w:tc>
        <w:tc>
          <w:tcPr>
            <w:tcW w:w="8773" w:type="dxa"/>
            <w:tcBorders>
              <w:top w:val="single" w:color="auto" w:sz="6" w:space="0"/>
              <w:left w:val="nil"/>
              <w:bottom w:val="single" w:color="auto" w:sz="6" w:space="0"/>
              <w:right w:val="single" w:color="auto" w:sz="6" w:space="0"/>
            </w:tcBorders>
            <w:noWrap/>
            <w:vAlign w:val="center"/>
          </w:tcPr>
          <w:p w14:paraId="1BC543A8">
            <w:pPr>
              <w:snapToGrid w:val="0"/>
              <w:spacing w:line="360" w:lineRule="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乙方应在签订合同前向采购人缴纳合同价</w:t>
            </w:r>
            <w:r>
              <w:rPr>
                <w:rFonts w:hint="eastAsia" w:asciiTheme="minorEastAsia" w:hAnsiTheme="minorEastAsia" w:eastAsiaTheme="minorEastAsia" w:cstheme="minorEastAsia"/>
                <w:sz w:val="24"/>
                <w:highlight w:val="none"/>
                <w:u w:val="single"/>
                <w:lang w:val="en-US" w:eastAsia="zh-CN"/>
              </w:rPr>
              <w:t xml:space="preserve"> /  </w:t>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rPr>
              <w:t>%履约保证金，保证金形式可以为支票、汇票、本票或者本地银行出具的保函非现金形式。</w:t>
            </w:r>
          </w:p>
        </w:tc>
      </w:tr>
      <w:tr w14:paraId="09F34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921" w:type="dxa"/>
            <w:tcBorders>
              <w:top w:val="single" w:color="auto" w:sz="6" w:space="0"/>
              <w:left w:val="single" w:color="auto" w:sz="4" w:space="0"/>
              <w:bottom w:val="single" w:color="auto" w:sz="6" w:space="0"/>
              <w:right w:val="single" w:color="auto" w:sz="6" w:space="0"/>
            </w:tcBorders>
            <w:noWrap/>
            <w:vAlign w:val="center"/>
          </w:tcPr>
          <w:p w14:paraId="1B0903A2">
            <w:pPr>
              <w:snapToGrid w:val="0"/>
              <w:spacing w:line="360" w:lineRule="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2.20.2</w:t>
            </w:r>
          </w:p>
        </w:tc>
        <w:tc>
          <w:tcPr>
            <w:tcW w:w="8773" w:type="dxa"/>
            <w:tcBorders>
              <w:top w:val="single" w:color="auto" w:sz="6" w:space="0"/>
              <w:left w:val="nil"/>
              <w:bottom w:val="single" w:color="auto" w:sz="6" w:space="0"/>
              <w:right w:val="single" w:color="auto" w:sz="6" w:space="0"/>
            </w:tcBorders>
            <w:noWrap/>
            <w:vAlign w:val="center"/>
          </w:tcPr>
          <w:p w14:paraId="41F4AEED">
            <w:pPr>
              <w:snapToGrid w:val="0"/>
              <w:spacing w:line="360" w:lineRule="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履约保证金在验收合格后退还。</w:t>
            </w:r>
          </w:p>
        </w:tc>
      </w:tr>
      <w:tr w14:paraId="0CC4D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921" w:type="dxa"/>
            <w:tcBorders>
              <w:top w:val="single" w:color="auto" w:sz="6" w:space="0"/>
              <w:left w:val="single" w:color="auto" w:sz="4" w:space="0"/>
              <w:bottom w:val="single" w:color="auto" w:sz="6" w:space="0"/>
              <w:right w:val="single" w:color="auto" w:sz="6" w:space="0"/>
            </w:tcBorders>
            <w:noWrap/>
            <w:vAlign w:val="center"/>
          </w:tcPr>
          <w:p w14:paraId="7918DB8E">
            <w:pPr>
              <w:snapToGrid w:val="0"/>
              <w:spacing w:line="360" w:lineRule="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b/>
                <w:sz w:val="24"/>
                <w:highlight w:val="none"/>
                <w:lang w:val="zh-CN"/>
              </w:rPr>
              <w:t xml:space="preserve">2.21 </w:t>
            </w:r>
          </w:p>
        </w:tc>
        <w:tc>
          <w:tcPr>
            <w:tcW w:w="8773" w:type="dxa"/>
            <w:tcBorders>
              <w:top w:val="single" w:color="auto" w:sz="6" w:space="0"/>
              <w:left w:val="nil"/>
              <w:bottom w:val="single" w:color="auto" w:sz="6" w:space="0"/>
              <w:right w:val="single" w:color="auto" w:sz="6" w:space="0"/>
            </w:tcBorders>
            <w:noWrap/>
            <w:vAlign w:val="center"/>
          </w:tcPr>
          <w:p w14:paraId="2C62B92D">
            <w:pPr>
              <w:snapToGrid w:val="0"/>
              <w:spacing w:line="360" w:lineRule="auto"/>
              <w:outlineLvl w:val="3"/>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合同份数肆份，采购人执叁份，卖方执壹份，每份均具有同等法律效力。</w:t>
            </w:r>
          </w:p>
        </w:tc>
      </w:tr>
    </w:tbl>
    <w:p w14:paraId="0BEDE816">
      <w:pPr>
        <w:pStyle w:val="9"/>
        <w:spacing w:after="0" w:line="360" w:lineRule="auto"/>
        <w:jc w:val="center"/>
        <w:rPr>
          <w:rFonts w:ascii="宋体" w:hAnsi="宋体" w:eastAsia="宋体" w:cs="宋体"/>
          <w:b/>
          <w:bCs/>
          <w:spacing w:val="-20"/>
          <w:kern w:val="44"/>
          <w:sz w:val="24"/>
          <w:highlight w:val="none"/>
        </w:rPr>
      </w:pPr>
    </w:p>
    <w:p w14:paraId="5F3C60C9">
      <w:pPr>
        <w:pStyle w:val="9"/>
        <w:spacing w:after="0" w:line="360" w:lineRule="auto"/>
        <w:jc w:val="center"/>
        <w:rPr>
          <w:rFonts w:ascii="宋体" w:hAnsi="宋体" w:eastAsia="宋体" w:cs="宋体"/>
          <w:b/>
          <w:bCs/>
          <w:spacing w:val="-20"/>
          <w:kern w:val="44"/>
          <w:sz w:val="24"/>
          <w:highlight w:val="none"/>
        </w:rPr>
      </w:pPr>
    </w:p>
    <w:p w14:paraId="36402D2A">
      <w:pPr>
        <w:pStyle w:val="9"/>
        <w:spacing w:after="0" w:line="360" w:lineRule="auto"/>
        <w:jc w:val="center"/>
        <w:rPr>
          <w:rFonts w:ascii="宋体" w:hAnsi="宋体" w:eastAsia="宋体" w:cs="宋体"/>
          <w:b/>
          <w:bCs/>
          <w:spacing w:val="-20"/>
          <w:kern w:val="44"/>
          <w:sz w:val="24"/>
          <w:highlight w:val="none"/>
        </w:rPr>
      </w:pPr>
    </w:p>
    <w:p w14:paraId="17882733">
      <w:pPr>
        <w:spacing w:line="360" w:lineRule="auto"/>
        <w:rPr>
          <w:rFonts w:ascii="宋体" w:hAnsi="宋体" w:eastAsia="宋体" w:cs="宋体"/>
          <w:b/>
          <w:bCs/>
          <w:spacing w:val="-20"/>
          <w:kern w:val="44"/>
          <w:sz w:val="24"/>
          <w:szCs w:val="24"/>
          <w:highlight w:val="none"/>
        </w:rPr>
      </w:pPr>
    </w:p>
    <w:p w14:paraId="46842A3B">
      <w:pPr>
        <w:pStyle w:val="9"/>
        <w:rPr>
          <w:rFonts w:ascii="宋体" w:hAnsi="宋体" w:eastAsia="宋体" w:cs="宋体"/>
          <w:b/>
          <w:bCs/>
          <w:spacing w:val="-20"/>
          <w:kern w:val="44"/>
          <w:sz w:val="24"/>
          <w:highlight w:val="none"/>
        </w:rPr>
      </w:pPr>
    </w:p>
    <w:p w14:paraId="7BEA3514">
      <w:pPr>
        <w:pStyle w:val="9"/>
        <w:rPr>
          <w:rFonts w:ascii="宋体" w:hAnsi="宋体" w:eastAsia="宋体" w:cs="宋体"/>
          <w:b/>
          <w:bCs/>
          <w:spacing w:val="-20"/>
          <w:kern w:val="44"/>
          <w:sz w:val="24"/>
          <w:highlight w:val="none"/>
        </w:rPr>
      </w:pPr>
    </w:p>
    <w:p w14:paraId="3612C2D9">
      <w:pPr>
        <w:spacing w:line="360" w:lineRule="auto"/>
        <w:rPr>
          <w:rFonts w:ascii="宋体" w:hAnsi="宋体" w:eastAsia="宋体" w:cs="宋体"/>
          <w:b/>
          <w:bCs/>
          <w:spacing w:val="-20"/>
          <w:kern w:val="44"/>
          <w:sz w:val="24"/>
          <w:szCs w:val="24"/>
          <w:highlight w:val="none"/>
        </w:rPr>
      </w:pPr>
    </w:p>
    <w:p w14:paraId="62785D10">
      <w:pPr>
        <w:pStyle w:val="9"/>
        <w:spacing w:line="360" w:lineRule="auto"/>
        <w:rPr>
          <w:highlight w:val="none"/>
        </w:rPr>
      </w:pPr>
    </w:p>
    <w:p w14:paraId="623EBAED">
      <w:pPr>
        <w:spacing w:line="360" w:lineRule="auto"/>
        <w:rPr>
          <w:rFonts w:ascii="宋体" w:hAnsi="宋体" w:eastAsia="宋体" w:cs="宋体"/>
          <w:b/>
          <w:bCs/>
          <w:spacing w:val="-20"/>
          <w:kern w:val="44"/>
          <w:sz w:val="24"/>
          <w:szCs w:val="24"/>
          <w:highlight w:val="none"/>
        </w:rPr>
      </w:pPr>
    </w:p>
    <w:p w14:paraId="19371596">
      <w:pPr>
        <w:rPr>
          <w:rFonts w:asciiTheme="minorEastAsia" w:hAnsiTheme="minorEastAsia" w:eastAsiaTheme="minorEastAsia"/>
          <w:b/>
          <w:sz w:val="28"/>
          <w:highlight w:val="none"/>
        </w:rPr>
      </w:pPr>
      <w:bookmarkStart w:id="97" w:name="_Toc20621"/>
      <w:r>
        <w:rPr>
          <w:rFonts w:hint="eastAsia" w:asciiTheme="minorEastAsia" w:hAnsiTheme="minorEastAsia" w:eastAsiaTheme="minorEastAsia"/>
          <w:b/>
          <w:sz w:val="28"/>
          <w:highlight w:val="none"/>
        </w:rPr>
        <w:br w:type="page"/>
      </w:r>
    </w:p>
    <w:p w14:paraId="5DBC2FD9">
      <w:pPr>
        <w:spacing w:line="360" w:lineRule="auto"/>
        <w:jc w:val="center"/>
        <w:outlineLvl w:val="0"/>
        <w:rPr>
          <w:rFonts w:asciiTheme="minorEastAsia" w:hAnsiTheme="minorEastAsia" w:eastAsiaTheme="minorEastAsia"/>
          <w:b/>
          <w:sz w:val="28"/>
          <w:highlight w:val="none"/>
        </w:rPr>
      </w:pPr>
      <w:r>
        <w:rPr>
          <w:rFonts w:hint="eastAsia" w:asciiTheme="minorEastAsia" w:hAnsiTheme="minorEastAsia" w:eastAsiaTheme="minorEastAsia"/>
          <w:b/>
          <w:sz w:val="28"/>
          <w:highlight w:val="none"/>
        </w:rPr>
        <w:t>第六章  投标文件格式</w:t>
      </w:r>
      <w:bookmarkEnd w:id="97"/>
    </w:p>
    <w:p w14:paraId="393C64C1">
      <w:pPr>
        <w:spacing w:line="900" w:lineRule="exact"/>
        <w:jc w:val="center"/>
        <w:rPr>
          <w:rFonts w:asciiTheme="minorEastAsia" w:hAnsiTheme="minorEastAsia" w:eastAsiaTheme="minorEastAsia"/>
          <w:b/>
          <w:sz w:val="72"/>
          <w:highlight w:val="none"/>
        </w:rPr>
      </w:pPr>
    </w:p>
    <w:p w14:paraId="1981DB65">
      <w:pPr>
        <w:spacing w:line="900" w:lineRule="exact"/>
        <w:jc w:val="center"/>
        <w:outlineLvl w:val="1"/>
        <w:rPr>
          <w:rFonts w:asciiTheme="minorEastAsia" w:hAnsiTheme="minorEastAsia" w:eastAsiaTheme="minorEastAsia"/>
          <w:b/>
          <w:sz w:val="72"/>
          <w:highlight w:val="none"/>
        </w:rPr>
      </w:pPr>
      <w:bookmarkStart w:id="98" w:name="_Toc8793"/>
      <w:bookmarkStart w:id="99" w:name="_Toc651"/>
      <w:r>
        <w:rPr>
          <w:rFonts w:hint="eastAsia" w:asciiTheme="minorEastAsia" w:hAnsiTheme="minorEastAsia" w:eastAsiaTheme="minorEastAsia"/>
          <w:b/>
          <w:sz w:val="72"/>
          <w:highlight w:val="none"/>
        </w:rPr>
        <w:t>投</w:t>
      </w:r>
      <w:bookmarkEnd w:id="98"/>
      <w:bookmarkEnd w:id="99"/>
    </w:p>
    <w:p w14:paraId="34ED05E4">
      <w:pPr>
        <w:spacing w:line="900" w:lineRule="exact"/>
        <w:jc w:val="center"/>
        <w:rPr>
          <w:rFonts w:asciiTheme="minorEastAsia" w:hAnsiTheme="minorEastAsia" w:eastAsiaTheme="minorEastAsia"/>
          <w:b/>
          <w:sz w:val="72"/>
          <w:highlight w:val="none"/>
        </w:rPr>
      </w:pPr>
    </w:p>
    <w:p w14:paraId="4F02AB15">
      <w:pPr>
        <w:spacing w:line="900" w:lineRule="exact"/>
        <w:jc w:val="center"/>
        <w:outlineLvl w:val="1"/>
        <w:rPr>
          <w:rFonts w:asciiTheme="minorEastAsia" w:hAnsiTheme="minorEastAsia" w:eastAsiaTheme="minorEastAsia"/>
          <w:b/>
          <w:sz w:val="72"/>
          <w:highlight w:val="none"/>
        </w:rPr>
      </w:pPr>
      <w:bookmarkStart w:id="100" w:name="_Toc24956"/>
      <w:bookmarkStart w:id="101" w:name="_Toc6148"/>
      <w:r>
        <w:rPr>
          <w:rFonts w:hint="eastAsia" w:asciiTheme="minorEastAsia" w:hAnsiTheme="minorEastAsia" w:eastAsiaTheme="minorEastAsia"/>
          <w:b/>
          <w:sz w:val="72"/>
          <w:highlight w:val="none"/>
        </w:rPr>
        <w:t>标</w:t>
      </w:r>
      <w:bookmarkEnd w:id="100"/>
      <w:bookmarkEnd w:id="101"/>
    </w:p>
    <w:p w14:paraId="136281F1">
      <w:pPr>
        <w:spacing w:line="900" w:lineRule="exact"/>
        <w:jc w:val="center"/>
        <w:rPr>
          <w:rFonts w:asciiTheme="minorEastAsia" w:hAnsiTheme="minorEastAsia" w:eastAsiaTheme="minorEastAsia"/>
          <w:b/>
          <w:sz w:val="72"/>
          <w:highlight w:val="none"/>
        </w:rPr>
      </w:pPr>
    </w:p>
    <w:p w14:paraId="4FF2CB34">
      <w:pPr>
        <w:spacing w:line="900" w:lineRule="exact"/>
        <w:jc w:val="center"/>
        <w:outlineLvl w:val="1"/>
        <w:rPr>
          <w:rFonts w:asciiTheme="minorEastAsia" w:hAnsiTheme="minorEastAsia" w:eastAsiaTheme="minorEastAsia"/>
          <w:b/>
          <w:sz w:val="72"/>
          <w:highlight w:val="none"/>
        </w:rPr>
      </w:pPr>
      <w:bookmarkStart w:id="102" w:name="_Toc1338"/>
      <w:bookmarkStart w:id="103" w:name="_Toc23213"/>
      <w:r>
        <w:rPr>
          <w:rFonts w:hint="eastAsia" w:asciiTheme="minorEastAsia" w:hAnsiTheme="minorEastAsia" w:eastAsiaTheme="minorEastAsia"/>
          <w:b/>
          <w:sz w:val="72"/>
          <w:highlight w:val="none"/>
        </w:rPr>
        <w:t>文</w:t>
      </w:r>
      <w:bookmarkEnd w:id="102"/>
      <w:bookmarkEnd w:id="103"/>
    </w:p>
    <w:p w14:paraId="495FA29D">
      <w:pPr>
        <w:spacing w:line="900" w:lineRule="exact"/>
        <w:jc w:val="center"/>
        <w:rPr>
          <w:rFonts w:asciiTheme="minorEastAsia" w:hAnsiTheme="minorEastAsia" w:eastAsiaTheme="minorEastAsia"/>
          <w:b/>
          <w:sz w:val="72"/>
          <w:highlight w:val="none"/>
        </w:rPr>
      </w:pPr>
    </w:p>
    <w:p w14:paraId="76D38C69">
      <w:pPr>
        <w:jc w:val="center"/>
        <w:outlineLvl w:val="1"/>
        <w:rPr>
          <w:rFonts w:asciiTheme="minorEastAsia" w:hAnsiTheme="minorEastAsia" w:eastAsiaTheme="minorEastAsia"/>
          <w:b/>
          <w:sz w:val="72"/>
          <w:highlight w:val="none"/>
        </w:rPr>
      </w:pPr>
      <w:bookmarkStart w:id="104" w:name="_Toc3773"/>
      <w:bookmarkStart w:id="105" w:name="_Toc10796"/>
      <w:r>
        <w:rPr>
          <w:rFonts w:hint="eastAsia" w:asciiTheme="minorEastAsia" w:hAnsiTheme="minorEastAsia" w:eastAsiaTheme="minorEastAsia"/>
          <w:b/>
          <w:sz w:val="72"/>
          <w:highlight w:val="none"/>
        </w:rPr>
        <w:t>件</w:t>
      </w:r>
      <w:bookmarkEnd w:id="104"/>
      <w:bookmarkEnd w:id="105"/>
    </w:p>
    <w:p w14:paraId="1DE3243C">
      <w:pPr>
        <w:spacing w:afterLines="50"/>
        <w:jc w:val="center"/>
        <w:rPr>
          <w:rFonts w:asciiTheme="minorEastAsia" w:hAnsiTheme="minorEastAsia" w:eastAsiaTheme="minorEastAsia"/>
          <w:b/>
          <w:sz w:val="72"/>
          <w:highlight w:val="none"/>
        </w:rPr>
      </w:pPr>
    </w:p>
    <w:p w14:paraId="25837BD1">
      <w:pPr>
        <w:pStyle w:val="9"/>
        <w:spacing w:after="0" w:line="360" w:lineRule="auto"/>
        <w:ind w:firstLine="643" w:firstLineChars="200"/>
        <w:jc w:val="center"/>
        <w:outlineLvl w:val="1"/>
        <w:rPr>
          <w:rFonts w:ascii="宋体" w:hAnsi="宋体" w:eastAsia="宋体"/>
          <w:sz w:val="24"/>
          <w:szCs w:val="18"/>
          <w:highlight w:val="none"/>
          <w:lang w:val="en-US"/>
        </w:rPr>
      </w:pPr>
      <w:bookmarkStart w:id="106" w:name="_Toc32506"/>
      <w:bookmarkStart w:id="107" w:name="_Toc21832"/>
      <w:bookmarkStart w:id="108" w:name="_Toc2390"/>
      <w:r>
        <w:rPr>
          <w:rFonts w:hint="eastAsia" w:asciiTheme="minorEastAsia" w:hAnsiTheme="minorEastAsia" w:eastAsiaTheme="minorEastAsia"/>
          <w:b/>
          <w:sz w:val="32"/>
          <w:szCs w:val="32"/>
          <w:highlight w:val="none"/>
        </w:rPr>
        <w:t>【第包】</w:t>
      </w:r>
      <w:bookmarkEnd w:id="106"/>
      <w:bookmarkEnd w:id="107"/>
      <w:bookmarkEnd w:id="108"/>
    </w:p>
    <w:p w14:paraId="4618CDFB">
      <w:pPr>
        <w:spacing w:beforeLines="50" w:afterLines="50"/>
        <w:jc w:val="center"/>
        <w:rPr>
          <w:rFonts w:asciiTheme="minorEastAsia" w:hAnsiTheme="minorEastAsia" w:eastAsiaTheme="minorEastAsia"/>
          <w:b/>
          <w:sz w:val="32"/>
          <w:szCs w:val="32"/>
          <w:highlight w:val="none"/>
        </w:rPr>
      </w:pPr>
    </w:p>
    <w:p w14:paraId="727375E5">
      <w:pPr>
        <w:spacing w:afterLines="50" w:line="500" w:lineRule="exact"/>
        <w:jc w:val="center"/>
        <w:rPr>
          <w:rFonts w:asciiTheme="minorEastAsia" w:hAnsiTheme="minorEastAsia" w:eastAsiaTheme="minorEastAsia"/>
          <w:b/>
          <w:sz w:val="28"/>
          <w:szCs w:val="28"/>
          <w:highlight w:val="none"/>
        </w:rPr>
      </w:pPr>
    </w:p>
    <w:p w14:paraId="25BFB196">
      <w:pPr>
        <w:tabs>
          <w:tab w:val="left" w:pos="2410"/>
        </w:tabs>
        <w:autoSpaceDE w:val="0"/>
        <w:autoSpaceDN w:val="0"/>
        <w:adjustRightInd w:val="0"/>
        <w:snapToGrid w:val="0"/>
        <w:spacing w:line="360" w:lineRule="auto"/>
        <w:ind w:firstLine="643" w:firstLineChars="200"/>
        <w:rPr>
          <w:rFonts w:ascii="宋体" w:hAnsi="宋体" w:eastAsia="宋体"/>
          <w:b/>
          <w:spacing w:val="20"/>
          <w:kern w:val="0"/>
          <w:sz w:val="32"/>
          <w:szCs w:val="32"/>
          <w:highlight w:val="none"/>
        </w:rPr>
      </w:pPr>
      <w:r>
        <w:rPr>
          <w:rFonts w:hint="eastAsia" w:asciiTheme="minorEastAsia" w:hAnsiTheme="minorEastAsia" w:eastAsiaTheme="minorEastAsia"/>
          <w:b/>
          <w:sz w:val="32"/>
          <w:highlight w:val="none"/>
        </w:rPr>
        <w:t>项目名称：</w:t>
      </w:r>
    </w:p>
    <w:p w14:paraId="16AE7519">
      <w:pPr>
        <w:tabs>
          <w:tab w:val="left" w:pos="2410"/>
        </w:tabs>
        <w:autoSpaceDE w:val="0"/>
        <w:autoSpaceDN w:val="0"/>
        <w:adjustRightInd w:val="0"/>
        <w:snapToGrid w:val="0"/>
        <w:spacing w:line="360" w:lineRule="auto"/>
        <w:ind w:firstLine="643" w:firstLineChars="200"/>
        <w:rPr>
          <w:rFonts w:asciiTheme="minorEastAsia" w:hAnsiTheme="minorEastAsia" w:eastAsiaTheme="minorEastAsia"/>
          <w:b/>
          <w:sz w:val="32"/>
          <w:highlight w:val="none"/>
          <w:u w:val="single"/>
        </w:rPr>
      </w:pPr>
      <w:r>
        <w:rPr>
          <w:rFonts w:hint="eastAsia" w:asciiTheme="minorEastAsia" w:hAnsiTheme="minorEastAsia" w:eastAsiaTheme="minorEastAsia"/>
          <w:b/>
          <w:sz w:val="32"/>
          <w:highlight w:val="none"/>
        </w:rPr>
        <w:t>项目编号：</w:t>
      </w:r>
    </w:p>
    <w:p w14:paraId="33FDD949">
      <w:pPr>
        <w:tabs>
          <w:tab w:val="left" w:pos="2410"/>
        </w:tabs>
        <w:autoSpaceDE w:val="0"/>
        <w:autoSpaceDN w:val="0"/>
        <w:adjustRightInd w:val="0"/>
        <w:snapToGrid w:val="0"/>
        <w:spacing w:line="360" w:lineRule="auto"/>
        <w:ind w:firstLine="643" w:firstLineChars="200"/>
        <w:rPr>
          <w:rFonts w:asciiTheme="minorEastAsia" w:hAnsiTheme="minorEastAsia" w:eastAsiaTheme="minorEastAsia"/>
          <w:b/>
          <w:sz w:val="32"/>
          <w:highlight w:val="none"/>
          <w:u w:val="single"/>
        </w:rPr>
      </w:pPr>
      <w:r>
        <w:rPr>
          <w:rFonts w:hint="eastAsia" w:asciiTheme="minorEastAsia" w:hAnsiTheme="minorEastAsia" w:eastAsiaTheme="minorEastAsia"/>
          <w:b/>
          <w:sz w:val="32"/>
          <w:highlight w:val="none"/>
        </w:rPr>
        <w:t>投 标人：</w:t>
      </w:r>
    </w:p>
    <w:p w14:paraId="61A07BFA">
      <w:pPr>
        <w:spacing w:afterLines="50" w:line="500" w:lineRule="exact"/>
        <w:jc w:val="center"/>
        <w:outlineLvl w:val="1"/>
        <w:rPr>
          <w:rFonts w:asciiTheme="minorEastAsia" w:hAnsiTheme="minorEastAsia" w:eastAsiaTheme="minorEastAsia"/>
          <w:b/>
          <w:sz w:val="32"/>
          <w:highlight w:val="none"/>
        </w:rPr>
      </w:pPr>
      <w:bookmarkStart w:id="109" w:name="_Toc9994"/>
      <w:bookmarkStart w:id="110" w:name="_Toc13340"/>
      <w:bookmarkStart w:id="111" w:name="_Toc8037"/>
      <w:r>
        <w:rPr>
          <w:rFonts w:hint="eastAsia" w:asciiTheme="minorEastAsia" w:hAnsiTheme="minorEastAsia" w:eastAsiaTheme="minorEastAsia"/>
          <w:b/>
          <w:sz w:val="32"/>
          <w:highlight w:val="none"/>
        </w:rPr>
        <w:t>年月日</w:t>
      </w:r>
      <w:bookmarkEnd w:id="109"/>
      <w:bookmarkEnd w:id="110"/>
      <w:bookmarkEnd w:id="111"/>
    </w:p>
    <w:p w14:paraId="5BB00765">
      <w:pPr>
        <w:widowControl/>
        <w:jc w:val="left"/>
        <w:rPr>
          <w:rFonts w:asciiTheme="minorEastAsia" w:hAnsiTheme="minorEastAsia" w:eastAsiaTheme="minorEastAsia"/>
          <w:b/>
          <w:sz w:val="28"/>
          <w:highlight w:val="none"/>
        </w:rPr>
      </w:pPr>
      <w:r>
        <w:rPr>
          <w:rFonts w:asciiTheme="minorEastAsia" w:hAnsiTheme="minorEastAsia" w:eastAsiaTheme="minorEastAsia"/>
          <w:b/>
          <w:sz w:val="28"/>
          <w:highlight w:val="none"/>
        </w:rPr>
        <w:br w:type="page"/>
      </w:r>
    </w:p>
    <w:p w14:paraId="4DC51C44">
      <w:pPr>
        <w:spacing w:line="360" w:lineRule="auto"/>
        <w:jc w:val="center"/>
        <w:outlineLvl w:val="1"/>
        <w:rPr>
          <w:rFonts w:asciiTheme="minorEastAsia" w:hAnsiTheme="minorEastAsia" w:eastAsiaTheme="minorEastAsia"/>
          <w:b/>
          <w:sz w:val="24"/>
          <w:highlight w:val="none"/>
        </w:rPr>
      </w:pPr>
      <w:bookmarkStart w:id="112" w:name="_Toc28960"/>
      <w:bookmarkStart w:id="113" w:name="_Toc1869"/>
      <w:bookmarkStart w:id="114" w:name="_Toc5555"/>
      <w:r>
        <w:rPr>
          <w:rFonts w:hint="eastAsia" w:asciiTheme="minorEastAsia" w:hAnsiTheme="minorEastAsia" w:eastAsiaTheme="minorEastAsia"/>
          <w:b/>
          <w:sz w:val="24"/>
          <w:highlight w:val="none"/>
        </w:rPr>
        <w:t>一、开标一览表</w:t>
      </w:r>
      <w:bookmarkEnd w:id="112"/>
      <w:bookmarkEnd w:id="113"/>
      <w:bookmarkEnd w:id="114"/>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6218"/>
      </w:tblGrid>
      <w:tr w14:paraId="5A322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352" w:type="pct"/>
            <w:tcBorders>
              <w:top w:val="single" w:color="auto" w:sz="4" w:space="0"/>
              <w:bottom w:val="single" w:color="auto" w:sz="4" w:space="0"/>
              <w:right w:val="single" w:color="auto" w:sz="4" w:space="0"/>
            </w:tcBorders>
            <w:vAlign w:val="center"/>
          </w:tcPr>
          <w:p w14:paraId="6006FBBD">
            <w:pPr>
              <w:widowControl/>
              <w:spacing w:line="360" w:lineRule="exact"/>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项目名称</w:t>
            </w:r>
          </w:p>
        </w:tc>
        <w:tc>
          <w:tcPr>
            <w:tcW w:w="3648" w:type="pct"/>
            <w:tcBorders>
              <w:top w:val="single" w:color="auto" w:sz="4" w:space="0"/>
              <w:bottom w:val="single" w:color="auto" w:sz="4" w:space="0"/>
              <w:right w:val="single" w:color="auto" w:sz="4" w:space="0"/>
            </w:tcBorders>
            <w:vAlign w:val="center"/>
          </w:tcPr>
          <w:p w14:paraId="4C9D5CAB">
            <w:pPr>
              <w:spacing w:line="360" w:lineRule="exact"/>
              <w:jc w:val="center"/>
              <w:rPr>
                <w:rFonts w:asciiTheme="minorEastAsia" w:hAnsiTheme="minorEastAsia" w:eastAsiaTheme="minorEastAsia"/>
                <w:bCs/>
                <w:sz w:val="24"/>
                <w:highlight w:val="none"/>
                <w:u w:val="single"/>
              </w:rPr>
            </w:pPr>
          </w:p>
        </w:tc>
      </w:tr>
      <w:tr w14:paraId="3D9B2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2C8C5C04">
            <w:pPr>
              <w:spacing w:line="360" w:lineRule="exact"/>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投标人全称</w:t>
            </w:r>
          </w:p>
        </w:tc>
        <w:tc>
          <w:tcPr>
            <w:tcW w:w="3648" w:type="pct"/>
            <w:tcBorders>
              <w:top w:val="nil"/>
            </w:tcBorders>
            <w:vAlign w:val="center"/>
          </w:tcPr>
          <w:p w14:paraId="47F2431E">
            <w:pPr>
              <w:spacing w:line="360" w:lineRule="auto"/>
              <w:rPr>
                <w:rFonts w:asciiTheme="minorEastAsia" w:hAnsiTheme="minorEastAsia" w:eastAsiaTheme="minorEastAsia"/>
                <w:sz w:val="24"/>
                <w:highlight w:val="none"/>
              </w:rPr>
            </w:pPr>
          </w:p>
        </w:tc>
      </w:tr>
      <w:tr w14:paraId="65423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5BCE1222">
            <w:pPr>
              <w:spacing w:line="360" w:lineRule="exact"/>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投标范围</w:t>
            </w:r>
          </w:p>
        </w:tc>
        <w:tc>
          <w:tcPr>
            <w:tcW w:w="3648" w:type="pct"/>
            <w:tcBorders>
              <w:top w:val="nil"/>
            </w:tcBorders>
            <w:vAlign w:val="center"/>
          </w:tcPr>
          <w:p w14:paraId="0225D7EB">
            <w:pPr>
              <w:widowControl/>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szCs w:val="28"/>
                <w:highlight w:val="none"/>
              </w:rPr>
              <w:t>全部/第包</w:t>
            </w:r>
          </w:p>
        </w:tc>
      </w:tr>
      <w:tr w14:paraId="630BE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44F85BE8">
            <w:pPr>
              <w:spacing w:line="360" w:lineRule="exact"/>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投标报价</w:t>
            </w:r>
          </w:p>
        </w:tc>
        <w:tc>
          <w:tcPr>
            <w:tcW w:w="3648" w:type="pct"/>
            <w:tcBorders>
              <w:top w:val="nil"/>
            </w:tcBorders>
            <w:vAlign w:val="center"/>
          </w:tcPr>
          <w:p w14:paraId="76FB4891">
            <w:pPr>
              <w:snapToGrid w:val="0"/>
              <w:spacing w:line="360" w:lineRule="auto"/>
              <w:jc w:val="left"/>
              <w:rPr>
                <w:rFonts w:ascii="宋体" w:hAnsi="宋体" w:eastAsia="宋体" w:cs="宋体"/>
                <w:bCs/>
                <w:sz w:val="24"/>
                <w:szCs w:val="24"/>
                <w:highlight w:val="none"/>
                <w:u w:val="single"/>
              </w:rPr>
            </w:pPr>
            <w:r>
              <w:rPr>
                <w:rFonts w:hint="eastAsia" w:ascii="宋体" w:hAnsi="宋体" w:eastAsia="宋体" w:cs="宋体"/>
                <w:bCs/>
                <w:sz w:val="24"/>
                <w:szCs w:val="24"/>
                <w:highlight w:val="none"/>
              </w:rPr>
              <w:t>大写：</w:t>
            </w:r>
          </w:p>
          <w:p w14:paraId="6FCDFE41">
            <w:pPr>
              <w:spacing w:line="360" w:lineRule="auto"/>
              <w:ind w:right="-670"/>
              <w:rPr>
                <w:rFonts w:asciiTheme="minorEastAsia" w:hAnsiTheme="minorEastAsia" w:eastAsiaTheme="minorEastAsia"/>
                <w:sz w:val="24"/>
                <w:highlight w:val="none"/>
              </w:rPr>
            </w:pPr>
            <w:r>
              <w:rPr>
                <w:rFonts w:hint="eastAsia" w:ascii="宋体" w:hAnsi="宋体" w:eastAsia="宋体" w:cs="宋体"/>
                <w:bCs/>
                <w:sz w:val="24"/>
                <w:szCs w:val="24"/>
                <w:highlight w:val="none"/>
              </w:rPr>
              <w:t>小写：</w:t>
            </w:r>
          </w:p>
        </w:tc>
      </w:tr>
      <w:tr w14:paraId="54652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7" w:hRule="atLeast"/>
          <w:jc w:val="center"/>
        </w:trPr>
        <w:tc>
          <w:tcPr>
            <w:tcW w:w="1352" w:type="pct"/>
            <w:tcBorders>
              <w:top w:val="nil"/>
            </w:tcBorders>
            <w:vAlign w:val="center"/>
          </w:tcPr>
          <w:p w14:paraId="2BCFD78D">
            <w:pPr>
              <w:spacing w:line="360" w:lineRule="auto"/>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其他</w:t>
            </w:r>
          </w:p>
        </w:tc>
        <w:tc>
          <w:tcPr>
            <w:tcW w:w="3648" w:type="pct"/>
            <w:tcBorders>
              <w:top w:val="nil"/>
            </w:tcBorders>
            <w:vAlign w:val="center"/>
          </w:tcPr>
          <w:p w14:paraId="1F0E8BF4">
            <w:pPr>
              <w:spacing w:line="360" w:lineRule="auto"/>
              <w:jc w:val="left"/>
              <w:rPr>
                <w:rFonts w:asciiTheme="minorEastAsia" w:hAnsiTheme="minorEastAsia" w:eastAsiaTheme="minorEastAsia"/>
                <w:sz w:val="24"/>
                <w:szCs w:val="28"/>
                <w:highlight w:val="none"/>
              </w:rPr>
            </w:pPr>
          </w:p>
        </w:tc>
      </w:tr>
    </w:tbl>
    <w:p w14:paraId="4DFCF760">
      <w:pPr>
        <w:spacing w:line="360" w:lineRule="auto"/>
        <w:ind w:firstLine="4320" w:firstLineChars="1800"/>
        <w:jc w:val="center"/>
        <w:rPr>
          <w:rFonts w:asciiTheme="minorEastAsia" w:hAnsiTheme="minorEastAsia" w:eastAsiaTheme="minorEastAsia"/>
          <w:bCs/>
          <w:sz w:val="24"/>
          <w:highlight w:val="none"/>
          <w:u w:val="single"/>
        </w:rPr>
      </w:pPr>
      <w:r>
        <w:rPr>
          <w:rFonts w:hint="eastAsia" w:asciiTheme="minorEastAsia" w:hAnsiTheme="minorEastAsia" w:eastAsiaTheme="minorEastAsia"/>
          <w:bCs/>
          <w:sz w:val="24"/>
          <w:highlight w:val="none"/>
        </w:rPr>
        <w:t>投标人电子签章：</w:t>
      </w:r>
    </w:p>
    <w:p w14:paraId="2614B6CC">
      <w:pPr>
        <w:spacing w:line="360" w:lineRule="auto"/>
        <w:ind w:firstLine="4320" w:firstLineChars="1800"/>
        <w:jc w:val="center"/>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日          期：</w:t>
      </w:r>
    </w:p>
    <w:p w14:paraId="142A43FA">
      <w:pPr>
        <w:spacing w:line="360" w:lineRule="auto"/>
        <w:rPr>
          <w:rFonts w:asciiTheme="minorEastAsia" w:hAnsiTheme="minorEastAsia" w:eastAsiaTheme="minorEastAsia"/>
          <w:sz w:val="24"/>
          <w:highlight w:val="none"/>
        </w:rPr>
      </w:pPr>
    </w:p>
    <w:p w14:paraId="0D43C223">
      <w:pPr>
        <w:spacing w:line="360" w:lineRule="auto"/>
        <w:ind w:firstLine="360" w:firstLineChars="150"/>
        <w:rPr>
          <w:rFonts w:asciiTheme="minorEastAsia" w:hAnsiTheme="minorEastAsia" w:eastAsiaTheme="minorEastAsia"/>
          <w:sz w:val="24"/>
          <w:highlight w:val="none"/>
        </w:rPr>
      </w:pPr>
    </w:p>
    <w:p w14:paraId="47D911C9">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注：</w:t>
      </w:r>
    </w:p>
    <w:p w14:paraId="7E7C3F43">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此表用于开标唱标之用。</w:t>
      </w:r>
    </w:p>
    <w:p w14:paraId="161D7C39">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表中投标报价即为优惠后报价，并作为评审及定标依据。任何有选择或有条件的投标报价，或者表中某一包别填写多个报价，均为无效报价。</w:t>
      </w:r>
    </w:p>
    <w:p w14:paraId="1BA619FB">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3.表中大写金额与小写金额不一致的，以大写金额为准。</w:t>
      </w:r>
      <w:r>
        <w:rPr>
          <w:rFonts w:asciiTheme="minorEastAsia" w:hAnsiTheme="minorEastAsia" w:eastAsiaTheme="minorEastAsia"/>
          <w:sz w:val="24"/>
          <w:highlight w:val="none"/>
        </w:rPr>
        <w:br w:type="page"/>
      </w:r>
    </w:p>
    <w:p w14:paraId="2ADFABE7">
      <w:pPr>
        <w:spacing w:line="360" w:lineRule="auto"/>
        <w:jc w:val="center"/>
        <w:outlineLvl w:val="1"/>
        <w:rPr>
          <w:rFonts w:asciiTheme="minorEastAsia" w:hAnsiTheme="minorEastAsia" w:eastAsiaTheme="minorEastAsia"/>
          <w:b/>
          <w:sz w:val="24"/>
          <w:highlight w:val="none"/>
        </w:rPr>
      </w:pPr>
      <w:bookmarkStart w:id="115" w:name="_Toc18010"/>
      <w:bookmarkStart w:id="116" w:name="_Toc27041"/>
      <w:bookmarkStart w:id="117" w:name="_Toc6441"/>
      <w:r>
        <w:rPr>
          <w:rFonts w:hint="eastAsia" w:asciiTheme="minorEastAsia" w:hAnsiTheme="minorEastAsia" w:eastAsiaTheme="minorEastAsia"/>
          <w:b/>
          <w:sz w:val="24"/>
          <w:highlight w:val="none"/>
        </w:rPr>
        <w:t>二、投标函</w:t>
      </w:r>
      <w:bookmarkEnd w:id="115"/>
      <w:bookmarkEnd w:id="116"/>
      <w:bookmarkEnd w:id="117"/>
    </w:p>
    <w:p w14:paraId="35B50F1B">
      <w:pPr>
        <w:pStyle w:val="14"/>
        <w:spacing w:line="360" w:lineRule="auto"/>
        <w:rPr>
          <w:rFonts w:ascii="宋体" w:hAnsi="宋体"/>
          <w:sz w:val="24"/>
          <w:highlight w:val="none"/>
          <w:u w:val="single"/>
        </w:rPr>
      </w:pPr>
      <w:r>
        <w:rPr>
          <w:rFonts w:hint="eastAsia" w:ascii="宋体" w:hAnsi="宋体"/>
          <w:sz w:val="24"/>
          <w:highlight w:val="none"/>
        </w:rPr>
        <w:t>致：</w:t>
      </w:r>
      <w:r>
        <w:rPr>
          <w:rFonts w:hint="eastAsia" w:ascii="宋体" w:hAnsi="宋体"/>
          <w:sz w:val="24"/>
          <w:highlight w:val="none"/>
          <w:u w:val="single"/>
        </w:rPr>
        <w:t>采购人</w:t>
      </w:r>
    </w:p>
    <w:p w14:paraId="7CE5B34D">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根据贵方的招标公告和投标邀请，我方兹宣布同意如下：</w:t>
      </w:r>
    </w:p>
    <w:p w14:paraId="7067F81B">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hint="eastAsia" w:ascii="宋体" w:hAnsi="宋体" w:eastAsia="宋体" w:cs="宋体"/>
          <w:sz w:val="24"/>
          <w:szCs w:val="24"/>
          <w:highlight w:val="none"/>
        </w:rPr>
        <w:t>我方根据招标文件的规定，严格履行合同的责任和义务,并保证于买方要求的日期内完成，并通过买方验收。</w:t>
      </w:r>
    </w:p>
    <w:p w14:paraId="776DACF4">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2.我方已详细审核全部招标文件，包括招标文件附件及更正公告（如有），我方正式认可并遵守本次招标文件，并对招标文件各项条款、规定及要求均无异议。</w:t>
      </w:r>
    </w:p>
    <w:p w14:paraId="1F059DE6">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3.我方同意从招标文件规定的开标日期起遵循本招标文件，并在招标文件规定的投标有效期之前均具有约束力。</w:t>
      </w:r>
    </w:p>
    <w:p w14:paraId="2804B3D6">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我方声明投标文件所提供的一切资料均真实无误、及时、有效，企业运营正常。由于我方提供资料不实而造成的责任和后果由我方承担。我方同意按照贵方提出的要求，提供与投标有关的任何证据、数据或资料。</w:t>
      </w:r>
    </w:p>
    <w:p w14:paraId="497EE384">
      <w:pPr>
        <w:spacing w:line="360" w:lineRule="auto"/>
        <w:ind w:firstLine="4800" w:firstLineChars="2000"/>
        <w:rPr>
          <w:rFonts w:ascii="宋体" w:hAnsi="宋体" w:eastAsia="宋体"/>
          <w:sz w:val="24"/>
          <w:highlight w:val="none"/>
        </w:rPr>
      </w:pPr>
    </w:p>
    <w:p w14:paraId="26471D45">
      <w:pPr>
        <w:spacing w:line="360" w:lineRule="auto"/>
        <w:ind w:firstLine="4800" w:firstLineChars="2000"/>
        <w:rPr>
          <w:rFonts w:ascii="宋体" w:hAnsi="宋体" w:eastAsia="宋体"/>
          <w:sz w:val="24"/>
          <w:highlight w:val="none"/>
          <w:u w:val="single"/>
        </w:rPr>
      </w:pPr>
      <w:r>
        <w:rPr>
          <w:rFonts w:hint="eastAsia" w:ascii="宋体" w:hAnsi="宋体" w:eastAsia="宋体"/>
          <w:sz w:val="24"/>
          <w:highlight w:val="none"/>
        </w:rPr>
        <w:t>投标人电子签章：</w:t>
      </w:r>
    </w:p>
    <w:p w14:paraId="63BA2FAE">
      <w:pPr>
        <w:spacing w:line="360" w:lineRule="auto"/>
        <w:ind w:firstLine="4800" w:firstLineChars="2000"/>
        <w:rPr>
          <w:rFonts w:ascii="宋体" w:hAnsi="宋体" w:eastAsia="宋体"/>
          <w:sz w:val="24"/>
          <w:highlight w:val="none"/>
          <w:u w:val="single"/>
        </w:rPr>
      </w:pPr>
      <w:r>
        <w:rPr>
          <w:rFonts w:hint="eastAsia" w:ascii="宋体" w:hAnsi="宋体" w:eastAsia="宋体"/>
          <w:sz w:val="24"/>
          <w:highlight w:val="none"/>
        </w:rPr>
        <w:t>日          期：</w:t>
      </w:r>
    </w:p>
    <w:p w14:paraId="7827E1C7">
      <w:pPr>
        <w:widowControl/>
        <w:jc w:val="left"/>
        <w:rPr>
          <w:rFonts w:ascii="宋体" w:hAnsi="宋体" w:eastAsia="宋体"/>
          <w:sz w:val="24"/>
          <w:highlight w:val="none"/>
          <w:u w:val="single"/>
        </w:rPr>
      </w:pPr>
      <w:r>
        <w:rPr>
          <w:rFonts w:ascii="宋体" w:hAnsi="宋体" w:eastAsia="宋体"/>
          <w:sz w:val="24"/>
          <w:highlight w:val="none"/>
          <w:u w:val="single"/>
        </w:rPr>
        <w:br w:type="page"/>
      </w:r>
    </w:p>
    <w:p w14:paraId="20BA967C">
      <w:pPr>
        <w:spacing w:line="360" w:lineRule="auto"/>
        <w:jc w:val="center"/>
        <w:outlineLvl w:val="1"/>
        <w:rPr>
          <w:rFonts w:asciiTheme="minorEastAsia" w:hAnsiTheme="minorEastAsia" w:eastAsiaTheme="minorEastAsia"/>
          <w:b/>
          <w:sz w:val="24"/>
          <w:highlight w:val="none"/>
        </w:rPr>
      </w:pPr>
      <w:bookmarkStart w:id="118" w:name="_Toc27550"/>
      <w:bookmarkStart w:id="119" w:name="_Toc1328"/>
      <w:r>
        <w:rPr>
          <w:rFonts w:hint="eastAsia" w:asciiTheme="minorEastAsia" w:hAnsiTheme="minorEastAsia" w:eastAsiaTheme="minorEastAsia"/>
          <w:b/>
          <w:sz w:val="24"/>
          <w:highlight w:val="none"/>
        </w:rPr>
        <w:t>三．投标人资格声明书</w:t>
      </w:r>
      <w:bookmarkEnd w:id="118"/>
      <w:bookmarkEnd w:id="119"/>
    </w:p>
    <w:p w14:paraId="02DE2A9F">
      <w:pPr>
        <w:pStyle w:val="14"/>
        <w:spacing w:line="360" w:lineRule="auto"/>
        <w:rPr>
          <w:rFonts w:asciiTheme="minorEastAsia" w:hAnsiTheme="minorEastAsia" w:cstheme="minorEastAsia"/>
          <w:sz w:val="24"/>
          <w:szCs w:val="24"/>
          <w:highlight w:val="none"/>
        </w:rPr>
      </w:pPr>
      <w:r>
        <w:rPr>
          <w:rFonts w:hint="eastAsia" w:ascii="宋体" w:hAnsi="宋体"/>
          <w:sz w:val="24"/>
          <w:highlight w:val="none"/>
        </w:rPr>
        <w:t>致：</w:t>
      </w:r>
      <w:r>
        <w:rPr>
          <w:rFonts w:hint="eastAsia" w:ascii="宋体" w:hAnsi="宋体"/>
          <w:sz w:val="24"/>
          <w:highlight w:val="none"/>
          <w:u w:val="single"/>
        </w:rPr>
        <w:t>采购人</w:t>
      </w:r>
    </w:p>
    <w:p w14:paraId="36886D08">
      <w:pPr>
        <w:widowControl/>
        <w:spacing w:line="360" w:lineRule="auto"/>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rPr>
        <w:t>在参与本次项目投标中，我单位承诺：</w:t>
      </w:r>
    </w:p>
    <w:p w14:paraId="54FF7770">
      <w:pPr>
        <w:widowControl/>
        <w:spacing w:line="360" w:lineRule="auto"/>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rPr>
        <w:t>（一）具有良好的商业信誉和健全的财务会计制度；</w:t>
      </w:r>
    </w:p>
    <w:p w14:paraId="65950105">
      <w:pPr>
        <w:widowControl/>
        <w:spacing w:line="360" w:lineRule="auto"/>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rPr>
        <w:t>（二）具有履行合同所必需的设备和专业技术能力；</w:t>
      </w:r>
    </w:p>
    <w:p w14:paraId="28602918">
      <w:pPr>
        <w:widowControl/>
        <w:spacing w:line="360" w:lineRule="auto"/>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rPr>
        <w:t>（三）有依法缴纳税收和社会保障资金的良好记录；</w:t>
      </w:r>
    </w:p>
    <w:p w14:paraId="5BE2E1A6">
      <w:pPr>
        <w:widowControl/>
        <w:spacing w:line="360" w:lineRule="auto"/>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6D9780B">
      <w:pPr>
        <w:widowControl/>
        <w:spacing w:line="360" w:lineRule="auto"/>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rPr>
        <w:t>（五）我单位不存在为采购项目提供整体设计、规范编制或者项目管理、监理、检测等服务后，再参加该采购项目的其他采购活动的情形（单一来源采购项目除外）；</w:t>
      </w:r>
    </w:p>
    <w:p w14:paraId="50586B61">
      <w:pPr>
        <w:widowControl/>
        <w:spacing w:line="360" w:lineRule="auto"/>
        <w:ind w:firstLine="480" w:firstLineChars="200"/>
        <w:jc w:val="left"/>
        <w:rPr>
          <w:rFonts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（六）与我单位存在单位负责人为同一人或者存在直接控股、管理关系的其他法人单位信息如下（如有，不论其是否参加同一合同项下的政府采购活动均须填写）：</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4C248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7A1353A7">
            <w:pPr>
              <w:widowControl/>
              <w:spacing w:beforeLines="50" w:after="10"/>
              <w:jc w:val="center"/>
              <w:rPr>
                <w:rFonts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序号</w:t>
            </w:r>
          </w:p>
        </w:tc>
        <w:tc>
          <w:tcPr>
            <w:tcW w:w="2841" w:type="dxa"/>
          </w:tcPr>
          <w:p w14:paraId="5516C673">
            <w:pPr>
              <w:pStyle w:val="9"/>
              <w:spacing w:beforeLines="50" w:after="10"/>
              <w:jc w:val="center"/>
              <w:rPr>
                <w:rFonts w:asciiTheme="minorEastAsia" w:hAnsiTheme="minorEastAsia" w:eastAsiaTheme="minorEastAsia" w:cstheme="minorEastAsia"/>
                <w:color w:val="000000"/>
                <w:kern w:val="0"/>
                <w:sz w:val="24"/>
                <w:highlight w:val="none"/>
                <w:lang w:val="en-US"/>
              </w:rPr>
            </w:pPr>
            <w:r>
              <w:rPr>
                <w:rFonts w:hint="eastAsia" w:asciiTheme="minorEastAsia" w:hAnsiTheme="minorEastAsia" w:eastAsiaTheme="minorEastAsia" w:cstheme="minorEastAsia"/>
                <w:color w:val="000000"/>
                <w:kern w:val="0"/>
                <w:sz w:val="24"/>
                <w:highlight w:val="none"/>
                <w:lang w:val="en-US"/>
              </w:rPr>
              <w:t>单位名称</w:t>
            </w:r>
          </w:p>
        </w:tc>
        <w:tc>
          <w:tcPr>
            <w:tcW w:w="2841" w:type="dxa"/>
          </w:tcPr>
          <w:p w14:paraId="5973DB2D">
            <w:pPr>
              <w:pStyle w:val="9"/>
              <w:spacing w:beforeLines="50" w:after="10"/>
              <w:jc w:val="center"/>
              <w:rPr>
                <w:rFonts w:asciiTheme="minorEastAsia" w:hAnsiTheme="minorEastAsia" w:eastAsiaTheme="minorEastAsia" w:cstheme="minorEastAsia"/>
                <w:color w:val="000000"/>
                <w:kern w:val="0"/>
                <w:sz w:val="24"/>
                <w:highlight w:val="none"/>
                <w:lang w:val="en-US"/>
              </w:rPr>
            </w:pPr>
            <w:r>
              <w:rPr>
                <w:rFonts w:hint="eastAsia" w:asciiTheme="minorEastAsia" w:hAnsiTheme="minorEastAsia" w:eastAsiaTheme="minorEastAsia" w:cstheme="minorEastAsia"/>
                <w:color w:val="000000"/>
                <w:kern w:val="0"/>
                <w:sz w:val="24"/>
                <w:highlight w:val="none"/>
                <w:lang w:val="en-US"/>
              </w:rPr>
              <w:t>相互关系</w:t>
            </w:r>
          </w:p>
        </w:tc>
      </w:tr>
      <w:tr w14:paraId="17344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E55616F">
            <w:pPr>
              <w:pStyle w:val="9"/>
              <w:spacing w:beforeLines="50" w:after="10"/>
              <w:jc w:val="center"/>
              <w:rPr>
                <w:rFonts w:asciiTheme="minorEastAsia" w:hAnsiTheme="minorEastAsia" w:eastAsiaTheme="minorEastAsia" w:cstheme="minorEastAsia"/>
                <w:color w:val="000000"/>
                <w:kern w:val="0"/>
                <w:sz w:val="24"/>
                <w:highlight w:val="none"/>
                <w:lang w:val="en-US"/>
              </w:rPr>
            </w:pPr>
            <w:r>
              <w:rPr>
                <w:rFonts w:hint="eastAsia" w:asciiTheme="minorEastAsia" w:hAnsiTheme="minorEastAsia" w:eastAsiaTheme="minorEastAsia" w:cstheme="minorEastAsia"/>
                <w:color w:val="000000"/>
                <w:kern w:val="0"/>
                <w:sz w:val="24"/>
                <w:highlight w:val="none"/>
                <w:lang w:val="en-US"/>
              </w:rPr>
              <w:t>1</w:t>
            </w:r>
          </w:p>
        </w:tc>
        <w:tc>
          <w:tcPr>
            <w:tcW w:w="2841" w:type="dxa"/>
          </w:tcPr>
          <w:p w14:paraId="0302930C">
            <w:pPr>
              <w:pStyle w:val="9"/>
              <w:spacing w:beforeLines="50" w:after="10"/>
              <w:jc w:val="center"/>
              <w:rPr>
                <w:rFonts w:asciiTheme="minorEastAsia" w:hAnsiTheme="minorEastAsia" w:eastAsiaTheme="minorEastAsia" w:cstheme="minorEastAsia"/>
                <w:color w:val="000000"/>
                <w:kern w:val="0"/>
                <w:sz w:val="24"/>
                <w:highlight w:val="none"/>
                <w:lang w:val="en-US"/>
              </w:rPr>
            </w:pPr>
          </w:p>
        </w:tc>
        <w:tc>
          <w:tcPr>
            <w:tcW w:w="2841" w:type="dxa"/>
          </w:tcPr>
          <w:p w14:paraId="2AD4910B">
            <w:pPr>
              <w:pStyle w:val="9"/>
              <w:spacing w:beforeLines="50" w:after="10"/>
              <w:jc w:val="center"/>
              <w:rPr>
                <w:rFonts w:asciiTheme="minorEastAsia" w:hAnsiTheme="minorEastAsia" w:eastAsiaTheme="minorEastAsia" w:cstheme="minorEastAsia"/>
                <w:color w:val="000000"/>
                <w:kern w:val="0"/>
                <w:sz w:val="24"/>
                <w:highlight w:val="none"/>
                <w:lang w:val="en-US"/>
              </w:rPr>
            </w:pPr>
          </w:p>
        </w:tc>
      </w:tr>
      <w:tr w14:paraId="12792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17735D5">
            <w:pPr>
              <w:pStyle w:val="9"/>
              <w:spacing w:beforeLines="50" w:after="10"/>
              <w:jc w:val="center"/>
              <w:rPr>
                <w:rFonts w:asciiTheme="minorEastAsia" w:hAnsiTheme="minorEastAsia" w:eastAsiaTheme="minorEastAsia" w:cstheme="minorEastAsia"/>
                <w:color w:val="000000"/>
                <w:kern w:val="0"/>
                <w:sz w:val="24"/>
                <w:highlight w:val="none"/>
                <w:lang w:val="en-US"/>
              </w:rPr>
            </w:pPr>
            <w:r>
              <w:rPr>
                <w:rFonts w:hint="eastAsia" w:asciiTheme="minorEastAsia" w:hAnsiTheme="minorEastAsia" w:eastAsiaTheme="minorEastAsia" w:cstheme="minorEastAsia"/>
                <w:color w:val="000000"/>
                <w:kern w:val="0"/>
                <w:sz w:val="24"/>
                <w:highlight w:val="none"/>
                <w:lang w:val="en-US"/>
              </w:rPr>
              <w:t>2</w:t>
            </w:r>
          </w:p>
        </w:tc>
        <w:tc>
          <w:tcPr>
            <w:tcW w:w="2841" w:type="dxa"/>
          </w:tcPr>
          <w:p w14:paraId="2CEE3F11">
            <w:pPr>
              <w:pStyle w:val="9"/>
              <w:spacing w:beforeLines="50" w:after="10"/>
              <w:jc w:val="center"/>
              <w:rPr>
                <w:rFonts w:asciiTheme="minorEastAsia" w:hAnsiTheme="minorEastAsia" w:eastAsiaTheme="minorEastAsia" w:cstheme="minorEastAsia"/>
                <w:color w:val="000000"/>
                <w:kern w:val="0"/>
                <w:sz w:val="24"/>
                <w:highlight w:val="none"/>
                <w:lang w:val="en-US"/>
              </w:rPr>
            </w:pPr>
          </w:p>
        </w:tc>
        <w:tc>
          <w:tcPr>
            <w:tcW w:w="2841" w:type="dxa"/>
          </w:tcPr>
          <w:p w14:paraId="5E66BC75">
            <w:pPr>
              <w:pStyle w:val="9"/>
              <w:spacing w:beforeLines="50" w:after="10"/>
              <w:jc w:val="center"/>
              <w:rPr>
                <w:rFonts w:asciiTheme="minorEastAsia" w:hAnsiTheme="minorEastAsia" w:eastAsiaTheme="minorEastAsia" w:cstheme="minorEastAsia"/>
                <w:color w:val="000000"/>
                <w:kern w:val="0"/>
                <w:sz w:val="24"/>
                <w:highlight w:val="none"/>
                <w:lang w:val="en-US"/>
              </w:rPr>
            </w:pPr>
          </w:p>
        </w:tc>
      </w:tr>
    </w:tbl>
    <w:p w14:paraId="3A7B2B73">
      <w:pPr>
        <w:spacing w:line="360" w:lineRule="auto"/>
        <w:ind w:firstLine="435"/>
        <w:rPr>
          <w:rFonts w:ascii="宋体" w:hAnsi="宋体" w:eastAsia="宋体"/>
          <w:sz w:val="24"/>
          <w:highlight w:val="none"/>
        </w:rPr>
      </w:pPr>
      <w:r>
        <w:rPr>
          <w:rFonts w:hint="eastAsia" w:ascii="宋体" w:hAnsi="宋体" w:eastAsia="宋体"/>
          <w:sz w:val="24"/>
          <w:highlight w:val="none"/>
        </w:rPr>
        <w:t>本单位对</w:t>
      </w:r>
      <w:r>
        <w:rPr>
          <w:rFonts w:hint="eastAsia" w:asciiTheme="minorEastAsia" w:hAnsiTheme="minorEastAsia" w:eastAsiaTheme="minorEastAsia"/>
          <w:sz w:val="24"/>
          <w:highlight w:val="none"/>
        </w:rPr>
        <w:t>上述</w:t>
      </w:r>
      <w:r>
        <w:rPr>
          <w:rFonts w:hint="eastAsia" w:ascii="宋体" w:hAnsi="宋体" w:eastAsia="宋体"/>
          <w:sz w:val="24"/>
          <w:highlight w:val="none"/>
        </w:rPr>
        <w:t>声明的真实性负责。如有虚假，将依法承担相应责任。</w:t>
      </w:r>
    </w:p>
    <w:p w14:paraId="624DC34B">
      <w:pPr>
        <w:spacing w:line="360" w:lineRule="auto"/>
        <w:ind w:firstLine="4800" w:firstLineChars="2000"/>
        <w:rPr>
          <w:rFonts w:ascii="宋体" w:hAnsi="宋体" w:eastAsia="宋体"/>
          <w:sz w:val="24"/>
          <w:highlight w:val="none"/>
          <w:u w:val="single"/>
        </w:rPr>
      </w:pPr>
      <w:r>
        <w:rPr>
          <w:rFonts w:hint="eastAsia" w:ascii="宋体" w:hAnsi="宋体" w:eastAsia="宋体"/>
          <w:sz w:val="24"/>
          <w:highlight w:val="none"/>
        </w:rPr>
        <w:t>投标人电子签章：</w:t>
      </w:r>
    </w:p>
    <w:p w14:paraId="6A800CA8">
      <w:pPr>
        <w:tabs>
          <w:tab w:val="left" w:pos="630"/>
        </w:tabs>
        <w:spacing w:line="360" w:lineRule="auto"/>
        <w:ind w:firstLine="4800" w:firstLineChars="2000"/>
        <w:rPr>
          <w:rFonts w:ascii="宋体" w:hAnsi="宋体" w:eastAsia="宋体"/>
          <w:sz w:val="24"/>
          <w:highlight w:val="none"/>
          <w:u w:val="single"/>
        </w:rPr>
      </w:pPr>
      <w:r>
        <w:rPr>
          <w:rFonts w:hint="eastAsia" w:ascii="宋体" w:hAnsi="宋体" w:eastAsia="宋体"/>
          <w:sz w:val="24"/>
          <w:highlight w:val="none"/>
        </w:rPr>
        <w:t>日      期：</w:t>
      </w:r>
    </w:p>
    <w:p w14:paraId="493E4D39">
      <w:pPr>
        <w:pStyle w:val="9"/>
        <w:rPr>
          <w:rFonts w:asciiTheme="minorEastAsia" w:hAnsiTheme="minorEastAsia" w:eastAsiaTheme="minorEastAsia" w:cstheme="minorEastAsia"/>
          <w:color w:val="000000"/>
          <w:kern w:val="0"/>
          <w:sz w:val="24"/>
          <w:highlight w:val="none"/>
          <w:lang w:val="en-US"/>
        </w:rPr>
      </w:pPr>
    </w:p>
    <w:p w14:paraId="6928DEB7">
      <w:pPr>
        <w:pStyle w:val="9"/>
        <w:rPr>
          <w:rFonts w:asciiTheme="minorEastAsia" w:hAnsiTheme="minorEastAsia" w:eastAsiaTheme="minorEastAsia" w:cstheme="minorEastAsia"/>
          <w:color w:val="000000"/>
          <w:kern w:val="0"/>
          <w:sz w:val="24"/>
          <w:highlight w:val="none"/>
          <w:lang w:val="en-US"/>
        </w:rPr>
      </w:pPr>
    </w:p>
    <w:p w14:paraId="554CEF50">
      <w:pPr>
        <w:pStyle w:val="9"/>
        <w:rPr>
          <w:rFonts w:asciiTheme="minorEastAsia" w:hAnsiTheme="minorEastAsia" w:eastAsiaTheme="minorEastAsia" w:cstheme="minorEastAsia"/>
          <w:color w:val="000000"/>
          <w:kern w:val="0"/>
          <w:sz w:val="24"/>
          <w:highlight w:val="none"/>
          <w:lang w:val="en-US"/>
        </w:rPr>
      </w:pPr>
    </w:p>
    <w:p w14:paraId="505A23E6">
      <w:pPr>
        <w:rPr>
          <w:rFonts w:asciiTheme="minorEastAsia" w:hAnsiTheme="minorEastAsia" w:eastAsiaTheme="minorEastAsia"/>
          <w:b/>
          <w:sz w:val="24"/>
          <w:highlight w:val="none"/>
        </w:rPr>
      </w:pPr>
      <w:bookmarkStart w:id="120" w:name="_Toc11607"/>
      <w:r>
        <w:rPr>
          <w:rFonts w:hint="eastAsia" w:asciiTheme="minorEastAsia" w:hAnsiTheme="minorEastAsia" w:eastAsiaTheme="minorEastAsia"/>
          <w:b/>
          <w:sz w:val="24"/>
          <w:highlight w:val="none"/>
        </w:rPr>
        <w:br w:type="page"/>
      </w:r>
    </w:p>
    <w:p w14:paraId="67578046">
      <w:pPr>
        <w:spacing w:line="360" w:lineRule="auto"/>
        <w:jc w:val="center"/>
        <w:outlineLvl w:val="1"/>
        <w:rPr>
          <w:rFonts w:asciiTheme="minorEastAsia" w:hAnsiTheme="minorEastAsia" w:eastAsiaTheme="minorEastAsia"/>
          <w:b/>
          <w:sz w:val="24"/>
          <w:highlight w:val="none"/>
        </w:rPr>
      </w:pPr>
      <w:bookmarkStart w:id="121" w:name="_Toc29865"/>
      <w:bookmarkStart w:id="122" w:name="_Toc16960"/>
      <w:r>
        <w:rPr>
          <w:rFonts w:hint="eastAsia" w:asciiTheme="minorEastAsia" w:hAnsiTheme="minorEastAsia" w:eastAsiaTheme="minorEastAsia"/>
          <w:b/>
          <w:sz w:val="24"/>
          <w:highlight w:val="none"/>
        </w:rPr>
        <w:t>四、授权书</w:t>
      </w:r>
      <w:bookmarkEnd w:id="120"/>
      <w:bookmarkEnd w:id="121"/>
      <w:bookmarkEnd w:id="122"/>
    </w:p>
    <w:p w14:paraId="20210684">
      <w:pPr>
        <w:pStyle w:val="13"/>
        <w:snapToGrid w:val="0"/>
        <w:spacing w:line="360" w:lineRule="auto"/>
        <w:ind w:firstLine="480" w:firstLineChars="200"/>
        <w:jc w:val="left"/>
        <w:rPr>
          <w:rFonts w:hAnsi="宋体" w:eastAsia="宋体"/>
          <w:sz w:val="24"/>
          <w:szCs w:val="28"/>
          <w:highlight w:val="none"/>
        </w:rPr>
      </w:pPr>
    </w:p>
    <w:p w14:paraId="3262A837">
      <w:pPr>
        <w:spacing w:line="360" w:lineRule="auto"/>
        <w:ind w:firstLine="435"/>
        <w:rPr>
          <w:rFonts w:hAnsi="宋体" w:eastAsia="宋体"/>
          <w:sz w:val="24"/>
          <w:szCs w:val="28"/>
          <w:highlight w:val="none"/>
        </w:rPr>
      </w:pPr>
      <w:r>
        <w:rPr>
          <w:rFonts w:hint="eastAsia" w:hAnsi="宋体" w:eastAsia="宋体"/>
          <w:sz w:val="24"/>
          <w:szCs w:val="28"/>
          <w:highlight w:val="none"/>
        </w:rPr>
        <w:t>本</w:t>
      </w:r>
      <w:r>
        <w:rPr>
          <w:rFonts w:hint="eastAsia" w:asciiTheme="minorEastAsia" w:hAnsiTheme="minorEastAsia" w:eastAsiaTheme="minorEastAsia"/>
          <w:sz w:val="24"/>
          <w:highlight w:val="none"/>
        </w:rPr>
        <w:t>授权</w:t>
      </w:r>
      <w:r>
        <w:rPr>
          <w:rFonts w:hint="eastAsia" w:hAnsi="宋体" w:eastAsia="宋体"/>
          <w:sz w:val="24"/>
          <w:szCs w:val="28"/>
          <w:highlight w:val="none"/>
        </w:rPr>
        <w:t>书声明：（投标人名称）授权（投标人授权代表姓名）代表我方参加本项目</w:t>
      </w:r>
      <w:r>
        <w:rPr>
          <w:rFonts w:hint="eastAsia" w:hAnsi="宋体" w:eastAsia="宋体"/>
          <w:bCs/>
          <w:sz w:val="24"/>
          <w:szCs w:val="28"/>
          <w:highlight w:val="none"/>
        </w:rPr>
        <w:t>采购活动</w:t>
      </w:r>
      <w:r>
        <w:rPr>
          <w:rFonts w:hint="eastAsia" w:hAnsi="宋体" w:eastAsia="宋体"/>
          <w:sz w:val="24"/>
          <w:szCs w:val="28"/>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58CDF7EB">
      <w:pPr>
        <w:spacing w:line="360" w:lineRule="auto"/>
        <w:ind w:firstLine="435"/>
        <w:rPr>
          <w:rFonts w:hAnsi="宋体" w:eastAsia="宋体"/>
          <w:sz w:val="24"/>
          <w:szCs w:val="28"/>
          <w:highlight w:val="none"/>
        </w:rPr>
      </w:pPr>
      <w:r>
        <w:rPr>
          <w:rFonts w:hint="eastAsia" w:hAnsi="宋体" w:eastAsia="宋体"/>
          <w:sz w:val="24"/>
          <w:szCs w:val="28"/>
          <w:highlight w:val="none"/>
        </w:rPr>
        <w:t>本授权书自出具之日起生效。</w:t>
      </w:r>
    </w:p>
    <w:p w14:paraId="284B8932">
      <w:pPr>
        <w:spacing w:line="360" w:lineRule="auto"/>
        <w:ind w:firstLine="435"/>
        <w:rPr>
          <w:rFonts w:hAnsi="宋体" w:eastAsia="宋体"/>
          <w:sz w:val="24"/>
          <w:highlight w:val="none"/>
        </w:rPr>
      </w:pPr>
      <w:r>
        <w:rPr>
          <w:rFonts w:hint="eastAsia" w:hAnsi="宋体" w:eastAsia="宋体"/>
          <w:sz w:val="24"/>
          <w:szCs w:val="28"/>
          <w:highlight w:val="none"/>
        </w:rPr>
        <w:t>授权</w:t>
      </w:r>
      <w:r>
        <w:rPr>
          <w:rFonts w:hint="eastAsia" w:asciiTheme="minorEastAsia" w:hAnsiTheme="minorEastAsia" w:eastAsiaTheme="minorEastAsia"/>
          <w:sz w:val="24"/>
          <w:highlight w:val="none"/>
        </w:rPr>
        <w:t>代表</w:t>
      </w:r>
      <w:r>
        <w:rPr>
          <w:rFonts w:hint="eastAsia" w:hAnsi="宋体" w:eastAsia="宋体"/>
          <w:sz w:val="24"/>
          <w:highlight w:val="none"/>
        </w:rPr>
        <w:t>身份证明扫描件：</w:t>
      </w:r>
    </w:p>
    <w:p w14:paraId="7EB53990">
      <w:pPr>
        <w:pStyle w:val="2"/>
        <w:rPr>
          <w:highlight w:val="none"/>
        </w:rPr>
      </w:pPr>
      <w:r>
        <w:rPr>
          <w:rFonts w:ascii="仿宋_GB2312" w:hAnsi="宋体" w:eastAsia="仿宋_GB2312"/>
          <w:sz w:val="28"/>
          <w:szCs w:val="28"/>
          <w:highlight w:val="none"/>
        </w:rPr>
        <w:pict>
          <v:roundrect id="_x0000_s1026" o:spid="_x0000_s1026" o:spt="2" style="position:absolute;left:0pt;margin-left:203.4pt;margin-top:5.4pt;height:94.35pt;width:174.65pt;z-index:251661312;mso-width-relative:page;mso-height-relative:page;" coordsize="21600,21600" arcsize="0.166666666666667" o:gfxdata="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A+x&#10;befVAAAACgEAAA8AAAAAAAAAAQAgAAAAIgAAAGRycy9kb3ducmV2LnhtbFBLAQIUABQAAAAIAIdO&#10;4kBxv/VxXwIAALIEAAAOAAAAAAAAAAEAIAAAACQBAABkcnMvZTJvRG9jLnhtbFBLBQYAAAAABgAG&#10;AFkBAAD1BQAAAAA=&#10;">
            <v:path/>
            <v:fill focussize="0,0"/>
            <v:stroke/>
            <v:imagedata o:title=""/>
            <o:lock v:ext="edit"/>
            <v:textbox>
              <w:txbxContent>
                <w:p w14:paraId="79453442">
                  <w:r>
                    <w:rPr>
                      <w:rFonts w:hint="eastAsia"/>
                    </w:rPr>
                    <w:t>身份证明扫描件（反面）</w:t>
                  </w:r>
                </w:p>
              </w:txbxContent>
            </v:textbox>
          </v:roundrect>
        </w:pict>
      </w:r>
      <w:r>
        <w:rPr>
          <w:rFonts w:ascii="仿宋_GB2312" w:hAnsi="宋体" w:eastAsia="仿宋_GB2312"/>
          <w:sz w:val="28"/>
          <w:szCs w:val="28"/>
          <w:highlight w:val="none"/>
        </w:rPr>
        <w:pict>
          <v:roundrect id="_x0000_s1027" o:spid="_x0000_s1027" o:spt="2" style="position:absolute;left:0pt;margin-left:-5.65pt;margin-top:7.85pt;height:94.35pt;width:174.65pt;z-index:251660288;mso-width-relative:page;mso-height-relative:page;" coordsize="21600,21600" arcsize="0.166666666666667" o:gfxdata="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2HgdP9YAAAAKAQAADwAAAAAAAAABACAAAAAiAAAAZHJzL2Rvd25yZXYueG1sUEsBAhQAFAAAAAgA&#10;h07iQNFlvapgAgAAtAQAAA4AAAAAAAAAAQAgAAAAJQEAAGRycy9lMm9Eb2MueG1sUEsFBgAAAAAG&#10;AAYAWQEAAPcFAAAAAA==&#10;">
            <v:path/>
            <v:fill focussize="0,0"/>
            <v:stroke/>
            <v:imagedata o:title=""/>
            <o:lock v:ext="edit"/>
            <v:textbox>
              <w:txbxContent>
                <w:p w14:paraId="0AAFA74D">
                  <w:r>
                    <w:rPr>
                      <w:rFonts w:hint="eastAsia"/>
                    </w:rPr>
                    <w:t>身份证明扫描件（正面）</w:t>
                  </w:r>
                </w:p>
              </w:txbxContent>
            </v:textbox>
          </v:roundrect>
        </w:pict>
      </w:r>
    </w:p>
    <w:p w14:paraId="06FB871D">
      <w:pPr>
        <w:spacing w:line="360" w:lineRule="auto"/>
        <w:ind w:firstLine="435"/>
        <w:rPr>
          <w:rFonts w:asciiTheme="minorEastAsia" w:hAnsiTheme="minorEastAsia" w:eastAsiaTheme="minorEastAsia"/>
          <w:sz w:val="24"/>
          <w:highlight w:val="none"/>
        </w:rPr>
      </w:pPr>
    </w:p>
    <w:p w14:paraId="1B319C8E">
      <w:pPr>
        <w:spacing w:line="360" w:lineRule="auto"/>
        <w:ind w:firstLine="435"/>
        <w:rPr>
          <w:rFonts w:asciiTheme="minorEastAsia" w:hAnsiTheme="minorEastAsia" w:eastAsiaTheme="minorEastAsia"/>
          <w:sz w:val="24"/>
          <w:highlight w:val="none"/>
        </w:rPr>
      </w:pPr>
    </w:p>
    <w:p w14:paraId="0CD080D2">
      <w:pPr>
        <w:spacing w:line="360" w:lineRule="auto"/>
        <w:ind w:firstLine="435"/>
        <w:rPr>
          <w:rFonts w:asciiTheme="minorEastAsia" w:hAnsiTheme="minorEastAsia" w:eastAsiaTheme="minorEastAsia"/>
          <w:sz w:val="24"/>
          <w:highlight w:val="none"/>
        </w:rPr>
      </w:pPr>
    </w:p>
    <w:p w14:paraId="3C0D53F7">
      <w:pPr>
        <w:spacing w:line="360" w:lineRule="auto"/>
        <w:ind w:firstLine="435"/>
        <w:rPr>
          <w:rFonts w:hAnsi="宋体" w:eastAsia="宋体"/>
          <w:sz w:val="24"/>
          <w:szCs w:val="28"/>
          <w:highlight w:val="none"/>
          <w:u w:val="single"/>
          <w:lang w:val="zh-CN"/>
        </w:rPr>
      </w:pPr>
      <w:r>
        <w:rPr>
          <w:rFonts w:hint="eastAsia" w:hAnsi="宋体" w:eastAsia="宋体"/>
          <w:sz w:val="24"/>
          <w:szCs w:val="28"/>
          <w:highlight w:val="none"/>
        </w:rPr>
        <w:t>授权代表联系方式：</w:t>
      </w:r>
      <w:r>
        <w:rPr>
          <w:rFonts w:hint="eastAsia" w:hAnsi="宋体" w:eastAsia="宋体"/>
          <w:sz w:val="24"/>
          <w:szCs w:val="28"/>
          <w:highlight w:val="none"/>
          <w:u w:val="single"/>
        </w:rPr>
        <w:t xml:space="preserve">          （请填写手机号码）</w:t>
      </w:r>
    </w:p>
    <w:p w14:paraId="098BA284">
      <w:pPr>
        <w:spacing w:line="360" w:lineRule="auto"/>
        <w:ind w:firstLine="435"/>
        <w:rPr>
          <w:rFonts w:hAnsi="宋体" w:eastAsia="宋体"/>
          <w:sz w:val="24"/>
          <w:szCs w:val="28"/>
          <w:highlight w:val="none"/>
          <w:lang w:val="zh-CN"/>
        </w:rPr>
      </w:pPr>
    </w:p>
    <w:p w14:paraId="4ED4BD76">
      <w:pPr>
        <w:spacing w:line="360" w:lineRule="auto"/>
        <w:ind w:firstLine="435"/>
        <w:rPr>
          <w:rFonts w:ascii="宋体" w:hAnsi="宋体" w:eastAsia="宋体"/>
          <w:sz w:val="24"/>
          <w:szCs w:val="28"/>
          <w:highlight w:val="none"/>
        </w:rPr>
      </w:pPr>
      <w:r>
        <w:rPr>
          <w:rFonts w:hint="eastAsia" w:asciiTheme="minorEastAsia" w:hAnsiTheme="minorEastAsia" w:eastAsiaTheme="minorEastAsia"/>
          <w:sz w:val="24"/>
          <w:highlight w:val="none"/>
        </w:rPr>
        <w:t>特此</w:t>
      </w:r>
      <w:r>
        <w:rPr>
          <w:rFonts w:hint="eastAsia" w:ascii="宋体" w:hAnsi="宋体" w:eastAsia="宋体"/>
          <w:sz w:val="24"/>
          <w:szCs w:val="28"/>
          <w:highlight w:val="none"/>
        </w:rPr>
        <w:t>声明。</w:t>
      </w:r>
    </w:p>
    <w:p w14:paraId="0A8287D6">
      <w:pPr>
        <w:spacing w:line="360" w:lineRule="auto"/>
        <w:rPr>
          <w:rFonts w:ascii="宋体" w:hAnsi="宋体" w:eastAsia="宋体"/>
          <w:sz w:val="24"/>
          <w:szCs w:val="28"/>
          <w:highlight w:val="none"/>
        </w:rPr>
      </w:pPr>
    </w:p>
    <w:p w14:paraId="046CC39D">
      <w:pPr>
        <w:spacing w:line="360" w:lineRule="auto"/>
        <w:ind w:firstLine="435"/>
        <w:jc w:val="center"/>
        <w:rPr>
          <w:rFonts w:ascii="宋体" w:hAnsi="宋体" w:eastAsia="宋体"/>
          <w:bCs/>
          <w:sz w:val="24"/>
          <w:szCs w:val="28"/>
          <w:highlight w:val="none"/>
        </w:rPr>
      </w:pPr>
      <w:r>
        <w:rPr>
          <w:rFonts w:hint="eastAsia" w:ascii="宋体" w:hAnsi="宋体" w:eastAsia="宋体"/>
          <w:bCs/>
          <w:sz w:val="24"/>
          <w:szCs w:val="28"/>
          <w:highlight w:val="none"/>
        </w:rPr>
        <w:t>投标人电子签章：</w:t>
      </w:r>
    </w:p>
    <w:p w14:paraId="70021A13">
      <w:pPr>
        <w:spacing w:line="360" w:lineRule="auto"/>
        <w:ind w:firstLine="435"/>
        <w:jc w:val="center"/>
        <w:rPr>
          <w:rFonts w:ascii="宋体" w:hAnsi="宋体" w:eastAsia="宋体"/>
          <w:sz w:val="24"/>
          <w:szCs w:val="28"/>
          <w:highlight w:val="none"/>
        </w:rPr>
      </w:pPr>
      <w:r>
        <w:rPr>
          <w:rFonts w:hint="eastAsia" w:ascii="宋体" w:hAnsi="宋体" w:eastAsia="宋体"/>
          <w:sz w:val="24"/>
          <w:szCs w:val="28"/>
          <w:highlight w:val="none"/>
        </w:rPr>
        <w:t>日          期：</w:t>
      </w:r>
    </w:p>
    <w:p w14:paraId="76C86EA9">
      <w:pPr>
        <w:spacing w:line="360" w:lineRule="auto"/>
        <w:ind w:firstLine="435"/>
        <w:rPr>
          <w:rFonts w:asciiTheme="minorEastAsia" w:hAnsiTheme="minorEastAsia" w:eastAsiaTheme="minorEastAsia"/>
          <w:sz w:val="24"/>
          <w:highlight w:val="none"/>
        </w:rPr>
      </w:pPr>
    </w:p>
    <w:p w14:paraId="13D0138F">
      <w:pPr>
        <w:spacing w:line="360" w:lineRule="auto"/>
        <w:ind w:firstLine="435"/>
        <w:rPr>
          <w:rFonts w:asciiTheme="minorEastAsia" w:hAnsiTheme="minorEastAsia" w:eastAsiaTheme="minorEastAsia"/>
          <w:sz w:val="24"/>
          <w:highlight w:val="none"/>
        </w:rPr>
      </w:pPr>
    </w:p>
    <w:p w14:paraId="6A811015">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注：</w:t>
      </w:r>
    </w:p>
    <w:p w14:paraId="2E01DECB">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1.本项目只允许有唯一的投标人授权代表，提供身份证明扫描件；</w:t>
      </w:r>
    </w:p>
    <w:p w14:paraId="64D0E114">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2.法定代表人参加投标的无需提供授权书，提供身份证明扫描件。</w:t>
      </w:r>
    </w:p>
    <w:p w14:paraId="4AF29AC1">
      <w:pPr>
        <w:widowControl/>
        <w:jc w:val="left"/>
        <w:rPr>
          <w:rFonts w:asciiTheme="minorEastAsia" w:hAnsiTheme="minorEastAsia" w:eastAsiaTheme="minorEastAsia"/>
          <w:sz w:val="24"/>
          <w:highlight w:val="none"/>
        </w:rPr>
      </w:pPr>
      <w:r>
        <w:rPr>
          <w:rFonts w:asciiTheme="minorEastAsia" w:hAnsiTheme="minorEastAsia" w:eastAsiaTheme="minorEastAsia"/>
          <w:sz w:val="24"/>
          <w:highlight w:val="none"/>
        </w:rPr>
        <w:br w:type="page"/>
      </w:r>
    </w:p>
    <w:p w14:paraId="257932E2">
      <w:pPr>
        <w:spacing w:line="360" w:lineRule="auto"/>
        <w:jc w:val="center"/>
        <w:outlineLvl w:val="1"/>
        <w:rPr>
          <w:rFonts w:asciiTheme="minorEastAsia" w:hAnsiTheme="minorEastAsia" w:eastAsiaTheme="minorEastAsia"/>
          <w:b/>
          <w:sz w:val="24"/>
          <w:highlight w:val="none"/>
        </w:rPr>
      </w:pPr>
      <w:bookmarkStart w:id="123" w:name="_Toc14994"/>
      <w:bookmarkStart w:id="124" w:name="_Toc6796"/>
      <w:bookmarkStart w:id="125" w:name="_Toc31991"/>
      <w:r>
        <w:rPr>
          <w:rFonts w:hint="eastAsia" w:asciiTheme="minorEastAsia" w:hAnsiTheme="minorEastAsia" w:eastAsiaTheme="minorEastAsia"/>
          <w:b/>
          <w:sz w:val="24"/>
          <w:highlight w:val="none"/>
        </w:rPr>
        <w:t>五、投标分项报价表</w:t>
      </w:r>
      <w:bookmarkEnd w:id="123"/>
      <w:bookmarkEnd w:id="124"/>
      <w:bookmarkEnd w:id="125"/>
    </w:p>
    <w:p w14:paraId="29485494">
      <w:pPr>
        <w:spacing w:line="360" w:lineRule="auto"/>
        <w:ind w:firstLine="435"/>
        <w:rPr>
          <w:rFonts w:asciiTheme="minorEastAsia" w:hAnsiTheme="minorEastAsia" w:eastAsiaTheme="minorEastAsia"/>
          <w:b/>
          <w:sz w:val="24"/>
          <w:highlight w:val="none"/>
        </w:rPr>
      </w:pP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323"/>
        <w:gridCol w:w="1318"/>
        <w:gridCol w:w="1318"/>
        <w:gridCol w:w="672"/>
        <w:gridCol w:w="672"/>
        <w:gridCol w:w="939"/>
        <w:gridCol w:w="939"/>
        <w:gridCol w:w="670"/>
      </w:tblGrid>
      <w:tr w14:paraId="6E559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3" w:hRule="atLeast"/>
          <w:jc w:val="center"/>
        </w:trPr>
        <w:tc>
          <w:tcPr>
            <w:tcW w:w="394" w:type="pct"/>
            <w:vAlign w:val="center"/>
          </w:tcPr>
          <w:p w14:paraId="0E407FD9">
            <w:pPr>
              <w:pStyle w:val="34"/>
              <w:widowControl w:val="0"/>
              <w:spacing w:before="0" w:beforeAutospacing="0" w:after="0" w:afterAutospacing="0"/>
              <w:rPr>
                <w:rFonts w:asciiTheme="minorEastAsia" w:hAnsiTheme="minorEastAsia" w:eastAsiaTheme="minorEastAsia"/>
                <w:bCs w:val="0"/>
                <w:kern w:val="2"/>
                <w:sz w:val="24"/>
                <w:szCs w:val="20"/>
                <w:highlight w:val="none"/>
              </w:rPr>
            </w:pPr>
            <w:r>
              <w:rPr>
                <w:rFonts w:hint="eastAsia" w:asciiTheme="minorEastAsia" w:hAnsiTheme="minorEastAsia" w:eastAsiaTheme="minorEastAsia"/>
                <w:bCs w:val="0"/>
                <w:kern w:val="2"/>
                <w:sz w:val="24"/>
                <w:szCs w:val="20"/>
                <w:highlight w:val="none"/>
              </w:rPr>
              <w:t>序号</w:t>
            </w:r>
          </w:p>
        </w:tc>
        <w:tc>
          <w:tcPr>
            <w:tcW w:w="777" w:type="pct"/>
            <w:vAlign w:val="center"/>
          </w:tcPr>
          <w:p w14:paraId="5A1246EC">
            <w:pPr>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货物名称</w:t>
            </w:r>
          </w:p>
        </w:tc>
        <w:tc>
          <w:tcPr>
            <w:tcW w:w="773" w:type="pct"/>
            <w:vAlign w:val="center"/>
          </w:tcPr>
          <w:p w14:paraId="685DA90A">
            <w:pPr>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品牌、型</w:t>
            </w:r>
          </w:p>
          <w:p w14:paraId="07263478">
            <w:pPr>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号</w:t>
            </w:r>
          </w:p>
        </w:tc>
        <w:tc>
          <w:tcPr>
            <w:tcW w:w="773" w:type="pct"/>
            <w:vAlign w:val="center"/>
          </w:tcPr>
          <w:p w14:paraId="25492D92">
            <w:pPr>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原产地及</w:t>
            </w:r>
          </w:p>
          <w:p w14:paraId="4BBAA5AD">
            <w:pPr>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生产厂商</w:t>
            </w:r>
          </w:p>
        </w:tc>
        <w:tc>
          <w:tcPr>
            <w:tcW w:w="394" w:type="pct"/>
            <w:vAlign w:val="center"/>
          </w:tcPr>
          <w:p w14:paraId="7D6B04DB">
            <w:pPr>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单位</w:t>
            </w:r>
          </w:p>
        </w:tc>
        <w:tc>
          <w:tcPr>
            <w:tcW w:w="394" w:type="pct"/>
            <w:vAlign w:val="center"/>
          </w:tcPr>
          <w:p w14:paraId="1F5EE4DC">
            <w:pPr>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数量</w:t>
            </w:r>
          </w:p>
        </w:tc>
        <w:tc>
          <w:tcPr>
            <w:tcW w:w="551" w:type="pct"/>
            <w:vAlign w:val="center"/>
          </w:tcPr>
          <w:p w14:paraId="454E26DF">
            <w:pPr>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单价</w:t>
            </w:r>
          </w:p>
          <w:p w14:paraId="67F2487A">
            <w:pPr>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（元）</w:t>
            </w:r>
          </w:p>
        </w:tc>
        <w:tc>
          <w:tcPr>
            <w:tcW w:w="551" w:type="pct"/>
            <w:vAlign w:val="center"/>
          </w:tcPr>
          <w:p w14:paraId="302DB4F0">
            <w:pPr>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小计</w:t>
            </w:r>
          </w:p>
          <w:p w14:paraId="5E317530">
            <w:pPr>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（元）</w:t>
            </w:r>
          </w:p>
        </w:tc>
        <w:tc>
          <w:tcPr>
            <w:tcW w:w="393" w:type="pct"/>
            <w:vAlign w:val="center"/>
          </w:tcPr>
          <w:p w14:paraId="1B432147">
            <w:pPr>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备注</w:t>
            </w:r>
          </w:p>
        </w:tc>
      </w:tr>
      <w:tr w14:paraId="67B16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bottom w:val="single" w:color="auto" w:sz="4" w:space="0"/>
            </w:tcBorders>
          </w:tcPr>
          <w:p w14:paraId="059B7B83">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p>
        </w:tc>
        <w:tc>
          <w:tcPr>
            <w:tcW w:w="777" w:type="pct"/>
          </w:tcPr>
          <w:p w14:paraId="6A47660F">
            <w:pPr>
              <w:rPr>
                <w:rFonts w:asciiTheme="minorEastAsia" w:hAnsiTheme="minorEastAsia" w:eastAsiaTheme="minorEastAsia"/>
                <w:sz w:val="24"/>
                <w:highlight w:val="none"/>
              </w:rPr>
            </w:pPr>
          </w:p>
        </w:tc>
        <w:tc>
          <w:tcPr>
            <w:tcW w:w="773" w:type="pct"/>
          </w:tcPr>
          <w:p w14:paraId="25873536">
            <w:pPr>
              <w:rPr>
                <w:rFonts w:asciiTheme="minorEastAsia" w:hAnsiTheme="minorEastAsia" w:eastAsiaTheme="minorEastAsia"/>
                <w:sz w:val="24"/>
                <w:highlight w:val="none"/>
              </w:rPr>
            </w:pPr>
          </w:p>
        </w:tc>
        <w:tc>
          <w:tcPr>
            <w:tcW w:w="773" w:type="pct"/>
          </w:tcPr>
          <w:p w14:paraId="00A9DF99">
            <w:pPr>
              <w:rPr>
                <w:rFonts w:asciiTheme="minorEastAsia" w:hAnsiTheme="minorEastAsia" w:eastAsiaTheme="minorEastAsia"/>
                <w:sz w:val="24"/>
                <w:highlight w:val="none"/>
              </w:rPr>
            </w:pPr>
          </w:p>
        </w:tc>
        <w:tc>
          <w:tcPr>
            <w:tcW w:w="394" w:type="pct"/>
          </w:tcPr>
          <w:p w14:paraId="28690CBE">
            <w:pPr>
              <w:rPr>
                <w:rFonts w:asciiTheme="minorEastAsia" w:hAnsiTheme="minorEastAsia" w:eastAsiaTheme="minorEastAsia"/>
                <w:sz w:val="24"/>
                <w:highlight w:val="none"/>
              </w:rPr>
            </w:pPr>
          </w:p>
        </w:tc>
        <w:tc>
          <w:tcPr>
            <w:tcW w:w="394" w:type="pct"/>
          </w:tcPr>
          <w:p w14:paraId="010C947A">
            <w:pPr>
              <w:rPr>
                <w:rFonts w:asciiTheme="minorEastAsia" w:hAnsiTheme="minorEastAsia" w:eastAsiaTheme="minorEastAsia"/>
                <w:sz w:val="24"/>
                <w:highlight w:val="none"/>
              </w:rPr>
            </w:pPr>
          </w:p>
        </w:tc>
        <w:tc>
          <w:tcPr>
            <w:tcW w:w="551" w:type="pct"/>
          </w:tcPr>
          <w:p w14:paraId="266977F1">
            <w:pPr>
              <w:rPr>
                <w:rFonts w:asciiTheme="minorEastAsia" w:hAnsiTheme="minorEastAsia" w:eastAsiaTheme="minorEastAsia"/>
                <w:sz w:val="24"/>
                <w:highlight w:val="none"/>
              </w:rPr>
            </w:pPr>
          </w:p>
        </w:tc>
        <w:tc>
          <w:tcPr>
            <w:tcW w:w="551" w:type="pct"/>
          </w:tcPr>
          <w:p w14:paraId="503EBE88">
            <w:pPr>
              <w:rPr>
                <w:rFonts w:asciiTheme="minorEastAsia" w:hAnsiTheme="minorEastAsia" w:eastAsiaTheme="minorEastAsia"/>
                <w:sz w:val="24"/>
                <w:highlight w:val="none"/>
              </w:rPr>
            </w:pPr>
          </w:p>
        </w:tc>
        <w:tc>
          <w:tcPr>
            <w:tcW w:w="393" w:type="pct"/>
          </w:tcPr>
          <w:p w14:paraId="610573A3">
            <w:pPr>
              <w:rPr>
                <w:rFonts w:asciiTheme="minorEastAsia" w:hAnsiTheme="minorEastAsia" w:eastAsiaTheme="minorEastAsia"/>
                <w:sz w:val="24"/>
                <w:highlight w:val="none"/>
              </w:rPr>
            </w:pPr>
          </w:p>
        </w:tc>
      </w:tr>
      <w:tr w14:paraId="41D37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74683402">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p>
        </w:tc>
        <w:tc>
          <w:tcPr>
            <w:tcW w:w="777" w:type="pct"/>
          </w:tcPr>
          <w:p w14:paraId="24C7C743">
            <w:pPr>
              <w:rPr>
                <w:rFonts w:asciiTheme="minorEastAsia" w:hAnsiTheme="minorEastAsia" w:eastAsiaTheme="minorEastAsia"/>
                <w:sz w:val="24"/>
                <w:highlight w:val="none"/>
              </w:rPr>
            </w:pPr>
          </w:p>
        </w:tc>
        <w:tc>
          <w:tcPr>
            <w:tcW w:w="773" w:type="pct"/>
          </w:tcPr>
          <w:p w14:paraId="7718D4D6">
            <w:pPr>
              <w:rPr>
                <w:rFonts w:asciiTheme="minorEastAsia" w:hAnsiTheme="minorEastAsia" w:eastAsiaTheme="minorEastAsia"/>
                <w:sz w:val="24"/>
                <w:highlight w:val="none"/>
              </w:rPr>
            </w:pPr>
          </w:p>
        </w:tc>
        <w:tc>
          <w:tcPr>
            <w:tcW w:w="773" w:type="pct"/>
          </w:tcPr>
          <w:p w14:paraId="686BC0C5">
            <w:pPr>
              <w:rPr>
                <w:rFonts w:asciiTheme="minorEastAsia" w:hAnsiTheme="minorEastAsia" w:eastAsiaTheme="minorEastAsia"/>
                <w:sz w:val="24"/>
                <w:highlight w:val="none"/>
              </w:rPr>
            </w:pPr>
          </w:p>
        </w:tc>
        <w:tc>
          <w:tcPr>
            <w:tcW w:w="394" w:type="pct"/>
          </w:tcPr>
          <w:p w14:paraId="6115FBB4">
            <w:pPr>
              <w:rPr>
                <w:rFonts w:asciiTheme="minorEastAsia" w:hAnsiTheme="minorEastAsia" w:eastAsiaTheme="minorEastAsia"/>
                <w:sz w:val="24"/>
                <w:highlight w:val="none"/>
              </w:rPr>
            </w:pPr>
          </w:p>
        </w:tc>
        <w:tc>
          <w:tcPr>
            <w:tcW w:w="394" w:type="pct"/>
          </w:tcPr>
          <w:p w14:paraId="75AF07C8">
            <w:pPr>
              <w:rPr>
                <w:rFonts w:asciiTheme="minorEastAsia" w:hAnsiTheme="minorEastAsia" w:eastAsiaTheme="minorEastAsia"/>
                <w:sz w:val="24"/>
                <w:highlight w:val="none"/>
              </w:rPr>
            </w:pPr>
          </w:p>
        </w:tc>
        <w:tc>
          <w:tcPr>
            <w:tcW w:w="551" w:type="pct"/>
          </w:tcPr>
          <w:p w14:paraId="687E1A5B">
            <w:pPr>
              <w:rPr>
                <w:rFonts w:asciiTheme="minorEastAsia" w:hAnsiTheme="minorEastAsia" w:eastAsiaTheme="minorEastAsia"/>
                <w:sz w:val="24"/>
                <w:highlight w:val="none"/>
              </w:rPr>
            </w:pPr>
          </w:p>
        </w:tc>
        <w:tc>
          <w:tcPr>
            <w:tcW w:w="551" w:type="pct"/>
          </w:tcPr>
          <w:p w14:paraId="7F63550C">
            <w:pPr>
              <w:rPr>
                <w:rFonts w:asciiTheme="minorEastAsia" w:hAnsiTheme="minorEastAsia" w:eastAsiaTheme="minorEastAsia"/>
                <w:sz w:val="24"/>
                <w:highlight w:val="none"/>
              </w:rPr>
            </w:pPr>
          </w:p>
        </w:tc>
        <w:tc>
          <w:tcPr>
            <w:tcW w:w="393" w:type="pct"/>
          </w:tcPr>
          <w:p w14:paraId="77C51431">
            <w:pPr>
              <w:rPr>
                <w:rFonts w:asciiTheme="minorEastAsia" w:hAnsiTheme="minorEastAsia" w:eastAsiaTheme="minorEastAsia"/>
                <w:sz w:val="24"/>
                <w:highlight w:val="none"/>
              </w:rPr>
            </w:pPr>
          </w:p>
        </w:tc>
      </w:tr>
      <w:tr w14:paraId="25BD6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0DC0661F">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p>
        </w:tc>
        <w:tc>
          <w:tcPr>
            <w:tcW w:w="777" w:type="pct"/>
          </w:tcPr>
          <w:p w14:paraId="6B56C665">
            <w:pPr>
              <w:rPr>
                <w:rFonts w:asciiTheme="minorEastAsia" w:hAnsiTheme="minorEastAsia" w:eastAsiaTheme="minorEastAsia"/>
                <w:sz w:val="24"/>
                <w:highlight w:val="none"/>
              </w:rPr>
            </w:pPr>
          </w:p>
        </w:tc>
        <w:tc>
          <w:tcPr>
            <w:tcW w:w="773" w:type="pct"/>
          </w:tcPr>
          <w:p w14:paraId="1452F81B">
            <w:pPr>
              <w:rPr>
                <w:rFonts w:asciiTheme="minorEastAsia" w:hAnsiTheme="minorEastAsia" w:eastAsiaTheme="minorEastAsia"/>
                <w:sz w:val="24"/>
                <w:highlight w:val="none"/>
              </w:rPr>
            </w:pPr>
          </w:p>
        </w:tc>
        <w:tc>
          <w:tcPr>
            <w:tcW w:w="773" w:type="pct"/>
          </w:tcPr>
          <w:p w14:paraId="4DE55917">
            <w:pPr>
              <w:rPr>
                <w:rFonts w:asciiTheme="minorEastAsia" w:hAnsiTheme="minorEastAsia" w:eastAsiaTheme="minorEastAsia"/>
                <w:sz w:val="24"/>
                <w:highlight w:val="none"/>
              </w:rPr>
            </w:pPr>
          </w:p>
        </w:tc>
        <w:tc>
          <w:tcPr>
            <w:tcW w:w="394" w:type="pct"/>
          </w:tcPr>
          <w:p w14:paraId="2E895009">
            <w:pPr>
              <w:rPr>
                <w:rFonts w:asciiTheme="minorEastAsia" w:hAnsiTheme="minorEastAsia" w:eastAsiaTheme="minorEastAsia"/>
                <w:sz w:val="24"/>
                <w:highlight w:val="none"/>
              </w:rPr>
            </w:pPr>
          </w:p>
        </w:tc>
        <w:tc>
          <w:tcPr>
            <w:tcW w:w="394" w:type="pct"/>
          </w:tcPr>
          <w:p w14:paraId="4D04BE25">
            <w:pPr>
              <w:rPr>
                <w:rFonts w:asciiTheme="minorEastAsia" w:hAnsiTheme="minorEastAsia" w:eastAsiaTheme="minorEastAsia"/>
                <w:sz w:val="24"/>
                <w:highlight w:val="none"/>
              </w:rPr>
            </w:pPr>
          </w:p>
        </w:tc>
        <w:tc>
          <w:tcPr>
            <w:tcW w:w="551" w:type="pct"/>
          </w:tcPr>
          <w:p w14:paraId="69B1A844">
            <w:pPr>
              <w:rPr>
                <w:rFonts w:asciiTheme="minorEastAsia" w:hAnsiTheme="minorEastAsia" w:eastAsiaTheme="minorEastAsia"/>
                <w:sz w:val="24"/>
                <w:highlight w:val="none"/>
              </w:rPr>
            </w:pPr>
          </w:p>
        </w:tc>
        <w:tc>
          <w:tcPr>
            <w:tcW w:w="551" w:type="pct"/>
          </w:tcPr>
          <w:p w14:paraId="2DDEF765">
            <w:pPr>
              <w:rPr>
                <w:rFonts w:asciiTheme="minorEastAsia" w:hAnsiTheme="minorEastAsia" w:eastAsiaTheme="minorEastAsia"/>
                <w:sz w:val="24"/>
                <w:highlight w:val="none"/>
              </w:rPr>
            </w:pPr>
          </w:p>
        </w:tc>
        <w:tc>
          <w:tcPr>
            <w:tcW w:w="393" w:type="pct"/>
          </w:tcPr>
          <w:p w14:paraId="2CC97EB0">
            <w:pPr>
              <w:rPr>
                <w:rFonts w:asciiTheme="minorEastAsia" w:hAnsiTheme="minorEastAsia" w:eastAsiaTheme="minorEastAsia"/>
                <w:sz w:val="24"/>
                <w:highlight w:val="none"/>
              </w:rPr>
            </w:pPr>
          </w:p>
        </w:tc>
      </w:tr>
      <w:tr w14:paraId="405F4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3FB7A429">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p>
        </w:tc>
        <w:tc>
          <w:tcPr>
            <w:tcW w:w="777" w:type="pct"/>
          </w:tcPr>
          <w:p w14:paraId="2C4334D1">
            <w:pPr>
              <w:rPr>
                <w:rFonts w:asciiTheme="minorEastAsia" w:hAnsiTheme="minorEastAsia" w:eastAsiaTheme="minorEastAsia"/>
                <w:sz w:val="24"/>
                <w:highlight w:val="none"/>
              </w:rPr>
            </w:pPr>
          </w:p>
        </w:tc>
        <w:tc>
          <w:tcPr>
            <w:tcW w:w="773" w:type="pct"/>
          </w:tcPr>
          <w:p w14:paraId="428E21EC">
            <w:pPr>
              <w:rPr>
                <w:rFonts w:asciiTheme="minorEastAsia" w:hAnsiTheme="minorEastAsia" w:eastAsiaTheme="minorEastAsia"/>
                <w:sz w:val="24"/>
                <w:highlight w:val="none"/>
              </w:rPr>
            </w:pPr>
          </w:p>
        </w:tc>
        <w:tc>
          <w:tcPr>
            <w:tcW w:w="773" w:type="pct"/>
          </w:tcPr>
          <w:p w14:paraId="42A71074">
            <w:pPr>
              <w:rPr>
                <w:rFonts w:asciiTheme="minorEastAsia" w:hAnsiTheme="minorEastAsia" w:eastAsiaTheme="minorEastAsia"/>
                <w:sz w:val="24"/>
                <w:highlight w:val="none"/>
              </w:rPr>
            </w:pPr>
          </w:p>
        </w:tc>
        <w:tc>
          <w:tcPr>
            <w:tcW w:w="394" w:type="pct"/>
          </w:tcPr>
          <w:p w14:paraId="31C3BE49">
            <w:pPr>
              <w:rPr>
                <w:rFonts w:asciiTheme="minorEastAsia" w:hAnsiTheme="minorEastAsia" w:eastAsiaTheme="minorEastAsia"/>
                <w:sz w:val="24"/>
                <w:highlight w:val="none"/>
              </w:rPr>
            </w:pPr>
          </w:p>
        </w:tc>
        <w:tc>
          <w:tcPr>
            <w:tcW w:w="394" w:type="pct"/>
          </w:tcPr>
          <w:p w14:paraId="47E7A654">
            <w:pPr>
              <w:rPr>
                <w:rFonts w:asciiTheme="minorEastAsia" w:hAnsiTheme="minorEastAsia" w:eastAsiaTheme="minorEastAsia"/>
                <w:sz w:val="24"/>
                <w:highlight w:val="none"/>
              </w:rPr>
            </w:pPr>
          </w:p>
        </w:tc>
        <w:tc>
          <w:tcPr>
            <w:tcW w:w="551" w:type="pct"/>
          </w:tcPr>
          <w:p w14:paraId="63952DF4">
            <w:pPr>
              <w:rPr>
                <w:rFonts w:asciiTheme="minorEastAsia" w:hAnsiTheme="minorEastAsia" w:eastAsiaTheme="minorEastAsia"/>
                <w:sz w:val="24"/>
                <w:highlight w:val="none"/>
              </w:rPr>
            </w:pPr>
          </w:p>
        </w:tc>
        <w:tc>
          <w:tcPr>
            <w:tcW w:w="551" w:type="pct"/>
          </w:tcPr>
          <w:p w14:paraId="6CF1D40E">
            <w:pPr>
              <w:rPr>
                <w:rFonts w:asciiTheme="minorEastAsia" w:hAnsiTheme="minorEastAsia" w:eastAsiaTheme="minorEastAsia"/>
                <w:sz w:val="24"/>
                <w:highlight w:val="none"/>
              </w:rPr>
            </w:pPr>
          </w:p>
        </w:tc>
        <w:tc>
          <w:tcPr>
            <w:tcW w:w="393" w:type="pct"/>
          </w:tcPr>
          <w:p w14:paraId="460F547F">
            <w:pPr>
              <w:rPr>
                <w:rFonts w:asciiTheme="minorEastAsia" w:hAnsiTheme="minorEastAsia" w:eastAsiaTheme="minorEastAsia"/>
                <w:sz w:val="24"/>
                <w:highlight w:val="none"/>
              </w:rPr>
            </w:pPr>
          </w:p>
        </w:tc>
      </w:tr>
      <w:tr w14:paraId="0B4CB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0B8B66A9">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w:t>
            </w:r>
          </w:p>
        </w:tc>
        <w:tc>
          <w:tcPr>
            <w:tcW w:w="777" w:type="pct"/>
          </w:tcPr>
          <w:p w14:paraId="3E864394">
            <w:pPr>
              <w:rPr>
                <w:rFonts w:asciiTheme="minorEastAsia" w:hAnsiTheme="minorEastAsia" w:eastAsiaTheme="minorEastAsia"/>
                <w:sz w:val="24"/>
                <w:highlight w:val="none"/>
              </w:rPr>
            </w:pPr>
          </w:p>
        </w:tc>
        <w:tc>
          <w:tcPr>
            <w:tcW w:w="773" w:type="pct"/>
          </w:tcPr>
          <w:p w14:paraId="39C65914">
            <w:pPr>
              <w:rPr>
                <w:rFonts w:asciiTheme="minorEastAsia" w:hAnsiTheme="minorEastAsia" w:eastAsiaTheme="minorEastAsia"/>
                <w:sz w:val="24"/>
                <w:highlight w:val="none"/>
              </w:rPr>
            </w:pPr>
          </w:p>
        </w:tc>
        <w:tc>
          <w:tcPr>
            <w:tcW w:w="773" w:type="pct"/>
          </w:tcPr>
          <w:p w14:paraId="47518ABB">
            <w:pPr>
              <w:rPr>
                <w:rFonts w:asciiTheme="minorEastAsia" w:hAnsiTheme="minorEastAsia" w:eastAsiaTheme="minorEastAsia"/>
                <w:sz w:val="24"/>
                <w:highlight w:val="none"/>
              </w:rPr>
            </w:pPr>
          </w:p>
        </w:tc>
        <w:tc>
          <w:tcPr>
            <w:tcW w:w="394" w:type="pct"/>
          </w:tcPr>
          <w:p w14:paraId="5CBF4138">
            <w:pPr>
              <w:rPr>
                <w:rFonts w:asciiTheme="minorEastAsia" w:hAnsiTheme="minorEastAsia" w:eastAsiaTheme="minorEastAsia"/>
                <w:sz w:val="24"/>
                <w:highlight w:val="none"/>
              </w:rPr>
            </w:pPr>
          </w:p>
        </w:tc>
        <w:tc>
          <w:tcPr>
            <w:tcW w:w="394" w:type="pct"/>
          </w:tcPr>
          <w:p w14:paraId="2FF96F00">
            <w:pPr>
              <w:rPr>
                <w:rFonts w:asciiTheme="minorEastAsia" w:hAnsiTheme="minorEastAsia" w:eastAsiaTheme="minorEastAsia"/>
                <w:sz w:val="24"/>
                <w:highlight w:val="none"/>
              </w:rPr>
            </w:pPr>
          </w:p>
        </w:tc>
        <w:tc>
          <w:tcPr>
            <w:tcW w:w="551" w:type="pct"/>
          </w:tcPr>
          <w:p w14:paraId="35A6BE97">
            <w:pPr>
              <w:rPr>
                <w:rFonts w:asciiTheme="minorEastAsia" w:hAnsiTheme="minorEastAsia" w:eastAsiaTheme="minorEastAsia"/>
                <w:sz w:val="24"/>
                <w:highlight w:val="none"/>
              </w:rPr>
            </w:pPr>
          </w:p>
        </w:tc>
        <w:tc>
          <w:tcPr>
            <w:tcW w:w="551" w:type="pct"/>
          </w:tcPr>
          <w:p w14:paraId="1963C509">
            <w:pPr>
              <w:rPr>
                <w:rFonts w:asciiTheme="minorEastAsia" w:hAnsiTheme="minorEastAsia" w:eastAsiaTheme="minorEastAsia"/>
                <w:sz w:val="24"/>
                <w:highlight w:val="none"/>
              </w:rPr>
            </w:pPr>
          </w:p>
        </w:tc>
        <w:tc>
          <w:tcPr>
            <w:tcW w:w="393" w:type="pct"/>
          </w:tcPr>
          <w:p w14:paraId="7E87B9BD">
            <w:pPr>
              <w:rPr>
                <w:rFonts w:asciiTheme="minorEastAsia" w:hAnsiTheme="minorEastAsia" w:eastAsiaTheme="minorEastAsia"/>
                <w:sz w:val="24"/>
                <w:highlight w:val="none"/>
              </w:rPr>
            </w:pPr>
          </w:p>
        </w:tc>
      </w:tr>
      <w:tr w14:paraId="613B0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3" w:hRule="atLeast"/>
          <w:jc w:val="center"/>
        </w:trPr>
        <w:tc>
          <w:tcPr>
            <w:tcW w:w="394" w:type="pct"/>
          </w:tcPr>
          <w:p w14:paraId="3A1AC967">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w:t>
            </w:r>
          </w:p>
        </w:tc>
        <w:tc>
          <w:tcPr>
            <w:tcW w:w="777" w:type="pct"/>
          </w:tcPr>
          <w:p w14:paraId="08CE8B7C">
            <w:pPr>
              <w:rPr>
                <w:rFonts w:asciiTheme="minorEastAsia" w:hAnsiTheme="minorEastAsia" w:eastAsiaTheme="minorEastAsia"/>
                <w:sz w:val="24"/>
                <w:highlight w:val="none"/>
              </w:rPr>
            </w:pPr>
          </w:p>
        </w:tc>
        <w:tc>
          <w:tcPr>
            <w:tcW w:w="773" w:type="pct"/>
          </w:tcPr>
          <w:p w14:paraId="47BDD58D">
            <w:pPr>
              <w:rPr>
                <w:rFonts w:asciiTheme="minorEastAsia" w:hAnsiTheme="minorEastAsia" w:eastAsiaTheme="minorEastAsia"/>
                <w:sz w:val="24"/>
                <w:highlight w:val="none"/>
              </w:rPr>
            </w:pPr>
          </w:p>
        </w:tc>
        <w:tc>
          <w:tcPr>
            <w:tcW w:w="773" w:type="pct"/>
          </w:tcPr>
          <w:p w14:paraId="222CE20C">
            <w:pPr>
              <w:rPr>
                <w:rFonts w:asciiTheme="minorEastAsia" w:hAnsiTheme="minorEastAsia" w:eastAsiaTheme="minorEastAsia"/>
                <w:sz w:val="24"/>
                <w:highlight w:val="none"/>
              </w:rPr>
            </w:pPr>
          </w:p>
        </w:tc>
        <w:tc>
          <w:tcPr>
            <w:tcW w:w="394" w:type="pct"/>
          </w:tcPr>
          <w:p w14:paraId="686BF726">
            <w:pPr>
              <w:rPr>
                <w:rFonts w:asciiTheme="minorEastAsia" w:hAnsiTheme="minorEastAsia" w:eastAsiaTheme="minorEastAsia"/>
                <w:sz w:val="24"/>
                <w:highlight w:val="none"/>
              </w:rPr>
            </w:pPr>
          </w:p>
        </w:tc>
        <w:tc>
          <w:tcPr>
            <w:tcW w:w="394" w:type="pct"/>
          </w:tcPr>
          <w:p w14:paraId="513BDB53">
            <w:pPr>
              <w:rPr>
                <w:rFonts w:asciiTheme="minorEastAsia" w:hAnsiTheme="minorEastAsia" w:eastAsiaTheme="minorEastAsia"/>
                <w:sz w:val="24"/>
                <w:highlight w:val="none"/>
              </w:rPr>
            </w:pPr>
          </w:p>
        </w:tc>
        <w:tc>
          <w:tcPr>
            <w:tcW w:w="551" w:type="pct"/>
          </w:tcPr>
          <w:p w14:paraId="46437167">
            <w:pPr>
              <w:rPr>
                <w:rFonts w:asciiTheme="minorEastAsia" w:hAnsiTheme="minorEastAsia" w:eastAsiaTheme="minorEastAsia"/>
                <w:sz w:val="24"/>
                <w:highlight w:val="none"/>
              </w:rPr>
            </w:pPr>
          </w:p>
        </w:tc>
        <w:tc>
          <w:tcPr>
            <w:tcW w:w="551" w:type="pct"/>
          </w:tcPr>
          <w:p w14:paraId="3594478D">
            <w:pPr>
              <w:rPr>
                <w:rFonts w:asciiTheme="minorEastAsia" w:hAnsiTheme="minorEastAsia" w:eastAsiaTheme="minorEastAsia"/>
                <w:sz w:val="24"/>
                <w:highlight w:val="none"/>
              </w:rPr>
            </w:pPr>
          </w:p>
        </w:tc>
        <w:tc>
          <w:tcPr>
            <w:tcW w:w="393" w:type="pct"/>
          </w:tcPr>
          <w:p w14:paraId="7D75E8B1">
            <w:pPr>
              <w:rPr>
                <w:rFonts w:asciiTheme="minorEastAsia" w:hAnsiTheme="minorEastAsia" w:eastAsiaTheme="minorEastAsia"/>
                <w:sz w:val="24"/>
                <w:highlight w:val="none"/>
              </w:rPr>
            </w:pPr>
          </w:p>
        </w:tc>
      </w:tr>
      <w:tr w14:paraId="4FD0D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39D78F1E">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7</w:t>
            </w:r>
          </w:p>
        </w:tc>
        <w:tc>
          <w:tcPr>
            <w:tcW w:w="777" w:type="pct"/>
          </w:tcPr>
          <w:p w14:paraId="41E74ABA">
            <w:pPr>
              <w:rPr>
                <w:rFonts w:asciiTheme="minorEastAsia" w:hAnsiTheme="minorEastAsia" w:eastAsiaTheme="minorEastAsia"/>
                <w:sz w:val="24"/>
                <w:highlight w:val="none"/>
              </w:rPr>
            </w:pPr>
          </w:p>
        </w:tc>
        <w:tc>
          <w:tcPr>
            <w:tcW w:w="773" w:type="pct"/>
          </w:tcPr>
          <w:p w14:paraId="788A7F16">
            <w:pPr>
              <w:rPr>
                <w:rFonts w:asciiTheme="minorEastAsia" w:hAnsiTheme="minorEastAsia" w:eastAsiaTheme="minorEastAsia"/>
                <w:sz w:val="24"/>
                <w:highlight w:val="none"/>
              </w:rPr>
            </w:pPr>
          </w:p>
        </w:tc>
        <w:tc>
          <w:tcPr>
            <w:tcW w:w="773" w:type="pct"/>
          </w:tcPr>
          <w:p w14:paraId="32E4B54F">
            <w:pPr>
              <w:rPr>
                <w:rFonts w:asciiTheme="minorEastAsia" w:hAnsiTheme="minorEastAsia" w:eastAsiaTheme="minorEastAsia"/>
                <w:sz w:val="24"/>
                <w:highlight w:val="none"/>
              </w:rPr>
            </w:pPr>
          </w:p>
        </w:tc>
        <w:tc>
          <w:tcPr>
            <w:tcW w:w="394" w:type="pct"/>
          </w:tcPr>
          <w:p w14:paraId="747A1E4F">
            <w:pPr>
              <w:rPr>
                <w:rFonts w:asciiTheme="minorEastAsia" w:hAnsiTheme="minorEastAsia" w:eastAsiaTheme="minorEastAsia"/>
                <w:sz w:val="24"/>
                <w:highlight w:val="none"/>
              </w:rPr>
            </w:pPr>
          </w:p>
        </w:tc>
        <w:tc>
          <w:tcPr>
            <w:tcW w:w="394" w:type="pct"/>
          </w:tcPr>
          <w:p w14:paraId="32E53C06">
            <w:pPr>
              <w:rPr>
                <w:rFonts w:asciiTheme="minorEastAsia" w:hAnsiTheme="minorEastAsia" w:eastAsiaTheme="minorEastAsia"/>
                <w:sz w:val="24"/>
                <w:highlight w:val="none"/>
              </w:rPr>
            </w:pPr>
          </w:p>
        </w:tc>
        <w:tc>
          <w:tcPr>
            <w:tcW w:w="551" w:type="pct"/>
          </w:tcPr>
          <w:p w14:paraId="20A0B720">
            <w:pPr>
              <w:rPr>
                <w:rFonts w:asciiTheme="minorEastAsia" w:hAnsiTheme="minorEastAsia" w:eastAsiaTheme="minorEastAsia"/>
                <w:sz w:val="24"/>
                <w:highlight w:val="none"/>
              </w:rPr>
            </w:pPr>
          </w:p>
        </w:tc>
        <w:tc>
          <w:tcPr>
            <w:tcW w:w="551" w:type="pct"/>
          </w:tcPr>
          <w:p w14:paraId="5705076E">
            <w:pPr>
              <w:rPr>
                <w:rFonts w:asciiTheme="minorEastAsia" w:hAnsiTheme="minorEastAsia" w:eastAsiaTheme="minorEastAsia"/>
                <w:sz w:val="24"/>
                <w:highlight w:val="none"/>
              </w:rPr>
            </w:pPr>
          </w:p>
        </w:tc>
        <w:tc>
          <w:tcPr>
            <w:tcW w:w="393" w:type="pct"/>
          </w:tcPr>
          <w:p w14:paraId="7BE209D2">
            <w:pPr>
              <w:rPr>
                <w:rFonts w:asciiTheme="minorEastAsia" w:hAnsiTheme="minorEastAsia" w:eastAsiaTheme="minorEastAsia"/>
                <w:sz w:val="24"/>
                <w:highlight w:val="none"/>
              </w:rPr>
            </w:pPr>
          </w:p>
        </w:tc>
      </w:tr>
      <w:tr w14:paraId="7842D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5D42114C">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8</w:t>
            </w:r>
          </w:p>
        </w:tc>
        <w:tc>
          <w:tcPr>
            <w:tcW w:w="777" w:type="pct"/>
          </w:tcPr>
          <w:p w14:paraId="6B172AE1">
            <w:pPr>
              <w:rPr>
                <w:rFonts w:asciiTheme="minorEastAsia" w:hAnsiTheme="minorEastAsia" w:eastAsiaTheme="minorEastAsia"/>
                <w:sz w:val="24"/>
                <w:highlight w:val="none"/>
              </w:rPr>
            </w:pPr>
          </w:p>
        </w:tc>
        <w:tc>
          <w:tcPr>
            <w:tcW w:w="773" w:type="pct"/>
          </w:tcPr>
          <w:p w14:paraId="536CA448">
            <w:pPr>
              <w:rPr>
                <w:rFonts w:asciiTheme="minorEastAsia" w:hAnsiTheme="minorEastAsia" w:eastAsiaTheme="minorEastAsia"/>
                <w:sz w:val="24"/>
                <w:highlight w:val="none"/>
              </w:rPr>
            </w:pPr>
          </w:p>
        </w:tc>
        <w:tc>
          <w:tcPr>
            <w:tcW w:w="773" w:type="pct"/>
          </w:tcPr>
          <w:p w14:paraId="6759D3E2">
            <w:pPr>
              <w:rPr>
                <w:rFonts w:asciiTheme="minorEastAsia" w:hAnsiTheme="minorEastAsia" w:eastAsiaTheme="minorEastAsia"/>
                <w:sz w:val="24"/>
                <w:highlight w:val="none"/>
              </w:rPr>
            </w:pPr>
          </w:p>
        </w:tc>
        <w:tc>
          <w:tcPr>
            <w:tcW w:w="394" w:type="pct"/>
          </w:tcPr>
          <w:p w14:paraId="7E3EBB7F">
            <w:pPr>
              <w:rPr>
                <w:rFonts w:asciiTheme="minorEastAsia" w:hAnsiTheme="minorEastAsia" w:eastAsiaTheme="minorEastAsia"/>
                <w:sz w:val="24"/>
                <w:highlight w:val="none"/>
              </w:rPr>
            </w:pPr>
          </w:p>
        </w:tc>
        <w:tc>
          <w:tcPr>
            <w:tcW w:w="394" w:type="pct"/>
          </w:tcPr>
          <w:p w14:paraId="69AE4819">
            <w:pPr>
              <w:rPr>
                <w:rFonts w:asciiTheme="minorEastAsia" w:hAnsiTheme="minorEastAsia" w:eastAsiaTheme="minorEastAsia"/>
                <w:sz w:val="24"/>
                <w:highlight w:val="none"/>
              </w:rPr>
            </w:pPr>
          </w:p>
        </w:tc>
        <w:tc>
          <w:tcPr>
            <w:tcW w:w="551" w:type="pct"/>
          </w:tcPr>
          <w:p w14:paraId="65D7E9CD">
            <w:pPr>
              <w:rPr>
                <w:rFonts w:asciiTheme="minorEastAsia" w:hAnsiTheme="minorEastAsia" w:eastAsiaTheme="minorEastAsia"/>
                <w:sz w:val="24"/>
                <w:highlight w:val="none"/>
              </w:rPr>
            </w:pPr>
          </w:p>
        </w:tc>
        <w:tc>
          <w:tcPr>
            <w:tcW w:w="551" w:type="pct"/>
          </w:tcPr>
          <w:p w14:paraId="4AD136BB">
            <w:pPr>
              <w:rPr>
                <w:rFonts w:asciiTheme="minorEastAsia" w:hAnsiTheme="minorEastAsia" w:eastAsiaTheme="minorEastAsia"/>
                <w:sz w:val="24"/>
                <w:highlight w:val="none"/>
              </w:rPr>
            </w:pPr>
          </w:p>
        </w:tc>
        <w:tc>
          <w:tcPr>
            <w:tcW w:w="393" w:type="pct"/>
          </w:tcPr>
          <w:p w14:paraId="74B927F8">
            <w:pPr>
              <w:rPr>
                <w:rFonts w:asciiTheme="minorEastAsia" w:hAnsiTheme="minorEastAsia" w:eastAsiaTheme="minorEastAsia"/>
                <w:sz w:val="24"/>
                <w:highlight w:val="none"/>
              </w:rPr>
            </w:pPr>
          </w:p>
        </w:tc>
      </w:tr>
      <w:tr w14:paraId="3A09E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1107C1F3">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9</w:t>
            </w:r>
          </w:p>
        </w:tc>
        <w:tc>
          <w:tcPr>
            <w:tcW w:w="777" w:type="pct"/>
          </w:tcPr>
          <w:p w14:paraId="111E857B">
            <w:pPr>
              <w:rPr>
                <w:rFonts w:asciiTheme="minorEastAsia" w:hAnsiTheme="minorEastAsia" w:eastAsiaTheme="minorEastAsia"/>
                <w:sz w:val="24"/>
                <w:highlight w:val="none"/>
              </w:rPr>
            </w:pPr>
          </w:p>
        </w:tc>
        <w:tc>
          <w:tcPr>
            <w:tcW w:w="773" w:type="pct"/>
          </w:tcPr>
          <w:p w14:paraId="13690F2A">
            <w:pPr>
              <w:rPr>
                <w:rFonts w:asciiTheme="minorEastAsia" w:hAnsiTheme="minorEastAsia" w:eastAsiaTheme="minorEastAsia"/>
                <w:sz w:val="24"/>
                <w:highlight w:val="none"/>
              </w:rPr>
            </w:pPr>
          </w:p>
        </w:tc>
        <w:tc>
          <w:tcPr>
            <w:tcW w:w="773" w:type="pct"/>
          </w:tcPr>
          <w:p w14:paraId="5E0B4352">
            <w:pPr>
              <w:rPr>
                <w:rFonts w:asciiTheme="minorEastAsia" w:hAnsiTheme="minorEastAsia" w:eastAsiaTheme="minorEastAsia"/>
                <w:sz w:val="24"/>
                <w:highlight w:val="none"/>
              </w:rPr>
            </w:pPr>
          </w:p>
        </w:tc>
        <w:tc>
          <w:tcPr>
            <w:tcW w:w="394" w:type="pct"/>
          </w:tcPr>
          <w:p w14:paraId="3701C34C">
            <w:pPr>
              <w:rPr>
                <w:rFonts w:asciiTheme="minorEastAsia" w:hAnsiTheme="minorEastAsia" w:eastAsiaTheme="minorEastAsia"/>
                <w:sz w:val="24"/>
                <w:highlight w:val="none"/>
              </w:rPr>
            </w:pPr>
          </w:p>
        </w:tc>
        <w:tc>
          <w:tcPr>
            <w:tcW w:w="394" w:type="pct"/>
          </w:tcPr>
          <w:p w14:paraId="15B568D9">
            <w:pPr>
              <w:rPr>
                <w:rFonts w:asciiTheme="minorEastAsia" w:hAnsiTheme="minorEastAsia" w:eastAsiaTheme="minorEastAsia"/>
                <w:sz w:val="24"/>
                <w:highlight w:val="none"/>
              </w:rPr>
            </w:pPr>
          </w:p>
        </w:tc>
        <w:tc>
          <w:tcPr>
            <w:tcW w:w="551" w:type="pct"/>
          </w:tcPr>
          <w:p w14:paraId="55FFDE7A">
            <w:pPr>
              <w:rPr>
                <w:rFonts w:asciiTheme="minorEastAsia" w:hAnsiTheme="minorEastAsia" w:eastAsiaTheme="minorEastAsia"/>
                <w:sz w:val="24"/>
                <w:highlight w:val="none"/>
              </w:rPr>
            </w:pPr>
          </w:p>
        </w:tc>
        <w:tc>
          <w:tcPr>
            <w:tcW w:w="551" w:type="pct"/>
          </w:tcPr>
          <w:p w14:paraId="44C2C55D">
            <w:pPr>
              <w:rPr>
                <w:rFonts w:asciiTheme="minorEastAsia" w:hAnsiTheme="minorEastAsia" w:eastAsiaTheme="minorEastAsia"/>
                <w:sz w:val="24"/>
                <w:highlight w:val="none"/>
              </w:rPr>
            </w:pPr>
          </w:p>
        </w:tc>
        <w:tc>
          <w:tcPr>
            <w:tcW w:w="393" w:type="pct"/>
          </w:tcPr>
          <w:p w14:paraId="5B4B256C">
            <w:pPr>
              <w:rPr>
                <w:rFonts w:asciiTheme="minorEastAsia" w:hAnsiTheme="minorEastAsia" w:eastAsiaTheme="minorEastAsia"/>
                <w:sz w:val="24"/>
                <w:highlight w:val="none"/>
              </w:rPr>
            </w:pPr>
          </w:p>
        </w:tc>
      </w:tr>
      <w:tr w14:paraId="76DBC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4848D774">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10</w:t>
            </w:r>
          </w:p>
        </w:tc>
        <w:tc>
          <w:tcPr>
            <w:tcW w:w="777" w:type="pct"/>
          </w:tcPr>
          <w:p w14:paraId="2F22362A">
            <w:pPr>
              <w:rPr>
                <w:rFonts w:asciiTheme="minorEastAsia" w:hAnsiTheme="minorEastAsia" w:eastAsiaTheme="minorEastAsia"/>
                <w:sz w:val="24"/>
                <w:highlight w:val="none"/>
              </w:rPr>
            </w:pPr>
          </w:p>
        </w:tc>
        <w:tc>
          <w:tcPr>
            <w:tcW w:w="773" w:type="pct"/>
          </w:tcPr>
          <w:p w14:paraId="0706B855">
            <w:pPr>
              <w:rPr>
                <w:rFonts w:asciiTheme="minorEastAsia" w:hAnsiTheme="minorEastAsia" w:eastAsiaTheme="minorEastAsia"/>
                <w:sz w:val="24"/>
                <w:highlight w:val="none"/>
              </w:rPr>
            </w:pPr>
          </w:p>
        </w:tc>
        <w:tc>
          <w:tcPr>
            <w:tcW w:w="773" w:type="pct"/>
          </w:tcPr>
          <w:p w14:paraId="0EB589C1">
            <w:pPr>
              <w:rPr>
                <w:rFonts w:asciiTheme="minorEastAsia" w:hAnsiTheme="minorEastAsia" w:eastAsiaTheme="minorEastAsia"/>
                <w:sz w:val="24"/>
                <w:highlight w:val="none"/>
              </w:rPr>
            </w:pPr>
          </w:p>
        </w:tc>
        <w:tc>
          <w:tcPr>
            <w:tcW w:w="394" w:type="pct"/>
          </w:tcPr>
          <w:p w14:paraId="0083F94F">
            <w:pPr>
              <w:rPr>
                <w:rFonts w:asciiTheme="minorEastAsia" w:hAnsiTheme="minorEastAsia" w:eastAsiaTheme="minorEastAsia"/>
                <w:sz w:val="24"/>
                <w:highlight w:val="none"/>
              </w:rPr>
            </w:pPr>
          </w:p>
        </w:tc>
        <w:tc>
          <w:tcPr>
            <w:tcW w:w="394" w:type="pct"/>
          </w:tcPr>
          <w:p w14:paraId="352C48C8">
            <w:pPr>
              <w:rPr>
                <w:rFonts w:asciiTheme="minorEastAsia" w:hAnsiTheme="minorEastAsia" w:eastAsiaTheme="minorEastAsia"/>
                <w:sz w:val="24"/>
                <w:highlight w:val="none"/>
              </w:rPr>
            </w:pPr>
          </w:p>
        </w:tc>
        <w:tc>
          <w:tcPr>
            <w:tcW w:w="551" w:type="pct"/>
          </w:tcPr>
          <w:p w14:paraId="682B9C47">
            <w:pPr>
              <w:rPr>
                <w:rFonts w:asciiTheme="minorEastAsia" w:hAnsiTheme="minorEastAsia" w:eastAsiaTheme="minorEastAsia"/>
                <w:sz w:val="24"/>
                <w:highlight w:val="none"/>
              </w:rPr>
            </w:pPr>
          </w:p>
        </w:tc>
        <w:tc>
          <w:tcPr>
            <w:tcW w:w="551" w:type="pct"/>
          </w:tcPr>
          <w:p w14:paraId="267201FA">
            <w:pPr>
              <w:rPr>
                <w:rFonts w:asciiTheme="minorEastAsia" w:hAnsiTheme="minorEastAsia" w:eastAsiaTheme="minorEastAsia"/>
                <w:sz w:val="24"/>
                <w:highlight w:val="none"/>
              </w:rPr>
            </w:pPr>
          </w:p>
        </w:tc>
        <w:tc>
          <w:tcPr>
            <w:tcW w:w="393" w:type="pct"/>
          </w:tcPr>
          <w:p w14:paraId="0DD24FCF">
            <w:pPr>
              <w:rPr>
                <w:rFonts w:asciiTheme="minorEastAsia" w:hAnsiTheme="minorEastAsia" w:eastAsiaTheme="minorEastAsia"/>
                <w:sz w:val="24"/>
                <w:highlight w:val="none"/>
              </w:rPr>
            </w:pPr>
          </w:p>
        </w:tc>
      </w:tr>
      <w:tr w14:paraId="5FA87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07C8EB7A">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11</w:t>
            </w:r>
          </w:p>
        </w:tc>
        <w:tc>
          <w:tcPr>
            <w:tcW w:w="777" w:type="pct"/>
          </w:tcPr>
          <w:p w14:paraId="7CC40CB2">
            <w:pPr>
              <w:rPr>
                <w:rFonts w:asciiTheme="minorEastAsia" w:hAnsiTheme="minorEastAsia" w:eastAsiaTheme="minorEastAsia"/>
                <w:sz w:val="24"/>
                <w:highlight w:val="none"/>
              </w:rPr>
            </w:pPr>
          </w:p>
        </w:tc>
        <w:tc>
          <w:tcPr>
            <w:tcW w:w="773" w:type="pct"/>
          </w:tcPr>
          <w:p w14:paraId="4F542BE5">
            <w:pPr>
              <w:rPr>
                <w:rFonts w:asciiTheme="minorEastAsia" w:hAnsiTheme="minorEastAsia" w:eastAsiaTheme="minorEastAsia"/>
                <w:sz w:val="24"/>
                <w:highlight w:val="none"/>
              </w:rPr>
            </w:pPr>
          </w:p>
        </w:tc>
        <w:tc>
          <w:tcPr>
            <w:tcW w:w="773" w:type="pct"/>
          </w:tcPr>
          <w:p w14:paraId="5D26DCAC">
            <w:pPr>
              <w:rPr>
                <w:rFonts w:asciiTheme="minorEastAsia" w:hAnsiTheme="minorEastAsia" w:eastAsiaTheme="minorEastAsia"/>
                <w:sz w:val="24"/>
                <w:highlight w:val="none"/>
              </w:rPr>
            </w:pPr>
          </w:p>
        </w:tc>
        <w:tc>
          <w:tcPr>
            <w:tcW w:w="394" w:type="pct"/>
          </w:tcPr>
          <w:p w14:paraId="08376C6B">
            <w:pPr>
              <w:rPr>
                <w:rFonts w:asciiTheme="minorEastAsia" w:hAnsiTheme="minorEastAsia" w:eastAsiaTheme="minorEastAsia"/>
                <w:sz w:val="24"/>
                <w:highlight w:val="none"/>
              </w:rPr>
            </w:pPr>
          </w:p>
        </w:tc>
        <w:tc>
          <w:tcPr>
            <w:tcW w:w="394" w:type="pct"/>
          </w:tcPr>
          <w:p w14:paraId="17038E46">
            <w:pPr>
              <w:rPr>
                <w:rFonts w:asciiTheme="minorEastAsia" w:hAnsiTheme="minorEastAsia" w:eastAsiaTheme="minorEastAsia"/>
                <w:sz w:val="24"/>
                <w:highlight w:val="none"/>
              </w:rPr>
            </w:pPr>
          </w:p>
        </w:tc>
        <w:tc>
          <w:tcPr>
            <w:tcW w:w="551" w:type="pct"/>
          </w:tcPr>
          <w:p w14:paraId="6638EC77">
            <w:pPr>
              <w:rPr>
                <w:rFonts w:asciiTheme="minorEastAsia" w:hAnsiTheme="minorEastAsia" w:eastAsiaTheme="minorEastAsia"/>
                <w:sz w:val="24"/>
                <w:highlight w:val="none"/>
              </w:rPr>
            </w:pPr>
          </w:p>
        </w:tc>
        <w:tc>
          <w:tcPr>
            <w:tcW w:w="551" w:type="pct"/>
          </w:tcPr>
          <w:p w14:paraId="458ECB77">
            <w:pPr>
              <w:rPr>
                <w:rFonts w:asciiTheme="minorEastAsia" w:hAnsiTheme="minorEastAsia" w:eastAsiaTheme="minorEastAsia"/>
                <w:sz w:val="24"/>
                <w:highlight w:val="none"/>
              </w:rPr>
            </w:pPr>
          </w:p>
        </w:tc>
        <w:tc>
          <w:tcPr>
            <w:tcW w:w="393" w:type="pct"/>
          </w:tcPr>
          <w:p w14:paraId="7B1D4C86">
            <w:pPr>
              <w:rPr>
                <w:rFonts w:asciiTheme="minorEastAsia" w:hAnsiTheme="minorEastAsia" w:eastAsiaTheme="minorEastAsia"/>
                <w:sz w:val="24"/>
                <w:highlight w:val="none"/>
              </w:rPr>
            </w:pPr>
          </w:p>
        </w:tc>
      </w:tr>
      <w:tr w14:paraId="4A173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195E83D6">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12</w:t>
            </w:r>
          </w:p>
        </w:tc>
        <w:tc>
          <w:tcPr>
            <w:tcW w:w="777" w:type="pct"/>
          </w:tcPr>
          <w:p w14:paraId="6D116423">
            <w:pPr>
              <w:rPr>
                <w:rFonts w:asciiTheme="minorEastAsia" w:hAnsiTheme="minorEastAsia" w:eastAsiaTheme="minorEastAsia"/>
                <w:sz w:val="24"/>
                <w:highlight w:val="none"/>
              </w:rPr>
            </w:pPr>
          </w:p>
        </w:tc>
        <w:tc>
          <w:tcPr>
            <w:tcW w:w="773" w:type="pct"/>
          </w:tcPr>
          <w:p w14:paraId="242C07F0">
            <w:pPr>
              <w:rPr>
                <w:rFonts w:asciiTheme="minorEastAsia" w:hAnsiTheme="minorEastAsia" w:eastAsiaTheme="minorEastAsia"/>
                <w:sz w:val="24"/>
                <w:highlight w:val="none"/>
              </w:rPr>
            </w:pPr>
          </w:p>
        </w:tc>
        <w:tc>
          <w:tcPr>
            <w:tcW w:w="773" w:type="pct"/>
          </w:tcPr>
          <w:p w14:paraId="13DE10BD">
            <w:pPr>
              <w:rPr>
                <w:rFonts w:asciiTheme="minorEastAsia" w:hAnsiTheme="minorEastAsia" w:eastAsiaTheme="minorEastAsia"/>
                <w:sz w:val="24"/>
                <w:highlight w:val="none"/>
              </w:rPr>
            </w:pPr>
          </w:p>
        </w:tc>
        <w:tc>
          <w:tcPr>
            <w:tcW w:w="394" w:type="pct"/>
          </w:tcPr>
          <w:p w14:paraId="422A8D23">
            <w:pPr>
              <w:rPr>
                <w:rFonts w:asciiTheme="minorEastAsia" w:hAnsiTheme="minorEastAsia" w:eastAsiaTheme="minorEastAsia"/>
                <w:sz w:val="24"/>
                <w:highlight w:val="none"/>
              </w:rPr>
            </w:pPr>
          </w:p>
        </w:tc>
        <w:tc>
          <w:tcPr>
            <w:tcW w:w="394" w:type="pct"/>
          </w:tcPr>
          <w:p w14:paraId="66F9A822">
            <w:pPr>
              <w:rPr>
                <w:rFonts w:asciiTheme="minorEastAsia" w:hAnsiTheme="minorEastAsia" w:eastAsiaTheme="minorEastAsia"/>
                <w:sz w:val="24"/>
                <w:highlight w:val="none"/>
              </w:rPr>
            </w:pPr>
          </w:p>
        </w:tc>
        <w:tc>
          <w:tcPr>
            <w:tcW w:w="551" w:type="pct"/>
          </w:tcPr>
          <w:p w14:paraId="1E4D2747">
            <w:pPr>
              <w:rPr>
                <w:rFonts w:asciiTheme="minorEastAsia" w:hAnsiTheme="minorEastAsia" w:eastAsiaTheme="minorEastAsia"/>
                <w:sz w:val="24"/>
                <w:highlight w:val="none"/>
              </w:rPr>
            </w:pPr>
          </w:p>
        </w:tc>
        <w:tc>
          <w:tcPr>
            <w:tcW w:w="551" w:type="pct"/>
          </w:tcPr>
          <w:p w14:paraId="4E99B0D7">
            <w:pPr>
              <w:rPr>
                <w:rFonts w:asciiTheme="minorEastAsia" w:hAnsiTheme="minorEastAsia" w:eastAsiaTheme="minorEastAsia"/>
                <w:sz w:val="24"/>
                <w:highlight w:val="none"/>
              </w:rPr>
            </w:pPr>
          </w:p>
        </w:tc>
        <w:tc>
          <w:tcPr>
            <w:tcW w:w="393" w:type="pct"/>
          </w:tcPr>
          <w:p w14:paraId="6D74ADB1">
            <w:pPr>
              <w:rPr>
                <w:rFonts w:asciiTheme="minorEastAsia" w:hAnsiTheme="minorEastAsia" w:eastAsiaTheme="minorEastAsia"/>
                <w:sz w:val="24"/>
                <w:highlight w:val="none"/>
              </w:rPr>
            </w:pPr>
          </w:p>
        </w:tc>
      </w:tr>
      <w:tr w14:paraId="0FFCC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58A31268">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13</w:t>
            </w:r>
          </w:p>
        </w:tc>
        <w:tc>
          <w:tcPr>
            <w:tcW w:w="777" w:type="pct"/>
          </w:tcPr>
          <w:p w14:paraId="4EB8603C">
            <w:pPr>
              <w:rPr>
                <w:rFonts w:asciiTheme="minorEastAsia" w:hAnsiTheme="minorEastAsia" w:eastAsiaTheme="minorEastAsia"/>
                <w:sz w:val="24"/>
                <w:highlight w:val="none"/>
              </w:rPr>
            </w:pPr>
          </w:p>
        </w:tc>
        <w:tc>
          <w:tcPr>
            <w:tcW w:w="773" w:type="pct"/>
          </w:tcPr>
          <w:p w14:paraId="16C3F007">
            <w:pPr>
              <w:rPr>
                <w:rFonts w:asciiTheme="minorEastAsia" w:hAnsiTheme="minorEastAsia" w:eastAsiaTheme="minorEastAsia"/>
                <w:sz w:val="24"/>
                <w:highlight w:val="none"/>
              </w:rPr>
            </w:pPr>
          </w:p>
        </w:tc>
        <w:tc>
          <w:tcPr>
            <w:tcW w:w="773" w:type="pct"/>
          </w:tcPr>
          <w:p w14:paraId="0885B3E3">
            <w:pPr>
              <w:rPr>
                <w:rFonts w:asciiTheme="minorEastAsia" w:hAnsiTheme="minorEastAsia" w:eastAsiaTheme="minorEastAsia"/>
                <w:sz w:val="24"/>
                <w:highlight w:val="none"/>
              </w:rPr>
            </w:pPr>
          </w:p>
        </w:tc>
        <w:tc>
          <w:tcPr>
            <w:tcW w:w="394" w:type="pct"/>
          </w:tcPr>
          <w:p w14:paraId="138B1264">
            <w:pPr>
              <w:rPr>
                <w:rFonts w:asciiTheme="minorEastAsia" w:hAnsiTheme="minorEastAsia" w:eastAsiaTheme="minorEastAsia"/>
                <w:sz w:val="24"/>
                <w:highlight w:val="none"/>
              </w:rPr>
            </w:pPr>
          </w:p>
        </w:tc>
        <w:tc>
          <w:tcPr>
            <w:tcW w:w="394" w:type="pct"/>
          </w:tcPr>
          <w:p w14:paraId="0251EFC0">
            <w:pPr>
              <w:rPr>
                <w:rFonts w:asciiTheme="minorEastAsia" w:hAnsiTheme="minorEastAsia" w:eastAsiaTheme="minorEastAsia"/>
                <w:sz w:val="24"/>
                <w:highlight w:val="none"/>
              </w:rPr>
            </w:pPr>
          </w:p>
        </w:tc>
        <w:tc>
          <w:tcPr>
            <w:tcW w:w="551" w:type="pct"/>
          </w:tcPr>
          <w:p w14:paraId="2AD038AB">
            <w:pPr>
              <w:rPr>
                <w:rFonts w:asciiTheme="minorEastAsia" w:hAnsiTheme="minorEastAsia" w:eastAsiaTheme="minorEastAsia"/>
                <w:sz w:val="24"/>
                <w:highlight w:val="none"/>
              </w:rPr>
            </w:pPr>
          </w:p>
        </w:tc>
        <w:tc>
          <w:tcPr>
            <w:tcW w:w="551" w:type="pct"/>
          </w:tcPr>
          <w:p w14:paraId="0C6D0A47">
            <w:pPr>
              <w:rPr>
                <w:rFonts w:asciiTheme="minorEastAsia" w:hAnsiTheme="minorEastAsia" w:eastAsiaTheme="minorEastAsia"/>
                <w:sz w:val="24"/>
                <w:highlight w:val="none"/>
              </w:rPr>
            </w:pPr>
          </w:p>
        </w:tc>
        <w:tc>
          <w:tcPr>
            <w:tcW w:w="393" w:type="pct"/>
          </w:tcPr>
          <w:p w14:paraId="6F258FF6">
            <w:pPr>
              <w:rPr>
                <w:rFonts w:asciiTheme="minorEastAsia" w:hAnsiTheme="minorEastAsia" w:eastAsiaTheme="minorEastAsia"/>
                <w:sz w:val="24"/>
                <w:highlight w:val="none"/>
              </w:rPr>
            </w:pPr>
          </w:p>
        </w:tc>
      </w:tr>
      <w:tr w14:paraId="54AA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4" w:hRule="atLeast"/>
          <w:jc w:val="center"/>
        </w:trPr>
        <w:tc>
          <w:tcPr>
            <w:tcW w:w="394" w:type="pct"/>
          </w:tcPr>
          <w:p w14:paraId="3BC8A07B">
            <w:pPr>
              <w:jc w:val="center"/>
              <w:rPr>
                <w:rFonts w:asciiTheme="minorEastAsia" w:hAnsiTheme="minorEastAsia" w:eastAsiaTheme="minorEastAsia"/>
                <w:sz w:val="24"/>
                <w:highlight w:val="none"/>
              </w:rPr>
            </w:pPr>
          </w:p>
        </w:tc>
        <w:tc>
          <w:tcPr>
            <w:tcW w:w="777" w:type="pct"/>
            <w:vAlign w:val="center"/>
          </w:tcPr>
          <w:p w14:paraId="42DECD66">
            <w:pPr>
              <w:pStyle w:val="42"/>
              <w:rPr>
                <w:rFonts w:asciiTheme="minorEastAsia" w:hAnsiTheme="minorEastAsia" w:eastAsiaTheme="minorEastAsia"/>
                <w:highlight w:val="none"/>
              </w:rPr>
            </w:pPr>
            <w:r>
              <w:rPr>
                <w:rFonts w:hint="eastAsia" w:asciiTheme="minorEastAsia" w:hAnsiTheme="minorEastAsia" w:eastAsiaTheme="minorEastAsia"/>
                <w:highlight w:val="none"/>
              </w:rPr>
              <w:t>其他费用</w:t>
            </w:r>
          </w:p>
        </w:tc>
        <w:tc>
          <w:tcPr>
            <w:tcW w:w="773" w:type="pct"/>
          </w:tcPr>
          <w:p w14:paraId="6A2F7D95">
            <w:pPr>
              <w:rPr>
                <w:rFonts w:asciiTheme="minorEastAsia" w:hAnsiTheme="minorEastAsia" w:eastAsiaTheme="minorEastAsia"/>
                <w:sz w:val="24"/>
                <w:highlight w:val="none"/>
              </w:rPr>
            </w:pPr>
          </w:p>
        </w:tc>
        <w:tc>
          <w:tcPr>
            <w:tcW w:w="773" w:type="pct"/>
          </w:tcPr>
          <w:p w14:paraId="088AAA95">
            <w:pPr>
              <w:rPr>
                <w:rFonts w:asciiTheme="minorEastAsia" w:hAnsiTheme="minorEastAsia" w:eastAsiaTheme="minorEastAsia"/>
                <w:sz w:val="24"/>
                <w:highlight w:val="none"/>
              </w:rPr>
            </w:pPr>
          </w:p>
        </w:tc>
        <w:tc>
          <w:tcPr>
            <w:tcW w:w="394" w:type="pct"/>
          </w:tcPr>
          <w:p w14:paraId="565886E3">
            <w:pPr>
              <w:rPr>
                <w:rFonts w:asciiTheme="minorEastAsia" w:hAnsiTheme="minorEastAsia" w:eastAsiaTheme="minorEastAsia"/>
                <w:sz w:val="24"/>
                <w:highlight w:val="none"/>
              </w:rPr>
            </w:pPr>
          </w:p>
        </w:tc>
        <w:tc>
          <w:tcPr>
            <w:tcW w:w="394" w:type="pct"/>
          </w:tcPr>
          <w:p w14:paraId="1FCD2237">
            <w:pPr>
              <w:rPr>
                <w:rFonts w:asciiTheme="minorEastAsia" w:hAnsiTheme="minorEastAsia" w:eastAsiaTheme="minorEastAsia"/>
                <w:sz w:val="24"/>
                <w:highlight w:val="none"/>
              </w:rPr>
            </w:pPr>
          </w:p>
        </w:tc>
        <w:tc>
          <w:tcPr>
            <w:tcW w:w="551" w:type="pct"/>
          </w:tcPr>
          <w:p w14:paraId="6BE1C214">
            <w:pPr>
              <w:rPr>
                <w:rFonts w:asciiTheme="minorEastAsia" w:hAnsiTheme="minorEastAsia" w:eastAsiaTheme="minorEastAsia"/>
                <w:sz w:val="24"/>
                <w:highlight w:val="none"/>
              </w:rPr>
            </w:pPr>
          </w:p>
        </w:tc>
        <w:tc>
          <w:tcPr>
            <w:tcW w:w="551" w:type="pct"/>
          </w:tcPr>
          <w:p w14:paraId="55BA5A39">
            <w:pPr>
              <w:rPr>
                <w:rFonts w:asciiTheme="minorEastAsia" w:hAnsiTheme="minorEastAsia" w:eastAsiaTheme="minorEastAsia"/>
                <w:sz w:val="24"/>
                <w:highlight w:val="none"/>
              </w:rPr>
            </w:pPr>
          </w:p>
        </w:tc>
        <w:tc>
          <w:tcPr>
            <w:tcW w:w="393" w:type="pct"/>
          </w:tcPr>
          <w:p w14:paraId="3F92F7CE">
            <w:pPr>
              <w:rPr>
                <w:rFonts w:asciiTheme="minorEastAsia" w:hAnsiTheme="minorEastAsia" w:eastAsiaTheme="minorEastAsia"/>
                <w:sz w:val="24"/>
                <w:highlight w:val="none"/>
              </w:rPr>
            </w:pPr>
          </w:p>
        </w:tc>
      </w:tr>
      <w:tr w14:paraId="23031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5B85CB20">
            <w:pPr>
              <w:jc w:val="center"/>
              <w:rPr>
                <w:rFonts w:asciiTheme="minorEastAsia" w:hAnsiTheme="minorEastAsia" w:eastAsiaTheme="minorEastAsia"/>
                <w:sz w:val="24"/>
                <w:highlight w:val="none"/>
              </w:rPr>
            </w:pPr>
          </w:p>
        </w:tc>
        <w:tc>
          <w:tcPr>
            <w:tcW w:w="777" w:type="pct"/>
          </w:tcPr>
          <w:p w14:paraId="0405E70F">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p>
        </w:tc>
        <w:tc>
          <w:tcPr>
            <w:tcW w:w="773" w:type="pct"/>
          </w:tcPr>
          <w:p w14:paraId="548761BA">
            <w:pPr>
              <w:rPr>
                <w:rFonts w:asciiTheme="minorEastAsia" w:hAnsiTheme="minorEastAsia" w:eastAsiaTheme="minorEastAsia"/>
                <w:sz w:val="24"/>
                <w:highlight w:val="none"/>
              </w:rPr>
            </w:pPr>
          </w:p>
        </w:tc>
        <w:tc>
          <w:tcPr>
            <w:tcW w:w="773" w:type="pct"/>
          </w:tcPr>
          <w:p w14:paraId="1279EA01">
            <w:pPr>
              <w:rPr>
                <w:rFonts w:asciiTheme="minorEastAsia" w:hAnsiTheme="minorEastAsia" w:eastAsiaTheme="minorEastAsia"/>
                <w:sz w:val="24"/>
                <w:highlight w:val="none"/>
              </w:rPr>
            </w:pPr>
          </w:p>
        </w:tc>
        <w:tc>
          <w:tcPr>
            <w:tcW w:w="394" w:type="pct"/>
          </w:tcPr>
          <w:p w14:paraId="241FEA10">
            <w:pPr>
              <w:rPr>
                <w:rFonts w:asciiTheme="minorEastAsia" w:hAnsiTheme="minorEastAsia" w:eastAsiaTheme="minorEastAsia"/>
                <w:sz w:val="24"/>
                <w:highlight w:val="none"/>
              </w:rPr>
            </w:pPr>
          </w:p>
        </w:tc>
        <w:tc>
          <w:tcPr>
            <w:tcW w:w="394" w:type="pct"/>
          </w:tcPr>
          <w:p w14:paraId="7ED9E540">
            <w:pPr>
              <w:rPr>
                <w:rFonts w:asciiTheme="minorEastAsia" w:hAnsiTheme="minorEastAsia" w:eastAsiaTheme="minorEastAsia"/>
                <w:sz w:val="24"/>
                <w:highlight w:val="none"/>
              </w:rPr>
            </w:pPr>
          </w:p>
        </w:tc>
        <w:tc>
          <w:tcPr>
            <w:tcW w:w="551" w:type="pct"/>
          </w:tcPr>
          <w:p w14:paraId="605FF17E">
            <w:pPr>
              <w:rPr>
                <w:rFonts w:asciiTheme="minorEastAsia" w:hAnsiTheme="minorEastAsia" w:eastAsiaTheme="minorEastAsia"/>
                <w:sz w:val="24"/>
                <w:highlight w:val="none"/>
              </w:rPr>
            </w:pPr>
          </w:p>
        </w:tc>
        <w:tc>
          <w:tcPr>
            <w:tcW w:w="551" w:type="pct"/>
          </w:tcPr>
          <w:p w14:paraId="52442593">
            <w:pPr>
              <w:rPr>
                <w:rFonts w:asciiTheme="minorEastAsia" w:hAnsiTheme="minorEastAsia" w:eastAsiaTheme="minorEastAsia"/>
                <w:sz w:val="24"/>
                <w:highlight w:val="none"/>
              </w:rPr>
            </w:pPr>
          </w:p>
        </w:tc>
        <w:tc>
          <w:tcPr>
            <w:tcW w:w="393" w:type="pct"/>
          </w:tcPr>
          <w:p w14:paraId="45BB14F1">
            <w:pPr>
              <w:rPr>
                <w:rFonts w:asciiTheme="minorEastAsia" w:hAnsiTheme="minorEastAsia" w:eastAsiaTheme="minorEastAsia"/>
                <w:sz w:val="24"/>
                <w:highlight w:val="none"/>
              </w:rPr>
            </w:pPr>
          </w:p>
        </w:tc>
      </w:tr>
      <w:tr w14:paraId="72E3D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2D7B571E">
            <w:pPr>
              <w:jc w:val="center"/>
              <w:rPr>
                <w:rFonts w:asciiTheme="minorEastAsia" w:hAnsiTheme="minorEastAsia" w:eastAsiaTheme="minorEastAsia"/>
                <w:sz w:val="24"/>
                <w:highlight w:val="none"/>
              </w:rPr>
            </w:pPr>
          </w:p>
        </w:tc>
        <w:tc>
          <w:tcPr>
            <w:tcW w:w="777" w:type="pct"/>
          </w:tcPr>
          <w:p w14:paraId="163FAC1A">
            <w:pPr>
              <w:pStyle w:val="42"/>
              <w:rPr>
                <w:rFonts w:asciiTheme="minorEastAsia" w:hAnsiTheme="minorEastAsia" w:eastAsiaTheme="minorEastAsia"/>
                <w:highlight w:val="none"/>
              </w:rPr>
            </w:pPr>
            <w:r>
              <w:rPr>
                <w:rFonts w:hint="eastAsia" w:asciiTheme="minorEastAsia" w:hAnsiTheme="minorEastAsia" w:eastAsiaTheme="minorEastAsia"/>
                <w:highlight w:val="none"/>
              </w:rPr>
              <w:t>…</w:t>
            </w:r>
          </w:p>
        </w:tc>
        <w:tc>
          <w:tcPr>
            <w:tcW w:w="773" w:type="pct"/>
          </w:tcPr>
          <w:p w14:paraId="3B814490">
            <w:pPr>
              <w:rPr>
                <w:rFonts w:asciiTheme="minorEastAsia" w:hAnsiTheme="minorEastAsia" w:eastAsiaTheme="minorEastAsia"/>
                <w:sz w:val="24"/>
                <w:highlight w:val="none"/>
              </w:rPr>
            </w:pPr>
          </w:p>
        </w:tc>
        <w:tc>
          <w:tcPr>
            <w:tcW w:w="773" w:type="pct"/>
          </w:tcPr>
          <w:p w14:paraId="26968809">
            <w:pPr>
              <w:rPr>
                <w:rFonts w:asciiTheme="minorEastAsia" w:hAnsiTheme="minorEastAsia" w:eastAsiaTheme="minorEastAsia"/>
                <w:sz w:val="24"/>
                <w:highlight w:val="none"/>
              </w:rPr>
            </w:pPr>
          </w:p>
        </w:tc>
        <w:tc>
          <w:tcPr>
            <w:tcW w:w="394" w:type="pct"/>
          </w:tcPr>
          <w:p w14:paraId="2BF2C343">
            <w:pPr>
              <w:rPr>
                <w:rFonts w:asciiTheme="minorEastAsia" w:hAnsiTheme="minorEastAsia" w:eastAsiaTheme="minorEastAsia"/>
                <w:sz w:val="24"/>
                <w:highlight w:val="none"/>
              </w:rPr>
            </w:pPr>
          </w:p>
        </w:tc>
        <w:tc>
          <w:tcPr>
            <w:tcW w:w="394" w:type="pct"/>
          </w:tcPr>
          <w:p w14:paraId="5CA39ACF">
            <w:pPr>
              <w:rPr>
                <w:rFonts w:asciiTheme="minorEastAsia" w:hAnsiTheme="minorEastAsia" w:eastAsiaTheme="minorEastAsia"/>
                <w:sz w:val="24"/>
                <w:highlight w:val="none"/>
              </w:rPr>
            </w:pPr>
          </w:p>
        </w:tc>
        <w:tc>
          <w:tcPr>
            <w:tcW w:w="551" w:type="pct"/>
          </w:tcPr>
          <w:p w14:paraId="1EEBF44B">
            <w:pPr>
              <w:rPr>
                <w:rFonts w:asciiTheme="minorEastAsia" w:hAnsiTheme="minorEastAsia" w:eastAsiaTheme="minorEastAsia"/>
                <w:sz w:val="24"/>
                <w:highlight w:val="none"/>
              </w:rPr>
            </w:pPr>
          </w:p>
        </w:tc>
        <w:tc>
          <w:tcPr>
            <w:tcW w:w="551" w:type="pct"/>
          </w:tcPr>
          <w:p w14:paraId="1FA07104">
            <w:pPr>
              <w:rPr>
                <w:rFonts w:asciiTheme="minorEastAsia" w:hAnsiTheme="minorEastAsia" w:eastAsiaTheme="minorEastAsia"/>
                <w:sz w:val="24"/>
                <w:highlight w:val="none"/>
              </w:rPr>
            </w:pPr>
          </w:p>
        </w:tc>
        <w:tc>
          <w:tcPr>
            <w:tcW w:w="393" w:type="pct"/>
          </w:tcPr>
          <w:p w14:paraId="1A0D048C">
            <w:pPr>
              <w:rPr>
                <w:rFonts w:asciiTheme="minorEastAsia" w:hAnsiTheme="minorEastAsia" w:eastAsiaTheme="minorEastAsia"/>
                <w:sz w:val="24"/>
                <w:highlight w:val="none"/>
              </w:rPr>
            </w:pPr>
          </w:p>
        </w:tc>
      </w:tr>
      <w:tr w14:paraId="70235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4D8CA019">
            <w:pPr>
              <w:jc w:val="center"/>
              <w:rPr>
                <w:rFonts w:asciiTheme="minorEastAsia" w:hAnsiTheme="minorEastAsia" w:eastAsiaTheme="minorEastAsia"/>
                <w:sz w:val="24"/>
                <w:highlight w:val="none"/>
              </w:rPr>
            </w:pPr>
          </w:p>
        </w:tc>
        <w:tc>
          <w:tcPr>
            <w:tcW w:w="777" w:type="pct"/>
          </w:tcPr>
          <w:p w14:paraId="2E539E92">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p>
        </w:tc>
        <w:tc>
          <w:tcPr>
            <w:tcW w:w="773" w:type="pct"/>
          </w:tcPr>
          <w:p w14:paraId="20992805">
            <w:pPr>
              <w:rPr>
                <w:rFonts w:asciiTheme="minorEastAsia" w:hAnsiTheme="minorEastAsia" w:eastAsiaTheme="minorEastAsia"/>
                <w:sz w:val="24"/>
                <w:highlight w:val="none"/>
              </w:rPr>
            </w:pPr>
          </w:p>
        </w:tc>
        <w:tc>
          <w:tcPr>
            <w:tcW w:w="773" w:type="pct"/>
          </w:tcPr>
          <w:p w14:paraId="60171944">
            <w:pPr>
              <w:rPr>
                <w:rFonts w:asciiTheme="minorEastAsia" w:hAnsiTheme="minorEastAsia" w:eastAsiaTheme="minorEastAsia"/>
                <w:sz w:val="24"/>
                <w:highlight w:val="none"/>
              </w:rPr>
            </w:pPr>
          </w:p>
        </w:tc>
        <w:tc>
          <w:tcPr>
            <w:tcW w:w="394" w:type="pct"/>
          </w:tcPr>
          <w:p w14:paraId="4F05ABA0">
            <w:pPr>
              <w:rPr>
                <w:rFonts w:asciiTheme="minorEastAsia" w:hAnsiTheme="minorEastAsia" w:eastAsiaTheme="minorEastAsia"/>
                <w:sz w:val="24"/>
                <w:highlight w:val="none"/>
              </w:rPr>
            </w:pPr>
          </w:p>
        </w:tc>
        <w:tc>
          <w:tcPr>
            <w:tcW w:w="394" w:type="pct"/>
          </w:tcPr>
          <w:p w14:paraId="2E875633">
            <w:pPr>
              <w:rPr>
                <w:rFonts w:asciiTheme="minorEastAsia" w:hAnsiTheme="minorEastAsia" w:eastAsiaTheme="minorEastAsia"/>
                <w:sz w:val="24"/>
                <w:highlight w:val="none"/>
              </w:rPr>
            </w:pPr>
          </w:p>
        </w:tc>
        <w:tc>
          <w:tcPr>
            <w:tcW w:w="551" w:type="pct"/>
          </w:tcPr>
          <w:p w14:paraId="32923376">
            <w:pPr>
              <w:rPr>
                <w:rFonts w:asciiTheme="minorEastAsia" w:hAnsiTheme="minorEastAsia" w:eastAsiaTheme="minorEastAsia"/>
                <w:sz w:val="24"/>
                <w:highlight w:val="none"/>
              </w:rPr>
            </w:pPr>
          </w:p>
        </w:tc>
        <w:tc>
          <w:tcPr>
            <w:tcW w:w="551" w:type="pct"/>
          </w:tcPr>
          <w:p w14:paraId="68FE1B74">
            <w:pPr>
              <w:rPr>
                <w:rFonts w:asciiTheme="minorEastAsia" w:hAnsiTheme="minorEastAsia" w:eastAsiaTheme="minorEastAsia"/>
                <w:sz w:val="24"/>
                <w:highlight w:val="none"/>
              </w:rPr>
            </w:pPr>
          </w:p>
        </w:tc>
        <w:tc>
          <w:tcPr>
            <w:tcW w:w="393" w:type="pct"/>
          </w:tcPr>
          <w:p w14:paraId="34420CED">
            <w:pPr>
              <w:rPr>
                <w:rFonts w:asciiTheme="minorEastAsia" w:hAnsiTheme="minorEastAsia" w:eastAsiaTheme="minorEastAsia"/>
                <w:sz w:val="24"/>
                <w:highlight w:val="none"/>
              </w:rPr>
            </w:pPr>
          </w:p>
        </w:tc>
      </w:tr>
      <w:tr w14:paraId="54959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171" w:type="pct"/>
            <w:gridSpan w:val="2"/>
            <w:vAlign w:val="center"/>
          </w:tcPr>
          <w:p w14:paraId="5E726B10">
            <w:pPr>
              <w:pStyle w:val="42"/>
              <w:jc w:val="center"/>
              <w:rPr>
                <w:rFonts w:asciiTheme="minorEastAsia" w:hAnsiTheme="minorEastAsia" w:eastAsiaTheme="minorEastAsia"/>
                <w:highlight w:val="none"/>
              </w:rPr>
            </w:pPr>
            <w:r>
              <w:rPr>
                <w:rFonts w:hint="eastAsia" w:asciiTheme="minorEastAsia" w:hAnsiTheme="minorEastAsia" w:eastAsiaTheme="minorEastAsia"/>
                <w:highlight w:val="none"/>
              </w:rPr>
              <w:t>合计（元）</w:t>
            </w:r>
          </w:p>
        </w:tc>
        <w:tc>
          <w:tcPr>
            <w:tcW w:w="773" w:type="pct"/>
          </w:tcPr>
          <w:p w14:paraId="1436F0DD">
            <w:pPr>
              <w:rPr>
                <w:rFonts w:asciiTheme="minorEastAsia" w:hAnsiTheme="minorEastAsia" w:eastAsiaTheme="minorEastAsia"/>
                <w:sz w:val="24"/>
                <w:highlight w:val="none"/>
              </w:rPr>
            </w:pPr>
          </w:p>
        </w:tc>
        <w:tc>
          <w:tcPr>
            <w:tcW w:w="773" w:type="pct"/>
          </w:tcPr>
          <w:p w14:paraId="0B3943D1">
            <w:pPr>
              <w:rPr>
                <w:rFonts w:asciiTheme="minorEastAsia" w:hAnsiTheme="minorEastAsia" w:eastAsiaTheme="minorEastAsia"/>
                <w:sz w:val="24"/>
                <w:highlight w:val="none"/>
              </w:rPr>
            </w:pPr>
          </w:p>
        </w:tc>
        <w:tc>
          <w:tcPr>
            <w:tcW w:w="394" w:type="pct"/>
          </w:tcPr>
          <w:p w14:paraId="1E0CDDFE">
            <w:pPr>
              <w:rPr>
                <w:rFonts w:asciiTheme="minorEastAsia" w:hAnsiTheme="minorEastAsia" w:eastAsiaTheme="minorEastAsia"/>
                <w:sz w:val="24"/>
                <w:highlight w:val="none"/>
              </w:rPr>
            </w:pPr>
          </w:p>
        </w:tc>
        <w:tc>
          <w:tcPr>
            <w:tcW w:w="394" w:type="pct"/>
          </w:tcPr>
          <w:p w14:paraId="1117B30B">
            <w:pPr>
              <w:rPr>
                <w:rFonts w:asciiTheme="minorEastAsia" w:hAnsiTheme="minorEastAsia" w:eastAsiaTheme="minorEastAsia"/>
                <w:sz w:val="24"/>
                <w:highlight w:val="none"/>
              </w:rPr>
            </w:pPr>
          </w:p>
        </w:tc>
        <w:tc>
          <w:tcPr>
            <w:tcW w:w="551" w:type="pct"/>
          </w:tcPr>
          <w:p w14:paraId="5C71059C">
            <w:pPr>
              <w:rPr>
                <w:rFonts w:asciiTheme="minorEastAsia" w:hAnsiTheme="minorEastAsia" w:eastAsiaTheme="minorEastAsia"/>
                <w:sz w:val="24"/>
                <w:highlight w:val="none"/>
              </w:rPr>
            </w:pPr>
          </w:p>
        </w:tc>
        <w:tc>
          <w:tcPr>
            <w:tcW w:w="551" w:type="pct"/>
          </w:tcPr>
          <w:p w14:paraId="7C27F6CF">
            <w:pPr>
              <w:rPr>
                <w:rFonts w:asciiTheme="minorEastAsia" w:hAnsiTheme="minorEastAsia" w:eastAsiaTheme="minorEastAsia"/>
                <w:sz w:val="24"/>
                <w:highlight w:val="none"/>
              </w:rPr>
            </w:pPr>
          </w:p>
        </w:tc>
        <w:tc>
          <w:tcPr>
            <w:tcW w:w="393" w:type="pct"/>
          </w:tcPr>
          <w:p w14:paraId="573D5F23">
            <w:pPr>
              <w:rPr>
                <w:rFonts w:asciiTheme="minorEastAsia" w:hAnsiTheme="minorEastAsia" w:eastAsiaTheme="minorEastAsia"/>
                <w:sz w:val="24"/>
                <w:highlight w:val="none"/>
              </w:rPr>
            </w:pPr>
          </w:p>
        </w:tc>
      </w:tr>
    </w:tbl>
    <w:p w14:paraId="0D4993A5">
      <w:pPr>
        <w:spacing w:line="360" w:lineRule="auto"/>
        <w:ind w:firstLine="4800" w:firstLineChars="2000"/>
        <w:rPr>
          <w:rFonts w:ascii="宋体" w:hAnsi="宋体" w:eastAsia="宋体"/>
          <w:sz w:val="24"/>
          <w:highlight w:val="none"/>
          <w:u w:val="single"/>
        </w:rPr>
      </w:pPr>
      <w:r>
        <w:rPr>
          <w:rFonts w:hint="eastAsia" w:ascii="宋体" w:hAnsi="宋体" w:eastAsia="宋体"/>
          <w:sz w:val="24"/>
          <w:highlight w:val="none"/>
        </w:rPr>
        <w:t>投标人电子签章：</w:t>
      </w:r>
    </w:p>
    <w:p w14:paraId="30AE6192">
      <w:pPr>
        <w:spacing w:line="360" w:lineRule="auto"/>
        <w:ind w:firstLine="4800" w:firstLineChars="2000"/>
        <w:rPr>
          <w:rFonts w:ascii="宋体" w:hAnsi="宋体" w:eastAsia="宋体"/>
          <w:sz w:val="24"/>
          <w:highlight w:val="none"/>
          <w:u w:val="single"/>
        </w:rPr>
      </w:pPr>
      <w:r>
        <w:rPr>
          <w:rFonts w:hint="eastAsia" w:ascii="宋体" w:hAnsi="宋体" w:eastAsia="宋体"/>
          <w:sz w:val="24"/>
          <w:highlight w:val="none"/>
        </w:rPr>
        <w:t>日          期：</w:t>
      </w:r>
    </w:p>
    <w:p w14:paraId="5F122947">
      <w:pPr>
        <w:adjustRightInd w:val="0"/>
        <w:snapToGrid w:val="0"/>
        <w:spacing w:line="360" w:lineRule="auto"/>
        <w:rPr>
          <w:rFonts w:asciiTheme="minorEastAsia" w:hAnsiTheme="minorEastAsia" w:eastAsiaTheme="minorEastAsia"/>
          <w:b/>
          <w:bCs/>
          <w:sz w:val="24"/>
          <w:szCs w:val="28"/>
          <w:highlight w:val="none"/>
        </w:rPr>
      </w:pPr>
    </w:p>
    <w:p w14:paraId="5372FBC8">
      <w:pPr>
        <w:adjustRightInd w:val="0"/>
        <w:snapToGrid w:val="0"/>
        <w:spacing w:line="360" w:lineRule="auto"/>
        <w:rPr>
          <w:rFonts w:asciiTheme="minorEastAsia" w:hAnsiTheme="minorEastAsia" w:eastAsiaTheme="minorEastAsia"/>
          <w:b/>
          <w:bCs/>
          <w:sz w:val="24"/>
          <w:szCs w:val="28"/>
          <w:highlight w:val="none"/>
        </w:rPr>
      </w:pPr>
      <w:r>
        <w:rPr>
          <w:rFonts w:hint="eastAsia" w:asciiTheme="minorEastAsia" w:hAnsiTheme="minorEastAsia" w:eastAsiaTheme="minorEastAsia"/>
          <w:b/>
          <w:bCs/>
          <w:sz w:val="24"/>
          <w:szCs w:val="28"/>
          <w:highlight w:val="none"/>
        </w:rPr>
        <w:t>注：</w:t>
      </w:r>
    </w:p>
    <w:p w14:paraId="38A78FB9">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表中所列货物为对应本项目需求的全部货物及所需附件购置费、包装费、运输费、人工费、保险费、安装调试费、各种税费、资料费、售后服务费及完成项目应有的全部费用。如有漏项或缺项，投标人承担全部责任。</w:t>
      </w:r>
    </w:p>
    <w:p w14:paraId="5BC200FB">
      <w:pPr>
        <w:spacing w:line="360" w:lineRule="auto"/>
        <w:ind w:firstLine="435"/>
        <w:rPr>
          <w:highlight w:val="none"/>
        </w:rPr>
      </w:pPr>
      <w:r>
        <w:rPr>
          <w:rFonts w:hint="eastAsia" w:asciiTheme="minorEastAsia" w:hAnsiTheme="minorEastAsia" w:eastAsiaTheme="minorEastAsia"/>
          <w:sz w:val="24"/>
          <w:highlight w:val="none"/>
        </w:rPr>
        <w:t>2.表中须明确列出所投产品的货物名称、品牌、型号规格、原产地及生产厂商，否则可能导致</w:t>
      </w:r>
      <w:r>
        <w:rPr>
          <w:rFonts w:hint="eastAsia" w:asciiTheme="minorEastAsia" w:hAnsiTheme="minorEastAsia" w:eastAsiaTheme="minorEastAsia"/>
          <w:b/>
          <w:bCs/>
          <w:sz w:val="24"/>
          <w:highlight w:val="none"/>
        </w:rPr>
        <w:t>投标无效</w:t>
      </w:r>
      <w:r>
        <w:rPr>
          <w:rFonts w:hint="eastAsia" w:asciiTheme="minorEastAsia" w:hAnsiTheme="minorEastAsia" w:eastAsiaTheme="minorEastAsia"/>
          <w:sz w:val="24"/>
          <w:highlight w:val="none"/>
        </w:rPr>
        <w:t>。</w:t>
      </w:r>
    </w:p>
    <w:p w14:paraId="5E476704">
      <w:pPr>
        <w:widowControl/>
        <w:jc w:val="left"/>
        <w:rPr>
          <w:rFonts w:asciiTheme="minorEastAsia" w:hAnsiTheme="minorEastAsia" w:eastAsiaTheme="minorEastAsia"/>
          <w:sz w:val="24"/>
          <w:highlight w:val="none"/>
        </w:rPr>
      </w:pPr>
      <w:r>
        <w:rPr>
          <w:rFonts w:asciiTheme="minorEastAsia" w:hAnsiTheme="minorEastAsia" w:eastAsiaTheme="minorEastAsia"/>
          <w:sz w:val="24"/>
          <w:highlight w:val="none"/>
        </w:rPr>
        <w:br w:type="page"/>
      </w:r>
    </w:p>
    <w:p w14:paraId="1E4CFC45">
      <w:pPr>
        <w:spacing w:line="360" w:lineRule="auto"/>
        <w:jc w:val="center"/>
        <w:outlineLvl w:val="1"/>
        <w:rPr>
          <w:rFonts w:asciiTheme="minorEastAsia" w:hAnsiTheme="minorEastAsia" w:eastAsiaTheme="minorEastAsia"/>
          <w:b/>
          <w:sz w:val="24"/>
          <w:highlight w:val="none"/>
        </w:rPr>
      </w:pPr>
      <w:bookmarkStart w:id="126" w:name="_Toc15539"/>
      <w:bookmarkStart w:id="127" w:name="_Toc20329"/>
      <w:bookmarkStart w:id="128" w:name="_Toc11940"/>
      <w:r>
        <w:rPr>
          <w:rFonts w:hint="eastAsia" w:asciiTheme="minorEastAsia" w:hAnsiTheme="minorEastAsia" w:eastAsiaTheme="minorEastAsia"/>
          <w:b/>
          <w:sz w:val="24"/>
          <w:highlight w:val="none"/>
        </w:rPr>
        <w:t>六、投标响应表</w:t>
      </w:r>
      <w:bookmarkEnd w:id="126"/>
      <w:bookmarkEnd w:id="127"/>
      <w:bookmarkEnd w:id="128"/>
    </w:p>
    <w:p w14:paraId="0B512D06">
      <w:pPr>
        <w:spacing w:line="360" w:lineRule="auto"/>
        <w:ind w:firstLine="435"/>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6</w:t>
      </w:r>
      <w:r>
        <w:rPr>
          <w:rFonts w:asciiTheme="minorEastAsia" w:hAnsiTheme="minorEastAsia" w:eastAsiaTheme="minorEastAsia"/>
          <w:b/>
          <w:sz w:val="24"/>
          <w:highlight w:val="none"/>
        </w:rPr>
        <w:t>.1</w:t>
      </w:r>
      <w:r>
        <w:rPr>
          <w:rFonts w:hint="eastAsia" w:asciiTheme="minorEastAsia" w:hAnsiTheme="minorEastAsia" w:eastAsiaTheme="minorEastAsia"/>
          <w:b/>
          <w:sz w:val="24"/>
          <w:highlight w:val="none"/>
        </w:rPr>
        <w:t>商务响应表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916"/>
        <w:gridCol w:w="2498"/>
        <w:gridCol w:w="2575"/>
        <w:gridCol w:w="810"/>
      </w:tblGrid>
      <w:tr w14:paraId="79D8E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02759035">
            <w:pPr>
              <w:pStyle w:val="13"/>
              <w:jc w:val="center"/>
              <w:rPr>
                <w:rFonts w:cs="Wingdings" w:asciiTheme="minorEastAsia" w:hAnsiTheme="minorEastAsia"/>
                <w:b/>
                <w:sz w:val="24"/>
                <w:highlight w:val="none"/>
              </w:rPr>
            </w:pPr>
            <w:r>
              <w:rPr>
                <w:rFonts w:hint="eastAsia" w:cs="Wingdings" w:asciiTheme="minorEastAsia" w:hAnsiTheme="minorEastAsia"/>
                <w:b/>
                <w:sz w:val="24"/>
                <w:highlight w:val="none"/>
              </w:rPr>
              <w:t>序号</w:t>
            </w:r>
          </w:p>
        </w:tc>
        <w:tc>
          <w:tcPr>
            <w:tcW w:w="1124" w:type="pct"/>
            <w:vAlign w:val="center"/>
          </w:tcPr>
          <w:p w14:paraId="2D2A7D94">
            <w:pPr>
              <w:pStyle w:val="13"/>
              <w:jc w:val="center"/>
              <w:rPr>
                <w:rFonts w:cs="Wingdings" w:asciiTheme="minorEastAsia" w:hAnsiTheme="minorEastAsia"/>
                <w:b/>
                <w:sz w:val="24"/>
                <w:highlight w:val="none"/>
              </w:rPr>
            </w:pPr>
            <w:r>
              <w:rPr>
                <w:rFonts w:hint="eastAsia" w:asciiTheme="minorEastAsia" w:hAnsiTheme="minorEastAsia"/>
                <w:b/>
                <w:bCs/>
                <w:sz w:val="24"/>
                <w:szCs w:val="24"/>
                <w:highlight w:val="none"/>
              </w:rPr>
              <w:t>商务条款</w:t>
            </w:r>
          </w:p>
        </w:tc>
        <w:tc>
          <w:tcPr>
            <w:tcW w:w="1465" w:type="pct"/>
            <w:vAlign w:val="center"/>
          </w:tcPr>
          <w:p w14:paraId="25846F7A">
            <w:pPr>
              <w:pStyle w:val="13"/>
              <w:jc w:val="center"/>
              <w:rPr>
                <w:rFonts w:cs="Wingdings" w:asciiTheme="minorEastAsia" w:hAnsiTheme="minorEastAsia"/>
                <w:b/>
                <w:sz w:val="24"/>
                <w:highlight w:val="none"/>
              </w:rPr>
            </w:pPr>
            <w:r>
              <w:rPr>
                <w:rFonts w:hint="eastAsia" w:cs="Wingdings" w:asciiTheme="minorEastAsia" w:hAnsiTheme="minorEastAsia"/>
                <w:b/>
                <w:sz w:val="24"/>
                <w:highlight w:val="none"/>
              </w:rPr>
              <w:t>招标文件要求</w:t>
            </w:r>
          </w:p>
        </w:tc>
        <w:tc>
          <w:tcPr>
            <w:tcW w:w="1510" w:type="pct"/>
            <w:vAlign w:val="center"/>
          </w:tcPr>
          <w:p w14:paraId="181DCCE0">
            <w:pPr>
              <w:pStyle w:val="13"/>
              <w:jc w:val="center"/>
              <w:rPr>
                <w:rFonts w:cs="Wingdings" w:asciiTheme="minorEastAsia" w:hAnsiTheme="minorEastAsia"/>
                <w:b/>
                <w:sz w:val="24"/>
                <w:highlight w:val="none"/>
              </w:rPr>
            </w:pPr>
            <w:r>
              <w:rPr>
                <w:rFonts w:hint="eastAsia" w:cs="Wingdings" w:asciiTheme="minorEastAsia" w:hAnsiTheme="minorEastAsia"/>
                <w:b/>
                <w:sz w:val="24"/>
                <w:highlight w:val="none"/>
              </w:rPr>
              <w:t>投标人承诺</w:t>
            </w:r>
          </w:p>
        </w:tc>
        <w:tc>
          <w:tcPr>
            <w:tcW w:w="475" w:type="pct"/>
            <w:vAlign w:val="center"/>
          </w:tcPr>
          <w:p w14:paraId="0E3ED5F7">
            <w:pPr>
              <w:pStyle w:val="13"/>
              <w:jc w:val="center"/>
              <w:rPr>
                <w:rFonts w:cs="Wingdings" w:asciiTheme="minorEastAsia" w:hAnsiTheme="minorEastAsia"/>
                <w:b/>
                <w:sz w:val="24"/>
                <w:highlight w:val="none"/>
              </w:rPr>
            </w:pPr>
            <w:r>
              <w:rPr>
                <w:rFonts w:hint="eastAsia" w:cs="Wingdings" w:asciiTheme="minorEastAsia" w:hAnsiTheme="minorEastAsia"/>
                <w:b/>
                <w:sz w:val="24"/>
                <w:highlight w:val="none"/>
              </w:rPr>
              <w:t>偏离说明</w:t>
            </w:r>
          </w:p>
        </w:tc>
      </w:tr>
      <w:tr w14:paraId="23894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10075B2C">
            <w:pPr>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1</w:t>
            </w:r>
          </w:p>
        </w:tc>
        <w:tc>
          <w:tcPr>
            <w:tcW w:w="1124" w:type="pct"/>
            <w:vAlign w:val="center"/>
          </w:tcPr>
          <w:p w14:paraId="6EF91EB6">
            <w:pPr>
              <w:jc w:val="center"/>
              <w:rPr>
                <w:rFonts w:ascii="宋体" w:hAnsi="宋体" w:eastAsia="宋体"/>
                <w:sz w:val="24"/>
                <w:highlight w:val="none"/>
              </w:rPr>
            </w:pPr>
            <w:r>
              <w:rPr>
                <w:rFonts w:asciiTheme="minorEastAsia" w:hAnsiTheme="minorEastAsia" w:eastAsiaTheme="minorEastAsia"/>
                <w:sz w:val="24"/>
                <w:highlight w:val="none"/>
              </w:rPr>
              <w:t>付款方式</w:t>
            </w:r>
          </w:p>
        </w:tc>
        <w:tc>
          <w:tcPr>
            <w:tcW w:w="1465" w:type="pct"/>
            <w:vAlign w:val="center"/>
          </w:tcPr>
          <w:p w14:paraId="367C762C">
            <w:pPr>
              <w:jc w:val="center"/>
              <w:rPr>
                <w:rFonts w:asciiTheme="minorEastAsia" w:hAnsiTheme="minorEastAsia" w:eastAsiaTheme="minorEastAsia"/>
                <w:sz w:val="24"/>
                <w:highlight w:val="none"/>
              </w:rPr>
            </w:pPr>
          </w:p>
        </w:tc>
        <w:tc>
          <w:tcPr>
            <w:tcW w:w="1510" w:type="pct"/>
            <w:vAlign w:val="center"/>
          </w:tcPr>
          <w:p w14:paraId="451A1DB7">
            <w:pPr>
              <w:jc w:val="center"/>
              <w:rPr>
                <w:rFonts w:asciiTheme="minorEastAsia" w:hAnsiTheme="minorEastAsia" w:eastAsiaTheme="minorEastAsia"/>
                <w:sz w:val="24"/>
                <w:highlight w:val="none"/>
              </w:rPr>
            </w:pPr>
          </w:p>
        </w:tc>
        <w:tc>
          <w:tcPr>
            <w:tcW w:w="475" w:type="pct"/>
            <w:vAlign w:val="center"/>
          </w:tcPr>
          <w:p w14:paraId="251C8B89">
            <w:pPr>
              <w:jc w:val="center"/>
              <w:rPr>
                <w:rFonts w:asciiTheme="minorEastAsia" w:hAnsiTheme="minorEastAsia" w:eastAsiaTheme="minorEastAsia"/>
                <w:sz w:val="24"/>
                <w:highlight w:val="none"/>
              </w:rPr>
            </w:pPr>
          </w:p>
        </w:tc>
      </w:tr>
      <w:tr w14:paraId="74D4C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3FBBD2F8">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p>
        </w:tc>
        <w:tc>
          <w:tcPr>
            <w:tcW w:w="1124" w:type="pct"/>
            <w:vAlign w:val="center"/>
          </w:tcPr>
          <w:p w14:paraId="15D4E13D">
            <w:pPr>
              <w:jc w:val="center"/>
              <w:rPr>
                <w:rFonts w:ascii="宋体" w:hAnsi="宋体" w:eastAsia="宋体"/>
                <w:sz w:val="24"/>
                <w:highlight w:val="none"/>
              </w:rPr>
            </w:pPr>
            <w:r>
              <w:rPr>
                <w:rFonts w:hint="eastAsia" w:ascii="宋体" w:hAnsi="宋体" w:eastAsia="宋体"/>
                <w:sz w:val="24"/>
                <w:highlight w:val="none"/>
              </w:rPr>
              <w:t>供货及安装地点</w:t>
            </w:r>
          </w:p>
        </w:tc>
        <w:tc>
          <w:tcPr>
            <w:tcW w:w="1465" w:type="pct"/>
            <w:vAlign w:val="center"/>
          </w:tcPr>
          <w:p w14:paraId="55B12E76">
            <w:pPr>
              <w:jc w:val="center"/>
              <w:rPr>
                <w:rFonts w:asciiTheme="minorEastAsia" w:hAnsiTheme="minorEastAsia" w:eastAsiaTheme="minorEastAsia"/>
                <w:sz w:val="24"/>
                <w:highlight w:val="none"/>
              </w:rPr>
            </w:pPr>
          </w:p>
        </w:tc>
        <w:tc>
          <w:tcPr>
            <w:tcW w:w="1510" w:type="pct"/>
            <w:vAlign w:val="center"/>
          </w:tcPr>
          <w:p w14:paraId="7ABB2E27">
            <w:pPr>
              <w:jc w:val="center"/>
              <w:rPr>
                <w:rFonts w:asciiTheme="minorEastAsia" w:hAnsiTheme="minorEastAsia" w:eastAsiaTheme="minorEastAsia"/>
                <w:sz w:val="24"/>
                <w:highlight w:val="none"/>
              </w:rPr>
            </w:pPr>
          </w:p>
        </w:tc>
        <w:tc>
          <w:tcPr>
            <w:tcW w:w="475" w:type="pct"/>
            <w:vAlign w:val="center"/>
          </w:tcPr>
          <w:p w14:paraId="4E6EBC4B">
            <w:pPr>
              <w:jc w:val="center"/>
              <w:rPr>
                <w:rFonts w:asciiTheme="minorEastAsia" w:hAnsiTheme="minorEastAsia" w:eastAsiaTheme="minorEastAsia"/>
                <w:sz w:val="24"/>
                <w:highlight w:val="none"/>
              </w:rPr>
            </w:pPr>
          </w:p>
        </w:tc>
      </w:tr>
      <w:tr w14:paraId="588B0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6B9513A6">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p>
        </w:tc>
        <w:tc>
          <w:tcPr>
            <w:tcW w:w="1124" w:type="pct"/>
            <w:vAlign w:val="center"/>
          </w:tcPr>
          <w:p w14:paraId="75AAD3DD">
            <w:pPr>
              <w:jc w:val="center"/>
              <w:rPr>
                <w:rFonts w:ascii="宋体" w:hAnsi="宋体" w:eastAsia="宋体"/>
                <w:sz w:val="24"/>
                <w:highlight w:val="none"/>
              </w:rPr>
            </w:pPr>
            <w:r>
              <w:rPr>
                <w:rFonts w:hint="eastAsia" w:ascii="宋体" w:hAnsi="宋体" w:eastAsia="宋体"/>
                <w:sz w:val="24"/>
                <w:highlight w:val="none"/>
              </w:rPr>
              <w:t>供货及安装期限</w:t>
            </w:r>
          </w:p>
        </w:tc>
        <w:tc>
          <w:tcPr>
            <w:tcW w:w="1465" w:type="pct"/>
            <w:vAlign w:val="center"/>
          </w:tcPr>
          <w:p w14:paraId="3D532F6C">
            <w:pPr>
              <w:jc w:val="center"/>
              <w:rPr>
                <w:rFonts w:asciiTheme="minorEastAsia" w:hAnsiTheme="minorEastAsia" w:eastAsiaTheme="minorEastAsia"/>
                <w:sz w:val="24"/>
                <w:highlight w:val="none"/>
              </w:rPr>
            </w:pPr>
          </w:p>
        </w:tc>
        <w:tc>
          <w:tcPr>
            <w:tcW w:w="1510" w:type="pct"/>
            <w:vAlign w:val="center"/>
          </w:tcPr>
          <w:p w14:paraId="43BDC2B5">
            <w:pPr>
              <w:pStyle w:val="42"/>
              <w:jc w:val="center"/>
              <w:rPr>
                <w:rFonts w:asciiTheme="minorEastAsia" w:hAnsiTheme="minorEastAsia" w:eastAsiaTheme="minorEastAsia"/>
                <w:highlight w:val="none"/>
              </w:rPr>
            </w:pPr>
          </w:p>
        </w:tc>
        <w:tc>
          <w:tcPr>
            <w:tcW w:w="475" w:type="pct"/>
            <w:vAlign w:val="center"/>
          </w:tcPr>
          <w:p w14:paraId="5D45D3AC">
            <w:pPr>
              <w:jc w:val="center"/>
              <w:rPr>
                <w:rFonts w:asciiTheme="minorEastAsia" w:hAnsiTheme="minorEastAsia" w:eastAsiaTheme="minorEastAsia"/>
                <w:sz w:val="24"/>
                <w:highlight w:val="none"/>
              </w:rPr>
            </w:pPr>
          </w:p>
        </w:tc>
      </w:tr>
      <w:tr w14:paraId="1FAE4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40B12287">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p>
        </w:tc>
        <w:tc>
          <w:tcPr>
            <w:tcW w:w="1124" w:type="pct"/>
            <w:vAlign w:val="center"/>
          </w:tcPr>
          <w:p w14:paraId="165CBAAF">
            <w:pPr>
              <w:jc w:val="center"/>
              <w:rPr>
                <w:rFonts w:hint="eastAsia" w:ascii="宋体" w:hAnsi="宋体" w:eastAsia="宋体"/>
                <w:sz w:val="24"/>
                <w:highlight w:val="none"/>
                <w:lang w:eastAsia="zh-CN"/>
              </w:rPr>
            </w:pPr>
            <w:r>
              <w:rPr>
                <w:rFonts w:hint="eastAsia" w:ascii="宋体" w:hAnsi="宋体" w:eastAsia="宋体"/>
                <w:sz w:val="24"/>
                <w:highlight w:val="none"/>
                <w:lang w:eastAsia="zh-CN"/>
              </w:rPr>
              <w:t>质量保修期</w:t>
            </w:r>
          </w:p>
        </w:tc>
        <w:tc>
          <w:tcPr>
            <w:tcW w:w="1465" w:type="pct"/>
            <w:vAlign w:val="center"/>
          </w:tcPr>
          <w:p w14:paraId="4F6F9696">
            <w:pPr>
              <w:jc w:val="center"/>
              <w:rPr>
                <w:rFonts w:asciiTheme="minorEastAsia" w:hAnsiTheme="minorEastAsia" w:eastAsiaTheme="minorEastAsia"/>
                <w:sz w:val="24"/>
                <w:highlight w:val="none"/>
              </w:rPr>
            </w:pPr>
          </w:p>
        </w:tc>
        <w:tc>
          <w:tcPr>
            <w:tcW w:w="1510" w:type="pct"/>
            <w:vAlign w:val="center"/>
          </w:tcPr>
          <w:p w14:paraId="3DF352C6">
            <w:pPr>
              <w:jc w:val="center"/>
              <w:rPr>
                <w:rFonts w:asciiTheme="minorEastAsia" w:hAnsiTheme="minorEastAsia" w:eastAsiaTheme="minorEastAsia"/>
                <w:sz w:val="24"/>
                <w:highlight w:val="none"/>
              </w:rPr>
            </w:pPr>
          </w:p>
        </w:tc>
        <w:tc>
          <w:tcPr>
            <w:tcW w:w="475" w:type="pct"/>
            <w:vAlign w:val="center"/>
          </w:tcPr>
          <w:p w14:paraId="71197D5D">
            <w:pPr>
              <w:jc w:val="center"/>
              <w:rPr>
                <w:rFonts w:asciiTheme="minorEastAsia" w:hAnsiTheme="minorEastAsia" w:eastAsiaTheme="minorEastAsia"/>
                <w:sz w:val="24"/>
                <w:highlight w:val="none"/>
              </w:rPr>
            </w:pPr>
          </w:p>
        </w:tc>
      </w:tr>
      <w:tr w14:paraId="5EA67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1B5C48F1">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p>
        </w:tc>
        <w:tc>
          <w:tcPr>
            <w:tcW w:w="1124" w:type="pct"/>
            <w:vAlign w:val="center"/>
          </w:tcPr>
          <w:p w14:paraId="5C4A1F0F">
            <w:pPr>
              <w:jc w:val="center"/>
              <w:rPr>
                <w:rFonts w:ascii="宋体" w:hAnsi="宋体" w:eastAsia="宋体"/>
                <w:sz w:val="24"/>
                <w:highlight w:val="none"/>
              </w:rPr>
            </w:pPr>
          </w:p>
        </w:tc>
        <w:tc>
          <w:tcPr>
            <w:tcW w:w="1465" w:type="pct"/>
            <w:vAlign w:val="center"/>
          </w:tcPr>
          <w:p w14:paraId="4F4C3E34">
            <w:pPr>
              <w:jc w:val="center"/>
              <w:rPr>
                <w:rFonts w:asciiTheme="minorEastAsia" w:hAnsiTheme="minorEastAsia" w:eastAsiaTheme="minorEastAsia"/>
                <w:sz w:val="24"/>
                <w:highlight w:val="none"/>
              </w:rPr>
            </w:pPr>
          </w:p>
        </w:tc>
        <w:tc>
          <w:tcPr>
            <w:tcW w:w="1510" w:type="pct"/>
            <w:vAlign w:val="center"/>
          </w:tcPr>
          <w:p w14:paraId="1D5CD302">
            <w:pPr>
              <w:jc w:val="center"/>
              <w:rPr>
                <w:rFonts w:asciiTheme="minorEastAsia" w:hAnsiTheme="minorEastAsia" w:eastAsiaTheme="minorEastAsia"/>
                <w:sz w:val="24"/>
                <w:highlight w:val="none"/>
              </w:rPr>
            </w:pPr>
          </w:p>
        </w:tc>
        <w:tc>
          <w:tcPr>
            <w:tcW w:w="475" w:type="pct"/>
            <w:vAlign w:val="center"/>
          </w:tcPr>
          <w:p w14:paraId="79E538A1">
            <w:pPr>
              <w:jc w:val="center"/>
              <w:rPr>
                <w:rFonts w:asciiTheme="minorEastAsia" w:hAnsiTheme="minorEastAsia" w:eastAsiaTheme="minorEastAsia"/>
                <w:sz w:val="24"/>
                <w:highlight w:val="none"/>
              </w:rPr>
            </w:pPr>
          </w:p>
        </w:tc>
      </w:tr>
    </w:tbl>
    <w:p w14:paraId="42954DA3">
      <w:pPr>
        <w:spacing w:line="360" w:lineRule="auto"/>
        <w:ind w:firstLine="435"/>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6</w:t>
      </w:r>
      <w:r>
        <w:rPr>
          <w:rFonts w:asciiTheme="minorEastAsia" w:hAnsiTheme="minorEastAsia" w:eastAsiaTheme="minorEastAsia"/>
          <w:b/>
          <w:sz w:val="24"/>
          <w:highlight w:val="none"/>
        </w:rPr>
        <w:t>.2</w:t>
      </w:r>
      <w:r>
        <w:rPr>
          <w:rFonts w:hint="eastAsia" w:asciiTheme="minorEastAsia" w:hAnsiTheme="minorEastAsia" w:eastAsiaTheme="minorEastAsia"/>
          <w:b/>
          <w:sz w:val="24"/>
          <w:highlight w:val="none"/>
        </w:rPr>
        <w:t>技术响应表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560"/>
        <w:gridCol w:w="2864"/>
        <w:gridCol w:w="2482"/>
        <w:gridCol w:w="856"/>
      </w:tblGrid>
      <w:tr w14:paraId="07795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46" w:type="pct"/>
            <w:vAlign w:val="center"/>
          </w:tcPr>
          <w:p w14:paraId="66F88CB4">
            <w:pPr>
              <w:pStyle w:val="13"/>
              <w:jc w:val="center"/>
              <w:rPr>
                <w:rFonts w:cs="Wingdings" w:asciiTheme="minorEastAsia" w:hAnsiTheme="minorEastAsia"/>
                <w:b/>
                <w:sz w:val="24"/>
                <w:highlight w:val="none"/>
              </w:rPr>
            </w:pPr>
            <w:r>
              <w:rPr>
                <w:rFonts w:hint="eastAsia" w:cs="Wingdings" w:asciiTheme="minorEastAsia" w:hAnsiTheme="minorEastAsia"/>
                <w:b/>
                <w:sz w:val="24"/>
                <w:highlight w:val="none"/>
              </w:rPr>
              <w:t>序号</w:t>
            </w:r>
          </w:p>
        </w:tc>
        <w:tc>
          <w:tcPr>
            <w:tcW w:w="915" w:type="pct"/>
            <w:vAlign w:val="center"/>
          </w:tcPr>
          <w:p w14:paraId="235F63AA">
            <w:pPr>
              <w:pStyle w:val="13"/>
              <w:jc w:val="center"/>
              <w:rPr>
                <w:rFonts w:cs="Wingdings" w:asciiTheme="minorEastAsia" w:hAnsiTheme="minorEastAsia"/>
                <w:b/>
                <w:sz w:val="24"/>
                <w:highlight w:val="none"/>
              </w:rPr>
            </w:pPr>
            <w:r>
              <w:rPr>
                <w:rFonts w:hint="eastAsia" w:asciiTheme="minorEastAsia" w:hAnsiTheme="minorEastAsia"/>
                <w:b/>
                <w:bCs/>
                <w:sz w:val="24"/>
                <w:szCs w:val="24"/>
                <w:highlight w:val="none"/>
              </w:rPr>
              <w:t>货物名称</w:t>
            </w:r>
          </w:p>
        </w:tc>
        <w:tc>
          <w:tcPr>
            <w:tcW w:w="1680" w:type="pct"/>
            <w:vAlign w:val="center"/>
          </w:tcPr>
          <w:p w14:paraId="5BC534B5">
            <w:pPr>
              <w:pStyle w:val="13"/>
              <w:jc w:val="center"/>
              <w:rPr>
                <w:rFonts w:cs="Wingdings" w:asciiTheme="minorEastAsia" w:hAnsiTheme="minorEastAsia"/>
                <w:b/>
                <w:sz w:val="24"/>
                <w:highlight w:val="none"/>
              </w:rPr>
            </w:pPr>
            <w:r>
              <w:rPr>
                <w:rFonts w:hint="eastAsia" w:cs="Wingdings" w:asciiTheme="minorEastAsia" w:hAnsiTheme="minorEastAsia"/>
                <w:b/>
                <w:sz w:val="24"/>
                <w:highlight w:val="none"/>
              </w:rPr>
              <w:t>招标文件规定的技术参数及要求</w:t>
            </w:r>
          </w:p>
        </w:tc>
        <w:tc>
          <w:tcPr>
            <w:tcW w:w="1456" w:type="pct"/>
            <w:vAlign w:val="center"/>
          </w:tcPr>
          <w:p w14:paraId="698975C5">
            <w:pPr>
              <w:pStyle w:val="13"/>
              <w:jc w:val="center"/>
              <w:rPr>
                <w:rFonts w:cs="Wingdings" w:asciiTheme="minorEastAsia" w:hAnsiTheme="minorEastAsia"/>
                <w:b/>
                <w:sz w:val="24"/>
                <w:highlight w:val="none"/>
              </w:rPr>
            </w:pPr>
            <w:r>
              <w:rPr>
                <w:rFonts w:hint="eastAsia" w:cs="Wingdings" w:asciiTheme="minorEastAsia" w:hAnsiTheme="minorEastAsia"/>
                <w:b/>
                <w:sz w:val="24"/>
                <w:highlight w:val="none"/>
              </w:rPr>
              <w:t>所投产品的品牌、型号及技术参数</w:t>
            </w:r>
          </w:p>
        </w:tc>
        <w:tc>
          <w:tcPr>
            <w:tcW w:w="502" w:type="pct"/>
            <w:vAlign w:val="center"/>
          </w:tcPr>
          <w:p w14:paraId="053DE5F4">
            <w:pPr>
              <w:pStyle w:val="13"/>
              <w:jc w:val="center"/>
              <w:rPr>
                <w:rFonts w:cs="Wingdings" w:asciiTheme="minorEastAsia" w:hAnsiTheme="minorEastAsia"/>
                <w:b/>
                <w:sz w:val="24"/>
                <w:highlight w:val="none"/>
              </w:rPr>
            </w:pPr>
            <w:r>
              <w:rPr>
                <w:rFonts w:hint="eastAsia" w:cs="Wingdings" w:asciiTheme="minorEastAsia" w:hAnsiTheme="minorEastAsia"/>
                <w:b/>
                <w:sz w:val="24"/>
                <w:highlight w:val="none"/>
              </w:rPr>
              <w:t>偏离说明</w:t>
            </w:r>
          </w:p>
        </w:tc>
      </w:tr>
      <w:tr w14:paraId="4F0BD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51916454">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p>
        </w:tc>
        <w:tc>
          <w:tcPr>
            <w:tcW w:w="915" w:type="pct"/>
            <w:vAlign w:val="center"/>
          </w:tcPr>
          <w:p w14:paraId="24C62C6A">
            <w:pPr>
              <w:jc w:val="center"/>
              <w:rPr>
                <w:rFonts w:asciiTheme="minorEastAsia" w:hAnsiTheme="minorEastAsia" w:eastAsiaTheme="minorEastAsia"/>
                <w:sz w:val="24"/>
                <w:highlight w:val="none"/>
              </w:rPr>
            </w:pPr>
          </w:p>
        </w:tc>
        <w:tc>
          <w:tcPr>
            <w:tcW w:w="1680" w:type="pct"/>
            <w:vAlign w:val="center"/>
          </w:tcPr>
          <w:p w14:paraId="18BAB0C8">
            <w:pPr>
              <w:jc w:val="center"/>
              <w:rPr>
                <w:rFonts w:asciiTheme="minorEastAsia" w:hAnsiTheme="minorEastAsia" w:eastAsiaTheme="minorEastAsia"/>
                <w:sz w:val="24"/>
                <w:highlight w:val="none"/>
              </w:rPr>
            </w:pPr>
          </w:p>
        </w:tc>
        <w:tc>
          <w:tcPr>
            <w:tcW w:w="1456" w:type="pct"/>
            <w:vAlign w:val="center"/>
          </w:tcPr>
          <w:p w14:paraId="13A2EC69">
            <w:pPr>
              <w:jc w:val="center"/>
              <w:rPr>
                <w:rFonts w:asciiTheme="minorEastAsia" w:hAnsiTheme="minorEastAsia" w:eastAsiaTheme="minorEastAsia"/>
                <w:sz w:val="24"/>
                <w:highlight w:val="none"/>
              </w:rPr>
            </w:pPr>
          </w:p>
        </w:tc>
        <w:tc>
          <w:tcPr>
            <w:tcW w:w="502" w:type="pct"/>
            <w:vAlign w:val="center"/>
          </w:tcPr>
          <w:p w14:paraId="4FC7EC1F">
            <w:pPr>
              <w:jc w:val="center"/>
              <w:rPr>
                <w:rFonts w:asciiTheme="minorEastAsia" w:hAnsiTheme="minorEastAsia" w:eastAsiaTheme="minorEastAsia"/>
                <w:sz w:val="24"/>
                <w:highlight w:val="none"/>
              </w:rPr>
            </w:pPr>
          </w:p>
        </w:tc>
      </w:tr>
      <w:tr w14:paraId="653D4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56A70085">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p>
        </w:tc>
        <w:tc>
          <w:tcPr>
            <w:tcW w:w="915" w:type="pct"/>
            <w:vAlign w:val="center"/>
          </w:tcPr>
          <w:p w14:paraId="09896A4D">
            <w:pPr>
              <w:jc w:val="center"/>
              <w:rPr>
                <w:rFonts w:asciiTheme="minorEastAsia" w:hAnsiTheme="minorEastAsia" w:eastAsiaTheme="minorEastAsia"/>
                <w:sz w:val="24"/>
                <w:highlight w:val="none"/>
              </w:rPr>
            </w:pPr>
          </w:p>
        </w:tc>
        <w:tc>
          <w:tcPr>
            <w:tcW w:w="1680" w:type="pct"/>
            <w:vAlign w:val="center"/>
          </w:tcPr>
          <w:p w14:paraId="7873D907">
            <w:pPr>
              <w:jc w:val="center"/>
              <w:rPr>
                <w:rFonts w:asciiTheme="minorEastAsia" w:hAnsiTheme="minorEastAsia" w:eastAsiaTheme="minorEastAsia"/>
                <w:sz w:val="24"/>
                <w:highlight w:val="none"/>
              </w:rPr>
            </w:pPr>
          </w:p>
        </w:tc>
        <w:tc>
          <w:tcPr>
            <w:tcW w:w="1456" w:type="pct"/>
            <w:vAlign w:val="center"/>
          </w:tcPr>
          <w:p w14:paraId="5635D732">
            <w:pPr>
              <w:jc w:val="center"/>
              <w:rPr>
                <w:rFonts w:asciiTheme="minorEastAsia" w:hAnsiTheme="minorEastAsia" w:eastAsiaTheme="minorEastAsia"/>
                <w:sz w:val="24"/>
                <w:highlight w:val="none"/>
              </w:rPr>
            </w:pPr>
          </w:p>
        </w:tc>
        <w:tc>
          <w:tcPr>
            <w:tcW w:w="502" w:type="pct"/>
            <w:vAlign w:val="center"/>
          </w:tcPr>
          <w:p w14:paraId="748E8997">
            <w:pPr>
              <w:jc w:val="center"/>
              <w:rPr>
                <w:rFonts w:asciiTheme="minorEastAsia" w:hAnsiTheme="minorEastAsia" w:eastAsiaTheme="minorEastAsia"/>
                <w:sz w:val="24"/>
                <w:highlight w:val="none"/>
              </w:rPr>
            </w:pPr>
          </w:p>
        </w:tc>
      </w:tr>
      <w:tr w14:paraId="392DE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0B1F9929">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p>
        </w:tc>
        <w:tc>
          <w:tcPr>
            <w:tcW w:w="915" w:type="pct"/>
            <w:vAlign w:val="center"/>
          </w:tcPr>
          <w:p w14:paraId="786178EC">
            <w:pPr>
              <w:jc w:val="center"/>
              <w:rPr>
                <w:rFonts w:asciiTheme="minorEastAsia" w:hAnsiTheme="minorEastAsia" w:eastAsiaTheme="minorEastAsia"/>
                <w:sz w:val="24"/>
                <w:highlight w:val="none"/>
              </w:rPr>
            </w:pPr>
          </w:p>
        </w:tc>
        <w:tc>
          <w:tcPr>
            <w:tcW w:w="1680" w:type="pct"/>
            <w:vAlign w:val="center"/>
          </w:tcPr>
          <w:p w14:paraId="6BAFA1E0">
            <w:pPr>
              <w:jc w:val="center"/>
              <w:rPr>
                <w:rFonts w:asciiTheme="minorEastAsia" w:hAnsiTheme="minorEastAsia" w:eastAsiaTheme="minorEastAsia"/>
                <w:sz w:val="24"/>
                <w:highlight w:val="none"/>
              </w:rPr>
            </w:pPr>
          </w:p>
        </w:tc>
        <w:tc>
          <w:tcPr>
            <w:tcW w:w="1456" w:type="pct"/>
            <w:vAlign w:val="center"/>
          </w:tcPr>
          <w:p w14:paraId="45DD0206">
            <w:pPr>
              <w:pStyle w:val="42"/>
              <w:jc w:val="center"/>
              <w:rPr>
                <w:rFonts w:asciiTheme="minorEastAsia" w:hAnsiTheme="minorEastAsia" w:eastAsiaTheme="minorEastAsia"/>
                <w:highlight w:val="none"/>
              </w:rPr>
            </w:pPr>
          </w:p>
        </w:tc>
        <w:tc>
          <w:tcPr>
            <w:tcW w:w="502" w:type="pct"/>
            <w:vAlign w:val="center"/>
          </w:tcPr>
          <w:p w14:paraId="0C8486A4">
            <w:pPr>
              <w:jc w:val="center"/>
              <w:rPr>
                <w:rFonts w:asciiTheme="minorEastAsia" w:hAnsiTheme="minorEastAsia" w:eastAsiaTheme="minorEastAsia"/>
                <w:sz w:val="24"/>
                <w:highlight w:val="none"/>
              </w:rPr>
            </w:pPr>
          </w:p>
        </w:tc>
      </w:tr>
      <w:tr w14:paraId="3C120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2C85A04D">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p>
        </w:tc>
        <w:tc>
          <w:tcPr>
            <w:tcW w:w="915" w:type="pct"/>
            <w:vAlign w:val="center"/>
          </w:tcPr>
          <w:p w14:paraId="5524708B">
            <w:pPr>
              <w:jc w:val="center"/>
              <w:rPr>
                <w:rFonts w:asciiTheme="minorEastAsia" w:hAnsiTheme="minorEastAsia" w:eastAsiaTheme="minorEastAsia"/>
                <w:sz w:val="24"/>
                <w:highlight w:val="none"/>
              </w:rPr>
            </w:pPr>
          </w:p>
        </w:tc>
        <w:tc>
          <w:tcPr>
            <w:tcW w:w="1680" w:type="pct"/>
            <w:vAlign w:val="center"/>
          </w:tcPr>
          <w:p w14:paraId="1D532634">
            <w:pPr>
              <w:jc w:val="center"/>
              <w:rPr>
                <w:rFonts w:asciiTheme="minorEastAsia" w:hAnsiTheme="minorEastAsia" w:eastAsiaTheme="minorEastAsia"/>
                <w:sz w:val="24"/>
                <w:highlight w:val="none"/>
              </w:rPr>
            </w:pPr>
          </w:p>
        </w:tc>
        <w:tc>
          <w:tcPr>
            <w:tcW w:w="1456" w:type="pct"/>
            <w:vAlign w:val="center"/>
          </w:tcPr>
          <w:p w14:paraId="56F2FAD6">
            <w:pPr>
              <w:pStyle w:val="42"/>
              <w:jc w:val="center"/>
              <w:rPr>
                <w:rFonts w:asciiTheme="minorEastAsia" w:hAnsiTheme="minorEastAsia" w:eastAsiaTheme="minorEastAsia"/>
                <w:highlight w:val="none"/>
              </w:rPr>
            </w:pPr>
          </w:p>
        </w:tc>
        <w:tc>
          <w:tcPr>
            <w:tcW w:w="502" w:type="pct"/>
            <w:vAlign w:val="center"/>
          </w:tcPr>
          <w:p w14:paraId="0B5CC0A4">
            <w:pPr>
              <w:jc w:val="center"/>
              <w:rPr>
                <w:rFonts w:asciiTheme="minorEastAsia" w:hAnsiTheme="minorEastAsia" w:eastAsiaTheme="minorEastAsia"/>
                <w:sz w:val="24"/>
                <w:highlight w:val="none"/>
              </w:rPr>
            </w:pPr>
          </w:p>
        </w:tc>
      </w:tr>
      <w:tr w14:paraId="585B1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16BC8C6E">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p>
        </w:tc>
        <w:tc>
          <w:tcPr>
            <w:tcW w:w="915" w:type="pct"/>
            <w:vAlign w:val="center"/>
          </w:tcPr>
          <w:p w14:paraId="30DCA271">
            <w:pPr>
              <w:jc w:val="center"/>
              <w:rPr>
                <w:rFonts w:asciiTheme="minorEastAsia" w:hAnsiTheme="minorEastAsia" w:eastAsiaTheme="minorEastAsia"/>
                <w:sz w:val="24"/>
                <w:highlight w:val="none"/>
              </w:rPr>
            </w:pPr>
          </w:p>
        </w:tc>
        <w:tc>
          <w:tcPr>
            <w:tcW w:w="1680" w:type="pct"/>
            <w:vAlign w:val="center"/>
          </w:tcPr>
          <w:p w14:paraId="494924B8">
            <w:pPr>
              <w:jc w:val="center"/>
              <w:rPr>
                <w:rFonts w:asciiTheme="minorEastAsia" w:hAnsiTheme="minorEastAsia" w:eastAsiaTheme="minorEastAsia"/>
                <w:sz w:val="24"/>
                <w:highlight w:val="none"/>
              </w:rPr>
            </w:pPr>
          </w:p>
        </w:tc>
        <w:tc>
          <w:tcPr>
            <w:tcW w:w="1456" w:type="pct"/>
            <w:vAlign w:val="center"/>
          </w:tcPr>
          <w:p w14:paraId="0F39EE33">
            <w:pPr>
              <w:jc w:val="center"/>
              <w:rPr>
                <w:rFonts w:asciiTheme="minorEastAsia" w:hAnsiTheme="minorEastAsia" w:eastAsiaTheme="minorEastAsia"/>
                <w:sz w:val="24"/>
                <w:highlight w:val="none"/>
              </w:rPr>
            </w:pPr>
          </w:p>
        </w:tc>
        <w:tc>
          <w:tcPr>
            <w:tcW w:w="502" w:type="pct"/>
            <w:vAlign w:val="center"/>
          </w:tcPr>
          <w:p w14:paraId="1C8869BE">
            <w:pPr>
              <w:jc w:val="center"/>
              <w:rPr>
                <w:rFonts w:asciiTheme="minorEastAsia" w:hAnsiTheme="minorEastAsia" w:eastAsiaTheme="minorEastAsia"/>
                <w:sz w:val="24"/>
                <w:highlight w:val="none"/>
              </w:rPr>
            </w:pPr>
          </w:p>
        </w:tc>
      </w:tr>
    </w:tbl>
    <w:p w14:paraId="301334E9">
      <w:pPr>
        <w:spacing w:line="360" w:lineRule="auto"/>
        <w:ind w:firstLine="4800" w:firstLineChars="2000"/>
        <w:rPr>
          <w:rFonts w:ascii="宋体" w:hAnsi="宋体" w:eastAsia="宋体"/>
          <w:sz w:val="24"/>
          <w:highlight w:val="none"/>
          <w:u w:val="single"/>
        </w:rPr>
      </w:pPr>
      <w:r>
        <w:rPr>
          <w:rFonts w:hint="eastAsia" w:ascii="宋体" w:hAnsi="宋体" w:eastAsia="宋体"/>
          <w:sz w:val="24"/>
          <w:highlight w:val="none"/>
        </w:rPr>
        <w:t>投标人电子签章：</w:t>
      </w:r>
    </w:p>
    <w:p w14:paraId="5CC3341C">
      <w:pPr>
        <w:spacing w:line="360" w:lineRule="auto"/>
        <w:ind w:firstLine="4800" w:firstLineChars="2000"/>
        <w:rPr>
          <w:rFonts w:ascii="宋体" w:hAnsi="宋体" w:eastAsia="宋体"/>
          <w:sz w:val="24"/>
          <w:highlight w:val="none"/>
          <w:u w:val="single"/>
        </w:rPr>
      </w:pPr>
      <w:r>
        <w:rPr>
          <w:rFonts w:hint="eastAsia" w:ascii="宋体" w:hAnsi="宋体" w:eastAsia="宋体"/>
          <w:sz w:val="24"/>
          <w:highlight w:val="none"/>
        </w:rPr>
        <w:t>日          期：</w:t>
      </w:r>
    </w:p>
    <w:p w14:paraId="66EBF84D">
      <w:pPr>
        <w:pStyle w:val="14"/>
        <w:spacing w:line="360" w:lineRule="auto"/>
        <w:rPr>
          <w:rFonts w:asciiTheme="minorEastAsia" w:hAnsiTheme="minorEastAsia" w:eastAsiaTheme="minorEastAsia"/>
          <w:b w:val="0"/>
          <w:sz w:val="24"/>
          <w:highlight w:val="none"/>
        </w:rPr>
      </w:pPr>
      <w:r>
        <w:rPr>
          <w:rFonts w:asciiTheme="minorEastAsia" w:hAnsiTheme="minorEastAsia" w:eastAsiaTheme="minorEastAsia"/>
          <w:b w:val="0"/>
          <w:sz w:val="24"/>
          <w:highlight w:val="none"/>
        </w:rPr>
        <w:br w:type="page"/>
      </w:r>
    </w:p>
    <w:p w14:paraId="02570E02">
      <w:pPr>
        <w:spacing w:line="360" w:lineRule="auto"/>
        <w:jc w:val="center"/>
        <w:outlineLvl w:val="1"/>
        <w:rPr>
          <w:rFonts w:asciiTheme="minorEastAsia" w:hAnsiTheme="minorEastAsia" w:eastAsiaTheme="minorEastAsia"/>
          <w:b/>
          <w:sz w:val="24"/>
          <w:highlight w:val="none"/>
        </w:rPr>
      </w:pPr>
      <w:bookmarkStart w:id="129" w:name="_Toc2548"/>
      <w:bookmarkStart w:id="130" w:name="_Toc31244"/>
      <w:bookmarkStart w:id="131" w:name="_Toc9573"/>
      <w:bookmarkStart w:id="132" w:name="OLE_LINK13"/>
      <w:bookmarkStart w:id="133" w:name="OLE_LINK14"/>
      <w:r>
        <w:rPr>
          <w:rFonts w:hint="eastAsia" w:asciiTheme="minorEastAsia" w:hAnsiTheme="minorEastAsia" w:eastAsiaTheme="minorEastAsia"/>
          <w:b/>
          <w:sz w:val="24"/>
          <w:highlight w:val="none"/>
        </w:rPr>
        <w:t>七、中小企业声明函</w:t>
      </w:r>
      <w:bookmarkEnd w:id="129"/>
      <w:bookmarkEnd w:id="130"/>
      <w:bookmarkEnd w:id="131"/>
    </w:p>
    <w:p w14:paraId="46760EB9">
      <w:pPr>
        <w:pStyle w:val="9"/>
        <w:spacing w:line="360" w:lineRule="auto"/>
        <w:jc w:val="center"/>
        <w:rPr>
          <w:rFonts w:ascii="宋体" w:hAnsi="宋体" w:eastAsia="宋体"/>
          <w:i/>
          <w:sz w:val="24"/>
          <w:highlight w:val="none"/>
          <w:lang w:val="en-US"/>
        </w:rPr>
      </w:pPr>
      <w:r>
        <w:rPr>
          <w:rFonts w:hint="eastAsia" w:ascii="宋体" w:hAnsi="宋体" w:eastAsia="宋体"/>
          <w:i/>
          <w:sz w:val="24"/>
          <w:highlight w:val="none"/>
          <w:lang w:val="en-US"/>
        </w:rPr>
        <w:t>（</w:t>
      </w:r>
      <w:r>
        <w:rPr>
          <w:rFonts w:hint="eastAsia" w:ascii="宋体" w:hAnsi="宋体" w:eastAsia="宋体"/>
          <w:i/>
          <w:sz w:val="24"/>
          <w:highlight w:val="none"/>
        </w:rPr>
        <w:t>非中小企业投标</w:t>
      </w:r>
      <w:r>
        <w:rPr>
          <w:rFonts w:hint="eastAsia" w:ascii="宋体" w:hAnsi="宋体" w:eastAsia="宋体"/>
          <w:i/>
          <w:sz w:val="24"/>
          <w:highlight w:val="none"/>
          <w:lang w:val="en-US"/>
        </w:rPr>
        <w:t>，不需此件，请删去“中小企业声明函”）</w:t>
      </w:r>
    </w:p>
    <w:p w14:paraId="797E7D27">
      <w:pPr>
        <w:spacing w:line="360" w:lineRule="auto"/>
        <w:ind w:firstLine="435"/>
        <w:rPr>
          <w:rFonts w:ascii="宋体" w:hAnsi="宋体" w:eastAsia="宋体"/>
          <w:sz w:val="24"/>
          <w:szCs w:val="24"/>
          <w:highlight w:val="none"/>
          <w:lang w:val="zh-CN"/>
        </w:rPr>
      </w:pPr>
      <w:r>
        <w:rPr>
          <w:rFonts w:hint="eastAsia" w:ascii="宋体" w:hAnsi="宋体" w:eastAsia="宋体"/>
          <w:sz w:val="24"/>
          <w:szCs w:val="24"/>
          <w:highlight w:val="none"/>
          <w:lang w:val="zh-CN"/>
        </w:rPr>
        <w:t>本公司（联合体）郑重声明，根据《政府采购促进中小企业发展管理办法》（财库﹝2020﹞46号）的规定，本公司（联合体）参加（</w:t>
      </w:r>
      <w:r>
        <w:rPr>
          <w:rFonts w:hint="eastAsia" w:ascii="宋体" w:hAnsi="宋体" w:eastAsia="宋体"/>
          <w:sz w:val="24"/>
          <w:szCs w:val="24"/>
          <w:highlight w:val="none"/>
          <w:u w:val="single"/>
          <w:lang w:val="zh-CN"/>
        </w:rPr>
        <w:t>单位</w:t>
      </w:r>
      <w:r>
        <w:rPr>
          <w:rFonts w:hint="eastAsia" w:ascii="宋体" w:hAnsi="宋体" w:eastAsia="宋体"/>
          <w:sz w:val="24"/>
          <w:szCs w:val="24"/>
          <w:highlight w:val="none"/>
          <w:u w:val="single"/>
        </w:rPr>
        <w:t>名称</w:t>
      </w:r>
      <w:r>
        <w:rPr>
          <w:rFonts w:hint="eastAsia" w:ascii="宋体" w:hAnsi="宋体" w:eastAsia="宋体"/>
          <w:sz w:val="24"/>
          <w:szCs w:val="24"/>
          <w:highlight w:val="none"/>
          <w:lang w:val="zh-CN"/>
        </w:rPr>
        <w:t>）的（</w:t>
      </w:r>
      <w:r>
        <w:rPr>
          <w:rFonts w:hint="eastAsia" w:ascii="宋体" w:hAnsi="宋体" w:eastAsia="宋体"/>
          <w:sz w:val="24"/>
          <w:szCs w:val="24"/>
          <w:highlight w:val="none"/>
          <w:u w:val="single"/>
          <w:lang w:val="zh-CN"/>
        </w:rPr>
        <w:t>项目</w:t>
      </w:r>
      <w:r>
        <w:rPr>
          <w:rFonts w:hint="eastAsia" w:ascii="宋体" w:hAnsi="宋体" w:eastAsia="宋体"/>
          <w:sz w:val="24"/>
          <w:szCs w:val="24"/>
          <w:highlight w:val="none"/>
          <w:u w:val="single"/>
        </w:rPr>
        <w:t>名称</w:t>
      </w:r>
      <w:r>
        <w:rPr>
          <w:rFonts w:hint="eastAsia" w:ascii="宋体" w:hAnsi="宋体" w:eastAsia="宋体"/>
          <w:sz w:val="24"/>
          <w:szCs w:val="24"/>
          <w:highlight w:val="none"/>
          <w:lang w:val="zh-CN"/>
        </w:rPr>
        <w:t xml:space="preserve">）采购活动，提供的货物全部由符合政策要求的中小企业制造。相关企业（含联合体中的中小企业、签订分包意向协议的中小企业）的具体情况如下： </w:t>
      </w:r>
    </w:p>
    <w:p w14:paraId="55F57926">
      <w:pPr>
        <w:spacing w:line="360" w:lineRule="auto"/>
        <w:ind w:firstLine="435"/>
        <w:rPr>
          <w:rFonts w:ascii="宋体" w:hAnsi="宋体" w:eastAsia="宋体"/>
          <w:sz w:val="24"/>
          <w:szCs w:val="24"/>
          <w:highlight w:val="none"/>
          <w:lang w:val="zh-CN"/>
        </w:rPr>
      </w:pPr>
      <w:r>
        <w:rPr>
          <w:rFonts w:hint="eastAsia" w:ascii="宋体" w:hAnsi="宋体" w:eastAsia="宋体"/>
          <w:sz w:val="24"/>
          <w:szCs w:val="24"/>
          <w:highlight w:val="none"/>
          <w:lang w:val="zh-CN"/>
        </w:rPr>
        <w:t>1.</w:t>
      </w:r>
      <w:r>
        <w:rPr>
          <w:rFonts w:hint="eastAsia" w:ascii="宋体" w:hAnsi="宋体" w:eastAsia="宋体"/>
          <w:sz w:val="24"/>
          <w:szCs w:val="24"/>
          <w:highlight w:val="none"/>
          <w:u w:val="single"/>
          <w:lang w:val="zh-CN"/>
        </w:rPr>
        <w:t xml:space="preserve"> （标的名称） </w:t>
      </w:r>
      <w:r>
        <w:rPr>
          <w:rFonts w:hint="eastAsia" w:ascii="宋体" w:hAnsi="宋体" w:eastAsia="宋体"/>
          <w:sz w:val="24"/>
          <w:szCs w:val="24"/>
          <w:highlight w:val="none"/>
          <w:lang w:val="zh-CN"/>
        </w:rPr>
        <w:t>，属于</w:t>
      </w:r>
      <w:r>
        <w:rPr>
          <w:rFonts w:hint="eastAsia" w:ascii="宋体" w:hAnsi="宋体" w:eastAsia="宋体"/>
          <w:sz w:val="24"/>
          <w:szCs w:val="24"/>
          <w:highlight w:val="none"/>
          <w:u w:val="single"/>
          <w:lang w:val="zh-CN"/>
        </w:rPr>
        <w:t>（采购文件中明确的所属行业）</w:t>
      </w:r>
      <w:r>
        <w:rPr>
          <w:rFonts w:hint="eastAsia" w:ascii="宋体" w:hAnsi="宋体" w:eastAsia="宋体"/>
          <w:sz w:val="24"/>
          <w:szCs w:val="24"/>
          <w:highlight w:val="none"/>
          <w:lang w:val="zh-CN"/>
        </w:rPr>
        <w:t>行业；制造商为</w:t>
      </w:r>
      <w:r>
        <w:rPr>
          <w:rFonts w:hint="eastAsia" w:ascii="宋体" w:hAnsi="宋体" w:eastAsia="宋体"/>
          <w:sz w:val="24"/>
          <w:szCs w:val="24"/>
          <w:highlight w:val="none"/>
          <w:u w:val="single"/>
          <w:lang w:val="zh-CN"/>
        </w:rPr>
        <w:t>（企业名称）</w:t>
      </w:r>
      <w:r>
        <w:rPr>
          <w:rFonts w:hint="eastAsia" w:ascii="宋体" w:hAnsi="宋体" w:eastAsia="宋体"/>
          <w:sz w:val="24"/>
          <w:szCs w:val="24"/>
          <w:highlight w:val="none"/>
          <w:lang w:val="zh-CN"/>
        </w:rPr>
        <w:t>，从业人员人，营业收入为万元，资产总额为万元，属于</w:t>
      </w:r>
      <w:r>
        <w:rPr>
          <w:rFonts w:hint="eastAsia" w:ascii="宋体" w:hAnsi="宋体" w:eastAsia="宋体"/>
          <w:sz w:val="24"/>
          <w:szCs w:val="24"/>
          <w:highlight w:val="none"/>
          <w:u w:val="single"/>
          <w:lang w:val="zh-CN"/>
        </w:rPr>
        <w:t>（中型企业、小型企业、微型企业）</w:t>
      </w:r>
      <w:r>
        <w:rPr>
          <w:rFonts w:hint="eastAsia" w:ascii="宋体" w:hAnsi="宋体" w:eastAsia="宋体"/>
          <w:sz w:val="24"/>
          <w:szCs w:val="24"/>
          <w:highlight w:val="none"/>
          <w:lang w:val="zh-CN"/>
        </w:rPr>
        <w:t xml:space="preserve">； </w:t>
      </w:r>
    </w:p>
    <w:p w14:paraId="7E998C35">
      <w:pPr>
        <w:spacing w:line="360" w:lineRule="auto"/>
        <w:ind w:firstLine="435"/>
        <w:rPr>
          <w:rFonts w:ascii="宋体" w:hAnsi="宋体" w:eastAsia="宋体"/>
          <w:sz w:val="24"/>
          <w:szCs w:val="24"/>
          <w:highlight w:val="none"/>
          <w:lang w:val="zh-CN"/>
        </w:rPr>
      </w:pPr>
      <w:r>
        <w:rPr>
          <w:rFonts w:hint="eastAsia" w:ascii="宋体" w:hAnsi="宋体" w:eastAsia="宋体"/>
          <w:sz w:val="24"/>
          <w:szCs w:val="24"/>
          <w:highlight w:val="none"/>
          <w:lang w:val="zh-CN"/>
        </w:rPr>
        <w:t>2.</w:t>
      </w:r>
      <w:r>
        <w:rPr>
          <w:rFonts w:hint="eastAsia" w:ascii="宋体" w:hAnsi="宋体" w:eastAsia="宋体"/>
          <w:sz w:val="24"/>
          <w:szCs w:val="24"/>
          <w:highlight w:val="none"/>
          <w:u w:val="single"/>
          <w:lang w:val="zh-CN"/>
        </w:rPr>
        <w:t xml:space="preserve"> （标的名称） </w:t>
      </w:r>
      <w:r>
        <w:rPr>
          <w:rFonts w:hint="eastAsia" w:ascii="宋体" w:hAnsi="宋体" w:eastAsia="宋体"/>
          <w:sz w:val="24"/>
          <w:szCs w:val="24"/>
          <w:highlight w:val="none"/>
          <w:lang w:val="zh-CN"/>
        </w:rPr>
        <w:t>，属于</w:t>
      </w:r>
      <w:r>
        <w:rPr>
          <w:rFonts w:hint="eastAsia" w:ascii="宋体" w:hAnsi="宋体" w:eastAsia="宋体"/>
          <w:sz w:val="24"/>
          <w:szCs w:val="24"/>
          <w:highlight w:val="none"/>
          <w:u w:val="single"/>
          <w:lang w:val="zh-CN"/>
        </w:rPr>
        <w:t>（采购文件中明确的所属行业）</w:t>
      </w:r>
      <w:r>
        <w:rPr>
          <w:rFonts w:hint="eastAsia" w:ascii="宋体" w:hAnsi="宋体" w:eastAsia="宋体"/>
          <w:sz w:val="24"/>
          <w:szCs w:val="24"/>
          <w:highlight w:val="none"/>
          <w:lang w:val="zh-CN"/>
        </w:rPr>
        <w:t>行业；制造商为</w:t>
      </w:r>
      <w:r>
        <w:rPr>
          <w:rFonts w:hint="eastAsia" w:ascii="宋体" w:hAnsi="宋体" w:eastAsia="宋体"/>
          <w:sz w:val="24"/>
          <w:szCs w:val="24"/>
          <w:highlight w:val="none"/>
          <w:u w:val="single"/>
          <w:lang w:val="zh-CN"/>
        </w:rPr>
        <w:t>（企业名称）</w:t>
      </w:r>
      <w:r>
        <w:rPr>
          <w:rFonts w:hint="eastAsia" w:ascii="宋体" w:hAnsi="宋体" w:eastAsia="宋体"/>
          <w:sz w:val="24"/>
          <w:szCs w:val="24"/>
          <w:highlight w:val="none"/>
          <w:lang w:val="zh-CN"/>
        </w:rPr>
        <w:t>，从业人员人，营业收入为万元，资产总额为万元，属于</w:t>
      </w:r>
      <w:r>
        <w:rPr>
          <w:rFonts w:hint="eastAsia" w:ascii="宋体" w:hAnsi="宋体" w:eastAsia="宋体"/>
          <w:sz w:val="24"/>
          <w:szCs w:val="24"/>
          <w:highlight w:val="none"/>
          <w:u w:val="single"/>
          <w:lang w:val="zh-CN"/>
        </w:rPr>
        <w:t>（中型企业、小型企业、微型企业）</w:t>
      </w:r>
      <w:r>
        <w:rPr>
          <w:rFonts w:hint="eastAsia" w:ascii="宋体" w:hAnsi="宋体" w:eastAsia="宋体"/>
          <w:sz w:val="24"/>
          <w:szCs w:val="24"/>
          <w:highlight w:val="none"/>
          <w:lang w:val="zh-CN"/>
        </w:rPr>
        <w:t xml:space="preserve">； </w:t>
      </w:r>
    </w:p>
    <w:p w14:paraId="5FFD4107">
      <w:pPr>
        <w:spacing w:line="360" w:lineRule="auto"/>
        <w:ind w:firstLine="435"/>
        <w:rPr>
          <w:rFonts w:ascii="宋体" w:hAnsi="宋体" w:eastAsia="宋体"/>
          <w:sz w:val="24"/>
          <w:szCs w:val="24"/>
          <w:highlight w:val="none"/>
          <w:lang w:val="zh-CN"/>
        </w:rPr>
      </w:pPr>
      <w:r>
        <w:rPr>
          <w:rFonts w:hint="eastAsia" w:ascii="宋体" w:hAnsi="宋体" w:eastAsia="宋体"/>
          <w:sz w:val="24"/>
          <w:szCs w:val="24"/>
          <w:highlight w:val="none"/>
          <w:lang w:val="zh-CN"/>
        </w:rPr>
        <w:t>……</w:t>
      </w:r>
    </w:p>
    <w:p w14:paraId="26553377">
      <w:pPr>
        <w:spacing w:line="360" w:lineRule="auto"/>
        <w:ind w:firstLine="435"/>
        <w:rPr>
          <w:rFonts w:ascii="宋体" w:hAnsi="宋体" w:eastAsia="宋体"/>
          <w:sz w:val="24"/>
          <w:szCs w:val="24"/>
          <w:highlight w:val="none"/>
          <w:lang w:val="zh-CN"/>
        </w:rPr>
      </w:pPr>
      <w:r>
        <w:rPr>
          <w:rFonts w:hint="eastAsia" w:ascii="宋体" w:hAnsi="宋体" w:eastAsia="宋体"/>
          <w:sz w:val="24"/>
          <w:szCs w:val="24"/>
          <w:highlight w:val="none"/>
          <w:lang w:val="zh-CN"/>
        </w:rPr>
        <w:t>以上企业，不属于大企业的分支机构，不存在控股股东为大企业的情形，也不存在与大企业的负责人为同一人的情形。</w:t>
      </w:r>
    </w:p>
    <w:p w14:paraId="352E7A3C">
      <w:pPr>
        <w:spacing w:line="360" w:lineRule="auto"/>
        <w:ind w:firstLine="435"/>
        <w:rPr>
          <w:rFonts w:ascii="宋体" w:hAnsi="宋体" w:eastAsia="宋体"/>
          <w:sz w:val="24"/>
          <w:szCs w:val="24"/>
          <w:highlight w:val="none"/>
          <w:lang w:val="zh-CN"/>
        </w:rPr>
      </w:pPr>
      <w:r>
        <w:rPr>
          <w:rFonts w:hint="eastAsia" w:ascii="宋体" w:hAnsi="宋体" w:eastAsia="宋体"/>
          <w:sz w:val="24"/>
          <w:szCs w:val="24"/>
          <w:highlight w:val="none"/>
          <w:lang w:val="zh-CN"/>
        </w:rPr>
        <w:t xml:space="preserve">本企业对上述声明内容的真实性负责。如有虚假，将依法承担相应责任。 </w:t>
      </w:r>
    </w:p>
    <w:p w14:paraId="751E99DA">
      <w:pPr>
        <w:spacing w:line="360" w:lineRule="auto"/>
        <w:ind w:firstLine="435"/>
        <w:rPr>
          <w:rFonts w:asciiTheme="minorEastAsia" w:hAnsiTheme="minorEastAsia" w:eastAsiaTheme="minorEastAsia"/>
          <w:sz w:val="24"/>
          <w:szCs w:val="24"/>
          <w:highlight w:val="none"/>
        </w:rPr>
      </w:pPr>
    </w:p>
    <w:p w14:paraId="7C60E52E">
      <w:pPr>
        <w:spacing w:line="360" w:lineRule="auto"/>
        <w:ind w:firstLine="4228" w:firstLineChars="1762"/>
        <w:rPr>
          <w:rFonts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投标人</w:t>
      </w:r>
      <w:r>
        <w:rPr>
          <w:rFonts w:asciiTheme="minorEastAsia" w:hAnsiTheme="minorEastAsia" w:eastAsiaTheme="minorEastAsia"/>
          <w:sz w:val="24"/>
          <w:szCs w:val="24"/>
          <w:highlight w:val="none"/>
        </w:rPr>
        <w:t>电子签章</w:t>
      </w:r>
      <w:r>
        <w:rPr>
          <w:rFonts w:hint="eastAsia" w:asciiTheme="minorEastAsia" w:hAnsiTheme="minorEastAsia" w:eastAsiaTheme="minorEastAsia"/>
          <w:sz w:val="24"/>
          <w:szCs w:val="24"/>
          <w:highlight w:val="none"/>
        </w:rPr>
        <w:t>：</w:t>
      </w:r>
    </w:p>
    <w:p w14:paraId="08CA4CB3">
      <w:pPr>
        <w:tabs>
          <w:tab w:val="left" w:pos="4620"/>
        </w:tabs>
        <w:spacing w:line="360" w:lineRule="auto"/>
        <w:ind w:firstLine="4252" w:firstLineChars="1772"/>
        <w:rPr>
          <w:rFonts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日    期：</w:t>
      </w:r>
    </w:p>
    <w:p w14:paraId="14F671E4">
      <w:pPr>
        <w:tabs>
          <w:tab w:val="left" w:pos="4620"/>
        </w:tabs>
        <w:spacing w:line="360" w:lineRule="auto"/>
        <w:jc w:val="left"/>
        <w:rPr>
          <w:rFonts w:asciiTheme="minorEastAsia" w:hAnsiTheme="minorEastAsia" w:eastAsiaTheme="minorEastAsia"/>
          <w:b/>
          <w:szCs w:val="24"/>
          <w:highlight w:val="none"/>
        </w:rPr>
      </w:pPr>
      <w:r>
        <w:rPr>
          <w:rFonts w:hint="eastAsia" w:asciiTheme="minorEastAsia" w:hAnsiTheme="minorEastAsia" w:eastAsiaTheme="minorEastAsia"/>
          <w:b/>
          <w:szCs w:val="24"/>
          <w:highlight w:val="none"/>
        </w:rPr>
        <w:t>注：</w:t>
      </w:r>
    </w:p>
    <w:p w14:paraId="4D8F88B9">
      <w:pPr>
        <w:tabs>
          <w:tab w:val="left" w:pos="4620"/>
        </w:tabs>
        <w:spacing w:line="360" w:lineRule="auto"/>
        <w:jc w:val="left"/>
        <w:rPr>
          <w:rFonts w:asciiTheme="minorEastAsia" w:hAnsiTheme="minorEastAsia" w:eastAsiaTheme="minorEastAsia"/>
          <w:szCs w:val="24"/>
          <w:highlight w:val="none"/>
        </w:rPr>
      </w:pPr>
      <w:r>
        <w:rPr>
          <w:rFonts w:asciiTheme="minorEastAsia" w:hAnsiTheme="minorEastAsia" w:eastAsiaTheme="minorEastAsia"/>
          <w:szCs w:val="24"/>
          <w:highlight w:val="none"/>
        </w:rPr>
        <w:t>1.从业人员、营业收入、资产总额填报上一年数据，无上一年数据的新成立企业可不填报。</w:t>
      </w:r>
    </w:p>
    <w:p w14:paraId="524A3FC4">
      <w:pPr>
        <w:tabs>
          <w:tab w:val="left" w:pos="4620"/>
        </w:tabs>
        <w:spacing w:line="360" w:lineRule="auto"/>
        <w:jc w:val="left"/>
        <w:rPr>
          <w:rFonts w:ascii="宋体" w:hAnsi="宋体" w:eastAsia="宋体" w:cs="宋体"/>
          <w:b/>
          <w:bCs/>
          <w:szCs w:val="21"/>
          <w:highlight w:val="none"/>
        </w:rPr>
      </w:pPr>
      <w:r>
        <w:rPr>
          <w:rFonts w:hint="eastAsia" w:ascii="宋体" w:hAnsi="宋体" w:eastAsia="宋体" w:cs="宋体"/>
          <w:b/>
          <w:bCs/>
          <w:szCs w:val="21"/>
          <w:highlight w:val="none"/>
        </w:rPr>
        <w:t>2.投标人应根据《政府采购促进中小企业发展管理办法》（财库﹝2020﹞46号）和《关于印发中小企业划型标准规定的通知》(工信部联企业〔2011〕300号)相关规定，如实填写中小企业声明函。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szCs w:val="21"/>
          <w:highlight w:val="none"/>
          <w:lang w:val="zh-CN"/>
        </w:rPr>
        <w:t>如有虚假，将依法承担相应责任。</w:t>
      </w:r>
      <w:r>
        <w:rPr>
          <w:rFonts w:hint="eastAsia" w:ascii="宋体" w:hAnsi="宋体" w:eastAsia="宋体" w:cs="宋体"/>
          <w:b/>
          <w:bCs/>
          <w:szCs w:val="21"/>
          <w:highlight w:val="none"/>
        </w:rPr>
        <w:t>投标人自行登录工业和信息化部官网进行中小企业规模类型自测（查询网址https://www.miit.gov.cn/）。</w:t>
      </w:r>
    </w:p>
    <w:p w14:paraId="38984787">
      <w:pPr>
        <w:tabs>
          <w:tab w:val="left" w:pos="4620"/>
        </w:tabs>
        <w:spacing w:line="360" w:lineRule="auto"/>
        <w:jc w:val="left"/>
        <w:rPr>
          <w:rFonts w:ascii="宋体" w:hAnsi="宋体" w:eastAsia="宋体" w:cs="宋体"/>
          <w:b/>
          <w:bCs/>
          <w:szCs w:val="21"/>
          <w:highlight w:val="none"/>
        </w:rPr>
      </w:pPr>
      <w:r>
        <w:rPr>
          <w:rFonts w:hint="eastAsia" w:ascii="宋体" w:hAnsi="宋体" w:eastAsia="宋体" w:cs="宋体"/>
          <w:b/>
          <w:bCs/>
          <w:szCs w:val="21"/>
          <w:highlight w:val="none"/>
        </w:rPr>
        <w:t>3.上述“</w:t>
      </w:r>
      <w:r>
        <w:rPr>
          <w:rFonts w:hint="eastAsia" w:ascii="宋体" w:hAnsi="宋体" w:eastAsia="宋体" w:cs="宋体"/>
          <w:b/>
          <w:bCs/>
          <w:szCs w:val="21"/>
          <w:highlight w:val="none"/>
          <w:u w:val="single"/>
          <w:lang w:val="zh-CN"/>
        </w:rPr>
        <w:t>标的名称</w:t>
      </w:r>
      <w:r>
        <w:rPr>
          <w:rFonts w:hint="eastAsia" w:ascii="宋体" w:hAnsi="宋体" w:eastAsia="宋体" w:cs="宋体"/>
          <w:b/>
          <w:bCs/>
          <w:szCs w:val="21"/>
          <w:highlight w:val="none"/>
        </w:rPr>
        <w:t>”，详见第三章采购需求中明确的“货物名称”。</w:t>
      </w:r>
    </w:p>
    <w:p w14:paraId="424DC6D1">
      <w:pPr>
        <w:spacing w:line="360" w:lineRule="auto"/>
        <w:outlineLvl w:val="1"/>
        <w:rPr>
          <w:rFonts w:hint="eastAsia" w:ascii="宋体" w:hAnsi="宋体" w:eastAsia="宋体"/>
          <w:b/>
          <w:bCs/>
          <w:sz w:val="24"/>
          <w:szCs w:val="18"/>
          <w:highlight w:val="none"/>
        </w:rPr>
      </w:pPr>
      <w:r>
        <w:rPr>
          <w:rFonts w:hint="eastAsia" w:ascii="宋体" w:hAnsi="宋体" w:eastAsia="宋体" w:cs="宋体"/>
          <w:b/>
          <w:bCs/>
          <w:szCs w:val="21"/>
          <w:highlight w:val="none"/>
        </w:rPr>
        <w:t>4.上述“</w:t>
      </w:r>
      <w:r>
        <w:rPr>
          <w:rFonts w:hint="eastAsia" w:ascii="宋体" w:hAnsi="宋体" w:eastAsia="宋体" w:cs="宋体"/>
          <w:b/>
          <w:bCs/>
          <w:szCs w:val="21"/>
          <w:highlight w:val="none"/>
          <w:u w:val="single"/>
        </w:rPr>
        <w:t>采购文件中明确的所属行业</w:t>
      </w:r>
      <w:r>
        <w:rPr>
          <w:rFonts w:hint="eastAsia" w:ascii="宋体" w:hAnsi="宋体" w:eastAsia="宋体" w:cs="宋体"/>
          <w:b/>
          <w:bCs/>
          <w:szCs w:val="21"/>
          <w:highlight w:val="none"/>
        </w:rPr>
        <w:t>”，详见第三章采购需求中明确的“所属行业”</w:t>
      </w:r>
      <w:r>
        <w:rPr>
          <w:rFonts w:hint="eastAsia" w:ascii="宋体" w:hAnsi="宋体" w:eastAsia="宋体" w:cs="宋体"/>
          <w:b/>
          <w:bCs/>
          <w:szCs w:val="21"/>
          <w:highlight w:val="none"/>
          <w:lang w:val="en-US" w:eastAsia="zh-CN"/>
        </w:rPr>
        <w:t>,</w:t>
      </w:r>
      <w:r>
        <w:rPr>
          <w:rFonts w:hint="eastAsia" w:ascii="宋体" w:hAnsi="宋体" w:eastAsia="宋体" w:cs="宋体"/>
          <w:b/>
          <w:bCs/>
          <w:sz w:val="21"/>
          <w:szCs w:val="21"/>
          <w:highlight w:val="none"/>
        </w:rPr>
        <w:t>所属行业中标注“/”的品目，投标人在《中小企业声明函》中无需列明。</w:t>
      </w:r>
    </w:p>
    <w:p w14:paraId="47AAF283">
      <w:pPr>
        <w:tabs>
          <w:tab w:val="left" w:pos="4620"/>
        </w:tabs>
        <w:spacing w:line="360" w:lineRule="auto"/>
        <w:jc w:val="left"/>
        <w:rPr>
          <w:rFonts w:ascii="宋体" w:hAnsi="宋体" w:eastAsia="宋体" w:cs="宋体"/>
          <w:b/>
          <w:bCs/>
          <w:szCs w:val="21"/>
          <w:highlight w:val="none"/>
        </w:rPr>
      </w:pPr>
      <w:r>
        <w:rPr>
          <w:rFonts w:hint="eastAsia" w:ascii="宋体" w:hAnsi="宋体" w:eastAsia="宋体" w:cs="宋体"/>
          <w:b/>
          <w:bCs/>
          <w:szCs w:val="21"/>
          <w:highlight w:val="none"/>
        </w:rPr>
        <w:t>。</w:t>
      </w:r>
    </w:p>
    <w:p w14:paraId="6137742F">
      <w:pPr>
        <w:tabs>
          <w:tab w:val="left" w:pos="4620"/>
        </w:tabs>
        <w:spacing w:line="360" w:lineRule="auto"/>
        <w:jc w:val="left"/>
        <w:rPr>
          <w:rFonts w:ascii="宋体" w:hAnsi="宋体" w:eastAsia="宋体" w:cs="宋体"/>
          <w:b/>
          <w:bCs/>
          <w:szCs w:val="21"/>
          <w:highlight w:val="none"/>
        </w:rPr>
      </w:pPr>
      <w:r>
        <w:rPr>
          <w:rFonts w:hint="eastAsia" w:ascii="宋体" w:hAnsi="宋体" w:eastAsia="宋体" w:cs="宋体"/>
          <w:b/>
          <w:bCs/>
          <w:szCs w:val="21"/>
          <w:highlight w:val="none"/>
        </w:rPr>
        <w:t>5．填写示例：</w:t>
      </w:r>
      <w:r>
        <w:rPr>
          <w:rFonts w:hint="eastAsia" w:ascii="宋体" w:hAnsi="宋体" w:eastAsia="宋体" w:cs="宋体"/>
          <w:b/>
          <w:bCs/>
          <w:szCs w:val="21"/>
          <w:highlight w:val="none"/>
          <w:u w:val="single"/>
          <w:lang w:val="zh-CN"/>
        </w:rPr>
        <w:t>某设备</w:t>
      </w:r>
      <w:r>
        <w:rPr>
          <w:rFonts w:hint="eastAsia" w:ascii="宋体" w:hAnsi="宋体" w:eastAsia="宋体" w:cs="宋体"/>
          <w:b/>
          <w:bCs/>
          <w:szCs w:val="21"/>
          <w:highlight w:val="none"/>
        </w:rPr>
        <w:t>，</w:t>
      </w:r>
      <w:r>
        <w:rPr>
          <w:rFonts w:hint="eastAsia" w:ascii="宋体" w:hAnsi="宋体" w:eastAsia="宋体" w:cs="宋体"/>
          <w:b/>
          <w:bCs/>
          <w:szCs w:val="21"/>
          <w:highlight w:val="none"/>
          <w:lang w:val="zh-CN"/>
        </w:rPr>
        <w:t>属于</w:t>
      </w:r>
      <w:r>
        <w:rPr>
          <w:rFonts w:hint="eastAsia" w:ascii="宋体" w:hAnsi="宋体" w:eastAsia="宋体" w:cs="宋体"/>
          <w:b/>
          <w:bCs/>
          <w:szCs w:val="21"/>
          <w:highlight w:val="none"/>
          <w:u w:val="single"/>
        </w:rPr>
        <w:t>（填写第三章采购需求中对应货物的“所属行业”，如工业）</w:t>
      </w:r>
      <w:r>
        <w:rPr>
          <w:rFonts w:hint="eastAsia" w:ascii="宋体" w:hAnsi="宋体" w:eastAsia="宋体" w:cs="宋体"/>
          <w:b/>
          <w:bCs/>
          <w:szCs w:val="21"/>
          <w:highlight w:val="none"/>
          <w:lang w:val="zh-CN"/>
        </w:rPr>
        <w:t>行业</w:t>
      </w:r>
      <w:r>
        <w:rPr>
          <w:rFonts w:hint="eastAsia" w:ascii="宋体" w:hAnsi="宋体" w:eastAsia="宋体" w:cs="宋体"/>
          <w:b/>
          <w:bCs/>
          <w:szCs w:val="21"/>
          <w:highlight w:val="none"/>
        </w:rPr>
        <w:t>；</w:t>
      </w:r>
      <w:r>
        <w:rPr>
          <w:rFonts w:hint="eastAsia" w:ascii="宋体" w:hAnsi="宋体" w:eastAsia="宋体" w:cs="宋体"/>
          <w:b/>
          <w:bCs/>
          <w:szCs w:val="21"/>
          <w:highlight w:val="none"/>
          <w:lang w:val="zh-CN"/>
        </w:rPr>
        <w:t>承接企业为</w:t>
      </w:r>
      <w:r>
        <w:rPr>
          <w:rFonts w:hint="eastAsia" w:ascii="宋体" w:hAnsi="宋体" w:eastAsia="宋体" w:cs="宋体"/>
          <w:b/>
          <w:bCs/>
          <w:szCs w:val="21"/>
          <w:highlight w:val="none"/>
          <w:u w:val="single"/>
          <w:lang w:val="zh-CN"/>
        </w:rPr>
        <w:t>某</w:t>
      </w:r>
      <w:r>
        <w:rPr>
          <w:rFonts w:hint="eastAsia" w:ascii="宋体" w:hAnsi="宋体" w:eastAsia="宋体" w:cs="宋体"/>
          <w:b/>
          <w:bCs/>
          <w:szCs w:val="21"/>
          <w:highlight w:val="none"/>
          <w:u w:val="single"/>
        </w:rPr>
        <w:t>企业</w:t>
      </w:r>
      <w:r>
        <w:rPr>
          <w:rFonts w:hint="eastAsia" w:ascii="宋体" w:hAnsi="宋体" w:eastAsia="宋体" w:cs="宋体"/>
          <w:b/>
          <w:bCs/>
          <w:szCs w:val="21"/>
          <w:highlight w:val="none"/>
        </w:rPr>
        <w:t>，</w:t>
      </w:r>
      <w:r>
        <w:rPr>
          <w:rFonts w:hint="eastAsia" w:ascii="宋体" w:hAnsi="宋体" w:eastAsia="宋体" w:cs="宋体"/>
          <w:b/>
          <w:bCs/>
          <w:szCs w:val="21"/>
          <w:highlight w:val="none"/>
          <w:lang w:val="zh-CN"/>
        </w:rPr>
        <w:t>从业人员</w:t>
      </w:r>
      <w:r>
        <w:rPr>
          <w:rFonts w:hint="eastAsia" w:ascii="宋体" w:hAnsi="宋体" w:eastAsia="宋体" w:cs="宋体"/>
          <w:b/>
          <w:bCs/>
          <w:szCs w:val="21"/>
          <w:highlight w:val="none"/>
          <w:u w:val="single"/>
        </w:rPr>
        <w:t>100</w:t>
      </w:r>
      <w:r>
        <w:rPr>
          <w:rFonts w:hint="eastAsia" w:ascii="宋体" w:hAnsi="宋体" w:eastAsia="宋体" w:cs="宋体"/>
          <w:b/>
          <w:bCs/>
          <w:szCs w:val="21"/>
          <w:highlight w:val="none"/>
          <w:lang w:val="zh-CN"/>
        </w:rPr>
        <w:t>人</w:t>
      </w:r>
      <w:r>
        <w:rPr>
          <w:rFonts w:hint="eastAsia" w:ascii="宋体" w:hAnsi="宋体" w:eastAsia="宋体" w:cs="宋体"/>
          <w:b/>
          <w:bCs/>
          <w:szCs w:val="21"/>
          <w:highlight w:val="none"/>
        </w:rPr>
        <w:t>，</w:t>
      </w:r>
      <w:r>
        <w:rPr>
          <w:rFonts w:hint="eastAsia" w:ascii="宋体" w:hAnsi="宋体" w:eastAsia="宋体" w:cs="宋体"/>
          <w:b/>
          <w:bCs/>
          <w:szCs w:val="21"/>
          <w:highlight w:val="none"/>
          <w:lang w:val="zh-CN"/>
        </w:rPr>
        <w:t>营业收入为</w:t>
      </w:r>
      <w:r>
        <w:rPr>
          <w:rFonts w:hint="eastAsia" w:ascii="宋体" w:hAnsi="宋体" w:eastAsia="宋体" w:cs="宋体"/>
          <w:b/>
          <w:bCs/>
          <w:szCs w:val="21"/>
          <w:highlight w:val="none"/>
          <w:u w:val="single"/>
        </w:rPr>
        <w:t>10000</w:t>
      </w:r>
      <w:r>
        <w:rPr>
          <w:rFonts w:hint="eastAsia" w:ascii="宋体" w:hAnsi="宋体" w:eastAsia="宋体" w:cs="宋体"/>
          <w:b/>
          <w:bCs/>
          <w:szCs w:val="21"/>
          <w:highlight w:val="none"/>
          <w:lang w:val="zh-CN"/>
        </w:rPr>
        <w:t>万元</w:t>
      </w:r>
      <w:r>
        <w:rPr>
          <w:rFonts w:hint="eastAsia" w:ascii="宋体" w:hAnsi="宋体" w:eastAsia="宋体" w:cs="宋体"/>
          <w:b/>
          <w:bCs/>
          <w:szCs w:val="21"/>
          <w:highlight w:val="none"/>
        </w:rPr>
        <w:t>，</w:t>
      </w:r>
      <w:r>
        <w:rPr>
          <w:rFonts w:hint="eastAsia" w:ascii="宋体" w:hAnsi="宋体" w:eastAsia="宋体" w:cs="宋体"/>
          <w:b/>
          <w:bCs/>
          <w:szCs w:val="21"/>
          <w:highlight w:val="none"/>
          <w:lang w:val="zh-CN"/>
        </w:rPr>
        <w:t>资产总额为</w:t>
      </w:r>
      <w:r>
        <w:rPr>
          <w:rFonts w:hint="eastAsia" w:ascii="宋体" w:hAnsi="宋体" w:eastAsia="宋体" w:cs="宋体"/>
          <w:b/>
          <w:bCs/>
          <w:szCs w:val="21"/>
          <w:highlight w:val="none"/>
          <w:u w:val="single"/>
        </w:rPr>
        <w:t>5000</w:t>
      </w:r>
      <w:r>
        <w:rPr>
          <w:rFonts w:hint="eastAsia" w:ascii="宋体" w:hAnsi="宋体" w:eastAsia="宋体" w:cs="宋体"/>
          <w:b/>
          <w:bCs/>
          <w:szCs w:val="21"/>
          <w:highlight w:val="none"/>
          <w:lang w:val="zh-CN"/>
        </w:rPr>
        <w:t>万元</w:t>
      </w:r>
      <w:r>
        <w:rPr>
          <w:rFonts w:hint="eastAsia" w:ascii="宋体" w:hAnsi="宋体" w:eastAsia="宋体" w:cs="宋体"/>
          <w:b/>
          <w:bCs/>
          <w:szCs w:val="21"/>
          <w:highlight w:val="none"/>
        </w:rPr>
        <w:t>，</w:t>
      </w:r>
      <w:r>
        <w:rPr>
          <w:rFonts w:hint="eastAsia" w:ascii="宋体" w:hAnsi="宋体" w:eastAsia="宋体" w:cs="宋体"/>
          <w:b/>
          <w:bCs/>
          <w:szCs w:val="21"/>
          <w:highlight w:val="none"/>
          <w:lang w:val="zh-CN"/>
        </w:rPr>
        <w:t>属于</w:t>
      </w:r>
      <w:r>
        <w:rPr>
          <w:rFonts w:hint="eastAsia" w:ascii="宋体" w:hAnsi="宋体" w:eastAsia="宋体" w:cs="宋体"/>
          <w:b/>
          <w:bCs/>
          <w:szCs w:val="21"/>
          <w:highlight w:val="none"/>
          <w:u w:val="single"/>
          <w:lang w:val="zh-CN"/>
        </w:rPr>
        <w:t>小型</w:t>
      </w:r>
      <w:r>
        <w:rPr>
          <w:rFonts w:hint="eastAsia" w:ascii="宋体" w:hAnsi="宋体" w:eastAsia="宋体" w:cs="宋体"/>
          <w:b/>
          <w:bCs/>
          <w:szCs w:val="21"/>
          <w:highlight w:val="none"/>
          <w:lang w:val="zh-CN"/>
        </w:rPr>
        <w:t>企业</w:t>
      </w:r>
      <w:r>
        <w:rPr>
          <w:rFonts w:hint="eastAsia" w:ascii="宋体" w:hAnsi="宋体" w:eastAsia="宋体" w:cs="宋体"/>
          <w:b/>
          <w:bCs/>
          <w:szCs w:val="21"/>
          <w:highlight w:val="none"/>
        </w:rPr>
        <w:t>[投标人自行登录工业和信息化部官网进行中小企业规模类型自测（查询网址https://www.miit.gov.cn/）]</w:t>
      </w:r>
      <w:r>
        <w:rPr>
          <w:rFonts w:hint="eastAsia" w:ascii="宋体" w:hAnsi="宋体" w:eastAsia="宋体" w:cs="宋体"/>
          <w:b/>
          <w:bCs/>
          <w:szCs w:val="21"/>
          <w:highlight w:val="none"/>
          <w:lang w:val="zh-CN"/>
        </w:rPr>
        <w:t>。</w:t>
      </w:r>
    </w:p>
    <w:p w14:paraId="0006FB9A">
      <w:pPr>
        <w:rPr>
          <w:rFonts w:asciiTheme="minorEastAsia" w:hAnsiTheme="minorEastAsia" w:eastAsiaTheme="minorEastAsia"/>
          <w:b/>
          <w:bCs/>
          <w:szCs w:val="24"/>
          <w:highlight w:val="none"/>
        </w:rPr>
      </w:pPr>
      <w:r>
        <w:rPr>
          <w:rFonts w:hint="eastAsia" w:asciiTheme="minorEastAsia" w:hAnsiTheme="minorEastAsia" w:eastAsiaTheme="minorEastAsia"/>
          <w:b/>
          <w:bCs/>
          <w:szCs w:val="24"/>
          <w:highlight w:val="none"/>
        </w:rPr>
        <w:br w:type="page"/>
      </w:r>
      <w:bookmarkEnd w:id="132"/>
      <w:bookmarkEnd w:id="133"/>
    </w:p>
    <w:p w14:paraId="7870E417">
      <w:pPr>
        <w:spacing w:line="360" w:lineRule="auto"/>
        <w:jc w:val="center"/>
        <w:outlineLvl w:val="1"/>
        <w:rPr>
          <w:rFonts w:asciiTheme="minorEastAsia" w:hAnsiTheme="minorEastAsia" w:eastAsiaTheme="minorEastAsia"/>
          <w:b/>
          <w:sz w:val="24"/>
          <w:highlight w:val="none"/>
        </w:rPr>
      </w:pPr>
      <w:bookmarkStart w:id="134" w:name="_Toc16713"/>
      <w:bookmarkStart w:id="135" w:name="_Toc30841"/>
      <w:bookmarkStart w:id="136" w:name="_Toc24563"/>
      <w:r>
        <w:rPr>
          <w:rFonts w:hint="eastAsia" w:asciiTheme="minorEastAsia" w:hAnsiTheme="minorEastAsia" w:eastAsiaTheme="minorEastAsia"/>
          <w:b/>
          <w:sz w:val="24"/>
          <w:highlight w:val="none"/>
        </w:rPr>
        <w:t>八、残疾人福利性单位声明函</w:t>
      </w:r>
      <w:bookmarkEnd w:id="134"/>
      <w:bookmarkEnd w:id="135"/>
      <w:bookmarkEnd w:id="136"/>
    </w:p>
    <w:p w14:paraId="7CE7F41E">
      <w:pPr>
        <w:pStyle w:val="9"/>
        <w:spacing w:line="360" w:lineRule="auto"/>
        <w:jc w:val="center"/>
        <w:rPr>
          <w:rFonts w:ascii="宋体" w:hAnsi="宋体" w:eastAsia="宋体"/>
          <w:i/>
          <w:sz w:val="24"/>
          <w:highlight w:val="none"/>
          <w:lang w:val="en-US"/>
        </w:rPr>
      </w:pPr>
      <w:r>
        <w:rPr>
          <w:rFonts w:hint="eastAsia" w:ascii="宋体" w:hAnsi="宋体" w:eastAsia="宋体"/>
          <w:i/>
          <w:sz w:val="24"/>
          <w:highlight w:val="none"/>
          <w:lang w:val="en-US"/>
        </w:rPr>
        <w:t>（非残疾人福利性单位投标，请删去“残疾人福利性单位声明函”）</w:t>
      </w:r>
    </w:p>
    <w:p w14:paraId="31BA7299">
      <w:pPr>
        <w:spacing w:line="360" w:lineRule="auto"/>
        <w:ind w:firstLine="435"/>
        <w:rPr>
          <w:rFonts w:asciiTheme="minorEastAsia" w:hAnsiTheme="minorEastAsia" w:eastAsiaTheme="minorEastAsia"/>
          <w:spacing w:val="6"/>
          <w:sz w:val="24"/>
          <w:szCs w:val="24"/>
          <w:highlight w:val="none"/>
        </w:rPr>
      </w:pPr>
      <w:r>
        <w:rPr>
          <w:rFonts w:hint="eastAsia" w:asciiTheme="minorEastAsia" w:hAnsiTheme="minorEastAsia" w:eastAsiaTheme="minorEastAsia"/>
          <w:spacing w:val="6"/>
          <w:sz w:val="24"/>
          <w:szCs w:val="24"/>
          <w:highlight w:val="none"/>
        </w:rPr>
        <w:t>本单位</w:t>
      </w:r>
      <w:r>
        <w:rPr>
          <w:rFonts w:hint="eastAsia" w:asciiTheme="minorEastAsia" w:hAnsiTheme="minorEastAsia" w:eastAsiaTheme="minorEastAsia"/>
          <w:sz w:val="24"/>
          <w:highlight w:val="none"/>
        </w:rPr>
        <w:t>郑重</w:t>
      </w:r>
      <w:r>
        <w:rPr>
          <w:rFonts w:hint="eastAsia" w:asciiTheme="minorEastAsia" w:hAnsiTheme="minorEastAsia" w:eastAsiaTheme="minorEastAsia"/>
          <w:spacing w:val="6"/>
          <w:sz w:val="24"/>
          <w:szCs w:val="24"/>
          <w:highlight w:val="none"/>
        </w:rPr>
        <w:t>声明，根据《财政部 民政部 中国残疾人联合会关于促进残疾人就业政府采购政策的通知》（财库</w:t>
      </w:r>
      <w:r>
        <w:rPr>
          <w:rFonts w:hint="eastAsia" w:asciiTheme="minorEastAsia" w:hAnsiTheme="minorEastAsia" w:eastAsiaTheme="minorEastAsia"/>
          <w:sz w:val="24"/>
          <w:szCs w:val="24"/>
          <w:highlight w:val="none"/>
        </w:rPr>
        <w:t>〔2017〕141</w:t>
      </w:r>
      <w:r>
        <w:rPr>
          <w:rFonts w:hint="eastAsia" w:asciiTheme="minorEastAsia" w:hAnsiTheme="minorEastAsia" w:eastAsiaTheme="minorEastAsia"/>
          <w:spacing w:val="6"/>
          <w:sz w:val="24"/>
          <w:szCs w:val="24"/>
          <w:highlight w:val="none"/>
        </w:rPr>
        <w:t>号）的规定，本单位为</w:t>
      </w:r>
      <w:r>
        <w:rPr>
          <w:rFonts w:hint="eastAsia" w:asciiTheme="minorEastAsia" w:hAnsiTheme="minorEastAsia" w:eastAsiaTheme="minorEastAsia"/>
          <w:bCs/>
          <w:sz w:val="24"/>
          <w:szCs w:val="24"/>
          <w:highlight w:val="none"/>
        </w:rPr>
        <w:t>符合</w:t>
      </w:r>
      <w:r>
        <w:rPr>
          <w:rFonts w:hint="eastAsia" w:asciiTheme="minorEastAsia" w:hAnsiTheme="minorEastAsia" w:eastAsiaTheme="minorEastAsia"/>
          <w:spacing w:val="6"/>
          <w:sz w:val="24"/>
          <w:szCs w:val="24"/>
          <w:highlight w:val="none"/>
        </w:rPr>
        <w:t>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A232A07">
      <w:pPr>
        <w:spacing w:line="360" w:lineRule="auto"/>
        <w:ind w:firstLine="435"/>
        <w:rPr>
          <w:rFonts w:asciiTheme="minorEastAsia" w:hAnsiTheme="minorEastAsia" w:eastAsiaTheme="minorEastAsia"/>
          <w:spacing w:val="6"/>
          <w:sz w:val="24"/>
          <w:szCs w:val="24"/>
          <w:highlight w:val="none"/>
        </w:rPr>
      </w:pPr>
      <w:r>
        <w:rPr>
          <w:rFonts w:hint="eastAsia" w:asciiTheme="minorEastAsia" w:hAnsiTheme="minorEastAsia" w:eastAsiaTheme="minorEastAsia"/>
          <w:spacing w:val="6"/>
          <w:sz w:val="24"/>
          <w:szCs w:val="24"/>
          <w:highlight w:val="none"/>
        </w:rPr>
        <w:t>本单位对上述声明的真实性负责。如有虚假，将依法承担相应责任。</w:t>
      </w:r>
    </w:p>
    <w:p w14:paraId="335ACC3A">
      <w:pPr>
        <w:spacing w:line="360" w:lineRule="auto"/>
        <w:ind w:firstLine="4228" w:firstLineChars="1762"/>
        <w:rPr>
          <w:rFonts w:asciiTheme="minorEastAsia" w:hAnsiTheme="minorEastAsia" w:eastAsiaTheme="minorEastAsia"/>
          <w:sz w:val="24"/>
          <w:szCs w:val="24"/>
          <w:highlight w:val="none"/>
        </w:rPr>
      </w:pPr>
    </w:p>
    <w:p w14:paraId="7AB39735">
      <w:pPr>
        <w:spacing w:line="360" w:lineRule="auto"/>
        <w:ind w:firstLine="4228" w:firstLineChars="1762"/>
        <w:rPr>
          <w:rFonts w:asciiTheme="minorEastAsia" w:hAnsiTheme="minorEastAsia" w:eastAsiaTheme="minorEastAsia"/>
          <w:sz w:val="24"/>
          <w:szCs w:val="24"/>
          <w:highlight w:val="none"/>
        </w:rPr>
      </w:pPr>
    </w:p>
    <w:p w14:paraId="2FC7BBA9">
      <w:pPr>
        <w:spacing w:line="360" w:lineRule="auto"/>
        <w:ind w:firstLine="4228" w:firstLineChars="1762"/>
        <w:rPr>
          <w:rFonts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投标人</w:t>
      </w:r>
      <w:r>
        <w:rPr>
          <w:rFonts w:asciiTheme="minorEastAsia" w:hAnsiTheme="minorEastAsia" w:eastAsiaTheme="minorEastAsia"/>
          <w:sz w:val="24"/>
          <w:szCs w:val="24"/>
          <w:highlight w:val="none"/>
        </w:rPr>
        <w:t>电子签章</w:t>
      </w:r>
      <w:r>
        <w:rPr>
          <w:rFonts w:hint="eastAsia" w:asciiTheme="minorEastAsia" w:hAnsiTheme="minorEastAsia" w:eastAsiaTheme="minorEastAsia"/>
          <w:sz w:val="24"/>
          <w:szCs w:val="24"/>
          <w:highlight w:val="none"/>
        </w:rPr>
        <w:t>：</w:t>
      </w:r>
    </w:p>
    <w:p w14:paraId="1B7C02D6">
      <w:pPr>
        <w:tabs>
          <w:tab w:val="left" w:pos="4620"/>
        </w:tabs>
        <w:spacing w:line="360" w:lineRule="auto"/>
        <w:ind w:firstLine="4252" w:firstLineChars="1772"/>
        <w:rPr>
          <w:rFonts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日    期：</w:t>
      </w:r>
    </w:p>
    <w:p w14:paraId="24B3CDCC">
      <w:pPr>
        <w:widowControl/>
        <w:jc w:val="left"/>
        <w:rPr>
          <w:rFonts w:asciiTheme="minorEastAsia" w:hAnsiTheme="minorEastAsia" w:eastAsiaTheme="minorEastAsia"/>
          <w:sz w:val="24"/>
          <w:highlight w:val="none"/>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asciiTheme="minorEastAsia" w:hAnsiTheme="minorEastAsia" w:eastAsiaTheme="minorEastAsia"/>
          <w:sz w:val="24"/>
          <w:highlight w:val="none"/>
        </w:rPr>
        <w:br w:type="page"/>
      </w:r>
    </w:p>
    <w:p w14:paraId="4D983A94">
      <w:pPr>
        <w:widowControl/>
        <w:jc w:val="left"/>
        <w:rPr>
          <w:rFonts w:ascii="宋体" w:hAnsi="宋体" w:eastAsia="宋体" w:cs="宋体"/>
          <w:b/>
          <w:bCs/>
          <w:kern w:val="0"/>
          <w:sz w:val="24"/>
          <w:szCs w:val="24"/>
          <w:highlight w:val="none"/>
        </w:rPr>
      </w:pPr>
      <w:r>
        <w:rPr>
          <w:rFonts w:hint="eastAsia" w:ascii="宋体" w:hAnsi="宋体" w:eastAsia="宋体" w:cs="宋体"/>
          <w:sz w:val="24"/>
          <w:szCs w:val="24"/>
          <w:highlight w:val="none"/>
        </w:rPr>
        <w:t>附件：</w:t>
      </w:r>
    </w:p>
    <w:p w14:paraId="749284DA">
      <w:pPr>
        <w:widowControl/>
        <w:jc w:val="center"/>
        <w:rPr>
          <w:rFonts w:ascii="宋体" w:hAnsi="宋体" w:eastAsia="宋体" w:cs="宋体"/>
          <w:b/>
          <w:sz w:val="24"/>
          <w:szCs w:val="24"/>
          <w:highlight w:val="none"/>
        </w:rPr>
      </w:pPr>
      <w:r>
        <w:rPr>
          <w:rFonts w:hint="eastAsia" w:ascii="宋体" w:hAnsi="宋体" w:eastAsia="宋体" w:cs="宋体"/>
          <w:b/>
          <w:sz w:val="24"/>
          <w:szCs w:val="24"/>
          <w:highlight w:val="none"/>
        </w:rPr>
        <w:t>中小企业划型标准规定</w:t>
      </w:r>
    </w:p>
    <w:p w14:paraId="3E3B5537">
      <w:pPr>
        <w:widowControl/>
        <w:adjustRightInd w:val="0"/>
        <w:snapToGrid w:val="0"/>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一、根据《中华人民共和国中小企业促进法》和《国务院关于进一步促进中小企业发展的若干意见》（国发〔2009〕36号），制定本规定。</w:t>
      </w:r>
    </w:p>
    <w:p w14:paraId="56BC9D02">
      <w:pPr>
        <w:widowControl/>
        <w:adjustRightInd w:val="0"/>
        <w:snapToGrid w:val="0"/>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二、中小企业划分为中型、小型、微型三种类型，具体标准根据企业从业人员、营业收入、资产总额等指标，结合行业特点制定。</w:t>
      </w:r>
    </w:p>
    <w:p w14:paraId="0B5FE0F3">
      <w:pPr>
        <w:widowControl/>
        <w:adjustRightInd w:val="0"/>
        <w:snapToGrid w:val="0"/>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4404EC0">
      <w:pPr>
        <w:widowControl/>
        <w:adjustRightInd w:val="0"/>
        <w:snapToGrid w:val="0"/>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四、各行业划型标准为：</w:t>
      </w:r>
    </w:p>
    <w:p w14:paraId="4D56242D">
      <w:pPr>
        <w:widowControl/>
        <w:adjustRightInd w:val="0"/>
        <w:snapToGrid w:val="0"/>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（一）农、林、牧、渔业。营业收入20000万元以下的为中小微型企业。其中，营业收入500万元及以上的为中型企业，营业收入50万元及以上的为小型企业，营业收入50万元以下的为微型企业。</w:t>
      </w:r>
    </w:p>
    <w:p w14:paraId="119F9D2F">
      <w:pPr>
        <w:widowControl/>
        <w:adjustRightInd w:val="0"/>
        <w:snapToGrid w:val="0"/>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F2A6E02">
      <w:pPr>
        <w:widowControl/>
        <w:adjustRightInd w:val="0"/>
        <w:snapToGrid w:val="0"/>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6F625D1">
      <w:pPr>
        <w:widowControl/>
        <w:adjustRightInd w:val="0"/>
        <w:snapToGrid w:val="0"/>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73401B5">
      <w:pPr>
        <w:widowControl/>
        <w:adjustRightInd w:val="0"/>
        <w:snapToGrid w:val="0"/>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D116335">
      <w:pPr>
        <w:widowControl/>
        <w:adjustRightInd w:val="0"/>
        <w:snapToGrid w:val="0"/>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102C794">
      <w:pPr>
        <w:widowControl/>
        <w:adjustRightInd w:val="0"/>
        <w:snapToGrid w:val="0"/>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69145DE">
      <w:pPr>
        <w:widowControl/>
        <w:adjustRightInd w:val="0"/>
        <w:snapToGrid w:val="0"/>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36BC73B">
      <w:pPr>
        <w:widowControl/>
        <w:adjustRightInd w:val="0"/>
        <w:snapToGrid w:val="0"/>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AA12E88">
      <w:pPr>
        <w:widowControl/>
        <w:adjustRightInd w:val="0"/>
        <w:snapToGrid w:val="0"/>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AF4FB31">
      <w:pPr>
        <w:widowControl/>
        <w:adjustRightInd w:val="0"/>
        <w:snapToGrid w:val="0"/>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C735285">
      <w:pPr>
        <w:widowControl/>
        <w:adjustRightInd w:val="0"/>
        <w:snapToGrid w:val="0"/>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5431F8D">
      <w:pPr>
        <w:widowControl/>
        <w:adjustRightInd w:val="0"/>
        <w:snapToGrid w:val="0"/>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7279272">
      <w:pPr>
        <w:widowControl/>
        <w:adjustRightInd w:val="0"/>
        <w:snapToGrid w:val="0"/>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29CF4EF">
      <w:pPr>
        <w:widowControl/>
        <w:adjustRightInd w:val="0"/>
        <w:snapToGrid w:val="0"/>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C375941">
      <w:pPr>
        <w:widowControl/>
        <w:adjustRightInd w:val="0"/>
        <w:snapToGrid w:val="0"/>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（十六）其他未列明行业。从业人员300人以下的为中小微型企业。其中，从业人员100人及以上的为中型企业；从业人员10人及以上的为小型企业；从业人员10人以下的为微型企业。</w:t>
      </w:r>
    </w:p>
    <w:p w14:paraId="3110F9DB">
      <w:pPr>
        <w:widowControl/>
        <w:adjustRightInd w:val="0"/>
        <w:snapToGrid w:val="0"/>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五、企业类型的划分以统计部门的统计数据为依据。</w:t>
      </w:r>
    </w:p>
    <w:p w14:paraId="49D68CD6">
      <w:pPr>
        <w:widowControl/>
        <w:adjustRightInd w:val="0"/>
        <w:snapToGrid w:val="0"/>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六、本规定适用于在中华人民共和国境内依法设立的各类所有制和各种组织形式的企业。个体工商户和本规定以外的行业，参照本规定进行划型。</w:t>
      </w:r>
    </w:p>
    <w:p w14:paraId="37C272B0">
      <w:pPr>
        <w:widowControl/>
        <w:adjustRightInd w:val="0"/>
        <w:snapToGrid w:val="0"/>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51701590">
      <w:pPr>
        <w:widowControl/>
        <w:adjustRightInd w:val="0"/>
        <w:snapToGrid w:val="0"/>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八、本规定由工业和信息化部、国家统计局会同有关部门根据《国民经济行业分类》修订情况和企业发展变化情况适时修订。</w:t>
      </w:r>
    </w:p>
    <w:p w14:paraId="00D19D7C">
      <w:pPr>
        <w:widowControl/>
        <w:adjustRightInd w:val="0"/>
        <w:snapToGrid w:val="0"/>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九、本规定由工业和信息化部、国家统计局会同有关部门负责解释。</w:t>
      </w:r>
    </w:p>
    <w:p w14:paraId="0F5B88A1">
      <w:pPr>
        <w:widowControl/>
        <w:adjustRightInd w:val="0"/>
        <w:snapToGrid w:val="0"/>
        <w:ind w:firstLine="480" w:firstLineChars="200"/>
        <w:rPr>
          <w:rFonts w:ascii="Arial" w:hAnsi="Arial" w:cs="Arial"/>
          <w:szCs w:val="21"/>
          <w:highlight w:val="none"/>
        </w:rPr>
      </w:pPr>
      <w:r>
        <w:rPr>
          <w:rFonts w:hint="eastAsia" w:ascii="宋体" w:hAnsi="宋体" w:eastAsia="宋体" w:cs="宋体"/>
          <w:sz w:val="24"/>
          <w:szCs w:val="24"/>
          <w:highlight w:val="none"/>
        </w:rPr>
        <w:t>十、本规定自发布之日起执行，原国家经贸委、原国家计委、财政部和国家统计局2003年颁布的《中小企业标准暂行规定》同时废止</w:t>
      </w:r>
      <w:r>
        <w:rPr>
          <w:rFonts w:hint="eastAsia" w:ascii="Arial" w:hAnsi="Arial" w:cs="Arial"/>
          <w:szCs w:val="21"/>
          <w:highlight w:val="none"/>
        </w:rPr>
        <w:t>。</w:t>
      </w:r>
    </w:p>
    <w:p w14:paraId="4BA5482D">
      <w:pPr>
        <w:rPr>
          <w:highlight w:val="none"/>
        </w:rPr>
      </w:pPr>
      <w:r>
        <w:rPr>
          <w:highlight w:val="none"/>
        </w:rPr>
        <w:br w:type="page"/>
      </w:r>
    </w:p>
    <w:p w14:paraId="72EDA49B">
      <w:pPr>
        <w:spacing w:line="360" w:lineRule="auto"/>
        <w:jc w:val="center"/>
        <w:outlineLvl w:val="1"/>
        <w:rPr>
          <w:rFonts w:asciiTheme="minorEastAsia" w:hAnsiTheme="minorEastAsia" w:eastAsiaTheme="minorEastAsia"/>
          <w:b/>
          <w:sz w:val="24"/>
          <w:highlight w:val="none"/>
        </w:rPr>
      </w:pPr>
      <w:bookmarkStart w:id="137" w:name="_Toc457768004"/>
      <w:bookmarkStart w:id="138" w:name="_Toc300210382"/>
      <w:bookmarkStart w:id="139" w:name="_Toc520299348"/>
      <w:bookmarkStart w:id="140" w:name="_Toc26536"/>
      <w:bookmarkStart w:id="141" w:name="_Toc30335"/>
      <w:bookmarkStart w:id="142" w:name="_Toc25813"/>
      <w:bookmarkStart w:id="143" w:name="_Hlk11701496"/>
      <w:r>
        <w:rPr>
          <w:rFonts w:hint="eastAsia" w:asciiTheme="minorEastAsia" w:hAnsiTheme="minorEastAsia" w:eastAsiaTheme="minorEastAsia"/>
          <w:b/>
          <w:sz w:val="24"/>
          <w:highlight w:val="none"/>
        </w:rPr>
        <w:t>九、</w:t>
      </w:r>
      <w:bookmarkEnd w:id="137"/>
      <w:bookmarkEnd w:id="138"/>
      <w:bookmarkEnd w:id="139"/>
      <w:r>
        <w:rPr>
          <w:rFonts w:hint="eastAsia" w:asciiTheme="minorEastAsia" w:hAnsiTheme="minorEastAsia" w:eastAsiaTheme="minorEastAsia"/>
          <w:b/>
          <w:sz w:val="24"/>
          <w:highlight w:val="none"/>
        </w:rPr>
        <w:t>诚信履约承诺函</w:t>
      </w:r>
      <w:bookmarkEnd w:id="140"/>
      <w:bookmarkEnd w:id="141"/>
      <w:bookmarkEnd w:id="142"/>
    </w:p>
    <w:p w14:paraId="53032226">
      <w:pPr>
        <w:spacing w:line="360" w:lineRule="auto"/>
        <w:rPr>
          <w:rFonts w:asciiTheme="minorEastAsia" w:hAnsiTheme="minorEastAsia" w:eastAsiaTheme="minorEastAsia"/>
          <w:b/>
          <w:bCs/>
          <w:sz w:val="24"/>
          <w:highlight w:val="none"/>
        </w:rPr>
      </w:pPr>
    </w:p>
    <w:p w14:paraId="4D623308">
      <w:pPr>
        <w:spacing w:line="360" w:lineRule="auto"/>
        <w:rPr>
          <w:rFonts w:asciiTheme="minorEastAsia" w:hAnsiTheme="minorEastAsia" w:eastAsiaTheme="minorEastAsia"/>
          <w:b/>
          <w:bCs/>
          <w:sz w:val="24"/>
          <w:highlight w:val="none"/>
          <w:u w:val="single"/>
        </w:rPr>
      </w:pPr>
      <w:r>
        <w:rPr>
          <w:rFonts w:hint="eastAsia" w:asciiTheme="minorEastAsia" w:hAnsiTheme="minorEastAsia" w:eastAsiaTheme="minorEastAsia"/>
          <w:b/>
          <w:bCs/>
          <w:sz w:val="24"/>
          <w:highlight w:val="none"/>
        </w:rPr>
        <w:t>致：采购人</w:t>
      </w:r>
    </w:p>
    <w:p w14:paraId="1807496D">
      <w:pPr>
        <w:spacing w:line="360" w:lineRule="auto"/>
        <w:ind w:firstLine="480" w:firstLineChars="200"/>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4379A869">
      <w:pPr>
        <w:spacing w:line="360" w:lineRule="auto"/>
        <w:ind w:firstLine="480" w:firstLineChars="200"/>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（1）中标或者成交后无正当理由拒不与采购人签订政府采购合同；</w:t>
      </w:r>
    </w:p>
    <w:p w14:paraId="3CF76918">
      <w:pPr>
        <w:spacing w:line="360" w:lineRule="auto"/>
        <w:ind w:firstLine="480" w:firstLineChars="200"/>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（2）未按照采购文件确定的事项签订政府采购合同；</w:t>
      </w:r>
    </w:p>
    <w:p w14:paraId="74FF4613">
      <w:pPr>
        <w:spacing w:line="360" w:lineRule="auto"/>
        <w:ind w:firstLine="480" w:firstLineChars="200"/>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（3）将政府采购合同转包；</w:t>
      </w:r>
    </w:p>
    <w:p w14:paraId="337EE500">
      <w:pPr>
        <w:spacing w:line="360" w:lineRule="auto"/>
        <w:ind w:firstLine="480" w:firstLineChars="200"/>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（4）提供假冒伪劣产品；</w:t>
      </w:r>
    </w:p>
    <w:p w14:paraId="697B36E4">
      <w:pPr>
        <w:spacing w:line="360" w:lineRule="auto"/>
        <w:ind w:firstLine="480" w:firstLineChars="200"/>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（5）擅自变更、中止或者终止政府采购合同。</w:t>
      </w:r>
    </w:p>
    <w:p w14:paraId="590CFF43">
      <w:pPr>
        <w:spacing w:line="360" w:lineRule="auto"/>
        <w:ind w:firstLine="480" w:firstLineChars="200"/>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CD2BD41">
      <w:pPr>
        <w:spacing w:line="360" w:lineRule="auto"/>
        <w:rPr>
          <w:rFonts w:asciiTheme="minorEastAsia" w:hAnsiTheme="minorEastAsia" w:eastAsiaTheme="minorEastAsia"/>
          <w:bCs/>
          <w:sz w:val="24"/>
          <w:highlight w:val="none"/>
        </w:rPr>
      </w:pPr>
    </w:p>
    <w:p w14:paraId="092769CC">
      <w:pPr>
        <w:spacing w:line="360" w:lineRule="auto"/>
        <w:rPr>
          <w:rFonts w:asciiTheme="minorEastAsia" w:hAnsiTheme="minorEastAsia" w:eastAsiaTheme="minorEastAsia"/>
          <w:bCs/>
          <w:sz w:val="24"/>
          <w:highlight w:val="none"/>
        </w:rPr>
      </w:pPr>
    </w:p>
    <w:p w14:paraId="5693BAA5">
      <w:pPr>
        <w:spacing w:line="360" w:lineRule="auto"/>
        <w:ind w:firstLine="4320" w:firstLineChars="1800"/>
        <w:rPr>
          <w:rFonts w:asciiTheme="minorEastAsia" w:hAnsiTheme="minorEastAsia" w:eastAsiaTheme="minorEastAsia"/>
          <w:bCs/>
          <w:sz w:val="24"/>
          <w:highlight w:val="none"/>
          <w:u w:val="single"/>
        </w:rPr>
      </w:pPr>
      <w:r>
        <w:rPr>
          <w:rFonts w:hint="eastAsia" w:asciiTheme="minorEastAsia" w:hAnsiTheme="minorEastAsia" w:eastAsiaTheme="minorEastAsia"/>
          <w:bCs/>
          <w:sz w:val="24"/>
          <w:highlight w:val="none"/>
        </w:rPr>
        <w:t>投标人电子签章：</w:t>
      </w:r>
    </w:p>
    <w:p w14:paraId="705612E4">
      <w:pPr>
        <w:spacing w:line="360" w:lineRule="auto"/>
        <w:ind w:firstLine="4320" w:firstLineChars="1800"/>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日          期：</w:t>
      </w:r>
    </w:p>
    <w:p w14:paraId="2669B565">
      <w:pPr>
        <w:widowControl/>
        <w:jc w:val="left"/>
        <w:rPr>
          <w:rFonts w:ascii="宋体" w:hAnsi="宋体" w:eastAsia="宋体" w:cs="Arial"/>
          <w:sz w:val="24"/>
          <w:highlight w:val="none"/>
        </w:rPr>
      </w:pPr>
      <w:r>
        <w:rPr>
          <w:rFonts w:ascii="宋体" w:hAnsi="宋体" w:eastAsia="宋体" w:cs="Arial"/>
          <w:sz w:val="24"/>
          <w:highlight w:val="none"/>
        </w:rPr>
        <w:br w:type="page"/>
      </w:r>
    </w:p>
    <w:bookmarkEnd w:id="143"/>
    <w:p w14:paraId="04DF3B47">
      <w:pPr>
        <w:spacing w:line="360" w:lineRule="auto"/>
        <w:jc w:val="center"/>
        <w:outlineLvl w:val="1"/>
        <w:rPr>
          <w:rFonts w:asciiTheme="minorEastAsia" w:hAnsiTheme="minorEastAsia" w:eastAsiaTheme="minorEastAsia"/>
          <w:b/>
          <w:sz w:val="24"/>
          <w:highlight w:val="none"/>
        </w:rPr>
      </w:pPr>
      <w:bookmarkStart w:id="144" w:name="_Toc31321"/>
      <w:bookmarkStart w:id="145" w:name="_Toc2683"/>
      <w:bookmarkStart w:id="146" w:name="_Toc32633"/>
      <w:r>
        <w:rPr>
          <w:rFonts w:hint="eastAsia" w:asciiTheme="minorEastAsia" w:hAnsiTheme="minorEastAsia" w:eastAsiaTheme="minorEastAsia"/>
          <w:b/>
          <w:sz w:val="24"/>
          <w:highlight w:val="none"/>
        </w:rPr>
        <w:t>十、其他相关证明材料</w:t>
      </w:r>
      <w:bookmarkEnd w:id="144"/>
      <w:bookmarkEnd w:id="145"/>
      <w:bookmarkEnd w:id="146"/>
    </w:p>
    <w:p w14:paraId="03E7E0B5">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提供符合投标邀请、采购需求及评标方法和标准规定的相关证明文件。</w:t>
      </w:r>
    </w:p>
    <w:p w14:paraId="2439C49F">
      <w:pPr>
        <w:spacing w:line="360" w:lineRule="auto"/>
        <w:ind w:firstLine="480" w:firstLineChars="200"/>
        <w:rPr>
          <w:rFonts w:asciiTheme="minorEastAsia" w:hAnsiTheme="minorEastAsia" w:eastAsiaTheme="minorEastAsia"/>
          <w:sz w:val="24"/>
          <w:highlight w:val="none"/>
        </w:rPr>
      </w:pPr>
    </w:p>
    <w:p w14:paraId="678B1FDC">
      <w:pPr>
        <w:spacing w:line="360" w:lineRule="auto"/>
        <w:ind w:firstLine="435"/>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特别提示：</w:t>
      </w:r>
    </w:p>
    <w:p w14:paraId="21DA0E95">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投标人在投标文件制作时可在此栏内上传</w:t>
      </w:r>
      <w:r>
        <w:rPr>
          <w:rFonts w:asciiTheme="minorEastAsia" w:hAnsiTheme="minorEastAsia" w:eastAsiaTheme="minorEastAsia"/>
          <w:sz w:val="24"/>
          <w:highlight w:val="none"/>
        </w:rPr>
        <w:t>招标文件要求上传的证明资料</w:t>
      </w:r>
      <w:r>
        <w:rPr>
          <w:rFonts w:hint="eastAsia" w:asciiTheme="minorEastAsia" w:hAnsiTheme="minorEastAsia" w:eastAsiaTheme="minorEastAsia"/>
          <w:sz w:val="24"/>
          <w:highlight w:val="none"/>
        </w:rPr>
        <w:t>，如营业执照、证书</w:t>
      </w:r>
      <w:r>
        <w:rPr>
          <w:rFonts w:asciiTheme="minorEastAsia" w:hAnsiTheme="minorEastAsia" w:eastAsiaTheme="minorEastAsia"/>
          <w:sz w:val="24"/>
          <w:highlight w:val="none"/>
        </w:rPr>
        <w:t>等，应将上述证明材料制作成扫描件上传。</w:t>
      </w:r>
    </w:p>
    <w:p w14:paraId="4F8D3024">
      <w:pPr>
        <w:widowControl/>
        <w:jc w:val="left"/>
        <w:rPr>
          <w:rFonts w:ascii="宋体" w:hAnsi="宋体" w:eastAsia="宋体"/>
          <w:bCs/>
          <w:sz w:val="24"/>
          <w:highlight w:val="none"/>
        </w:rPr>
      </w:pPr>
      <w:r>
        <w:rPr>
          <w:rFonts w:ascii="宋体" w:hAnsi="宋体" w:eastAsia="宋体"/>
          <w:bCs/>
          <w:sz w:val="24"/>
          <w:highlight w:val="none"/>
        </w:rPr>
        <w:br w:type="page"/>
      </w:r>
    </w:p>
    <w:p w14:paraId="49FBFE13">
      <w:pPr>
        <w:spacing w:line="360" w:lineRule="auto"/>
        <w:jc w:val="center"/>
        <w:outlineLvl w:val="0"/>
        <w:rPr>
          <w:rFonts w:asciiTheme="minorEastAsia" w:hAnsiTheme="minorEastAsia" w:eastAsiaTheme="minorEastAsia"/>
          <w:b/>
          <w:sz w:val="28"/>
          <w:highlight w:val="none"/>
        </w:rPr>
        <w:sectPr>
          <w:pgSz w:w="11906" w:h="16838"/>
          <w:pgMar w:top="1440" w:right="1800" w:bottom="1440" w:left="1800" w:header="851" w:footer="992" w:gutter="0"/>
          <w:cols w:space="425" w:num="1"/>
          <w:docGrid w:type="lines" w:linePitch="312" w:charSpace="0"/>
        </w:sectPr>
      </w:pPr>
      <w:bookmarkStart w:id="147" w:name="_Toc6435"/>
    </w:p>
    <w:p w14:paraId="51085ACE">
      <w:pPr>
        <w:spacing w:line="360" w:lineRule="auto"/>
        <w:jc w:val="center"/>
        <w:outlineLvl w:val="1"/>
        <w:rPr>
          <w:rFonts w:asciiTheme="minorEastAsia" w:hAnsiTheme="minorEastAsia" w:eastAsiaTheme="minorEastAsia"/>
          <w:b/>
          <w:sz w:val="24"/>
          <w:highlight w:val="none"/>
        </w:rPr>
      </w:pPr>
      <w:bookmarkStart w:id="148" w:name="_Toc9465"/>
      <w:r>
        <w:rPr>
          <w:rFonts w:hint="eastAsia" w:asciiTheme="minorEastAsia" w:hAnsiTheme="minorEastAsia" w:eastAsiaTheme="minorEastAsia"/>
          <w:b/>
          <w:sz w:val="24"/>
          <w:highlight w:val="none"/>
        </w:rPr>
        <w:t>十一、主要中标标的承诺函</w:t>
      </w:r>
      <w:bookmarkEnd w:id="148"/>
    </w:p>
    <w:p w14:paraId="5ABF4265">
      <w:pPr>
        <w:spacing w:beforeLines="40" w:afterLines="40" w:line="400" w:lineRule="exact"/>
        <w:jc w:val="left"/>
        <w:rPr>
          <w:rFonts w:ascii="宋体" w:hAnsi="宋体" w:eastAsia="宋体" w:cs="宋体"/>
          <w:b/>
          <w:szCs w:val="21"/>
          <w:highlight w:val="none"/>
          <w:u w:val="single"/>
        </w:rPr>
      </w:pPr>
      <w:r>
        <w:rPr>
          <w:rFonts w:hint="eastAsia" w:ascii="宋体" w:hAnsi="宋体" w:eastAsia="宋体" w:cs="宋体"/>
          <w:b/>
          <w:szCs w:val="21"/>
          <w:highlight w:val="none"/>
        </w:rPr>
        <w:t>致：</w:t>
      </w:r>
      <w:r>
        <w:rPr>
          <w:rFonts w:hint="eastAsia" w:ascii="宋体" w:hAnsi="宋体" w:eastAsia="宋体" w:cs="宋体"/>
          <w:b/>
          <w:szCs w:val="21"/>
          <w:highlight w:val="none"/>
          <w:u w:val="single"/>
        </w:rPr>
        <w:t xml:space="preserve">    （代理机构名称）</w:t>
      </w:r>
    </w:p>
    <w:p w14:paraId="2D851908">
      <w:pPr>
        <w:spacing w:beforeLines="40" w:afterLines="40" w:line="400" w:lineRule="exact"/>
        <w:ind w:firstLine="527" w:firstLineChars="250"/>
        <w:jc w:val="left"/>
        <w:rPr>
          <w:rFonts w:ascii="宋体" w:hAnsi="宋体" w:eastAsia="宋体" w:cs="宋体"/>
          <w:b/>
          <w:szCs w:val="21"/>
          <w:highlight w:val="none"/>
          <w:u w:val="single"/>
        </w:rPr>
      </w:pPr>
      <w:r>
        <w:rPr>
          <w:rFonts w:hint="eastAsia" w:ascii="宋体" w:hAnsi="宋体" w:eastAsia="宋体" w:cs="宋体"/>
          <w:b/>
          <w:szCs w:val="21"/>
          <w:highlight w:val="none"/>
          <w:u w:val="single"/>
        </w:rPr>
        <w:t xml:space="preserve">   （采购单位名称）</w:t>
      </w:r>
    </w:p>
    <w:p w14:paraId="76DE064A">
      <w:pPr>
        <w:spacing w:beforeLines="40" w:afterLines="40" w:line="400" w:lineRule="exact"/>
        <w:ind w:firstLine="435"/>
        <w:jc w:val="left"/>
        <w:rPr>
          <w:rFonts w:ascii="宋体" w:hAnsi="宋体" w:eastAsia="宋体" w:cs="宋体"/>
          <w:szCs w:val="21"/>
          <w:highlight w:val="none"/>
        </w:rPr>
      </w:pPr>
      <w:r>
        <w:rPr>
          <w:rFonts w:hint="eastAsia" w:ascii="宋体" w:hAnsi="宋体" w:eastAsia="宋体" w:cs="宋体"/>
          <w:szCs w:val="21"/>
          <w:highlight w:val="none"/>
        </w:rPr>
        <w:t>我单位同意评审结果公告中公示以下主要中标标的并承诺：投标文件中所提供的主要中标标的（仅需填写标识▲产品）均真实有效。若被发现存在任何虚假、隐瞒情况，我单位承担由此产生的一切后果。</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301"/>
        <w:gridCol w:w="1475"/>
        <w:gridCol w:w="1756"/>
        <w:gridCol w:w="1504"/>
        <w:gridCol w:w="1778"/>
      </w:tblGrid>
      <w:tr w14:paraId="51015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414" w:type="pct"/>
            <w:noWrap/>
            <w:vAlign w:val="center"/>
          </w:tcPr>
          <w:p w14:paraId="5C07093D">
            <w:pPr>
              <w:widowControl/>
              <w:spacing w:beforeLines="40" w:afterLines="40" w:line="400" w:lineRule="exact"/>
              <w:jc w:val="center"/>
              <w:rPr>
                <w:rFonts w:ascii="宋体" w:hAnsi="宋体" w:eastAsia="宋体" w:cs="宋体"/>
                <w:b/>
                <w:szCs w:val="21"/>
                <w:highlight w:val="none"/>
              </w:rPr>
            </w:pPr>
            <w:r>
              <w:rPr>
                <w:rFonts w:hint="eastAsia" w:ascii="宋体" w:hAnsi="宋体" w:eastAsia="宋体" w:cs="宋体"/>
                <w:b/>
                <w:szCs w:val="21"/>
                <w:highlight w:val="none"/>
              </w:rPr>
              <w:t>序号</w:t>
            </w:r>
          </w:p>
        </w:tc>
        <w:tc>
          <w:tcPr>
            <w:tcW w:w="763" w:type="pct"/>
            <w:noWrap/>
            <w:vAlign w:val="center"/>
          </w:tcPr>
          <w:p w14:paraId="566691CE">
            <w:pPr>
              <w:widowControl/>
              <w:spacing w:beforeLines="40" w:afterLines="40" w:line="400" w:lineRule="exact"/>
              <w:jc w:val="center"/>
              <w:rPr>
                <w:rFonts w:ascii="宋体" w:hAnsi="宋体" w:eastAsia="宋体" w:cs="宋体"/>
                <w:b/>
                <w:szCs w:val="21"/>
                <w:highlight w:val="none"/>
              </w:rPr>
            </w:pPr>
            <w:r>
              <w:rPr>
                <w:rFonts w:hint="eastAsia" w:ascii="宋体" w:hAnsi="宋体" w:eastAsia="宋体" w:cs="宋体"/>
                <w:b/>
                <w:szCs w:val="21"/>
                <w:highlight w:val="none"/>
              </w:rPr>
              <w:t>名称</w:t>
            </w:r>
          </w:p>
        </w:tc>
        <w:tc>
          <w:tcPr>
            <w:tcW w:w="865" w:type="pct"/>
            <w:noWrap/>
            <w:vAlign w:val="center"/>
          </w:tcPr>
          <w:p w14:paraId="39C90C96">
            <w:pPr>
              <w:widowControl/>
              <w:spacing w:beforeLines="40" w:afterLines="40" w:line="400" w:lineRule="exact"/>
              <w:jc w:val="center"/>
              <w:rPr>
                <w:rFonts w:ascii="宋体" w:hAnsi="宋体" w:eastAsia="宋体" w:cs="宋体"/>
                <w:b/>
                <w:szCs w:val="21"/>
                <w:highlight w:val="none"/>
              </w:rPr>
            </w:pPr>
            <w:r>
              <w:rPr>
                <w:rFonts w:hint="eastAsia" w:ascii="宋体" w:hAnsi="宋体" w:eastAsia="宋体" w:cs="宋体"/>
                <w:b/>
                <w:szCs w:val="21"/>
                <w:highlight w:val="none"/>
              </w:rPr>
              <w:t>品牌</w:t>
            </w:r>
          </w:p>
        </w:tc>
        <w:tc>
          <w:tcPr>
            <w:tcW w:w="1030" w:type="pct"/>
            <w:noWrap/>
            <w:vAlign w:val="center"/>
          </w:tcPr>
          <w:p w14:paraId="50A00783">
            <w:pPr>
              <w:widowControl/>
              <w:spacing w:beforeLines="40" w:afterLines="40" w:line="400" w:lineRule="exact"/>
              <w:jc w:val="center"/>
              <w:rPr>
                <w:rFonts w:ascii="宋体" w:hAnsi="宋体" w:eastAsia="宋体" w:cs="宋体"/>
                <w:b/>
                <w:szCs w:val="21"/>
                <w:highlight w:val="none"/>
              </w:rPr>
            </w:pPr>
            <w:r>
              <w:rPr>
                <w:rFonts w:hint="eastAsia" w:ascii="宋体" w:hAnsi="宋体" w:eastAsia="宋体" w:cs="宋体"/>
                <w:b/>
                <w:szCs w:val="21"/>
                <w:highlight w:val="none"/>
              </w:rPr>
              <w:t>规格型号</w:t>
            </w:r>
          </w:p>
        </w:tc>
        <w:tc>
          <w:tcPr>
            <w:tcW w:w="882" w:type="pct"/>
            <w:noWrap/>
            <w:vAlign w:val="center"/>
          </w:tcPr>
          <w:p w14:paraId="67948094">
            <w:pPr>
              <w:widowControl/>
              <w:spacing w:beforeLines="40" w:afterLines="40" w:line="400" w:lineRule="exact"/>
              <w:jc w:val="center"/>
              <w:rPr>
                <w:rFonts w:ascii="宋体" w:hAnsi="宋体" w:eastAsia="宋体" w:cs="宋体"/>
                <w:b/>
                <w:szCs w:val="21"/>
                <w:highlight w:val="none"/>
              </w:rPr>
            </w:pPr>
            <w:r>
              <w:rPr>
                <w:rFonts w:hint="eastAsia" w:ascii="宋体" w:hAnsi="宋体" w:eastAsia="宋体" w:cs="宋体"/>
                <w:b/>
                <w:szCs w:val="21"/>
                <w:highlight w:val="none"/>
              </w:rPr>
              <w:t>数量</w:t>
            </w:r>
          </w:p>
        </w:tc>
        <w:tc>
          <w:tcPr>
            <w:tcW w:w="1043" w:type="pct"/>
            <w:noWrap/>
            <w:vAlign w:val="center"/>
          </w:tcPr>
          <w:p w14:paraId="175D0DB0">
            <w:pPr>
              <w:widowControl/>
              <w:spacing w:beforeLines="40" w:afterLines="40" w:line="400" w:lineRule="exact"/>
              <w:jc w:val="center"/>
              <w:rPr>
                <w:rFonts w:ascii="宋体" w:hAnsi="宋体" w:eastAsia="宋体" w:cs="宋体"/>
                <w:b/>
                <w:szCs w:val="21"/>
                <w:highlight w:val="none"/>
              </w:rPr>
            </w:pPr>
            <w:r>
              <w:rPr>
                <w:rFonts w:hint="eastAsia" w:ascii="宋体" w:hAnsi="宋体" w:eastAsia="宋体" w:cs="宋体"/>
                <w:b/>
                <w:szCs w:val="21"/>
                <w:highlight w:val="none"/>
              </w:rPr>
              <w:t>单价</w:t>
            </w:r>
          </w:p>
        </w:tc>
      </w:tr>
      <w:tr w14:paraId="6DC70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noWrap/>
            <w:vAlign w:val="center"/>
          </w:tcPr>
          <w:p w14:paraId="41670593">
            <w:pPr>
              <w:spacing w:beforeLines="40" w:afterLines="40" w:line="400" w:lineRule="exact"/>
              <w:jc w:val="center"/>
              <w:rPr>
                <w:rFonts w:ascii="宋体" w:hAnsi="宋体" w:eastAsia="宋体" w:cs="宋体"/>
                <w:szCs w:val="21"/>
                <w:highlight w:val="none"/>
              </w:rPr>
            </w:pPr>
            <w:r>
              <w:rPr>
                <w:rFonts w:hint="eastAsia" w:ascii="宋体" w:hAnsi="宋体" w:eastAsia="宋体" w:cs="宋体"/>
                <w:szCs w:val="21"/>
                <w:highlight w:val="none"/>
              </w:rPr>
              <w:t>1</w:t>
            </w:r>
          </w:p>
        </w:tc>
        <w:tc>
          <w:tcPr>
            <w:tcW w:w="763" w:type="pct"/>
            <w:noWrap/>
            <w:vAlign w:val="center"/>
          </w:tcPr>
          <w:p w14:paraId="51D6C101">
            <w:pPr>
              <w:spacing w:beforeLines="40" w:afterLines="40" w:line="400" w:lineRule="exact"/>
              <w:rPr>
                <w:rFonts w:ascii="宋体" w:hAnsi="宋体" w:eastAsia="宋体" w:cs="宋体"/>
                <w:szCs w:val="21"/>
                <w:highlight w:val="none"/>
              </w:rPr>
            </w:pPr>
          </w:p>
        </w:tc>
        <w:tc>
          <w:tcPr>
            <w:tcW w:w="865" w:type="pct"/>
            <w:noWrap/>
            <w:vAlign w:val="center"/>
          </w:tcPr>
          <w:p w14:paraId="01D48C79">
            <w:pPr>
              <w:spacing w:beforeLines="40" w:afterLines="40" w:line="400" w:lineRule="exact"/>
              <w:rPr>
                <w:rFonts w:ascii="宋体" w:hAnsi="宋体" w:eastAsia="宋体" w:cs="宋体"/>
                <w:szCs w:val="21"/>
                <w:highlight w:val="none"/>
              </w:rPr>
            </w:pPr>
          </w:p>
        </w:tc>
        <w:tc>
          <w:tcPr>
            <w:tcW w:w="1030" w:type="pct"/>
            <w:noWrap/>
            <w:vAlign w:val="center"/>
          </w:tcPr>
          <w:p w14:paraId="73968D68">
            <w:pPr>
              <w:spacing w:beforeLines="40" w:afterLines="40" w:line="400" w:lineRule="exact"/>
              <w:rPr>
                <w:rFonts w:ascii="宋体" w:hAnsi="宋体" w:eastAsia="宋体" w:cs="宋体"/>
                <w:szCs w:val="21"/>
                <w:highlight w:val="none"/>
              </w:rPr>
            </w:pPr>
          </w:p>
        </w:tc>
        <w:tc>
          <w:tcPr>
            <w:tcW w:w="882" w:type="pct"/>
            <w:noWrap/>
            <w:vAlign w:val="center"/>
          </w:tcPr>
          <w:p w14:paraId="55C94186">
            <w:pPr>
              <w:spacing w:beforeLines="40" w:afterLines="40" w:line="400" w:lineRule="exact"/>
              <w:rPr>
                <w:rFonts w:ascii="宋体" w:hAnsi="宋体" w:eastAsia="宋体" w:cs="宋体"/>
                <w:szCs w:val="21"/>
                <w:highlight w:val="none"/>
              </w:rPr>
            </w:pPr>
          </w:p>
        </w:tc>
        <w:tc>
          <w:tcPr>
            <w:tcW w:w="1043" w:type="pct"/>
            <w:noWrap/>
            <w:vAlign w:val="center"/>
          </w:tcPr>
          <w:p w14:paraId="64373304">
            <w:pPr>
              <w:spacing w:beforeLines="40" w:afterLines="40" w:line="400" w:lineRule="exact"/>
              <w:rPr>
                <w:rFonts w:ascii="宋体" w:hAnsi="宋体" w:eastAsia="宋体" w:cs="宋体"/>
                <w:szCs w:val="21"/>
                <w:highlight w:val="none"/>
              </w:rPr>
            </w:pPr>
          </w:p>
        </w:tc>
      </w:tr>
      <w:tr w14:paraId="78E47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noWrap/>
            <w:vAlign w:val="center"/>
          </w:tcPr>
          <w:p w14:paraId="67EAA910">
            <w:pPr>
              <w:spacing w:beforeLines="40" w:afterLines="40" w:line="400" w:lineRule="exact"/>
              <w:jc w:val="center"/>
              <w:rPr>
                <w:rFonts w:ascii="宋体" w:hAnsi="宋体" w:eastAsia="宋体" w:cs="宋体"/>
                <w:szCs w:val="21"/>
                <w:highlight w:val="none"/>
              </w:rPr>
            </w:pPr>
            <w:r>
              <w:rPr>
                <w:rFonts w:hint="eastAsia" w:ascii="宋体" w:hAnsi="宋体" w:eastAsia="宋体" w:cs="宋体"/>
                <w:szCs w:val="21"/>
                <w:highlight w:val="none"/>
              </w:rPr>
              <w:t>2</w:t>
            </w:r>
          </w:p>
        </w:tc>
        <w:tc>
          <w:tcPr>
            <w:tcW w:w="763" w:type="pct"/>
            <w:noWrap/>
            <w:vAlign w:val="center"/>
          </w:tcPr>
          <w:p w14:paraId="4B58C0B1">
            <w:pPr>
              <w:spacing w:beforeLines="40" w:afterLines="40" w:line="400" w:lineRule="exact"/>
              <w:rPr>
                <w:rFonts w:ascii="宋体" w:hAnsi="宋体" w:eastAsia="宋体" w:cs="宋体"/>
                <w:szCs w:val="21"/>
                <w:highlight w:val="none"/>
              </w:rPr>
            </w:pPr>
          </w:p>
        </w:tc>
        <w:tc>
          <w:tcPr>
            <w:tcW w:w="865" w:type="pct"/>
            <w:noWrap/>
            <w:vAlign w:val="center"/>
          </w:tcPr>
          <w:p w14:paraId="1F6BAEF6">
            <w:pPr>
              <w:spacing w:beforeLines="40" w:afterLines="40" w:line="400" w:lineRule="exact"/>
              <w:rPr>
                <w:rFonts w:ascii="宋体" w:hAnsi="宋体" w:eastAsia="宋体" w:cs="宋体"/>
                <w:szCs w:val="21"/>
                <w:highlight w:val="none"/>
              </w:rPr>
            </w:pPr>
          </w:p>
        </w:tc>
        <w:tc>
          <w:tcPr>
            <w:tcW w:w="1030" w:type="pct"/>
            <w:noWrap/>
            <w:vAlign w:val="center"/>
          </w:tcPr>
          <w:p w14:paraId="613B6548">
            <w:pPr>
              <w:spacing w:beforeLines="40" w:afterLines="40" w:line="400" w:lineRule="exact"/>
              <w:rPr>
                <w:rFonts w:ascii="宋体" w:hAnsi="宋体" w:eastAsia="宋体" w:cs="宋体"/>
                <w:szCs w:val="21"/>
                <w:highlight w:val="none"/>
              </w:rPr>
            </w:pPr>
          </w:p>
        </w:tc>
        <w:tc>
          <w:tcPr>
            <w:tcW w:w="882" w:type="pct"/>
            <w:noWrap/>
            <w:vAlign w:val="center"/>
          </w:tcPr>
          <w:p w14:paraId="577823C9">
            <w:pPr>
              <w:spacing w:beforeLines="40" w:afterLines="40" w:line="400" w:lineRule="exact"/>
              <w:rPr>
                <w:rFonts w:ascii="宋体" w:hAnsi="宋体" w:eastAsia="宋体" w:cs="宋体"/>
                <w:szCs w:val="21"/>
                <w:highlight w:val="none"/>
              </w:rPr>
            </w:pPr>
          </w:p>
        </w:tc>
        <w:tc>
          <w:tcPr>
            <w:tcW w:w="1043" w:type="pct"/>
            <w:noWrap/>
            <w:vAlign w:val="center"/>
          </w:tcPr>
          <w:p w14:paraId="41D36890">
            <w:pPr>
              <w:spacing w:beforeLines="40" w:afterLines="40" w:line="400" w:lineRule="exact"/>
              <w:rPr>
                <w:rFonts w:ascii="宋体" w:hAnsi="宋体" w:eastAsia="宋体" w:cs="宋体"/>
                <w:szCs w:val="21"/>
                <w:highlight w:val="none"/>
              </w:rPr>
            </w:pPr>
          </w:p>
        </w:tc>
      </w:tr>
      <w:tr w14:paraId="16DCD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noWrap/>
            <w:vAlign w:val="center"/>
          </w:tcPr>
          <w:p w14:paraId="01541E7E">
            <w:pPr>
              <w:spacing w:beforeLines="40" w:afterLines="40" w:line="400" w:lineRule="exact"/>
              <w:jc w:val="center"/>
              <w:rPr>
                <w:rFonts w:ascii="宋体" w:hAnsi="宋体" w:eastAsia="宋体" w:cs="宋体"/>
                <w:szCs w:val="21"/>
                <w:highlight w:val="none"/>
              </w:rPr>
            </w:pPr>
            <w:r>
              <w:rPr>
                <w:rFonts w:hint="eastAsia" w:ascii="宋体" w:hAnsi="宋体" w:eastAsia="宋体" w:cs="宋体"/>
                <w:szCs w:val="21"/>
                <w:highlight w:val="none"/>
              </w:rPr>
              <w:t>3</w:t>
            </w:r>
          </w:p>
        </w:tc>
        <w:tc>
          <w:tcPr>
            <w:tcW w:w="763" w:type="pct"/>
            <w:noWrap/>
            <w:vAlign w:val="center"/>
          </w:tcPr>
          <w:p w14:paraId="30A8028E">
            <w:pPr>
              <w:spacing w:beforeLines="40" w:afterLines="40" w:line="400" w:lineRule="exact"/>
              <w:rPr>
                <w:rFonts w:ascii="宋体" w:hAnsi="宋体" w:eastAsia="宋体" w:cs="宋体"/>
                <w:szCs w:val="21"/>
                <w:highlight w:val="none"/>
              </w:rPr>
            </w:pPr>
          </w:p>
        </w:tc>
        <w:tc>
          <w:tcPr>
            <w:tcW w:w="865" w:type="pct"/>
            <w:noWrap/>
            <w:vAlign w:val="center"/>
          </w:tcPr>
          <w:p w14:paraId="2B78CE8B">
            <w:pPr>
              <w:spacing w:beforeLines="40" w:afterLines="40" w:line="400" w:lineRule="exact"/>
              <w:rPr>
                <w:rFonts w:ascii="宋体" w:hAnsi="宋体" w:eastAsia="宋体" w:cs="宋体"/>
                <w:szCs w:val="21"/>
                <w:highlight w:val="none"/>
              </w:rPr>
            </w:pPr>
          </w:p>
        </w:tc>
        <w:tc>
          <w:tcPr>
            <w:tcW w:w="1030" w:type="pct"/>
            <w:noWrap/>
            <w:vAlign w:val="center"/>
          </w:tcPr>
          <w:p w14:paraId="5DF40282">
            <w:pPr>
              <w:spacing w:beforeLines="40" w:afterLines="40" w:line="400" w:lineRule="exact"/>
              <w:rPr>
                <w:rFonts w:ascii="宋体" w:hAnsi="宋体" w:eastAsia="宋体" w:cs="宋体"/>
                <w:szCs w:val="21"/>
                <w:highlight w:val="none"/>
              </w:rPr>
            </w:pPr>
          </w:p>
        </w:tc>
        <w:tc>
          <w:tcPr>
            <w:tcW w:w="882" w:type="pct"/>
            <w:noWrap/>
            <w:vAlign w:val="center"/>
          </w:tcPr>
          <w:p w14:paraId="7BA8C7D3">
            <w:pPr>
              <w:spacing w:beforeLines="40" w:afterLines="40" w:line="400" w:lineRule="exact"/>
              <w:rPr>
                <w:rFonts w:ascii="宋体" w:hAnsi="宋体" w:eastAsia="宋体" w:cs="宋体"/>
                <w:szCs w:val="21"/>
                <w:highlight w:val="none"/>
              </w:rPr>
            </w:pPr>
          </w:p>
        </w:tc>
        <w:tc>
          <w:tcPr>
            <w:tcW w:w="1043" w:type="pct"/>
            <w:noWrap/>
            <w:vAlign w:val="center"/>
          </w:tcPr>
          <w:p w14:paraId="258F7BF4">
            <w:pPr>
              <w:spacing w:beforeLines="40" w:afterLines="40" w:line="400" w:lineRule="exact"/>
              <w:rPr>
                <w:rFonts w:ascii="宋体" w:hAnsi="宋体" w:eastAsia="宋体" w:cs="宋体"/>
                <w:szCs w:val="21"/>
                <w:highlight w:val="none"/>
              </w:rPr>
            </w:pPr>
          </w:p>
        </w:tc>
      </w:tr>
      <w:tr w14:paraId="732A6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noWrap/>
            <w:vAlign w:val="center"/>
          </w:tcPr>
          <w:p w14:paraId="25CC8207">
            <w:pPr>
              <w:spacing w:beforeLines="40" w:afterLines="40" w:line="400" w:lineRule="exact"/>
              <w:jc w:val="center"/>
              <w:rPr>
                <w:rFonts w:ascii="宋体" w:hAnsi="宋体" w:eastAsia="宋体" w:cs="宋体"/>
                <w:szCs w:val="21"/>
                <w:highlight w:val="none"/>
              </w:rPr>
            </w:pPr>
            <w:r>
              <w:rPr>
                <w:rFonts w:hint="eastAsia" w:ascii="宋体" w:hAnsi="宋体" w:eastAsia="宋体" w:cs="宋体"/>
                <w:szCs w:val="21"/>
                <w:highlight w:val="none"/>
              </w:rPr>
              <w:t>4</w:t>
            </w:r>
          </w:p>
        </w:tc>
        <w:tc>
          <w:tcPr>
            <w:tcW w:w="763" w:type="pct"/>
            <w:noWrap/>
            <w:vAlign w:val="center"/>
          </w:tcPr>
          <w:p w14:paraId="1B6797A2">
            <w:pPr>
              <w:spacing w:beforeLines="40" w:afterLines="40" w:line="400" w:lineRule="exact"/>
              <w:rPr>
                <w:rFonts w:ascii="宋体" w:hAnsi="宋体" w:eastAsia="宋体" w:cs="宋体"/>
                <w:szCs w:val="21"/>
                <w:highlight w:val="none"/>
              </w:rPr>
            </w:pPr>
          </w:p>
        </w:tc>
        <w:tc>
          <w:tcPr>
            <w:tcW w:w="865" w:type="pct"/>
            <w:noWrap/>
            <w:vAlign w:val="center"/>
          </w:tcPr>
          <w:p w14:paraId="396F630E">
            <w:pPr>
              <w:spacing w:beforeLines="40" w:afterLines="40" w:line="400" w:lineRule="exact"/>
              <w:rPr>
                <w:rFonts w:ascii="宋体" w:hAnsi="宋体" w:eastAsia="宋体" w:cs="宋体"/>
                <w:szCs w:val="21"/>
                <w:highlight w:val="none"/>
              </w:rPr>
            </w:pPr>
          </w:p>
        </w:tc>
        <w:tc>
          <w:tcPr>
            <w:tcW w:w="1030" w:type="pct"/>
            <w:noWrap/>
            <w:vAlign w:val="center"/>
          </w:tcPr>
          <w:p w14:paraId="27AF2DEF">
            <w:pPr>
              <w:spacing w:beforeLines="40" w:afterLines="40" w:line="400" w:lineRule="exact"/>
              <w:rPr>
                <w:rFonts w:ascii="宋体" w:hAnsi="宋体" w:eastAsia="宋体" w:cs="宋体"/>
                <w:szCs w:val="21"/>
                <w:highlight w:val="none"/>
              </w:rPr>
            </w:pPr>
          </w:p>
        </w:tc>
        <w:tc>
          <w:tcPr>
            <w:tcW w:w="882" w:type="pct"/>
            <w:noWrap/>
            <w:vAlign w:val="center"/>
          </w:tcPr>
          <w:p w14:paraId="55B2E9F6">
            <w:pPr>
              <w:spacing w:beforeLines="40" w:afterLines="40" w:line="400" w:lineRule="exact"/>
              <w:rPr>
                <w:rFonts w:ascii="宋体" w:hAnsi="宋体" w:eastAsia="宋体" w:cs="宋体"/>
                <w:szCs w:val="21"/>
                <w:highlight w:val="none"/>
              </w:rPr>
            </w:pPr>
          </w:p>
        </w:tc>
        <w:tc>
          <w:tcPr>
            <w:tcW w:w="1043" w:type="pct"/>
            <w:noWrap/>
            <w:vAlign w:val="center"/>
          </w:tcPr>
          <w:p w14:paraId="527BE608">
            <w:pPr>
              <w:spacing w:beforeLines="40" w:afterLines="40" w:line="400" w:lineRule="exact"/>
              <w:rPr>
                <w:rFonts w:ascii="宋体" w:hAnsi="宋体" w:eastAsia="宋体" w:cs="宋体"/>
                <w:szCs w:val="21"/>
                <w:highlight w:val="none"/>
              </w:rPr>
            </w:pPr>
          </w:p>
        </w:tc>
      </w:tr>
      <w:tr w14:paraId="72AB0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noWrap/>
            <w:vAlign w:val="center"/>
          </w:tcPr>
          <w:p w14:paraId="6C789638">
            <w:pPr>
              <w:spacing w:beforeLines="40" w:afterLines="40" w:line="400" w:lineRule="exact"/>
              <w:jc w:val="center"/>
              <w:rPr>
                <w:rFonts w:ascii="宋体" w:hAnsi="宋体" w:eastAsia="宋体" w:cs="宋体"/>
                <w:szCs w:val="21"/>
                <w:highlight w:val="none"/>
              </w:rPr>
            </w:pPr>
            <w:r>
              <w:rPr>
                <w:rFonts w:hint="eastAsia" w:ascii="宋体" w:hAnsi="宋体" w:eastAsia="宋体" w:cs="宋体"/>
                <w:szCs w:val="21"/>
                <w:highlight w:val="none"/>
              </w:rPr>
              <w:t>……</w:t>
            </w:r>
          </w:p>
        </w:tc>
        <w:tc>
          <w:tcPr>
            <w:tcW w:w="763" w:type="pct"/>
            <w:noWrap/>
            <w:vAlign w:val="center"/>
          </w:tcPr>
          <w:p w14:paraId="222F714D">
            <w:pPr>
              <w:spacing w:beforeLines="40" w:afterLines="40" w:line="400" w:lineRule="exact"/>
              <w:rPr>
                <w:rFonts w:ascii="宋体" w:hAnsi="宋体" w:eastAsia="宋体" w:cs="宋体"/>
                <w:szCs w:val="21"/>
                <w:highlight w:val="none"/>
              </w:rPr>
            </w:pPr>
          </w:p>
        </w:tc>
        <w:tc>
          <w:tcPr>
            <w:tcW w:w="865" w:type="pct"/>
            <w:noWrap/>
            <w:vAlign w:val="center"/>
          </w:tcPr>
          <w:p w14:paraId="48B9C022">
            <w:pPr>
              <w:spacing w:beforeLines="40" w:afterLines="40" w:line="400" w:lineRule="exact"/>
              <w:rPr>
                <w:rFonts w:ascii="宋体" w:hAnsi="宋体" w:eastAsia="宋体" w:cs="宋体"/>
                <w:szCs w:val="21"/>
                <w:highlight w:val="none"/>
              </w:rPr>
            </w:pPr>
          </w:p>
        </w:tc>
        <w:tc>
          <w:tcPr>
            <w:tcW w:w="1030" w:type="pct"/>
            <w:noWrap/>
            <w:vAlign w:val="center"/>
          </w:tcPr>
          <w:p w14:paraId="27E73720">
            <w:pPr>
              <w:spacing w:beforeLines="40" w:afterLines="40" w:line="400" w:lineRule="exact"/>
              <w:rPr>
                <w:rFonts w:ascii="宋体" w:hAnsi="宋体" w:eastAsia="宋体" w:cs="宋体"/>
                <w:szCs w:val="21"/>
                <w:highlight w:val="none"/>
              </w:rPr>
            </w:pPr>
          </w:p>
        </w:tc>
        <w:tc>
          <w:tcPr>
            <w:tcW w:w="882" w:type="pct"/>
            <w:noWrap/>
            <w:vAlign w:val="center"/>
          </w:tcPr>
          <w:p w14:paraId="569D622D">
            <w:pPr>
              <w:spacing w:beforeLines="40" w:afterLines="40" w:line="400" w:lineRule="exact"/>
              <w:rPr>
                <w:rFonts w:ascii="宋体" w:hAnsi="宋体" w:eastAsia="宋体" w:cs="宋体"/>
                <w:szCs w:val="21"/>
                <w:highlight w:val="none"/>
              </w:rPr>
            </w:pPr>
          </w:p>
        </w:tc>
        <w:tc>
          <w:tcPr>
            <w:tcW w:w="1043" w:type="pct"/>
            <w:noWrap/>
            <w:vAlign w:val="center"/>
          </w:tcPr>
          <w:p w14:paraId="545A152B">
            <w:pPr>
              <w:spacing w:beforeLines="40" w:afterLines="40" w:line="400" w:lineRule="exact"/>
              <w:rPr>
                <w:rFonts w:ascii="宋体" w:hAnsi="宋体" w:eastAsia="宋体" w:cs="宋体"/>
                <w:szCs w:val="21"/>
                <w:highlight w:val="none"/>
              </w:rPr>
            </w:pPr>
          </w:p>
        </w:tc>
      </w:tr>
    </w:tbl>
    <w:p w14:paraId="5594E7AE">
      <w:pPr>
        <w:adjustRightInd w:val="0"/>
        <w:snapToGrid w:val="0"/>
        <w:spacing w:beforeLines="40" w:afterLines="40" w:line="400" w:lineRule="exact"/>
        <w:jc w:val="left"/>
        <w:rPr>
          <w:rFonts w:ascii="宋体" w:hAnsi="宋体" w:eastAsia="宋体" w:cs="宋体"/>
          <w:b/>
          <w:szCs w:val="21"/>
          <w:highlight w:val="none"/>
        </w:rPr>
      </w:pPr>
    </w:p>
    <w:p w14:paraId="33181E40">
      <w:pPr>
        <w:widowControl/>
        <w:spacing w:beforeLines="40" w:afterLines="40" w:line="400" w:lineRule="exact"/>
        <w:ind w:right="-23"/>
        <w:rPr>
          <w:rFonts w:ascii="宋体" w:hAnsi="宋体" w:eastAsia="宋体" w:cs="宋体"/>
          <w:szCs w:val="21"/>
          <w:highlight w:val="none"/>
        </w:rPr>
      </w:pPr>
    </w:p>
    <w:p w14:paraId="316C0413">
      <w:pPr>
        <w:spacing w:beforeLines="40" w:afterLines="40" w:line="400" w:lineRule="exact"/>
        <w:ind w:firstLine="2520" w:firstLineChars="1200"/>
        <w:rPr>
          <w:rFonts w:ascii="宋体" w:hAnsi="宋体" w:eastAsia="宋体" w:cs="宋体"/>
          <w:szCs w:val="21"/>
          <w:highlight w:val="none"/>
          <w:u w:val="single"/>
        </w:rPr>
      </w:pPr>
      <w:r>
        <w:rPr>
          <w:rFonts w:hint="eastAsia" w:ascii="宋体" w:hAnsi="宋体" w:eastAsia="宋体" w:cs="宋体"/>
          <w:szCs w:val="21"/>
          <w:highlight w:val="none"/>
        </w:rPr>
        <w:t>投标供应商（电子签章）：</w:t>
      </w:r>
    </w:p>
    <w:p w14:paraId="11EDD65F">
      <w:pPr>
        <w:tabs>
          <w:tab w:val="left" w:pos="4620"/>
        </w:tabs>
        <w:spacing w:before="40" w:after="40" w:line="400" w:lineRule="exact"/>
        <w:ind w:firstLine="2520" w:firstLineChars="1200"/>
        <w:rPr>
          <w:rFonts w:ascii="宋体" w:hAnsi="宋体" w:eastAsia="宋体" w:cs="宋体"/>
          <w:szCs w:val="21"/>
          <w:highlight w:val="none"/>
          <w:u w:val="single"/>
        </w:rPr>
      </w:pPr>
      <w:r>
        <w:rPr>
          <w:rFonts w:hint="eastAsia" w:ascii="宋体" w:hAnsi="宋体" w:eastAsia="宋体" w:cs="宋体"/>
          <w:szCs w:val="21"/>
          <w:highlight w:val="none"/>
        </w:rPr>
        <w:t>日      期：</w:t>
      </w:r>
    </w:p>
    <w:p w14:paraId="21E1932A">
      <w:pPr>
        <w:adjustRightInd w:val="0"/>
        <w:snapToGrid w:val="0"/>
        <w:spacing w:beforeLines="40" w:afterLines="40" w:line="400" w:lineRule="exact"/>
        <w:ind w:firstLine="422" w:firstLineChars="200"/>
        <w:jc w:val="left"/>
        <w:rPr>
          <w:rFonts w:ascii="宋体" w:hAnsi="宋体" w:eastAsia="宋体" w:cs="宋体"/>
          <w:b/>
          <w:bCs/>
          <w:szCs w:val="21"/>
          <w:highlight w:val="none"/>
        </w:rPr>
      </w:pPr>
      <w:r>
        <w:rPr>
          <w:rFonts w:hint="eastAsia" w:ascii="宋体" w:hAnsi="宋体" w:eastAsia="宋体" w:cs="宋体"/>
          <w:b/>
          <w:bCs/>
          <w:szCs w:val="21"/>
          <w:highlight w:val="none"/>
        </w:rPr>
        <w:t>备注：</w:t>
      </w:r>
    </w:p>
    <w:p w14:paraId="5B380867">
      <w:pPr>
        <w:adjustRightInd w:val="0"/>
        <w:snapToGrid w:val="0"/>
        <w:spacing w:beforeLines="40" w:afterLines="40" w:line="400" w:lineRule="exact"/>
        <w:ind w:firstLine="422" w:firstLineChars="200"/>
        <w:jc w:val="left"/>
        <w:rPr>
          <w:rFonts w:ascii="宋体" w:hAnsi="宋体" w:eastAsia="宋体" w:cs="宋体"/>
          <w:b/>
          <w:bCs/>
          <w:szCs w:val="21"/>
          <w:highlight w:val="none"/>
        </w:rPr>
      </w:pPr>
      <w:r>
        <w:rPr>
          <w:rFonts w:hint="eastAsia" w:ascii="宋体" w:hAnsi="宋体" w:eastAsia="宋体" w:cs="宋体"/>
          <w:b/>
          <w:bCs/>
          <w:szCs w:val="21"/>
          <w:highlight w:val="none"/>
        </w:rPr>
        <w:t>1、</w:t>
      </w:r>
      <w:r>
        <w:rPr>
          <w:rFonts w:hint="eastAsia" w:ascii="宋体" w:hAnsi="宋体" w:eastAsia="宋体" w:cs="宋体"/>
          <w:b/>
          <w:szCs w:val="21"/>
          <w:highlight w:val="none"/>
        </w:rPr>
        <w:t>表中所列内容为满足本项目要求的</w:t>
      </w:r>
      <w:r>
        <w:rPr>
          <w:rFonts w:hint="eastAsia" w:ascii="宋体" w:hAnsi="宋体" w:eastAsia="宋体" w:cs="宋体"/>
          <w:b/>
          <w:bCs/>
          <w:szCs w:val="21"/>
          <w:highlight w:val="none"/>
        </w:rPr>
        <w:t>主要中标标的；</w:t>
      </w:r>
    </w:p>
    <w:p w14:paraId="2296C607">
      <w:pPr>
        <w:adjustRightInd w:val="0"/>
        <w:snapToGrid w:val="0"/>
        <w:spacing w:beforeLines="40" w:afterLines="40" w:line="400" w:lineRule="exact"/>
        <w:ind w:firstLine="422" w:firstLineChars="200"/>
        <w:jc w:val="left"/>
        <w:rPr>
          <w:rFonts w:ascii="宋体" w:hAnsi="宋体" w:eastAsia="宋体" w:cs="宋体"/>
          <w:b/>
          <w:szCs w:val="21"/>
          <w:highlight w:val="none"/>
        </w:rPr>
      </w:pPr>
      <w:r>
        <w:rPr>
          <w:rFonts w:hint="eastAsia" w:ascii="宋体" w:hAnsi="宋体" w:eastAsia="宋体" w:cs="宋体"/>
          <w:b/>
          <w:bCs/>
          <w:szCs w:val="21"/>
          <w:highlight w:val="none"/>
        </w:rPr>
        <w:t>2、</w:t>
      </w:r>
      <w:r>
        <w:rPr>
          <w:rFonts w:hint="eastAsia" w:ascii="宋体" w:hAnsi="宋体" w:eastAsia="宋体" w:cs="宋体"/>
          <w:b/>
          <w:szCs w:val="21"/>
          <w:highlight w:val="none"/>
        </w:rPr>
        <w:t>中标供应商提供的以上承诺情况（含名称、品牌、规格型号、数量、单价），将按约定随评审结果公告。</w:t>
      </w:r>
    </w:p>
    <w:p w14:paraId="56E10270">
      <w:pPr>
        <w:spacing w:beforeLines="40" w:afterLines="40" w:line="400" w:lineRule="exact"/>
        <w:ind w:firstLine="422" w:firstLineChars="200"/>
        <w:jc w:val="left"/>
        <w:rPr>
          <w:rFonts w:ascii="宋体" w:hAnsi="宋体" w:eastAsia="宋体" w:cs="宋体"/>
          <w:b/>
          <w:szCs w:val="21"/>
          <w:highlight w:val="none"/>
          <w:u w:val="single"/>
        </w:rPr>
      </w:pPr>
      <w:r>
        <w:rPr>
          <w:rFonts w:hint="eastAsia" w:ascii="宋体" w:hAnsi="宋体" w:eastAsia="宋体" w:cs="宋体"/>
          <w:b/>
          <w:szCs w:val="21"/>
          <w:highlight w:val="none"/>
        </w:rPr>
        <w:t>3、</w:t>
      </w:r>
      <w:r>
        <w:rPr>
          <w:rFonts w:hint="eastAsia" w:ascii="宋体" w:hAnsi="宋体" w:eastAsia="宋体" w:cs="宋体"/>
          <w:b/>
          <w:bCs/>
          <w:szCs w:val="21"/>
          <w:highlight w:val="none"/>
        </w:rPr>
        <w:t>本页《主要中标标的承诺函》由投标供应商填写</w:t>
      </w:r>
      <w:r>
        <w:rPr>
          <w:rFonts w:hint="eastAsia" w:ascii="宋体" w:hAnsi="宋体" w:eastAsia="宋体" w:cs="宋体"/>
          <w:b/>
          <w:szCs w:val="21"/>
          <w:highlight w:val="none"/>
        </w:rPr>
        <w:t>。</w:t>
      </w:r>
    </w:p>
    <w:p w14:paraId="74CE9875">
      <w:pPr>
        <w:spacing w:line="360" w:lineRule="auto"/>
        <w:jc w:val="left"/>
        <w:outlineLvl w:val="0"/>
        <w:rPr>
          <w:rFonts w:asciiTheme="minorEastAsia" w:hAnsiTheme="minorEastAsia" w:eastAsiaTheme="minorEastAsia"/>
          <w:b/>
          <w:sz w:val="28"/>
          <w:highlight w:val="none"/>
        </w:rPr>
        <w:sectPr>
          <w:pgSz w:w="11906" w:h="16838"/>
          <w:pgMar w:top="1440" w:right="1800" w:bottom="1440" w:left="1800" w:header="851" w:footer="992" w:gutter="0"/>
          <w:cols w:space="425" w:num="1"/>
          <w:docGrid w:type="lines" w:linePitch="312" w:charSpace="0"/>
        </w:sectPr>
      </w:pPr>
      <w:bookmarkStart w:id="149" w:name="_Toc12991"/>
      <w:r>
        <w:rPr>
          <w:rFonts w:hint="eastAsia" w:ascii="宋体" w:hAnsi="宋体" w:eastAsia="宋体" w:cs="宋体"/>
          <w:b/>
          <w:szCs w:val="21"/>
          <w:highlight w:val="none"/>
        </w:rPr>
        <w:t>4、若技术标及商务标须分别装订、密封的，本表须同时提供，但技术标中表格 “单价”栏，务必不要填写数字。</w:t>
      </w:r>
      <w:bookmarkEnd w:id="149"/>
    </w:p>
    <w:p w14:paraId="13D09BAD">
      <w:pPr>
        <w:spacing w:line="360" w:lineRule="auto"/>
        <w:jc w:val="center"/>
        <w:outlineLvl w:val="0"/>
        <w:rPr>
          <w:rFonts w:ascii="宋体" w:hAnsi="宋体" w:eastAsia="宋体"/>
          <w:b/>
          <w:bCs/>
          <w:sz w:val="28"/>
          <w:highlight w:val="none"/>
        </w:rPr>
      </w:pPr>
      <w:bookmarkStart w:id="150" w:name="_Toc4077"/>
      <w:r>
        <w:rPr>
          <w:rFonts w:hint="eastAsia" w:asciiTheme="minorEastAsia" w:hAnsiTheme="minorEastAsia" w:eastAsiaTheme="minorEastAsia"/>
          <w:b/>
          <w:sz w:val="28"/>
          <w:highlight w:val="none"/>
        </w:rPr>
        <w:t>第七章</w:t>
      </w:r>
      <w:r>
        <w:rPr>
          <w:rFonts w:hint="eastAsia" w:ascii="宋体" w:hAnsi="宋体" w:eastAsia="宋体"/>
          <w:b/>
          <w:bCs/>
          <w:sz w:val="28"/>
          <w:highlight w:val="none"/>
        </w:rPr>
        <w:t xml:space="preserve">  政府采购</w:t>
      </w:r>
      <w:r>
        <w:rPr>
          <w:rFonts w:hint="eastAsia" w:asciiTheme="minorEastAsia" w:hAnsiTheme="minorEastAsia" w:eastAsiaTheme="minorEastAsia"/>
          <w:b/>
          <w:sz w:val="28"/>
          <w:highlight w:val="none"/>
        </w:rPr>
        <w:t>供应</w:t>
      </w:r>
      <w:r>
        <w:rPr>
          <w:rFonts w:hint="eastAsia" w:ascii="宋体" w:hAnsi="宋体" w:eastAsia="宋体"/>
          <w:b/>
          <w:bCs/>
          <w:sz w:val="28"/>
          <w:highlight w:val="none"/>
        </w:rPr>
        <w:t>商询问函和质疑函范本</w:t>
      </w:r>
      <w:bookmarkEnd w:id="147"/>
      <w:bookmarkEnd w:id="150"/>
    </w:p>
    <w:p w14:paraId="22464F96">
      <w:pPr>
        <w:spacing w:line="360" w:lineRule="auto"/>
        <w:jc w:val="center"/>
        <w:outlineLvl w:val="1"/>
        <w:rPr>
          <w:rFonts w:ascii="仿宋" w:hAnsi="仿宋" w:eastAsia="仿宋" w:cs="仿宋"/>
          <w:b/>
          <w:bCs/>
          <w:sz w:val="32"/>
          <w:szCs w:val="44"/>
          <w:highlight w:val="none"/>
        </w:rPr>
      </w:pPr>
      <w:bookmarkStart w:id="151" w:name="_Toc27159"/>
      <w:bookmarkStart w:id="152" w:name="_Toc27489"/>
      <w:bookmarkStart w:id="153" w:name="_Toc5779"/>
      <w:r>
        <w:rPr>
          <w:rFonts w:hint="eastAsia" w:ascii="仿宋" w:hAnsi="仿宋" w:eastAsia="仿宋" w:cs="仿宋"/>
          <w:b/>
          <w:bCs/>
          <w:sz w:val="32"/>
          <w:szCs w:val="44"/>
          <w:highlight w:val="none"/>
        </w:rPr>
        <w:t>询问函范本</w:t>
      </w:r>
      <w:bookmarkEnd w:id="151"/>
      <w:bookmarkEnd w:id="152"/>
      <w:bookmarkEnd w:id="153"/>
    </w:p>
    <w:p w14:paraId="6C4E7887">
      <w:pPr>
        <w:adjustRightInd w:val="0"/>
        <w:snapToGrid w:val="0"/>
        <w:spacing w:line="360" w:lineRule="auto"/>
        <w:ind w:firstLine="480" w:firstLineChars="200"/>
        <w:jc w:val="center"/>
        <w:rPr>
          <w:rFonts w:ascii="仿宋" w:hAnsi="仿宋" w:eastAsia="仿宋" w:cs="仿宋"/>
          <w:b/>
          <w:bCs/>
          <w:sz w:val="32"/>
          <w:szCs w:val="44"/>
          <w:highlight w:val="none"/>
        </w:rPr>
      </w:pPr>
      <w:r>
        <w:rPr>
          <w:rFonts w:hint="eastAsia" w:cs="仿宋" w:asciiTheme="minorEastAsia" w:hAnsiTheme="minorEastAsia" w:eastAsiaTheme="minorEastAsia"/>
          <w:i/>
          <w:iCs/>
          <w:sz w:val="24"/>
          <w:szCs w:val="24"/>
          <w:highlight w:val="none"/>
        </w:rPr>
        <w:t>（如为对采购文件或采购程序的询问或疑问，请按询问函范本或电子交易系统中网上询问格式附件进行提交）</w:t>
      </w:r>
    </w:p>
    <w:p w14:paraId="6C0DEC9C">
      <w:pPr>
        <w:adjustRightInd w:val="0"/>
        <w:snapToGrid w:val="0"/>
        <w:spacing w:line="360" w:lineRule="auto"/>
        <w:rPr>
          <w:rFonts w:cs="仿宋" w:asciiTheme="minorEastAsia" w:hAnsiTheme="minorEastAsia" w:eastAsiaTheme="minorEastAsia"/>
          <w:b/>
          <w:bCs/>
          <w:sz w:val="24"/>
          <w:szCs w:val="24"/>
          <w:highlight w:val="none"/>
          <w:u w:val="single"/>
        </w:rPr>
      </w:pPr>
      <w:r>
        <w:rPr>
          <w:rFonts w:hint="eastAsia" w:cs="仿宋" w:asciiTheme="minorEastAsia" w:hAnsiTheme="minorEastAsia" w:eastAsiaTheme="minorEastAsia"/>
          <w:b/>
          <w:bCs/>
          <w:sz w:val="24"/>
          <w:szCs w:val="24"/>
          <w:highlight w:val="none"/>
        </w:rPr>
        <w:t>致：采购人</w:t>
      </w:r>
    </w:p>
    <w:p w14:paraId="601EBB3D">
      <w:pPr>
        <w:adjustRightInd w:val="0"/>
        <w:snapToGrid w:val="0"/>
        <w:spacing w:line="360" w:lineRule="auto"/>
        <w:ind w:firstLine="480" w:firstLineChars="20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我单位拟参与（</w:t>
      </w:r>
      <w:r>
        <w:rPr>
          <w:rFonts w:hint="eastAsia" w:cs="仿宋" w:asciiTheme="minorEastAsia" w:hAnsiTheme="minorEastAsia" w:eastAsiaTheme="minorEastAsia"/>
          <w:i/>
          <w:iCs/>
          <w:sz w:val="24"/>
          <w:szCs w:val="24"/>
          <w:highlight w:val="none"/>
        </w:rPr>
        <w:t>项目名称、编号</w:t>
      </w:r>
      <w:r>
        <w:rPr>
          <w:rFonts w:hint="eastAsia" w:cs="仿宋" w:asciiTheme="minorEastAsia" w:hAnsiTheme="minorEastAsia" w:eastAsiaTheme="minorEastAsia"/>
          <w:sz w:val="24"/>
          <w:szCs w:val="24"/>
          <w:highlight w:val="none"/>
        </w:rPr>
        <w:t>）的采购活动，现有以下内容(或条款)存在疑问(或无法理解)，特提出询问。</w:t>
      </w:r>
    </w:p>
    <w:p w14:paraId="231799D3">
      <w:pPr>
        <w:adjustRightInd w:val="0"/>
        <w:snapToGrid w:val="0"/>
        <w:spacing w:line="360" w:lineRule="auto"/>
        <w:ind w:firstLine="480" w:firstLineChars="200"/>
        <w:rPr>
          <w:rFonts w:cs="仿宋" w:asciiTheme="minorEastAsia" w:hAnsiTheme="minorEastAsia" w:eastAsiaTheme="minorEastAsia"/>
          <w:sz w:val="24"/>
          <w:szCs w:val="24"/>
          <w:highlight w:val="none"/>
        </w:rPr>
      </w:pPr>
      <w:bookmarkStart w:id="154" w:name="_Toc13899"/>
      <w:r>
        <w:rPr>
          <w:rFonts w:hint="eastAsia" w:cs="仿宋" w:asciiTheme="minorEastAsia" w:hAnsiTheme="minorEastAsia" w:eastAsiaTheme="minorEastAsia"/>
          <w:sz w:val="24"/>
          <w:szCs w:val="24"/>
          <w:highlight w:val="none"/>
        </w:rPr>
        <w:t>一、(事项一)</w:t>
      </w:r>
      <w:bookmarkEnd w:id="154"/>
    </w:p>
    <w:p w14:paraId="7412E66D">
      <w:pPr>
        <w:adjustRightInd w:val="0"/>
        <w:snapToGrid w:val="0"/>
        <w:spacing w:line="360" w:lineRule="auto"/>
        <w:ind w:firstLine="480" w:firstLineChars="20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1、(内容或条款)</w:t>
      </w:r>
    </w:p>
    <w:p w14:paraId="57A4B846">
      <w:pPr>
        <w:adjustRightInd w:val="0"/>
        <w:snapToGrid w:val="0"/>
        <w:spacing w:line="360" w:lineRule="auto"/>
        <w:ind w:firstLine="480" w:firstLineChars="20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2、(说明疑问或无法理解原因)</w:t>
      </w:r>
    </w:p>
    <w:p w14:paraId="41707B0B">
      <w:pPr>
        <w:adjustRightInd w:val="0"/>
        <w:snapToGrid w:val="0"/>
        <w:spacing w:line="360" w:lineRule="auto"/>
        <w:ind w:firstLine="480" w:firstLineChars="20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3、(建议)</w:t>
      </w:r>
    </w:p>
    <w:p w14:paraId="716C30AF">
      <w:pPr>
        <w:adjustRightInd w:val="0"/>
        <w:snapToGrid w:val="0"/>
        <w:spacing w:line="360" w:lineRule="auto"/>
        <w:ind w:firstLine="480" w:firstLineChars="200"/>
        <w:rPr>
          <w:rFonts w:cs="仿宋" w:asciiTheme="minorEastAsia" w:hAnsiTheme="minorEastAsia" w:eastAsiaTheme="minorEastAsia"/>
          <w:sz w:val="24"/>
          <w:szCs w:val="24"/>
          <w:highlight w:val="none"/>
        </w:rPr>
      </w:pPr>
      <w:bookmarkStart w:id="155" w:name="_Toc3352"/>
      <w:r>
        <w:rPr>
          <w:rFonts w:hint="eastAsia" w:cs="仿宋" w:asciiTheme="minorEastAsia" w:hAnsiTheme="minorEastAsia" w:eastAsiaTheme="minorEastAsia"/>
          <w:sz w:val="24"/>
          <w:szCs w:val="24"/>
          <w:highlight w:val="none"/>
        </w:rPr>
        <w:t>二、(事项二)</w:t>
      </w:r>
      <w:bookmarkEnd w:id="155"/>
    </w:p>
    <w:p w14:paraId="1B0BA8D4">
      <w:pPr>
        <w:adjustRightInd w:val="0"/>
        <w:snapToGrid w:val="0"/>
        <w:spacing w:line="360" w:lineRule="auto"/>
        <w:ind w:firstLine="480" w:firstLineChars="20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w:t>
      </w:r>
    </w:p>
    <w:p w14:paraId="7D591B46">
      <w:pPr>
        <w:adjustRightInd w:val="0"/>
        <w:snapToGrid w:val="0"/>
        <w:spacing w:line="360" w:lineRule="auto"/>
        <w:ind w:firstLine="480" w:firstLineChars="20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 xml:space="preserve">随附相关证明材料如下： </w:t>
      </w:r>
    </w:p>
    <w:p w14:paraId="2483D88B">
      <w:pPr>
        <w:spacing w:line="360" w:lineRule="auto"/>
        <w:ind w:firstLine="4228" w:firstLineChars="1762"/>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联 系 人：</w:t>
      </w:r>
    </w:p>
    <w:p w14:paraId="31B30A72">
      <w:pPr>
        <w:spacing w:line="360" w:lineRule="auto"/>
        <w:ind w:firstLine="4228" w:firstLineChars="1762"/>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联系电话：</w:t>
      </w:r>
    </w:p>
    <w:p w14:paraId="21D53C19">
      <w:pPr>
        <w:tabs>
          <w:tab w:val="left" w:pos="630"/>
        </w:tabs>
        <w:spacing w:line="360" w:lineRule="auto"/>
        <w:ind w:firstLine="4228" w:firstLineChars="1762"/>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日    期：</w:t>
      </w:r>
    </w:p>
    <w:p w14:paraId="0C05E6CA">
      <w:pPr>
        <w:rPr>
          <w:rFonts w:ascii="仿宋" w:hAnsi="仿宋" w:eastAsia="仿宋" w:cs="仿宋"/>
          <w:b/>
          <w:bCs/>
          <w:sz w:val="32"/>
          <w:szCs w:val="44"/>
          <w:highlight w:val="none"/>
        </w:rPr>
      </w:pPr>
      <w:r>
        <w:rPr>
          <w:rFonts w:hint="eastAsia" w:ascii="仿宋" w:hAnsi="仿宋" w:eastAsia="仿宋" w:cs="仿宋"/>
          <w:b/>
          <w:bCs/>
          <w:sz w:val="32"/>
          <w:szCs w:val="44"/>
          <w:highlight w:val="none"/>
        </w:rPr>
        <w:br w:type="page"/>
      </w:r>
    </w:p>
    <w:p w14:paraId="0C1AB04E">
      <w:pPr>
        <w:jc w:val="center"/>
        <w:outlineLvl w:val="1"/>
        <w:rPr>
          <w:rFonts w:ascii="仿宋" w:hAnsi="仿宋" w:eastAsia="仿宋" w:cs="仿宋"/>
          <w:b/>
          <w:bCs/>
          <w:sz w:val="32"/>
          <w:szCs w:val="44"/>
          <w:highlight w:val="none"/>
        </w:rPr>
      </w:pPr>
      <w:bookmarkStart w:id="156" w:name="_Toc1575"/>
      <w:bookmarkStart w:id="157" w:name="_Toc21255"/>
      <w:bookmarkStart w:id="158" w:name="_Toc3245"/>
      <w:r>
        <w:rPr>
          <w:rFonts w:hint="eastAsia" w:ascii="仿宋" w:hAnsi="仿宋" w:eastAsia="仿宋" w:cs="仿宋"/>
          <w:b/>
          <w:bCs/>
          <w:sz w:val="32"/>
          <w:szCs w:val="44"/>
          <w:highlight w:val="none"/>
        </w:rPr>
        <w:t>质疑函范本</w:t>
      </w:r>
      <w:bookmarkEnd w:id="156"/>
      <w:bookmarkEnd w:id="157"/>
      <w:bookmarkEnd w:id="158"/>
    </w:p>
    <w:p w14:paraId="6657AC95">
      <w:pPr>
        <w:adjustRightInd w:val="0"/>
        <w:snapToGrid w:val="0"/>
        <w:spacing w:beforeLines="100" w:line="360" w:lineRule="auto"/>
        <w:rPr>
          <w:rFonts w:cs="仿宋" w:asciiTheme="minorEastAsia" w:hAnsiTheme="minorEastAsia" w:eastAsiaTheme="minorEastAsia"/>
          <w:b/>
          <w:bCs/>
          <w:sz w:val="24"/>
          <w:szCs w:val="24"/>
          <w:highlight w:val="none"/>
        </w:rPr>
      </w:pPr>
      <w:bookmarkStart w:id="159" w:name="_Toc21381"/>
      <w:r>
        <w:rPr>
          <w:rFonts w:hint="eastAsia" w:cs="仿宋" w:asciiTheme="minorEastAsia" w:hAnsiTheme="minorEastAsia" w:eastAsiaTheme="minorEastAsia"/>
          <w:b/>
          <w:bCs/>
          <w:sz w:val="24"/>
          <w:szCs w:val="24"/>
          <w:highlight w:val="none"/>
        </w:rPr>
        <w:t>一、质疑供应商基本信息</w:t>
      </w:r>
      <w:bookmarkEnd w:id="159"/>
    </w:p>
    <w:p w14:paraId="27CE684A">
      <w:pPr>
        <w:adjustRightInd w:val="0"/>
        <w:snapToGrid w:val="0"/>
        <w:spacing w:line="360" w:lineRule="auto"/>
        <w:rPr>
          <w:rFonts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质疑供应商：</w:t>
      </w:r>
    </w:p>
    <w:p w14:paraId="7ECCBE36">
      <w:pPr>
        <w:adjustRightInd w:val="0"/>
        <w:snapToGrid w:val="0"/>
        <w:spacing w:line="360" w:lineRule="auto"/>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地址：邮编：</w:t>
      </w:r>
    </w:p>
    <w:p w14:paraId="1A17FAFE">
      <w:pPr>
        <w:adjustRightInd w:val="0"/>
        <w:snapToGrid w:val="0"/>
        <w:spacing w:line="360" w:lineRule="auto"/>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联系人：联系电话：</w:t>
      </w:r>
    </w:p>
    <w:p w14:paraId="16E5EE76">
      <w:pPr>
        <w:adjustRightInd w:val="0"/>
        <w:snapToGrid w:val="0"/>
        <w:spacing w:line="360" w:lineRule="auto"/>
        <w:rPr>
          <w:rFonts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授权代表：</w:t>
      </w:r>
    </w:p>
    <w:p w14:paraId="17B1A017">
      <w:pPr>
        <w:adjustRightInd w:val="0"/>
        <w:snapToGrid w:val="0"/>
        <w:spacing w:line="360" w:lineRule="auto"/>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联系电话：</w:t>
      </w:r>
    </w:p>
    <w:p w14:paraId="61920F4E">
      <w:pPr>
        <w:adjustRightInd w:val="0"/>
        <w:snapToGrid w:val="0"/>
        <w:spacing w:line="360" w:lineRule="auto"/>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地址：邮编：</w:t>
      </w:r>
    </w:p>
    <w:p w14:paraId="18F903C9">
      <w:pPr>
        <w:adjustRightInd w:val="0"/>
        <w:snapToGrid w:val="0"/>
        <w:spacing w:line="360" w:lineRule="auto"/>
        <w:rPr>
          <w:rFonts w:cs="仿宋" w:asciiTheme="minorEastAsia" w:hAnsiTheme="minorEastAsia" w:eastAsiaTheme="minorEastAsia"/>
          <w:b/>
          <w:bCs/>
          <w:sz w:val="24"/>
          <w:szCs w:val="24"/>
          <w:highlight w:val="none"/>
        </w:rPr>
      </w:pPr>
      <w:bookmarkStart w:id="160" w:name="_Toc28415"/>
      <w:r>
        <w:rPr>
          <w:rFonts w:hint="eastAsia" w:cs="仿宋" w:asciiTheme="minorEastAsia" w:hAnsiTheme="minorEastAsia" w:eastAsiaTheme="minorEastAsia"/>
          <w:b/>
          <w:bCs/>
          <w:sz w:val="24"/>
          <w:szCs w:val="24"/>
          <w:highlight w:val="none"/>
        </w:rPr>
        <w:t>二、质疑项目基本情况</w:t>
      </w:r>
      <w:bookmarkEnd w:id="160"/>
    </w:p>
    <w:p w14:paraId="3411746B">
      <w:pPr>
        <w:adjustRightInd w:val="0"/>
        <w:snapToGrid w:val="0"/>
        <w:spacing w:line="360" w:lineRule="auto"/>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质疑项目的名称：</w:t>
      </w:r>
    </w:p>
    <w:p w14:paraId="15CF325B">
      <w:pPr>
        <w:adjustRightInd w:val="0"/>
        <w:snapToGrid w:val="0"/>
        <w:spacing w:line="360" w:lineRule="auto"/>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质疑项目的编号：包号：</w:t>
      </w:r>
    </w:p>
    <w:p w14:paraId="1A59D92A">
      <w:pPr>
        <w:adjustRightInd w:val="0"/>
        <w:snapToGrid w:val="0"/>
        <w:spacing w:line="360" w:lineRule="auto"/>
        <w:rPr>
          <w:rFonts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采购人名称：</w:t>
      </w:r>
    </w:p>
    <w:p w14:paraId="144172DD">
      <w:pPr>
        <w:adjustRightInd w:val="0"/>
        <w:snapToGrid w:val="0"/>
        <w:spacing w:line="360" w:lineRule="auto"/>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采购文件获取日期：</w:t>
      </w:r>
    </w:p>
    <w:p w14:paraId="079B089E">
      <w:pPr>
        <w:adjustRightInd w:val="0"/>
        <w:snapToGrid w:val="0"/>
        <w:spacing w:line="360" w:lineRule="auto"/>
        <w:rPr>
          <w:rFonts w:cs="仿宋" w:asciiTheme="minorEastAsia" w:hAnsiTheme="minorEastAsia" w:eastAsiaTheme="minorEastAsia"/>
          <w:b/>
          <w:bCs/>
          <w:sz w:val="24"/>
          <w:szCs w:val="24"/>
          <w:highlight w:val="none"/>
        </w:rPr>
      </w:pPr>
      <w:bookmarkStart w:id="161" w:name="_Toc19014"/>
      <w:r>
        <w:rPr>
          <w:rFonts w:hint="eastAsia" w:cs="仿宋" w:asciiTheme="minorEastAsia" w:hAnsiTheme="minorEastAsia" w:eastAsiaTheme="minorEastAsia"/>
          <w:b/>
          <w:bCs/>
          <w:sz w:val="24"/>
          <w:szCs w:val="24"/>
          <w:highlight w:val="none"/>
        </w:rPr>
        <w:t>三、质疑事项具体内容</w:t>
      </w:r>
      <w:bookmarkEnd w:id="161"/>
    </w:p>
    <w:p w14:paraId="48ACDF8E">
      <w:pPr>
        <w:adjustRightInd w:val="0"/>
        <w:snapToGrid w:val="0"/>
        <w:spacing w:line="360" w:lineRule="auto"/>
        <w:rPr>
          <w:rFonts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质疑事项1：</w:t>
      </w:r>
    </w:p>
    <w:p w14:paraId="4178DFCD">
      <w:pPr>
        <w:adjustRightInd w:val="0"/>
        <w:snapToGrid w:val="0"/>
        <w:spacing w:line="360" w:lineRule="auto"/>
        <w:rPr>
          <w:rFonts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事实依据：</w:t>
      </w:r>
    </w:p>
    <w:p w14:paraId="27131C50">
      <w:pPr>
        <w:adjustRightInd w:val="0"/>
        <w:snapToGrid w:val="0"/>
        <w:spacing w:line="360" w:lineRule="auto"/>
        <w:rPr>
          <w:rFonts w:cs="仿宋" w:asciiTheme="minorEastAsia" w:hAnsiTheme="minorEastAsia" w:eastAsiaTheme="minorEastAsia"/>
          <w:sz w:val="24"/>
          <w:szCs w:val="24"/>
          <w:highlight w:val="none"/>
        </w:rPr>
      </w:pPr>
    </w:p>
    <w:p w14:paraId="4946EAAB">
      <w:pPr>
        <w:adjustRightInd w:val="0"/>
        <w:snapToGrid w:val="0"/>
        <w:spacing w:line="360" w:lineRule="auto"/>
        <w:rPr>
          <w:rFonts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法律依据：</w:t>
      </w:r>
    </w:p>
    <w:p w14:paraId="4A54220F">
      <w:pPr>
        <w:adjustRightInd w:val="0"/>
        <w:snapToGrid w:val="0"/>
        <w:spacing w:line="360" w:lineRule="auto"/>
        <w:rPr>
          <w:rFonts w:cs="仿宋" w:asciiTheme="minorEastAsia" w:hAnsiTheme="minorEastAsia" w:eastAsiaTheme="minorEastAsia"/>
          <w:sz w:val="24"/>
          <w:szCs w:val="24"/>
          <w:highlight w:val="none"/>
          <w:u w:val="dotted"/>
        </w:rPr>
      </w:pPr>
    </w:p>
    <w:p w14:paraId="734C87B1">
      <w:pPr>
        <w:adjustRightInd w:val="0"/>
        <w:snapToGrid w:val="0"/>
        <w:spacing w:line="360" w:lineRule="auto"/>
        <w:rPr>
          <w:rFonts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质疑事项2</w:t>
      </w:r>
    </w:p>
    <w:p w14:paraId="27DF7A95">
      <w:pPr>
        <w:adjustRightInd w:val="0"/>
        <w:snapToGrid w:val="0"/>
        <w:spacing w:line="360" w:lineRule="auto"/>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w:t>
      </w:r>
    </w:p>
    <w:p w14:paraId="3095EBA9">
      <w:pPr>
        <w:adjustRightInd w:val="0"/>
        <w:snapToGrid w:val="0"/>
        <w:spacing w:line="360" w:lineRule="auto"/>
        <w:rPr>
          <w:rFonts w:cs="仿宋" w:asciiTheme="minorEastAsia" w:hAnsiTheme="minorEastAsia" w:eastAsiaTheme="minorEastAsia"/>
          <w:b/>
          <w:bCs/>
          <w:sz w:val="24"/>
          <w:szCs w:val="24"/>
          <w:highlight w:val="none"/>
        </w:rPr>
      </w:pPr>
      <w:bookmarkStart w:id="162" w:name="_Toc17919"/>
      <w:r>
        <w:rPr>
          <w:rFonts w:hint="eastAsia" w:cs="仿宋" w:asciiTheme="minorEastAsia" w:hAnsiTheme="minorEastAsia" w:eastAsiaTheme="minorEastAsia"/>
          <w:b/>
          <w:bCs/>
          <w:sz w:val="24"/>
          <w:szCs w:val="24"/>
          <w:highlight w:val="none"/>
        </w:rPr>
        <w:t>四、与质疑事项相关的质疑请求</w:t>
      </w:r>
      <w:bookmarkEnd w:id="162"/>
    </w:p>
    <w:p w14:paraId="29A2ED43">
      <w:pPr>
        <w:adjustRightInd w:val="0"/>
        <w:snapToGrid w:val="0"/>
        <w:spacing w:line="360" w:lineRule="auto"/>
        <w:rPr>
          <w:rFonts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请求：</w:t>
      </w:r>
    </w:p>
    <w:p w14:paraId="63A0D6D9">
      <w:pPr>
        <w:spacing w:line="360" w:lineRule="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签字(签章)：                   公章：                      </w:t>
      </w:r>
    </w:p>
    <w:p w14:paraId="17A5534D">
      <w:pPr>
        <w:spacing w:line="360" w:lineRule="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日期：    </w:t>
      </w:r>
    </w:p>
    <w:p w14:paraId="71A9EEAF">
      <w:pPr>
        <w:widowControl/>
        <w:jc w:val="left"/>
        <w:rPr>
          <w:rFonts w:ascii="仿宋" w:hAnsi="仿宋" w:eastAsia="仿宋" w:cs="仿宋"/>
          <w:sz w:val="32"/>
          <w:szCs w:val="32"/>
          <w:highlight w:val="none"/>
        </w:rPr>
      </w:pPr>
      <w:r>
        <w:rPr>
          <w:rFonts w:ascii="仿宋" w:hAnsi="仿宋" w:eastAsia="仿宋" w:cs="仿宋"/>
          <w:sz w:val="32"/>
          <w:szCs w:val="32"/>
          <w:highlight w:val="none"/>
        </w:rPr>
        <w:br w:type="page"/>
      </w:r>
    </w:p>
    <w:p w14:paraId="42867BA4">
      <w:pPr>
        <w:outlineLvl w:val="0"/>
        <w:rPr>
          <w:rFonts w:asciiTheme="minorEastAsia" w:hAnsiTheme="minorEastAsia" w:eastAsiaTheme="minorEastAsia"/>
          <w:b/>
          <w:sz w:val="28"/>
          <w:szCs w:val="32"/>
          <w:highlight w:val="none"/>
        </w:rPr>
      </w:pPr>
      <w:bookmarkStart w:id="163" w:name="_Toc27560"/>
      <w:bookmarkStart w:id="164" w:name="_Toc26836"/>
      <w:bookmarkStart w:id="165" w:name="_Toc9754"/>
      <w:r>
        <w:rPr>
          <w:rFonts w:hint="eastAsia" w:asciiTheme="minorEastAsia" w:hAnsiTheme="minorEastAsia" w:eastAsiaTheme="minorEastAsia"/>
          <w:b/>
          <w:sz w:val="28"/>
          <w:szCs w:val="32"/>
          <w:highlight w:val="none"/>
        </w:rPr>
        <w:t>质疑函制作说明：</w:t>
      </w:r>
      <w:bookmarkEnd w:id="163"/>
      <w:bookmarkEnd w:id="164"/>
      <w:bookmarkEnd w:id="165"/>
    </w:p>
    <w:p w14:paraId="701E19EA">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1.供应商提出质疑时，应提交质疑函和必要的证明材料。</w:t>
      </w:r>
    </w:p>
    <w:p w14:paraId="1A9DAED5">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9364D72">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3.质疑供应商若对项目的某一分包进行质疑，质疑函中应列明具体分包号。</w:t>
      </w:r>
    </w:p>
    <w:p w14:paraId="0F4E0B2C">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4.质疑函的质疑事项应具体、明确，并有必要的事实依据和法律依据。</w:t>
      </w:r>
    </w:p>
    <w:p w14:paraId="33FE793B">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5.质疑函的质疑请求应与质疑事项相关。</w:t>
      </w:r>
    </w:p>
    <w:p w14:paraId="0AA7AE10">
      <w:pPr>
        <w:spacing w:line="360" w:lineRule="auto"/>
        <w:ind w:firstLine="435"/>
        <w:rPr>
          <w:rFonts w:asciiTheme="minorEastAsia" w:hAnsiTheme="minorEastAsia" w:eastAsiaTheme="minorEastAsia"/>
          <w:sz w:val="24"/>
          <w:highlight w:val="none"/>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sz w:val="24"/>
          <w:highlight w:val="none"/>
        </w:rPr>
        <w:t>6.质疑供应商为自然人的，质疑函应由本人签字；质疑供应商为法人或者其他组织的，质疑函应由法定代表人、主要负责人，或者其授权代表签字或者盖章，并加盖公章。</w:t>
      </w:r>
    </w:p>
    <w:p w14:paraId="1734279F">
      <w:pPr>
        <w:spacing w:line="360" w:lineRule="auto"/>
        <w:jc w:val="center"/>
        <w:outlineLvl w:val="0"/>
        <w:rPr>
          <w:rFonts w:ascii="宋体" w:hAnsi="宋体" w:eastAsia="宋体"/>
          <w:b/>
          <w:bCs/>
          <w:sz w:val="28"/>
          <w:highlight w:val="none"/>
        </w:rPr>
      </w:pPr>
      <w:bookmarkStart w:id="166" w:name="_Toc14907"/>
      <w:bookmarkStart w:id="167" w:name="_Toc23924"/>
      <w:bookmarkStart w:id="168" w:name="_Toc26858"/>
      <w:bookmarkStart w:id="169" w:name="_Toc6034"/>
      <w:bookmarkStart w:id="170" w:name="_Toc23540"/>
      <w:bookmarkStart w:id="171" w:name="_Toc5205"/>
      <w:bookmarkStart w:id="172" w:name="_Toc14800"/>
      <w:r>
        <w:rPr>
          <w:rFonts w:hint="eastAsia" w:ascii="宋体" w:hAnsi="宋体" w:eastAsia="宋体"/>
          <w:b/>
          <w:bCs/>
          <w:sz w:val="28"/>
          <w:highlight w:val="none"/>
        </w:rPr>
        <w:t>第八章 安天智采全流程电子招投标注意事项</w:t>
      </w:r>
      <w:bookmarkEnd w:id="166"/>
      <w:bookmarkEnd w:id="167"/>
      <w:bookmarkEnd w:id="168"/>
      <w:bookmarkEnd w:id="169"/>
      <w:bookmarkEnd w:id="170"/>
      <w:bookmarkEnd w:id="171"/>
      <w:bookmarkEnd w:id="172"/>
    </w:p>
    <w:p w14:paraId="2740212D">
      <w:pPr>
        <w:widowControl/>
        <w:adjustRightInd w:val="0"/>
        <w:snapToGrid w:val="0"/>
        <w:spacing w:beforeLines="40" w:afterLines="40" w:line="400" w:lineRule="exact"/>
        <w:ind w:firstLine="482" w:firstLineChars="200"/>
        <w:jc w:val="left"/>
        <w:outlineLvl w:val="1"/>
        <w:rPr>
          <w:rFonts w:asciiTheme="minorEastAsia" w:hAnsiTheme="minorEastAsia" w:eastAsiaTheme="minorEastAsia" w:cstheme="minorEastAsia"/>
          <w:b/>
          <w:bCs/>
          <w:sz w:val="24"/>
          <w:szCs w:val="24"/>
          <w:highlight w:val="none"/>
        </w:rPr>
      </w:pPr>
      <w:bookmarkStart w:id="173" w:name="_Toc18904"/>
      <w:bookmarkStart w:id="174" w:name="_Toc15542"/>
      <w:bookmarkStart w:id="175" w:name="_Toc15821"/>
      <w:bookmarkStart w:id="176" w:name="_Toc14764"/>
      <w:r>
        <w:rPr>
          <w:rFonts w:hint="eastAsia" w:asciiTheme="minorEastAsia" w:hAnsiTheme="minorEastAsia" w:eastAsiaTheme="minorEastAsia" w:cstheme="minorEastAsia"/>
          <w:b/>
          <w:bCs/>
          <w:sz w:val="24"/>
          <w:szCs w:val="24"/>
          <w:highlight w:val="none"/>
        </w:rPr>
        <w:t>一、制作、上传电子投标文件</w:t>
      </w:r>
      <w:bookmarkEnd w:id="173"/>
      <w:bookmarkEnd w:id="174"/>
      <w:bookmarkEnd w:id="175"/>
      <w:bookmarkEnd w:id="176"/>
    </w:p>
    <w:p w14:paraId="55D30224">
      <w:pPr>
        <w:widowControl/>
        <w:adjustRightInd w:val="0"/>
        <w:snapToGrid w:val="0"/>
        <w:spacing w:beforeLines="40" w:afterLines="40" w:line="400" w:lineRule="exact"/>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1、电子投标文件必须使用最新版“安天智采投标文件制作工具”制作生成并上传。安天智采投标文件制作工具及操作手册下载地址：https://www.xinecai.com/serveguide。</w:t>
      </w:r>
    </w:p>
    <w:p w14:paraId="598C47AD">
      <w:pPr>
        <w:widowControl/>
        <w:adjustRightInd w:val="0"/>
        <w:snapToGrid w:val="0"/>
        <w:spacing w:beforeLines="40" w:afterLines="40" w:line="400" w:lineRule="exact"/>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投标供应商须办理安天智采平台移动认证证书或介质数字证书，用于电子投标文件的签章及上传（上传投标文件需使用移动认证证书或介质数字证书进行加密），安天智采平台“移动认证上线通知”（https://www.xinecai.com/ydrz.html）。</w:t>
      </w:r>
    </w:p>
    <w:p w14:paraId="2AC48088">
      <w:pPr>
        <w:widowControl/>
        <w:adjustRightInd w:val="0"/>
        <w:snapToGrid w:val="0"/>
        <w:spacing w:beforeLines="40" w:afterLines="40" w:line="400" w:lineRule="exact"/>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全流程电子招标项目需要投标供应商网络上传通过安天智采投标文件制作工具制作并使用通过安天智采办理的移动认证证书或介质数字证书加密后生成的电子投标文件，投标供应商下载电子招标采购文件后，应在招标文件规定的投标截止时间之前上传通过安天智采投标文件制作工具制作的加密电子投标文件（登录安天智采招标采购电子交易系统，点击进入递交投标文件，上传加密的电子投标文件），否则视为投标无效。投标供应商在投标截止时间之前，可以对其所递交的电子投标文件进行撤回，修改后重新上传；</w:t>
      </w:r>
    </w:p>
    <w:p w14:paraId="65FAF778">
      <w:pPr>
        <w:widowControl/>
        <w:adjustRightInd w:val="0"/>
        <w:snapToGrid w:val="0"/>
        <w:spacing w:beforeLines="40" w:afterLines="40" w:line="400" w:lineRule="exact"/>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投标截止时间以安天智采电子交易系统（https://www.xinecai.com）系统的时间为准，逾期系统将自动关闭,电子投标文件未完成上传的，投标将被拒绝。加密文件上传后投标供应商进行模拟解密检验加密文件是否正常；</w:t>
      </w:r>
    </w:p>
    <w:p w14:paraId="7715E530">
      <w:pPr>
        <w:widowControl/>
        <w:adjustRightInd w:val="0"/>
        <w:snapToGrid w:val="0"/>
        <w:spacing w:beforeLines="40" w:afterLines="40" w:line="400" w:lineRule="exact"/>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投标供应商除须按上述第4条要求网络上传移动认证证书或介质数字证书加密的电子投标文件外，可以另行提供非加密电子投标文件U盘或光盘一份（电子标书工具软件在加密上传后，同时生成非加密电子投标文件一份，供投标供应商拷贝到U盘或刻录光盘，按招标采购文件规定要求密封后递交），投标供应商须保证电子U盘或光盘时能正常读取，且非加密文件须与网上递交的加密文件一致。具体要求按照招标采购文件规定；</w:t>
      </w:r>
    </w:p>
    <w:p w14:paraId="32A46986">
      <w:pPr>
        <w:widowControl/>
        <w:adjustRightInd w:val="0"/>
        <w:snapToGrid w:val="0"/>
        <w:spacing w:beforeLines="40" w:afterLines="40" w:line="400" w:lineRule="exact"/>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6、如投标供应商在制作、上传电子投标文件过程中，遇到操作和使用问题，请及时联系安天智采电子交易平台客服人员，客服电话：400-050-9988。移动认证办理联系电话：400-0878-198转1。</w:t>
      </w:r>
    </w:p>
    <w:p w14:paraId="4D4C835E">
      <w:pPr>
        <w:widowControl/>
        <w:adjustRightInd w:val="0"/>
        <w:snapToGrid w:val="0"/>
        <w:spacing w:beforeLines="40" w:afterLines="40" w:line="400" w:lineRule="exact"/>
        <w:ind w:firstLine="482" w:firstLineChars="200"/>
        <w:jc w:val="left"/>
        <w:outlineLvl w:val="1"/>
        <w:rPr>
          <w:rFonts w:asciiTheme="minorEastAsia" w:hAnsiTheme="minorEastAsia" w:eastAsiaTheme="minorEastAsia" w:cstheme="minorEastAsia"/>
          <w:b/>
          <w:bCs/>
          <w:sz w:val="24"/>
          <w:szCs w:val="24"/>
          <w:highlight w:val="none"/>
        </w:rPr>
      </w:pPr>
      <w:bookmarkStart w:id="177" w:name="_Toc32203"/>
      <w:bookmarkStart w:id="178" w:name="_Toc30466"/>
      <w:bookmarkStart w:id="179" w:name="_Toc690"/>
      <w:bookmarkStart w:id="180" w:name="_Toc31521"/>
      <w:r>
        <w:rPr>
          <w:rFonts w:hint="eastAsia" w:asciiTheme="minorEastAsia" w:hAnsiTheme="minorEastAsia" w:eastAsiaTheme="minorEastAsia" w:cstheme="minorEastAsia"/>
          <w:b/>
          <w:bCs/>
          <w:sz w:val="24"/>
          <w:szCs w:val="24"/>
          <w:highlight w:val="none"/>
        </w:rPr>
        <w:t>二、开标及解密投标文件</w:t>
      </w:r>
      <w:bookmarkEnd w:id="177"/>
      <w:bookmarkEnd w:id="178"/>
      <w:bookmarkEnd w:id="179"/>
      <w:bookmarkEnd w:id="180"/>
    </w:p>
    <w:p w14:paraId="4382605E">
      <w:pPr>
        <w:widowControl/>
        <w:adjustRightInd w:val="0"/>
        <w:snapToGrid w:val="0"/>
        <w:spacing w:beforeLines="40" w:afterLines="40" w:line="400" w:lineRule="exact"/>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安徽安天利信工程管理股份有限公司工作人员（以下称工作人员）根据有关规定登录安天智采在线开标系统进行开标（使用介质数字证书用户请选择ie11及以上浏览器进行登录，如电脑未安装ie浏览器，可至安天智采门户网站产品服务&gt;服务指南中下载（https://www.xinecai.com/serveguide#）登录前请确认是否安装安天智采驱动。驱动安装完成后登录安天智采招标采购电子交易平台，点击进入开标系统或者点击https://kb.xinecai.com/process/login链接进入）为方便开标联系，建议投标供应商进行签到。开标时，投标供应商必须远程使用安天智采办理的移动认证证书或介质数字证书先行解密（加密证书需与解密证书一致，否则无法解密成功）。电子投标文件在平台系统导入后，工作人员开启系统唱标等流程；</w:t>
      </w:r>
    </w:p>
    <w:p w14:paraId="2773E571">
      <w:pPr>
        <w:widowControl/>
        <w:adjustRightInd w:val="0"/>
        <w:snapToGrid w:val="0"/>
        <w:spacing w:beforeLines="40" w:afterLines="40" w:line="400" w:lineRule="exact"/>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电子投标文件上传成功但因电子招标投标交易平台原因导致解密异常时，如招标文件中允许使用非加密电子投标文件作为导入补救措施的，可以在开标现场递交非加密电子版投标文件，采购代理机构将其导入电子招标投标交易平台，电子招标投标交易平台将对非加密电子投标文件与加密电子投标文件进行校验。非加密电子投标文件经平台校验通过的视为解密成功，该投标供应商的投标文件以非加密电子投标文件为准；校验失败或未递交不加密电子投标文件的，其投标无效；</w:t>
      </w:r>
    </w:p>
    <w:p w14:paraId="1DBFBEFE">
      <w:pPr>
        <w:widowControl/>
        <w:adjustRightInd w:val="0"/>
        <w:snapToGrid w:val="0"/>
        <w:spacing w:beforeLines="40" w:afterLines="40" w:line="400" w:lineRule="exact"/>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3、在招标文件规定的时间内，投标人以招标文件中规定的方式未完成投标文件上传或解密的，视为其撤回投标。</w:t>
      </w:r>
    </w:p>
    <w:p w14:paraId="4E67023A">
      <w:pPr>
        <w:widowControl/>
        <w:adjustRightInd w:val="0"/>
        <w:snapToGrid w:val="0"/>
        <w:spacing w:beforeLines="40" w:afterLines="40" w:line="400" w:lineRule="exact"/>
        <w:ind w:firstLine="482" w:firstLineChars="200"/>
        <w:jc w:val="left"/>
        <w:outlineLvl w:val="1"/>
        <w:rPr>
          <w:rFonts w:asciiTheme="minorEastAsia" w:hAnsiTheme="minorEastAsia" w:eastAsiaTheme="minorEastAsia" w:cstheme="minorEastAsia"/>
          <w:b/>
          <w:bCs/>
          <w:sz w:val="24"/>
          <w:szCs w:val="24"/>
          <w:highlight w:val="none"/>
        </w:rPr>
      </w:pPr>
      <w:bookmarkStart w:id="181" w:name="_Toc13353"/>
      <w:bookmarkStart w:id="182" w:name="_Toc26936"/>
      <w:bookmarkStart w:id="183" w:name="_Toc6011"/>
      <w:bookmarkStart w:id="184" w:name="_Toc32028"/>
      <w:r>
        <w:rPr>
          <w:rFonts w:hint="eastAsia" w:asciiTheme="minorEastAsia" w:hAnsiTheme="minorEastAsia" w:eastAsiaTheme="minorEastAsia" w:cstheme="minorEastAsia"/>
          <w:b/>
          <w:bCs/>
          <w:sz w:val="24"/>
          <w:szCs w:val="24"/>
          <w:highlight w:val="none"/>
        </w:rPr>
        <w:t>三、数字证书问题</w:t>
      </w:r>
      <w:bookmarkEnd w:id="181"/>
      <w:bookmarkEnd w:id="182"/>
      <w:bookmarkEnd w:id="183"/>
      <w:bookmarkEnd w:id="184"/>
    </w:p>
    <w:p w14:paraId="463B9C06">
      <w:pPr>
        <w:widowControl/>
        <w:adjustRightInd w:val="0"/>
        <w:snapToGrid w:val="0"/>
        <w:spacing w:beforeLines="40" w:afterLines="40" w:line="400" w:lineRule="exact"/>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1、数字证书需使用通过安天智采办理的移动认证证书或介质数字证书；</w:t>
      </w:r>
    </w:p>
    <w:p w14:paraId="619F868C">
      <w:pPr>
        <w:widowControl/>
        <w:adjustRightInd w:val="0"/>
        <w:snapToGrid w:val="0"/>
        <w:spacing w:beforeLines="40" w:afterLines="40" w:line="400" w:lineRule="exact"/>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2、数字证书到期后须重新续期；</w:t>
      </w:r>
    </w:p>
    <w:p w14:paraId="7C2BF274">
      <w:pPr>
        <w:widowControl/>
        <w:adjustRightInd w:val="0"/>
        <w:snapToGrid w:val="0"/>
        <w:spacing w:beforeLines="40" w:afterLines="40" w:line="400" w:lineRule="exact"/>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3、数字证书因遗失、损坏、企业信息变更等情况须更换新证书；</w:t>
      </w:r>
    </w:p>
    <w:p w14:paraId="5F3EEBD3">
      <w:pPr>
        <w:widowControl/>
        <w:adjustRightInd w:val="0"/>
        <w:snapToGrid w:val="0"/>
        <w:spacing w:beforeLines="40" w:afterLines="40" w:line="400" w:lineRule="exact"/>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4、投标供应商由于数字证书遗失、损坏、更换、续期等情况导致投标文件无法解密，由投标供应商自行承担责任。</w:t>
      </w:r>
    </w:p>
    <w:p w14:paraId="461B69DC">
      <w:pPr>
        <w:widowControl/>
        <w:adjustRightInd w:val="0"/>
        <w:snapToGrid w:val="0"/>
        <w:spacing w:beforeLines="40" w:afterLines="40" w:line="400" w:lineRule="exact"/>
        <w:ind w:firstLine="482" w:firstLineChars="200"/>
        <w:jc w:val="left"/>
        <w:outlineLvl w:val="1"/>
        <w:rPr>
          <w:rFonts w:asciiTheme="minorEastAsia" w:hAnsiTheme="minorEastAsia" w:eastAsiaTheme="minorEastAsia" w:cstheme="minorEastAsia"/>
          <w:b/>
          <w:bCs/>
          <w:sz w:val="24"/>
          <w:szCs w:val="24"/>
          <w:highlight w:val="none"/>
        </w:rPr>
      </w:pPr>
      <w:bookmarkStart w:id="185" w:name="_Toc17599"/>
      <w:bookmarkStart w:id="186" w:name="_Toc29227"/>
      <w:bookmarkStart w:id="187" w:name="_Toc8431"/>
      <w:bookmarkStart w:id="188" w:name="_Toc7657"/>
      <w:r>
        <w:rPr>
          <w:rFonts w:hint="eastAsia" w:asciiTheme="minorEastAsia" w:hAnsiTheme="minorEastAsia" w:eastAsiaTheme="minorEastAsia" w:cstheme="minorEastAsia"/>
          <w:b/>
          <w:bCs/>
          <w:sz w:val="24"/>
          <w:szCs w:val="24"/>
          <w:highlight w:val="none"/>
        </w:rPr>
        <w:t>四、投标无效情况</w:t>
      </w:r>
      <w:bookmarkEnd w:id="185"/>
      <w:bookmarkEnd w:id="186"/>
      <w:bookmarkEnd w:id="187"/>
      <w:bookmarkEnd w:id="188"/>
    </w:p>
    <w:p w14:paraId="0AB6396B">
      <w:pPr>
        <w:widowControl/>
        <w:adjustRightInd w:val="0"/>
        <w:snapToGrid w:val="0"/>
        <w:spacing w:beforeLines="40" w:afterLines="40" w:line="400" w:lineRule="exact"/>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1、项目评审中，投标文件如出现下列情况之一的，经评标委员会评审，可作无效投标处理：</w:t>
      </w:r>
    </w:p>
    <w:p w14:paraId="7462BE58">
      <w:pPr>
        <w:widowControl/>
        <w:adjustRightInd w:val="0"/>
        <w:snapToGrid w:val="0"/>
        <w:spacing w:beforeLines="40" w:afterLines="40" w:line="400" w:lineRule="exact"/>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（一）投标文件无法打开的； </w:t>
      </w:r>
    </w:p>
    <w:p w14:paraId="3E78433A">
      <w:pPr>
        <w:widowControl/>
        <w:adjustRightInd w:val="0"/>
        <w:snapToGrid w:val="0"/>
        <w:spacing w:beforeLines="40" w:afterLines="40" w:line="400" w:lineRule="exact"/>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（二）投标文件中携带病毒并造成后果的； </w:t>
      </w:r>
    </w:p>
    <w:p w14:paraId="4DB146DC">
      <w:pPr>
        <w:widowControl/>
        <w:adjustRightInd w:val="0"/>
        <w:snapToGrid w:val="0"/>
        <w:spacing w:beforeLines="40" w:afterLines="40" w:line="400" w:lineRule="exact"/>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（三）恶意递交投标文件，企图造成网络堵塞或瘫痪的；</w:t>
      </w:r>
    </w:p>
    <w:p w14:paraId="48CDAB4B">
      <w:pPr>
        <w:widowControl/>
        <w:adjustRightInd w:val="0"/>
        <w:snapToGrid w:val="0"/>
        <w:spacing w:beforeLines="40" w:afterLines="40" w:line="400" w:lineRule="exact"/>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（四）评审委员会认定的其他投标无效情形。</w:t>
      </w:r>
    </w:p>
    <w:p w14:paraId="36310A44">
      <w:pPr>
        <w:widowControl/>
        <w:adjustRightInd w:val="0"/>
        <w:snapToGrid w:val="0"/>
        <w:spacing w:beforeLines="40" w:afterLines="40" w:line="400" w:lineRule="exact"/>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2、项目评审中，澄清文件如出现下列情况之一的，经评标委员会评审，可视同放弃澄清：</w:t>
      </w:r>
    </w:p>
    <w:p w14:paraId="654FF764">
      <w:pPr>
        <w:widowControl/>
        <w:adjustRightInd w:val="0"/>
        <w:snapToGrid w:val="0"/>
        <w:spacing w:beforeLines="40" w:afterLines="40" w:line="400" w:lineRule="exact"/>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（一）澄清文件无法打开的； </w:t>
      </w:r>
    </w:p>
    <w:p w14:paraId="40AAF6C6">
      <w:pPr>
        <w:widowControl/>
        <w:adjustRightInd w:val="0"/>
        <w:snapToGrid w:val="0"/>
        <w:spacing w:beforeLines="40" w:afterLines="40" w:line="400" w:lineRule="exact"/>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（二）澄清文件中携带病毒并造成后果的； </w:t>
      </w:r>
    </w:p>
    <w:p w14:paraId="2D941ADE">
      <w:pPr>
        <w:widowControl/>
        <w:adjustRightInd w:val="0"/>
        <w:snapToGrid w:val="0"/>
        <w:spacing w:beforeLines="40" w:afterLines="40" w:line="400" w:lineRule="exact"/>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（三）恶意递交澄清文件，企图造成网络堵塞或瘫痪的；</w:t>
      </w:r>
    </w:p>
    <w:p w14:paraId="4BC696FD">
      <w:pPr>
        <w:widowControl/>
        <w:adjustRightInd w:val="0"/>
        <w:snapToGrid w:val="0"/>
        <w:spacing w:beforeLines="40" w:afterLines="40" w:line="400" w:lineRule="exact"/>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（四）评审委员会认定的其他不予评审情形的。</w:t>
      </w:r>
    </w:p>
    <w:p w14:paraId="07F14E99">
      <w:pPr>
        <w:widowControl/>
        <w:adjustRightInd w:val="0"/>
        <w:snapToGrid w:val="0"/>
        <w:spacing w:beforeLines="40" w:afterLines="40" w:line="400" w:lineRule="exact"/>
        <w:ind w:firstLine="482" w:firstLineChars="200"/>
        <w:jc w:val="left"/>
        <w:outlineLvl w:val="1"/>
        <w:rPr>
          <w:rFonts w:asciiTheme="minorEastAsia" w:hAnsiTheme="minorEastAsia" w:eastAsiaTheme="minorEastAsia" w:cstheme="minorEastAsia"/>
          <w:b/>
          <w:bCs/>
          <w:sz w:val="24"/>
          <w:szCs w:val="24"/>
          <w:highlight w:val="none"/>
        </w:rPr>
      </w:pPr>
      <w:bookmarkStart w:id="189" w:name="_Toc29897"/>
      <w:bookmarkStart w:id="190" w:name="_Toc19803"/>
      <w:bookmarkStart w:id="191" w:name="_Toc6628"/>
      <w:bookmarkStart w:id="192" w:name="_Toc15661"/>
      <w:r>
        <w:rPr>
          <w:rFonts w:hint="eastAsia" w:asciiTheme="minorEastAsia" w:hAnsiTheme="minorEastAsia" w:eastAsiaTheme="minorEastAsia" w:cstheme="minorEastAsia"/>
          <w:b/>
          <w:bCs/>
          <w:sz w:val="24"/>
          <w:szCs w:val="24"/>
          <w:highlight w:val="none"/>
        </w:rPr>
        <w:t>五、特殊情形</w:t>
      </w:r>
      <w:bookmarkEnd w:id="189"/>
      <w:bookmarkEnd w:id="190"/>
      <w:bookmarkEnd w:id="191"/>
      <w:bookmarkEnd w:id="192"/>
    </w:p>
    <w:p w14:paraId="6CD418CB">
      <w:pPr>
        <w:widowControl/>
        <w:adjustRightInd w:val="0"/>
        <w:snapToGrid w:val="0"/>
        <w:spacing w:beforeLines="40" w:afterLines="40" w:line="400" w:lineRule="exact"/>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1、出现下列情形导致电子招投标系统无法正常运行，或者无法保证招投标过程的公平、公正和信息安全时，各方当事人免责：</w:t>
      </w:r>
    </w:p>
    <w:p w14:paraId="6671FD9B">
      <w:pPr>
        <w:widowControl/>
        <w:adjustRightInd w:val="0"/>
        <w:snapToGrid w:val="0"/>
        <w:spacing w:beforeLines="40" w:afterLines="40" w:line="400" w:lineRule="exact"/>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（一）网络服务器发生故障而无法访问网站或无法使用电子招投标系统；</w:t>
      </w:r>
    </w:p>
    <w:p w14:paraId="1CA8BC6A">
      <w:pPr>
        <w:widowControl/>
        <w:adjustRightInd w:val="0"/>
        <w:snapToGrid w:val="0"/>
        <w:spacing w:beforeLines="40" w:afterLines="40" w:line="400" w:lineRule="exact"/>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（二）电子招投标系统的软件或网络数据库出现错误，不能进行正常操作；</w:t>
      </w:r>
    </w:p>
    <w:p w14:paraId="45EFB276">
      <w:pPr>
        <w:widowControl/>
        <w:adjustRightInd w:val="0"/>
        <w:snapToGrid w:val="0"/>
        <w:spacing w:beforeLines="40" w:afterLines="40" w:line="400" w:lineRule="exact"/>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（三）电子招投标系统发现有安全漏洞，有潜在的泄密危险；</w:t>
      </w:r>
    </w:p>
    <w:p w14:paraId="616BCECC">
      <w:pPr>
        <w:widowControl/>
        <w:adjustRightInd w:val="0"/>
        <w:snapToGrid w:val="0"/>
        <w:spacing w:beforeLines="40" w:afterLines="40" w:line="400" w:lineRule="exact"/>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（四）计算机病毒发作导致系统无法正常运行的；</w:t>
      </w:r>
    </w:p>
    <w:p w14:paraId="5598C54C">
      <w:pPr>
        <w:widowControl/>
        <w:adjustRightInd w:val="0"/>
        <w:snapToGrid w:val="0"/>
        <w:spacing w:beforeLines="40" w:afterLines="40" w:line="400" w:lineRule="exact"/>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（五）电力系统发生故障导致电子招投标系统无法运行；</w:t>
      </w:r>
    </w:p>
    <w:p w14:paraId="25466656">
      <w:pPr>
        <w:widowControl/>
        <w:adjustRightInd w:val="0"/>
        <w:snapToGrid w:val="0"/>
        <w:spacing w:beforeLines="40" w:afterLines="40" w:line="400" w:lineRule="exact"/>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（六）其他无法保证招投标过程公平、公正和信息安全的。</w:t>
      </w:r>
    </w:p>
    <w:p w14:paraId="3F9CF8FA">
      <w:pPr>
        <w:widowControl/>
        <w:adjustRightInd w:val="0"/>
        <w:snapToGrid w:val="0"/>
        <w:spacing w:beforeLines="40" w:afterLines="40" w:line="400" w:lineRule="exact"/>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2、出现上述第1条情形而又不能及时解决的，采取以下处理办法：</w:t>
      </w:r>
    </w:p>
    <w:p w14:paraId="5AEC0EC7">
      <w:pPr>
        <w:widowControl/>
        <w:adjustRightInd w:val="0"/>
        <w:snapToGrid w:val="0"/>
        <w:spacing w:beforeLines="40" w:afterLines="40" w:line="400" w:lineRule="exact"/>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（一）项目暂停，待电子招投标系统或网络故障排除并经过可靠测试后，再恢复网上招投标系统运行并重新在系统中实施暂停的项目；</w:t>
      </w:r>
    </w:p>
    <w:p w14:paraId="4DDB0B52">
      <w:pPr>
        <w:widowControl/>
        <w:adjustRightInd w:val="0"/>
        <w:snapToGrid w:val="0"/>
        <w:spacing w:beforeLines="40" w:afterLines="40" w:line="400" w:lineRule="exact"/>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（二）停止该项目此次电子招投标操作程序，并通知投标供应商使用纸质投标文件进行开标、评标。</w:t>
      </w:r>
    </w:p>
    <w:p w14:paraId="52426CB3">
      <w:pPr>
        <w:pStyle w:val="2"/>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C9371488-49C6-4E54-843E-462EE4687D2E}"/>
  </w:font>
  <w:font w:name="Arial">
    <w:panose1 w:val="020B0604020202020204"/>
    <w:charset w:val="01"/>
    <w:family w:val="swiss"/>
    <w:pitch w:val="default"/>
    <w:sig w:usb0="E0002EFF" w:usb1="C000785B" w:usb2="00000009" w:usb3="00000000" w:csb0="400001FF" w:csb1="FFFF0000"/>
    <w:embedRegular r:id="rId2" w:fontKey="{0F99320D-1104-48B2-9471-418D4ACCC176}"/>
  </w:font>
  <w:font w:name="黑体">
    <w:panose1 w:val="02010609060101010101"/>
    <w:charset w:val="86"/>
    <w:family w:val="auto"/>
    <w:pitch w:val="default"/>
    <w:sig w:usb0="800002BF" w:usb1="38CF7CFA" w:usb2="00000016" w:usb3="00000000" w:csb0="00040001" w:csb1="00000000"/>
    <w:embedRegular r:id="rId3" w:fontKey="{75E9306B-5553-4D6F-A039-0364E2A913B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embedRegular r:id="rId4" w:fontKey="{1EDC714D-A89E-4546-8C9E-DC160D63AF4E}"/>
  </w:font>
  <w:font w:name="仿宋">
    <w:panose1 w:val="02010609060101010101"/>
    <w:charset w:val="86"/>
    <w:family w:val="modern"/>
    <w:pitch w:val="default"/>
    <w:sig w:usb0="800002BF" w:usb1="38CF7CFA" w:usb2="00000016" w:usb3="00000000" w:csb0="00040001" w:csb1="00000000"/>
    <w:embedRegular r:id="rId5" w:fontKey="{97546AC8-26C4-4BF0-8AA4-92D0BA96378D}"/>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华文楷体">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embedRegular r:id="rId6" w:fontKey="{1C2E9E11-C6B8-4623-90B8-C7A671DEF89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4BDD3">
    <w:pPr>
      <w:pStyle w:val="16"/>
      <w:jc w:val="center"/>
      <w:rPr>
        <w:rFonts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BD602">
    <w:pPr>
      <w:pStyle w:val="16"/>
      <w:jc w:val="center"/>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14:paraId="53BA3CE3">
                <w:pPr>
                  <w:pStyle w:val="16"/>
                  <w:rPr>
                    <w:rFonts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fldChar w:fldCharType="begin"/>
                </w:r>
                <w:r>
                  <w:instrText xml:space="preserve"> NUMPAGES  \* MERGEFORMAT </w:instrText>
                </w:r>
                <w:r>
                  <w:fldChar w:fldCharType="separate"/>
                </w:r>
                <w:r>
                  <w:rPr>
                    <w:rFonts w:ascii="宋体" w:hAnsi="宋体" w:eastAsia="宋体" w:cs="宋体"/>
                    <w:sz w:val="21"/>
                    <w:szCs w:val="21"/>
                  </w:rPr>
                  <w:t>87</w:t>
                </w:r>
                <w:r>
                  <w:rPr>
                    <w:rFonts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3C36A">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4F28A">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939C45"/>
    <w:multiLevelType w:val="singleLevel"/>
    <w:tmpl w:val="D2939C45"/>
    <w:lvl w:ilvl="0" w:tentative="0">
      <w:start w:val="1"/>
      <w:numFmt w:val="decimal"/>
      <w:suff w:val="nothing"/>
      <w:lvlText w:val="%1、"/>
      <w:lvlJc w:val="left"/>
    </w:lvl>
  </w:abstractNum>
  <w:abstractNum w:abstractNumId="1">
    <w:nsid w:val="15D94D63"/>
    <w:multiLevelType w:val="singleLevel"/>
    <w:tmpl w:val="15D94D63"/>
    <w:lvl w:ilvl="0" w:tentative="0">
      <w:start w:val="1"/>
      <w:numFmt w:val="decimal"/>
      <w:suff w:val="nothing"/>
      <w:lvlText w:val="（%1）"/>
      <w:lvlJc w:val="left"/>
    </w:lvl>
  </w:abstractNum>
  <w:abstractNum w:abstractNumId="2">
    <w:nsid w:val="7DE6ECF0"/>
    <w:multiLevelType w:val="singleLevel"/>
    <w:tmpl w:val="7DE6ECF0"/>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VlYjQzMDhiYzA3NWZlODA5OTkxMDRiNDU3ZjExNjEifQ=="/>
  </w:docVars>
  <w:rsids>
    <w:rsidRoot w:val="00276BA1"/>
    <w:rsid w:val="0000043F"/>
    <w:rsid w:val="000020A2"/>
    <w:rsid w:val="00003F56"/>
    <w:rsid w:val="000049DA"/>
    <w:rsid w:val="00004F40"/>
    <w:rsid w:val="000056B7"/>
    <w:rsid w:val="00012A13"/>
    <w:rsid w:val="000131F7"/>
    <w:rsid w:val="00016B6C"/>
    <w:rsid w:val="00017EC7"/>
    <w:rsid w:val="00020B57"/>
    <w:rsid w:val="00033B5B"/>
    <w:rsid w:val="00037DBE"/>
    <w:rsid w:val="00042139"/>
    <w:rsid w:val="00042B14"/>
    <w:rsid w:val="00044347"/>
    <w:rsid w:val="00044F49"/>
    <w:rsid w:val="000450C3"/>
    <w:rsid w:val="00046AFF"/>
    <w:rsid w:val="00050A3F"/>
    <w:rsid w:val="000530EC"/>
    <w:rsid w:val="000544DE"/>
    <w:rsid w:val="000648D2"/>
    <w:rsid w:val="00070E0E"/>
    <w:rsid w:val="00076DB7"/>
    <w:rsid w:val="00080B7B"/>
    <w:rsid w:val="00080FEB"/>
    <w:rsid w:val="00081B81"/>
    <w:rsid w:val="000868D6"/>
    <w:rsid w:val="0009323E"/>
    <w:rsid w:val="000942BA"/>
    <w:rsid w:val="00094D41"/>
    <w:rsid w:val="00097CB9"/>
    <w:rsid w:val="000A3569"/>
    <w:rsid w:val="000A4640"/>
    <w:rsid w:val="000A6345"/>
    <w:rsid w:val="000A6693"/>
    <w:rsid w:val="000A6B73"/>
    <w:rsid w:val="000A7D94"/>
    <w:rsid w:val="000A7FFE"/>
    <w:rsid w:val="000B1511"/>
    <w:rsid w:val="000B54F4"/>
    <w:rsid w:val="000C1DB1"/>
    <w:rsid w:val="000D3F37"/>
    <w:rsid w:val="000D431F"/>
    <w:rsid w:val="000E03D5"/>
    <w:rsid w:val="000E2208"/>
    <w:rsid w:val="000E3C74"/>
    <w:rsid w:val="000E3F9B"/>
    <w:rsid w:val="000E6689"/>
    <w:rsid w:val="000F00A3"/>
    <w:rsid w:val="000F014C"/>
    <w:rsid w:val="000F172B"/>
    <w:rsid w:val="000F1C24"/>
    <w:rsid w:val="000F2198"/>
    <w:rsid w:val="000F39B6"/>
    <w:rsid w:val="000F6B7B"/>
    <w:rsid w:val="00100B0F"/>
    <w:rsid w:val="0010187C"/>
    <w:rsid w:val="001037E3"/>
    <w:rsid w:val="00110911"/>
    <w:rsid w:val="00116A70"/>
    <w:rsid w:val="0012143A"/>
    <w:rsid w:val="001222C6"/>
    <w:rsid w:val="00136D80"/>
    <w:rsid w:val="00137C7C"/>
    <w:rsid w:val="00140687"/>
    <w:rsid w:val="00141707"/>
    <w:rsid w:val="00142AAF"/>
    <w:rsid w:val="00146421"/>
    <w:rsid w:val="001467FF"/>
    <w:rsid w:val="001479CF"/>
    <w:rsid w:val="00150567"/>
    <w:rsid w:val="00155F64"/>
    <w:rsid w:val="00157148"/>
    <w:rsid w:val="00157856"/>
    <w:rsid w:val="00160729"/>
    <w:rsid w:val="00160D83"/>
    <w:rsid w:val="001644D1"/>
    <w:rsid w:val="00164D27"/>
    <w:rsid w:val="00166ED8"/>
    <w:rsid w:val="001714C9"/>
    <w:rsid w:val="001754E2"/>
    <w:rsid w:val="00177DAF"/>
    <w:rsid w:val="0018119B"/>
    <w:rsid w:val="001812B3"/>
    <w:rsid w:val="00181D07"/>
    <w:rsid w:val="001826D0"/>
    <w:rsid w:val="00183344"/>
    <w:rsid w:val="00183897"/>
    <w:rsid w:val="001844AB"/>
    <w:rsid w:val="00190F1F"/>
    <w:rsid w:val="001944B8"/>
    <w:rsid w:val="00195399"/>
    <w:rsid w:val="00196DA3"/>
    <w:rsid w:val="00197AC4"/>
    <w:rsid w:val="001A0DCD"/>
    <w:rsid w:val="001A5D34"/>
    <w:rsid w:val="001A68E5"/>
    <w:rsid w:val="001B21DF"/>
    <w:rsid w:val="001B2A54"/>
    <w:rsid w:val="001B5014"/>
    <w:rsid w:val="001B7327"/>
    <w:rsid w:val="001C1409"/>
    <w:rsid w:val="001C67F2"/>
    <w:rsid w:val="001D53B4"/>
    <w:rsid w:val="001E744D"/>
    <w:rsid w:val="001F28D2"/>
    <w:rsid w:val="001F2F45"/>
    <w:rsid w:val="001F3023"/>
    <w:rsid w:val="001F35F6"/>
    <w:rsid w:val="001F74CA"/>
    <w:rsid w:val="002003B6"/>
    <w:rsid w:val="002020CB"/>
    <w:rsid w:val="002049B4"/>
    <w:rsid w:val="0020520B"/>
    <w:rsid w:val="00213C55"/>
    <w:rsid w:val="0021419E"/>
    <w:rsid w:val="002163CF"/>
    <w:rsid w:val="002168C4"/>
    <w:rsid w:val="002178B1"/>
    <w:rsid w:val="00223CF4"/>
    <w:rsid w:val="00224C4A"/>
    <w:rsid w:val="002338E2"/>
    <w:rsid w:val="0023407E"/>
    <w:rsid w:val="00240B40"/>
    <w:rsid w:val="00241C5C"/>
    <w:rsid w:val="002434C3"/>
    <w:rsid w:val="002440D8"/>
    <w:rsid w:val="00244182"/>
    <w:rsid w:val="00245F65"/>
    <w:rsid w:val="00246810"/>
    <w:rsid w:val="002562FC"/>
    <w:rsid w:val="00260860"/>
    <w:rsid w:val="00260B94"/>
    <w:rsid w:val="00261BF8"/>
    <w:rsid w:val="00262F3D"/>
    <w:rsid w:val="00264F2E"/>
    <w:rsid w:val="002658A3"/>
    <w:rsid w:val="00271245"/>
    <w:rsid w:val="00272E6E"/>
    <w:rsid w:val="00274A9E"/>
    <w:rsid w:val="00276292"/>
    <w:rsid w:val="00276BA1"/>
    <w:rsid w:val="00277094"/>
    <w:rsid w:val="00286BB6"/>
    <w:rsid w:val="002A1A1D"/>
    <w:rsid w:val="002A28AD"/>
    <w:rsid w:val="002A3AEE"/>
    <w:rsid w:val="002A400A"/>
    <w:rsid w:val="002B08E7"/>
    <w:rsid w:val="002B0C18"/>
    <w:rsid w:val="002B5318"/>
    <w:rsid w:val="002B5373"/>
    <w:rsid w:val="002B6D27"/>
    <w:rsid w:val="002C3776"/>
    <w:rsid w:val="002C4BA9"/>
    <w:rsid w:val="002C4FB3"/>
    <w:rsid w:val="002D1258"/>
    <w:rsid w:val="002D128A"/>
    <w:rsid w:val="002D2965"/>
    <w:rsid w:val="002D3D02"/>
    <w:rsid w:val="002D4CB5"/>
    <w:rsid w:val="002D684B"/>
    <w:rsid w:val="002E3B26"/>
    <w:rsid w:val="002E4AB8"/>
    <w:rsid w:val="002E6B31"/>
    <w:rsid w:val="002F092B"/>
    <w:rsid w:val="002F5981"/>
    <w:rsid w:val="002F72EE"/>
    <w:rsid w:val="00306618"/>
    <w:rsid w:val="00310070"/>
    <w:rsid w:val="003110EC"/>
    <w:rsid w:val="00312DBE"/>
    <w:rsid w:val="00313029"/>
    <w:rsid w:val="00324D38"/>
    <w:rsid w:val="00327C92"/>
    <w:rsid w:val="0033245B"/>
    <w:rsid w:val="00333292"/>
    <w:rsid w:val="003344E7"/>
    <w:rsid w:val="0033580B"/>
    <w:rsid w:val="0033628B"/>
    <w:rsid w:val="003365E7"/>
    <w:rsid w:val="003378D5"/>
    <w:rsid w:val="003419E9"/>
    <w:rsid w:val="003447AE"/>
    <w:rsid w:val="003473D7"/>
    <w:rsid w:val="00351354"/>
    <w:rsid w:val="00351AC8"/>
    <w:rsid w:val="00353075"/>
    <w:rsid w:val="00363E02"/>
    <w:rsid w:val="00373A96"/>
    <w:rsid w:val="003826C2"/>
    <w:rsid w:val="00383728"/>
    <w:rsid w:val="00383B8D"/>
    <w:rsid w:val="00391586"/>
    <w:rsid w:val="00394128"/>
    <w:rsid w:val="003947A4"/>
    <w:rsid w:val="00395235"/>
    <w:rsid w:val="0039561A"/>
    <w:rsid w:val="00397C7D"/>
    <w:rsid w:val="003A004F"/>
    <w:rsid w:val="003A0ACC"/>
    <w:rsid w:val="003B4130"/>
    <w:rsid w:val="003B67D3"/>
    <w:rsid w:val="003B6C76"/>
    <w:rsid w:val="003B6C90"/>
    <w:rsid w:val="003B715B"/>
    <w:rsid w:val="003C4630"/>
    <w:rsid w:val="003D1D14"/>
    <w:rsid w:val="003D6C7C"/>
    <w:rsid w:val="003D6EFB"/>
    <w:rsid w:val="003D7E52"/>
    <w:rsid w:val="003E25C6"/>
    <w:rsid w:val="003E6BEB"/>
    <w:rsid w:val="003F145B"/>
    <w:rsid w:val="003F2122"/>
    <w:rsid w:val="003F326A"/>
    <w:rsid w:val="004011AA"/>
    <w:rsid w:val="0040202C"/>
    <w:rsid w:val="00406508"/>
    <w:rsid w:val="004077EE"/>
    <w:rsid w:val="0041456E"/>
    <w:rsid w:val="00414F7E"/>
    <w:rsid w:val="004164F8"/>
    <w:rsid w:val="00417FD0"/>
    <w:rsid w:val="00420B7F"/>
    <w:rsid w:val="004234BA"/>
    <w:rsid w:val="0042488B"/>
    <w:rsid w:val="004427B7"/>
    <w:rsid w:val="0044349F"/>
    <w:rsid w:val="00445F1F"/>
    <w:rsid w:val="00451F60"/>
    <w:rsid w:val="00452BB2"/>
    <w:rsid w:val="00455467"/>
    <w:rsid w:val="0045656D"/>
    <w:rsid w:val="00462D98"/>
    <w:rsid w:val="00472A44"/>
    <w:rsid w:val="00473A89"/>
    <w:rsid w:val="00474D3B"/>
    <w:rsid w:val="004757F6"/>
    <w:rsid w:val="00475899"/>
    <w:rsid w:val="004802A8"/>
    <w:rsid w:val="00482C78"/>
    <w:rsid w:val="004874AE"/>
    <w:rsid w:val="00492E2B"/>
    <w:rsid w:val="00494D24"/>
    <w:rsid w:val="004951D1"/>
    <w:rsid w:val="004A27D0"/>
    <w:rsid w:val="004A4D67"/>
    <w:rsid w:val="004A6FD2"/>
    <w:rsid w:val="004B2D4C"/>
    <w:rsid w:val="004C7378"/>
    <w:rsid w:val="004D1030"/>
    <w:rsid w:val="004D22B1"/>
    <w:rsid w:val="004D3D4B"/>
    <w:rsid w:val="004D5498"/>
    <w:rsid w:val="004D5574"/>
    <w:rsid w:val="004D66A5"/>
    <w:rsid w:val="004D6B00"/>
    <w:rsid w:val="004D7951"/>
    <w:rsid w:val="004E0AE0"/>
    <w:rsid w:val="004E1D50"/>
    <w:rsid w:val="004E502F"/>
    <w:rsid w:val="004F0396"/>
    <w:rsid w:val="004F12A0"/>
    <w:rsid w:val="004F3918"/>
    <w:rsid w:val="00501382"/>
    <w:rsid w:val="00503E2F"/>
    <w:rsid w:val="005054B9"/>
    <w:rsid w:val="00506E4F"/>
    <w:rsid w:val="00510798"/>
    <w:rsid w:val="00514ED8"/>
    <w:rsid w:val="00515F12"/>
    <w:rsid w:val="00522B2E"/>
    <w:rsid w:val="00524A11"/>
    <w:rsid w:val="00527768"/>
    <w:rsid w:val="0053158A"/>
    <w:rsid w:val="005327FB"/>
    <w:rsid w:val="00533FCA"/>
    <w:rsid w:val="00541C0B"/>
    <w:rsid w:val="0054317E"/>
    <w:rsid w:val="00544C2A"/>
    <w:rsid w:val="005469A8"/>
    <w:rsid w:val="00546D49"/>
    <w:rsid w:val="00556D4C"/>
    <w:rsid w:val="005614B4"/>
    <w:rsid w:val="005616B5"/>
    <w:rsid w:val="00571315"/>
    <w:rsid w:val="0057230F"/>
    <w:rsid w:val="00582075"/>
    <w:rsid w:val="00584A63"/>
    <w:rsid w:val="00585EB3"/>
    <w:rsid w:val="00591558"/>
    <w:rsid w:val="00591688"/>
    <w:rsid w:val="00592509"/>
    <w:rsid w:val="00594986"/>
    <w:rsid w:val="00597B15"/>
    <w:rsid w:val="005A044C"/>
    <w:rsid w:val="005B5C95"/>
    <w:rsid w:val="005B6740"/>
    <w:rsid w:val="005D0200"/>
    <w:rsid w:val="005D44EF"/>
    <w:rsid w:val="005D4814"/>
    <w:rsid w:val="005D5112"/>
    <w:rsid w:val="005E736E"/>
    <w:rsid w:val="005F03E3"/>
    <w:rsid w:val="005F3914"/>
    <w:rsid w:val="005F3B5A"/>
    <w:rsid w:val="005F6AB4"/>
    <w:rsid w:val="00610A66"/>
    <w:rsid w:val="0061206C"/>
    <w:rsid w:val="00612BE3"/>
    <w:rsid w:val="00613177"/>
    <w:rsid w:val="00613F7C"/>
    <w:rsid w:val="00614BF2"/>
    <w:rsid w:val="0061618E"/>
    <w:rsid w:val="00620560"/>
    <w:rsid w:val="006208CB"/>
    <w:rsid w:val="00623DE2"/>
    <w:rsid w:val="00627601"/>
    <w:rsid w:val="006300D0"/>
    <w:rsid w:val="00632012"/>
    <w:rsid w:val="00634694"/>
    <w:rsid w:val="00635F9D"/>
    <w:rsid w:val="00636517"/>
    <w:rsid w:val="00637690"/>
    <w:rsid w:val="00640E1E"/>
    <w:rsid w:val="0064389A"/>
    <w:rsid w:val="00645442"/>
    <w:rsid w:val="006525CD"/>
    <w:rsid w:val="00653353"/>
    <w:rsid w:val="00653F7F"/>
    <w:rsid w:val="00654457"/>
    <w:rsid w:val="00662EE8"/>
    <w:rsid w:val="00663813"/>
    <w:rsid w:val="00663C3B"/>
    <w:rsid w:val="00664AFD"/>
    <w:rsid w:val="00667567"/>
    <w:rsid w:val="0067391A"/>
    <w:rsid w:val="00674173"/>
    <w:rsid w:val="00674602"/>
    <w:rsid w:val="0067535A"/>
    <w:rsid w:val="00683B5A"/>
    <w:rsid w:val="00683CA0"/>
    <w:rsid w:val="00690DB1"/>
    <w:rsid w:val="00693404"/>
    <w:rsid w:val="006953D9"/>
    <w:rsid w:val="006954FE"/>
    <w:rsid w:val="00697FE9"/>
    <w:rsid w:val="006A1AD2"/>
    <w:rsid w:val="006A5FEE"/>
    <w:rsid w:val="006B1242"/>
    <w:rsid w:val="006B1DBC"/>
    <w:rsid w:val="006B63B7"/>
    <w:rsid w:val="006B7D9A"/>
    <w:rsid w:val="006C06D9"/>
    <w:rsid w:val="006C464F"/>
    <w:rsid w:val="006C5716"/>
    <w:rsid w:val="006C74A9"/>
    <w:rsid w:val="006D07DE"/>
    <w:rsid w:val="006D2FE8"/>
    <w:rsid w:val="006D394E"/>
    <w:rsid w:val="006E06D9"/>
    <w:rsid w:val="006E1D40"/>
    <w:rsid w:val="006E2E1F"/>
    <w:rsid w:val="006E4BE8"/>
    <w:rsid w:val="006F5FFF"/>
    <w:rsid w:val="006F6E33"/>
    <w:rsid w:val="006F7AF3"/>
    <w:rsid w:val="00702CF1"/>
    <w:rsid w:val="00703635"/>
    <w:rsid w:val="00703BCB"/>
    <w:rsid w:val="007054AA"/>
    <w:rsid w:val="00706CFF"/>
    <w:rsid w:val="00706D4B"/>
    <w:rsid w:val="00707B8C"/>
    <w:rsid w:val="00710804"/>
    <w:rsid w:val="00711FC6"/>
    <w:rsid w:val="007130B1"/>
    <w:rsid w:val="00713C68"/>
    <w:rsid w:val="00715071"/>
    <w:rsid w:val="0072140F"/>
    <w:rsid w:val="007231E9"/>
    <w:rsid w:val="00727C59"/>
    <w:rsid w:val="00734E5D"/>
    <w:rsid w:val="00735AF1"/>
    <w:rsid w:val="00736013"/>
    <w:rsid w:val="00737661"/>
    <w:rsid w:val="00745295"/>
    <w:rsid w:val="00752AA2"/>
    <w:rsid w:val="00755D75"/>
    <w:rsid w:val="00756245"/>
    <w:rsid w:val="0076130F"/>
    <w:rsid w:val="00761662"/>
    <w:rsid w:val="00764043"/>
    <w:rsid w:val="007757CF"/>
    <w:rsid w:val="00776FFC"/>
    <w:rsid w:val="0078128F"/>
    <w:rsid w:val="0078683C"/>
    <w:rsid w:val="007879E9"/>
    <w:rsid w:val="00790EDB"/>
    <w:rsid w:val="00791538"/>
    <w:rsid w:val="007918F0"/>
    <w:rsid w:val="0079326E"/>
    <w:rsid w:val="00796EDE"/>
    <w:rsid w:val="00797A02"/>
    <w:rsid w:val="007A1F42"/>
    <w:rsid w:val="007A27A9"/>
    <w:rsid w:val="007A5A58"/>
    <w:rsid w:val="007A6740"/>
    <w:rsid w:val="007B1C56"/>
    <w:rsid w:val="007B4996"/>
    <w:rsid w:val="007C2B70"/>
    <w:rsid w:val="007C3CD5"/>
    <w:rsid w:val="007C61EF"/>
    <w:rsid w:val="007D1C0D"/>
    <w:rsid w:val="007D2D23"/>
    <w:rsid w:val="007D7644"/>
    <w:rsid w:val="007E27D6"/>
    <w:rsid w:val="007E3921"/>
    <w:rsid w:val="007E5DDE"/>
    <w:rsid w:val="00801028"/>
    <w:rsid w:val="00802CE2"/>
    <w:rsid w:val="00803793"/>
    <w:rsid w:val="0080643F"/>
    <w:rsid w:val="00814052"/>
    <w:rsid w:val="008149FD"/>
    <w:rsid w:val="00817A01"/>
    <w:rsid w:val="00824F21"/>
    <w:rsid w:val="0082500C"/>
    <w:rsid w:val="00825E35"/>
    <w:rsid w:val="00832D7B"/>
    <w:rsid w:val="008334F8"/>
    <w:rsid w:val="008341AA"/>
    <w:rsid w:val="00835D8E"/>
    <w:rsid w:val="008372F6"/>
    <w:rsid w:val="008377CA"/>
    <w:rsid w:val="008428E8"/>
    <w:rsid w:val="00844D03"/>
    <w:rsid w:val="00847B0F"/>
    <w:rsid w:val="00852994"/>
    <w:rsid w:val="00873D89"/>
    <w:rsid w:val="00876659"/>
    <w:rsid w:val="00876677"/>
    <w:rsid w:val="0087734C"/>
    <w:rsid w:val="00882141"/>
    <w:rsid w:val="008843F6"/>
    <w:rsid w:val="00887E3B"/>
    <w:rsid w:val="008922A8"/>
    <w:rsid w:val="00895728"/>
    <w:rsid w:val="00895BD5"/>
    <w:rsid w:val="0089742B"/>
    <w:rsid w:val="008A16C4"/>
    <w:rsid w:val="008A485E"/>
    <w:rsid w:val="008A6FED"/>
    <w:rsid w:val="008B39C5"/>
    <w:rsid w:val="008B51AA"/>
    <w:rsid w:val="008B7932"/>
    <w:rsid w:val="008C4704"/>
    <w:rsid w:val="008C67F2"/>
    <w:rsid w:val="008D064A"/>
    <w:rsid w:val="008D0FDB"/>
    <w:rsid w:val="008D2B0F"/>
    <w:rsid w:val="008D30BC"/>
    <w:rsid w:val="008D4BC4"/>
    <w:rsid w:val="008E449E"/>
    <w:rsid w:val="008E7062"/>
    <w:rsid w:val="008F187F"/>
    <w:rsid w:val="008F402F"/>
    <w:rsid w:val="008F55FA"/>
    <w:rsid w:val="008F63AC"/>
    <w:rsid w:val="008F76E8"/>
    <w:rsid w:val="008F7CD0"/>
    <w:rsid w:val="00902902"/>
    <w:rsid w:val="00902A4B"/>
    <w:rsid w:val="009078A1"/>
    <w:rsid w:val="00911E9C"/>
    <w:rsid w:val="00915083"/>
    <w:rsid w:val="009162FB"/>
    <w:rsid w:val="00917405"/>
    <w:rsid w:val="00920035"/>
    <w:rsid w:val="00920F7C"/>
    <w:rsid w:val="00934CAE"/>
    <w:rsid w:val="00936BD4"/>
    <w:rsid w:val="0094257D"/>
    <w:rsid w:val="00942F60"/>
    <w:rsid w:val="0095211B"/>
    <w:rsid w:val="0095467C"/>
    <w:rsid w:val="00954A61"/>
    <w:rsid w:val="00955C6F"/>
    <w:rsid w:val="00962FF9"/>
    <w:rsid w:val="00966C7B"/>
    <w:rsid w:val="009701DC"/>
    <w:rsid w:val="009715D8"/>
    <w:rsid w:val="00977EAF"/>
    <w:rsid w:val="00980D0D"/>
    <w:rsid w:val="00985C4B"/>
    <w:rsid w:val="00995BF9"/>
    <w:rsid w:val="00997434"/>
    <w:rsid w:val="00997C3C"/>
    <w:rsid w:val="009A0CAF"/>
    <w:rsid w:val="009A1474"/>
    <w:rsid w:val="009A2207"/>
    <w:rsid w:val="009A5147"/>
    <w:rsid w:val="009A74C4"/>
    <w:rsid w:val="009B02D2"/>
    <w:rsid w:val="009B23A2"/>
    <w:rsid w:val="009B6C42"/>
    <w:rsid w:val="009D31F7"/>
    <w:rsid w:val="009D32C2"/>
    <w:rsid w:val="009D50DB"/>
    <w:rsid w:val="009E3A0A"/>
    <w:rsid w:val="009F26D4"/>
    <w:rsid w:val="009F3E91"/>
    <w:rsid w:val="009F6CE7"/>
    <w:rsid w:val="009F7D7D"/>
    <w:rsid w:val="00A01670"/>
    <w:rsid w:val="00A1499B"/>
    <w:rsid w:val="00A14BF8"/>
    <w:rsid w:val="00A15730"/>
    <w:rsid w:val="00A20879"/>
    <w:rsid w:val="00A20AFC"/>
    <w:rsid w:val="00A23E47"/>
    <w:rsid w:val="00A314C2"/>
    <w:rsid w:val="00A43B9C"/>
    <w:rsid w:val="00A53155"/>
    <w:rsid w:val="00A548A0"/>
    <w:rsid w:val="00A56FFA"/>
    <w:rsid w:val="00A63E86"/>
    <w:rsid w:val="00A65A1C"/>
    <w:rsid w:val="00A66BEB"/>
    <w:rsid w:val="00A734F6"/>
    <w:rsid w:val="00A757C3"/>
    <w:rsid w:val="00A75E5B"/>
    <w:rsid w:val="00A7684A"/>
    <w:rsid w:val="00A82AED"/>
    <w:rsid w:val="00A83B69"/>
    <w:rsid w:val="00A86533"/>
    <w:rsid w:val="00A91176"/>
    <w:rsid w:val="00A9176A"/>
    <w:rsid w:val="00A91CA2"/>
    <w:rsid w:val="00A92C05"/>
    <w:rsid w:val="00A92FB8"/>
    <w:rsid w:val="00A948F1"/>
    <w:rsid w:val="00AA1D7D"/>
    <w:rsid w:val="00AA7525"/>
    <w:rsid w:val="00AB0EA9"/>
    <w:rsid w:val="00AB139D"/>
    <w:rsid w:val="00AB2C46"/>
    <w:rsid w:val="00AB3EFB"/>
    <w:rsid w:val="00AB5EF7"/>
    <w:rsid w:val="00AC0B05"/>
    <w:rsid w:val="00AC763F"/>
    <w:rsid w:val="00AD079A"/>
    <w:rsid w:val="00AD1890"/>
    <w:rsid w:val="00AE2149"/>
    <w:rsid w:val="00AE33AE"/>
    <w:rsid w:val="00AE3785"/>
    <w:rsid w:val="00AE3F91"/>
    <w:rsid w:val="00AE452F"/>
    <w:rsid w:val="00AE76E6"/>
    <w:rsid w:val="00B00ACC"/>
    <w:rsid w:val="00B039E3"/>
    <w:rsid w:val="00B043C1"/>
    <w:rsid w:val="00B14E34"/>
    <w:rsid w:val="00B16AEF"/>
    <w:rsid w:val="00B22838"/>
    <w:rsid w:val="00B27D52"/>
    <w:rsid w:val="00B32BC1"/>
    <w:rsid w:val="00B32F46"/>
    <w:rsid w:val="00B33E95"/>
    <w:rsid w:val="00B34EE1"/>
    <w:rsid w:val="00B35B5E"/>
    <w:rsid w:val="00B3720B"/>
    <w:rsid w:val="00B40EE3"/>
    <w:rsid w:val="00B4535A"/>
    <w:rsid w:val="00B55271"/>
    <w:rsid w:val="00B5558A"/>
    <w:rsid w:val="00B56513"/>
    <w:rsid w:val="00B56B2E"/>
    <w:rsid w:val="00B64376"/>
    <w:rsid w:val="00B71533"/>
    <w:rsid w:val="00B7401F"/>
    <w:rsid w:val="00B77E4F"/>
    <w:rsid w:val="00B806C3"/>
    <w:rsid w:val="00B838F5"/>
    <w:rsid w:val="00B84FCA"/>
    <w:rsid w:val="00B9089F"/>
    <w:rsid w:val="00B91AEE"/>
    <w:rsid w:val="00B94F71"/>
    <w:rsid w:val="00B95F5A"/>
    <w:rsid w:val="00B96EAD"/>
    <w:rsid w:val="00BA22AF"/>
    <w:rsid w:val="00BA4B42"/>
    <w:rsid w:val="00BA4CAA"/>
    <w:rsid w:val="00BA79F5"/>
    <w:rsid w:val="00BB02E8"/>
    <w:rsid w:val="00BB3AB6"/>
    <w:rsid w:val="00BB766D"/>
    <w:rsid w:val="00BB780B"/>
    <w:rsid w:val="00BC007B"/>
    <w:rsid w:val="00BC15E7"/>
    <w:rsid w:val="00BC26BA"/>
    <w:rsid w:val="00BC35F8"/>
    <w:rsid w:val="00BC49BF"/>
    <w:rsid w:val="00BC5043"/>
    <w:rsid w:val="00BC7140"/>
    <w:rsid w:val="00BD1B89"/>
    <w:rsid w:val="00BD3944"/>
    <w:rsid w:val="00BF005E"/>
    <w:rsid w:val="00BF376F"/>
    <w:rsid w:val="00BF46A6"/>
    <w:rsid w:val="00BF62CF"/>
    <w:rsid w:val="00BF6B98"/>
    <w:rsid w:val="00BF73D6"/>
    <w:rsid w:val="00C06545"/>
    <w:rsid w:val="00C1161C"/>
    <w:rsid w:val="00C17F66"/>
    <w:rsid w:val="00C208C6"/>
    <w:rsid w:val="00C220FC"/>
    <w:rsid w:val="00C23C86"/>
    <w:rsid w:val="00C23CA1"/>
    <w:rsid w:val="00C24DFA"/>
    <w:rsid w:val="00C35561"/>
    <w:rsid w:val="00C4202A"/>
    <w:rsid w:val="00C4211F"/>
    <w:rsid w:val="00C46A36"/>
    <w:rsid w:val="00C47037"/>
    <w:rsid w:val="00C53625"/>
    <w:rsid w:val="00C56C05"/>
    <w:rsid w:val="00C602C1"/>
    <w:rsid w:val="00C61C98"/>
    <w:rsid w:val="00C63FC0"/>
    <w:rsid w:val="00C66392"/>
    <w:rsid w:val="00C704F4"/>
    <w:rsid w:val="00C71B78"/>
    <w:rsid w:val="00C74C5E"/>
    <w:rsid w:val="00C75279"/>
    <w:rsid w:val="00C77487"/>
    <w:rsid w:val="00C827A2"/>
    <w:rsid w:val="00C82B69"/>
    <w:rsid w:val="00C85394"/>
    <w:rsid w:val="00C8657D"/>
    <w:rsid w:val="00C91B28"/>
    <w:rsid w:val="00C91F3A"/>
    <w:rsid w:val="00C94A6F"/>
    <w:rsid w:val="00C956CC"/>
    <w:rsid w:val="00CA06E3"/>
    <w:rsid w:val="00CB328B"/>
    <w:rsid w:val="00CB5797"/>
    <w:rsid w:val="00CB6050"/>
    <w:rsid w:val="00CB6E06"/>
    <w:rsid w:val="00CC1202"/>
    <w:rsid w:val="00CC4099"/>
    <w:rsid w:val="00CC45C1"/>
    <w:rsid w:val="00CD09E1"/>
    <w:rsid w:val="00CD5078"/>
    <w:rsid w:val="00CD6202"/>
    <w:rsid w:val="00CE2486"/>
    <w:rsid w:val="00CE4913"/>
    <w:rsid w:val="00CE66BD"/>
    <w:rsid w:val="00CF0671"/>
    <w:rsid w:val="00CF44AD"/>
    <w:rsid w:val="00CF4FC0"/>
    <w:rsid w:val="00CF7642"/>
    <w:rsid w:val="00D03909"/>
    <w:rsid w:val="00D1072F"/>
    <w:rsid w:val="00D108A5"/>
    <w:rsid w:val="00D14585"/>
    <w:rsid w:val="00D20EFF"/>
    <w:rsid w:val="00D30F1B"/>
    <w:rsid w:val="00D30FC0"/>
    <w:rsid w:val="00D34F0D"/>
    <w:rsid w:val="00D3516E"/>
    <w:rsid w:val="00D4064C"/>
    <w:rsid w:val="00D47F9F"/>
    <w:rsid w:val="00D53ED8"/>
    <w:rsid w:val="00D56380"/>
    <w:rsid w:val="00D56A47"/>
    <w:rsid w:val="00D64857"/>
    <w:rsid w:val="00D6493A"/>
    <w:rsid w:val="00D64EE2"/>
    <w:rsid w:val="00D67674"/>
    <w:rsid w:val="00D67875"/>
    <w:rsid w:val="00D71CBD"/>
    <w:rsid w:val="00D71E86"/>
    <w:rsid w:val="00D731C6"/>
    <w:rsid w:val="00D745C5"/>
    <w:rsid w:val="00D75327"/>
    <w:rsid w:val="00D76473"/>
    <w:rsid w:val="00D80C36"/>
    <w:rsid w:val="00D86779"/>
    <w:rsid w:val="00D86EE1"/>
    <w:rsid w:val="00D9120E"/>
    <w:rsid w:val="00D913B1"/>
    <w:rsid w:val="00D93793"/>
    <w:rsid w:val="00D96126"/>
    <w:rsid w:val="00DB4B1C"/>
    <w:rsid w:val="00DB5085"/>
    <w:rsid w:val="00DB7706"/>
    <w:rsid w:val="00DC1062"/>
    <w:rsid w:val="00DC132C"/>
    <w:rsid w:val="00DC774B"/>
    <w:rsid w:val="00DD43F0"/>
    <w:rsid w:val="00DD44DE"/>
    <w:rsid w:val="00DE09AB"/>
    <w:rsid w:val="00DE4A3F"/>
    <w:rsid w:val="00DE4E53"/>
    <w:rsid w:val="00DE7AE9"/>
    <w:rsid w:val="00DF3869"/>
    <w:rsid w:val="00DF4274"/>
    <w:rsid w:val="00DF4367"/>
    <w:rsid w:val="00E0574A"/>
    <w:rsid w:val="00E1243D"/>
    <w:rsid w:val="00E12742"/>
    <w:rsid w:val="00E12E4A"/>
    <w:rsid w:val="00E146D4"/>
    <w:rsid w:val="00E20976"/>
    <w:rsid w:val="00E22079"/>
    <w:rsid w:val="00E22B44"/>
    <w:rsid w:val="00E236D8"/>
    <w:rsid w:val="00E30ACD"/>
    <w:rsid w:val="00E3184B"/>
    <w:rsid w:val="00E32735"/>
    <w:rsid w:val="00E5391D"/>
    <w:rsid w:val="00E544E5"/>
    <w:rsid w:val="00E66E36"/>
    <w:rsid w:val="00E6781E"/>
    <w:rsid w:val="00E702ED"/>
    <w:rsid w:val="00E705CC"/>
    <w:rsid w:val="00E709A4"/>
    <w:rsid w:val="00E73822"/>
    <w:rsid w:val="00E772DB"/>
    <w:rsid w:val="00E86012"/>
    <w:rsid w:val="00E86BAB"/>
    <w:rsid w:val="00E901A1"/>
    <w:rsid w:val="00E94E10"/>
    <w:rsid w:val="00E954BD"/>
    <w:rsid w:val="00E96743"/>
    <w:rsid w:val="00E96A42"/>
    <w:rsid w:val="00EA0A36"/>
    <w:rsid w:val="00EA49C5"/>
    <w:rsid w:val="00EA4DD3"/>
    <w:rsid w:val="00EB1C1C"/>
    <w:rsid w:val="00EB5027"/>
    <w:rsid w:val="00EC1836"/>
    <w:rsid w:val="00EC3990"/>
    <w:rsid w:val="00EC484B"/>
    <w:rsid w:val="00ED15FA"/>
    <w:rsid w:val="00ED1E00"/>
    <w:rsid w:val="00ED4911"/>
    <w:rsid w:val="00EE228F"/>
    <w:rsid w:val="00EE238D"/>
    <w:rsid w:val="00EE6E9A"/>
    <w:rsid w:val="00EF0BF1"/>
    <w:rsid w:val="00EF104B"/>
    <w:rsid w:val="00EF27DA"/>
    <w:rsid w:val="00EF2AC4"/>
    <w:rsid w:val="00EF397E"/>
    <w:rsid w:val="00F017B5"/>
    <w:rsid w:val="00F06F68"/>
    <w:rsid w:val="00F1332D"/>
    <w:rsid w:val="00F1534B"/>
    <w:rsid w:val="00F1713B"/>
    <w:rsid w:val="00F212CB"/>
    <w:rsid w:val="00F23C7D"/>
    <w:rsid w:val="00F243DB"/>
    <w:rsid w:val="00F24C2D"/>
    <w:rsid w:val="00F24F1B"/>
    <w:rsid w:val="00F27356"/>
    <w:rsid w:val="00F30820"/>
    <w:rsid w:val="00F32A81"/>
    <w:rsid w:val="00F46998"/>
    <w:rsid w:val="00F47100"/>
    <w:rsid w:val="00F516FB"/>
    <w:rsid w:val="00F5382D"/>
    <w:rsid w:val="00F53D9C"/>
    <w:rsid w:val="00F5462B"/>
    <w:rsid w:val="00F634AD"/>
    <w:rsid w:val="00F63677"/>
    <w:rsid w:val="00F63ABE"/>
    <w:rsid w:val="00F75B81"/>
    <w:rsid w:val="00F804C4"/>
    <w:rsid w:val="00F82F83"/>
    <w:rsid w:val="00F832E5"/>
    <w:rsid w:val="00F90F40"/>
    <w:rsid w:val="00F92B30"/>
    <w:rsid w:val="00F933B9"/>
    <w:rsid w:val="00F94674"/>
    <w:rsid w:val="00F94919"/>
    <w:rsid w:val="00F94A59"/>
    <w:rsid w:val="00F954FF"/>
    <w:rsid w:val="00FA25B6"/>
    <w:rsid w:val="00FA2FAF"/>
    <w:rsid w:val="00FA5CCF"/>
    <w:rsid w:val="00FA64B1"/>
    <w:rsid w:val="00FA70F3"/>
    <w:rsid w:val="00FA71CD"/>
    <w:rsid w:val="00FB0453"/>
    <w:rsid w:val="00FB0C07"/>
    <w:rsid w:val="00FB298D"/>
    <w:rsid w:val="00FC1439"/>
    <w:rsid w:val="00FC58BE"/>
    <w:rsid w:val="00FC7225"/>
    <w:rsid w:val="00FC724B"/>
    <w:rsid w:val="00FC767C"/>
    <w:rsid w:val="00FC7910"/>
    <w:rsid w:val="00FD0834"/>
    <w:rsid w:val="00FD6EA4"/>
    <w:rsid w:val="00FE13AD"/>
    <w:rsid w:val="00FE348D"/>
    <w:rsid w:val="00FE4BE6"/>
    <w:rsid w:val="00FE51C8"/>
    <w:rsid w:val="00FE53B6"/>
    <w:rsid w:val="00FE72A6"/>
    <w:rsid w:val="00FF0ABF"/>
    <w:rsid w:val="00FF0DA7"/>
    <w:rsid w:val="00FF44E0"/>
    <w:rsid w:val="00FF4CB6"/>
    <w:rsid w:val="00FF5834"/>
    <w:rsid w:val="00FF6C72"/>
    <w:rsid w:val="017B1BF9"/>
    <w:rsid w:val="01E93A1B"/>
    <w:rsid w:val="0214602E"/>
    <w:rsid w:val="0247556A"/>
    <w:rsid w:val="03174F3D"/>
    <w:rsid w:val="03486B27"/>
    <w:rsid w:val="03821A33"/>
    <w:rsid w:val="040A094E"/>
    <w:rsid w:val="056F201D"/>
    <w:rsid w:val="05B664D4"/>
    <w:rsid w:val="064B485A"/>
    <w:rsid w:val="068C65C4"/>
    <w:rsid w:val="07076C01"/>
    <w:rsid w:val="071C12AC"/>
    <w:rsid w:val="07397E71"/>
    <w:rsid w:val="07852B7A"/>
    <w:rsid w:val="07A934B3"/>
    <w:rsid w:val="07CD4D00"/>
    <w:rsid w:val="07EB6287"/>
    <w:rsid w:val="0806421B"/>
    <w:rsid w:val="090F06A4"/>
    <w:rsid w:val="0980799C"/>
    <w:rsid w:val="09944B8E"/>
    <w:rsid w:val="0A4C7BC2"/>
    <w:rsid w:val="0A6A18DB"/>
    <w:rsid w:val="0A975B48"/>
    <w:rsid w:val="0AEF3828"/>
    <w:rsid w:val="0B406381"/>
    <w:rsid w:val="0BB452AA"/>
    <w:rsid w:val="0BBB665B"/>
    <w:rsid w:val="0BE92B62"/>
    <w:rsid w:val="0C361C36"/>
    <w:rsid w:val="0EEA6FC1"/>
    <w:rsid w:val="0F20786F"/>
    <w:rsid w:val="0F790928"/>
    <w:rsid w:val="10CD72BB"/>
    <w:rsid w:val="1182036D"/>
    <w:rsid w:val="12197477"/>
    <w:rsid w:val="12B91D38"/>
    <w:rsid w:val="131B5CD3"/>
    <w:rsid w:val="13776448"/>
    <w:rsid w:val="1466407E"/>
    <w:rsid w:val="146A5814"/>
    <w:rsid w:val="14834E28"/>
    <w:rsid w:val="148E7D65"/>
    <w:rsid w:val="15231BF9"/>
    <w:rsid w:val="15C4546D"/>
    <w:rsid w:val="16847857"/>
    <w:rsid w:val="168958CE"/>
    <w:rsid w:val="18E125C1"/>
    <w:rsid w:val="18E85A66"/>
    <w:rsid w:val="193B3A98"/>
    <w:rsid w:val="194C2307"/>
    <w:rsid w:val="19A75624"/>
    <w:rsid w:val="19AE45D3"/>
    <w:rsid w:val="1A064976"/>
    <w:rsid w:val="1A2A6695"/>
    <w:rsid w:val="1A3B68AA"/>
    <w:rsid w:val="1A3E1C1E"/>
    <w:rsid w:val="1B6F4F40"/>
    <w:rsid w:val="1B70726E"/>
    <w:rsid w:val="1C141836"/>
    <w:rsid w:val="1C76537D"/>
    <w:rsid w:val="1E6B6A14"/>
    <w:rsid w:val="1F770DE5"/>
    <w:rsid w:val="1FCB2543"/>
    <w:rsid w:val="20550D9A"/>
    <w:rsid w:val="2059673D"/>
    <w:rsid w:val="20810627"/>
    <w:rsid w:val="21045216"/>
    <w:rsid w:val="211D3C0E"/>
    <w:rsid w:val="213A656E"/>
    <w:rsid w:val="218E2416"/>
    <w:rsid w:val="21D36222"/>
    <w:rsid w:val="226915FE"/>
    <w:rsid w:val="22DB78DD"/>
    <w:rsid w:val="22F42A1C"/>
    <w:rsid w:val="230010F2"/>
    <w:rsid w:val="23473C93"/>
    <w:rsid w:val="23AB3004"/>
    <w:rsid w:val="23E34E2B"/>
    <w:rsid w:val="241804A5"/>
    <w:rsid w:val="24B97929"/>
    <w:rsid w:val="24D632D7"/>
    <w:rsid w:val="251001E6"/>
    <w:rsid w:val="2634514D"/>
    <w:rsid w:val="27D65DBA"/>
    <w:rsid w:val="285F40CA"/>
    <w:rsid w:val="289E1AF0"/>
    <w:rsid w:val="28A569C3"/>
    <w:rsid w:val="28AE5882"/>
    <w:rsid w:val="28C01ECB"/>
    <w:rsid w:val="29BF71E3"/>
    <w:rsid w:val="29D6387F"/>
    <w:rsid w:val="2A127B63"/>
    <w:rsid w:val="2A451A6C"/>
    <w:rsid w:val="2A9A62D0"/>
    <w:rsid w:val="2AAA4765"/>
    <w:rsid w:val="2AC21606"/>
    <w:rsid w:val="2B231E21"/>
    <w:rsid w:val="2B27782C"/>
    <w:rsid w:val="2B7E7608"/>
    <w:rsid w:val="2B7F04E9"/>
    <w:rsid w:val="2B8B554A"/>
    <w:rsid w:val="2BD60BA4"/>
    <w:rsid w:val="2CAD22EA"/>
    <w:rsid w:val="2D496D68"/>
    <w:rsid w:val="2DF33D2D"/>
    <w:rsid w:val="2E7A48DE"/>
    <w:rsid w:val="2EBA5177"/>
    <w:rsid w:val="2EDC3ED8"/>
    <w:rsid w:val="2F104B00"/>
    <w:rsid w:val="2F6351B4"/>
    <w:rsid w:val="2F8119E7"/>
    <w:rsid w:val="2FAF0127"/>
    <w:rsid w:val="2FC86126"/>
    <w:rsid w:val="2FCF199E"/>
    <w:rsid w:val="2FE453BE"/>
    <w:rsid w:val="2FE73D65"/>
    <w:rsid w:val="30483E83"/>
    <w:rsid w:val="30BF3991"/>
    <w:rsid w:val="3111619A"/>
    <w:rsid w:val="31B139DC"/>
    <w:rsid w:val="32497AF3"/>
    <w:rsid w:val="32787F7F"/>
    <w:rsid w:val="3376366E"/>
    <w:rsid w:val="339910B4"/>
    <w:rsid w:val="34006476"/>
    <w:rsid w:val="343C0775"/>
    <w:rsid w:val="356C50EC"/>
    <w:rsid w:val="36137E45"/>
    <w:rsid w:val="36376E0A"/>
    <w:rsid w:val="3700166C"/>
    <w:rsid w:val="379A1012"/>
    <w:rsid w:val="385E093C"/>
    <w:rsid w:val="38694EE9"/>
    <w:rsid w:val="39983A8D"/>
    <w:rsid w:val="3A0B6CA0"/>
    <w:rsid w:val="3A4D6EBA"/>
    <w:rsid w:val="3A6818FA"/>
    <w:rsid w:val="3A742699"/>
    <w:rsid w:val="3B1654FE"/>
    <w:rsid w:val="3B365CC9"/>
    <w:rsid w:val="3B7A3CDF"/>
    <w:rsid w:val="3B9A7B88"/>
    <w:rsid w:val="3BEE647B"/>
    <w:rsid w:val="3C0435A9"/>
    <w:rsid w:val="3D2C7AC8"/>
    <w:rsid w:val="3D855D12"/>
    <w:rsid w:val="3D8B42FF"/>
    <w:rsid w:val="3DE86C4C"/>
    <w:rsid w:val="3DF36A6E"/>
    <w:rsid w:val="3EB8033A"/>
    <w:rsid w:val="3EBA1EE9"/>
    <w:rsid w:val="3EF559C2"/>
    <w:rsid w:val="3F7153F9"/>
    <w:rsid w:val="3F792F1E"/>
    <w:rsid w:val="3FF073EC"/>
    <w:rsid w:val="40824826"/>
    <w:rsid w:val="40E63923"/>
    <w:rsid w:val="41323B5F"/>
    <w:rsid w:val="43A91E5B"/>
    <w:rsid w:val="449E0D39"/>
    <w:rsid w:val="45140D01"/>
    <w:rsid w:val="456652D4"/>
    <w:rsid w:val="45E32B26"/>
    <w:rsid w:val="463A3650"/>
    <w:rsid w:val="46461627"/>
    <w:rsid w:val="469F0116"/>
    <w:rsid w:val="475259B7"/>
    <w:rsid w:val="488302AE"/>
    <w:rsid w:val="48831CF9"/>
    <w:rsid w:val="49024C9C"/>
    <w:rsid w:val="49B1408D"/>
    <w:rsid w:val="49FC1D63"/>
    <w:rsid w:val="4A7D4FD2"/>
    <w:rsid w:val="4A913C9A"/>
    <w:rsid w:val="4AC138C0"/>
    <w:rsid w:val="4B1F70AC"/>
    <w:rsid w:val="4B240F94"/>
    <w:rsid w:val="4B5D4A84"/>
    <w:rsid w:val="4C0832E5"/>
    <w:rsid w:val="4C3C565C"/>
    <w:rsid w:val="4CCC79C7"/>
    <w:rsid w:val="4CE97DB8"/>
    <w:rsid w:val="4CF12C16"/>
    <w:rsid w:val="4D7555C7"/>
    <w:rsid w:val="4D8B58D8"/>
    <w:rsid w:val="4EAE6DA0"/>
    <w:rsid w:val="4ED81824"/>
    <w:rsid w:val="4FE617D9"/>
    <w:rsid w:val="5016514B"/>
    <w:rsid w:val="50BD4DF3"/>
    <w:rsid w:val="50D253CB"/>
    <w:rsid w:val="50FC1A26"/>
    <w:rsid w:val="51723664"/>
    <w:rsid w:val="51CB1C78"/>
    <w:rsid w:val="51F218DA"/>
    <w:rsid w:val="51FD6A51"/>
    <w:rsid w:val="526B680A"/>
    <w:rsid w:val="52836F71"/>
    <w:rsid w:val="52D26B02"/>
    <w:rsid w:val="53D909AA"/>
    <w:rsid w:val="541A5D30"/>
    <w:rsid w:val="54B41297"/>
    <w:rsid w:val="55C1559C"/>
    <w:rsid w:val="55F068CD"/>
    <w:rsid w:val="566C3136"/>
    <w:rsid w:val="568D04F2"/>
    <w:rsid w:val="56EB388B"/>
    <w:rsid w:val="590F1AB3"/>
    <w:rsid w:val="59527BF2"/>
    <w:rsid w:val="59642F62"/>
    <w:rsid w:val="59A60EF7"/>
    <w:rsid w:val="5A526582"/>
    <w:rsid w:val="5A5F5C77"/>
    <w:rsid w:val="5A711A0D"/>
    <w:rsid w:val="5A847B2F"/>
    <w:rsid w:val="5B1613E4"/>
    <w:rsid w:val="5B78003B"/>
    <w:rsid w:val="5BC11A60"/>
    <w:rsid w:val="5C2F7D76"/>
    <w:rsid w:val="5C7A4D54"/>
    <w:rsid w:val="5CC93515"/>
    <w:rsid w:val="5CD23B73"/>
    <w:rsid w:val="5CD44CF2"/>
    <w:rsid w:val="5D0E5A82"/>
    <w:rsid w:val="5D9803EA"/>
    <w:rsid w:val="5DCD770C"/>
    <w:rsid w:val="5F127819"/>
    <w:rsid w:val="5F9B1FEC"/>
    <w:rsid w:val="5FD4310E"/>
    <w:rsid w:val="60350ED3"/>
    <w:rsid w:val="60B72AEE"/>
    <w:rsid w:val="61025188"/>
    <w:rsid w:val="61057D5F"/>
    <w:rsid w:val="614D4977"/>
    <w:rsid w:val="61F71DBA"/>
    <w:rsid w:val="6292105F"/>
    <w:rsid w:val="63C60FC0"/>
    <w:rsid w:val="64BA3D7A"/>
    <w:rsid w:val="64CA4AE0"/>
    <w:rsid w:val="64F179BC"/>
    <w:rsid w:val="665704D3"/>
    <w:rsid w:val="67C065A4"/>
    <w:rsid w:val="67D359C9"/>
    <w:rsid w:val="68042537"/>
    <w:rsid w:val="68FE36DD"/>
    <w:rsid w:val="694E60FC"/>
    <w:rsid w:val="69C40A40"/>
    <w:rsid w:val="6A256904"/>
    <w:rsid w:val="6B656832"/>
    <w:rsid w:val="6BA918F3"/>
    <w:rsid w:val="6BDA7CFF"/>
    <w:rsid w:val="6C675CE6"/>
    <w:rsid w:val="6D4F4321"/>
    <w:rsid w:val="6D57712D"/>
    <w:rsid w:val="6DF41B82"/>
    <w:rsid w:val="6DFF7360"/>
    <w:rsid w:val="6E7A5F73"/>
    <w:rsid w:val="6ED25233"/>
    <w:rsid w:val="6EE90F9D"/>
    <w:rsid w:val="6FD74228"/>
    <w:rsid w:val="6FEF15A9"/>
    <w:rsid w:val="7021106F"/>
    <w:rsid w:val="70723829"/>
    <w:rsid w:val="71633091"/>
    <w:rsid w:val="717C6C3D"/>
    <w:rsid w:val="71864485"/>
    <w:rsid w:val="726F6CC7"/>
    <w:rsid w:val="73081CA5"/>
    <w:rsid w:val="74201F7D"/>
    <w:rsid w:val="74731C48"/>
    <w:rsid w:val="748317D6"/>
    <w:rsid w:val="7487762D"/>
    <w:rsid w:val="748B47CB"/>
    <w:rsid w:val="74C33AA4"/>
    <w:rsid w:val="75210D7A"/>
    <w:rsid w:val="75385498"/>
    <w:rsid w:val="753A5D25"/>
    <w:rsid w:val="756D573F"/>
    <w:rsid w:val="75B82733"/>
    <w:rsid w:val="75D35B7E"/>
    <w:rsid w:val="75F37776"/>
    <w:rsid w:val="76BC207F"/>
    <w:rsid w:val="76EB4904"/>
    <w:rsid w:val="77244524"/>
    <w:rsid w:val="77645DCD"/>
    <w:rsid w:val="777378F5"/>
    <w:rsid w:val="777A2D3C"/>
    <w:rsid w:val="79074B81"/>
    <w:rsid w:val="794F0939"/>
    <w:rsid w:val="797F3F87"/>
    <w:rsid w:val="79AF0FCA"/>
    <w:rsid w:val="7AF9279C"/>
    <w:rsid w:val="7B14184C"/>
    <w:rsid w:val="7CC51958"/>
    <w:rsid w:val="7CD53DF9"/>
    <w:rsid w:val="7CFC55FB"/>
    <w:rsid w:val="7D097C86"/>
    <w:rsid w:val="7E2936C3"/>
    <w:rsid w:val="7E6411B9"/>
    <w:rsid w:val="7EC9775F"/>
    <w:rsid w:val="7EE62D1B"/>
    <w:rsid w:val="7F61139B"/>
    <w:rsid w:val="7F6C2F0C"/>
    <w:rsid w:val="7F8813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49"/>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51"/>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6"/>
    <w:autoRedefine/>
    <w:qFormat/>
    <w:uiPriority w:val="0"/>
    <w:pPr>
      <w:keepNext/>
      <w:keepLines/>
      <w:spacing w:before="280" w:after="290" w:line="376" w:lineRule="auto"/>
      <w:outlineLvl w:val="3"/>
    </w:pPr>
    <w:rPr>
      <w:b/>
      <w:bCs/>
      <w:sz w:val="28"/>
      <w:szCs w:val="28"/>
    </w:rPr>
  </w:style>
  <w:style w:type="paragraph" w:styleId="6">
    <w:name w:val="heading 5"/>
    <w:basedOn w:val="1"/>
    <w:next w:val="1"/>
    <w:unhideWhenUsed/>
    <w:qFormat/>
    <w:uiPriority w:val="9"/>
    <w:pPr>
      <w:keepNext/>
      <w:keepLines/>
      <w:spacing w:line="372" w:lineRule="auto"/>
      <w:outlineLvl w:val="4"/>
    </w:pPr>
    <w:rPr>
      <w:b/>
      <w:sz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annotation text"/>
    <w:basedOn w:val="1"/>
    <w:link w:val="48"/>
    <w:autoRedefine/>
    <w:qFormat/>
    <w:uiPriority w:val="0"/>
    <w:pPr>
      <w:jc w:val="left"/>
    </w:pPr>
    <w:rPr>
      <w:rFonts w:ascii="Arial" w:hAnsi="Arial" w:eastAsia="黑体" w:cs="Arial"/>
    </w:rPr>
  </w:style>
  <w:style w:type="paragraph" w:styleId="9">
    <w:name w:val="Body Text"/>
    <w:basedOn w:val="1"/>
    <w:next w:val="1"/>
    <w:autoRedefine/>
    <w:qFormat/>
    <w:uiPriority w:val="0"/>
    <w:pPr>
      <w:spacing w:after="120"/>
    </w:pPr>
    <w:rPr>
      <w:rFonts w:ascii="@微软简标宋" w:hAnsi="@微软简标宋" w:eastAsia="@微软简标宋" w:cs="@微软简标宋"/>
      <w:szCs w:val="24"/>
      <w:lang w:val="zh-CN"/>
    </w:rPr>
  </w:style>
  <w:style w:type="paragraph" w:styleId="10">
    <w:name w:val="Body Text Indent"/>
    <w:basedOn w:val="1"/>
    <w:next w:val="11"/>
    <w:autoRedefine/>
    <w:qFormat/>
    <w:uiPriority w:val="0"/>
    <w:pPr>
      <w:spacing w:after="120"/>
      <w:ind w:left="420" w:leftChars="200"/>
    </w:pPr>
  </w:style>
  <w:style w:type="paragraph" w:styleId="11">
    <w:name w:val="envelope return"/>
    <w:basedOn w:val="1"/>
    <w:qFormat/>
    <w:uiPriority w:val="99"/>
    <w:pPr>
      <w:snapToGrid w:val="0"/>
    </w:pPr>
    <w:rPr>
      <w:rFonts w:ascii="Arial" w:hAnsi="Arial" w:cs="Arial"/>
    </w:rPr>
  </w:style>
  <w:style w:type="paragraph" w:styleId="12">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3">
    <w:name w:val="Plain Text"/>
    <w:basedOn w:val="1"/>
    <w:link w:val="38"/>
    <w:autoRedefine/>
    <w:qFormat/>
    <w:uiPriority w:val="99"/>
    <w:rPr>
      <w:rFonts w:ascii="宋体" w:hAnsi="Courier New" w:eastAsiaTheme="minorEastAsia" w:cstheme="minorBidi"/>
      <w:szCs w:val="22"/>
    </w:rPr>
  </w:style>
  <w:style w:type="paragraph" w:styleId="14">
    <w:name w:val="Date"/>
    <w:basedOn w:val="1"/>
    <w:next w:val="1"/>
    <w:link w:val="45"/>
    <w:autoRedefine/>
    <w:qFormat/>
    <w:uiPriority w:val="0"/>
    <w:rPr>
      <w:rFonts w:ascii="Arial" w:hAnsi="Arial" w:eastAsia="宋体" w:cs="Arial"/>
      <w:b/>
      <w:sz w:val="28"/>
    </w:rPr>
  </w:style>
  <w:style w:type="paragraph" w:styleId="15">
    <w:name w:val="Balloon Text"/>
    <w:basedOn w:val="1"/>
    <w:link w:val="32"/>
    <w:autoRedefine/>
    <w:semiHidden/>
    <w:unhideWhenUsed/>
    <w:qFormat/>
    <w:uiPriority w:val="99"/>
    <w:rPr>
      <w:sz w:val="18"/>
      <w:szCs w:val="18"/>
    </w:rPr>
  </w:style>
  <w:style w:type="paragraph" w:styleId="16">
    <w:name w:val="footer"/>
    <w:basedOn w:val="1"/>
    <w:link w:val="37"/>
    <w:autoRedefine/>
    <w:unhideWhenUsed/>
    <w:qFormat/>
    <w:uiPriority w:val="99"/>
    <w:pPr>
      <w:tabs>
        <w:tab w:val="center" w:pos="4153"/>
        <w:tab w:val="right" w:pos="8306"/>
      </w:tabs>
      <w:snapToGrid w:val="0"/>
      <w:jc w:val="left"/>
    </w:pPr>
    <w:rPr>
      <w:sz w:val="18"/>
      <w:szCs w:val="18"/>
    </w:rPr>
  </w:style>
  <w:style w:type="paragraph" w:styleId="17">
    <w:name w:val="header"/>
    <w:basedOn w:val="1"/>
    <w:link w:val="3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9">
    <w:name w:val="List"/>
    <w:basedOn w:val="1"/>
    <w:qFormat/>
    <w:uiPriority w:val="0"/>
    <w:pPr>
      <w:adjustRightInd w:val="0"/>
      <w:spacing w:line="360" w:lineRule="atLeast"/>
      <w:ind w:left="420" w:hanging="420"/>
      <w:jc w:val="left"/>
    </w:pPr>
    <w:rPr>
      <w:rFonts w:hint="eastAsia" w:ascii="宋体"/>
      <w:kern w:val="0"/>
      <w:sz w:val="24"/>
      <w:szCs w:val="20"/>
    </w:rPr>
  </w:style>
  <w:style w:type="paragraph" w:styleId="20">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1">
    <w:name w:val="Normal (Web)"/>
    <w:basedOn w:val="1"/>
    <w:autoRedefine/>
    <w:qFormat/>
    <w:uiPriority w:val="0"/>
    <w:pPr>
      <w:spacing w:before="100" w:beforeAutospacing="1" w:after="100" w:afterAutospacing="1"/>
      <w:jc w:val="left"/>
    </w:pPr>
    <w:rPr>
      <w:rFonts w:cs="Times New Roman"/>
      <w:kern w:val="0"/>
      <w:sz w:val="24"/>
    </w:rPr>
  </w:style>
  <w:style w:type="paragraph" w:styleId="22">
    <w:name w:val="index 1"/>
    <w:basedOn w:val="1"/>
    <w:next w:val="1"/>
    <w:autoRedefine/>
    <w:qFormat/>
    <w:uiPriority w:val="0"/>
    <w:pPr>
      <w:jc w:val="center"/>
    </w:pPr>
    <w:rPr>
      <w:rFonts w:ascii="Arial" w:hAnsi="Arial" w:eastAsia="Arial" w:cs="Arial"/>
      <w:b/>
      <w:bCs/>
      <w:sz w:val="28"/>
    </w:rPr>
  </w:style>
  <w:style w:type="paragraph" w:styleId="23">
    <w:name w:val="annotation subject"/>
    <w:basedOn w:val="8"/>
    <w:next w:val="8"/>
    <w:link w:val="59"/>
    <w:autoRedefine/>
    <w:semiHidden/>
    <w:unhideWhenUsed/>
    <w:qFormat/>
    <w:uiPriority w:val="99"/>
    <w:rPr>
      <w:rFonts w:ascii="@仿宋_GB2312" w:hAnsi="@仿宋_GB2312" w:eastAsia="@仿宋_GB2312" w:cs="@仿宋_GB2312"/>
      <w:b/>
      <w:bCs/>
    </w:rPr>
  </w:style>
  <w:style w:type="paragraph" w:styleId="24">
    <w:name w:val="Body Text First Indent"/>
    <w:basedOn w:val="9"/>
    <w:next w:val="1"/>
    <w:autoRedefine/>
    <w:unhideWhenUsed/>
    <w:qFormat/>
    <w:uiPriority w:val="99"/>
    <w:pPr>
      <w:ind w:firstLine="420" w:firstLineChars="100"/>
    </w:pPr>
  </w:style>
  <w:style w:type="paragraph" w:styleId="25">
    <w:name w:val="Body Text First Indent 2"/>
    <w:basedOn w:val="10"/>
    <w:next w:val="19"/>
    <w:unhideWhenUsed/>
    <w:qFormat/>
    <w:uiPriority w:val="99"/>
    <w:pPr>
      <w:ind w:firstLine="420" w:firstLineChars="200"/>
    </w:pPr>
  </w:style>
  <w:style w:type="table" w:styleId="27">
    <w:name w:val="Table Grid"/>
    <w:basedOn w:val="26"/>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autoRedefine/>
    <w:qFormat/>
    <w:uiPriority w:val="0"/>
    <w:rPr>
      <w:b/>
      <w:bCs/>
    </w:rPr>
  </w:style>
  <w:style w:type="character" w:styleId="30">
    <w:name w:val="Hyperlink"/>
    <w:basedOn w:val="28"/>
    <w:autoRedefine/>
    <w:unhideWhenUsed/>
    <w:qFormat/>
    <w:uiPriority w:val="99"/>
    <w:rPr>
      <w:color w:val="0000FF" w:themeColor="hyperlink"/>
      <w:u w:val="single"/>
    </w:rPr>
  </w:style>
  <w:style w:type="character" w:styleId="31">
    <w:name w:val="annotation reference"/>
    <w:basedOn w:val="28"/>
    <w:autoRedefine/>
    <w:semiHidden/>
    <w:unhideWhenUsed/>
    <w:qFormat/>
    <w:uiPriority w:val="99"/>
    <w:rPr>
      <w:sz w:val="21"/>
      <w:szCs w:val="21"/>
    </w:rPr>
  </w:style>
  <w:style w:type="character" w:customStyle="1" w:styleId="32">
    <w:name w:val="批注框文本 Char"/>
    <w:basedOn w:val="28"/>
    <w:link w:val="15"/>
    <w:autoRedefine/>
    <w:semiHidden/>
    <w:qFormat/>
    <w:uiPriority w:val="99"/>
    <w:rPr>
      <w:rFonts w:ascii="@仿宋_GB2312" w:hAnsi="@仿宋_GB2312" w:eastAsia="@仿宋_GB2312" w:cs="@仿宋_GB2312"/>
      <w:sz w:val="18"/>
      <w:szCs w:val="18"/>
    </w:rPr>
  </w:style>
  <w:style w:type="paragraph" w:customStyle="1" w:styleId="33">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34">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35">
    <w:name w:val="D&amp;L"/>
    <w:basedOn w:val="17"/>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6">
    <w:name w:val="页眉 Char"/>
    <w:basedOn w:val="28"/>
    <w:link w:val="17"/>
    <w:autoRedefine/>
    <w:qFormat/>
    <w:uiPriority w:val="99"/>
    <w:rPr>
      <w:rFonts w:ascii="@仿宋_GB2312" w:hAnsi="@仿宋_GB2312" w:eastAsia="@仿宋_GB2312" w:cs="@仿宋_GB2312"/>
      <w:sz w:val="18"/>
      <w:szCs w:val="18"/>
    </w:rPr>
  </w:style>
  <w:style w:type="character" w:customStyle="1" w:styleId="37">
    <w:name w:val="页脚 Char"/>
    <w:basedOn w:val="28"/>
    <w:link w:val="16"/>
    <w:autoRedefine/>
    <w:qFormat/>
    <w:uiPriority w:val="99"/>
    <w:rPr>
      <w:rFonts w:ascii="@仿宋_GB2312" w:hAnsi="@仿宋_GB2312" w:eastAsia="@仿宋_GB2312" w:cs="@仿宋_GB2312"/>
      <w:sz w:val="18"/>
      <w:szCs w:val="18"/>
    </w:rPr>
  </w:style>
  <w:style w:type="character" w:customStyle="1" w:styleId="38">
    <w:name w:val="纯文本 Char"/>
    <w:link w:val="13"/>
    <w:autoRedefine/>
    <w:qFormat/>
    <w:uiPriority w:val="0"/>
    <w:rPr>
      <w:rFonts w:ascii="宋体" w:hAnsi="Courier New"/>
    </w:rPr>
  </w:style>
  <w:style w:type="character" w:customStyle="1" w:styleId="39">
    <w:name w:val="纯文本 字符1"/>
    <w:basedOn w:val="28"/>
    <w:autoRedefine/>
    <w:semiHidden/>
    <w:qFormat/>
    <w:uiPriority w:val="99"/>
    <w:rPr>
      <w:rFonts w:hAnsi="Courier New" w:cs="Courier New" w:asciiTheme="minorEastAsia"/>
      <w:szCs w:val="20"/>
    </w:rPr>
  </w:style>
  <w:style w:type="character" w:customStyle="1" w:styleId="40">
    <w:name w:val="未处理的提及1"/>
    <w:basedOn w:val="28"/>
    <w:autoRedefine/>
    <w:semiHidden/>
    <w:unhideWhenUsed/>
    <w:qFormat/>
    <w:uiPriority w:val="99"/>
    <w:rPr>
      <w:color w:val="605E5C"/>
      <w:shd w:val="clear" w:color="auto" w:fill="E1DFDD"/>
    </w:rPr>
  </w:style>
  <w:style w:type="paragraph" w:styleId="41">
    <w:name w:val="List Paragraph"/>
    <w:basedOn w:val="1"/>
    <w:autoRedefine/>
    <w:qFormat/>
    <w:uiPriority w:val="34"/>
    <w:pPr>
      <w:ind w:firstLine="420" w:firstLineChars="200"/>
    </w:pPr>
  </w:style>
  <w:style w:type="paragraph" w:customStyle="1" w:styleId="42">
    <w:name w:val="Char Char Char Char Char Char Char1 Char"/>
    <w:basedOn w:val="1"/>
    <w:autoRedefine/>
    <w:qFormat/>
    <w:uiPriority w:val="0"/>
    <w:rPr>
      <w:rFonts w:ascii="Arial" w:hAnsi="Arial" w:eastAsia="宋体" w:cs="Arial"/>
      <w:sz w:val="24"/>
    </w:rPr>
  </w:style>
  <w:style w:type="table" w:customStyle="1" w:styleId="43">
    <w:name w:val="网格表 1 浅色1"/>
    <w:basedOn w:val="26"/>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4">
    <w:name w:val="日期 字符"/>
    <w:basedOn w:val="28"/>
    <w:autoRedefine/>
    <w:semiHidden/>
    <w:qFormat/>
    <w:uiPriority w:val="99"/>
    <w:rPr>
      <w:rFonts w:ascii="@仿宋_GB2312" w:hAnsi="@仿宋_GB2312" w:eastAsia="@仿宋_GB2312" w:cs="@仿宋_GB2312"/>
      <w:szCs w:val="20"/>
    </w:rPr>
  </w:style>
  <w:style w:type="character" w:customStyle="1" w:styleId="45">
    <w:name w:val="日期 Char"/>
    <w:link w:val="14"/>
    <w:autoRedefine/>
    <w:qFormat/>
    <w:uiPriority w:val="0"/>
    <w:rPr>
      <w:rFonts w:ascii="Arial" w:hAnsi="Arial" w:eastAsia="宋体" w:cs="Arial"/>
      <w:b/>
      <w:sz w:val="28"/>
      <w:szCs w:val="20"/>
    </w:rPr>
  </w:style>
  <w:style w:type="character" w:customStyle="1" w:styleId="46">
    <w:name w:val="纯文本 Char1"/>
    <w:autoRedefine/>
    <w:qFormat/>
    <w:locked/>
    <w:uiPriority w:val="99"/>
    <w:rPr>
      <w:rFonts w:ascii="Arial" w:hAnsi="Arial" w:eastAsia="Arial"/>
      <w:kern w:val="2"/>
      <w:sz w:val="21"/>
      <w:lang w:val="en-US" w:eastAsia="zh-CN" w:bidi="ar-SA"/>
    </w:rPr>
  </w:style>
  <w:style w:type="character" w:customStyle="1" w:styleId="47">
    <w:name w:val="批注文字 Char"/>
    <w:basedOn w:val="28"/>
    <w:autoRedefine/>
    <w:semiHidden/>
    <w:qFormat/>
    <w:uiPriority w:val="99"/>
    <w:rPr>
      <w:rFonts w:ascii="@仿宋_GB2312" w:hAnsi="@仿宋_GB2312" w:eastAsia="@仿宋_GB2312" w:cs="@仿宋_GB2312"/>
      <w:szCs w:val="20"/>
    </w:rPr>
  </w:style>
  <w:style w:type="character" w:customStyle="1" w:styleId="48">
    <w:name w:val="批注文字 Char1"/>
    <w:link w:val="8"/>
    <w:autoRedefine/>
    <w:qFormat/>
    <w:uiPriority w:val="0"/>
    <w:rPr>
      <w:rFonts w:ascii="Arial" w:hAnsi="Arial" w:eastAsia="黑体" w:cs="Arial"/>
      <w:szCs w:val="20"/>
    </w:rPr>
  </w:style>
  <w:style w:type="character" w:customStyle="1" w:styleId="49">
    <w:name w:val="标题 1 Char"/>
    <w:basedOn w:val="28"/>
    <w:link w:val="2"/>
    <w:autoRedefine/>
    <w:qFormat/>
    <w:uiPriority w:val="9"/>
    <w:rPr>
      <w:rFonts w:ascii="@仿宋_GB2312" w:hAnsi="@仿宋_GB2312" w:eastAsia="@仿宋_GB2312" w:cs="@仿宋_GB2312"/>
      <w:b/>
      <w:bCs/>
      <w:kern w:val="44"/>
      <w:sz w:val="44"/>
      <w:szCs w:val="44"/>
    </w:rPr>
  </w:style>
  <w:style w:type="paragraph" w:customStyle="1" w:styleId="50">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51">
    <w:name w:val="标题 3 Char"/>
    <w:basedOn w:val="28"/>
    <w:link w:val="4"/>
    <w:autoRedefine/>
    <w:semiHidden/>
    <w:qFormat/>
    <w:uiPriority w:val="9"/>
    <w:rPr>
      <w:rFonts w:ascii="@仿宋_GB2312" w:hAnsi="@仿宋_GB2312" w:eastAsia="@仿宋_GB2312" w:cs="@仿宋_GB2312"/>
      <w:b/>
      <w:bCs/>
      <w:sz w:val="32"/>
      <w:szCs w:val="32"/>
    </w:rPr>
  </w:style>
  <w:style w:type="character" w:customStyle="1" w:styleId="52">
    <w:name w:val="fontstyle01"/>
    <w:basedOn w:val="28"/>
    <w:autoRedefine/>
    <w:qFormat/>
    <w:uiPriority w:val="0"/>
    <w:rPr>
      <w:rFonts w:hint="eastAsia" w:ascii="宋体" w:hAnsi="宋体" w:eastAsia="宋体"/>
      <w:color w:val="000000"/>
      <w:sz w:val="22"/>
      <w:szCs w:val="22"/>
    </w:rPr>
  </w:style>
  <w:style w:type="character" w:customStyle="1" w:styleId="53">
    <w:name w:val="fontstyle21"/>
    <w:basedOn w:val="28"/>
    <w:autoRedefine/>
    <w:qFormat/>
    <w:uiPriority w:val="0"/>
    <w:rPr>
      <w:rFonts w:hint="default" w:ascii="TimesNewRomanPSMT" w:hAnsi="TimesNewRomanPSMT"/>
      <w:color w:val="000000"/>
      <w:sz w:val="22"/>
      <w:szCs w:val="22"/>
    </w:rPr>
  </w:style>
  <w:style w:type="character" w:customStyle="1" w:styleId="54">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55">
    <w:name w:val="标题 4 字符"/>
    <w:basedOn w:val="28"/>
    <w:autoRedefine/>
    <w:semiHidden/>
    <w:qFormat/>
    <w:uiPriority w:val="9"/>
    <w:rPr>
      <w:rFonts w:asciiTheme="majorHAnsi" w:hAnsiTheme="majorHAnsi" w:eastAsiaTheme="majorEastAsia" w:cstheme="majorBidi"/>
      <w:b/>
      <w:bCs/>
      <w:sz w:val="28"/>
      <w:szCs w:val="28"/>
    </w:rPr>
  </w:style>
  <w:style w:type="character" w:customStyle="1" w:styleId="56">
    <w:name w:val="标题 4 Char1"/>
    <w:link w:val="5"/>
    <w:autoRedefine/>
    <w:qFormat/>
    <w:uiPriority w:val="0"/>
    <w:rPr>
      <w:rFonts w:ascii="@仿宋_GB2312" w:hAnsi="@仿宋_GB2312" w:eastAsia="@仿宋_GB2312" w:cs="@仿宋_GB2312"/>
      <w:b/>
      <w:bCs/>
      <w:sz w:val="28"/>
      <w:szCs w:val="28"/>
    </w:rPr>
  </w:style>
  <w:style w:type="character" w:customStyle="1" w:styleId="57">
    <w:name w:val="标题 4 Char"/>
    <w:autoRedefine/>
    <w:qFormat/>
    <w:uiPriority w:val="0"/>
    <w:rPr>
      <w:rFonts w:ascii="Arial" w:hAnsi="Arial" w:eastAsia="Arial"/>
      <w:b/>
      <w:bCs/>
      <w:kern w:val="2"/>
      <w:sz w:val="28"/>
      <w:szCs w:val="28"/>
      <w:lang w:val="en-US" w:eastAsia="zh-CN" w:bidi="ar-SA"/>
    </w:rPr>
  </w:style>
  <w:style w:type="table" w:customStyle="1" w:styleId="58">
    <w:name w:val="网格型1"/>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9">
    <w:name w:val="批注主题 Char"/>
    <w:basedOn w:val="48"/>
    <w:link w:val="23"/>
    <w:autoRedefine/>
    <w:semiHidden/>
    <w:qFormat/>
    <w:uiPriority w:val="99"/>
    <w:rPr>
      <w:rFonts w:ascii="@仿宋_GB2312" w:hAnsi="@仿宋_GB2312" w:eastAsia="@仿宋_GB2312" w:cs="@仿宋_GB2312"/>
      <w:b/>
      <w:bCs/>
      <w:szCs w:val="20"/>
    </w:rPr>
  </w:style>
  <w:style w:type="table" w:customStyle="1" w:styleId="60">
    <w:name w:val="Table Normal"/>
    <w:autoRedefine/>
    <w:semiHidden/>
    <w:unhideWhenUsed/>
    <w:qFormat/>
    <w:uiPriority w:val="0"/>
    <w:tblPr>
      <w:tblCellMar>
        <w:top w:w="0" w:type="dxa"/>
        <w:left w:w="0" w:type="dxa"/>
        <w:bottom w:w="0" w:type="dxa"/>
        <w:right w:w="0" w:type="dxa"/>
      </w:tblCellMar>
    </w:tblPr>
  </w:style>
  <w:style w:type="paragraph" w:customStyle="1" w:styleId="61">
    <w:name w:val="Table Text"/>
    <w:basedOn w:val="1"/>
    <w:autoRedefine/>
    <w:semiHidden/>
    <w:qFormat/>
    <w:uiPriority w:val="0"/>
    <w:rPr>
      <w:rFonts w:ascii="Arial" w:hAnsi="Arial" w:eastAsia="Arial" w:cs="Arial"/>
      <w:szCs w:val="21"/>
      <w:lang w:eastAsia="en-US"/>
    </w:rPr>
  </w:style>
  <w:style w:type="paragraph" w:customStyle="1" w:styleId="62">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3">
    <w:name w:val="列出段落1"/>
    <w:basedOn w:val="1"/>
    <w:autoRedefine/>
    <w:qFormat/>
    <w:uiPriority w:val="0"/>
    <w:pPr>
      <w:ind w:firstLine="420" w:firstLineChars="200"/>
    </w:pPr>
    <w:rPr>
      <w:szCs w:val="21"/>
    </w:rPr>
  </w:style>
  <w:style w:type="paragraph" w:customStyle="1" w:styleId="64">
    <w:name w:val="首行缩进"/>
    <w:basedOn w:val="1"/>
    <w:qFormat/>
    <w:uiPriority w:val="0"/>
    <w:pPr>
      <w:ind w:firstLine="480" w:firstLineChars="200"/>
    </w:pPr>
    <w:rPr>
      <w:rFonts w:ascii="Times New Roman" w:hAnsi="Times New Roman" w:eastAsia="宋体" w:cs="Times New Roman"/>
      <w:szCs w:val="24"/>
      <w:lang w:val="zh-CN"/>
    </w:rPr>
  </w:style>
  <w:style w:type="paragraph" w:customStyle="1" w:styleId="65">
    <w:name w:val="纯文本1"/>
    <w:basedOn w:val="1"/>
    <w:qFormat/>
    <w:uiPriority w:val="0"/>
    <w:rPr>
      <w:rFonts w:ascii="Arial" w:hAnsi="Arial"/>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86</Pages>
  <Words>1405</Words>
  <Characters>1652</Characters>
  <Lines>370</Lines>
  <Paragraphs>104</Paragraphs>
  <TotalTime>36</TotalTime>
  <ScaleCrop>false</ScaleCrop>
  <LinksUpToDate>false</LinksUpToDate>
  <CharactersWithSpaces>1689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2024-12-24T03:42:00Z</dcterms:created>
  <dc:creator>Anakin</dc:creator>
  <cp:lastModifiedBy>Administrator</cp:lastModifiedBy>
  <cp:lastPrinted>2019-12-07T15:18:00Z</cp:lastPrinted>
  <dcterms:modified xsi:type="dcterms:W3CDTF">2024-12-27T11:51:42Z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1ECEA165F94845FFAF35C1C96E4FB9B0_12</vt:lpwstr>
  </property>
  <property fmtid="{D5CDD505-2E9C-101B-9397-08002B2CF9AE}" pid="4" name="KSOTemplateDocerSaveRecord">
    <vt:lpwstr>eyJoZGlkIjoiODExNWRiOGMwMGJjNGM2NmQwOGQwOGJmMTI5MGE0ZTIiLCJ1c2VySWQiOiI3OTY5NzA1ODIifQ==</vt:lpwstr>
  </property>
</Properties>
</file>