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9EBB">
      <w:pPr>
        <w:pStyle w:val="2"/>
        <w:widowControl/>
        <w:numPr>
          <w:ilvl w:val="0"/>
          <w:numId w:val="1"/>
        </w:numPr>
        <w:snapToGrid w:val="0"/>
        <w:spacing w:before="0" w:after="0" w:line="360" w:lineRule="auto"/>
        <w:jc w:val="center"/>
        <w:rPr>
          <w:rFonts w:hint="eastAsia" w:ascii="宋体" w:hAnsi="宋体" w:eastAsia="仿宋"/>
        </w:rPr>
      </w:pPr>
      <w:bookmarkStart w:id="0" w:name="_Toc528760026"/>
      <w:bookmarkStart w:id="1" w:name="_Toc445554746"/>
      <w:bookmarkStart w:id="2" w:name="_Toc466024555"/>
      <w:r>
        <w:rPr>
          <w:rFonts w:hint="eastAsia" w:ascii="宋体" w:hAnsi="宋体" w:eastAsia="仿宋"/>
        </w:rPr>
        <w:t xml:space="preserve"> 采购需求</w:t>
      </w:r>
      <w:bookmarkEnd w:id="0"/>
      <w:bookmarkEnd w:id="1"/>
      <w:bookmarkEnd w:id="2"/>
    </w:p>
    <w:p w14:paraId="26D7B578">
      <w:pPr>
        <w:spacing w:line="360" w:lineRule="auto"/>
        <w:ind w:firstLine="437"/>
        <w:outlineLvl w:val="1"/>
        <w:rPr>
          <w:rFonts w:ascii="宋体" w:hAnsi="宋体"/>
          <w:b/>
          <w:sz w:val="24"/>
          <w:szCs w:val="18"/>
        </w:rPr>
      </w:pPr>
      <w:bookmarkStart w:id="3" w:name="_Toc32151"/>
      <w:bookmarkStart w:id="4" w:name="_Toc2554"/>
      <w:r>
        <w:rPr>
          <w:rFonts w:hint="eastAsia" w:ascii="宋体" w:hAnsi="宋体"/>
          <w:b/>
          <w:sz w:val="24"/>
          <w:szCs w:val="18"/>
          <w:lang w:eastAsia="zh-CN"/>
        </w:rPr>
        <w:t>（</w:t>
      </w:r>
      <w:r>
        <w:rPr>
          <w:rFonts w:hint="eastAsia" w:ascii="宋体" w:hAnsi="宋体"/>
          <w:b/>
          <w:sz w:val="24"/>
          <w:szCs w:val="18"/>
        </w:rPr>
        <w:t>一</w:t>
      </w:r>
      <w:r>
        <w:rPr>
          <w:rFonts w:hint="eastAsia" w:ascii="宋体" w:hAnsi="宋体"/>
          <w:b/>
          <w:sz w:val="24"/>
          <w:szCs w:val="18"/>
          <w:lang w:eastAsia="zh-CN"/>
        </w:rPr>
        <w:t>）</w:t>
      </w:r>
      <w:r>
        <w:rPr>
          <w:rFonts w:hint="eastAsia" w:ascii="宋体" w:hAnsi="宋体"/>
          <w:b/>
          <w:sz w:val="24"/>
          <w:szCs w:val="18"/>
        </w:rPr>
        <w:t>采购需求前附表</w:t>
      </w:r>
      <w:bookmarkEnd w:id="3"/>
      <w:bookmarkEnd w:id="4"/>
    </w:p>
    <w:tbl>
      <w:tblPr>
        <w:tblStyle w:val="5"/>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637"/>
        <w:gridCol w:w="6248"/>
      </w:tblGrid>
      <w:tr w14:paraId="7567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6" w:type="pct"/>
            <w:noWrap w:val="0"/>
            <w:vAlign w:val="center"/>
          </w:tcPr>
          <w:p w14:paraId="0AF37FB2">
            <w:pPr>
              <w:pStyle w:val="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933" w:type="pct"/>
            <w:noWrap w:val="0"/>
            <w:vAlign w:val="center"/>
          </w:tcPr>
          <w:p w14:paraId="56B9B1BC">
            <w:pPr>
              <w:pStyle w:val="9"/>
              <w:rPr>
                <w:rFonts w:hint="eastAsia" w:ascii="宋体" w:hAnsi="宋体" w:eastAsia="宋体" w:cs="宋体"/>
                <w:sz w:val="21"/>
                <w:szCs w:val="21"/>
              </w:rPr>
            </w:pPr>
            <w:r>
              <w:rPr>
                <w:rFonts w:hint="eastAsia" w:ascii="宋体" w:hAnsi="宋体" w:eastAsia="宋体" w:cs="宋体"/>
                <w:sz w:val="21"/>
                <w:szCs w:val="21"/>
              </w:rPr>
              <w:t>条款名称</w:t>
            </w:r>
          </w:p>
        </w:tc>
        <w:tc>
          <w:tcPr>
            <w:tcW w:w="3560" w:type="pct"/>
            <w:noWrap w:val="0"/>
            <w:vAlign w:val="center"/>
          </w:tcPr>
          <w:p w14:paraId="178512FA">
            <w:pPr>
              <w:pStyle w:val="9"/>
              <w:rPr>
                <w:rFonts w:hint="eastAsia" w:ascii="宋体" w:hAnsi="宋体" w:eastAsia="宋体" w:cs="宋体"/>
                <w:sz w:val="21"/>
                <w:szCs w:val="21"/>
              </w:rPr>
            </w:pPr>
            <w:r>
              <w:rPr>
                <w:rFonts w:hint="eastAsia" w:ascii="宋体" w:hAnsi="宋体" w:eastAsia="宋体" w:cs="宋体"/>
                <w:sz w:val="21"/>
                <w:szCs w:val="21"/>
              </w:rPr>
              <w:t>内容、说明与要求</w:t>
            </w:r>
          </w:p>
        </w:tc>
      </w:tr>
      <w:tr w14:paraId="3346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506" w:type="pct"/>
            <w:noWrap w:val="0"/>
            <w:vAlign w:val="center"/>
          </w:tcPr>
          <w:p w14:paraId="1CB1F43D">
            <w:pPr>
              <w:pStyle w:val="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33" w:type="pct"/>
            <w:noWrap w:val="0"/>
            <w:vAlign w:val="center"/>
          </w:tcPr>
          <w:p w14:paraId="307DF8E8">
            <w:pPr>
              <w:pStyle w:val="9"/>
              <w:rPr>
                <w:rFonts w:hint="eastAsia" w:ascii="宋体" w:hAnsi="宋体" w:eastAsia="宋体" w:cs="宋体"/>
                <w:b/>
                <w:sz w:val="21"/>
                <w:szCs w:val="21"/>
              </w:rPr>
            </w:pPr>
            <w:r>
              <w:rPr>
                <w:rFonts w:hint="eastAsia" w:ascii="宋体" w:hAnsi="宋体" w:eastAsia="宋体" w:cs="宋体"/>
                <w:sz w:val="21"/>
                <w:szCs w:val="21"/>
              </w:rPr>
              <w:t>付款方式</w:t>
            </w:r>
          </w:p>
        </w:tc>
        <w:tc>
          <w:tcPr>
            <w:tcW w:w="3560" w:type="pct"/>
            <w:noWrap w:val="0"/>
            <w:vAlign w:val="center"/>
          </w:tcPr>
          <w:p w14:paraId="6AD9E620">
            <w:pPr>
              <w:pStyle w:val="8"/>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1、合同签订生效之日前，中标人须向招标人缴纳合同价款的2.5%作为合同履约保证金。</w:t>
            </w:r>
          </w:p>
          <w:p w14:paraId="15C936F0">
            <w:pPr>
              <w:pStyle w:val="8"/>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合同签订生效后，十五个日历天内中标人须向招标人提供合同价款的70%的不可撤销预付款保函（预付款保函时限不得低于一年）；预付款保函的开立银行由招标人直接在与招标人合作的现有银行（包括其系统内银行）中进行指定；如果中标人未在约定期限内向招标人提供预付款保函和履约保证金，则中标人须按中国人民银行公布的同期同类贷款利率向招标人支付逾期利息，逾期利息=招标人已支付给中标人的定金和预付款合计金额×中国人民银行公布的同期同类贷款利率。收到中标人预付款保函后 5 个工作日内招标人向中标人支付合同价款的70%作为预付款。</w:t>
            </w:r>
          </w:p>
          <w:p w14:paraId="5AE8F10F">
            <w:pPr>
              <w:pStyle w:val="8"/>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3、货到后30个日历天内，招标人向中标人支付至合同价款的100%。如果中标人未向招标人提供全额正规发票，则中标人向招标人提供的预付款保函在此不得自动失效。</w:t>
            </w:r>
          </w:p>
          <w:p w14:paraId="53D90710">
            <w:pPr>
              <w:pStyle w:val="8"/>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4、中标人向招标人提供的预付款保函，在货物经双方最终验收合格后方可向招标人书面提出保函退还申请，并经招标人审批同意后退还。</w:t>
            </w:r>
          </w:p>
          <w:p w14:paraId="2B08BF37">
            <w:pPr>
              <w:pStyle w:val="8"/>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所有款项均以人民币支付。</w:t>
            </w:r>
          </w:p>
        </w:tc>
      </w:tr>
      <w:tr w14:paraId="318A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6" w:type="pct"/>
            <w:noWrap w:val="0"/>
            <w:vAlign w:val="center"/>
          </w:tcPr>
          <w:p w14:paraId="742024C6">
            <w:pPr>
              <w:pStyle w:val="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33" w:type="pct"/>
            <w:noWrap w:val="0"/>
            <w:vAlign w:val="center"/>
          </w:tcPr>
          <w:p w14:paraId="206E132A">
            <w:pPr>
              <w:pStyle w:val="9"/>
              <w:rPr>
                <w:rFonts w:hint="eastAsia" w:ascii="宋体" w:hAnsi="宋体" w:eastAsia="宋体" w:cs="宋体"/>
                <w:b/>
                <w:sz w:val="21"/>
                <w:szCs w:val="21"/>
                <w:lang w:eastAsia="zh-CN"/>
              </w:rPr>
            </w:pPr>
            <w:r>
              <w:rPr>
                <w:rFonts w:hint="eastAsia" w:eastAsia="宋体" w:cs="宋体"/>
                <w:sz w:val="21"/>
                <w:szCs w:val="21"/>
                <w:lang w:eastAsia="zh-CN"/>
              </w:rPr>
              <w:t>交货地点</w:t>
            </w:r>
          </w:p>
        </w:tc>
        <w:tc>
          <w:tcPr>
            <w:tcW w:w="3560" w:type="pct"/>
            <w:noWrap w:val="0"/>
            <w:vAlign w:val="center"/>
          </w:tcPr>
          <w:p w14:paraId="1A045931">
            <w:pPr>
              <w:pStyle w:val="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安徽省公共卫生临床中心（安徽省传染病医院）</w:t>
            </w:r>
          </w:p>
        </w:tc>
      </w:tr>
      <w:tr w14:paraId="0EFE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506" w:type="pct"/>
            <w:noWrap w:val="0"/>
            <w:vAlign w:val="center"/>
          </w:tcPr>
          <w:p w14:paraId="537E2C1E">
            <w:pPr>
              <w:pStyle w:val="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33" w:type="pct"/>
            <w:noWrap w:val="0"/>
            <w:vAlign w:val="center"/>
          </w:tcPr>
          <w:p w14:paraId="4C52E356">
            <w:pPr>
              <w:pStyle w:val="9"/>
              <w:rPr>
                <w:rFonts w:hint="eastAsia" w:ascii="宋体" w:hAnsi="宋体" w:eastAsia="宋体" w:cs="宋体"/>
                <w:b/>
                <w:sz w:val="21"/>
                <w:szCs w:val="21"/>
                <w:lang w:eastAsia="zh-CN"/>
              </w:rPr>
            </w:pPr>
            <w:r>
              <w:rPr>
                <w:rFonts w:hint="eastAsia" w:eastAsia="宋体" w:cs="宋体"/>
                <w:sz w:val="21"/>
                <w:szCs w:val="21"/>
                <w:lang w:eastAsia="zh-CN"/>
              </w:rPr>
              <w:t>交货期</w:t>
            </w:r>
          </w:p>
        </w:tc>
        <w:tc>
          <w:tcPr>
            <w:tcW w:w="3560" w:type="pct"/>
            <w:noWrap w:val="0"/>
            <w:vAlign w:val="center"/>
          </w:tcPr>
          <w:p w14:paraId="33A19CD2">
            <w:pPr>
              <w:pStyle w:val="8"/>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后，自接到招标人通知（通知方式为书面、电子邮件、传真、短信、微信、QQ、电话等方式之中的一种）之日起，中标人在30个工作日内将产品送到招标人指定地点，并安装完毕。若交货地点或收货人或交货期变更，招标人须于原交货期3个工作日前通知中标人。</w:t>
            </w:r>
          </w:p>
        </w:tc>
      </w:tr>
      <w:tr w14:paraId="742A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6" w:type="pct"/>
            <w:noWrap w:val="0"/>
            <w:vAlign w:val="center"/>
          </w:tcPr>
          <w:p w14:paraId="790B65AF">
            <w:pPr>
              <w:pStyle w:val="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33" w:type="pct"/>
            <w:noWrap w:val="0"/>
            <w:vAlign w:val="center"/>
          </w:tcPr>
          <w:p w14:paraId="7490B693">
            <w:pPr>
              <w:pStyle w:val="9"/>
              <w:rPr>
                <w:rFonts w:hint="eastAsia" w:ascii="宋体" w:hAnsi="宋体" w:eastAsia="宋体" w:cs="宋体"/>
                <w:b/>
                <w:sz w:val="21"/>
                <w:szCs w:val="21"/>
              </w:rPr>
            </w:pPr>
            <w:r>
              <w:rPr>
                <w:rFonts w:hint="eastAsia" w:ascii="宋体" w:hAnsi="宋体" w:eastAsia="宋体" w:cs="宋体"/>
                <w:sz w:val="21"/>
                <w:szCs w:val="21"/>
              </w:rPr>
              <w:t>免费质保期</w:t>
            </w:r>
          </w:p>
        </w:tc>
        <w:tc>
          <w:tcPr>
            <w:tcW w:w="3560" w:type="pct"/>
            <w:noWrap w:val="0"/>
            <w:vAlign w:val="center"/>
          </w:tcPr>
          <w:p w14:paraId="7E2B62EB">
            <w:pPr>
              <w:pStyle w:val="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不少于3年</w:t>
            </w:r>
          </w:p>
        </w:tc>
      </w:tr>
      <w:tr w14:paraId="632F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06" w:type="pct"/>
            <w:noWrap w:val="0"/>
            <w:vAlign w:val="center"/>
          </w:tcPr>
          <w:p w14:paraId="4AC4A910">
            <w:pPr>
              <w:pStyle w:val="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933" w:type="pct"/>
            <w:noWrap w:val="0"/>
            <w:vAlign w:val="center"/>
          </w:tcPr>
          <w:p w14:paraId="60380567">
            <w:pPr>
              <w:pStyle w:val="9"/>
              <w:rPr>
                <w:rFonts w:hint="eastAsia" w:ascii="宋体" w:hAnsi="宋体" w:eastAsia="宋体" w:cs="宋体"/>
                <w:b/>
                <w:sz w:val="21"/>
                <w:szCs w:val="21"/>
              </w:rPr>
            </w:pPr>
            <w:r>
              <w:rPr>
                <w:rFonts w:hint="eastAsia" w:ascii="宋体" w:hAnsi="宋体" w:eastAsia="宋体" w:cs="宋体"/>
                <w:sz w:val="21"/>
                <w:szCs w:val="21"/>
              </w:rPr>
              <w:t>所属行业</w:t>
            </w:r>
          </w:p>
        </w:tc>
        <w:tc>
          <w:tcPr>
            <w:tcW w:w="3560" w:type="pct"/>
            <w:noWrap w:val="0"/>
            <w:vAlign w:val="center"/>
          </w:tcPr>
          <w:p w14:paraId="6A89F021">
            <w:pPr>
              <w:pStyle w:val="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bl>
    <w:p w14:paraId="55795C61">
      <w:pPr>
        <w:pStyle w:val="3"/>
        <w:adjustRightInd w:val="0"/>
        <w:snapToGrid w:val="0"/>
        <w:spacing w:before="0" w:after="0" w:line="240" w:lineRule="auto"/>
        <w:jc w:val="center"/>
        <w:rPr>
          <w:rFonts w:hint="eastAsia"/>
        </w:rPr>
      </w:pPr>
    </w:p>
    <w:p w14:paraId="10EECC2B">
      <w:pPr>
        <w:pStyle w:val="3"/>
        <w:adjustRightInd w:val="0"/>
        <w:snapToGrid w:val="0"/>
        <w:spacing w:before="0" w:after="0" w:line="240" w:lineRule="auto"/>
        <w:jc w:val="center"/>
        <w:rPr>
          <w:rFonts w:hint="eastAsia"/>
        </w:rPr>
      </w:pPr>
    </w:p>
    <w:p w14:paraId="6D016E2A">
      <w:pPr>
        <w:pStyle w:val="3"/>
        <w:adjustRightInd w:val="0"/>
        <w:snapToGrid w:val="0"/>
        <w:spacing w:before="0" w:after="0" w:line="240" w:lineRule="auto"/>
        <w:jc w:val="center"/>
        <w:rPr>
          <w:rFonts w:hint="eastAsia" w:ascii="宋体" w:hAnsi="宋体" w:eastAsia="宋体" w:cs="Times New Roman"/>
          <w:b/>
          <w:bCs w:val="0"/>
          <w:kern w:val="2"/>
          <w:sz w:val="24"/>
          <w:szCs w:val="18"/>
          <w:lang w:val="en-US" w:eastAsia="zh-CN" w:bidi="ar-SA"/>
        </w:rPr>
      </w:pPr>
    </w:p>
    <w:p w14:paraId="4EEEB7A3">
      <w:pPr>
        <w:pStyle w:val="10"/>
        <w:spacing w:line="360" w:lineRule="auto"/>
        <w:ind w:left="0" w:leftChars="0" w:firstLine="0" w:firstLineChars="0"/>
        <w:rPr>
          <w:rFonts w:ascii="宋体" w:hAnsi="宋体" w:cs="Arial"/>
          <w:sz w:val="24"/>
          <w:szCs w:val="24"/>
        </w:rPr>
      </w:pPr>
      <w:r>
        <w:rPr>
          <w:rFonts w:hint="eastAsia" w:ascii="宋体" w:hAnsi="宋体" w:eastAsia="宋体" w:cs="Times New Roman"/>
          <w:b/>
          <w:bCs w:val="0"/>
          <w:kern w:val="2"/>
          <w:sz w:val="24"/>
          <w:szCs w:val="18"/>
          <w:lang w:val="en-US" w:eastAsia="zh-CN" w:bidi="ar-SA"/>
        </w:rPr>
        <w:t>（二）具体技术参数及要求</w:t>
      </w:r>
    </w:p>
    <w:tbl>
      <w:tblPr>
        <w:tblStyle w:val="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4825"/>
        <w:gridCol w:w="2131"/>
      </w:tblGrid>
      <w:tr w14:paraId="4CCF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noWrap w:val="0"/>
            <w:vAlign w:val="top"/>
          </w:tcPr>
          <w:p w14:paraId="6EB869A6">
            <w:pPr>
              <w:jc w:val="center"/>
              <w:rPr>
                <w:rFonts w:ascii="宋体" w:hAnsi="宋体" w:eastAsia="宋体" w:cs="Times New Roman"/>
                <w:kern w:val="0"/>
                <w:sz w:val="24"/>
              </w:rPr>
            </w:pPr>
            <w:r>
              <w:rPr>
                <w:rFonts w:hint="eastAsia" w:ascii="宋体" w:hAnsi="宋体" w:eastAsia="宋体" w:cs="Times New Roman"/>
                <w:kern w:val="0"/>
                <w:sz w:val="24"/>
              </w:rPr>
              <w:t>包号</w:t>
            </w:r>
          </w:p>
        </w:tc>
        <w:tc>
          <w:tcPr>
            <w:tcW w:w="4825" w:type="dxa"/>
            <w:noWrap w:val="0"/>
            <w:vAlign w:val="top"/>
          </w:tcPr>
          <w:p w14:paraId="54E75C4F">
            <w:pPr>
              <w:jc w:val="center"/>
              <w:rPr>
                <w:rFonts w:ascii="宋体" w:hAnsi="宋体" w:eastAsia="宋体" w:cs="Times New Roman"/>
                <w:kern w:val="0"/>
                <w:sz w:val="24"/>
              </w:rPr>
            </w:pPr>
            <w:r>
              <w:rPr>
                <w:rFonts w:hint="eastAsia" w:ascii="宋体" w:hAnsi="宋体" w:eastAsia="宋体" w:cs="Times New Roman"/>
                <w:kern w:val="0"/>
                <w:sz w:val="24"/>
              </w:rPr>
              <w:t>货物名称</w:t>
            </w:r>
          </w:p>
        </w:tc>
        <w:tc>
          <w:tcPr>
            <w:tcW w:w="2131" w:type="dxa"/>
            <w:noWrap w:val="0"/>
            <w:vAlign w:val="top"/>
          </w:tcPr>
          <w:p w14:paraId="73B066EF">
            <w:pPr>
              <w:jc w:val="center"/>
              <w:rPr>
                <w:rFonts w:ascii="宋体" w:hAnsi="宋体" w:eastAsia="宋体" w:cs="Times New Roman"/>
                <w:kern w:val="0"/>
                <w:sz w:val="24"/>
              </w:rPr>
            </w:pPr>
            <w:r>
              <w:rPr>
                <w:rFonts w:hint="eastAsia" w:ascii="宋体" w:hAnsi="宋体" w:eastAsia="宋体" w:cs="Times New Roman"/>
                <w:kern w:val="0"/>
                <w:sz w:val="24"/>
              </w:rPr>
              <w:t>数量(套)</w:t>
            </w:r>
          </w:p>
        </w:tc>
      </w:tr>
      <w:tr w14:paraId="7414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noWrap w:val="0"/>
            <w:vAlign w:val="top"/>
          </w:tcPr>
          <w:p w14:paraId="471BD87B">
            <w:pPr>
              <w:jc w:val="center"/>
              <w:rPr>
                <w:rFonts w:ascii="宋体" w:hAnsi="宋体" w:eastAsia="宋体" w:cs="Times New Roman"/>
                <w:kern w:val="0"/>
                <w:sz w:val="24"/>
              </w:rPr>
            </w:pPr>
            <w:r>
              <w:rPr>
                <w:rFonts w:hint="eastAsia" w:ascii="宋体" w:hAnsi="宋体" w:eastAsia="宋体" w:cs="Times New Roman"/>
                <w:kern w:val="0"/>
                <w:sz w:val="24"/>
              </w:rPr>
              <w:t>01包</w:t>
            </w:r>
          </w:p>
        </w:tc>
        <w:tc>
          <w:tcPr>
            <w:tcW w:w="4825" w:type="dxa"/>
            <w:noWrap w:val="0"/>
            <w:vAlign w:val="top"/>
          </w:tcPr>
          <w:p w14:paraId="5A300A1B">
            <w:pPr>
              <w:jc w:val="center"/>
              <w:rPr>
                <w:rFonts w:ascii="宋体" w:hAnsi="宋体" w:eastAsia="宋体" w:cs="Times New Roman"/>
                <w:kern w:val="0"/>
                <w:sz w:val="24"/>
              </w:rPr>
            </w:pPr>
            <w:r>
              <w:rPr>
                <w:rFonts w:hint="eastAsia" w:ascii="宋体" w:hAnsi="宋体" w:eastAsia="仿宋" w:cs="Calibri"/>
                <w:color w:val="auto"/>
                <w:sz w:val="24"/>
                <w:highlight w:val="none"/>
              </w:rPr>
              <w:t>▲</w:t>
            </w:r>
            <w:r>
              <w:rPr>
                <w:rFonts w:hint="eastAsia" w:ascii="宋体" w:hAnsi="宋体" w:eastAsia="宋体" w:cs="Times New Roman"/>
                <w:kern w:val="0"/>
                <w:sz w:val="24"/>
              </w:rPr>
              <w:t>全自动酶联免疫工作站</w:t>
            </w:r>
          </w:p>
        </w:tc>
        <w:tc>
          <w:tcPr>
            <w:tcW w:w="2131" w:type="dxa"/>
            <w:noWrap w:val="0"/>
            <w:vAlign w:val="center"/>
          </w:tcPr>
          <w:p w14:paraId="4F097F95">
            <w:pPr>
              <w:jc w:val="center"/>
              <w:rPr>
                <w:rFonts w:ascii="宋体" w:hAnsi="宋体" w:eastAsia="宋体" w:cs="Times New Roman"/>
                <w:kern w:val="0"/>
                <w:sz w:val="24"/>
              </w:rPr>
            </w:pPr>
            <w:r>
              <w:rPr>
                <w:rFonts w:hint="eastAsia" w:ascii="宋体" w:hAnsi="宋体" w:eastAsia="宋体" w:cs="Times New Roman"/>
                <w:kern w:val="0"/>
                <w:sz w:val="24"/>
              </w:rPr>
              <w:t>1</w:t>
            </w:r>
          </w:p>
        </w:tc>
      </w:tr>
    </w:tbl>
    <w:p w14:paraId="439364B2">
      <w:pPr>
        <w:spacing w:after="120" w:line="320" w:lineRule="atLeast"/>
        <w:ind w:right="-399" w:rightChars="-190"/>
        <w:rPr>
          <w:rFonts w:ascii="宋体" w:hAnsi="宋体"/>
          <w:b/>
          <w:sz w:val="28"/>
          <w:szCs w:val="28"/>
        </w:rPr>
      </w:pPr>
      <w:r>
        <w:rPr>
          <w:rFonts w:hint="eastAsia" w:ascii="宋体" w:hAnsi="宋体" w:eastAsia="宋体" w:cs="Times New Roman"/>
          <w:sz w:val="24"/>
        </w:rPr>
        <w:t xml:space="preserve"> </w:t>
      </w:r>
    </w:p>
    <w:tbl>
      <w:tblPr>
        <w:tblStyle w:val="6"/>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8400"/>
      </w:tblGrid>
      <w:tr w14:paraId="49B7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26" w:type="dxa"/>
            <w:noWrap w:val="0"/>
            <w:vAlign w:val="top"/>
          </w:tcPr>
          <w:p w14:paraId="3F44A9B9">
            <w:pPr>
              <w:spacing w:line="360" w:lineRule="auto"/>
              <w:jc w:val="center"/>
              <w:rPr>
                <w:rFonts w:ascii="宋体" w:hAnsi="宋体" w:eastAsia="宋体" w:cs="Arial"/>
                <w:b/>
                <w:bCs/>
                <w:kern w:val="0"/>
                <w:sz w:val="24"/>
              </w:rPr>
            </w:pPr>
            <w:r>
              <w:rPr>
                <w:rFonts w:hint="eastAsia" w:ascii="宋体" w:hAnsi="宋体" w:eastAsia="宋体" w:cs="Times New Roman"/>
                <w:b/>
                <w:kern w:val="0"/>
                <w:sz w:val="28"/>
                <w:szCs w:val="28"/>
              </w:rPr>
              <w:t>序号</w:t>
            </w:r>
          </w:p>
        </w:tc>
        <w:tc>
          <w:tcPr>
            <w:tcW w:w="8400" w:type="dxa"/>
            <w:noWrap w:val="0"/>
            <w:vAlign w:val="top"/>
          </w:tcPr>
          <w:p w14:paraId="671A712A">
            <w:pPr>
              <w:spacing w:line="360" w:lineRule="auto"/>
              <w:rPr>
                <w:rFonts w:ascii="宋体" w:hAnsi="宋体" w:eastAsia="宋体" w:cs="Times New Roman"/>
                <w:b/>
                <w:kern w:val="0"/>
                <w:sz w:val="28"/>
                <w:szCs w:val="28"/>
              </w:rPr>
            </w:pPr>
            <w:r>
              <w:rPr>
                <w:rFonts w:hint="eastAsia" w:ascii="宋体" w:hAnsi="宋体" w:eastAsia="宋体" w:cs="Times New Roman"/>
                <w:b/>
                <w:kern w:val="0"/>
                <w:sz w:val="28"/>
                <w:szCs w:val="28"/>
              </w:rPr>
              <w:t>技术参数及要求</w:t>
            </w:r>
          </w:p>
        </w:tc>
      </w:tr>
      <w:tr w14:paraId="13D6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3FF8E401">
            <w:pPr>
              <w:jc w:val="center"/>
              <w:rPr>
                <w:rFonts w:ascii="宋体" w:hAnsi="宋体" w:eastAsia="宋体" w:cs="Times New Roman"/>
                <w:kern w:val="0"/>
                <w:sz w:val="24"/>
              </w:rPr>
            </w:pPr>
            <w:r>
              <w:rPr>
                <w:rFonts w:hint="eastAsia" w:ascii="宋体" w:hAnsi="宋体" w:eastAsia="宋体" w:cs="Times New Roman"/>
                <w:kern w:val="0"/>
                <w:sz w:val="24"/>
                <w:lang w:eastAsia="zh-CN"/>
              </w:rPr>
              <w:t>★</w:t>
            </w:r>
            <w:r>
              <w:rPr>
                <w:rFonts w:hint="eastAsia" w:ascii="宋体" w:hAnsi="宋体" w:eastAsia="宋体" w:cs="Times New Roman"/>
                <w:kern w:val="0"/>
                <w:sz w:val="24"/>
              </w:rPr>
              <w:t>1</w:t>
            </w:r>
          </w:p>
        </w:tc>
        <w:tc>
          <w:tcPr>
            <w:tcW w:w="8400" w:type="dxa"/>
            <w:noWrap w:val="0"/>
            <w:vAlign w:val="top"/>
          </w:tcPr>
          <w:p w14:paraId="03AF5826">
            <w:pPr>
              <w:rPr>
                <w:rFonts w:ascii="宋体" w:hAnsi="宋体" w:eastAsia="宋体" w:cs="Times New Roman"/>
                <w:kern w:val="0"/>
                <w:sz w:val="24"/>
              </w:rPr>
            </w:pPr>
            <w:r>
              <w:rPr>
                <w:rFonts w:hint="eastAsia" w:ascii="宋体" w:hAnsi="宋体" w:eastAsia="宋体" w:cs="Times New Roman"/>
                <w:kern w:val="0"/>
                <w:sz w:val="24"/>
              </w:rPr>
              <w:t>基本功能：全自动完成</w:t>
            </w:r>
            <w:r>
              <w:rPr>
                <w:rFonts w:ascii="宋体" w:hAnsi="宋体" w:eastAsia="宋体" w:cs="Times New Roman"/>
                <w:kern w:val="0"/>
                <w:sz w:val="24"/>
              </w:rPr>
              <w:t>ELISA</w:t>
            </w:r>
            <w:r>
              <w:rPr>
                <w:rFonts w:hint="eastAsia" w:ascii="宋体" w:hAnsi="宋体" w:eastAsia="宋体" w:cs="Times New Roman"/>
                <w:kern w:val="0"/>
                <w:sz w:val="24"/>
              </w:rPr>
              <w:t>实验，包括加样、稀释、振荡、孵育、洗板、读数及结果判断全过程实验</w:t>
            </w:r>
          </w:p>
        </w:tc>
      </w:tr>
      <w:tr w14:paraId="3107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2809090E">
            <w:pPr>
              <w:jc w:val="center"/>
              <w:rPr>
                <w:rFonts w:ascii="宋体" w:hAnsi="宋体" w:eastAsia="宋体" w:cs="Times New Roman"/>
                <w:kern w:val="0"/>
                <w:sz w:val="24"/>
              </w:rPr>
            </w:pPr>
            <w:r>
              <w:rPr>
                <w:rFonts w:hint="eastAsia" w:ascii="宋体" w:hAnsi="宋体" w:eastAsia="宋体" w:cs="Times New Roman"/>
                <w:kern w:val="0"/>
                <w:sz w:val="24"/>
              </w:rPr>
              <w:t>2</w:t>
            </w:r>
          </w:p>
        </w:tc>
        <w:tc>
          <w:tcPr>
            <w:tcW w:w="8400" w:type="dxa"/>
            <w:noWrap w:val="0"/>
            <w:vAlign w:val="top"/>
          </w:tcPr>
          <w:p w14:paraId="75BE7997">
            <w:pPr>
              <w:rPr>
                <w:rFonts w:ascii="宋体" w:hAnsi="宋体" w:eastAsia="宋体" w:cs="Times New Roman"/>
                <w:kern w:val="0"/>
                <w:sz w:val="24"/>
              </w:rPr>
            </w:pPr>
            <w:r>
              <w:rPr>
                <w:rFonts w:hint="eastAsia" w:ascii="宋体" w:hAnsi="宋体" w:eastAsia="宋体" w:cs="Times New Roman"/>
                <w:kern w:val="0"/>
                <w:sz w:val="24"/>
              </w:rPr>
              <w:t>机械结构：≥4个机械臂，2个移液加样臂，用于液体转移；2个移板抓手臂，用于微板转移功能</w:t>
            </w:r>
          </w:p>
        </w:tc>
      </w:tr>
      <w:tr w14:paraId="3031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2E89232A">
            <w:pPr>
              <w:jc w:val="center"/>
              <w:rPr>
                <w:rFonts w:ascii="宋体" w:hAnsi="宋体" w:eastAsia="宋体" w:cs="Times New Roman"/>
                <w:kern w:val="0"/>
                <w:sz w:val="24"/>
              </w:rPr>
            </w:pPr>
            <w:r>
              <w:rPr>
                <w:rFonts w:hint="eastAsia" w:ascii="宋体" w:hAnsi="宋体" w:eastAsia="宋体" w:cs="Times New Roman"/>
                <w:kern w:val="0"/>
                <w:sz w:val="24"/>
              </w:rPr>
              <w:t>3</w:t>
            </w:r>
          </w:p>
        </w:tc>
        <w:tc>
          <w:tcPr>
            <w:tcW w:w="8400" w:type="dxa"/>
            <w:noWrap w:val="0"/>
            <w:vAlign w:val="top"/>
          </w:tcPr>
          <w:p w14:paraId="1863EF18">
            <w:pPr>
              <w:rPr>
                <w:rFonts w:ascii="宋体" w:hAnsi="宋体" w:eastAsia="宋体" w:cs="Times New Roman"/>
                <w:kern w:val="0"/>
                <w:sz w:val="24"/>
              </w:rPr>
            </w:pPr>
            <w:r>
              <w:rPr>
                <w:rFonts w:hint="eastAsia" w:ascii="宋体" w:hAnsi="宋体" w:eastAsia="宋体" w:cs="Times New Roman"/>
                <w:kern w:val="0"/>
                <w:sz w:val="24"/>
              </w:rPr>
              <w:t>试剂应用范围：完全开放试剂系统</w:t>
            </w:r>
          </w:p>
        </w:tc>
      </w:tr>
      <w:tr w14:paraId="13F9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2D1606BA">
            <w:pPr>
              <w:jc w:val="center"/>
              <w:rPr>
                <w:rFonts w:ascii="宋体" w:hAnsi="宋体" w:eastAsia="宋体" w:cs="Times New Roman"/>
                <w:kern w:val="0"/>
                <w:sz w:val="24"/>
              </w:rPr>
            </w:pPr>
            <w:r>
              <w:rPr>
                <w:rFonts w:hint="eastAsia" w:ascii="宋体" w:hAnsi="宋体" w:eastAsia="宋体" w:cs="Times New Roman"/>
                <w:kern w:val="0"/>
                <w:sz w:val="24"/>
                <w:lang w:eastAsia="zh-CN"/>
              </w:rPr>
              <w:t>★</w:t>
            </w:r>
            <w:r>
              <w:rPr>
                <w:rFonts w:hint="eastAsia" w:ascii="宋体" w:hAnsi="宋体" w:eastAsia="宋体" w:cs="Times New Roman"/>
                <w:kern w:val="0"/>
                <w:sz w:val="24"/>
              </w:rPr>
              <w:t>4</w:t>
            </w:r>
          </w:p>
        </w:tc>
        <w:tc>
          <w:tcPr>
            <w:tcW w:w="8400" w:type="dxa"/>
            <w:noWrap w:val="0"/>
            <w:vAlign w:val="top"/>
          </w:tcPr>
          <w:p w14:paraId="6EFB363F">
            <w:pPr>
              <w:rPr>
                <w:rFonts w:ascii="宋体" w:hAnsi="宋体" w:eastAsia="宋体" w:cs="Times New Roman"/>
                <w:kern w:val="0"/>
                <w:sz w:val="24"/>
              </w:rPr>
            </w:pPr>
            <w:r>
              <w:rPr>
                <w:rFonts w:hint="eastAsia" w:ascii="宋体" w:hAnsi="宋体" w:eastAsia="宋体" w:cs="Times New Roman"/>
                <w:kern w:val="0"/>
                <w:sz w:val="24"/>
              </w:rPr>
              <w:t>加样精度:加样量：100ul，精密度≤</w:t>
            </w:r>
            <w:r>
              <w:rPr>
                <w:rFonts w:hint="eastAsia" w:ascii="宋体" w:hAnsi="宋体" w:eastAsia="宋体" w:cs="Times New Roman"/>
                <w:color w:val="000000"/>
                <w:kern w:val="0"/>
                <w:sz w:val="24"/>
              </w:rPr>
              <w:t>2%</w:t>
            </w:r>
            <w:r>
              <w:rPr>
                <w:rFonts w:hint="eastAsia" w:ascii="宋体" w:hAnsi="宋体" w:eastAsia="宋体" w:cs="Times New Roman"/>
                <w:kern w:val="0"/>
                <w:sz w:val="24"/>
              </w:rPr>
              <w:t>，准确度≤±</w:t>
            </w:r>
            <w:r>
              <w:rPr>
                <w:rFonts w:hint="eastAsia" w:ascii="宋体" w:hAnsi="宋体" w:eastAsia="宋体" w:cs="Times New Roman"/>
                <w:color w:val="000000"/>
                <w:kern w:val="0"/>
                <w:sz w:val="24"/>
              </w:rPr>
              <w:t>3%</w:t>
            </w:r>
          </w:p>
        </w:tc>
      </w:tr>
      <w:tr w14:paraId="41EE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146DF680">
            <w:pPr>
              <w:jc w:val="center"/>
              <w:rPr>
                <w:rFonts w:ascii="宋体" w:hAnsi="宋体" w:eastAsia="宋体" w:cs="Times New Roman"/>
                <w:kern w:val="0"/>
                <w:sz w:val="24"/>
              </w:rPr>
            </w:pPr>
            <w:r>
              <w:rPr>
                <w:rFonts w:hint="eastAsia" w:ascii="宋体" w:hAnsi="宋体" w:eastAsia="宋体" w:cs="Times New Roman"/>
                <w:kern w:val="0"/>
                <w:sz w:val="24"/>
              </w:rPr>
              <w:t>5</w:t>
            </w:r>
          </w:p>
        </w:tc>
        <w:tc>
          <w:tcPr>
            <w:tcW w:w="8400" w:type="dxa"/>
            <w:noWrap w:val="0"/>
            <w:vAlign w:val="top"/>
          </w:tcPr>
          <w:p w14:paraId="0D23C41C">
            <w:pPr>
              <w:rPr>
                <w:rFonts w:ascii="宋体" w:hAnsi="宋体" w:eastAsia="宋体" w:cs="Times New Roman"/>
                <w:kern w:val="0"/>
                <w:sz w:val="24"/>
              </w:rPr>
            </w:pPr>
            <w:r>
              <w:rPr>
                <w:rFonts w:hint="eastAsia" w:ascii="宋体" w:hAnsi="宋体" w:eastAsia="宋体" w:cs="Times New Roman"/>
                <w:kern w:val="0"/>
                <w:sz w:val="24"/>
              </w:rPr>
              <w:t>工作模式：可连续进样、连续进板、随到随做</w:t>
            </w:r>
          </w:p>
        </w:tc>
      </w:tr>
      <w:tr w14:paraId="4FDC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1785E87C">
            <w:pPr>
              <w:jc w:val="center"/>
              <w:rPr>
                <w:rFonts w:ascii="宋体" w:hAnsi="宋体" w:eastAsia="宋体" w:cs="Times New Roman"/>
                <w:kern w:val="0"/>
                <w:sz w:val="24"/>
              </w:rPr>
            </w:pPr>
            <w:r>
              <w:rPr>
                <w:rFonts w:hint="eastAsia" w:ascii="宋体" w:hAnsi="宋体" w:eastAsia="宋体" w:cs="Times New Roman"/>
                <w:kern w:val="0"/>
                <w:sz w:val="24"/>
              </w:rPr>
              <w:t>6</w:t>
            </w:r>
          </w:p>
        </w:tc>
        <w:tc>
          <w:tcPr>
            <w:tcW w:w="8400" w:type="dxa"/>
            <w:noWrap w:val="0"/>
            <w:vAlign w:val="top"/>
          </w:tcPr>
          <w:p w14:paraId="62A8E7DF">
            <w:pPr>
              <w:rPr>
                <w:rFonts w:ascii="宋体" w:hAnsi="宋体" w:eastAsia="宋体" w:cs="Times New Roman"/>
                <w:kern w:val="0"/>
                <w:sz w:val="24"/>
              </w:rPr>
            </w:pPr>
            <w:r>
              <w:rPr>
                <w:rFonts w:hint="eastAsia" w:ascii="宋体" w:hAnsi="宋体" w:eastAsia="宋体" w:cs="Times New Roman"/>
                <w:kern w:val="0"/>
                <w:sz w:val="24"/>
              </w:rPr>
              <w:t>样本位：同时容纳（非连续装载）≥</w:t>
            </w:r>
            <w:r>
              <w:rPr>
                <w:rFonts w:ascii="宋体" w:hAnsi="宋体" w:eastAsia="宋体" w:cs="Times New Roman"/>
                <w:kern w:val="0"/>
                <w:sz w:val="24"/>
              </w:rPr>
              <w:t>288</w:t>
            </w:r>
            <w:r>
              <w:rPr>
                <w:rFonts w:hint="eastAsia" w:ascii="宋体" w:hAnsi="宋体" w:eastAsia="宋体" w:cs="Times New Roman"/>
                <w:kern w:val="0"/>
                <w:sz w:val="24"/>
              </w:rPr>
              <w:t>个样本位，满足大标本量需求，减少频繁的样本装载</w:t>
            </w:r>
          </w:p>
        </w:tc>
      </w:tr>
      <w:tr w14:paraId="465E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748EF7F5">
            <w:pPr>
              <w:jc w:val="center"/>
              <w:rPr>
                <w:rFonts w:ascii="宋体" w:hAnsi="宋体" w:eastAsia="宋体" w:cs="Times New Roman"/>
                <w:kern w:val="0"/>
                <w:sz w:val="24"/>
              </w:rPr>
            </w:pPr>
            <w:r>
              <w:rPr>
                <w:rFonts w:hint="eastAsia" w:ascii="宋体" w:hAnsi="宋体" w:eastAsia="宋体" w:cs="Times New Roman"/>
                <w:kern w:val="0"/>
                <w:sz w:val="24"/>
                <w:lang w:eastAsia="zh-CN"/>
              </w:rPr>
              <w:t>★</w:t>
            </w:r>
            <w:r>
              <w:rPr>
                <w:rFonts w:hint="eastAsia" w:ascii="宋体" w:hAnsi="宋体" w:eastAsia="宋体" w:cs="Times New Roman"/>
                <w:kern w:val="0"/>
                <w:sz w:val="24"/>
              </w:rPr>
              <w:t>7</w:t>
            </w:r>
          </w:p>
        </w:tc>
        <w:tc>
          <w:tcPr>
            <w:tcW w:w="8400" w:type="dxa"/>
            <w:noWrap w:val="0"/>
            <w:vAlign w:val="top"/>
          </w:tcPr>
          <w:p w14:paraId="357CB7FC">
            <w:pPr>
              <w:rPr>
                <w:rFonts w:ascii="宋体" w:hAnsi="宋体" w:eastAsia="宋体" w:cs="Times New Roman"/>
                <w:kern w:val="0"/>
                <w:sz w:val="24"/>
              </w:rPr>
            </w:pPr>
            <w:r>
              <w:rPr>
                <w:rFonts w:hint="eastAsia" w:ascii="宋体" w:hAnsi="宋体" w:eastAsia="宋体" w:cs="Times New Roman"/>
                <w:kern w:val="0"/>
                <w:sz w:val="24"/>
              </w:rPr>
              <w:t>加样针：≥</w:t>
            </w:r>
            <w:r>
              <w:rPr>
                <w:rFonts w:ascii="宋体" w:hAnsi="宋体" w:eastAsia="宋体" w:cs="Times New Roman"/>
                <w:kern w:val="0"/>
                <w:sz w:val="24"/>
              </w:rPr>
              <w:t>16</w:t>
            </w:r>
            <w:r>
              <w:rPr>
                <w:rFonts w:hint="eastAsia" w:ascii="宋体" w:hAnsi="宋体" w:eastAsia="宋体" w:cs="Times New Roman"/>
                <w:kern w:val="0"/>
                <w:sz w:val="24"/>
              </w:rPr>
              <w:t>通道独立加样，使用透明一次性加样头，避免样品携带污染和液体稀释效应</w:t>
            </w:r>
          </w:p>
        </w:tc>
      </w:tr>
      <w:tr w14:paraId="5284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267E7795">
            <w:pPr>
              <w:jc w:val="center"/>
              <w:rPr>
                <w:rFonts w:ascii="宋体" w:hAnsi="宋体" w:eastAsia="宋体" w:cs="Times New Roman"/>
                <w:kern w:val="0"/>
                <w:sz w:val="24"/>
              </w:rPr>
            </w:pPr>
            <w:r>
              <w:rPr>
                <w:rFonts w:hint="eastAsia" w:ascii="宋体" w:hAnsi="宋体" w:eastAsia="宋体" w:cs="Times New Roman"/>
                <w:kern w:val="0"/>
                <w:sz w:val="24"/>
              </w:rPr>
              <w:t>8</w:t>
            </w:r>
          </w:p>
        </w:tc>
        <w:tc>
          <w:tcPr>
            <w:tcW w:w="8400" w:type="dxa"/>
            <w:noWrap w:val="0"/>
            <w:vAlign w:val="top"/>
          </w:tcPr>
          <w:p w14:paraId="56CA0294">
            <w:pPr>
              <w:rPr>
                <w:rFonts w:ascii="宋体" w:hAnsi="宋体" w:eastAsia="宋体" w:cs="Times New Roman"/>
                <w:kern w:val="0"/>
                <w:sz w:val="24"/>
              </w:rPr>
            </w:pPr>
            <w:r>
              <w:rPr>
                <w:rFonts w:hint="eastAsia" w:ascii="宋体" w:hAnsi="宋体" w:eastAsia="宋体" w:cs="Times New Roman"/>
                <w:kern w:val="0"/>
                <w:sz w:val="24"/>
              </w:rPr>
              <w:t>加样通道性能：一次性加样头具有装针检测报警功能</w:t>
            </w:r>
          </w:p>
        </w:tc>
      </w:tr>
      <w:tr w14:paraId="06CF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77808007">
            <w:pPr>
              <w:jc w:val="center"/>
              <w:rPr>
                <w:rFonts w:ascii="宋体" w:hAnsi="宋体" w:eastAsia="宋体" w:cs="Times New Roman"/>
                <w:kern w:val="0"/>
                <w:sz w:val="24"/>
              </w:rPr>
            </w:pPr>
            <w:r>
              <w:rPr>
                <w:rFonts w:hint="eastAsia" w:ascii="宋体" w:hAnsi="宋体" w:eastAsia="宋体" w:cs="Times New Roman"/>
                <w:kern w:val="0"/>
                <w:sz w:val="24"/>
              </w:rPr>
              <w:t>9</w:t>
            </w:r>
          </w:p>
        </w:tc>
        <w:tc>
          <w:tcPr>
            <w:tcW w:w="8400" w:type="dxa"/>
            <w:noWrap w:val="0"/>
            <w:vAlign w:val="top"/>
          </w:tcPr>
          <w:p w14:paraId="14BDE69D">
            <w:pPr>
              <w:rPr>
                <w:rFonts w:ascii="宋体" w:hAnsi="宋体" w:eastAsia="宋体" w:cs="Times New Roman"/>
                <w:kern w:val="0"/>
                <w:sz w:val="24"/>
              </w:rPr>
            </w:pPr>
            <w:r>
              <w:rPr>
                <w:rFonts w:hint="eastAsia" w:ascii="宋体" w:hAnsi="宋体" w:eastAsia="宋体" w:cs="Times New Roman"/>
                <w:kern w:val="0"/>
                <w:sz w:val="24"/>
              </w:rPr>
              <w:t>液体水平监测：具备液面监测、凝块监测和空管监测功能</w:t>
            </w:r>
          </w:p>
        </w:tc>
      </w:tr>
      <w:tr w14:paraId="0713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31E6F30A">
            <w:pPr>
              <w:jc w:val="center"/>
              <w:rPr>
                <w:rFonts w:ascii="宋体" w:hAnsi="宋体" w:eastAsia="宋体" w:cs="Times New Roman"/>
                <w:kern w:val="0"/>
                <w:sz w:val="24"/>
              </w:rPr>
            </w:pPr>
            <w:r>
              <w:rPr>
                <w:rFonts w:hint="eastAsia" w:ascii="宋体" w:hAnsi="宋体" w:eastAsia="宋体" w:cs="Times New Roman"/>
                <w:kern w:val="0"/>
                <w:sz w:val="24"/>
                <w:lang w:eastAsia="zh-CN"/>
              </w:rPr>
              <w:t>★</w:t>
            </w:r>
            <w:r>
              <w:rPr>
                <w:rFonts w:hint="eastAsia" w:ascii="宋体" w:hAnsi="宋体" w:eastAsia="宋体" w:cs="Times New Roman"/>
                <w:kern w:val="0"/>
                <w:sz w:val="24"/>
              </w:rPr>
              <w:t>10</w:t>
            </w:r>
          </w:p>
        </w:tc>
        <w:tc>
          <w:tcPr>
            <w:tcW w:w="8400" w:type="dxa"/>
            <w:noWrap w:val="0"/>
            <w:vAlign w:val="top"/>
          </w:tcPr>
          <w:p w14:paraId="716A67F3">
            <w:pPr>
              <w:rPr>
                <w:rFonts w:ascii="宋体" w:hAnsi="宋体" w:eastAsia="宋体" w:cs="Times New Roman"/>
                <w:kern w:val="0"/>
                <w:sz w:val="24"/>
              </w:rPr>
            </w:pPr>
            <w:r>
              <w:rPr>
                <w:rFonts w:hint="eastAsia" w:ascii="宋体" w:hAnsi="宋体" w:eastAsia="宋体" w:cs="Times New Roman"/>
                <w:kern w:val="0"/>
                <w:sz w:val="24"/>
              </w:rPr>
              <w:t>同时加样板位：96孔微孔板≥</w:t>
            </w:r>
            <w:r>
              <w:rPr>
                <w:rFonts w:ascii="宋体" w:hAnsi="宋体" w:eastAsia="宋体" w:cs="Times New Roman"/>
                <w:kern w:val="0"/>
                <w:sz w:val="24"/>
              </w:rPr>
              <w:t>16</w:t>
            </w:r>
            <w:r>
              <w:rPr>
                <w:rFonts w:hint="eastAsia" w:ascii="宋体" w:hAnsi="宋体" w:eastAsia="宋体" w:cs="Times New Roman"/>
                <w:kern w:val="0"/>
                <w:sz w:val="24"/>
              </w:rPr>
              <w:t>块，并行分配标本的微板数</w:t>
            </w:r>
            <w:r>
              <w:rPr>
                <w:rFonts w:ascii="宋体" w:hAnsi="宋体" w:eastAsia="宋体" w:cs="Times New Roman"/>
                <w:kern w:val="0"/>
                <w:sz w:val="24"/>
              </w:rPr>
              <w:t>16</w:t>
            </w:r>
            <w:r>
              <w:rPr>
                <w:rFonts w:hint="eastAsia" w:ascii="宋体" w:hAnsi="宋体" w:eastAsia="宋体" w:cs="Times New Roman"/>
                <w:kern w:val="0"/>
                <w:sz w:val="24"/>
              </w:rPr>
              <w:t>块96孔微孔板</w:t>
            </w:r>
          </w:p>
        </w:tc>
      </w:tr>
      <w:tr w14:paraId="7170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7CEB3AF8">
            <w:pPr>
              <w:jc w:val="center"/>
              <w:rPr>
                <w:rFonts w:ascii="宋体" w:hAnsi="宋体" w:eastAsia="宋体" w:cs="Times New Roman"/>
                <w:kern w:val="0"/>
                <w:sz w:val="24"/>
              </w:rPr>
            </w:pPr>
            <w:r>
              <w:rPr>
                <w:rFonts w:hint="eastAsia" w:ascii="宋体" w:hAnsi="宋体" w:eastAsia="宋体" w:cs="Times New Roman"/>
                <w:kern w:val="0"/>
                <w:sz w:val="24"/>
              </w:rPr>
              <w:t>11</w:t>
            </w:r>
          </w:p>
        </w:tc>
        <w:tc>
          <w:tcPr>
            <w:tcW w:w="8400" w:type="dxa"/>
            <w:noWrap w:val="0"/>
            <w:vAlign w:val="top"/>
          </w:tcPr>
          <w:p w14:paraId="2AEE1579">
            <w:pPr>
              <w:rPr>
                <w:rFonts w:ascii="宋体" w:hAnsi="宋体" w:eastAsia="宋体" w:cs="Times New Roman"/>
                <w:kern w:val="0"/>
                <w:sz w:val="24"/>
              </w:rPr>
            </w:pPr>
            <w:r>
              <w:rPr>
                <w:rFonts w:hint="eastAsia" w:ascii="宋体" w:hAnsi="宋体" w:eastAsia="宋体" w:cs="Times New Roman"/>
                <w:kern w:val="0"/>
                <w:sz w:val="24"/>
              </w:rPr>
              <w:t>加样原理：气动置换加样原理，无液体稀释、无尾液、无系统液污染</w:t>
            </w:r>
          </w:p>
        </w:tc>
      </w:tr>
      <w:tr w14:paraId="2B44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033F04AA">
            <w:pPr>
              <w:jc w:val="center"/>
              <w:rPr>
                <w:rFonts w:ascii="宋体" w:hAnsi="宋体" w:eastAsia="宋体" w:cs="Times New Roman"/>
                <w:kern w:val="0"/>
                <w:sz w:val="24"/>
              </w:rPr>
            </w:pPr>
            <w:r>
              <w:rPr>
                <w:rFonts w:hint="eastAsia" w:ascii="宋体" w:hAnsi="宋体" w:eastAsia="宋体" w:cs="Times New Roman"/>
                <w:kern w:val="0"/>
                <w:sz w:val="24"/>
              </w:rPr>
              <w:t>12</w:t>
            </w:r>
          </w:p>
        </w:tc>
        <w:tc>
          <w:tcPr>
            <w:tcW w:w="8400" w:type="dxa"/>
            <w:noWrap w:val="0"/>
            <w:vAlign w:val="top"/>
          </w:tcPr>
          <w:p w14:paraId="2FE56FF9">
            <w:pPr>
              <w:rPr>
                <w:rFonts w:ascii="宋体" w:hAnsi="宋体" w:eastAsia="宋体" w:cs="Times New Roman"/>
                <w:kern w:val="0"/>
                <w:sz w:val="24"/>
              </w:rPr>
            </w:pPr>
            <w:r>
              <w:rPr>
                <w:rFonts w:hint="eastAsia" w:ascii="宋体" w:hAnsi="宋体" w:eastAsia="宋体" w:cs="Times New Roman"/>
                <w:kern w:val="0"/>
                <w:sz w:val="24"/>
              </w:rPr>
              <w:t>振荡孵育模块：振荡孵育模块≥</w:t>
            </w:r>
            <w:r>
              <w:rPr>
                <w:rFonts w:ascii="宋体" w:hAnsi="宋体" w:eastAsia="宋体" w:cs="Times New Roman"/>
                <w:kern w:val="0"/>
                <w:sz w:val="24"/>
              </w:rPr>
              <w:t>32</w:t>
            </w:r>
            <w:r>
              <w:rPr>
                <w:rFonts w:hint="eastAsia" w:ascii="宋体" w:hAnsi="宋体" w:eastAsia="宋体" w:cs="Times New Roman"/>
                <w:kern w:val="0"/>
                <w:sz w:val="24"/>
              </w:rPr>
              <w:t>个，能够同时孵育≥</w:t>
            </w:r>
            <w:r>
              <w:rPr>
                <w:rFonts w:ascii="宋体" w:hAnsi="宋体" w:eastAsia="宋体" w:cs="Times New Roman"/>
                <w:kern w:val="0"/>
                <w:sz w:val="24"/>
              </w:rPr>
              <w:t>32</w:t>
            </w:r>
            <w:r>
              <w:rPr>
                <w:rFonts w:hint="eastAsia" w:ascii="宋体" w:hAnsi="宋体" w:eastAsia="宋体" w:cs="Times New Roman"/>
                <w:kern w:val="0"/>
                <w:sz w:val="24"/>
              </w:rPr>
              <w:t>块微板，并且每个孵育模块能够单独温控，独立振荡</w:t>
            </w:r>
          </w:p>
        </w:tc>
      </w:tr>
      <w:tr w14:paraId="5862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493A1901">
            <w:pPr>
              <w:jc w:val="center"/>
              <w:rPr>
                <w:rFonts w:ascii="宋体" w:hAnsi="宋体" w:eastAsia="宋体" w:cs="Times New Roman"/>
                <w:kern w:val="0"/>
                <w:sz w:val="24"/>
              </w:rPr>
            </w:pPr>
            <w:r>
              <w:rPr>
                <w:rFonts w:hint="eastAsia" w:ascii="宋体" w:hAnsi="宋体" w:eastAsia="宋体" w:cs="Times New Roman"/>
                <w:kern w:val="0"/>
                <w:sz w:val="24"/>
                <w:lang w:eastAsia="zh-CN"/>
              </w:rPr>
              <w:t>★</w:t>
            </w:r>
            <w:r>
              <w:rPr>
                <w:rFonts w:hint="eastAsia" w:ascii="宋体" w:hAnsi="宋体" w:eastAsia="宋体" w:cs="Times New Roman"/>
                <w:kern w:val="0"/>
                <w:sz w:val="24"/>
              </w:rPr>
              <w:t>13</w:t>
            </w:r>
          </w:p>
        </w:tc>
        <w:tc>
          <w:tcPr>
            <w:tcW w:w="8400" w:type="dxa"/>
            <w:noWrap w:val="0"/>
            <w:vAlign w:val="top"/>
          </w:tcPr>
          <w:p w14:paraId="07FCF655">
            <w:pPr>
              <w:rPr>
                <w:rFonts w:ascii="宋体" w:hAnsi="宋体" w:eastAsia="宋体" w:cs="Times New Roman"/>
                <w:kern w:val="0"/>
                <w:sz w:val="24"/>
              </w:rPr>
            </w:pPr>
            <w:r>
              <w:rPr>
                <w:rFonts w:hint="eastAsia" w:ascii="宋体" w:hAnsi="宋体" w:eastAsia="宋体" w:cs="Times New Roman"/>
                <w:kern w:val="0"/>
                <w:sz w:val="24"/>
              </w:rPr>
              <w:t>同品牌洗板机：≥3台独立洗板机，</w:t>
            </w:r>
            <w:bookmarkStart w:id="5" w:name="_Hlk98510174"/>
            <w:r>
              <w:rPr>
                <w:rFonts w:hint="eastAsia" w:ascii="宋体" w:hAnsi="宋体" w:eastAsia="宋体" w:cs="Times New Roman"/>
                <w:kern w:val="0"/>
                <w:sz w:val="24"/>
              </w:rPr>
              <w:t>每台洗板机均配置一个一体式</w:t>
            </w:r>
            <w:r>
              <w:rPr>
                <w:rFonts w:ascii="宋体" w:hAnsi="宋体" w:eastAsia="宋体" w:cs="Times New Roman"/>
                <w:kern w:val="0"/>
                <w:sz w:val="24"/>
              </w:rPr>
              <w:t>96</w:t>
            </w:r>
            <w:r>
              <w:rPr>
                <w:rFonts w:hint="eastAsia" w:ascii="宋体" w:hAnsi="宋体" w:eastAsia="宋体" w:cs="Times New Roman"/>
                <w:kern w:val="0"/>
                <w:sz w:val="24"/>
              </w:rPr>
              <w:t>通道</w:t>
            </w:r>
            <w:r>
              <w:rPr>
                <w:rFonts w:ascii="宋体" w:hAnsi="宋体" w:eastAsia="宋体" w:cs="Times New Roman"/>
                <w:kern w:val="0"/>
                <w:sz w:val="24"/>
              </w:rPr>
              <w:t>192</w:t>
            </w:r>
            <w:r>
              <w:rPr>
                <w:rFonts w:hint="eastAsia" w:ascii="宋体" w:hAnsi="宋体" w:eastAsia="宋体" w:cs="Times New Roman"/>
                <w:kern w:val="0"/>
                <w:sz w:val="24"/>
              </w:rPr>
              <w:t>针洗板头（每个通道包含1个注液针，一个吸液针），可以实现分组控制注液</w:t>
            </w:r>
            <w:bookmarkEnd w:id="5"/>
          </w:p>
        </w:tc>
      </w:tr>
      <w:tr w14:paraId="7DD0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4DD0E4C4">
            <w:pPr>
              <w:jc w:val="center"/>
              <w:rPr>
                <w:rFonts w:ascii="宋体" w:hAnsi="宋体" w:eastAsia="宋体" w:cs="Times New Roman"/>
                <w:kern w:val="0"/>
                <w:sz w:val="24"/>
              </w:rPr>
            </w:pPr>
            <w:r>
              <w:rPr>
                <w:rFonts w:hint="eastAsia" w:ascii="宋体" w:hAnsi="宋体" w:eastAsia="宋体" w:cs="Times New Roman"/>
                <w:kern w:val="0"/>
                <w:sz w:val="24"/>
              </w:rPr>
              <w:t>14</w:t>
            </w:r>
          </w:p>
        </w:tc>
        <w:tc>
          <w:tcPr>
            <w:tcW w:w="8400" w:type="dxa"/>
            <w:noWrap w:val="0"/>
            <w:vAlign w:val="top"/>
          </w:tcPr>
          <w:p w14:paraId="4B94342F">
            <w:pPr>
              <w:rPr>
                <w:rFonts w:ascii="宋体" w:hAnsi="宋体" w:eastAsia="宋体" w:cs="Times New Roman"/>
                <w:kern w:val="0"/>
                <w:sz w:val="24"/>
              </w:rPr>
            </w:pPr>
            <w:r>
              <w:rPr>
                <w:rFonts w:hint="eastAsia" w:ascii="宋体" w:hAnsi="宋体" w:eastAsia="宋体" w:cs="Times New Roman"/>
                <w:kern w:val="0"/>
                <w:sz w:val="24"/>
              </w:rPr>
              <w:t>洗板位置：≥</w:t>
            </w:r>
            <w:r>
              <w:rPr>
                <w:rFonts w:ascii="宋体" w:hAnsi="宋体" w:eastAsia="宋体" w:cs="Times New Roman"/>
                <w:kern w:val="0"/>
                <w:sz w:val="24"/>
              </w:rPr>
              <w:t>6</w:t>
            </w:r>
            <w:r>
              <w:rPr>
                <w:rFonts w:hint="eastAsia" w:ascii="宋体" w:hAnsi="宋体" w:eastAsia="宋体" w:cs="Times New Roman"/>
                <w:kern w:val="0"/>
                <w:sz w:val="24"/>
              </w:rPr>
              <w:t>个，可同时进行6块微孔板的清洗工作</w:t>
            </w:r>
          </w:p>
        </w:tc>
      </w:tr>
      <w:tr w14:paraId="5D16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3689ACE3">
            <w:pPr>
              <w:jc w:val="center"/>
              <w:rPr>
                <w:rFonts w:ascii="宋体" w:hAnsi="宋体" w:eastAsia="宋体" w:cs="Times New Roman"/>
                <w:kern w:val="0"/>
                <w:sz w:val="24"/>
              </w:rPr>
            </w:pPr>
            <w:r>
              <w:rPr>
                <w:rFonts w:hint="eastAsia" w:ascii="宋体" w:hAnsi="宋体" w:eastAsia="宋体" w:cs="Times New Roman"/>
                <w:kern w:val="0"/>
                <w:sz w:val="24"/>
              </w:rPr>
              <w:t>15</w:t>
            </w:r>
          </w:p>
        </w:tc>
        <w:tc>
          <w:tcPr>
            <w:tcW w:w="8400" w:type="dxa"/>
            <w:noWrap w:val="0"/>
            <w:vAlign w:val="top"/>
          </w:tcPr>
          <w:p w14:paraId="4577291C">
            <w:pPr>
              <w:rPr>
                <w:rFonts w:ascii="宋体" w:hAnsi="宋体" w:eastAsia="宋体" w:cs="Times New Roman"/>
                <w:kern w:val="0"/>
                <w:sz w:val="24"/>
              </w:rPr>
            </w:pPr>
            <w:r>
              <w:rPr>
                <w:rFonts w:hint="eastAsia" w:ascii="宋体" w:hAnsi="宋体" w:eastAsia="宋体" w:cs="Times New Roman"/>
                <w:kern w:val="0"/>
                <w:sz w:val="24"/>
              </w:rPr>
              <w:t>洗板残留量：≤</w:t>
            </w:r>
            <w:r>
              <w:rPr>
                <w:rFonts w:ascii="宋体" w:hAnsi="宋体" w:eastAsia="宋体" w:cs="Times New Roman"/>
                <w:kern w:val="0"/>
                <w:sz w:val="24"/>
              </w:rPr>
              <w:t>1</w:t>
            </w:r>
            <w:r>
              <w:rPr>
                <w:rFonts w:hint="eastAsia" w:ascii="宋体" w:hAnsi="宋体" w:eastAsia="宋体" w:cs="Times New Roman"/>
                <w:kern w:val="0"/>
                <w:sz w:val="24"/>
              </w:rPr>
              <w:t>ul</w:t>
            </w:r>
            <w:r>
              <w:rPr>
                <w:rFonts w:ascii="宋体" w:hAnsi="宋体" w:eastAsia="宋体" w:cs="Times New Roman"/>
                <w:kern w:val="0"/>
                <w:sz w:val="24"/>
              </w:rPr>
              <w:t>/</w:t>
            </w:r>
            <w:r>
              <w:rPr>
                <w:rFonts w:hint="eastAsia" w:ascii="宋体" w:hAnsi="宋体" w:eastAsia="宋体" w:cs="Times New Roman"/>
                <w:kern w:val="0"/>
                <w:sz w:val="24"/>
              </w:rPr>
              <w:t>孔</w:t>
            </w:r>
          </w:p>
        </w:tc>
      </w:tr>
      <w:tr w14:paraId="269D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48D7C326">
            <w:pPr>
              <w:jc w:val="center"/>
              <w:rPr>
                <w:rFonts w:ascii="宋体" w:hAnsi="宋体" w:eastAsia="宋体" w:cs="Times New Roman"/>
                <w:kern w:val="0"/>
                <w:sz w:val="24"/>
              </w:rPr>
            </w:pPr>
            <w:r>
              <w:rPr>
                <w:rFonts w:hint="eastAsia" w:ascii="宋体" w:hAnsi="宋体" w:eastAsia="宋体" w:cs="Times New Roman"/>
                <w:kern w:val="0"/>
                <w:sz w:val="24"/>
              </w:rPr>
              <w:t>16</w:t>
            </w:r>
          </w:p>
        </w:tc>
        <w:tc>
          <w:tcPr>
            <w:tcW w:w="8400" w:type="dxa"/>
            <w:noWrap w:val="0"/>
            <w:vAlign w:val="top"/>
          </w:tcPr>
          <w:p w14:paraId="6635E14D">
            <w:pPr>
              <w:rPr>
                <w:rFonts w:ascii="宋体" w:hAnsi="宋体" w:eastAsia="宋体" w:cs="Times New Roman"/>
                <w:kern w:val="0"/>
                <w:sz w:val="24"/>
              </w:rPr>
            </w:pPr>
            <w:r>
              <w:rPr>
                <w:rFonts w:hint="eastAsia" w:ascii="宋体" w:hAnsi="宋体" w:eastAsia="宋体" w:cs="Times New Roman"/>
                <w:kern w:val="0"/>
                <w:sz w:val="24"/>
              </w:rPr>
              <w:t>机械手功能：具有红外抓板检测，实时监测抓板状态。采用压感式原理抓板，</w:t>
            </w:r>
            <w:bookmarkStart w:id="6" w:name="_Hlk98510198"/>
            <w:r>
              <w:rPr>
                <w:rFonts w:hint="eastAsia" w:ascii="宋体" w:hAnsi="宋体" w:eastAsia="宋体" w:cs="Times New Roman"/>
                <w:kern w:val="0"/>
                <w:sz w:val="24"/>
              </w:rPr>
              <w:t>可自动适应不同厂家微板大小，保障运行中及断电后不掉板</w:t>
            </w:r>
            <w:bookmarkEnd w:id="6"/>
          </w:p>
        </w:tc>
      </w:tr>
      <w:tr w14:paraId="4759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66CFDCC5">
            <w:pPr>
              <w:jc w:val="center"/>
              <w:rPr>
                <w:rFonts w:ascii="宋体" w:hAnsi="宋体" w:eastAsia="宋体" w:cs="Times New Roman"/>
                <w:kern w:val="0"/>
                <w:sz w:val="24"/>
              </w:rPr>
            </w:pPr>
            <w:r>
              <w:rPr>
                <w:rFonts w:hint="eastAsia" w:ascii="宋体" w:hAnsi="宋体" w:eastAsia="宋体" w:cs="Times New Roman"/>
                <w:b/>
                <w:bCs/>
                <w:kern w:val="0"/>
                <w:sz w:val="24"/>
              </w:rPr>
              <w:t>*</w:t>
            </w:r>
            <w:r>
              <w:rPr>
                <w:rFonts w:hint="eastAsia" w:ascii="宋体" w:hAnsi="宋体" w:eastAsia="宋体" w:cs="Times New Roman"/>
                <w:kern w:val="0"/>
                <w:sz w:val="24"/>
              </w:rPr>
              <w:t>17</w:t>
            </w:r>
          </w:p>
        </w:tc>
        <w:tc>
          <w:tcPr>
            <w:tcW w:w="8400" w:type="dxa"/>
            <w:noWrap w:val="0"/>
            <w:vAlign w:val="top"/>
          </w:tcPr>
          <w:p w14:paraId="305826F7">
            <w:pPr>
              <w:rPr>
                <w:rFonts w:ascii="宋体" w:hAnsi="宋体" w:eastAsia="宋体" w:cs="Times New Roman"/>
                <w:kern w:val="0"/>
                <w:sz w:val="24"/>
              </w:rPr>
            </w:pPr>
            <w:r>
              <w:rPr>
                <w:rFonts w:hint="eastAsia" w:ascii="宋体" w:hAnsi="宋体" w:eastAsia="宋体" w:cs="Times New Roman"/>
                <w:kern w:val="0"/>
                <w:sz w:val="24"/>
              </w:rPr>
              <w:t>同品牌酶标仪：内置≥2台独立酶标仪，标准滤光片配置</w:t>
            </w:r>
            <w:r>
              <w:rPr>
                <w:rFonts w:ascii="宋体" w:hAnsi="宋体" w:eastAsia="宋体" w:cs="Times New Roman"/>
                <w:kern w:val="0"/>
                <w:sz w:val="24"/>
              </w:rPr>
              <w:t>405nm</w:t>
            </w:r>
            <w:r>
              <w:rPr>
                <w:rFonts w:hint="eastAsia" w:ascii="宋体" w:hAnsi="宋体" w:eastAsia="宋体" w:cs="Times New Roman"/>
                <w:kern w:val="0"/>
                <w:sz w:val="24"/>
              </w:rPr>
              <w:t>、</w:t>
            </w:r>
            <w:r>
              <w:rPr>
                <w:rFonts w:ascii="宋体" w:hAnsi="宋体" w:eastAsia="宋体" w:cs="Times New Roman"/>
                <w:kern w:val="0"/>
                <w:sz w:val="24"/>
              </w:rPr>
              <w:t>450nm</w:t>
            </w:r>
            <w:r>
              <w:rPr>
                <w:rFonts w:hint="eastAsia" w:ascii="宋体" w:hAnsi="宋体" w:eastAsia="宋体" w:cs="Times New Roman"/>
                <w:kern w:val="0"/>
                <w:sz w:val="24"/>
              </w:rPr>
              <w:t>、</w:t>
            </w:r>
            <w:r>
              <w:rPr>
                <w:rFonts w:ascii="宋体" w:hAnsi="宋体" w:eastAsia="宋体" w:cs="Times New Roman"/>
                <w:kern w:val="0"/>
                <w:sz w:val="24"/>
              </w:rPr>
              <w:t xml:space="preserve">492nm </w:t>
            </w:r>
            <w:r>
              <w:rPr>
                <w:rFonts w:hint="eastAsia" w:ascii="宋体" w:hAnsi="宋体" w:eastAsia="宋体" w:cs="Times New Roman"/>
                <w:kern w:val="0"/>
                <w:sz w:val="24"/>
              </w:rPr>
              <w:t>和</w:t>
            </w:r>
            <w:r>
              <w:rPr>
                <w:rFonts w:ascii="宋体" w:hAnsi="宋体" w:eastAsia="宋体" w:cs="Times New Roman"/>
                <w:kern w:val="0"/>
                <w:sz w:val="24"/>
              </w:rPr>
              <w:t>630nm</w:t>
            </w:r>
            <w:r>
              <w:rPr>
                <w:rFonts w:hint="eastAsia" w:ascii="宋体" w:hAnsi="宋体" w:eastAsia="宋体" w:cs="Times New Roman"/>
                <w:kern w:val="0"/>
                <w:sz w:val="24"/>
              </w:rPr>
              <w:t>四个波长</w:t>
            </w:r>
          </w:p>
        </w:tc>
      </w:tr>
      <w:tr w14:paraId="1983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489D785F">
            <w:pPr>
              <w:jc w:val="center"/>
              <w:rPr>
                <w:rFonts w:ascii="宋体" w:hAnsi="宋体" w:eastAsia="宋体" w:cs="Times New Roman"/>
                <w:kern w:val="0"/>
                <w:sz w:val="24"/>
              </w:rPr>
            </w:pPr>
            <w:r>
              <w:rPr>
                <w:rFonts w:hint="eastAsia" w:ascii="宋体" w:hAnsi="宋体" w:eastAsia="宋体" w:cs="Times New Roman"/>
                <w:kern w:val="0"/>
                <w:sz w:val="24"/>
              </w:rPr>
              <w:t>18</w:t>
            </w:r>
          </w:p>
        </w:tc>
        <w:tc>
          <w:tcPr>
            <w:tcW w:w="8400" w:type="dxa"/>
            <w:noWrap w:val="0"/>
            <w:vAlign w:val="top"/>
          </w:tcPr>
          <w:p w14:paraId="4BA32549">
            <w:pPr>
              <w:rPr>
                <w:rFonts w:ascii="宋体" w:hAnsi="宋体" w:eastAsia="宋体" w:cs="Times New Roman"/>
                <w:kern w:val="0"/>
                <w:sz w:val="24"/>
              </w:rPr>
            </w:pPr>
            <w:r>
              <w:rPr>
                <w:rFonts w:hint="eastAsia" w:ascii="宋体" w:hAnsi="宋体" w:eastAsia="宋体" w:cs="Times New Roman"/>
                <w:kern w:val="0"/>
                <w:sz w:val="24"/>
              </w:rPr>
              <w:t>试剂仓：</w:t>
            </w:r>
            <w:bookmarkStart w:id="7" w:name="_Hlk98510213"/>
            <w:r>
              <w:rPr>
                <w:rFonts w:hint="eastAsia" w:ascii="宋体" w:hAnsi="宋体" w:eastAsia="宋体" w:cs="Times New Roman"/>
                <w:kern w:val="0"/>
                <w:sz w:val="24"/>
              </w:rPr>
              <w:t>≥</w:t>
            </w:r>
            <w:r>
              <w:rPr>
                <w:rFonts w:ascii="宋体" w:hAnsi="宋体" w:eastAsia="宋体" w:cs="Times New Roman"/>
                <w:kern w:val="0"/>
                <w:sz w:val="24"/>
              </w:rPr>
              <w:t>70</w:t>
            </w:r>
            <w:r>
              <w:rPr>
                <w:rFonts w:hint="eastAsia" w:ascii="宋体" w:hAnsi="宋体" w:eastAsia="宋体" w:cs="Times New Roman"/>
                <w:kern w:val="0"/>
                <w:sz w:val="24"/>
              </w:rPr>
              <w:t>个通用试剂仓位置，用来放置酶、稀释液、底物、终止液等试剂</w:t>
            </w:r>
            <w:bookmarkEnd w:id="7"/>
          </w:p>
        </w:tc>
      </w:tr>
      <w:tr w14:paraId="5D6A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33147324">
            <w:pPr>
              <w:jc w:val="center"/>
              <w:rPr>
                <w:rFonts w:ascii="宋体" w:hAnsi="宋体" w:eastAsia="宋体" w:cs="Times New Roman"/>
                <w:kern w:val="0"/>
                <w:sz w:val="24"/>
              </w:rPr>
            </w:pPr>
            <w:r>
              <w:rPr>
                <w:rFonts w:hint="eastAsia" w:ascii="宋体" w:hAnsi="宋体" w:eastAsia="宋体" w:cs="Times New Roman"/>
                <w:kern w:val="0"/>
                <w:sz w:val="24"/>
              </w:rPr>
              <w:t>19</w:t>
            </w:r>
          </w:p>
        </w:tc>
        <w:tc>
          <w:tcPr>
            <w:tcW w:w="8400" w:type="dxa"/>
            <w:noWrap w:val="0"/>
            <w:vAlign w:val="top"/>
          </w:tcPr>
          <w:p w14:paraId="66FE98CB">
            <w:pPr>
              <w:rPr>
                <w:rFonts w:ascii="宋体" w:hAnsi="宋体" w:eastAsia="宋体" w:cs="Times New Roman"/>
                <w:kern w:val="0"/>
                <w:sz w:val="24"/>
              </w:rPr>
            </w:pPr>
            <w:r>
              <w:rPr>
                <w:rFonts w:hint="eastAsia" w:ascii="宋体" w:hAnsi="宋体" w:eastAsia="宋体" w:cs="Times New Roman"/>
                <w:kern w:val="0"/>
                <w:sz w:val="24"/>
              </w:rPr>
              <w:t>扫码系统：内置样本自动条码扫描器，装载标本时自动扫描标本条码，无需手持扫码枪扫描</w:t>
            </w:r>
          </w:p>
        </w:tc>
      </w:tr>
      <w:tr w14:paraId="066C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075D90F4">
            <w:pPr>
              <w:jc w:val="center"/>
              <w:rPr>
                <w:rFonts w:ascii="宋体" w:hAnsi="宋体" w:eastAsia="宋体" w:cs="Times New Roman"/>
                <w:kern w:val="0"/>
                <w:sz w:val="24"/>
              </w:rPr>
            </w:pPr>
            <w:r>
              <w:rPr>
                <w:rFonts w:hint="eastAsia" w:ascii="宋体" w:hAnsi="宋体" w:eastAsia="宋体" w:cs="Times New Roman"/>
                <w:kern w:val="0"/>
                <w:sz w:val="24"/>
              </w:rPr>
              <w:t>20</w:t>
            </w:r>
          </w:p>
        </w:tc>
        <w:tc>
          <w:tcPr>
            <w:tcW w:w="8400" w:type="dxa"/>
            <w:noWrap w:val="0"/>
            <w:vAlign w:val="top"/>
          </w:tcPr>
          <w:p w14:paraId="3DFB3CCA">
            <w:pPr>
              <w:rPr>
                <w:rFonts w:ascii="宋体" w:hAnsi="宋体" w:eastAsia="宋体" w:cs="Times New Roman"/>
                <w:kern w:val="0"/>
                <w:sz w:val="24"/>
              </w:rPr>
            </w:pPr>
            <w:r>
              <w:rPr>
                <w:rFonts w:hint="eastAsia" w:ascii="宋体" w:hAnsi="宋体" w:eastAsia="宋体" w:cs="Times New Roman"/>
                <w:kern w:val="0"/>
                <w:sz w:val="24"/>
              </w:rPr>
              <w:t>设备台面：样本、质控、试剂载架全部采用通用的轨道式装载，各区域载架</w:t>
            </w:r>
            <w:r>
              <w:rPr>
                <w:rFonts w:ascii="宋体" w:hAnsi="宋体" w:eastAsia="宋体" w:cs="Times New Roman"/>
                <w:kern w:val="0"/>
                <w:sz w:val="24"/>
              </w:rPr>
              <w:tab/>
            </w:r>
            <w:r>
              <w:rPr>
                <w:rFonts w:hint="eastAsia" w:ascii="宋体" w:hAnsi="宋体" w:eastAsia="宋体" w:cs="Times New Roman"/>
                <w:kern w:val="0"/>
                <w:sz w:val="24"/>
              </w:rPr>
              <w:t>可灵活调整位置及数量</w:t>
            </w:r>
          </w:p>
        </w:tc>
      </w:tr>
      <w:tr w14:paraId="10AC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607000A5">
            <w:pPr>
              <w:jc w:val="center"/>
              <w:rPr>
                <w:rFonts w:ascii="宋体" w:hAnsi="宋体" w:eastAsia="宋体" w:cs="Times New Roman"/>
                <w:kern w:val="0"/>
                <w:sz w:val="24"/>
              </w:rPr>
            </w:pPr>
            <w:r>
              <w:rPr>
                <w:rFonts w:hint="eastAsia" w:ascii="宋体" w:hAnsi="宋体" w:eastAsia="宋体" w:cs="Times New Roman"/>
                <w:kern w:val="0"/>
                <w:sz w:val="24"/>
              </w:rPr>
              <w:t>21</w:t>
            </w:r>
          </w:p>
        </w:tc>
        <w:tc>
          <w:tcPr>
            <w:tcW w:w="8400" w:type="dxa"/>
            <w:noWrap w:val="0"/>
            <w:vAlign w:val="top"/>
          </w:tcPr>
          <w:p w14:paraId="077E5A73">
            <w:pPr>
              <w:rPr>
                <w:rFonts w:ascii="宋体" w:hAnsi="宋体" w:eastAsia="宋体" w:cs="Times New Roman"/>
                <w:kern w:val="0"/>
                <w:sz w:val="24"/>
              </w:rPr>
            </w:pPr>
            <w:r>
              <w:rPr>
                <w:rFonts w:hint="eastAsia" w:ascii="宋体" w:hAnsi="宋体" w:eastAsia="宋体" w:cs="Times New Roman"/>
                <w:kern w:val="0"/>
                <w:sz w:val="24"/>
              </w:rPr>
              <w:t>报警处理：可选择重试、忽略、终止运行，可选择处理模式不影响整体实验运行</w:t>
            </w:r>
          </w:p>
        </w:tc>
      </w:tr>
      <w:tr w14:paraId="5FB2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797380F0">
            <w:pPr>
              <w:jc w:val="center"/>
              <w:rPr>
                <w:rFonts w:ascii="宋体" w:hAnsi="宋体" w:eastAsia="宋体" w:cs="Times New Roman"/>
                <w:kern w:val="0"/>
                <w:sz w:val="24"/>
              </w:rPr>
            </w:pPr>
            <w:r>
              <w:rPr>
                <w:rFonts w:hint="eastAsia" w:ascii="宋体" w:hAnsi="宋体" w:eastAsia="宋体" w:cs="Times New Roman"/>
                <w:kern w:val="0"/>
                <w:sz w:val="24"/>
              </w:rPr>
              <w:t>22</w:t>
            </w:r>
          </w:p>
        </w:tc>
        <w:tc>
          <w:tcPr>
            <w:tcW w:w="8400" w:type="dxa"/>
            <w:noWrap w:val="0"/>
            <w:vAlign w:val="top"/>
          </w:tcPr>
          <w:p w14:paraId="5AD68927">
            <w:pPr>
              <w:rPr>
                <w:rFonts w:ascii="宋体" w:hAnsi="宋体" w:eastAsia="宋体" w:cs="Times New Roman"/>
                <w:kern w:val="0"/>
                <w:sz w:val="24"/>
              </w:rPr>
            </w:pPr>
            <w:r>
              <w:rPr>
                <w:rFonts w:hint="eastAsia" w:ascii="宋体" w:hAnsi="宋体" w:eastAsia="宋体" w:cs="Times New Roman"/>
                <w:kern w:val="0"/>
                <w:sz w:val="24"/>
              </w:rPr>
              <w:t>运行保障：智能的自动运行保障系统，可以屏蔽故障模块，保证其他模块的正常运行</w:t>
            </w:r>
          </w:p>
        </w:tc>
      </w:tr>
      <w:tr w14:paraId="4E32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3BB9848A">
            <w:pPr>
              <w:jc w:val="center"/>
              <w:rPr>
                <w:rFonts w:ascii="宋体" w:hAnsi="宋体" w:eastAsia="宋体" w:cs="Times New Roman"/>
                <w:kern w:val="0"/>
                <w:sz w:val="24"/>
              </w:rPr>
            </w:pPr>
            <w:r>
              <w:rPr>
                <w:rFonts w:hint="eastAsia" w:ascii="宋体" w:hAnsi="宋体" w:eastAsia="宋体" w:cs="Times New Roman"/>
                <w:kern w:val="0"/>
                <w:sz w:val="24"/>
              </w:rPr>
              <w:t>23</w:t>
            </w:r>
          </w:p>
        </w:tc>
        <w:tc>
          <w:tcPr>
            <w:tcW w:w="8400" w:type="dxa"/>
            <w:noWrap w:val="0"/>
            <w:vAlign w:val="top"/>
          </w:tcPr>
          <w:p w14:paraId="494D0957">
            <w:pPr>
              <w:rPr>
                <w:rFonts w:ascii="宋体" w:hAnsi="宋体" w:eastAsia="宋体" w:cs="Times New Roman"/>
                <w:kern w:val="0"/>
                <w:sz w:val="24"/>
              </w:rPr>
            </w:pPr>
            <w:r>
              <w:rPr>
                <w:rFonts w:hint="eastAsia" w:ascii="宋体" w:hAnsi="宋体" w:eastAsia="宋体" w:cs="Times New Roman"/>
                <w:kern w:val="0"/>
                <w:sz w:val="24"/>
              </w:rPr>
              <w:t>配备UPS一台</w:t>
            </w:r>
          </w:p>
        </w:tc>
      </w:tr>
    </w:tbl>
    <w:p w14:paraId="400BAA68">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0C7BC"/>
    <w:multiLevelType w:val="singleLevel"/>
    <w:tmpl w:val="E030C7BC"/>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GYyZjliOTdmMjkzNjdjYzBiZjAxMTUzYjZlOTIifQ=="/>
  </w:docVars>
  <w:rsids>
    <w:rsidRoot w:val="00000000"/>
    <w:rsid w:val="43AC5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header"/>
    <w:basedOn w:val="1"/>
    <w:unhideWhenUsed/>
    <w:uiPriority w:val="0"/>
    <w:pPr>
      <w:pBdr>
        <w:bottom w:val="single" w:color="auto" w:sz="6" w:space="1"/>
      </w:pBdr>
      <w:tabs>
        <w:tab w:val="center" w:pos="4153"/>
        <w:tab w:val="right" w:pos="8306"/>
      </w:tabs>
      <w:snapToGrid w:val="0"/>
      <w:jc w:val="center"/>
    </w:pPr>
    <w:rPr>
      <w:kern w:val="0"/>
      <w:sz w:val="18"/>
      <w:szCs w:val="18"/>
    </w:rPr>
  </w:style>
  <w:style w:type="table" w:styleId="6">
    <w:name w:val="Table Grid"/>
    <w:basedOn w:val="5"/>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amp;L"/>
    <w:basedOn w:val="4"/>
    <w:qFormat/>
    <w:uiPriority w:val="0"/>
    <w:pPr>
      <w:widowControl w:val="0"/>
      <w:pBdr>
        <w:bottom w:val="none" w:color="auto" w:sz="0" w:space="0"/>
      </w:pBdr>
      <w:snapToGrid/>
      <w:jc w:val="center"/>
    </w:pPr>
    <w:rPr>
      <w:rFonts w:ascii="宋体" w:hAnsi="宋体" w:cs="@仿宋_GB2312"/>
      <w:bCs/>
      <w:kern w:val="2"/>
      <w:sz w:val="24"/>
      <w:szCs w:val="20"/>
    </w:rPr>
  </w:style>
  <w:style w:type="paragraph" w:customStyle="1" w:styleId="9">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0">
    <w:name w:val="List Paragraph1"/>
    <w:basedOn w:val="1"/>
    <w:qFormat/>
    <w:uiPriority w:val="0"/>
    <w:pPr>
      <w:spacing w:before="0" w:after="0" w:line="240" w:lineRule="auto"/>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2024-11-19T08:57:18Z</dcterms:created>
  <dc:creator>pc</dc:creator>
  <cp:lastModifiedBy>Archer</cp:lastModifiedBy>
  <dcterms:modified xsi:type="dcterms:W3CDTF">2024-11-19T08:57:57Z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86E53D20B95E4538B07FC3E97B050417_12</vt:lpwstr>
  </property>
</Properties>
</file>