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169B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  <w:highlight w:val="none"/>
        </w:rPr>
      </w:pPr>
      <w:r>
        <w:rPr>
          <w:rFonts w:hint="eastAsia" w:asciiTheme="minorEastAsia" w:hAnsiTheme="minorEastAsia" w:eastAsiaTheme="minorEastAsia"/>
          <w:b/>
          <w:sz w:val="28"/>
          <w:highlight w:val="none"/>
        </w:rPr>
        <w:t>采购需求</w:t>
      </w:r>
    </w:p>
    <w:p w14:paraId="414A422B">
      <w:pPr>
        <w:spacing w:line="360" w:lineRule="auto"/>
        <w:rPr>
          <w:rFonts w:hint="eastAsia" w:asciiTheme="minorEastAsia" w:hAnsiTheme="minorEastAsia" w:eastAsiaTheme="minorEastAsia"/>
          <w:b/>
          <w:sz w:val="24"/>
        </w:rPr>
      </w:pPr>
      <w:bookmarkStart w:id="0" w:name="_Toc4843"/>
      <w:bookmarkStart w:id="1" w:name="_Toc7421"/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 w14:paraId="019F8686">
      <w:pPr>
        <w:spacing w:line="360" w:lineRule="auto"/>
        <w:ind w:firstLine="435"/>
        <w:rPr>
          <w:rFonts w:hint="eastAsia" w:ascii="宋体" w:hAnsi="宋体" w:eastAsia="宋体"/>
          <w:sz w:val="24"/>
          <w:szCs w:val="18"/>
        </w:rPr>
      </w:pPr>
      <w:r>
        <w:rPr>
          <w:rFonts w:hint="eastAsia" w:asciiTheme="minorEastAsia" w:hAnsiTheme="minorEastAsia" w:eastAsiaTheme="minorEastAsia"/>
          <w:sz w:val="24"/>
        </w:rPr>
        <w:t>1.</w:t>
      </w:r>
      <w:r>
        <w:rPr>
          <w:rFonts w:ascii="宋体" w:hAnsi="宋体" w:eastAsia="宋体"/>
          <w:sz w:val="24"/>
          <w:szCs w:val="18"/>
        </w:rPr>
        <w:t>根据《</w:t>
      </w:r>
      <w:r>
        <w:rPr>
          <w:rFonts w:hint="eastAsia" w:ascii="宋体" w:hAnsi="宋体" w:eastAsia="宋体"/>
          <w:sz w:val="24"/>
          <w:szCs w:val="18"/>
        </w:rPr>
        <w:t>政府采购进口产品管理办法</w:t>
      </w:r>
      <w:r>
        <w:rPr>
          <w:rFonts w:ascii="宋体" w:hAnsi="宋体" w:eastAsia="宋体"/>
          <w:sz w:val="24"/>
          <w:szCs w:val="18"/>
        </w:rPr>
        <w:t>》及政府采购管理部门的相关规定，下列采购需求中</w:t>
      </w:r>
      <w:r>
        <w:rPr>
          <w:rFonts w:hint="eastAsia" w:ascii="宋体" w:hAnsi="宋体" w:eastAsia="宋体"/>
          <w:sz w:val="24"/>
          <w:szCs w:val="18"/>
        </w:rPr>
        <w:t>标注进口产品的货物均</w:t>
      </w:r>
      <w:r>
        <w:rPr>
          <w:rFonts w:ascii="宋体" w:hAnsi="宋体" w:eastAsia="宋体"/>
          <w:sz w:val="24"/>
          <w:szCs w:val="18"/>
        </w:rPr>
        <w:t>已履行相关论证手续，经核准采购进口</w:t>
      </w:r>
      <w:r>
        <w:rPr>
          <w:rFonts w:hint="eastAsia" w:ascii="宋体" w:hAnsi="宋体" w:eastAsia="宋体"/>
          <w:sz w:val="24"/>
          <w:szCs w:val="18"/>
        </w:rPr>
        <w:t>产品</w:t>
      </w:r>
      <w:r>
        <w:rPr>
          <w:rFonts w:ascii="宋体" w:hAnsi="宋体" w:eastAsia="宋体"/>
          <w:sz w:val="24"/>
          <w:szCs w:val="18"/>
        </w:rPr>
        <w:t>，但不限制满足招标文件要求的国内产品参与竞争</w:t>
      </w:r>
      <w:r>
        <w:rPr>
          <w:rFonts w:hint="eastAsia" w:ascii="宋体" w:hAnsi="宋体" w:eastAsia="宋体"/>
          <w:sz w:val="24"/>
          <w:szCs w:val="18"/>
        </w:rPr>
        <w:t>。未标注进口产品的货物均</w:t>
      </w:r>
      <w:r>
        <w:rPr>
          <w:rFonts w:ascii="宋体" w:hAnsi="宋体" w:eastAsia="宋体"/>
          <w:sz w:val="24"/>
          <w:szCs w:val="18"/>
        </w:rPr>
        <w:t>为拒绝采购进口产品</w:t>
      </w:r>
      <w:r>
        <w:rPr>
          <w:rFonts w:hint="eastAsia" w:ascii="宋体" w:hAnsi="宋体" w:eastAsia="宋体"/>
          <w:sz w:val="24"/>
          <w:szCs w:val="18"/>
        </w:rPr>
        <w:t>。</w:t>
      </w:r>
    </w:p>
    <w:p w14:paraId="669E2E63">
      <w:pPr>
        <w:spacing w:line="360" w:lineRule="auto"/>
        <w:ind w:firstLine="435"/>
        <w:rPr>
          <w:rFonts w:hint="eastAsia"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2.</w:t>
      </w:r>
      <w:r>
        <w:rPr>
          <w:rFonts w:ascii="宋体" w:hAnsi="宋体" w:eastAsia="宋体" w:cs="宋体"/>
          <w:sz w:val="24"/>
          <w:szCs w:val="24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18"/>
        </w:rPr>
        <w:t>：</w:t>
      </w:r>
    </w:p>
    <w:p w14:paraId="65E030BC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6E234244">
      <w:pPr>
        <w:spacing w:line="360" w:lineRule="auto"/>
        <w:ind w:firstLine="43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61D0D432">
      <w:pPr>
        <w:spacing w:line="360" w:lineRule="auto"/>
        <w:ind w:firstLine="435"/>
        <w:rPr>
          <w:rFonts w:hint="eastAsia"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3.下列采购需求中：标注▲的产品为核心产品；</w:t>
      </w:r>
    </w:p>
    <w:p w14:paraId="5FCED17B">
      <w:pPr>
        <w:spacing w:line="360" w:lineRule="auto"/>
        <w:ind w:firstLine="435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/>
          <w:sz w:val="24"/>
          <w:szCs w:val="18"/>
        </w:rPr>
        <w:t>如采购人允许采用分包方式履行合同的，应当明确可以分包履行的相关内容。</w:t>
      </w:r>
    </w:p>
    <w:p w14:paraId="4A006E96">
      <w:pPr>
        <w:spacing w:line="360" w:lineRule="auto"/>
        <w:ind w:firstLine="437"/>
        <w:outlineLvl w:val="1"/>
        <w:rPr>
          <w:rFonts w:hint="eastAsia" w:ascii="宋体" w:hAnsi="宋体" w:eastAsia="宋体"/>
          <w:b/>
          <w:sz w:val="24"/>
          <w:szCs w:val="18"/>
        </w:rPr>
      </w:pPr>
      <w:bookmarkStart w:id="2" w:name="_Toc2554"/>
      <w:bookmarkStart w:id="3" w:name="_Toc32151"/>
      <w:bookmarkStart w:id="4" w:name="_Toc21076"/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  <w:bookmarkEnd w:id="2"/>
      <w:bookmarkEnd w:id="3"/>
      <w:bookmarkEnd w:id="4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938"/>
        <w:gridCol w:w="5856"/>
      </w:tblGrid>
      <w:tr w14:paraId="4B30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09774476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37" w:type="pct"/>
            <w:vAlign w:val="center"/>
          </w:tcPr>
          <w:p w14:paraId="21A6201B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435" w:type="pct"/>
            <w:vAlign w:val="center"/>
          </w:tcPr>
          <w:p w14:paraId="5E176687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7411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0F142233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37" w:type="pct"/>
            <w:vAlign w:val="center"/>
          </w:tcPr>
          <w:p w14:paraId="68C1B97E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435" w:type="pct"/>
            <w:vAlign w:val="center"/>
          </w:tcPr>
          <w:p w14:paraId="406BD231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合同签订后支付30%</w:t>
            </w:r>
            <w:r>
              <w:rPr>
                <w:rFonts w:hint="eastAsia" w:ascii="宋体" w:hAnsi="宋体" w:eastAsia="宋体"/>
                <w:b w:val="0"/>
                <w:sz w:val="24"/>
                <w:lang w:val="en-US" w:eastAsia="zh-CN"/>
              </w:rPr>
              <w:t>作为预付款</w:t>
            </w:r>
            <w:r>
              <w:rPr>
                <w:rFonts w:hint="eastAsia" w:ascii="宋体" w:hAnsi="宋体" w:eastAsia="宋体"/>
                <w:b w:val="0"/>
                <w:sz w:val="24"/>
              </w:rPr>
              <w:t>，</w:t>
            </w:r>
            <w:r>
              <w:rPr>
                <w:rFonts w:hint="eastAsia" w:ascii="宋体" w:hAnsi="宋体" w:eastAsia="宋体"/>
                <w:b w:val="0"/>
                <w:sz w:val="24"/>
                <w:lang w:val="en-US" w:eastAsia="zh-CN"/>
              </w:rPr>
              <w:t>同时向付款方开具等额发票；全部设备到货、安装调试完毕并最终验收合格后，支付合同总额的70%</w:t>
            </w:r>
            <w:r>
              <w:rPr>
                <w:rFonts w:hint="eastAsia" w:ascii="宋体" w:hAnsi="宋体" w:eastAsia="宋体"/>
                <w:b w:val="0"/>
                <w:sz w:val="24"/>
              </w:rPr>
              <w:t>。</w:t>
            </w:r>
          </w:p>
        </w:tc>
      </w:tr>
      <w:tr w14:paraId="0464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1460333F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37" w:type="pct"/>
            <w:vAlign w:val="center"/>
          </w:tcPr>
          <w:p w14:paraId="12ED8004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3435" w:type="pct"/>
            <w:vAlign w:val="center"/>
          </w:tcPr>
          <w:p w14:paraId="3521E540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安徽职业技术</w:t>
            </w:r>
            <w:r>
              <w:rPr>
                <w:rFonts w:hint="eastAsia" w:ascii="宋体" w:hAnsi="宋体" w:eastAsia="宋体"/>
                <w:b w:val="0"/>
                <w:sz w:val="24"/>
                <w:lang w:val="en-US" w:eastAsia="zh-CN"/>
              </w:rPr>
              <w:t>大学指</w:t>
            </w:r>
            <w:r>
              <w:rPr>
                <w:rFonts w:hint="eastAsia" w:ascii="宋体" w:hAnsi="宋体" w:eastAsia="宋体"/>
                <w:b w:val="0"/>
                <w:sz w:val="24"/>
              </w:rPr>
              <w:t>定实训室。</w:t>
            </w:r>
          </w:p>
        </w:tc>
      </w:tr>
      <w:tr w14:paraId="2233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0D15A85C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37" w:type="pct"/>
            <w:vAlign w:val="center"/>
          </w:tcPr>
          <w:p w14:paraId="633D08C0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3435" w:type="pct"/>
            <w:vAlign w:val="center"/>
          </w:tcPr>
          <w:p w14:paraId="03FFFF02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合同签订后90天内完成供货、安装与调试。</w:t>
            </w:r>
          </w:p>
        </w:tc>
      </w:tr>
      <w:tr w14:paraId="6421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04234FFE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1137" w:type="pct"/>
            <w:vAlign w:val="center"/>
          </w:tcPr>
          <w:p w14:paraId="36F3BC36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3435" w:type="pct"/>
            <w:vAlign w:val="center"/>
          </w:tcPr>
          <w:p w14:paraId="38F23209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lang w:val="en-US" w:eastAsia="zh-CN"/>
              </w:rPr>
              <w:t>自验收合格之日起</w:t>
            </w:r>
            <w:r>
              <w:rPr>
                <w:rFonts w:hint="eastAsia" w:ascii="宋体" w:hAnsi="宋体" w:eastAsia="宋体"/>
                <w:b w:val="0"/>
                <w:sz w:val="24"/>
              </w:rPr>
              <w:t>1年。</w:t>
            </w:r>
          </w:p>
        </w:tc>
      </w:tr>
      <w:tr w14:paraId="01ED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27" w:type="pct"/>
            <w:vAlign w:val="center"/>
          </w:tcPr>
          <w:p w14:paraId="0B81F582">
            <w:pPr>
              <w:pStyle w:val="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eastAsia="宋体"/>
                <w:bCs/>
                <w:kern w:val="2"/>
              </w:rPr>
            </w:pPr>
            <w:bookmarkStart w:id="5" w:name="_Toc5944"/>
            <w:bookmarkStart w:id="6" w:name="_Toc10993"/>
            <w:bookmarkStart w:id="7" w:name="_Toc7671"/>
            <w:r>
              <w:rPr>
                <w:rFonts w:hint="eastAsia" w:ascii="宋体" w:hAnsi="宋体" w:eastAsia="宋体"/>
                <w:bCs/>
                <w:kern w:val="2"/>
              </w:rPr>
              <w:t>5</w:t>
            </w:r>
          </w:p>
        </w:tc>
        <w:tc>
          <w:tcPr>
            <w:tcW w:w="1137" w:type="pct"/>
            <w:vAlign w:val="center"/>
          </w:tcPr>
          <w:p w14:paraId="41403B23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hint="eastAsia"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所属行业</w:t>
            </w:r>
          </w:p>
        </w:tc>
        <w:tc>
          <w:tcPr>
            <w:tcW w:w="3435" w:type="pct"/>
            <w:vAlign w:val="center"/>
          </w:tcPr>
          <w:p w14:paraId="0884FAF0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工业</w:t>
            </w:r>
            <w:r>
              <w:rPr>
                <w:rFonts w:hint="eastAsia" w:ascii="宋体" w:hAnsi="宋体" w:eastAsia="宋体"/>
                <w:b w:val="0"/>
                <w:sz w:val="24"/>
                <w:lang w:eastAsia="zh-CN"/>
              </w:rPr>
              <w:t>。</w:t>
            </w:r>
          </w:p>
        </w:tc>
      </w:tr>
    </w:tbl>
    <w:p w14:paraId="0EA9C7BC">
      <w:pPr>
        <w:numPr>
          <w:ilvl w:val="0"/>
          <w:numId w:val="1"/>
        </w:num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sz w:val="24"/>
          <w:szCs w:val="18"/>
        </w:rPr>
        <w:t>货物</w:t>
      </w:r>
      <w:r>
        <w:rPr>
          <w:rFonts w:hint="eastAsia" w:ascii="宋体" w:hAnsi="宋体" w:eastAsia="宋体"/>
          <w:b/>
          <w:bCs/>
          <w:sz w:val="24"/>
          <w:szCs w:val="18"/>
        </w:rPr>
        <w:t>需求</w:t>
      </w:r>
      <w:bookmarkEnd w:id="5"/>
      <w:bookmarkEnd w:id="6"/>
      <w:bookmarkEnd w:id="7"/>
    </w:p>
    <w:p w14:paraId="4F3D7F3F">
      <w:pPr>
        <w:pStyle w:val="2"/>
        <w:rPr>
          <w:rFonts w:hint="eastAsia" w:ascii="宋体" w:hAnsi="宋体" w:eastAsia="宋体" w:cs="宋体"/>
          <w:bCs w:val="0"/>
          <w:sz w:val="24"/>
          <w:szCs w:val="24"/>
        </w:rPr>
      </w:pPr>
      <w:r>
        <w:rPr>
          <w:rFonts w:hint="eastAsia" w:ascii="宋体" w:hAnsi="宋体" w:eastAsia="宋体" w:cs="宋体"/>
          <w:bCs w:val="0"/>
          <w:sz w:val="24"/>
          <w:szCs w:val="24"/>
        </w:rPr>
        <w:t>（一）货物指标重要性表述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445"/>
        <w:gridCol w:w="4985"/>
      </w:tblGrid>
      <w:tr w14:paraId="64B2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vAlign w:val="center"/>
          </w:tcPr>
          <w:p w14:paraId="544158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标识重要性</w:t>
            </w:r>
          </w:p>
        </w:tc>
        <w:tc>
          <w:tcPr>
            <w:tcW w:w="1445" w:type="dxa"/>
            <w:vAlign w:val="center"/>
          </w:tcPr>
          <w:p w14:paraId="084EC2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标识符号</w:t>
            </w:r>
          </w:p>
        </w:tc>
        <w:tc>
          <w:tcPr>
            <w:tcW w:w="4985" w:type="dxa"/>
            <w:vAlign w:val="center"/>
          </w:tcPr>
          <w:p w14:paraId="6A7513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符号说明</w:t>
            </w:r>
          </w:p>
        </w:tc>
      </w:tr>
      <w:tr w14:paraId="0FB2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87" w:type="dxa"/>
            <w:vAlign w:val="center"/>
          </w:tcPr>
          <w:p w14:paraId="08B920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关键性指标项</w:t>
            </w:r>
          </w:p>
        </w:tc>
        <w:tc>
          <w:tcPr>
            <w:tcW w:w="1445" w:type="dxa"/>
            <w:vAlign w:val="center"/>
          </w:tcPr>
          <w:p w14:paraId="2A2F5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</w:p>
        </w:tc>
        <w:tc>
          <w:tcPr>
            <w:tcW w:w="4985" w:type="dxa"/>
            <w:vAlign w:val="center"/>
          </w:tcPr>
          <w:p w14:paraId="2D460A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不满足该指标项将导致投标被拒绝</w:t>
            </w:r>
          </w:p>
        </w:tc>
      </w:tr>
      <w:tr w14:paraId="08B4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87" w:type="dxa"/>
            <w:vAlign w:val="center"/>
          </w:tcPr>
          <w:p w14:paraId="20DC9D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重要指标项</w:t>
            </w:r>
          </w:p>
        </w:tc>
        <w:tc>
          <w:tcPr>
            <w:tcW w:w="1445" w:type="dxa"/>
            <w:vAlign w:val="center"/>
          </w:tcPr>
          <w:p w14:paraId="72E43E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■</w:t>
            </w:r>
          </w:p>
        </w:tc>
        <w:tc>
          <w:tcPr>
            <w:tcW w:w="4985" w:type="dxa"/>
            <w:vAlign w:val="center"/>
          </w:tcPr>
          <w:p w14:paraId="0EB179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评分项，每满足一项得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</w:tr>
      <w:tr w14:paraId="766D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87" w:type="dxa"/>
            <w:vAlign w:val="center"/>
          </w:tcPr>
          <w:p w14:paraId="3E4A75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一般指标项</w:t>
            </w:r>
          </w:p>
        </w:tc>
        <w:tc>
          <w:tcPr>
            <w:tcW w:w="1445" w:type="dxa"/>
            <w:vAlign w:val="center"/>
          </w:tcPr>
          <w:p w14:paraId="619CDE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●</w:t>
            </w:r>
          </w:p>
        </w:tc>
        <w:tc>
          <w:tcPr>
            <w:tcW w:w="4985" w:type="dxa"/>
            <w:vAlign w:val="center"/>
          </w:tcPr>
          <w:p w14:paraId="406145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评分项，每满足一项得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</w:tr>
      <w:tr w14:paraId="29E5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87" w:type="dxa"/>
            <w:vAlign w:val="center"/>
          </w:tcPr>
          <w:p w14:paraId="4D989D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无标识项</w:t>
            </w:r>
          </w:p>
        </w:tc>
        <w:tc>
          <w:tcPr>
            <w:tcW w:w="1445" w:type="dxa"/>
            <w:vAlign w:val="center"/>
          </w:tcPr>
          <w:p w14:paraId="38ADA9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85" w:type="dxa"/>
            <w:vAlign w:val="center"/>
          </w:tcPr>
          <w:p w14:paraId="010899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承诺完全满足采购文件要求，否则投标无效</w:t>
            </w:r>
          </w:p>
        </w:tc>
      </w:tr>
    </w:tbl>
    <w:p w14:paraId="5B73CB45">
      <w:pPr>
        <w:pStyle w:val="3"/>
        <w:numPr>
          <w:ilvl w:val="0"/>
          <w:numId w:val="2"/>
        </w:numPr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货物指标要求</w:t>
      </w:r>
    </w:p>
    <w:tbl>
      <w:tblPr>
        <w:tblStyle w:val="6"/>
        <w:tblW w:w="10539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354"/>
        <w:gridCol w:w="6418"/>
        <w:gridCol w:w="930"/>
        <w:gridCol w:w="824"/>
        <w:gridCol w:w="556"/>
      </w:tblGrid>
      <w:tr w14:paraId="7139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55CC8644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354" w:type="dxa"/>
            <w:vAlign w:val="center"/>
          </w:tcPr>
          <w:p w14:paraId="0389F957">
            <w:pPr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6418" w:type="dxa"/>
            <w:vAlign w:val="center"/>
          </w:tcPr>
          <w:p w14:paraId="08AB861B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技术参数及要求</w:t>
            </w:r>
          </w:p>
        </w:tc>
        <w:tc>
          <w:tcPr>
            <w:tcW w:w="930" w:type="dxa"/>
            <w:vAlign w:val="center"/>
          </w:tcPr>
          <w:p w14:paraId="169FE0F1">
            <w:pPr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数量</w:t>
            </w:r>
          </w:p>
          <w:p w14:paraId="4FEF5284">
            <w:pPr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824" w:type="dxa"/>
            <w:vAlign w:val="center"/>
          </w:tcPr>
          <w:p w14:paraId="456E8943">
            <w:pPr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所属行业</w:t>
            </w:r>
          </w:p>
        </w:tc>
        <w:tc>
          <w:tcPr>
            <w:tcW w:w="556" w:type="dxa"/>
            <w:vAlign w:val="center"/>
          </w:tcPr>
          <w:p w14:paraId="27D72FC4">
            <w:pPr>
              <w:snapToGri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4854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63C4702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1</w:t>
            </w:r>
          </w:p>
        </w:tc>
        <w:tc>
          <w:tcPr>
            <w:tcW w:w="1354" w:type="dxa"/>
            <w:vAlign w:val="center"/>
          </w:tcPr>
          <w:p w14:paraId="2194D2D1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▲光刻机装配与应用实训平台</w:t>
            </w:r>
          </w:p>
        </w:tc>
        <w:tc>
          <w:tcPr>
            <w:tcW w:w="6418" w:type="dxa"/>
            <w:vAlign w:val="top"/>
          </w:tcPr>
          <w:p w14:paraId="2FB092D8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t>1.总体要求：以主流产线级光刻机为原型进行等比例缩小仿真设计，模拟真实光刻机工作环境与流程，具备高度教学还原度。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t>★2.结构尺寸：占地面积≤3500mm×2000mm，高度≤2000mm。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t>★3.光学系统：配置功率可调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 w:bidi="ar"/>
              </w:rPr>
              <w:t>红色激光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t>光源(0-200mW)，最小曝光时间≤1s；集成水冷循环系统，温控精度≤±1℃。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t>★4.传输与定位系统：掩膜版传输系统不低于5英寸掩膜版，晶圆传输系统不低于8英寸晶圆；关键运动机构重复定位精度≤±0.1mm。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bidi="ar"/>
              </w:rPr>
              <w:t>★5.控制系统：基于Windows环境的上位机软件，界面仿真实机，支持PLC编程、视觉识别调试、光刻工艺参数设置及全流程操作实训。</w:t>
            </w:r>
          </w:p>
          <w:p w14:paraId="116D7676">
            <w:pPr>
              <w:widowControl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 w:bidi="ar"/>
              </w:rPr>
              <w:t>6.集成1台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highlight w:val="none"/>
                <w:lang w:val="en-US" w:eastAsia="zh-CN"/>
              </w:rPr>
              <w:t>智慧黑板，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 w:bidi="ar"/>
              </w:rPr>
              <w:t>整机采用全金属外壳，副屏支持磁吸功能；整机屏幕采用不低于86寸液晶显示器。整机采用UHD 超高清液晶屏，显示比例16:9，分辨率不低3840×2160；嵌入式操作系统，内存≥2GB，存储空间≥8GB。支持20点或以上触控；内置 2.2 声道扬声器。内置阵列麦克风，拾音角度≥180 °；支持电脑、手机等设备音视频无线传屏；内置 WiFi6 无线网卡，支持多设备同时连接。</w:t>
            </w:r>
          </w:p>
        </w:tc>
        <w:tc>
          <w:tcPr>
            <w:tcW w:w="930" w:type="dxa"/>
            <w:vAlign w:val="center"/>
          </w:tcPr>
          <w:p w14:paraId="1FB2CC4A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  <w:tc>
          <w:tcPr>
            <w:tcW w:w="824" w:type="dxa"/>
            <w:vAlign w:val="center"/>
          </w:tcPr>
          <w:p w14:paraId="34541777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工业</w:t>
            </w:r>
          </w:p>
        </w:tc>
        <w:tc>
          <w:tcPr>
            <w:tcW w:w="556" w:type="dxa"/>
          </w:tcPr>
          <w:p w14:paraId="56FF31CB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 w14:paraId="5CDF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64D6D82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2</w:t>
            </w:r>
          </w:p>
        </w:tc>
        <w:tc>
          <w:tcPr>
            <w:tcW w:w="1354" w:type="dxa"/>
            <w:vAlign w:val="center"/>
          </w:tcPr>
          <w:p w14:paraId="35F1C61E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晶圆传输实训平台</w:t>
            </w:r>
          </w:p>
        </w:tc>
        <w:tc>
          <w:tcPr>
            <w:tcW w:w="6418" w:type="dxa"/>
            <w:vAlign w:val="top"/>
          </w:tcPr>
          <w:p w14:paraId="606529E1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1.参考光刻机内部晶圆传输核心机构，进行拆分、简化、缩比仿真设计。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■2.配置晶圆料仓，存储≥10片8英寸晶圆，具备自动升降功能。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■3.运动速度可调，重复定位精度≤±0.1mm，支持机械拆装与PLC编程调试。</w:t>
            </w:r>
          </w:p>
        </w:tc>
        <w:tc>
          <w:tcPr>
            <w:tcW w:w="930" w:type="dxa"/>
            <w:vAlign w:val="center"/>
          </w:tcPr>
          <w:p w14:paraId="67C670AB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  <w:tc>
          <w:tcPr>
            <w:tcW w:w="824" w:type="dxa"/>
            <w:vAlign w:val="center"/>
          </w:tcPr>
          <w:p w14:paraId="1461E5C6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工业</w:t>
            </w:r>
          </w:p>
        </w:tc>
        <w:tc>
          <w:tcPr>
            <w:tcW w:w="556" w:type="dxa"/>
          </w:tcPr>
          <w:p w14:paraId="28963859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 w14:paraId="2C9B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0DE7899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3</w:t>
            </w:r>
          </w:p>
        </w:tc>
        <w:tc>
          <w:tcPr>
            <w:tcW w:w="1354" w:type="dxa"/>
            <w:vAlign w:val="center"/>
          </w:tcPr>
          <w:p w14:paraId="7733455F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掩膜版搬运实训平台</w:t>
            </w:r>
          </w:p>
        </w:tc>
        <w:tc>
          <w:tcPr>
            <w:tcW w:w="6418" w:type="dxa"/>
            <w:vAlign w:val="top"/>
          </w:tcPr>
          <w:p w14:paraId="3E6765F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1.参考光刻机内部掩膜版搬运核心机构，进行拆分、简化、缩比仿真设计。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■2.配置掩膜版料仓，存储≥5片5英寸掩膜版，具备自动升降功能。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■3.运动速度可调，重复定位精度≤±0.1mm，支持机械拆装与运动控制编程。</w:t>
            </w:r>
          </w:p>
        </w:tc>
        <w:tc>
          <w:tcPr>
            <w:tcW w:w="930" w:type="dxa"/>
            <w:vAlign w:val="center"/>
          </w:tcPr>
          <w:p w14:paraId="1ADF3AF1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  <w:tc>
          <w:tcPr>
            <w:tcW w:w="824" w:type="dxa"/>
            <w:vAlign w:val="center"/>
          </w:tcPr>
          <w:p w14:paraId="48BBA217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工业</w:t>
            </w:r>
          </w:p>
        </w:tc>
        <w:tc>
          <w:tcPr>
            <w:tcW w:w="556" w:type="dxa"/>
          </w:tcPr>
          <w:p w14:paraId="38706B92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 w14:paraId="7867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2FE4ED1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4</w:t>
            </w:r>
          </w:p>
        </w:tc>
        <w:tc>
          <w:tcPr>
            <w:tcW w:w="1354" w:type="dxa"/>
            <w:vAlign w:val="center"/>
          </w:tcPr>
          <w:p w14:paraId="69C0B645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晶圆曝光工艺实训平台</w:t>
            </w:r>
          </w:p>
        </w:tc>
        <w:tc>
          <w:tcPr>
            <w:tcW w:w="6418" w:type="dxa"/>
            <w:vAlign w:val="top"/>
          </w:tcPr>
          <w:p w14:paraId="5F4085C8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1.参考光刻机内部光学模块和晶圆工作台等核心机构，进行拆分、简化、缩比仿真设计。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■2.配置光学模块（含功率可调光源）及晶圆工作台，工作台支持XY平移，运动行程≥200mm，重复定位精度≤±0.1mm。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■3.支持曝光时间控制及调光功能模拟。</w:t>
            </w:r>
          </w:p>
        </w:tc>
        <w:tc>
          <w:tcPr>
            <w:tcW w:w="930" w:type="dxa"/>
            <w:vAlign w:val="center"/>
          </w:tcPr>
          <w:p w14:paraId="62BE6EA7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  <w:tc>
          <w:tcPr>
            <w:tcW w:w="824" w:type="dxa"/>
            <w:vAlign w:val="center"/>
          </w:tcPr>
          <w:p w14:paraId="09D93ED2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工业</w:t>
            </w:r>
          </w:p>
        </w:tc>
        <w:tc>
          <w:tcPr>
            <w:tcW w:w="556" w:type="dxa"/>
          </w:tcPr>
          <w:p w14:paraId="705D36A3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 w14:paraId="6871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6C46865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5</w:t>
            </w:r>
          </w:p>
        </w:tc>
        <w:tc>
          <w:tcPr>
            <w:tcW w:w="1354" w:type="dxa"/>
            <w:vAlign w:val="center"/>
          </w:tcPr>
          <w:p w14:paraId="2517F5A5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掩膜版工作台定位实训平台</w:t>
            </w:r>
          </w:p>
        </w:tc>
        <w:tc>
          <w:tcPr>
            <w:tcW w:w="6418" w:type="dxa"/>
            <w:vAlign w:val="top"/>
          </w:tcPr>
          <w:p w14:paraId="29DCEC71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1.参考光刻机内部掩膜版工作台核心机构，进行拆分、简化、缩比仿真设计。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■2.配置掩膜版传送、对准模块及照明光学模块（白光光源），模拟定位、对准、曝光核心功能。</w:t>
            </w:r>
          </w:p>
        </w:tc>
        <w:tc>
          <w:tcPr>
            <w:tcW w:w="930" w:type="dxa"/>
            <w:vAlign w:val="center"/>
          </w:tcPr>
          <w:p w14:paraId="7CD33B9C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  <w:tc>
          <w:tcPr>
            <w:tcW w:w="824" w:type="dxa"/>
            <w:vAlign w:val="center"/>
          </w:tcPr>
          <w:p w14:paraId="2DBE5B37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工业</w:t>
            </w:r>
          </w:p>
        </w:tc>
        <w:tc>
          <w:tcPr>
            <w:tcW w:w="556" w:type="dxa"/>
          </w:tcPr>
          <w:p w14:paraId="2C57B550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 w14:paraId="0008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  <w:vAlign w:val="center"/>
          </w:tcPr>
          <w:p w14:paraId="0148677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6</w:t>
            </w:r>
          </w:p>
        </w:tc>
        <w:tc>
          <w:tcPr>
            <w:tcW w:w="1354" w:type="dxa"/>
            <w:vAlign w:val="center"/>
          </w:tcPr>
          <w:p w14:paraId="00E6AF14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晶圆定位纠偏实训工作台</w:t>
            </w:r>
          </w:p>
        </w:tc>
        <w:tc>
          <w:tcPr>
            <w:tcW w:w="6418" w:type="dxa"/>
            <w:vAlign w:val="center"/>
          </w:tcPr>
          <w:p w14:paraId="15CFA55F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1.参考光刻机内部晶圆样品台核心机构，进行简化缩比仿真设计。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●2.配置晶圆样品台（含视觉系统），模拟晶圆自动寻边和定位纠偏工作流程，寻边精度≤±1°，平移纠偏精度≤±0.5mm。</w:t>
            </w:r>
          </w:p>
        </w:tc>
        <w:tc>
          <w:tcPr>
            <w:tcW w:w="930" w:type="dxa"/>
            <w:vAlign w:val="center"/>
          </w:tcPr>
          <w:p w14:paraId="70A80B10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  <w:tc>
          <w:tcPr>
            <w:tcW w:w="824" w:type="dxa"/>
            <w:vAlign w:val="center"/>
          </w:tcPr>
          <w:p w14:paraId="1AEF69A7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工业</w:t>
            </w:r>
          </w:p>
        </w:tc>
        <w:tc>
          <w:tcPr>
            <w:tcW w:w="556" w:type="dxa"/>
          </w:tcPr>
          <w:p w14:paraId="6331B274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 w14:paraId="1F27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 w14:paraId="53E624D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7</w:t>
            </w:r>
          </w:p>
        </w:tc>
        <w:tc>
          <w:tcPr>
            <w:tcW w:w="1354" w:type="dxa"/>
            <w:vAlign w:val="center"/>
          </w:tcPr>
          <w:p w14:paraId="02928906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水冷循环系统实训平台</w:t>
            </w:r>
          </w:p>
        </w:tc>
        <w:tc>
          <w:tcPr>
            <w:tcW w:w="6418" w:type="dxa"/>
            <w:vAlign w:val="center"/>
          </w:tcPr>
          <w:p w14:paraId="57EBCA63"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1.参考光刻机内部水冷循环系统核心机构，进行拆分、简化、缩比仿真设计。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●2.配置水冷循环模块及加热模块(≥100W)，流量≥1L/min，水温温控精度≤±1℃，模拟激光器水冷温控功能。</w:t>
            </w:r>
          </w:p>
        </w:tc>
        <w:tc>
          <w:tcPr>
            <w:tcW w:w="930" w:type="dxa"/>
            <w:vAlign w:val="center"/>
          </w:tcPr>
          <w:p w14:paraId="561B6963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1套</w:t>
            </w:r>
          </w:p>
        </w:tc>
        <w:tc>
          <w:tcPr>
            <w:tcW w:w="824" w:type="dxa"/>
            <w:vAlign w:val="center"/>
          </w:tcPr>
          <w:p w14:paraId="36D993DB">
            <w:pPr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工业</w:t>
            </w:r>
          </w:p>
        </w:tc>
        <w:tc>
          <w:tcPr>
            <w:tcW w:w="556" w:type="dxa"/>
          </w:tcPr>
          <w:p w14:paraId="1C5BDD1E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bookmarkEnd w:id="0"/>
      <w:bookmarkEnd w:id="1"/>
    </w:tbl>
    <w:p w14:paraId="48ACE301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E3909"/>
    <w:multiLevelType w:val="singleLevel"/>
    <w:tmpl w:val="645E39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E6ECF0"/>
    <w:multiLevelType w:val="singleLevel"/>
    <w:tmpl w:val="7DE6EC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A5742"/>
    <w:rsid w:val="4B7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&amp;L"/>
    <w:basedOn w:val="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2026-01-16T09:52:00Z</dcterms:created>
  <dc:creator>王工</dc:creator>
  <cp:lastModifiedBy>王工</cp:lastModifiedBy>
  <dcterms:modified xsi:type="dcterms:W3CDTF">2026-01-16T09:53:02Z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886F5A7BD1C64B36AFF9CE4A561D86B3_11</vt:lpwstr>
  </property>
  <property fmtid="{D5CDD505-2E9C-101B-9397-08002B2CF9AE}" pid="4" name="KSOTemplateDocerSaveRecord">
    <vt:lpwstr>eyJoZGlkIjoiYzQxNzI1ZGZjY2VhODE5YWFmZjUyMWQ2NjRlMGZiMjMiLCJ1c2VySWQiOiIxOTk4OTgyMDIifQ==</vt:lpwstr>
  </property>
</Properties>
</file>