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FE1BE5">
      <w:pPr>
        <w:jc w:val="center"/>
        <w:rPr>
          <w:rFonts w:hint="eastAsia" w:ascii="方正小标宋_GBK" w:hAnsi="方正小标宋_GBK" w:eastAsia="方正小标宋_GBK" w:cs="方正小标宋_GBK"/>
          <w:kern w:val="44"/>
          <w:sz w:val="44"/>
          <w:szCs w:val="44"/>
          <w:highlight w:val="none"/>
        </w:rPr>
      </w:pPr>
      <w:bookmarkStart w:id="22" w:name="_GoBack"/>
      <w:bookmarkEnd w:id="22"/>
      <w:r>
        <w:rPr>
          <w:rStyle w:val="12"/>
          <w:rFonts w:hint="eastAsia"/>
          <w:highlight w:val="none"/>
        </w:rPr>
        <w:t>采购需求</w:t>
      </w:r>
    </w:p>
    <w:p w14:paraId="7280DA68">
      <w:pPr>
        <w:spacing w:line="360" w:lineRule="auto"/>
        <w:rPr>
          <w:rFonts w:hint="eastAsia" w:ascii="宋体" w:hAnsi="宋体"/>
          <w:b/>
          <w:highlight w:val="none"/>
        </w:rPr>
      </w:pPr>
      <w:r>
        <w:rPr>
          <w:rFonts w:hint="eastAsia" w:ascii="宋体" w:hAnsi="宋体"/>
          <w:b/>
          <w:highlight w:val="none"/>
        </w:rPr>
        <w:t>前注：</w:t>
      </w:r>
    </w:p>
    <w:p w14:paraId="5447CD27">
      <w:pPr>
        <w:spacing w:line="360" w:lineRule="auto"/>
        <w:ind w:firstLine="435"/>
        <w:rPr>
          <w:rFonts w:hint="eastAsia" w:ascii="宋体" w:hAnsi="宋体" w:cs="宋体"/>
          <w:szCs w:val="18"/>
          <w:highlight w:val="none"/>
        </w:rPr>
      </w:pPr>
      <w:bookmarkStart w:id="0" w:name="_Hlk16461016"/>
      <w:r>
        <w:rPr>
          <w:rFonts w:hint="eastAsia" w:ascii="宋体" w:hAnsi="宋体" w:cs="宋体"/>
          <w:highlight w:val="none"/>
        </w:rPr>
        <w:t>1.</w:t>
      </w:r>
      <w:r>
        <w:rPr>
          <w:rFonts w:hint="eastAsia" w:ascii="宋体" w:hAnsi="宋体" w:cs="宋体"/>
          <w:szCs w:val="18"/>
          <w:highlight w:val="none"/>
        </w:rPr>
        <w:t>根据《关于规范政府采购进口产品有关工作的通知》及政府采购管理部门的相关规定，下列采购需求中标注进口产品的货物（科研仪器设备）均已履行相关论证手续，经核准采购进口产品，但不限制满足招标文件要求的国内产品参与竞争。未标注进口产品的货物均为拒绝采购进口产品。</w:t>
      </w:r>
    </w:p>
    <w:p w14:paraId="6196374B">
      <w:pPr>
        <w:spacing w:line="360" w:lineRule="auto"/>
        <w:ind w:firstLine="435"/>
        <w:rPr>
          <w:rFonts w:hint="eastAsia" w:ascii="宋体" w:hAnsi="宋体" w:cs="宋体"/>
          <w:szCs w:val="18"/>
          <w:highlight w:val="none"/>
        </w:rPr>
      </w:pPr>
      <w:r>
        <w:rPr>
          <w:rFonts w:hint="eastAsia" w:ascii="宋体" w:hAnsi="宋体" w:cs="宋体"/>
          <w:szCs w:val="18"/>
          <w:highlight w:val="none"/>
        </w:rPr>
        <w:t>2.本技术规格中提及的工艺、材料、设备的标准、参数及参考品牌或型号（如有）仅起说明作用，并没有强制性且为本次采购的最低要求。投标人在投标中可以采用替代工艺、材料、设备的标准及品牌或型号，但这种替代应满足、等同或优于本技术规格的要求，否则评委在评审时有权作出不利于投标人的判定。</w:t>
      </w:r>
    </w:p>
    <w:p w14:paraId="5AD42830">
      <w:pPr>
        <w:spacing w:line="360" w:lineRule="auto"/>
        <w:ind w:firstLine="480" w:firstLineChars="200"/>
        <w:jc w:val="left"/>
        <w:rPr>
          <w:rFonts w:hint="eastAsia" w:ascii="宋体" w:hAnsi="宋体" w:cs="宋体"/>
          <w:szCs w:val="18"/>
          <w:highlight w:val="none"/>
        </w:rPr>
      </w:pPr>
      <w:r>
        <w:rPr>
          <w:rFonts w:hint="eastAsia" w:ascii="宋体" w:hAnsi="宋体" w:cs="宋体"/>
          <w:szCs w:val="18"/>
          <w:highlight w:val="none"/>
        </w:rPr>
        <w:t>3.下列采购需求中：如属于《节能产品政府采购品目清单》中政府强制采购的节能产品，则投标人所投产品须具有市场监管总局公布的《参与实施政府采购节能产品认证机构目录》中的认证机构出具的、处于有效期内的节能产品认证证书。</w:t>
      </w:r>
    </w:p>
    <w:p w14:paraId="1816A184">
      <w:pPr>
        <w:pStyle w:val="5"/>
        <w:ind w:firstLine="560"/>
        <w:rPr>
          <w:highlight w:val="none"/>
        </w:rPr>
      </w:pPr>
      <w:bookmarkStart w:id="1" w:name="_Toc1452677390"/>
      <w:bookmarkStart w:id="2" w:name="_Toc292361325"/>
      <w:bookmarkStart w:id="3" w:name="_Toc1437377518_WPSOffice_Level2"/>
      <w:bookmarkStart w:id="4" w:name="_Toc1899401549"/>
      <w:bookmarkStart w:id="5" w:name="_Toc2025078090"/>
      <w:bookmarkStart w:id="6" w:name="_Toc382548620"/>
      <w:bookmarkStart w:id="7" w:name="_Toc337877615"/>
      <w:bookmarkStart w:id="8" w:name="_Toc1064185329"/>
      <w:r>
        <w:rPr>
          <w:rFonts w:hint="eastAsia"/>
          <w:highlight w:val="none"/>
        </w:rPr>
        <w:t>一、采购需求前附表</w:t>
      </w:r>
      <w:bookmarkEnd w:id="1"/>
      <w:bookmarkEnd w:id="2"/>
      <w:bookmarkEnd w:id="3"/>
      <w:bookmarkEnd w:id="4"/>
      <w:bookmarkEnd w:id="5"/>
      <w:bookmarkEnd w:id="6"/>
      <w:bookmarkEnd w:id="7"/>
      <w:bookmarkEnd w:id="8"/>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8"/>
        <w:gridCol w:w="2054"/>
        <w:gridCol w:w="5544"/>
      </w:tblGrid>
      <w:tr w14:paraId="7FC3F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18" w:type="dxa"/>
            <w:vAlign w:val="center"/>
          </w:tcPr>
          <w:p w14:paraId="373F03E5">
            <w:pPr>
              <w:pStyle w:val="13"/>
              <w:pBdr>
                <w:bottom w:val="none" w:color="auto" w:sz="0" w:space="0"/>
              </w:pBdr>
              <w:tabs>
                <w:tab w:val="clear" w:pos="4153"/>
                <w:tab w:val="clear" w:pos="8306"/>
              </w:tabs>
              <w:adjustRightInd/>
              <w:spacing w:line="240" w:lineRule="auto"/>
              <w:textAlignment w:val="auto"/>
              <w:rPr>
                <w:rFonts w:hint="eastAsia" w:ascii="宋体" w:hAnsi="宋体" w:cs="宋体"/>
                <w:b/>
                <w:kern w:val="2"/>
                <w:highlight w:val="none"/>
              </w:rPr>
            </w:pPr>
            <w:r>
              <w:rPr>
                <w:rFonts w:hint="eastAsia" w:ascii="宋体" w:hAnsi="宋体" w:cs="宋体"/>
                <w:b/>
                <w:kern w:val="2"/>
                <w:highlight w:val="none"/>
              </w:rPr>
              <w:t>序号</w:t>
            </w:r>
          </w:p>
        </w:tc>
        <w:tc>
          <w:tcPr>
            <w:tcW w:w="2054" w:type="dxa"/>
            <w:vAlign w:val="center"/>
          </w:tcPr>
          <w:p w14:paraId="078531DA">
            <w:pPr>
              <w:pStyle w:val="14"/>
              <w:widowControl w:val="0"/>
              <w:spacing w:before="0" w:beforeAutospacing="0" w:after="0" w:afterAutospacing="0" w:line="360" w:lineRule="auto"/>
              <w:rPr>
                <w:rFonts w:hint="eastAsia" w:ascii="宋体" w:hAnsi="宋体" w:cs="宋体"/>
                <w:bCs w:val="0"/>
                <w:sz w:val="24"/>
                <w:highlight w:val="none"/>
              </w:rPr>
            </w:pPr>
            <w:r>
              <w:rPr>
                <w:rFonts w:hint="eastAsia" w:ascii="宋体" w:hAnsi="宋体" w:cs="宋体"/>
                <w:bCs w:val="0"/>
                <w:sz w:val="24"/>
                <w:highlight w:val="none"/>
              </w:rPr>
              <w:t>条款名称</w:t>
            </w:r>
          </w:p>
        </w:tc>
        <w:tc>
          <w:tcPr>
            <w:tcW w:w="5544" w:type="dxa"/>
            <w:vAlign w:val="center"/>
          </w:tcPr>
          <w:p w14:paraId="1BD61A84">
            <w:pPr>
              <w:pStyle w:val="14"/>
              <w:widowControl w:val="0"/>
              <w:spacing w:before="0" w:beforeAutospacing="0" w:after="0" w:afterAutospacing="0" w:line="360" w:lineRule="auto"/>
              <w:rPr>
                <w:rFonts w:hint="eastAsia" w:ascii="宋体" w:hAnsi="宋体" w:cs="宋体"/>
                <w:bCs w:val="0"/>
                <w:sz w:val="24"/>
                <w:highlight w:val="none"/>
              </w:rPr>
            </w:pPr>
            <w:r>
              <w:rPr>
                <w:rFonts w:hint="eastAsia" w:ascii="宋体" w:hAnsi="宋体" w:cs="宋体"/>
                <w:bCs w:val="0"/>
                <w:sz w:val="24"/>
                <w:highlight w:val="none"/>
              </w:rPr>
              <w:t>内容、说明与要求</w:t>
            </w:r>
          </w:p>
        </w:tc>
      </w:tr>
      <w:tr w14:paraId="3E21C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18" w:type="dxa"/>
            <w:vAlign w:val="center"/>
          </w:tcPr>
          <w:p w14:paraId="1B9219F6">
            <w:pPr>
              <w:pStyle w:val="13"/>
              <w:pBdr>
                <w:bottom w:val="none" w:color="auto" w:sz="0" w:space="0"/>
              </w:pBdr>
              <w:tabs>
                <w:tab w:val="clear" w:pos="4153"/>
                <w:tab w:val="clear" w:pos="8306"/>
              </w:tabs>
              <w:adjustRightInd/>
              <w:spacing w:line="240" w:lineRule="auto"/>
              <w:textAlignment w:val="auto"/>
              <w:rPr>
                <w:rFonts w:hint="eastAsia" w:ascii="宋体" w:hAnsi="宋体" w:cs="宋体"/>
                <w:bCs/>
                <w:kern w:val="2"/>
                <w:highlight w:val="none"/>
              </w:rPr>
            </w:pPr>
            <w:r>
              <w:rPr>
                <w:rFonts w:hint="eastAsia" w:ascii="宋体" w:hAnsi="宋体" w:cs="宋体"/>
                <w:bCs/>
                <w:kern w:val="2"/>
                <w:highlight w:val="none"/>
              </w:rPr>
              <w:t>1</w:t>
            </w:r>
          </w:p>
        </w:tc>
        <w:tc>
          <w:tcPr>
            <w:tcW w:w="2054" w:type="dxa"/>
            <w:vAlign w:val="center"/>
          </w:tcPr>
          <w:p w14:paraId="4EFAB787">
            <w:pPr>
              <w:pStyle w:val="14"/>
              <w:widowControl w:val="0"/>
              <w:spacing w:before="0" w:beforeAutospacing="0" w:after="0" w:afterAutospacing="0" w:line="360" w:lineRule="auto"/>
              <w:rPr>
                <w:rFonts w:hint="eastAsia" w:ascii="宋体" w:hAnsi="宋体" w:cs="宋体"/>
                <w:b w:val="0"/>
                <w:sz w:val="24"/>
                <w:highlight w:val="none"/>
              </w:rPr>
            </w:pPr>
            <w:r>
              <w:rPr>
                <w:rFonts w:hint="eastAsia" w:ascii="宋体" w:hAnsi="宋体" w:cs="宋体"/>
                <w:b w:val="0"/>
                <w:color w:val="000000" w:themeColor="text1"/>
                <w:sz w:val="24"/>
                <w:highlight w:val="none"/>
                <w14:textFill>
                  <w14:solidFill>
                    <w14:schemeClr w14:val="tx1"/>
                  </w14:solidFill>
                </w14:textFill>
              </w:rPr>
              <w:t>付款方式</w:t>
            </w:r>
          </w:p>
        </w:tc>
        <w:tc>
          <w:tcPr>
            <w:tcW w:w="5544" w:type="dxa"/>
            <w:vAlign w:val="center"/>
          </w:tcPr>
          <w:p w14:paraId="035F82A0">
            <w:pPr>
              <w:widowControl/>
              <w:spacing w:line="360" w:lineRule="auto"/>
              <w:jc w:val="left"/>
              <w:rPr>
                <w:rFonts w:hint="eastAsia" w:ascii="宋体" w:hAnsi="宋体" w:cs="宋体"/>
                <w:bCs/>
                <w:highlight w:val="none"/>
              </w:rPr>
            </w:pPr>
            <w:r>
              <w:rPr>
                <w:highlight w:val="none"/>
              </w:rPr>
              <w:t>合同签订生效后，采购人向中标人支付合同价款的70%预付款（中标人须同时向采购人递交等额预付款保函），全部货物安装调试完毕，剩余30%在验收合格后一次性付给中标人，同时退还预付款保函。</w:t>
            </w:r>
          </w:p>
          <w:p w14:paraId="0222D9AB">
            <w:pPr>
              <w:widowControl/>
              <w:spacing w:line="360" w:lineRule="auto"/>
              <w:jc w:val="left"/>
              <w:rPr>
                <w:rFonts w:hint="eastAsia" w:ascii="宋体" w:hAnsi="宋体" w:cs="宋体"/>
                <w:bCs/>
                <w:highlight w:val="none"/>
              </w:rPr>
            </w:pPr>
            <w:r>
              <w:rPr>
                <w:rFonts w:hint="eastAsia" w:ascii="宋体" w:hAnsi="宋体" w:cs="宋体"/>
                <w:bCs/>
                <w:highlight w:val="none"/>
              </w:rPr>
              <w:t>注：</w:t>
            </w:r>
          </w:p>
          <w:p w14:paraId="0E0528AD">
            <w:pPr>
              <w:widowControl/>
              <w:spacing w:line="360" w:lineRule="auto"/>
              <w:jc w:val="left"/>
              <w:rPr>
                <w:rFonts w:hint="eastAsia" w:ascii="宋体" w:hAnsi="宋体" w:cs="宋体"/>
                <w:bCs/>
                <w:highlight w:val="none"/>
              </w:rPr>
            </w:pPr>
            <w:r>
              <w:rPr>
                <w:rFonts w:hint="eastAsia" w:ascii="宋体" w:hAnsi="宋体" w:cs="宋体"/>
                <w:bCs/>
                <w:highlight w:val="none"/>
              </w:rPr>
              <w:t>（1）预付款保函形式： ☑银行保函 ☑担保机构担保</w:t>
            </w:r>
          </w:p>
          <w:p w14:paraId="76F62720">
            <w:pPr>
              <w:widowControl/>
              <w:spacing w:line="360" w:lineRule="auto"/>
              <w:jc w:val="left"/>
              <w:rPr>
                <w:rFonts w:hint="eastAsia" w:ascii="宋体" w:hAnsi="宋体" w:cs="宋体"/>
                <w:bCs/>
                <w:highlight w:val="none"/>
              </w:rPr>
            </w:pPr>
            <w:r>
              <w:rPr>
                <w:rFonts w:hint="eastAsia" w:ascii="宋体" w:hAnsi="宋体" w:cs="宋体"/>
                <w:bCs/>
                <w:highlight w:val="none"/>
              </w:rPr>
              <w:t>（2）预付款保函递交要求：</w:t>
            </w:r>
          </w:p>
          <w:p w14:paraId="5C47E2E5">
            <w:pPr>
              <w:widowControl/>
              <w:spacing w:line="360" w:lineRule="auto"/>
              <w:jc w:val="left"/>
              <w:rPr>
                <w:rFonts w:hint="eastAsia" w:ascii="宋体" w:hAnsi="宋体" w:cs="宋体"/>
                <w:bCs/>
                <w:highlight w:val="none"/>
              </w:rPr>
            </w:pPr>
            <w:r>
              <w:rPr>
                <w:rFonts w:hint="eastAsia" w:ascii="宋体" w:hAnsi="宋体" w:cs="宋体"/>
                <w:bCs/>
                <w:highlight w:val="none"/>
              </w:rPr>
              <w:t>①如采用银行保函，银行保函应为具有分支机构的银行出具的见索即付无条件保函。（例如A银行总部在合肥或者A银行在合肥行政区域（含四县一市）具有分支机构，那么A银行任一分支机构或者总部出具的见索即付无条件保函符合要求），且应将原件交至采购人保管。</w:t>
            </w:r>
          </w:p>
          <w:p w14:paraId="4CD8572A">
            <w:pPr>
              <w:widowControl/>
              <w:spacing w:line="360" w:lineRule="auto"/>
              <w:jc w:val="left"/>
              <w:rPr>
                <w:rFonts w:hint="eastAsia" w:ascii="宋体" w:hAnsi="宋体" w:cs="宋体"/>
                <w:bCs/>
                <w:highlight w:val="none"/>
              </w:rPr>
            </w:pPr>
            <w:r>
              <w:rPr>
                <w:rFonts w:hint="eastAsia" w:ascii="宋体" w:hAnsi="宋体" w:cs="宋体"/>
                <w:bCs/>
                <w:highlight w:val="none"/>
              </w:rPr>
              <w:t>②如采用担保机构担保，应为具有备案资质的融资担保机构出具的见索即付无条件担保，且应将原件交至采购人保管。</w:t>
            </w:r>
          </w:p>
          <w:p w14:paraId="2294B649">
            <w:pPr>
              <w:widowControl/>
              <w:spacing w:line="360" w:lineRule="auto"/>
              <w:jc w:val="left"/>
              <w:rPr>
                <w:rFonts w:hint="eastAsia" w:ascii="宋体" w:hAnsi="宋体" w:cs="宋体"/>
                <w:bCs/>
                <w:highlight w:val="none"/>
              </w:rPr>
            </w:pPr>
            <w:r>
              <w:rPr>
                <w:rFonts w:hint="eastAsia" w:ascii="宋体" w:hAnsi="宋体" w:cs="宋体"/>
                <w:bCs/>
                <w:highlight w:val="none"/>
              </w:rPr>
              <w:t>（3）在签订合同时，中标人书面明确表示无需预付款或者主动要求降低预付款比例的，采购人可不适用前述预付款规定。</w:t>
            </w:r>
          </w:p>
        </w:tc>
      </w:tr>
      <w:tr w14:paraId="7BCDE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18" w:type="dxa"/>
            <w:vAlign w:val="center"/>
          </w:tcPr>
          <w:p w14:paraId="3010A5D4">
            <w:pPr>
              <w:pStyle w:val="13"/>
              <w:pBdr>
                <w:bottom w:val="none" w:color="auto" w:sz="0" w:space="0"/>
              </w:pBdr>
              <w:tabs>
                <w:tab w:val="clear" w:pos="4153"/>
                <w:tab w:val="clear" w:pos="8306"/>
              </w:tabs>
              <w:adjustRightInd/>
              <w:spacing w:line="240" w:lineRule="auto"/>
              <w:textAlignment w:val="auto"/>
              <w:rPr>
                <w:rFonts w:hint="eastAsia" w:ascii="宋体" w:hAnsi="宋体" w:cs="宋体"/>
                <w:bCs/>
                <w:kern w:val="2"/>
                <w:highlight w:val="none"/>
              </w:rPr>
            </w:pPr>
            <w:r>
              <w:rPr>
                <w:rFonts w:hint="eastAsia" w:ascii="宋体" w:hAnsi="宋体" w:cs="宋体"/>
                <w:bCs/>
                <w:kern w:val="2"/>
                <w:highlight w:val="none"/>
              </w:rPr>
              <w:t>2</w:t>
            </w:r>
          </w:p>
        </w:tc>
        <w:tc>
          <w:tcPr>
            <w:tcW w:w="2054" w:type="dxa"/>
            <w:vAlign w:val="center"/>
          </w:tcPr>
          <w:p w14:paraId="09B67988">
            <w:pPr>
              <w:pStyle w:val="14"/>
              <w:widowControl w:val="0"/>
              <w:spacing w:before="0" w:beforeAutospacing="0" w:after="0" w:afterAutospacing="0" w:line="360" w:lineRule="auto"/>
              <w:rPr>
                <w:rFonts w:hint="eastAsia" w:ascii="宋体" w:hAnsi="宋体" w:cs="宋体"/>
                <w:b w:val="0"/>
                <w:sz w:val="24"/>
                <w:highlight w:val="none"/>
              </w:rPr>
            </w:pPr>
            <w:r>
              <w:rPr>
                <w:rFonts w:hint="eastAsia" w:ascii="宋体" w:hAnsi="宋体" w:cs="宋体"/>
                <w:b w:val="0"/>
                <w:sz w:val="24"/>
                <w:highlight w:val="none"/>
              </w:rPr>
              <w:t>供货及安装地点</w:t>
            </w:r>
          </w:p>
        </w:tc>
        <w:tc>
          <w:tcPr>
            <w:tcW w:w="5544" w:type="dxa"/>
            <w:vAlign w:val="center"/>
          </w:tcPr>
          <w:p w14:paraId="3860FCC5">
            <w:pPr>
              <w:widowControl/>
              <w:spacing w:line="360" w:lineRule="auto"/>
              <w:jc w:val="left"/>
              <w:rPr>
                <w:rFonts w:hint="eastAsia" w:ascii="宋体" w:hAnsi="宋体" w:cs="宋体"/>
                <w:bCs/>
                <w:highlight w:val="none"/>
              </w:rPr>
            </w:pPr>
            <w:r>
              <w:rPr>
                <w:rFonts w:hint="eastAsia" w:ascii="宋体" w:hAnsi="宋体" w:cs="宋体"/>
                <w:bCs/>
                <w:highlight w:val="none"/>
              </w:rPr>
              <w:t>安徽大学龙河校区，采购人指定地点。</w:t>
            </w:r>
          </w:p>
        </w:tc>
      </w:tr>
      <w:tr w14:paraId="4AB52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18" w:type="dxa"/>
            <w:vAlign w:val="center"/>
          </w:tcPr>
          <w:p w14:paraId="25CCC674">
            <w:pPr>
              <w:pStyle w:val="13"/>
              <w:pBdr>
                <w:bottom w:val="none" w:color="auto" w:sz="0" w:space="0"/>
              </w:pBdr>
              <w:tabs>
                <w:tab w:val="clear" w:pos="4153"/>
                <w:tab w:val="clear" w:pos="8306"/>
              </w:tabs>
              <w:adjustRightInd/>
              <w:spacing w:line="240" w:lineRule="auto"/>
              <w:textAlignment w:val="auto"/>
              <w:rPr>
                <w:rFonts w:hint="eastAsia" w:ascii="宋体" w:hAnsi="宋体" w:cs="宋体"/>
                <w:bCs/>
                <w:kern w:val="2"/>
                <w:highlight w:val="none"/>
              </w:rPr>
            </w:pPr>
            <w:r>
              <w:rPr>
                <w:rFonts w:hint="eastAsia" w:ascii="宋体" w:hAnsi="宋体" w:cs="宋体"/>
                <w:bCs/>
                <w:kern w:val="2"/>
                <w:highlight w:val="none"/>
              </w:rPr>
              <w:t>3</w:t>
            </w:r>
          </w:p>
        </w:tc>
        <w:tc>
          <w:tcPr>
            <w:tcW w:w="2054" w:type="dxa"/>
            <w:vAlign w:val="center"/>
          </w:tcPr>
          <w:p w14:paraId="3BE629AE">
            <w:pPr>
              <w:pStyle w:val="14"/>
              <w:widowControl w:val="0"/>
              <w:spacing w:before="0" w:beforeAutospacing="0" w:after="0" w:afterAutospacing="0" w:line="360" w:lineRule="auto"/>
              <w:rPr>
                <w:rFonts w:hint="eastAsia" w:ascii="宋体" w:hAnsi="宋体" w:cs="宋体"/>
                <w:b w:val="0"/>
                <w:sz w:val="24"/>
                <w:highlight w:val="none"/>
              </w:rPr>
            </w:pPr>
            <w:r>
              <w:rPr>
                <w:rFonts w:hint="eastAsia" w:ascii="宋体" w:hAnsi="宋体" w:cs="宋体"/>
                <w:b w:val="0"/>
                <w:sz w:val="24"/>
                <w:highlight w:val="none"/>
              </w:rPr>
              <w:t>供货及安装期限</w:t>
            </w:r>
          </w:p>
        </w:tc>
        <w:tc>
          <w:tcPr>
            <w:tcW w:w="5544" w:type="dxa"/>
            <w:vAlign w:val="center"/>
          </w:tcPr>
          <w:p w14:paraId="07D9D460">
            <w:pPr>
              <w:widowControl/>
              <w:spacing w:line="360" w:lineRule="auto"/>
              <w:jc w:val="left"/>
              <w:rPr>
                <w:rFonts w:hint="eastAsia" w:ascii="宋体" w:hAnsi="宋体" w:cs="宋体"/>
                <w:bCs/>
                <w:highlight w:val="none"/>
              </w:rPr>
            </w:pPr>
            <w:r>
              <w:rPr>
                <w:rFonts w:hint="eastAsia" w:ascii="宋体" w:hAnsi="宋体" w:cs="宋体"/>
                <w:bCs/>
                <w:highlight w:val="none"/>
              </w:rPr>
              <w:t>合同签订后并接受采购人通知后6个月内完成供货安装调试及验收等所有工作。</w:t>
            </w:r>
          </w:p>
        </w:tc>
      </w:tr>
      <w:tr w14:paraId="6E7D1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18" w:type="dxa"/>
            <w:vAlign w:val="center"/>
          </w:tcPr>
          <w:p w14:paraId="2327E4B2">
            <w:pPr>
              <w:pStyle w:val="13"/>
              <w:pBdr>
                <w:bottom w:val="none" w:color="auto" w:sz="0" w:space="0"/>
              </w:pBdr>
              <w:tabs>
                <w:tab w:val="clear" w:pos="4153"/>
                <w:tab w:val="clear" w:pos="8306"/>
              </w:tabs>
              <w:adjustRightInd/>
              <w:spacing w:line="240" w:lineRule="auto"/>
              <w:textAlignment w:val="auto"/>
              <w:rPr>
                <w:rFonts w:hint="eastAsia" w:ascii="宋体" w:hAnsi="宋体" w:cs="宋体"/>
                <w:bCs/>
                <w:kern w:val="2"/>
                <w:highlight w:val="none"/>
              </w:rPr>
            </w:pPr>
            <w:r>
              <w:rPr>
                <w:rFonts w:hint="eastAsia" w:ascii="宋体" w:hAnsi="宋体" w:cs="宋体"/>
                <w:bCs/>
                <w:kern w:val="2"/>
                <w:highlight w:val="none"/>
              </w:rPr>
              <w:t>4</w:t>
            </w:r>
          </w:p>
        </w:tc>
        <w:tc>
          <w:tcPr>
            <w:tcW w:w="2054" w:type="dxa"/>
            <w:vAlign w:val="center"/>
          </w:tcPr>
          <w:p w14:paraId="4C7D3424">
            <w:pPr>
              <w:pStyle w:val="14"/>
              <w:widowControl w:val="0"/>
              <w:spacing w:before="0" w:beforeAutospacing="0" w:after="0" w:afterAutospacing="0" w:line="360" w:lineRule="auto"/>
              <w:rPr>
                <w:rFonts w:hint="eastAsia" w:ascii="宋体" w:hAnsi="宋体" w:cs="宋体"/>
                <w:b w:val="0"/>
                <w:sz w:val="24"/>
                <w:highlight w:val="none"/>
              </w:rPr>
            </w:pPr>
            <w:r>
              <w:rPr>
                <w:rFonts w:hint="eastAsia" w:ascii="宋体" w:hAnsi="宋体" w:cs="宋体"/>
                <w:b w:val="0"/>
                <w:sz w:val="24"/>
                <w:highlight w:val="none"/>
              </w:rPr>
              <w:t>免费质保期</w:t>
            </w:r>
          </w:p>
        </w:tc>
        <w:tc>
          <w:tcPr>
            <w:tcW w:w="5544" w:type="dxa"/>
            <w:vAlign w:val="center"/>
          </w:tcPr>
          <w:p w14:paraId="7A461ABF">
            <w:pPr>
              <w:widowControl/>
              <w:spacing w:line="360" w:lineRule="auto"/>
              <w:jc w:val="left"/>
              <w:rPr>
                <w:rFonts w:hint="eastAsia" w:ascii="宋体" w:hAnsi="宋体" w:cs="宋体"/>
                <w:bCs/>
                <w:highlight w:val="none"/>
              </w:rPr>
            </w:pPr>
            <w:r>
              <w:rPr>
                <w:rFonts w:hint="eastAsia" w:ascii="宋体" w:hAnsi="宋体" w:cs="宋体"/>
                <w:bCs/>
                <w:highlight w:val="none"/>
              </w:rPr>
              <w:t>自验收合格之日起1年。</w:t>
            </w:r>
          </w:p>
        </w:tc>
      </w:tr>
      <w:tr w14:paraId="16B11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18" w:type="dxa"/>
            <w:vAlign w:val="center"/>
          </w:tcPr>
          <w:p w14:paraId="4F076061">
            <w:pPr>
              <w:pStyle w:val="13"/>
              <w:pBdr>
                <w:bottom w:val="none" w:color="auto" w:sz="0" w:space="0"/>
              </w:pBdr>
              <w:tabs>
                <w:tab w:val="clear" w:pos="4153"/>
                <w:tab w:val="clear" w:pos="8306"/>
              </w:tabs>
              <w:adjustRightInd/>
              <w:spacing w:line="240" w:lineRule="auto"/>
              <w:textAlignment w:val="auto"/>
              <w:rPr>
                <w:rFonts w:hint="eastAsia" w:ascii="宋体" w:hAnsi="宋体" w:cs="宋体"/>
                <w:bCs/>
                <w:kern w:val="2"/>
                <w:highlight w:val="none"/>
              </w:rPr>
            </w:pPr>
            <w:bookmarkStart w:id="9" w:name="_Toc302804901"/>
            <w:bookmarkStart w:id="10" w:name="_Toc1191965283_WPSOffice_Level2"/>
            <w:bookmarkStart w:id="11" w:name="_Toc369119811"/>
            <w:bookmarkStart w:id="12" w:name="_Toc1715351726"/>
            <w:bookmarkStart w:id="13" w:name="_Toc717369146"/>
            <w:bookmarkStart w:id="14" w:name="_Toc626387511"/>
            <w:bookmarkStart w:id="15" w:name="_Toc58935147"/>
            <w:bookmarkStart w:id="16" w:name="_Toc1693477008"/>
            <w:r>
              <w:rPr>
                <w:rFonts w:hint="eastAsia" w:ascii="宋体" w:hAnsi="宋体" w:cs="宋体"/>
                <w:bCs/>
                <w:kern w:val="2"/>
                <w:highlight w:val="none"/>
              </w:rPr>
              <w:t>5</w:t>
            </w:r>
          </w:p>
        </w:tc>
        <w:tc>
          <w:tcPr>
            <w:tcW w:w="2054" w:type="dxa"/>
            <w:vAlign w:val="center"/>
          </w:tcPr>
          <w:p w14:paraId="69093C08">
            <w:pPr>
              <w:pStyle w:val="14"/>
              <w:widowControl w:val="0"/>
              <w:spacing w:before="0" w:beforeAutospacing="0" w:after="0" w:afterAutospacing="0" w:line="360" w:lineRule="auto"/>
              <w:rPr>
                <w:rFonts w:hint="eastAsia" w:ascii="宋体" w:hAnsi="宋体" w:cs="宋体"/>
                <w:b w:val="0"/>
                <w:sz w:val="24"/>
                <w:highlight w:val="none"/>
              </w:rPr>
            </w:pPr>
            <w:r>
              <w:rPr>
                <w:rFonts w:hint="eastAsia" w:ascii="宋体" w:hAnsi="宋体" w:cs="宋体"/>
                <w:b w:val="0"/>
                <w:sz w:val="24"/>
                <w:highlight w:val="none"/>
              </w:rPr>
              <w:t>本项目采购标的所属行业</w:t>
            </w:r>
          </w:p>
        </w:tc>
        <w:tc>
          <w:tcPr>
            <w:tcW w:w="5544" w:type="dxa"/>
            <w:vAlign w:val="center"/>
          </w:tcPr>
          <w:p w14:paraId="2250F419">
            <w:pPr>
              <w:widowControl/>
              <w:spacing w:line="360" w:lineRule="auto"/>
              <w:jc w:val="left"/>
              <w:rPr>
                <w:rFonts w:hint="eastAsia" w:ascii="宋体" w:hAnsi="宋体" w:cs="宋体"/>
                <w:bCs/>
                <w:highlight w:val="none"/>
              </w:rPr>
            </w:pPr>
            <w:r>
              <w:rPr>
                <w:rFonts w:hint="eastAsia" w:ascii="宋体" w:hAnsi="宋体" w:cs="宋体"/>
                <w:bCs/>
                <w:highlight w:val="none"/>
              </w:rPr>
              <w:t>工业。</w:t>
            </w:r>
          </w:p>
        </w:tc>
      </w:tr>
    </w:tbl>
    <w:p w14:paraId="2339B7EF">
      <w:pPr>
        <w:pStyle w:val="5"/>
        <w:numPr>
          <w:ilvl w:val="0"/>
          <w:numId w:val="1"/>
        </w:numPr>
        <w:ind w:firstLine="560"/>
        <w:rPr>
          <w:highlight w:val="none"/>
        </w:rPr>
      </w:pPr>
      <w:r>
        <w:rPr>
          <w:rFonts w:hint="eastAsia"/>
          <w:highlight w:val="none"/>
        </w:rPr>
        <w:t>货物需求</w:t>
      </w:r>
      <w:bookmarkEnd w:id="9"/>
      <w:bookmarkEnd w:id="10"/>
      <w:bookmarkEnd w:id="11"/>
      <w:bookmarkEnd w:id="12"/>
      <w:bookmarkEnd w:id="13"/>
      <w:bookmarkEnd w:id="14"/>
      <w:bookmarkEnd w:id="15"/>
      <w:bookmarkEnd w:id="16"/>
    </w:p>
    <w:p w14:paraId="78520956">
      <w:pPr>
        <w:pStyle w:val="9"/>
        <w:spacing w:line="500" w:lineRule="exact"/>
        <w:ind w:left="0" w:firstLine="482"/>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（一）货物指标重要性表述</w:t>
      </w:r>
    </w:p>
    <w:tbl>
      <w:tblPr>
        <w:tblStyle w:val="10"/>
        <w:tblW w:w="85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98"/>
        <w:gridCol w:w="1374"/>
        <w:gridCol w:w="5274"/>
      </w:tblGrid>
      <w:tr w14:paraId="19515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1898" w:type="dxa"/>
            <w:vAlign w:val="center"/>
          </w:tcPr>
          <w:p w14:paraId="7E3D2D50">
            <w:pPr>
              <w:spacing w:line="360" w:lineRule="auto"/>
              <w:jc w:val="center"/>
              <w:rPr>
                <w:rFonts w:hint="eastAsia" w:ascii="宋体" w:hAnsi="宋体" w:cs="宋体"/>
                <w:szCs w:val="24"/>
                <w:highlight w:val="none"/>
              </w:rPr>
            </w:pPr>
            <w:r>
              <w:rPr>
                <w:rFonts w:hint="eastAsia" w:asciiTheme="majorEastAsia" w:hAnsiTheme="majorEastAsia" w:eastAsiaTheme="majorEastAsia"/>
                <w:b/>
                <w:szCs w:val="24"/>
                <w:highlight w:val="none"/>
              </w:rPr>
              <w:t>标识重要性</w:t>
            </w:r>
          </w:p>
        </w:tc>
        <w:tc>
          <w:tcPr>
            <w:tcW w:w="1374" w:type="dxa"/>
            <w:vAlign w:val="center"/>
          </w:tcPr>
          <w:p w14:paraId="0C0046AF">
            <w:pPr>
              <w:spacing w:line="360" w:lineRule="auto"/>
              <w:jc w:val="center"/>
              <w:rPr>
                <w:rFonts w:hint="eastAsia" w:ascii="宋体" w:hAnsi="宋体" w:cs="宋体"/>
                <w:szCs w:val="24"/>
                <w:highlight w:val="none"/>
              </w:rPr>
            </w:pPr>
            <w:r>
              <w:rPr>
                <w:rFonts w:hint="eastAsia" w:asciiTheme="majorEastAsia" w:hAnsiTheme="majorEastAsia" w:eastAsiaTheme="majorEastAsia"/>
                <w:b/>
                <w:szCs w:val="24"/>
                <w:highlight w:val="none"/>
              </w:rPr>
              <w:t>标识符号</w:t>
            </w:r>
          </w:p>
        </w:tc>
        <w:tc>
          <w:tcPr>
            <w:tcW w:w="5274" w:type="dxa"/>
            <w:vAlign w:val="center"/>
          </w:tcPr>
          <w:p w14:paraId="01A45B5B">
            <w:pPr>
              <w:spacing w:line="360" w:lineRule="auto"/>
              <w:jc w:val="center"/>
              <w:rPr>
                <w:rFonts w:hint="eastAsia" w:ascii="宋体" w:hAnsi="宋体" w:cs="宋体"/>
                <w:szCs w:val="24"/>
                <w:highlight w:val="none"/>
              </w:rPr>
            </w:pPr>
            <w:r>
              <w:rPr>
                <w:rFonts w:hint="eastAsia" w:asciiTheme="majorEastAsia" w:hAnsiTheme="majorEastAsia" w:eastAsiaTheme="majorEastAsia"/>
                <w:b/>
                <w:szCs w:val="24"/>
                <w:highlight w:val="none"/>
              </w:rPr>
              <w:t>代表意思</w:t>
            </w:r>
          </w:p>
        </w:tc>
      </w:tr>
      <w:tr w14:paraId="0607E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1898" w:type="dxa"/>
            <w:vAlign w:val="center"/>
          </w:tcPr>
          <w:p w14:paraId="5FE54AA5">
            <w:pPr>
              <w:spacing w:line="360" w:lineRule="auto"/>
              <w:jc w:val="center"/>
              <w:rPr>
                <w:rFonts w:hint="eastAsia" w:ascii="宋体" w:hAnsi="宋体" w:cs="宋体"/>
                <w:szCs w:val="24"/>
                <w:highlight w:val="none"/>
              </w:rPr>
            </w:pPr>
            <w:r>
              <w:rPr>
                <w:szCs w:val="18"/>
                <w:highlight w:val="none"/>
              </w:rPr>
              <w:t>关键性指标项</w:t>
            </w:r>
          </w:p>
        </w:tc>
        <w:tc>
          <w:tcPr>
            <w:tcW w:w="1374" w:type="dxa"/>
            <w:vAlign w:val="center"/>
          </w:tcPr>
          <w:p w14:paraId="7A6D772A">
            <w:pPr>
              <w:spacing w:line="360" w:lineRule="auto"/>
              <w:jc w:val="center"/>
              <w:rPr>
                <w:rFonts w:hint="eastAsia" w:ascii="宋体" w:hAnsi="宋体" w:cs="宋体"/>
                <w:szCs w:val="24"/>
                <w:highlight w:val="none"/>
              </w:rPr>
            </w:pPr>
            <w:r>
              <w:rPr>
                <w:rFonts w:ascii="宋体" w:hAnsi="宋体" w:cs="Segoe UI Symbol"/>
                <w:szCs w:val="18"/>
                <w:highlight w:val="none"/>
              </w:rPr>
              <w:t>★</w:t>
            </w:r>
          </w:p>
        </w:tc>
        <w:tc>
          <w:tcPr>
            <w:tcW w:w="5274" w:type="dxa"/>
            <w:vAlign w:val="center"/>
          </w:tcPr>
          <w:p w14:paraId="17E8AE6E">
            <w:pPr>
              <w:spacing w:line="360" w:lineRule="auto"/>
              <w:jc w:val="center"/>
              <w:rPr>
                <w:rFonts w:hint="eastAsia" w:ascii="宋体" w:hAnsi="宋体" w:eastAsia="宋体" w:cs="宋体"/>
                <w:szCs w:val="24"/>
                <w:highlight w:val="none"/>
                <w:lang w:eastAsia="zh-CN"/>
              </w:rPr>
            </w:pPr>
            <w:r>
              <w:rPr>
                <w:rFonts w:hint="eastAsia" w:ascii="宋体" w:hAnsi="宋体" w:cs="宋体"/>
                <w:szCs w:val="18"/>
                <w:highlight w:val="none"/>
                <w:lang w:val="en-US" w:eastAsia="zh-CN"/>
              </w:rPr>
              <w:t>符合性审查项，</w:t>
            </w:r>
            <w:r>
              <w:rPr>
                <w:rFonts w:hint="eastAsia" w:ascii="宋体" w:hAnsi="宋体" w:cs="宋体"/>
                <w:szCs w:val="18"/>
                <w:highlight w:val="none"/>
              </w:rPr>
              <w:t>不满足该指标项将导致投标</w:t>
            </w:r>
            <w:r>
              <w:rPr>
                <w:rFonts w:hint="eastAsia" w:ascii="宋体" w:hAnsi="宋体" w:cs="宋体"/>
                <w:szCs w:val="18"/>
                <w:highlight w:val="none"/>
                <w:lang w:val="en-US" w:eastAsia="zh-CN"/>
              </w:rPr>
              <w:t>无效</w:t>
            </w:r>
          </w:p>
        </w:tc>
      </w:tr>
      <w:tr w14:paraId="6F2F5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1898" w:type="dxa"/>
            <w:vAlign w:val="center"/>
          </w:tcPr>
          <w:p w14:paraId="78131F0D">
            <w:pPr>
              <w:spacing w:line="360" w:lineRule="auto"/>
              <w:jc w:val="center"/>
              <w:rPr>
                <w:rFonts w:hint="eastAsia" w:ascii="宋体" w:hAnsi="宋体" w:cs="宋体"/>
                <w:szCs w:val="24"/>
                <w:highlight w:val="none"/>
              </w:rPr>
            </w:pPr>
            <w:r>
              <w:rPr>
                <w:szCs w:val="18"/>
                <w:highlight w:val="none"/>
              </w:rPr>
              <w:t>重要指标项</w:t>
            </w:r>
          </w:p>
        </w:tc>
        <w:tc>
          <w:tcPr>
            <w:tcW w:w="1374" w:type="dxa"/>
            <w:vAlign w:val="center"/>
          </w:tcPr>
          <w:p w14:paraId="109B2AFD">
            <w:pPr>
              <w:spacing w:line="360" w:lineRule="auto"/>
              <w:jc w:val="center"/>
              <w:rPr>
                <w:rFonts w:hint="eastAsia" w:ascii="宋体" w:hAnsi="宋体" w:cs="宋体"/>
                <w:szCs w:val="24"/>
                <w:highlight w:val="none"/>
              </w:rPr>
            </w:pPr>
            <w:r>
              <w:rPr>
                <w:rFonts w:ascii="宋体" w:hAnsi="宋体"/>
                <w:szCs w:val="18"/>
                <w:highlight w:val="none"/>
              </w:rPr>
              <w:t>■</w:t>
            </w:r>
          </w:p>
        </w:tc>
        <w:tc>
          <w:tcPr>
            <w:tcW w:w="5274" w:type="dxa"/>
            <w:vAlign w:val="center"/>
          </w:tcPr>
          <w:p w14:paraId="2BCCE9BA">
            <w:pPr>
              <w:spacing w:line="360" w:lineRule="auto"/>
              <w:jc w:val="center"/>
              <w:rPr>
                <w:rFonts w:hint="eastAsia" w:ascii="宋体" w:hAnsi="宋体" w:cs="宋体"/>
                <w:szCs w:val="18"/>
                <w:highlight w:val="none"/>
              </w:rPr>
            </w:pPr>
            <w:r>
              <w:rPr>
                <w:rFonts w:hint="eastAsia" w:ascii="宋体" w:hAnsi="宋体" w:cs="宋体"/>
                <w:szCs w:val="24"/>
                <w:highlight w:val="none"/>
              </w:rPr>
              <w:t>评分项，每满足一项得3分</w:t>
            </w:r>
          </w:p>
        </w:tc>
      </w:tr>
      <w:tr w14:paraId="4BC3F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1898" w:type="dxa"/>
            <w:vAlign w:val="center"/>
          </w:tcPr>
          <w:p w14:paraId="066E1D85">
            <w:pPr>
              <w:spacing w:line="360" w:lineRule="auto"/>
              <w:jc w:val="center"/>
              <w:rPr>
                <w:rFonts w:hint="eastAsia" w:ascii="宋体" w:hAnsi="宋体" w:cs="宋体"/>
                <w:szCs w:val="18"/>
                <w:highlight w:val="none"/>
              </w:rPr>
            </w:pPr>
            <w:r>
              <w:rPr>
                <w:szCs w:val="18"/>
                <w:highlight w:val="none"/>
              </w:rPr>
              <w:t>一般指标项</w:t>
            </w:r>
          </w:p>
        </w:tc>
        <w:tc>
          <w:tcPr>
            <w:tcW w:w="1374" w:type="dxa"/>
            <w:vAlign w:val="center"/>
          </w:tcPr>
          <w:p w14:paraId="496F2C97">
            <w:pPr>
              <w:spacing w:line="360" w:lineRule="auto"/>
              <w:jc w:val="center"/>
              <w:rPr>
                <w:rFonts w:hint="eastAsia" w:ascii="宋体" w:hAnsi="宋体" w:cs="宋体"/>
                <w:szCs w:val="24"/>
                <w:highlight w:val="none"/>
              </w:rPr>
            </w:pPr>
            <w:r>
              <w:rPr>
                <w:rFonts w:ascii="宋体" w:hAnsi="宋体"/>
                <w:szCs w:val="18"/>
                <w:highlight w:val="none"/>
              </w:rPr>
              <w:t>●</w:t>
            </w:r>
          </w:p>
        </w:tc>
        <w:tc>
          <w:tcPr>
            <w:tcW w:w="5274" w:type="dxa"/>
            <w:vAlign w:val="center"/>
          </w:tcPr>
          <w:p w14:paraId="490E7C50">
            <w:pPr>
              <w:spacing w:line="360" w:lineRule="auto"/>
              <w:jc w:val="center"/>
              <w:rPr>
                <w:rFonts w:hint="eastAsia" w:ascii="宋体" w:hAnsi="宋体" w:cs="宋体"/>
                <w:szCs w:val="18"/>
                <w:highlight w:val="none"/>
              </w:rPr>
            </w:pPr>
            <w:r>
              <w:rPr>
                <w:rFonts w:hint="eastAsia" w:ascii="宋体" w:hAnsi="宋体" w:cs="宋体"/>
                <w:szCs w:val="24"/>
                <w:highlight w:val="none"/>
              </w:rPr>
              <w:t>评分项，每满足一项得1分</w:t>
            </w:r>
          </w:p>
        </w:tc>
      </w:tr>
      <w:tr w14:paraId="33DC2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1898" w:type="dxa"/>
            <w:vAlign w:val="center"/>
          </w:tcPr>
          <w:p w14:paraId="37402E6F">
            <w:pPr>
              <w:spacing w:line="360" w:lineRule="auto"/>
              <w:jc w:val="center"/>
              <w:rPr>
                <w:rFonts w:hint="eastAsia"/>
                <w:szCs w:val="18"/>
                <w:highlight w:val="none"/>
              </w:rPr>
            </w:pPr>
            <w:r>
              <w:rPr>
                <w:szCs w:val="18"/>
                <w:highlight w:val="none"/>
              </w:rPr>
              <w:t>无标识项</w:t>
            </w:r>
          </w:p>
        </w:tc>
        <w:tc>
          <w:tcPr>
            <w:tcW w:w="1374" w:type="dxa"/>
            <w:vAlign w:val="center"/>
          </w:tcPr>
          <w:p w14:paraId="34421C49">
            <w:pPr>
              <w:spacing w:line="360" w:lineRule="auto"/>
              <w:jc w:val="center"/>
              <w:rPr>
                <w:rFonts w:hint="eastAsia"/>
                <w:bCs/>
                <w:szCs w:val="18"/>
                <w:highlight w:val="none"/>
              </w:rPr>
            </w:pPr>
          </w:p>
        </w:tc>
        <w:tc>
          <w:tcPr>
            <w:tcW w:w="5274" w:type="dxa"/>
            <w:vAlign w:val="center"/>
          </w:tcPr>
          <w:p w14:paraId="6743ECB1">
            <w:pPr>
              <w:spacing w:line="360" w:lineRule="auto"/>
              <w:jc w:val="center"/>
              <w:rPr>
                <w:rFonts w:hint="eastAsia" w:ascii="宋体" w:hAnsi="宋体" w:eastAsia="宋体" w:cs="宋体"/>
                <w:szCs w:val="24"/>
                <w:highlight w:val="none"/>
                <w:lang w:eastAsia="zh-CN"/>
              </w:rPr>
            </w:pPr>
            <w:r>
              <w:rPr>
                <w:rFonts w:hint="eastAsia" w:ascii="宋体" w:hAnsi="宋体" w:cs="宋体"/>
                <w:szCs w:val="24"/>
                <w:highlight w:val="none"/>
                <w:lang w:val="en-US" w:eastAsia="zh-CN"/>
              </w:rPr>
              <w:t>符合性审查项，</w:t>
            </w:r>
            <w:r>
              <w:rPr>
                <w:rFonts w:hint="eastAsia" w:ascii="宋体" w:hAnsi="宋体" w:cs="宋体"/>
                <w:szCs w:val="24"/>
                <w:highlight w:val="none"/>
              </w:rPr>
              <w:t>5项（不含5项）以上未响应或负偏离</w:t>
            </w:r>
            <w:r>
              <w:rPr>
                <w:rFonts w:hint="eastAsia" w:ascii="宋体" w:hAnsi="宋体" w:cs="宋体"/>
                <w:szCs w:val="24"/>
                <w:highlight w:val="none"/>
                <w:lang w:val="en-US" w:eastAsia="zh-CN"/>
              </w:rPr>
              <w:t>的，投标无效</w:t>
            </w:r>
          </w:p>
        </w:tc>
      </w:tr>
      <w:tr w14:paraId="39C63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8546" w:type="dxa"/>
            <w:gridSpan w:val="3"/>
            <w:vAlign w:val="center"/>
          </w:tcPr>
          <w:p w14:paraId="203B8B37">
            <w:pPr>
              <w:pStyle w:val="9"/>
              <w:spacing w:line="500" w:lineRule="exact"/>
              <w:ind w:left="0" w:firstLine="0" w:firstLineChars="0"/>
              <w:rPr>
                <w:rFonts w:hint="eastAsia" w:ascii="宋体" w:hAnsi="宋体" w:eastAsia="宋体" w:cs="宋体"/>
                <w:bCs/>
                <w:sz w:val="24"/>
                <w:szCs w:val="24"/>
                <w:highlight w:val="none"/>
              </w:rPr>
            </w:pPr>
            <w:r>
              <w:rPr>
                <w:rFonts w:hint="eastAsia" w:ascii="宋体" w:hAnsi="宋体" w:eastAsia="宋体" w:cs="宋体"/>
                <w:bCs/>
                <w:sz w:val="24"/>
                <w:szCs w:val="24"/>
                <w:highlight w:val="none"/>
              </w:rPr>
              <w:t>注：</w:t>
            </w:r>
          </w:p>
          <w:p w14:paraId="2758813E">
            <w:pPr>
              <w:pStyle w:val="9"/>
              <w:spacing w:line="500" w:lineRule="exact"/>
              <w:ind w:left="0" w:firstLine="0" w:firstLineChars="0"/>
              <w:rPr>
                <w:rFonts w:hint="eastAsia" w:ascii="宋体" w:hAnsi="宋体" w:eastAsia="宋体" w:cs="宋体"/>
                <w:bCs/>
                <w:sz w:val="24"/>
                <w:szCs w:val="24"/>
                <w:highlight w:val="none"/>
              </w:rPr>
            </w:pPr>
            <w:r>
              <w:rPr>
                <w:rFonts w:hint="eastAsia" w:ascii="宋体" w:hAnsi="宋体" w:eastAsia="宋体" w:cs="宋体"/>
                <w:bCs/>
                <w:sz w:val="24"/>
                <w:szCs w:val="24"/>
                <w:highlight w:val="none"/>
              </w:rPr>
              <w:t>1、如某项标识中包含多条技术参数或要求，则该项标识所含内容均需满足或优于招标文件要求，否则不予认可。</w:t>
            </w:r>
          </w:p>
          <w:p w14:paraId="0962ED36">
            <w:pPr>
              <w:pStyle w:val="9"/>
              <w:spacing w:line="500" w:lineRule="exact"/>
              <w:ind w:left="0" w:firstLine="0" w:firstLineChars="0"/>
              <w:rPr>
                <w:rFonts w:hint="eastAsia" w:ascii="宋体" w:hAnsi="宋体" w:eastAsia="宋体" w:cs="宋体"/>
                <w:sz w:val="24"/>
                <w:szCs w:val="24"/>
                <w:highlight w:val="none"/>
              </w:rPr>
            </w:pPr>
            <w:r>
              <w:rPr>
                <w:rFonts w:hint="eastAsia" w:ascii="宋体" w:hAnsi="宋体" w:eastAsia="宋体" w:cs="宋体"/>
                <w:sz w:val="24"/>
                <w:szCs w:val="24"/>
                <w:highlight w:val="none"/>
              </w:rPr>
              <w:t>2</w:t>
            </w:r>
            <w:r>
              <w:rPr>
                <w:rFonts w:ascii="宋体" w:hAnsi="宋体" w:eastAsia="宋体" w:cs="宋体"/>
                <w:sz w:val="24"/>
                <w:szCs w:val="24"/>
                <w:highlight w:val="none"/>
              </w:rPr>
              <w:t>、关于参数评审的相关要求：</w:t>
            </w:r>
          </w:p>
          <w:p w14:paraId="3332E13F">
            <w:pPr>
              <w:pStyle w:val="9"/>
              <w:spacing w:line="500" w:lineRule="exact"/>
              <w:ind w:left="0" w:firstLine="0" w:firstLineChars="0"/>
              <w:rPr>
                <w:rFonts w:hint="eastAsia" w:ascii="宋体" w:hAnsi="宋体" w:eastAsia="宋体" w:cs="宋体"/>
                <w:sz w:val="24"/>
                <w:szCs w:val="24"/>
                <w:highlight w:val="none"/>
              </w:rPr>
            </w:pPr>
            <w:r>
              <w:rPr>
                <w:rFonts w:ascii="宋体" w:hAnsi="宋体" w:eastAsia="宋体" w:cs="宋体"/>
                <w:sz w:val="24"/>
                <w:szCs w:val="24"/>
                <w:highlight w:val="none"/>
              </w:rPr>
              <w:t>①投标人必须对“★”项、“■”项、“●”项</w:t>
            </w:r>
            <w:r>
              <w:rPr>
                <w:rFonts w:hint="eastAsia" w:ascii="宋体" w:hAnsi="宋体" w:eastAsia="宋体" w:cs="宋体"/>
                <w:sz w:val="24"/>
                <w:szCs w:val="24"/>
                <w:highlight w:val="none"/>
              </w:rPr>
              <w:t>及无标识项</w:t>
            </w:r>
            <w:r>
              <w:rPr>
                <w:rFonts w:ascii="宋体" w:hAnsi="宋体" w:eastAsia="宋体" w:cs="宋体"/>
                <w:sz w:val="24"/>
                <w:szCs w:val="24"/>
                <w:highlight w:val="none"/>
              </w:rPr>
              <w:t>逐条填写参数内容及响应情况（如填写的参数内容不满足招标文件约定或存在漏项情形或未注明投标参数内容的或未按照采购需求的约定提供证明材料（如要求），视为不满足招标参数要求，则按照招标文件</w:t>
            </w:r>
            <w:r>
              <w:rPr>
                <w:rFonts w:hint="eastAsia" w:ascii="宋体" w:hAnsi="宋体" w:eastAsia="宋体" w:cs="宋体"/>
                <w:sz w:val="24"/>
                <w:szCs w:val="24"/>
                <w:highlight w:val="none"/>
              </w:rPr>
              <w:t>对应</w:t>
            </w:r>
            <w:r>
              <w:rPr>
                <w:rFonts w:ascii="宋体" w:hAnsi="宋体" w:eastAsia="宋体" w:cs="宋体"/>
                <w:sz w:val="24"/>
                <w:szCs w:val="24"/>
                <w:highlight w:val="none"/>
              </w:rPr>
              <w:t>的评审标准被否决投标或不得分），如发现虚假响应参数的按无效投标处理。</w:t>
            </w:r>
          </w:p>
          <w:p w14:paraId="41F8034E">
            <w:pPr>
              <w:pStyle w:val="9"/>
              <w:spacing w:line="500" w:lineRule="exact"/>
              <w:ind w:left="0" w:firstLine="0" w:firstLineChars="0"/>
              <w:rPr>
                <w:rFonts w:hint="eastAsia" w:ascii="宋体" w:hAnsi="宋体" w:eastAsia="宋体" w:cs="宋体"/>
                <w:sz w:val="24"/>
                <w:szCs w:val="24"/>
                <w:highlight w:val="none"/>
              </w:rPr>
            </w:pPr>
            <w:r>
              <w:rPr>
                <w:rFonts w:ascii="宋体" w:hAnsi="宋体" w:eastAsia="宋体" w:cs="宋体"/>
                <w:sz w:val="24"/>
                <w:szCs w:val="24"/>
                <w:highlight w:val="none"/>
              </w:rPr>
              <w:t>②如下述采购需求清单中约定要求提供证明材料，请投标人在相应标识项的参数技术响应表后附相应的证明材料，同时需要在响应表中注明所在页码，且需要同证明材料进行对应。</w:t>
            </w:r>
          </w:p>
          <w:p w14:paraId="62A3A3DF">
            <w:pPr>
              <w:pStyle w:val="9"/>
              <w:spacing w:line="500" w:lineRule="exact"/>
              <w:ind w:left="0" w:firstLine="0" w:firstLineChars="0"/>
              <w:rPr>
                <w:rFonts w:hint="eastAsia" w:ascii="宋体" w:hAnsi="宋体" w:eastAsia="宋体" w:cs="宋体"/>
                <w:sz w:val="24"/>
                <w:szCs w:val="24"/>
                <w:highlight w:val="none"/>
              </w:rPr>
            </w:pPr>
            <w:r>
              <w:rPr>
                <w:rFonts w:ascii="宋体" w:hAnsi="宋体" w:eastAsia="宋体" w:cs="宋体"/>
                <w:sz w:val="24"/>
                <w:szCs w:val="24"/>
                <w:highlight w:val="none"/>
              </w:rPr>
              <w:t>③除采购需求清单中明确约定在投标文件（或投标时）提供检测或检验或测试报告等证明材料外，其他材料均为合同签订后提供。</w:t>
            </w:r>
          </w:p>
          <w:p w14:paraId="3AD2885D">
            <w:pPr>
              <w:pStyle w:val="9"/>
              <w:spacing w:line="500" w:lineRule="exact"/>
              <w:ind w:left="0" w:firstLine="0" w:firstLineChars="0"/>
              <w:rPr>
                <w:rFonts w:hint="eastAsia" w:ascii="宋体" w:hAnsi="宋体" w:eastAsia="宋体" w:cs="宋体"/>
                <w:bCs/>
                <w:sz w:val="24"/>
                <w:szCs w:val="24"/>
                <w:highlight w:val="none"/>
              </w:rPr>
            </w:pPr>
            <w:r>
              <w:rPr>
                <w:rFonts w:ascii="宋体" w:hAnsi="宋体" w:eastAsia="宋体" w:cs="宋体"/>
                <w:sz w:val="24"/>
                <w:szCs w:val="24"/>
                <w:highlight w:val="none"/>
              </w:rPr>
              <w:t>④采购人有权要求合同签订后，验收时中标人对所投产品功能参数进行逐项演示，如发现有与投标文件描述不符或弄虚作假行为，中标人承担违约责任。</w:t>
            </w:r>
          </w:p>
        </w:tc>
      </w:tr>
    </w:tbl>
    <w:p w14:paraId="041CD0C8">
      <w:pPr>
        <w:pStyle w:val="9"/>
        <w:ind w:left="0" w:firstLine="482"/>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（二）货物指标要求</w:t>
      </w:r>
    </w:p>
    <w:tbl>
      <w:tblPr>
        <w:tblStyle w:val="10"/>
        <w:tblW w:w="5051" w:type="pct"/>
        <w:tblInd w:w="-92" w:type="dxa"/>
        <w:tblLayout w:type="fixed"/>
        <w:tblCellMar>
          <w:top w:w="0" w:type="dxa"/>
          <w:left w:w="108" w:type="dxa"/>
          <w:bottom w:w="0" w:type="dxa"/>
          <w:right w:w="108" w:type="dxa"/>
        </w:tblCellMar>
      </w:tblPr>
      <w:tblGrid>
        <w:gridCol w:w="634"/>
        <w:gridCol w:w="790"/>
        <w:gridCol w:w="5869"/>
        <w:gridCol w:w="658"/>
        <w:gridCol w:w="658"/>
      </w:tblGrid>
      <w:tr w14:paraId="6007BCF3">
        <w:tblPrEx>
          <w:tblCellMar>
            <w:top w:w="0" w:type="dxa"/>
            <w:left w:w="108" w:type="dxa"/>
            <w:bottom w:w="0" w:type="dxa"/>
            <w:right w:w="108" w:type="dxa"/>
          </w:tblCellMar>
        </w:tblPrEx>
        <w:trPr>
          <w:trHeight w:val="600" w:hRule="atLeast"/>
        </w:trPr>
        <w:tc>
          <w:tcPr>
            <w:tcW w:w="368" w:type="pct"/>
            <w:tcBorders>
              <w:top w:val="single" w:color="000000" w:sz="4" w:space="0"/>
              <w:left w:val="single" w:color="000000" w:sz="4" w:space="0"/>
              <w:bottom w:val="single" w:color="000000" w:sz="4" w:space="0"/>
              <w:right w:val="single" w:color="000000" w:sz="4" w:space="0"/>
            </w:tcBorders>
            <w:noWrap/>
            <w:vAlign w:val="center"/>
          </w:tcPr>
          <w:p w14:paraId="608248B8">
            <w:pPr>
              <w:pStyle w:val="3"/>
              <w:jc w:val="center"/>
              <w:rPr>
                <w:rFonts w:hint="eastAsia" w:ascii="宋体" w:hAnsi="宋体" w:eastAsia="宋体" w:cs="宋体"/>
                <w:highlight w:val="none"/>
              </w:rPr>
            </w:pPr>
            <w:r>
              <w:rPr>
                <w:rFonts w:hint="eastAsia" w:ascii="宋体" w:hAnsi="宋体" w:eastAsia="宋体" w:cs="宋体"/>
                <w:highlight w:val="none"/>
              </w:rPr>
              <w:t>序号</w:t>
            </w:r>
          </w:p>
        </w:tc>
        <w:tc>
          <w:tcPr>
            <w:tcW w:w="459" w:type="pct"/>
            <w:tcBorders>
              <w:top w:val="single" w:color="000000" w:sz="4" w:space="0"/>
              <w:left w:val="single" w:color="000000" w:sz="4" w:space="0"/>
              <w:bottom w:val="single" w:color="000000" w:sz="4" w:space="0"/>
              <w:right w:val="single" w:color="000000" w:sz="4" w:space="0"/>
            </w:tcBorders>
            <w:noWrap/>
            <w:vAlign w:val="center"/>
          </w:tcPr>
          <w:p w14:paraId="012CA04D">
            <w:pPr>
              <w:pStyle w:val="3"/>
              <w:jc w:val="center"/>
              <w:rPr>
                <w:rFonts w:hint="eastAsia" w:ascii="宋体" w:hAnsi="宋体" w:eastAsia="宋体" w:cs="宋体"/>
                <w:highlight w:val="none"/>
              </w:rPr>
            </w:pPr>
            <w:r>
              <w:rPr>
                <w:rFonts w:hint="eastAsia" w:ascii="宋体" w:hAnsi="宋体" w:eastAsia="宋体" w:cs="宋体"/>
                <w:highlight w:val="none"/>
              </w:rPr>
              <w:t>货物名称</w:t>
            </w:r>
          </w:p>
        </w:tc>
        <w:tc>
          <w:tcPr>
            <w:tcW w:w="3408" w:type="pct"/>
            <w:tcBorders>
              <w:top w:val="single" w:color="000000" w:sz="4" w:space="0"/>
              <w:left w:val="single" w:color="000000" w:sz="4" w:space="0"/>
              <w:bottom w:val="single" w:color="000000" w:sz="4" w:space="0"/>
              <w:right w:val="single" w:color="000000" w:sz="4" w:space="0"/>
            </w:tcBorders>
            <w:noWrap/>
            <w:vAlign w:val="center"/>
          </w:tcPr>
          <w:p w14:paraId="280E5B34">
            <w:pPr>
              <w:pStyle w:val="3"/>
              <w:jc w:val="center"/>
              <w:rPr>
                <w:rFonts w:hint="eastAsia" w:ascii="宋体" w:hAnsi="宋体" w:eastAsia="宋体" w:cs="宋体"/>
                <w:highlight w:val="none"/>
              </w:rPr>
            </w:pPr>
            <w:r>
              <w:rPr>
                <w:rFonts w:hint="eastAsia" w:ascii="宋体" w:hAnsi="宋体" w:eastAsia="宋体" w:cs="宋体"/>
                <w:highlight w:val="none"/>
              </w:rPr>
              <w:t>技术参数及要求</w:t>
            </w:r>
          </w:p>
        </w:tc>
        <w:tc>
          <w:tcPr>
            <w:tcW w:w="382" w:type="pct"/>
            <w:tcBorders>
              <w:top w:val="single" w:color="000000" w:sz="4" w:space="0"/>
              <w:left w:val="single" w:color="000000" w:sz="4" w:space="0"/>
              <w:bottom w:val="single" w:color="000000" w:sz="4" w:space="0"/>
              <w:right w:val="single" w:color="auto" w:sz="4" w:space="0"/>
            </w:tcBorders>
            <w:noWrap/>
            <w:vAlign w:val="center"/>
          </w:tcPr>
          <w:p w14:paraId="49CD9A54">
            <w:pPr>
              <w:pStyle w:val="3"/>
              <w:jc w:val="center"/>
              <w:rPr>
                <w:rFonts w:hint="eastAsia" w:ascii="宋体" w:hAnsi="宋体" w:eastAsia="宋体" w:cs="宋体"/>
                <w:highlight w:val="none"/>
              </w:rPr>
            </w:pPr>
            <w:r>
              <w:rPr>
                <w:rFonts w:hint="eastAsia" w:ascii="宋体" w:hAnsi="宋体" w:eastAsia="宋体" w:cs="宋体"/>
                <w:highlight w:val="none"/>
              </w:rPr>
              <w:t>数量</w:t>
            </w:r>
          </w:p>
        </w:tc>
        <w:tc>
          <w:tcPr>
            <w:tcW w:w="382" w:type="pct"/>
            <w:tcBorders>
              <w:top w:val="single" w:color="000000" w:sz="4" w:space="0"/>
              <w:left w:val="single" w:color="auto" w:sz="4" w:space="0"/>
              <w:bottom w:val="single" w:color="000000" w:sz="4" w:space="0"/>
              <w:right w:val="single" w:color="000000" w:sz="4" w:space="0"/>
            </w:tcBorders>
            <w:noWrap/>
            <w:vAlign w:val="center"/>
          </w:tcPr>
          <w:p w14:paraId="6FA675F2">
            <w:pPr>
              <w:pStyle w:val="3"/>
              <w:jc w:val="center"/>
              <w:rPr>
                <w:rFonts w:hint="eastAsia" w:ascii="宋体" w:hAnsi="宋体" w:eastAsia="宋体" w:cs="宋体"/>
                <w:highlight w:val="none"/>
              </w:rPr>
            </w:pPr>
            <w:r>
              <w:rPr>
                <w:rFonts w:hint="eastAsia" w:ascii="宋体" w:hAnsi="宋体" w:eastAsia="宋体" w:cs="宋体"/>
                <w:highlight w:val="none"/>
              </w:rPr>
              <w:t>单位</w:t>
            </w:r>
          </w:p>
        </w:tc>
      </w:tr>
      <w:tr w14:paraId="4BC5E8B5">
        <w:tblPrEx>
          <w:tblCellMar>
            <w:top w:w="0" w:type="dxa"/>
            <w:left w:w="108" w:type="dxa"/>
            <w:bottom w:w="0" w:type="dxa"/>
            <w:right w:w="108" w:type="dxa"/>
          </w:tblCellMar>
        </w:tblPrEx>
        <w:trPr>
          <w:trHeight w:val="1000" w:hRule="atLeast"/>
        </w:trPr>
        <w:tc>
          <w:tcPr>
            <w:tcW w:w="368" w:type="pct"/>
            <w:tcBorders>
              <w:top w:val="single" w:color="000000" w:sz="4" w:space="0"/>
              <w:left w:val="single" w:color="000000" w:sz="4" w:space="0"/>
              <w:bottom w:val="single" w:color="000000" w:sz="4" w:space="0"/>
              <w:right w:val="single" w:color="000000" w:sz="4" w:space="0"/>
            </w:tcBorders>
            <w:noWrap/>
            <w:vAlign w:val="center"/>
          </w:tcPr>
          <w:p w14:paraId="23E88FD2">
            <w:pPr>
              <w:spacing w:line="360" w:lineRule="auto"/>
              <w:jc w:val="center"/>
              <w:rPr>
                <w:rFonts w:hint="eastAsia" w:ascii="宋体" w:hAnsi="宋体" w:cs="宋体"/>
                <w:szCs w:val="18"/>
                <w:highlight w:val="none"/>
              </w:rPr>
            </w:pPr>
            <w:r>
              <w:rPr>
                <w:szCs w:val="18"/>
                <w:highlight w:val="none"/>
              </w:rPr>
              <w:t>1</w:t>
            </w:r>
          </w:p>
        </w:tc>
        <w:tc>
          <w:tcPr>
            <w:tcW w:w="799" w:type="dxa"/>
            <w:tcBorders>
              <w:top w:val="single" w:color="000000" w:sz="4" w:space="0"/>
              <w:left w:val="single" w:color="000000" w:sz="4" w:space="0"/>
              <w:bottom w:val="single" w:color="000000" w:sz="4" w:space="0"/>
              <w:right w:val="single" w:color="000000" w:sz="4" w:space="0"/>
            </w:tcBorders>
            <w:vAlign w:val="center"/>
          </w:tcPr>
          <w:p w14:paraId="2BE22117">
            <w:pPr>
              <w:jc w:val="center"/>
              <w:rPr>
                <w:rFonts w:hint="eastAsia" w:ascii="宋体" w:hAnsi="宋体" w:cs="宋体"/>
                <w:bCs/>
                <w:szCs w:val="24"/>
                <w:highlight w:val="none"/>
              </w:rPr>
            </w:pPr>
            <w:r>
              <w:rPr>
                <w:rFonts w:hint="eastAsia"/>
                <w:bCs/>
                <w:szCs w:val="24"/>
                <w:highlight w:val="none"/>
              </w:rPr>
              <w:t>▲全光集成器件耦合封装及可靠性评估设备</w:t>
            </w:r>
          </w:p>
        </w:tc>
        <w:tc>
          <w:tcPr>
            <w:tcW w:w="5934" w:type="dxa"/>
            <w:tcBorders>
              <w:top w:val="single" w:color="000000" w:sz="4" w:space="0"/>
              <w:left w:val="single" w:color="000000" w:sz="4" w:space="0"/>
              <w:bottom w:val="single" w:color="000000" w:sz="4" w:space="0"/>
              <w:right w:val="single" w:color="000000" w:sz="4" w:space="0"/>
            </w:tcBorders>
          </w:tcPr>
          <w:p w14:paraId="1D1C32DE">
            <w:pPr>
              <w:spacing w:line="400" w:lineRule="exact"/>
              <w:rPr>
                <w:rFonts w:hint="eastAsia" w:ascii="宋体" w:hAnsi="宋体"/>
                <w:b/>
                <w:color w:val="000000"/>
                <w:szCs w:val="21"/>
                <w:highlight w:val="none"/>
              </w:rPr>
            </w:pPr>
            <w:r>
              <w:rPr>
                <w:rFonts w:hint="eastAsia" w:ascii="宋体" w:hAnsi="宋体"/>
                <w:b/>
                <w:color w:val="000000"/>
                <w:szCs w:val="21"/>
                <w:highlight w:val="none"/>
              </w:rPr>
              <w:t>主要技术指标</w:t>
            </w:r>
          </w:p>
          <w:p w14:paraId="5DD83B60">
            <w:pPr>
              <w:spacing w:line="400" w:lineRule="exact"/>
              <w:rPr>
                <w:rFonts w:hint="eastAsia" w:ascii="宋体" w:hAnsi="宋体" w:cs="宋体"/>
                <w:szCs w:val="21"/>
                <w:highlight w:val="none"/>
              </w:rPr>
            </w:pPr>
            <w:bookmarkStart w:id="17" w:name="_Hlk225781653"/>
            <w:r>
              <w:rPr>
                <w:rFonts w:hint="eastAsia" w:ascii="宋体" w:hAnsi="宋体" w:cs="宋体"/>
                <w:color w:val="auto"/>
                <w:szCs w:val="21"/>
                <w:highlight w:val="none"/>
              </w:rPr>
              <w:t>1．等离子体清洗模块：</w:t>
            </w:r>
          </w:p>
          <w:p w14:paraId="4B6AABB7">
            <w:pPr>
              <w:spacing w:line="400" w:lineRule="exact"/>
              <w:rPr>
                <w:rFonts w:hint="eastAsia" w:ascii="宋体" w:hAnsi="宋体" w:cs="宋体"/>
                <w:szCs w:val="21"/>
                <w:highlight w:val="none"/>
              </w:rPr>
            </w:pPr>
            <w:r>
              <w:rPr>
                <w:rFonts w:hint="eastAsia" w:ascii="宋体" w:hAnsi="宋体" w:cs="宋体"/>
                <w:szCs w:val="18"/>
                <w:highlight w:val="none"/>
              </w:rPr>
              <w:t>★</w:t>
            </w:r>
            <w:r>
              <w:rPr>
                <w:rFonts w:hint="eastAsia" w:ascii="宋体" w:hAnsi="宋体" w:cs="宋体"/>
                <w:szCs w:val="21"/>
                <w:highlight w:val="none"/>
              </w:rPr>
              <w:t>（1）腔体最大容量:≥</w:t>
            </w:r>
            <w:r>
              <w:rPr>
                <w:rFonts w:ascii="宋体" w:hAnsi="宋体" w:cs="宋体"/>
                <w:szCs w:val="24"/>
                <w:highlight w:val="none"/>
              </w:rPr>
              <w:t>L</w:t>
            </w:r>
            <w:r>
              <w:rPr>
                <w:rFonts w:hint="eastAsia" w:ascii="宋体" w:hAnsi="宋体" w:cs="宋体"/>
                <w:szCs w:val="24"/>
                <w:highlight w:val="none"/>
              </w:rPr>
              <w:t>2</w:t>
            </w:r>
            <w:r>
              <w:rPr>
                <w:rFonts w:ascii="宋体" w:hAnsi="宋体" w:cs="宋体"/>
                <w:szCs w:val="24"/>
                <w:highlight w:val="none"/>
              </w:rPr>
              <w:t>10</w:t>
            </w:r>
            <w:r>
              <w:rPr>
                <w:rFonts w:hint="eastAsia" w:ascii="宋体" w:hAnsi="宋体" w:cs="宋体"/>
                <w:szCs w:val="24"/>
                <w:highlight w:val="none"/>
              </w:rPr>
              <w:t>×</w:t>
            </w:r>
            <w:r>
              <w:rPr>
                <w:rFonts w:ascii="宋体" w:hAnsi="宋体" w:cs="宋体"/>
                <w:szCs w:val="24"/>
                <w:highlight w:val="none"/>
              </w:rPr>
              <w:t>W</w:t>
            </w:r>
            <w:r>
              <w:rPr>
                <w:rFonts w:hint="eastAsia" w:ascii="宋体" w:hAnsi="宋体" w:cs="宋体"/>
                <w:szCs w:val="24"/>
                <w:highlight w:val="none"/>
              </w:rPr>
              <w:t>230×</w:t>
            </w:r>
            <w:r>
              <w:rPr>
                <w:rFonts w:ascii="宋体" w:hAnsi="宋体" w:cs="宋体"/>
                <w:szCs w:val="24"/>
                <w:highlight w:val="none"/>
              </w:rPr>
              <w:t>H</w:t>
            </w:r>
            <w:r>
              <w:rPr>
                <w:rFonts w:hint="eastAsia" w:ascii="宋体" w:hAnsi="宋体" w:cs="宋体"/>
                <w:szCs w:val="24"/>
                <w:highlight w:val="none"/>
              </w:rPr>
              <w:t>200</w:t>
            </w:r>
            <w:r>
              <w:rPr>
                <w:rFonts w:ascii="宋体" w:hAnsi="宋体" w:cs="宋体"/>
                <w:szCs w:val="24"/>
                <w:highlight w:val="none"/>
              </w:rPr>
              <w:t>mm</w:t>
            </w:r>
            <w:r>
              <w:rPr>
                <w:rFonts w:hint="eastAsia" w:ascii="宋体" w:hAnsi="宋体" w:cs="宋体"/>
                <w:szCs w:val="24"/>
                <w:highlight w:val="none"/>
                <w:vertAlign w:val="superscript"/>
              </w:rPr>
              <w:t>3</w:t>
            </w:r>
            <w:r>
              <w:rPr>
                <w:rFonts w:hint="eastAsia" w:ascii="宋体" w:hAnsi="宋体" w:cs="宋体"/>
                <w:szCs w:val="21"/>
                <w:highlight w:val="none"/>
              </w:rPr>
              <w:t>；</w:t>
            </w:r>
          </w:p>
          <w:p w14:paraId="564A5D27">
            <w:pPr>
              <w:spacing w:line="400" w:lineRule="exact"/>
              <w:rPr>
                <w:rFonts w:hint="eastAsia" w:ascii="宋体" w:hAnsi="宋体" w:cs="宋体"/>
                <w:szCs w:val="21"/>
                <w:highlight w:val="none"/>
              </w:rPr>
            </w:pPr>
            <w:r>
              <w:rPr>
                <w:rFonts w:hint="eastAsia" w:ascii="宋体" w:hAnsi="宋体" w:cs="宋体"/>
                <w:szCs w:val="21"/>
                <w:highlight w:val="none"/>
              </w:rPr>
              <w:t>（2）电源电极面积≥210mm</w:t>
            </w:r>
            <w:r>
              <w:rPr>
                <w:rFonts w:hint="eastAsia" w:ascii="宋体" w:hAnsi="宋体" w:cs="宋体"/>
                <w:color w:val="000000"/>
                <w:szCs w:val="21"/>
                <w:highlight w:val="none"/>
              </w:rPr>
              <w:t>×</w:t>
            </w:r>
            <w:r>
              <w:rPr>
                <w:rFonts w:hint="eastAsia" w:ascii="宋体" w:hAnsi="宋体" w:cs="宋体"/>
                <w:szCs w:val="21"/>
                <w:highlight w:val="none"/>
              </w:rPr>
              <w:t>210mm；</w:t>
            </w:r>
          </w:p>
          <w:p w14:paraId="7DE47A8E">
            <w:pPr>
              <w:spacing w:line="400" w:lineRule="exact"/>
              <w:rPr>
                <w:rFonts w:hint="eastAsia" w:ascii="宋体" w:hAnsi="宋体" w:cs="宋体"/>
                <w:szCs w:val="21"/>
                <w:highlight w:val="none"/>
              </w:rPr>
            </w:pPr>
            <w:r>
              <w:rPr>
                <w:rFonts w:hint="eastAsia" w:ascii="宋体" w:hAnsi="宋体" w:cs="宋体"/>
                <w:szCs w:val="18"/>
                <w:highlight w:val="none"/>
              </w:rPr>
              <w:t>■</w:t>
            </w:r>
            <w:r>
              <w:rPr>
                <w:rFonts w:hint="eastAsia" w:ascii="宋体" w:hAnsi="宋体" w:cs="宋体"/>
                <w:szCs w:val="21"/>
                <w:highlight w:val="none"/>
              </w:rPr>
              <w:t>（3）射频电源≥</w:t>
            </w:r>
            <w:r>
              <w:rPr>
                <w:rFonts w:hint="eastAsia" w:ascii="宋体" w:hAnsi="宋体" w:cs="宋体"/>
                <w:szCs w:val="24"/>
                <w:highlight w:val="none"/>
              </w:rPr>
              <w:t>300W连续可调</w:t>
            </w:r>
            <w:r>
              <w:rPr>
                <w:rFonts w:hint="eastAsia" w:ascii="宋体" w:hAnsi="宋体" w:cs="宋体"/>
                <w:szCs w:val="21"/>
                <w:highlight w:val="none"/>
              </w:rPr>
              <w:t>；</w:t>
            </w:r>
          </w:p>
          <w:p w14:paraId="413E8E2D">
            <w:pPr>
              <w:spacing w:line="400" w:lineRule="exact"/>
              <w:rPr>
                <w:rFonts w:hint="eastAsia" w:ascii="宋体" w:hAnsi="宋体" w:cs="宋体"/>
                <w:szCs w:val="21"/>
                <w:highlight w:val="none"/>
              </w:rPr>
            </w:pPr>
            <w:r>
              <w:rPr>
                <w:rFonts w:hint="eastAsia" w:ascii="宋体" w:hAnsi="宋体" w:cs="宋体"/>
                <w:szCs w:val="21"/>
                <w:highlight w:val="none"/>
              </w:rPr>
              <w:t>（4）气体流量控制：0.1-1L/min；</w:t>
            </w:r>
          </w:p>
          <w:p w14:paraId="17E1201A">
            <w:pPr>
              <w:spacing w:line="400" w:lineRule="exact"/>
              <w:rPr>
                <w:rFonts w:hint="eastAsia" w:ascii="宋体" w:hAnsi="宋体" w:cs="宋体"/>
                <w:szCs w:val="21"/>
                <w:highlight w:val="none"/>
              </w:rPr>
            </w:pPr>
            <w:r>
              <w:rPr>
                <w:rFonts w:hint="eastAsia" w:ascii="宋体" w:hAnsi="宋体" w:cs="宋体"/>
                <w:szCs w:val="21"/>
                <w:highlight w:val="none"/>
              </w:rPr>
              <w:t>（5）多钟电极配置：电源-接地，接地-电源，电源-电源；</w:t>
            </w:r>
          </w:p>
          <w:p w14:paraId="3299516C">
            <w:pPr>
              <w:spacing w:line="400" w:lineRule="exact"/>
              <w:rPr>
                <w:rFonts w:hint="eastAsia" w:ascii="宋体" w:hAnsi="宋体" w:cs="宋体"/>
                <w:szCs w:val="21"/>
                <w:highlight w:val="none"/>
              </w:rPr>
            </w:pPr>
            <w:r>
              <w:rPr>
                <w:rFonts w:hint="eastAsia" w:ascii="宋体" w:hAnsi="宋体" w:cs="宋体"/>
                <w:szCs w:val="21"/>
                <w:highlight w:val="none"/>
              </w:rPr>
              <w:t>（6）带触摸屏的EPC控制器提供直观图形界面和实时工艺呈现；</w:t>
            </w:r>
          </w:p>
          <w:p w14:paraId="3ED57D1E">
            <w:pPr>
              <w:spacing w:line="400" w:lineRule="exact"/>
              <w:rPr>
                <w:rFonts w:hint="eastAsia" w:ascii="宋体" w:hAnsi="宋体" w:cs="宋体"/>
                <w:szCs w:val="21"/>
                <w:highlight w:val="none"/>
              </w:rPr>
            </w:pPr>
            <w:r>
              <w:rPr>
                <w:rFonts w:hint="eastAsia" w:ascii="宋体" w:hAnsi="宋体" w:cs="宋体"/>
                <w:szCs w:val="21"/>
                <w:highlight w:val="none"/>
              </w:rPr>
              <w:t>（7）软件控制系统生成工艺和生产数据用于统计制成控制并生成生产数据；</w:t>
            </w:r>
          </w:p>
          <w:p w14:paraId="1F2DBC6B">
            <w:pPr>
              <w:spacing w:line="400" w:lineRule="exact"/>
              <w:rPr>
                <w:rFonts w:hint="eastAsia" w:ascii="宋体" w:hAnsi="宋体" w:cs="宋体"/>
                <w:szCs w:val="21"/>
                <w:highlight w:val="none"/>
              </w:rPr>
            </w:pPr>
            <w:r>
              <w:rPr>
                <w:rFonts w:hint="eastAsia" w:ascii="宋体" w:hAnsi="宋体" w:cs="宋体"/>
                <w:szCs w:val="21"/>
                <w:highlight w:val="none"/>
              </w:rPr>
              <w:t>（8）泵、腔体、电子控制和射频源都被封装在一个箱体内；</w:t>
            </w:r>
          </w:p>
          <w:p w14:paraId="38A22A84">
            <w:pPr>
              <w:spacing w:line="400" w:lineRule="exact"/>
              <w:rPr>
                <w:rFonts w:hint="eastAsia" w:ascii="宋体" w:hAnsi="宋体" w:cs="宋体"/>
                <w:szCs w:val="21"/>
                <w:highlight w:val="none"/>
              </w:rPr>
            </w:pPr>
            <w:r>
              <w:rPr>
                <w:rFonts w:hint="eastAsia" w:ascii="宋体" w:hAnsi="宋体" w:cs="宋体"/>
                <w:szCs w:val="18"/>
                <w:highlight w:val="none"/>
              </w:rPr>
              <w:t>●</w:t>
            </w:r>
            <w:r>
              <w:rPr>
                <w:rFonts w:hint="eastAsia" w:ascii="宋体" w:hAnsi="宋体" w:cs="宋体"/>
                <w:szCs w:val="21"/>
                <w:highlight w:val="none"/>
              </w:rPr>
              <w:t>（9）能够适合广泛的工艺气体，包括氩气、氧气、氢气、氦气及氟化气体；</w:t>
            </w:r>
          </w:p>
          <w:p w14:paraId="4045D508">
            <w:pPr>
              <w:spacing w:line="400" w:lineRule="exact"/>
              <w:rPr>
                <w:rFonts w:hint="eastAsia" w:ascii="宋体" w:hAnsi="宋体" w:cs="宋体"/>
                <w:szCs w:val="21"/>
                <w:highlight w:val="none"/>
              </w:rPr>
            </w:pPr>
            <w:r>
              <w:rPr>
                <w:rFonts w:hint="eastAsia" w:ascii="宋体" w:hAnsi="宋体" w:cs="宋体"/>
                <w:szCs w:val="21"/>
                <w:highlight w:val="none"/>
              </w:rPr>
              <w:t>（10）配置：主机1套，气体流量控制器 MFC 2个，真空泵1台，电极平行板电极1套。</w:t>
            </w:r>
            <w:bookmarkEnd w:id="17"/>
          </w:p>
          <w:p w14:paraId="520A6DE5">
            <w:pPr>
              <w:spacing w:line="400" w:lineRule="exact"/>
              <w:rPr>
                <w:rFonts w:hint="eastAsia" w:ascii="宋体" w:hAnsi="宋体" w:cs="宋体"/>
                <w:szCs w:val="21"/>
                <w:highlight w:val="none"/>
              </w:rPr>
            </w:pPr>
            <w:r>
              <w:rPr>
                <w:rFonts w:hint="eastAsia" w:ascii="宋体" w:hAnsi="宋体" w:cs="宋体"/>
                <w:szCs w:val="21"/>
                <w:highlight w:val="none"/>
              </w:rPr>
              <w:t>2.激光切割模块：</w:t>
            </w:r>
          </w:p>
          <w:p w14:paraId="7526C9CC">
            <w:pPr>
              <w:spacing w:line="400" w:lineRule="exact"/>
              <w:rPr>
                <w:rFonts w:hint="eastAsia" w:ascii="宋体" w:hAnsi="宋体" w:cs="宋体"/>
                <w:szCs w:val="21"/>
                <w:highlight w:val="none"/>
              </w:rPr>
            </w:pPr>
            <w:r>
              <w:rPr>
                <w:rFonts w:hint="eastAsia" w:ascii="宋体" w:hAnsi="宋体" w:cs="宋体"/>
                <w:szCs w:val="18"/>
                <w:highlight w:val="none"/>
              </w:rPr>
              <w:t>★</w:t>
            </w:r>
            <w:r>
              <w:rPr>
                <w:rFonts w:hint="eastAsia" w:ascii="宋体" w:hAnsi="宋体" w:cs="宋体"/>
                <w:szCs w:val="21"/>
                <w:highlight w:val="none"/>
              </w:rPr>
              <w:t>（1）切割碳化硅等晶圆8inch并向下兼容；切割厚度100-500</w:t>
            </w:r>
            <w:r>
              <w:rPr>
                <w:rFonts w:hint="eastAsia" w:ascii="宋体" w:hAnsi="宋体" w:cs="宋体"/>
                <w:color w:val="000000"/>
                <w:szCs w:val="21"/>
                <w:highlight w:val="none"/>
              </w:rPr>
              <w:t>μ</w:t>
            </w:r>
            <w:r>
              <w:rPr>
                <w:rFonts w:hint="eastAsia" w:ascii="宋体" w:hAnsi="宋体" w:cs="宋体"/>
                <w:szCs w:val="21"/>
                <w:highlight w:val="none"/>
              </w:rPr>
              <w:t>m，切割直线度≤±5</w:t>
            </w:r>
            <w:r>
              <w:rPr>
                <w:rFonts w:hint="eastAsia" w:ascii="宋体" w:hAnsi="宋体" w:cs="宋体"/>
                <w:color w:val="000000"/>
                <w:szCs w:val="21"/>
                <w:highlight w:val="none"/>
              </w:rPr>
              <w:t>μ</w:t>
            </w:r>
            <w:r>
              <w:rPr>
                <w:rFonts w:hint="eastAsia" w:ascii="宋体" w:hAnsi="宋体" w:cs="宋体"/>
                <w:szCs w:val="21"/>
                <w:highlight w:val="none"/>
              </w:rPr>
              <w:t>m（裂片后）；正面背面崩边≤15</w:t>
            </w:r>
            <w:r>
              <w:rPr>
                <w:rFonts w:hint="eastAsia" w:ascii="宋体" w:hAnsi="宋体" w:cs="宋体"/>
                <w:color w:val="000000"/>
                <w:szCs w:val="21"/>
                <w:highlight w:val="none"/>
              </w:rPr>
              <w:t>μ</w:t>
            </w:r>
            <w:r>
              <w:rPr>
                <w:rFonts w:hint="eastAsia" w:ascii="宋体" w:hAnsi="宋体" w:cs="宋体"/>
                <w:szCs w:val="21"/>
                <w:highlight w:val="none"/>
              </w:rPr>
              <w:t>m（裂片后）；直线度＜10</w:t>
            </w:r>
            <w:r>
              <w:rPr>
                <w:rFonts w:hint="eastAsia" w:ascii="宋体" w:hAnsi="宋体" w:cs="宋体"/>
                <w:color w:val="000000"/>
                <w:szCs w:val="21"/>
                <w:highlight w:val="none"/>
              </w:rPr>
              <w:t>μ</w:t>
            </w:r>
            <w:r>
              <w:rPr>
                <w:rFonts w:hint="eastAsia" w:ascii="宋体" w:hAnsi="宋体" w:cs="宋体"/>
                <w:szCs w:val="21"/>
                <w:highlight w:val="none"/>
              </w:rPr>
              <w:t>m；双晶良率：无双晶（裂片后）；切割良率≥99%（裂片后）；</w:t>
            </w:r>
          </w:p>
          <w:p w14:paraId="6C188E9E">
            <w:pPr>
              <w:spacing w:line="400" w:lineRule="exact"/>
              <w:rPr>
                <w:rFonts w:hint="eastAsia" w:ascii="宋体" w:hAnsi="宋体" w:cs="宋体"/>
                <w:szCs w:val="21"/>
                <w:highlight w:val="none"/>
              </w:rPr>
            </w:pPr>
            <w:r>
              <w:rPr>
                <w:rFonts w:hint="eastAsia" w:ascii="宋体" w:hAnsi="宋体" w:cs="宋体"/>
                <w:szCs w:val="21"/>
                <w:highlight w:val="none"/>
              </w:rPr>
              <w:t>（2）激光器寿命≥12000小时；</w:t>
            </w:r>
          </w:p>
          <w:p w14:paraId="052438D1">
            <w:pPr>
              <w:spacing w:line="400" w:lineRule="exact"/>
              <w:rPr>
                <w:rFonts w:hint="eastAsia" w:ascii="宋体" w:hAnsi="宋体" w:cs="宋体"/>
                <w:szCs w:val="21"/>
                <w:highlight w:val="none"/>
              </w:rPr>
            </w:pPr>
            <w:r>
              <w:rPr>
                <w:rFonts w:hint="eastAsia" w:ascii="宋体" w:hAnsi="宋体" w:cs="宋体"/>
                <w:szCs w:val="21"/>
                <w:highlight w:val="none"/>
              </w:rPr>
              <w:t>（3）激光频率：50-100kHz（可调）；</w:t>
            </w:r>
          </w:p>
          <w:p w14:paraId="59A44F50">
            <w:pPr>
              <w:spacing w:line="400" w:lineRule="exact"/>
              <w:rPr>
                <w:rFonts w:hint="eastAsia" w:ascii="宋体" w:hAnsi="宋体" w:cs="宋体"/>
                <w:szCs w:val="21"/>
                <w:highlight w:val="none"/>
              </w:rPr>
            </w:pPr>
            <w:r>
              <w:rPr>
                <w:rFonts w:hint="eastAsia" w:ascii="宋体" w:hAnsi="宋体" w:cs="宋体"/>
                <w:szCs w:val="21"/>
                <w:highlight w:val="none"/>
              </w:rPr>
              <w:t>（4）激光功率≥5W，稳定性≤±3%；</w:t>
            </w:r>
          </w:p>
          <w:p w14:paraId="0F83A268">
            <w:pPr>
              <w:spacing w:line="400" w:lineRule="exact"/>
              <w:rPr>
                <w:rFonts w:hint="eastAsia" w:ascii="宋体" w:hAnsi="宋体" w:cs="宋体"/>
                <w:szCs w:val="21"/>
                <w:highlight w:val="none"/>
              </w:rPr>
            </w:pPr>
            <w:r>
              <w:rPr>
                <w:rFonts w:hint="eastAsia" w:ascii="宋体" w:hAnsi="宋体" w:cs="宋体"/>
                <w:szCs w:val="18"/>
                <w:highlight w:val="none"/>
              </w:rPr>
              <w:t>■</w:t>
            </w:r>
            <w:r>
              <w:rPr>
                <w:rFonts w:hint="eastAsia" w:ascii="宋体" w:hAnsi="宋体" w:cs="宋体"/>
                <w:szCs w:val="21"/>
                <w:highlight w:val="none"/>
              </w:rPr>
              <w:t>（5）X轴行程≥380mm，分辨率≤0.5</w:t>
            </w:r>
            <w:r>
              <w:rPr>
                <w:rFonts w:hint="eastAsia" w:ascii="宋体" w:hAnsi="宋体" w:cs="宋体"/>
                <w:color w:val="000000"/>
                <w:szCs w:val="21"/>
                <w:highlight w:val="none"/>
              </w:rPr>
              <w:t>μ</w:t>
            </w:r>
            <w:r>
              <w:rPr>
                <w:rFonts w:hint="eastAsia" w:ascii="宋体" w:hAnsi="宋体" w:cs="宋体"/>
                <w:szCs w:val="21"/>
                <w:highlight w:val="none"/>
              </w:rPr>
              <w:t>m，重复精度±1</w:t>
            </w:r>
            <w:r>
              <w:rPr>
                <w:rFonts w:hint="eastAsia" w:ascii="宋体" w:hAnsi="宋体" w:cs="宋体"/>
                <w:color w:val="000000"/>
                <w:szCs w:val="21"/>
                <w:highlight w:val="none"/>
              </w:rPr>
              <w:t>μ</w:t>
            </w:r>
            <w:r>
              <w:rPr>
                <w:rFonts w:hint="eastAsia" w:ascii="宋体" w:hAnsi="宋体" w:cs="宋体"/>
                <w:szCs w:val="21"/>
                <w:highlight w:val="none"/>
              </w:rPr>
              <w:t>m；Y轴行程≥550mm，分辨率≤0.1</w:t>
            </w:r>
            <w:r>
              <w:rPr>
                <w:rFonts w:hint="eastAsia" w:ascii="宋体" w:hAnsi="宋体" w:cs="宋体"/>
                <w:color w:val="000000"/>
                <w:szCs w:val="21"/>
                <w:highlight w:val="none"/>
              </w:rPr>
              <w:t>μ</w:t>
            </w:r>
            <w:r>
              <w:rPr>
                <w:rFonts w:hint="eastAsia" w:ascii="宋体" w:hAnsi="宋体" w:cs="宋体"/>
                <w:szCs w:val="21"/>
                <w:highlight w:val="none"/>
              </w:rPr>
              <w:t>m，重复精度±1</w:t>
            </w:r>
            <w:r>
              <w:rPr>
                <w:rFonts w:hint="eastAsia" w:ascii="宋体" w:hAnsi="宋体" w:cs="宋体"/>
                <w:color w:val="000000"/>
                <w:szCs w:val="21"/>
                <w:highlight w:val="none"/>
              </w:rPr>
              <w:t>μ</w:t>
            </w:r>
            <w:r>
              <w:rPr>
                <w:rFonts w:hint="eastAsia" w:ascii="宋体" w:hAnsi="宋体" w:cs="宋体"/>
                <w:szCs w:val="21"/>
                <w:highlight w:val="none"/>
              </w:rPr>
              <w:t>m；Z轴行程≥10mm，Z轴分辨率≤0.1</w:t>
            </w:r>
            <w:r>
              <w:rPr>
                <w:rFonts w:hint="eastAsia" w:ascii="宋体" w:hAnsi="宋体" w:cs="宋体"/>
                <w:color w:val="000000"/>
                <w:szCs w:val="21"/>
                <w:highlight w:val="none"/>
              </w:rPr>
              <w:t>μ</w:t>
            </w:r>
            <w:r>
              <w:rPr>
                <w:rFonts w:hint="eastAsia" w:ascii="宋体" w:hAnsi="宋体" w:cs="宋体"/>
                <w:szCs w:val="21"/>
                <w:highlight w:val="none"/>
              </w:rPr>
              <w:t>m，Z轴重复定位精度±1um，θ轴行程≥200°，θ轴重复定位精度±2arcsec，加工平面度≤8</w:t>
            </w:r>
            <w:r>
              <w:rPr>
                <w:rFonts w:hint="eastAsia" w:ascii="宋体" w:hAnsi="宋体" w:cs="宋体"/>
                <w:color w:val="000000"/>
                <w:szCs w:val="21"/>
                <w:highlight w:val="none"/>
              </w:rPr>
              <w:t>μ</w:t>
            </w:r>
            <w:r>
              <w:rPr>
                <w:rFonts w:hint="eastAsia" w:ascii="宋体" w:hAnsi="宋体" w:cs="宋体"/>
                <w:szCs w:val="21"/>
                <w:highlight w:val="none"/>
              </w:rPr>
              <w:t>m；</w:t>
            </w:r>
          </w:p>
          <w:p w14:paraId="47FA2A4D">
            <w:pPr>
              <w:autoSpaceDE w:val="0"/>
              <w:autoSpaceDN w:val="0"/>
              <w:spacing w:line="276" w:lineRule="auto"/>
              <w:jc w:val="left"/>
              <w:rPr>
                <w:rFonts w:hint="eastAsia" w:ascii="宋体" w:hAnsi="宋体"/>
                <w:spacing w:val="-10"/>
                <w:highlight w:val="none"/>
              </w:rPr>
            </w:pPr>
            <w:r>
              <w:rPr>
                <w:rFonts w:hint="eastAsia" w:ascii="宋体" w:hAnsi="宋体" w:cs="宋体"/>
                <w:szCs w:val="18"/>
                <w:highlight w:val="none"/>
              </w:rPr>
              <w:t>★</w:t>
            </w:r>
            <w:r>
              <w:rPr>
                <w:rFonts w:hint="eastAsia" w:ascii="宋体" w:hAnsi="宋体" w:cs="宋体"/>
                <w:szCs w:val="21"/>
                <w:highlight w:val="none"/>
              </w:rPr>
              <w:t>（6）</w:t>
            </w:r>
            <w:r>
              <w:rPr>
                <w:rFonts w:hint="eastAsia" w:ascii="宋体" w:hAnsi="宋体" w:cs="宋体"/>
                <w:szCs w:val="22"/>
                <w:highlight w:val="none"/>
              </w:rPr>
              <w:t>机械劈裂模块</w:t>
            </w:r>
            <w:r>
              <w:rPr>
                <w:rFonts w:hint="eastAsia" w:ascii="宋体" w:hAnsi="宋体"/>
                <w:spacing w:val="-10"/>
                <w:highlight w:val="none"/>
              </w:rPr>
              <w:t>：兼容</w:t>
            </w:r>
            <w:r>
              <w:rPr>
                <w:rFonts w:ascii="宋体" w:hAnsi="宋体"/>
                <w:spacing w:val="-10"/>
                <w:highlight w:val="none"/>
              </w:rPr>
              <w:t>4-8</w:t>
            </w:r>
            <w:r>
              <w:rPr>
                <w:rFonts w:hint="eastAsia" w:ascii="宋体" w:hAnsi="宋体"/>
                <w:spacing w:val="-10"/>
                <w:highlight w:val="none"/>
              </w:rPr>
              <w:t>inch晶圆作业；兼容Ga</w:t>
            </w:r>
            <w:r>
              <w:rPr>
                <w:rFonts w:ascii="宋体" w:hAnsi="宋体"/>
                <w:spacing w:val="-10"/>
                <w:highlight w:val="none"/>
              </w:rPr>
              <w:t>A</w:t>
            </w:r>
            <w:r>
              <w:rPr>
                <w:rFonts w:hint="eastAsia" w:ascii="宋体" w:hAnsi="宋体"/>
                <w:spacing w:val="-10"/>
                <w:highlight w:val="none"/>
              </w:rPr>
              <w:t>s、In</w:t>
            </w:r>
            <w:r>
              <w:rPr>
                <w:rFonts w:ascii="宋体" w:hAnsi="宋体"/>
                <w:spacing w:val="-10"/>
                <w:highlight w:val="none"/>
              </w:rPr>
              <w:t>P</w:t>
            </w:r>
            <w:r>
              <w:rPr>
                <w:rFonts w:hint="eastAsia" w:ascii="宋体" w:hAnsi="宋体"/>
                <w:spacing w:val="-10"/>
                <w:highlight w:val="none"/>
              </w:rPr>
              <w:t>、Ga</w:t>
            </w:r>
            <w:r>
              <w:rPr>
                <w:rFonts w:ascii="宋体" w:hAnsi="宋体"/>
                <w:spacing w:val="-10"/>
                <w:highlight w:val="none"/>
              </w:rPr>
              <w:t>N</w:t>
            </w:r>
            <w:r>
              <w:rPr>
                <w:rFonts w:hint="eastAsia" w:ascii="宋体" w:hAnsi="宋体"/>
                <w:spacing w:val="-10"/>
                <w:highlight w:val="none"/>
              </w:rPr>
              <w:t>、Si</w:t>
            </w:r>
            <w:r>
              <w:rPr>
                <w:rFonts w:ascii="宋体" w:hAnsi="宋体"/>
                <w:spacing w:val="-10"/>
                <w:highlight w:val="none"/>
              </w:rPr>
              <w:t>C</w:t>
            </w:r>
            <w:r>
              <w:rPr>
                <w:rFonts w:hint="eastAsia" w:ascii="宋体" w:hAnsi="宋体"/>
                <w:spacing w:val="-10"/>
                <w:highlight w:val="none"/>
              </w:rPr>
              <w:t>、Si、蓝宝石等多种化合物半导体及传统硅基材料；</w:t>
            </w:r>
          </w:p>
          <w:p w14:paraId="6335A07D">
            <w:pPr>
              <w:spacing w:line="400" w:lineRule="exact"/>
              <w:rPr>
                <w:rFonts w:hint="eastAsia" w:ascii="宋体" w:hAnsi="宋体" w:cs="宋体"/>
                <w:szCs w:val="21"/>
                <w:highlight w:val="none"/>
              </w:rPr>
            </w:pPr>
            <w:r>
              <w:rPr>
                <w:rFonts w:hint="eastAsia" w:ascii="宋体" w:hAnsi="宋体" w:cs="宋体"/>
                <w:szCs w:val="21"/>
                <w:highlight w:val="none"/>
              </w:rPr>
              <w:t>（7）轮廓相机像素≥500万，校准相机像素≥125万；</w:t>
            </w:r>
          </w:p>
          <w:p w14:paraId="1B5AD76B">
            <w:pPr>
              <w:spacing w:line="400" w:lineRule="exact"/>
              <w:rPr>
                <w:rFonts w:hint="eastAsia" w:ascii="宋体" w:hAnsi="宋体" w:cs="宋体"/>
                <w:szCs w:val="21"/>
                <w:highlight w:val="none"/>
              </w:rPr>
            </w:pPr>
            <w:r>
              <w:rPr>
                <w:rFonts w:hint="eastAsia" w:ascii="宋体" w:hAnsi="宋体" w:cs="宋体"/>
                <w:szCs w:val="21"/>
                <w:highlight w:val="none"/>
              </w:rPr>
              <w:t>（8）运行方式：手动/全自动；具备静电消除、UPS、大理石防震平台、掉片保护、中文/英文界面、LOG日志记录和管理能力、报警记录查询能力、用户界面分级管理、允许全自动切割过程暂停后继续切割、具备焦点实时跟随系统、支持焦点跟随状态监控可监测激光切深、</w:t>
            </w:r>
            <w:r>
              <w:rPr>
                <w:rFonts w:hint="eastAsia" w:ascii="宋体" w:hAnsi="宋体" w:cs="宋体"/>
                <w:szCs w:val="21"/>
                <w:highlight w:val="none"/>
                <w:lang w:bidi="ar"/>
              </w:rPr>
              <w:t>具备指定多功率点检功能</w:t>
            </w:r>
            <w:r>
              <w:rPr>
                <w:rFonts w:hint="eastAsia" w:ascii="宋体" w:hAnsi="宋体" w:cs="宋体"/>
                <w:szCs w:val="21"/>
                <w:highlight w:val="none"/>
              </w:rPr>
              <w:t>；</w:t>
            </w:r>
          </w:p>
          <w:p w14:paraId="0706EEF4">
            <w:pPr>
              <w:spacing w:line="400" w:lineRule="exact"/>
              <w:rPr>
                <w:rFonts w:hint="eastAsia" w:ascii="宋体" w:hAnsi="宋体" w:cs="宋体"/>
                <w:szCs w:val="21"/>
                <w:highlight w:val="none"/>
              </w:rPr>
            </w:pPr>
            <w:r>
              <w:rPr>
                <w:rFonts w:hint="eastAsia" w:ascii="宋体" w:hAnsi="宋体" w:cs="宋体"/>
                <w:szCs w:val="18"/>
                <w:highlight w:val="none"/>
              </w:rPr>
              <w:t>●</w:t>
            </w:r>
            <w:r>
              <w:rPr>
                <w:rFonts w:hint="eastAsia" w:ascii="宋体" w:hAnsi="宋体" w:cs="宋体"/>
                <w:szCs w:val="21"/>
                <w:highlight w:val="none"/>
              </w:rPr>
              <w:t>（9）配备均胶清洗：带Ring夹持方式自锁或主动夹持，匀胶、清洗过程夹持稳固；操作屏为可触控，所有匀胶、清洗相关操作界面均可触控操作；可设定清洗旋转轴转速、摆臂轴转速、摆动角度区间、清洗时间、干燥时间；</w:t>
            </w:r>
          </w:p>
          <w:p w14:paraId="3009BA44">
            <w:pPr>
              <w:spacing w:line="400" w:lineRule="exact"/>
              <w:rPr>
                <w:rFonts w:hint="eastAsia" w:ascii="宋体" w:hAnsi="宋体" w:cs="宋体"/>
                <w:szCs w:val="21"/>
                <w:highlight w:val="none"/>
              </w:rPr>
            </w:pPr>
            <w:r>
              <w:rPr>
                <w:rFonts w:hint="eastAsia" w:ascii="宋体" w:hAnsi="宋体" w:cs="宋体"/>
                <w:szCs w:val="21"/>
                <w:highlight w:val="none"/>
              </w:rPr>
              <w:t>（10）配备供水：水压：0.2-0.4Mpa；水温20-30℃；流量：≥1.5L/min、压控附属设备：真空吸盘至少4个、真空过滤器至少2个、滤芯至少2个。</w:t>
            </w:r>
          </w:p>
          <w:p w14:paraId="003BA251">
            <w:pPr>
              <w:spacing w:line="400" w:lineRule="exact"/>
              <w:rPr>
                <w:rFonts w:hint="eastAsia" w:ascii="宋体" w:hAnsi="宋体" w:cs="宋体"/>
                <w:szCs w:val="21"/>
                <w:highlight w:val="none"/>
              </w:rPr>
            </w:pPr>
            <w:r>
              <w:rPr>
                <w:rFonts w:hint="eastAsia" w:ascii="宋体" w:hAnsi="宋体" w:cs="宋体"/>
                <w:szCs w:val="21"/>
                <w:highlight w:val="none"/>
              </w:rPr>
              <w:t>3．贴片模块：</w:t>
            </w:r>
          </w:p>
          <w:p w14:paraId="0ACEA837">
            <w:pPr>
              <w:spacing w:line="400" w:lineRule="exact"/>
              <w:rPr>
                <w:rFonts w:hint="eastAsia" w:ascii="宋体" w:hAnsi="宋体" w:cs="宋体"/>
                <w:szCs w:val="21"/>
                <w:highlight w:val="none"/>
              </w:rPr>
            </w:pPr>
            <w:r>
              <w:rPr>
                <w:rFonts w:hint="eastAsia" w:ascii="宋体" w:hAnsi="宋体" w:cs="宋体"/>
                <w:szCs w:val="21"/>
                <w:highlight w:val="none"/>
              </w:rPr>
              <w:t>3.1 点胶模组要求：</w:t>
            </w:r>
          </w:p>
          <w:p w14:paraId="3517EE98">
            <w:pPr>
              <w:spacing w:line="400" w:lineRule="exact"/>
              <w:rPr>
                <w:rFonts w:hint="eastAsia" w:ascii="宋体" w:hAnsi="宋体" w:cs="宋体"/>
                <w:szCs w:val="21"/>
                <w:highlight w:val="none"/>
              </w:rPr>
            </w:pPr>
            <w:r>
              <w:rPr>
                <w:rFonts w:hint="eastAsia" w:ascii="宋体" w:hAnsi="宋体" w:cs="宋体"/>
                <w:szCs w:val="21"/>
                <w:highlight w:val="none"/>
              </w:rPr>
              <w:t>（1）运行范围：X轴：0-600mm；Y1轴：0-300mm；Y2轴：0-300mm；Z轴：0-100mm；</w:t>
            </w:r>
          </w:p>
          <w:p w14:paraId="7229104D">
            <w:pPr>
              <w:spacing w:line="400" w:lineRule="exact"/>
              <w:rPr>
                <w:rFonts w:hint="eastAsia" w:ascii="宋体" w:hAnsi="宋体" w:cs="宋体"/>
                <w:szCs w:val="21"/>
                <w:highlight w:val="none"/>
              </w:rPr>
            </w:pPr>
            <w:r>
              <w:rPr>
                <w:rFonts w:hint="eastAsia" w:ascii="宋体" w:hAnsi="宋体" w:cs="宋体"/>
                <w:szCs w:val="21"/>
                <w:highlight w:val="none"/>
              </w:rPr>
              <w:t>（2）最高速度：≥100mm/s；</w:t>
            </w:r>
          </w:p>
          <w:p w14:paraId="2C635BCA">
            <w:pPr>
              <w:spacing w:line="400" w:lineRule="exact"/>
              <w:rPr>
                <w:rFonts w:hint="eastAsia" w:ascii="宋体" w:hAnsi="宋体" w:cs="宋体"/>
                <w:szCs w:val="21"/>
                <w:highlight w:val="none"/>
              </w:rPr>
            </w:pPr>
            <w:r>
              <w:rPr>
                <w:rFonts w:hint="eastAsia" w:ascii="宋体" w:hAnsi="宋体" w:cs="宋体"/>
                <w:szCs w:val="21"/>
                <w:highlight w:val="none"/>
              </w:rPr>
              <w:t>（3）重复精度：±0.02-0.05mm；</w:t>
            </w:r>
          </w:p>
          <w:p w14:paraId="7AC50F59">
            <w:pPr>
              <w:spacing w:line="400" w:lineRule="exact"/>
              <w:rPr>
                <w:rFonts w:hint="eastAsia" w:ascii="宋体" w:hAnsi="宋体" w:cs="宋体"/>
                <w:szCs w:val="21"/>
                <w:highlight w:val="none"/>
              </w:rPr>
            </w:pPr>
            <w:r>
              <w:rPr>
                <w:rFonts w:hint="eastAsia" w:ascii="宋体" w:hAnsi="宋体" w:cs="宋体"/>
                <w:szCs w:val="21"/>
                <w:highlight w:val="none"/>
              </w:rPr>
              <w:t>（4）配置：软件操作系统。</w:t>
            </w:r>
          </w:p>
          <w:p w14:paraId="74EAC7A9">
            <w:pPr>
              <w:spacing w:line="400" w:lineRule="exact"/>
              <w:rPr>
                <w:rFonts w:hint="eastAsia" w:ascii="宋体" w:hAnsi="宋体" w:cs="宋体"/>
                <w:szCs w:val="21"/>
                <w:highlight w:val="none"/>
              </w:rPr>
            </w:pPr>
            <w:r>
              <w:rPr>
                <w:rFonts w:hint="eastAsia" w:ascii="宋体" w:hAnsi="宋体" w:cs="宋体"/>
                <w:szCs w:val="21"/>
                <w:highlight w:val="none"/>
              </w:rPr>
              <w:t xml:space="preserve">3.2 </w:t>
            </w:r>
            <w:r>
              <w:rPr>
                <w:rFonts w:hint="eastAsia" w:ascii="宋体" w:hAnsi="宋体" w:cs="宋体"/>
                <w:color w:val="auto"/>
                <w:szCs w:val="21"/>
                <w:highlight w:val="none"/>
              </w:rPr>
              <w:t>贴片模组：</w:t>
            </w:r>
          </w:p>
          <w:p w14:paraId="6DFA81D2">
            <w:pPr>
              <w:spacing w:line="400" w:lineRule="exact"/>
              <w:rPr>
                <w:rFonts w:hint="eastAsia" w:ascii="宋体" w:hAnsi="宋体" w:cs="宋体"/>
                <w:color w:val="000000"/>
                <w:szCs w:val="21"/>
                <w:highlight w:val="none"/>
              </w:rPr>
            </w:pPr>
            <w:r>
              <w:rPr>
                <w:rFonts w:hint="eastAsia" w:ascii="宋体" w:hAnsi="宋体" w:cs="宋体"/>
                <w:szCs w:val="21"/>
                <w:highlight w:val="none"/>
              </w:rPr>
              <w:t>（1）适用范围：6英寸圆片、框架, LGA/BGA 基板,载具；</w:t>
            </w:r>
          </w:p>
          <w:p w14:paraId="3E5356FE">
            <w:pPr>
              <w:spacing w:line="400" w:lineRule="exact"/>
              <w:rPr>
                <w:rFonts w:hint="eastAsia" w:ascii="宋体" w:hAnsi="宋体" w:cs="宋体"/>
                <w:color w:val="000000"/>
                <w:szCs w:val="21"/>
                <w:highlight w:val="none"/>
              </w:rPr>
            </w:pPr>
            <w:r>
              <w:rPr>
                <w:rFonts w:hint="eastAsia" w:ascii="宋体" w:hAnsi="宋体" w:cs="宋体"/>
                <w:color w:val="000000"/>
                <w:szCs w:val="21"/>
                <w:highlight w:val="none"/>
              </w:rPr>
              <w:t>（2）装片焊接方式：硅胶，环氧树脂或银浆；</w:t>
            </w:r>
          </w:p>
          <w:p w14:paraId="1E3D11F0">
            <w:pPr>
              <w:spacing w:line="400" w:lineRule="exact"/>
              <w:rPr>
                <w:rFonts w:hint="eastAsia" w:ascii="宋体" w:hAnsi="宋体" w:cs="宋体"/>
                <w:color w:val="000000"/>
                <w:szCs w:val="21"/>
                <w:highlight w:val="none"/>
              </w:rPr>
            </w:pPr>
            <w:r>
              <w:rPr>
                <w:rFonts w:hint="eastAsia" w:ascii="宋体" w:hAnsi="宋体" w:cs="宋体"/>
                <w:szCs w:val="18"/>
                <w:highlight w:val="none"/>
              </w:rPr>
              <w:t>★</w:t>
            </w:r>
            <w:r>
              <w:rPr>
                <w:rFonts w:hint="eastAsia" w:ascii="宋体" w:hAnsi="宋体" w:cs="宋体"/>
                <w:color w:val="000000"/>
                <w:szCs w:val="21"/>
                <w:highlight w:val="none"/>
              </w:rPr>
              <w:t>（3）芯片尺寸范围：0.25×0.25mm</w:t>
            </w:r>
            <w:r>
              <w:rPr>
                <w:rFonts w:hint="eastAsia" w:ascii="宋体" w:hAnsi="宋体" w:cs="宋体"/>
                <w:color w:val="000000"/>
                <w:szCs w:val="21"/>
                <w:highlight w:val="none"/>
                <w:vertAlign w:val="superscript"/>
              </w:rPr>
              <w:t>2</w:t>
            </w:r>
            <w:r>
              <w:rPr>
                <w:rFonts w:hint="eastAsia" w:ascii="宋体" w:hAnsi="宋体" w:cs="宋体"/>
                <w:color w:val="000000"/>
                <w:szCs w:val="21"/>
                <w:highlight w:val="none"/>
              </w:rPr>
              <w:t>-50×50mm</w:t>
            </w:r>
            <w:r>
              <w:rPr>
                <w:rFonts w:hint="eastAsia" w:ascii="宋体" w:hAnsi="宋体" w:cs="宋体"/>
                <w:color w:val="000000"/>
                <w:szCs w:val="21"/>
                <w:highlight w:val="none"/>
                <w:vertAlign w:val="superscript"/>
              </w:rPr>
              <w:t>2</w:t>
            </w:r>
            <w:r>
              <w:rPr>
                <w:rFonts w:hint="eastAsia" w:ascii="宋体" w:hAnsi="宋体" w:cs="宋体"/>
                <w:color w:val="000000"/>
                <w:szCs w:val="21"/>
                <w:highlight w:val="none"/>
              </w:rPr>
              <w:t>；</w:t>
            </w:r>
          </w:p>
          <w:p w14:paraId="27E5D87D">
            <w:pPr>
              <w:spacing w:line="400" w:lineRule="exact"/>
              <w:rPr>
                <w:rFonts w:hint="eastAsia" w:ascii="宋体" w:hAnsi="宋体" w:cs="宋体"/>
                <w:color w:val="000000"/>
                <w:szCs w:val="21"/>
                <w:highlight w:val="none"/>
              </w:rPr>
            </w:pPr>
            <w:r>
              <w:rPr>
                <w:rFonts w:hint="eastAsia" w:ascii="宋体" w:hAnsi="宋体" w:cs="宋体"/>
                <w:color w:val="000000"/>
                <w:szCs w:val="21"/>
                <w:highlight w:val="none"/>
              </w:rPr>
              <w:t>（4）芯片厚度能力：≥50μm；</w:t>
            </w:r>
          </w:p>
          <w:p w14:paraId="37AF0502">
            <w:pPr>
              <w:spacing w:line="400" w:lineRule="exact"/>
              <w:rPr>
                <w:rFonts w:hint="eastAsia" w:ascii="宋体" w:hAnsi="宋体" w:cs="宋体"/>
                <w:color w:val="000000"/>
                <w:szCs w:val="21"/>
                <w:highlight w:val="none"/>
              </w:rPr>
            </w:pPr>
            <w:r>
              <w:rPr>
                <w:rFonts w:hint="eastAsia" w:ascii="宋体" w:hAnsi="宋体" w:cs="宋体"/>
                <w:color w:val="000000"/>
                <w:szCs w:val="21"/>
                <w:highlight w:val="none"/>
              </w:rPr>
              <w:t>（5）最小吸片到装片周期：500ms；</w:t>
            </w:r>
          </w:p>
          <w:p w14:paraId="505FF026">
            <w:pPr>
              <w:spacing w:line="400" w:lineRule="exact"/>
              <w:rPr>
                <w:rFonts w:hint="eastAsia" w:ascii="宋体" w:hAnsi="宋体" w:cs="宋体"/>
                <w:color w:val="000000"/>
                <w:szCs w:val="21"/>
                <w:highlight w:val="none"/>
              </w:rPr>
            </w:pPr>
            <w:r>
              <w:rPr>
                <w:rFonts w:hint="eastAsia" w:ascii="宋体" w:hAnsi="宋体" w:cs="宋体"/>
                <w:color w:val="000000"/>
                <w:szCs w:val="21"/>
                <w:highlight w:val="none"/>
              </w:rPr>
              <w:t>（6）焊头装片压力：0.5-100N可设定；</w:t>
            </w:r>
          </w:p>
          <w:p w14:paraId="0B8CB428">
            <w:pPr>
              <w:spacing w:line="400" w:lineRule="exact"/>
              <w:rPr>
                <w:rFonts w:hint="eastAsia" w:ascii="宋体" w:hAnsi="宋体" w:cs="宋体"/>
                <w:color w:val="000000"/>
                <w:szCs w:val="21"/>
                <w:highlight w:val="none"/>
              </w:rPr>
            </w:pPr>
            <w:r>
              <w:rPr>
                <w:rFonts w:hint="eastAsia" w:ascii="宋体" w:hAnsi="宋体" w:cs="宋体"/>
                <w:color w:val="000000"/>
                <w:szCs w:val="21"/>
                <w:highlight w:val="none"/>
              </w:rPr>
              <w:t>（7）焊头角度：0°-360°可设定；</w:t>
            </w:r>
          </w:p>
          <w:p w14:paraId="2FE8078C">
            <w:pPr>
              <w:spacing w:line="400" w:lineRule="exact"/>
              <w:rPr>
                <w:rFonts w:hint="eastAsia" w:ascii="宋体" w:hAnsi="宋体" w:cs="宋体"/>
                <w:color w:val="000000"/>
                <w:szCs w:val="21"/>
                <w:highlight w:val="none"/>
              </w:rPr>
            </w:pPr>
            <w:r>
              <w:rPr>
                <w:rFonts w:hint="eastAsia" w:ascii="宋体" w:hAnsi="宋体" w:cs="宋体"/>
                <w:color w:val="000000"/>
                <w:szCs w:val="21"/>
                <w:highlight w:val="none"/>
              </w:rPr>
              <w:t>（8）基板/框架尺寸：长度:50-330mm；宽度:25-203mm；厚度:0.3-10mm；</w:t>
            </w:r>
          </w:p>
          <w:p w14:paraId="7376555B">
            <w:pPr>
              <w:spacing w:line="400" w:lineRule="exact"/>
              <w:rPr>
                <w:rFonts w:hint="eastAsia" w:ascii="宋体" w:hAnsi="宋体" w:cs="宋体"/>
                <w:color w:val="000000"/>
                <w:szCs w:val="21"/>
                <w:highlight w:val="none"/>
              </w:rPr>
            </w:pPr>
            <w:r>
              <w:rPr>
                <w:rFonts w:hint="eastAsia" w:ascii="宋体" w:hAnsi="宋体" w:cs="宋体"/>
                <w:color w:val="000000"/>
                <w:szCs w:val="21"/>
                <w:highlight w:val="none"/>
              </w:rPr>
              <w:t>（9）装片数量及间距：无限制；</w:t>
            </w:r>
          </w:p>
          <w:p w14:paraId="1DB5798C">
            <w:pPr>
              <w:spacing w:line="400" w:lineRule="exact"/>
              <w:rPr>
                <w:rFonts w:hint="eastAsia" w:ascii="宋体" w:hAnsi="宋体" w:cs="宋体"/>
                <w:color w:val="000000"/>
                <w:szCs w:val="21"/>
                <w:highlight w:val="none"/>
              </w:rPr>
            </w:pPr>
            <w:r>
              <w:rPr>
                <w:rFonts w:hint="eastAsia" w:ascii="宋体" w:hAnsi="宋体" w:cs="宋体"/>
                <w:szCs w:val="18"/>
                <w:highlight w:val="none"/>
              </w:rPr>
              <w:t>■</w:t>
            </w:r>
            <w:r>
              <w:rPr>
                <w:rFonts w:hint="eastAsia" w:ascii="宋体" w:hAnsi="宋体" w:cs="宋体"/>
                <w:color w:val="000000"/>
                <w:szCs w:val="21"/>
                <w:highlight w:val="none"/>
              </w:rPr>
              <w:t>（10）贴片精度：±3μm；</w:t>
            </w:r>
          </w:p>
          <w:p w14:paraId="5604C281">
            <w:pPr>
              <w:spacing w:line="400" w:lineRule="exact"/>
              <w:rPr>
                <w:rFonts w:hint="eastAsia" w:ascii="宋体" w:hAnsi="宋体" w:cs="宋体"/>
                <w:color w:val="000000"/>
                <w:szCs w:val="21"/>
                <w:highlight w:val="none"/>
              </w:rPr>
            </w:pPr>
            <w:r>
              <w:rPr>
                <w:rFonts w:hint="eastAsia" w:ascii="宋体" w:hAnsi="宋体" w:cs="宋体"/>
                <w:color w:val="000000"/>
                <w:szCs w:val="21"/>
                <w:highlight w:val="none"/>
              </w:rPr>
              <w:t>（11）离子风枪接地电阻：&lt;1Ω；离子风枪移动部件电阻：&lt;10Ω；离子风枪静电消散时间–距离60cm: &lt; +/-1000V to +/- 50V 10秒；静电消散时间–距离30 cm : &lt; +/-1000V to +/- 50V 5秒；</w:t>
            </w:r>
          </w:p>
          <w:p w14:paraId="0FA6B61E">
            <w:pPr>
              <w:spacing w:line="400" w:lineRule="exact"/>
              <w:rPr>
                <w:rFonts w:hint="eastAsia" w:ascii="宋体" w:hAnsi="宋体" w:cs="宋体"/>
                <w:color w:val="000000"/>
                <w:szCs w:val="21"/>
                <w:highlight w:val="none"/>
              </w:rPr>
            </w:pPr>
            <w:r>
              <w:rPr>
                <w:rFonts w:hint="eastAsia" w:ascii="宋体" w:hAnsi="宋体" w:cs="宋体"/>
                <w:szCs w:val="18"/>
                <w:highlight w:val="none"/>
              </w:rPr>
              <w:t>●</w:t>
            </w:r>
            <w:r>
              <w:rPr>
                <w:rFonts w:hint="eastAsia" w:ascii="宋体" w:hAnsi="宋体" w:cs="宋体"/>
                <w:color w:val="000000"/>
                <w:szCs w:val="21"/>
                <w:highlight w:val="none"/>
              </w:rPr>
              <w:t>（12）支持Flip chip倒装工艺；轨道加热，焊头可选加热支持多芯片方式，支持至少4个吸嘴支架，支持至少4个顶针座系统；具有wafer mapping装置,可读取晶圆条码；焊头可360度旋转；支持3D划胶；可选超轻贴片压力，0-0.5N；</w:t>
            </w:r>
          </w:p>
          <w:p w14:paraId="09A55BEB">
            <w:pPr>
              <w:spacing w:line="400" w:lineRule="exact"/>
              <w:rPr>
                <w:rFonts w:hint="eastAsia" w:ascii="宋体" w:hAnsi="宋体" w:cs="宋体"/>
                <w:color w:val="000000"/>
                <w:szCs w:val="21"/>
                <w:highlight w:val="none"/>
              </w:rPr>
            </w:pPr>
            <w:r>
              <w:rPr>
                <w:rFonts w:hint="eastAsia" w:ascii="宋体" w:hAnsi="宋体" w:cs="宋体"/>
                <w:szCs w:val="18"/>
                <w:highlight w:val="none"/>
              </w:rPr>
              <w:t>★</w:t>
            </w:r>
            <w:r>
              <w:rPr>
                <w:rFonts w:hint="eastAsia" w:ascii="宋体" w:hAnsi="宋体" w:cs="宋体"/>
                <w:color w:val="000000"/>
                <w:szCs w:val="21"/>
                <w:highlight w:val="none"/>
              </w:rPr>
              <w:t>（13）配备≥4寸晶圆的贴膜、扩晶、翻膜、UV解胶和显微测量功能。</w:t>
            </w:r>
          </w:p>
          <w:p w14:paraId="27C3F0A2">
            <w:pPr>
              <w:spacing w:line="400" w:lineRule="exact"/>
              <w:rPr>
                <w:rFonts w:hint="eastAsia" w:ascii="宋体" w:hAnsi="宋体" w:cs="宋体"/>
                <w:color w:val="000000"/>
                <w:szCs w:val="21"/>
                <w:highlight w:val="none"/>
              </w:rPr>
            </w:pPr>
            <w:r>
              <w:rPr>
                <w:rFonts w:hint="eastAsia" w:ascii="宋体" w:hAnsi="宋体" w:cs="宋体"/>
                <w:color w:val="auto"/>
                <w:szCs w:val="21"/>
                <w:highlight w:val="none"/>
              </w:rPr>
              <w:t>3.</w:t>
            </w:r>
            <w:bookmarkStart w:id="18" w:name="_Hlk225781693"/>
            <w:r>
              <w:rPr>
                <w:rFonts w:hint="eastAsia" w:ascii="宋体" w:hAnsi="宋体" w:cs="宋体"/>
                <w:color w:val="auto"/>
                <w:szCs w:val="21"/>
                <w:highlight w:val="none"/>
              </w:rPr>
              <w:t>3 烤箱模组要求：</w:t>
            </w:r>
          </w:p>
          <w:p w14:paraId="22F33B6A">
            <w:pPr>
              <w:spacing w:line="400" w:lineRule="exact"/>
              <w:rPr>
                <w:rFonts w:hint="eastAsia" w:ascii="宋体" w:hAnsi="宋体" w:cs="宋体"/>
                <w:color w:val="000000"/>
                <w:szCs w:val="21"/>
                <w:highlight w:val="none"/>
              </w:rPr>
            </w:pPr>
            <w:r>
              <w:rPr>
                <w:rFonts w:hint="eastAsia" w:ascii="宋体" w:hAnsi="宋体" w:cs="宋体"/>
                <w:szCs w:val="18"/>
                <w:highlight w:val="none"/>
              </w:rPr>
              <w:t>★</w:t>
            </w:r>
            <w:r>
              <w:rPr>
                <w:rFonts w:hint="eastAsia" w:ascii="宋体" w:hAnsi="宋体" w:cs="宋体"/>
                <w:color w:val="000000"/>
                <w:szCs w:val="21"/>
                <w:highlight w:val="none"/>
              </w:rPr>
              <w:t>（1）温度范围：+60℃-+250℃可任意设置；</w:t>
            </w:r>
          </w:p>
          <w:p w14:paraId="683B0CB3">
            <w:pPr>
              <w:spacing w:line="400" w:lineRule="exact"/>
              <w:rPr>
                <w:rFonts w:hint="eastAsia" w:ascii="宋体" w:hAnsi="宋体" w:cs="宋体"/>
                <w:color w:val="000000"/>
                <w:szCs w:val="21"/>
                <w:highlight w:val="none"/>
              </w:rPr>
            </w:pPr>
            <w:r>
              <w:rPr>
                <w:rFonts w:hint="eastAsia" w:ascii="宋体" w:hAnsi="宋体" w:cs="宋体"/>
                <w:color w:val="000000"/>
                <w:szCs w:val="21"/>
                <w:highlight w:val="none"/>
              </w:rPr>
              <w:t>（2）温度显示误差：±0.3％；</w:t>
            </w:r>
          </w:p>
          <w:p w14:paraId="3C631BE6">
            <w:pPr>
              <w:spacing w:line="400" w:lineRule="exact"/>
              <w:rPr>
                <w:rFonts w:hint="eastAsia" w:ascii="宋体" w:hAnsi="宋体" w:cs="宋体"/>
                <w:color w:val="000000"/>
                <w:szCs w:val="21"/>
                <w:highlight w:val="none"/>
              </w:rPr>
            </w:pPr>
            <w:r>
              <w:rPr>
                <w:rFonts w:hint="eastAsia" w:ascii="宋体" w:hAnsi="宋体" w:cs="宋体"/>
                <w:szCs w:val="18"/>
                <w:highlight w:val="none"/>
              </w:rPr>
              <w:t>●</w:t>
            </w:r>
            <w:r>
              <w:rPr>
                <w:rFonts w:hint="eastAsia" w:ascii="宋体" w:hAnsi="宋体" w:cs="宋体"/>
                <w:color w:val="000000"/>
                <w:szCs w:val="21"/>
                <w:highlight w:val="none"/>
              </w:rPr>
              <w:t>（3）温度控制精度±0.5℃；</w:t>
            </w:r>
          </w:p>
          <w:p w14:paraId="41321D79">
            <w:pPr>
              <w:spacing w:line="400" w:lineRule="exact"/>
              <w:rPr>
                <w:rFonts w:hint="eastAsia" w:ascii="宋体" w:hAnsi="宋体" w:cs="宋体"/>
                <w:color w:val="000000"/>
                <w:szCs w:val="21"/>
                <w:highlight w:val="none"/>
              </w:rPr>
            </w:pPr>
            <w:r>
              <w:rPr>
                <w:rFonts w:hint="eastAsia" w:ascii="宋体" w:hAnsi="宋体" w:cs="宋体"/>
                <w:color w:val="000000"/>
                <w:szCs w:val="21"/>
                <w:highlight w:val="none"/>
              </w:rPr>
              <w:t>（4）温度均匀性：175℃在±1.5%以內(空炉测试)，机台冲温温度不超过设定温度+3℃；</w:t>
            </w:r>
          </w:p>
          <w:p w14:paraId="3AA17968">
            <w:pPr>
              <w:spacing w:line="400" w:lineRule="exact"/>
              <w:rPr>
                <w:rFonts w:hint="eastAsia" w:ascii="宋体" w:hAnsi="宋体" w:cs="宋体"/>
                <w:color w:val="000000"/>
                <w:szCs w:val="21"/>
                <w:highlight w:val="none"/>
              </w:rPr>
            </w:pPr>
            <w:r>
              <w:rPr>
                <w:rFonts w:hint="eastAsia" w:ascii="宋体" w:hAnsi="宋体" w:cs="宋体"/>
                <w:color w:val="000000"/>
                <w:szCs w:val="21"/>
                <w:highlight w:val="none"/>
              </w:rPr>
              <w:t>（5）升温速度：室温升至175℃≤30min（空炉）；</w:t>
            </w:r>
          </w:p>
          <w:p w14:paraId="5FBB6B70">
            <w:pPr>
              <w:spacing w:line="400" w:lineRule="exact"/>
              <w:rPr>
                <w:rFonts w:hint="eastAsia" w:ascii="宋体" w:hAnsi="宋体" w:cs="宋体"/>
                <w:color w:val="000000"/>
                <w:szCs w:val="21"/>
                <w:highlight w:val="none"/>
              </w:rPr>
            </w:pPr>
            <w:r>
              <w:rPr>
                <w:rFonts w:hint="eastAsia" w:ascii="宋体" w:hAnsi="宋体" w:cs="宋体"/>
                <w:szCs w:val="18"/>
                <w:highlight w:val="none"/>
              </w:rPr>
              <w:t>■</w:t>
            </w:r>
            <w:r>
              <w:rPr>
                <w:rFonts w:hint="eastAsia" w:ascii="宋体" w:hAnsi="宋体" w:cs="宋体"/>
                <w:color w:val="000000"/>
                <w:szCs w:val="21"/>
                <w:highlight w:val="none"/>
              </w:rPr>
              <w:t>（6）自175℃降温至80℃时间：≤30min（空炉）；（7）含氧量在200PPM以下，氮气不充时会发出警报；（8）能够实现联网调用程序和温度监控；</w:t>
            </w:r>
          </w:p>
          <w:p w14:paraId="34158DAA">
            <w:pPr>
              <w:spacing w:line="400" w:lineRule="exact"/>
              <w:rPr>
                <w:rFonts w:hint="eastAsia" w:ascii="宋体" w:hAnsi="宋体" w:cs="宋体"/>
                <w:color w:val="000000"/>
                <w:szCs w:val="21"/>
                <w:highlight w:val="none"/>
              </w:rPr>
            </w:pPr>
            <w:r>
              <w:rPr>
                <w:rFonts w:hint="eastAsia" w:ascii="宋体" w:hAnsi="宋体" w:cs="宋体"/>
                <w:color w:val="000000"/>
                <w:szCs w:val="21"/>
                <w:highlight w:val="none"/>
              </w:rPr>
              <w:t>（9）内尺寸: ≥500×500×500mm</w:t>
            </w:r>
            <w:r>
              <w:rPr>
                <w:rFonts w:hint="eastAsia" w:ascii="宋体" w:hAnsi="宋体" w:cs="宋体"/>
                <w:color w:val="000000"/>
                <w:szCs w:val="21"/>
                <w:highlight w:val="none"/>
                <w:vertAlign w:val="superscript"/>
              </w:rPr>
              <w:t>3</w:t>
            </w:r>
            <w:r>
              <w:rPr>
                <w:rFonts w:hint="eastAsia" w:ascii="宋体" w:hAnsi="宋体" w:cs="宋体"/>
                <w:color w:val="000000"/>
                <w:szCs w:val="21"/>
                <w:highlight w:val="none"/>
              </w:rPr>
              <w:t>；</w:t>
            </w:r>
          </w:p>
          <w:p w14:paraId="39E894C4">
            <w:pPr>
              <w:spacing w:line="400" w:lineRule="exact"/>
              <w:rPr>
                <w:rFonts w:hint="eastAsia" w:ascii="宋体" w:hAnsi="宋体" w:cs="宋体"/>
                <w:color w:val="000000"/>
                <w:szCs w:val="21"/>
                <w:highlight w:val="none"/>
              </w:rPr>
            </w:pPr>
            <w:r>
              <w:rPr>
                <w:rFonts w:hint="eastAsia" w:ascii="宋体" w:hAnsi="宋体" w:cs="宋体"/>
                <w:color w:val="000000"/>
                <w:szCs w:val="21"/>
                <w:highlight w:val="none"/>
              </w:rPr>
              <w:t>（10）冲氮系统：每箱独立单侧鼓风；附≥5点温度选择器，可查看炉内≥5点温度均匀度；控制系统需有过载保护和保险装置；要求具有温到计时，不升温报警功能；氮气、压缩空气管道要安装有过滤器；氮气不充时会发出警报；SUS管式电热器加热器，可整体抽出式安装；程序选择使用程序快速选择按钮。</w:t>
            </w:r>
            <w:bookmarkEnd w:id="18"/>
          </w:p>
          <w:p w14:paraId="2A9FED29">
            <w:pPr>
              <w:spacing w:line="400" w:lineRule="exact"/>
              <w:rPr>
                <w:rFonts w:hint="eastAsia" w:ascii="宋体" w:hAnsi="宋体" w:cs="宋体"/>
                <w:color w:val="000000"/>
                <w:szCs w:val="21"/>
                <w:highlight w:val="none"/>
              </w:rPr>
            </w:pPr>
            <w:r>
              <w:rPr>
                <w:rFonts w:hint="eastAsia" w:ascii="宋体" w:hAnsi="宋体" w:cs="宋体"/>
                <w:color w:val="auto"/>
                <w:szCs w:val="21"/>
                <w:highlight w:val="none"/>
              </w:rPr>
              <w:t>3.4 晶圆储存模块：</w:t>
            </w:r>
          </w:p>
          <w:p w14:paraId="5459FC16">
            <w:pPr>
              <w:spacing w:line="400" w:lineRule="exact"/>
              <w:rPr>
                <w:rFonts w:hint="eastAsia" w:ascii="宋体" w:hAnsi="宋体" w:cs="宋体"/>
                <w:color w:val="000000"/>
                <w:szCs w:val="21"/>
                <w:highlight w:val="none"/>
              </w:rPr>
            </w:pPr>
            <w:r>
              <w:rPr>
                <w:rFonts w:hint="eastAsia" w:ascii="宋体" w:hAnsi="宋体" w:cs="宋体"/>
                <w:szCs w:val="18"/>
                <w:highlight w:val="none"/>
              </w:rPr>
              <w:t>★</w:t>
            </w:r>
            <w:r>
              <w:rPr>
                <w:rFonts w:hint="eastAsia" w:ascii="宋体" w:hAnsi="宋体" w:cs="宋体"/>
                <w:color w:val="000000"/>
                <w:szCs w:val="21"/>
                <w:highlight w:val="none"/>
              </w:rPr>
              <w:t>（1）容积：≥1200L ；六门设计；</w:t>
            </w:r>
          </w:p>
          <w:p w14:paraId="1B28A8B1">
            <w:pPr>
              <w:spacing w:line="400" w:lineRule="exact"/>
              <w:rPr>
                <w:rFonts w:hint="eastAsia" w:ascii="宋体" w:hAnsi="宋体" w:cs="宋体"/>
                <w:color w:val="000000"/>
                <w:szCs w:val="21"/>
                <w:highlight w:val="none"/>
              </w:rPr>
            </w:pPr>
            <w:r>
              <w:rPr>
                <w:rFonts w:hint="eastAsia" w:ascii="宋体" w:hAnsi="宋体" w:cs="宋体"/>
                <w:color w:val="000000"/>
                <w:szCs w:val="21"/>
                <w:highlight w:val="none"/>
              </w:rPr>
              <w:t>（2）层板：5片不锈钢高载重层板；</w:t>
            </w:r>
          </w:p>
          <w:p w14:paraId="01DC59D5">
            <w:pPr>
              <w:spacing w:line="400" w:lineRule="exact"/>
              <w:rPr>
                <w:rFonts w:hint="eastAsia" w:ascii="宋体" w:hAnsi="宋体" w:cs="宋体"/>
                <w:color w:val="000000"/>
                <w:szCs w:val="21"/>
                <w:highlight w:val="none"/>
              </w:rPr>
            </w:pPr>
            <w:r>
              <w:rPr>
                <w:rFonts w:hint="eastAsia" w:ascii="宋体" w:hAnsi="宋体" w:cs="宋体"/>
                <w:color w:val="000000"/>
                <w:szCs w:val="21"/>
                <w:highlight w:val="none"/>
              </w:rPr>
              <w:t>（3）额定电压：220V；</w:t>
            </w:r>
          </w:p>
          <w:p w14:paraId="7D6EF773">
            <w:pPr>
              <w:spacing w:line="400" w:lineRule="exact"/>
              <w:rPr>
                <w:rFonts w:hint="eastAsia" w:ascii="宋体" w:hAnsi="宋体" w:cs="宋体"/>
                <w:color w:val="000000"/>
                <w:szCs w:val="21"/>
                <w:highlight w:val="none"/>
              </w:rPr>
            </w:pPr>
            <w:r>
              <w:rPr>
                <w:rFonts w:hint="eastAsia" w:ascii="宋体" w:hAnsi="宋体" w:cs="宋体"/>
                <w:color w:val="000000"/>
                <w:szCs w:val="21"/>
                <w:highlight w:val="none"/>
              </w:rPr>
              <w:t>（3）额定频率：50Hz-60Hz；</w:t>
            </w:r>
          </w:p>
          <w:p w14:paraId="2517E407">
            <w:pPr>
              <w:spacing w:line="400" w:lineRule="exact"/>
              <w:rPr>
                <w:rFonts w:hint="eastAsia" w:ascii="宋体" w:hAnsi="宋体" w:cs="宋体"/>
                <w:color w:val="000000"/>
                <w:szCs w:val="21"/>
                <w:highlight w:val="none"/>
              </w:rPr>
            </w:pPr>
            <w:r>
              <w:rPr>
                <w:rFonts w:hint="eastAsia" w:ascii="宋体" w:hAnsi="宋体" w:cs="宋体"/>
                <w:color w:val="000000"/>
                <w:szCs w:val="21"/>
                <w:highlight w:val="none"/>
              </w:rPr>
              <w:t>（4）柜体材质：≥1.2mm不锈钢材质，高强度结构柜身，高载重钢制层板；含加压高避震性避震胶条，柜门可视窗采用≥4mm钢化玻璃，采用压制式安装方法；</w:t>
            </w:r>
          </w:p>
          <w:p w14:paraId="2093A4A8">
            <w:pPr>
              <w:spacing w:line="400" w:lineRule="exact"/>
              <w:rPr>
                <w:rFonts w:hint="eastAsia" w:ascii="宋体" w:hAnsi="宋体" w:cs="宋体"/>
                <w:color w:val="000000"/>
                <w:szCs w:val="21"/>
                <w:highlight w:val="none"/>
              </w:rPr>
            </w:pPr>
            <w:r>
              <w:rPr>
                <w:rFonts w:hint="eastAsia" w:ascii="宋体" w:hAnsi="宋体" w:cs="宋体"/>
                <w:color w:val="000000"/>
                <w:szCs w:val="21"/>
                <w:highlight w:val="none"/>
              </w:rPr>
              <w:t>（5）湿度范围：1%-40%RH定点可调；湿度可设定,具有记忆功能，断电后无需再进行设置；湿度传感器的显示精度≤±3%RH；</w:t>
            </w:r>
          </w:p>
          <w:p w14:paraId="5B2078C7">
            <w:pPr>
              <w:spacing w:line="400" w:lineRule="exact"/>
              <w:rPr>
                <w:rFonts w:hint="eastAsia" w:ascii="宋体" w:hAnsi="宋体" w:cs="宋体"/>
                <w:color w:val="000000"/>
                <w:szCs w:val="21"/>
                <w:highlight w:val="none"/>
              </w:rPr>
            </w:pPr>
            <w:r>
              <w:rPr>
                <w:rFonts w:hint="eastAsia" w:ascii="宋体" w:hAnsi="宋体" w:cs="宋体"/>
                <w:color w:val="000000"/>
                <w:szCs w:val="21"/>
                <w:highlight w:val="none"/>
              </w:rPr>
              <w:t>（6）显示方式：数码显示，温湿度可同时显示，湿度显示范围0.1%-99.9% RH，温度显示范围0℃-99.9℃；显示分辨率：0.1；</w:t>
            </w:r>
          </w:p>
          <w:p w14:paraId="07C64988">
            <w:pPr>
              <w:spacing w:line="400" w:lineRule="exact"/>
              <w:rPr>
                <w:rFonts w:hint="eastAsia" w:ascii="宋体" w:hAnsi="宋体" w:cs="宋体"/>
                <w:color w:val="000000"/>
                <w:szCs w:val="21"/>
                <w:highlight w:val="none"/>
              </w:rPr>
            </w:pPr>
            <w:r>
              <w:rPr>
                <w:rFonts w:hint="eastAsia" w:ascii="宋体" w:hAnsi="宋体" w:cs="宋体"/>
                <w:color w:val="000000"/>
                <w:szCs w:val="21"/>
                <w:highlight w:val="none"/>
              </w:rPr>
              <w:t>（7）环保设计：低能源设计，不结霜、不滴水、低功率；</w:t>
            </w:r>
          </w:p>
          <w:p w14:paraId="5CFF94B6">
            <w:pPr>
              <w:spacing w:line="400" w:lineRule="exact"/>
              <w:rPr>
                <w:rFonts w:hint="eastAsia" w:ascii="宋体" w:hAnsi="宋体" w:cs="宋体"/>
                <w:color w:val="000000"/>
                <w:szCs w:val="21"/>
                <w:highlight w:val="none"/>
              </w:rPr>
            </w:pPr>
            <w:r>
              <w:rPr>
                <w:rFonts w:hint="eastAsia" w:ascii="宋体" w:hAnsi="宋体" w:cs="宋体"/>
                <w:color w:val="000000"/>
                <w:szCs w:val="21"/>
                <w:highlight w:val="none"/>
              </w:rPr>
              <w:t>（8）智能充氮：加装智能自动充氮系统，当湿度超过所设定值时，充氮系统就会自动启动充氮，有利于快速降湿和防止半导体等器件的氧化，并能节约氮气；</w:t>
            </w:r>
          </w:p>
          <w:p w14:paraId="53F8EDB2">
            <w:pPr>
              <w:spacing w:line="400" w:lineRule="exact"/>
              <w:rPr>
                <w:rFonts w:hint="eastAsia" w:ascii="宋体" w:hAnsi="宋体" w:cs="宋体"/>
                <w:color w:val="000000"/>
                <w:szCs w:val="21"/>
                <w:highlight w:val="none"/>
              </w:rPr>
            </w:pPr>
            <w:r>
              <w:rPr>
                <w:rFonts w:hint="eastAsia" w:ascii="宋体" w:hAnsi="宋体" w:cs="宋体"/>
                <w:color w:val="000000"/>
                <w:szCs w:val="21"/>
                <w:highlight w:val="none"/>
              </w:rPr>
              <w:t>（9）防静电设计：导地线和导静电刹车轮直接与大地相通，避免低湿所产生的静电；</w:t>
            </w:r>
          </w:p>
          <w:p w14:paraId="0FC3AEDE">
            <w:pPr>
              <w:spacing w:line="400" w:lineRule="exact"/>
              <w:rPr>
                <w:rFonts w:hint="eastAsia" w:ascii="宋体" w:hAnsi="宋体" w:cs="宋体"/>
                <w:color w:val="000000"/>
                <w:szCs w:val="21"/>
                <w:highlight w:val="none"/>
              </w:rPr>
            </w:pPr>
            <w:r>
              <w:rPr>
                <w:rFonts w:hint="eastAsia" w:ascii="宋体" w:hAnsi="宋体" w:cs="宋体"/>
                <w:color w:val="000000"/>
                <w:szCs w:val="21"/>
                <w:highlight w:val="none"/>
              </w:rPr>
              <w:t>（10）报警功能：加装湿度超标声光报警，当湿度超过设置值时则触发声光报警；</w:t>
            </w:r>
          </w:p>
          <w:p w14:paraId="61182F06">
            <w:pPr>
              <w:spacing w:line="400" w:lineRule="exact"/>
              <w:rPr>
                <w:rFonts w:hint="eastAsia" w:ascii="宋体" w:hAnsi="宋体" w:cs="宋体"/>
                <w:color w:val="000000"/>
                <w:szCs w:val="21"/>
                <w:highlight w:val="none"/>
              </w:rPr>
            </w:pPr>
            <w:r>
              <w:rPr>
                <w:rFonts w:hint="eastAsia" w:ascii="宋体" w:hAnsi="宋体" w:cs="宋体"/>
                <w:color w:val="000000"/>
                <w:szCs w:val="21"/>
                <w:highlight w:val="none"/>
              </w:rPr>
              <w:t>（11）温湿度校验：控制面板配置温湿度检验调整功能，方便将偏差过大的显示恢复到正常值，方便日常的检验和调整；</w:t>
            </w:r>
          </w:p>
          <w:p w14:paraId="77D0D1BE">
            <w:pPr>
              <w:spacing w:line="400" w:lineRule="exact"/>
              <w:rPr>
                <w:rFonts w:hint="eastAsia" w:ascii="宋体" w:hAnsi="宋体" w:cs="宋体"/>
                <w:color w:val="000000"/>
                <w:szCs w:val="21"/>
                <w:highlight w:val="none"/>
              </w:rPr>
            </w:pPr>
            <w:r>
              <w:rPr>
                <w:rFonts w:hint="eastAsia" w:ascii="宋体" w:hAnsi="宋体" w:cs="宋体"/>
                <w:color w:val="000000"/>
                <w:szCs w:val="21"/>
                <w:highlight w:val="none"/>
              </w:rPr>
              <w:t>（12）配置要求：温湿度显示系统及湿度控制系统；智能充氮系统；湿度超标声光报警系统；湿度控制系统软件、智能充氮控制系统软件。</w:t>
            </w:r>
          </w:p>
          <w:p w14:paraId="210B5AB0">
            <w:pPr>
              <w:spacing w:line="400" w:lineRule="exact"/>
              <w:rPr>
                <w:rFonts w:hint="eastAsia" w:ascii="宋体" w:hAnsi="宋体" w:cs="宋体"/>
                <w:color w:val="000000"/>
                <w:szCs w:val="21"/>
                <w:highlight w:val="none"/>
              </w:rPr>
            </w:pPr>
            <w:r>
              <w:rPr>
                <w:rFonts w:hint="eastAsia" w:ascii="宋体" w:hAnsi="宋体" w:cs="宋体"/>
                <w:color w:val="auto"/>
                <w:szCs w:val="21"/>
                <w:highlight w:val="none"/>
              </w:rPr>
              <w:t>3.</w:t>
            </w:r>
            <w:r>
              <w:rPr>
                <w:rFonts w:hint="eastAsia" w:ascii="宋体" w:hAnsi="宋体" w:cs="宋体"/>
                <w:color w:val="000000"/>
                <w:szCs w:val="21"/>
                <w:highlight w:val="none"/>
              </w:rPr>
              <w:t>5 粘结胶冷藏模组：</w:t>
            </w:r>
          </w:p>
          <w:p w14:paraId="4BA2E4BC">
            <w:pPr>
              <w:spacing w:line="400" w:lineRule="exact"/>
              <w:rPr>
                <w:rFonts w:hint="eastAsia" w:ascii="宋体" w:hAnsi="宋体" w:cs="宋体"/>
                <w:color w:val="000000"/>
                <w:szCs w:val="21"/>
                <w:highlight w:val="none"/>
              </w:rPr>
            </w:pPr>
            <w:r>
              <w:rPr>
                <w:rFonts w:hint="eastAsia" w:ascii="宋体" w:hAnsi="宋体" w:cs="宋体"/>
                <w:color w:val="000000"/>
                <w:szCs w:val="21"/>
                <w:highlight w:val="none"/>
              </w:rPr>
              <w:t>（1）双门；</w:t>
            </w:r>
          </w:p>
          <w:p w14:paraId="432DCF1F">
            <w:pPr>
              <w:spacing w:line="400" w:lineRule="exact"/>
              <w:rPr>
                <w:rFonts w:hint="eastAsia" w:ascii="宋体" w:hAnsi="宋体" w:cs="宋体"/>
                <w:color w:val="000000"/>
                <w:szCs w:val="21"/>
                <w:highlight w:val="none"/>
              </w:rPr>
            </w:pPr>
            <w:r>
              <w:rPr>
                <w:rFonts w:hint="eastAsia" w:ascii="宋体" w:hAnsi="宋体" w:cs="宋体"/>
                <w:color w:val="000000"/>
                <w:szCs w:val="21"/>
                <w:highlight w:val="none"/>
              </w:rPr>
              <w:t>（2）整体尺寸：≥600×700×1600mm</w:t>
            </w:r>
            <w:r>
              <w:rPr>
                <w:rFonts w:hint="eastAsia" w:ascii="宋体" w:hAnsi="宋体" w:cs="宋体"/>
                <w:color w:val="000000"/>
                <w:szCs w:val="21"/>
                <w:highlight w:val="none"/>
                <w:vertAlign w:val="superscript"/>
              </w:rPr>
              <w:t>3</w:t>
            </w:r>
            <w:r>
              <w:rPr>
                <w:rFonts w:hint="eastAsia" w:ascii="宋体" w:hAnsi="宋体" w:cs="宋体"/>
                <w:color w:val="000000"/>
                <w:szCs w:val="21"/>
                <w:highlight w:val="none"/>
              </w:rPr>
              <w:t>；</w:t>
            </w:r>
          </w:p>
          <w:p w14:paraId="4F6FB566">
            <w:pPr>
              <w:spacing w:line="400" w:lineRule="exact"/>
              <w:rPr>
                <w:rFonts w:hint="eastAsia" w:ascii="宋体" w:hAnsi="宋体" w:cs="宋体"/>
                <w:color w:val="000000"/>
                <w:szCs w:val="21"/>
                <w:highlight w:val="none"/>
              </w:rPr>
            </w:pPr>
            <w:r>
              <w:rPr>
                <w:rFonts w:hint="eastAsia" w:ascii="宋体" w:hAnsi="宋体" w:cs="宋体"/>
                <w:color w:val="000000"/>
                <w:szCs w:val="21"/>
                <w:highlight w:val="none"/>
              </w:rPr>
              <w:t>（3）总容量：≥400L；</w:t>
            </w:r>
          </w:p>
          <w:p w14:paraId="0B8EDB6E">
            <w:pPr>
              <w:spacing w:line="400" w:lineRule="exact"/>
              <w:rPr>
                <w:rFonts w:hint="eastAsia" w:ascii="宋体" w:hAnsi="宋体" w:cs="宋体"/>
                <w:color w:val="000000"/>
                <w:szCs w:val="21"/>
                <w:highlight w:val="none"/>
              </w:rPr>
            </w:pPr>
            <w:r>
              <w:rPr>
                <w:rFonts w:hint="eastAsia" w:ascii="宋体" w:hAnsi="宋体" w:cs="宋体"/>
                <w:color w:val="000000"/>
                <w:szCs w:val="21"/>
                <w:highlight w:val="none"/>
              </w:rPr>
              <w:t>（4）空间分区：冷藏室、冷冻室、变温室；</w:t>
            </w:r>
          </w:p>
          <w:p w14:paraId="0284C87B">
            <w:pPr>
              <w:spacing w:line="400" w:lineRule="exact"/>
              <w:rPr>
                <w:rFonts w:hint="eastAsia" w:ascii="宋体" w:hAnsi="宋体" w:cs="宋体"/>
                <w:color w:val="000000"/>
                <w:szCs w:val="21"/>
                <w:highlight w:val="none"/>
              </w:rPr>
            </w:pPr>
            <w:r>
              <w:rPr>
                <w:rFonts w:hint="eastAsia" w:ascii="宋体" w:hAnsi="宋体" w:cs="宋体"/>
                <w:color w:val="000000"/>
                <w:szCs w:val="21"/>
                <w:highlight w:val="none"/>
              </w:rPr>
              <w:t>（5）变温区间：-20°-40°；</w:t>
            </w:r>
          </w:p>
          <w:p w14:paraId="3B0BCF08">
            <w:pPr>
              <w:spacing w:line="400" w:lineRule="exact"/>
              <w:rPr>
                <w:rFonts w:hint="eastAsia" w:ascii="宋体" w:hAnsi="宋体" w:cs="宋体"/>
                <w:color w:val="000000"/>
                <w:szCs w:val="21"/>
                <w:highlight w:val="none"/>
              </w:rPr>
            </w:pPr>
            <w:r>
              <w:rPr>
                <w:rFonts w:hint="eastAsia" w:ascii="宋体" w:hAnsi="宋体" w:cs="宋体"/>
                <w:color w:val="000000"/>
                <w:szCs w:val="21"/>
                <w:highlight w:val="none"/>
              </w:rPr>
              <w:t>（6）冷冻能力：6.5KG/12H；</w:t>
            </w:r>
          </w:p>
          <w:p w14:paraId="4F123029">
            <w:pPr>
              <w:spacing w:line="400" w:lineRule="exact"/>
              <w:rPr>
                <w:rFonts w:hint="eastAsia" w:ascii="宋体" w:hAnsi="宋体" w:cs="宋体"/>
                <w:color w:val="000000"/>
                <w:szCs w:val="21"/>
                <w:highlight w:val="none"/>
              </w:rPr>
            </w:pPr>
            <w:r>
              <w:rPr>
                <w:rFonts w:hint="eastAsia" w:ascii="宋体" w:hAnsi="宋体" w:cs="宋体"/>
                <w:color w:val="000000"/>
                <w:szCs w:val="21"/>
                <w:highlight w:val="none"/>
              </w:rPr>
              <w:t>（7）温度偏差绝对值：≤2.5℃.</w:t>
            </w:r>
            <w:r>
              <w:rPr>
                <w:rFonts w:ascii="宋体" w:hAnsi="宋体" w:cs="宋体"/>
                <w:color w:val="000000"/>
                <w:szCs w:val="21"/>
                <w:highlight w:val="none"/>
              </w:rPr>
              <w:t xml:space="preserve"> </w:t>
            </w:r>
          </w:p>
          <w:p w14:paraId="07CE85F7">
            <w:pPr>
              <w:spacing w:line="400" w:lineRule="exact"/>
              <w:rPr>
                <w:rFonts w:hint="eastAsia" w:ascii="宋体" w:hAnsi="宋体" w:cs="宋体"/>
                <w:color w:val="000000"/>
                <w:szCs w:val="21"/>
                <w:highlight w:val="none"/>
              </w:rPr>
            </w:pPr>
            <w:r>
              <w:rPr>
                <w:rFonts w:hint="eastAsia" w:ascii="宋体" w:hAnsi="宋体" w:cs="宋体"/>
                <w:color w:val="auto"/>
                <w:szCs w:val="21"/>
                <w:highlight w:val="none"/>
              </w:rPr>
              <w:t>4.耦</w:t>
            </w:r>
            <w:r>
              <w:rPr>
                <w:rFonts w:hint="eastAsia" w:ascii="宋体" w:hAnsi="宋体" w:cs="宋体"/>
                <w:color w:val="000000"/>
                <w:szCs w:val="21"/>
                <w:highlight w:val="none"/>
              </w:rPr>
              <w:t>合模块：</w:t>
            </w:r>
          </w:p>
          <w:p w14:paraId="18F60BE1">
            <w:pPr>
              <w:spacing w:line="400" w:lineRule="exact"/>
              <w:rPr>
                <w:rFonts w:hint="eastAsia" w:ascii="宋体" w:hAnsi="宋体" w:cs="宋体"/>
                <w:color w:val="000000"/>
                <w:szCs w:val="21"/>
                <w:highlight w:val="none"/>
              </w:rPr>
            </w:pPr>
            <w:r>
              <w:rPr>
                <w:rFonts w:hint="eastAsia" w:ascii="宋体" w:hAnsi="宋体" w:cs="宋体"/>
                <w:szCs w:val="18"/>
                <w:highlight w:val="none"/>
              </w:rPr>
              <w:t>★</w:t>
            </w:r>
            <w:r>
              <w:rPr>
                <w:rFonts w:hint="eastAsia" w:ascii="宋体" w:hAnsi="宋体" w:cs="宋体"/>
                <w:color w:val="000000"/>
                <w:szCs w:val="21"/>
                <w:highlight w:val="none"/>
              </w:rPr>
              <w:t>（1）耦合的重复性：≤0.2dB；</w:t>
            </w:r>
          </w:p>
          <w:p w14:paraId="32328497">
            <w:pPr>
              <w:spacing w:line="400" w:lineRule="exact"/>
              <w:rPr>
                <w:rFonts w:hint="eastAsia" w:ascii="宋体" w:hAnsi="宋体" w:cs="宋体"/>
                <w:color w:val="000000"/>
                <w:szCs w:val="21"/>
                <w:highlight w:val="none"/>
              </w:rPr>
            </w:pPr>
            <w:r>
              <w:rPr>
                <w:rFonts w:hint="eastAsia" w:ascii="宋体" w:hAnsi="宋体" w:cs="宋体"/>
                <w:szCs w:val="18"/>
                <w:highlight w:val="none"/>
              </w:rPr>
              <w:t>●</w:t>
            </w:r>
            <w:r>
              <w:rPr>
                <w:rFonts w:hint="eastAsia" w:ascii="宋体" w:hAnsi="宋体" w:cs="宋体"/>
                <w:color w:val="000000"/>
                <w:szCs w:val="21"/>
                <w:highlight w:val="none"/>
              </w:rPr>
              <w:t>（2）耦合的准确性：≤0.2dB；</w:t>
            </w:r>
          </w:p>
          <w:p w14:paraId="57156421">
            <w:pPr>
              <w:spacing w:line="400" w:lineRule="exact"/>
              <w:rPr>
                <w:rFonts w:hint="eastAsia" w:ascii="宋体" w:hAnsi="宋体" w:cs="宋体"/>
                <w:color w:val="000000"/>
                <w:szCs w:val="21"/>
                <w:highlight w:val="none"/>
              </w:rPr>
            </w:pPr>
            <w:r>
              <w:rPr>
                <w:rFonts w:hint="eastAsia" w:ascii="宋体" w:hAnsi="宋体" w:cs="宋体"/>
                <w:color w:val="000000"/>
                <w:szCs w:val="21"/>
                <w:highlight w:val="none"/>
              </w:rPr>
              <w:t>（3）耦合时间：耦合时间：≤60s（单颗物料对光时间，不含上下料）；</w:t>
            </w:r>
          </w:p>
          <w:p w14:paraId="6AAF2692">
            <w:pPr>
              <w:spacing w:line="400" w:lineRule="exact"/>
              <w:rPr>
                <w:rFonts w:hint="eastAsia" w:ascii="宋体" w:hAnsi="宋体" w:cs="宋体"/>
                <w:color w:val="000000"/>
                <w:szCs w:val="21"/>
                <w:highlight w:val="none"/>
              </w:rPr>
            </w:pPr>
            <w:r>
              <w:rPr>
                <w:rFonts w:hint="eastAsia" w:ascii="宋体" w:hAnsi="宋体" w:cs="宋体"/>
                <w:color w:val="000000"/>
                <w:szCs w:val="21"/>
                <w:highlight w:val="none"/>
              </w:rPr>
              <w:t>（4）操作软件平台化，可自定义产品封装流程；</w:t>
            </w:r>
          </w:p>
          <w:p w14:paraId="5C678E0C">
            <w:pPr>
              <w:spacing w:line="400" w:lineRule="exact"/>
              <w:rPr>
                <w:rFonts w:hint="eastAsia" w:ascii="宋体" w:hAnsi="宋体" w:cs="宋体"/>
                <w:color w:val="000000"/>
                <w:szCs w:val="21"/>
                <w:highlight w:val="none"/>
              </w:rPr>
            </w:pPr>
            <w:r>
              <w:rPr>
                <w:rFonts w:hint="eastAsia" w:ascii="宋体" w:hAnsi="宋体" w:cs="宋体"/>
                <w:color w:val="000000"/>
                <w:szCs w:val="21"/>
                <w:highlight w:val="none"/>
              </w:rPr>
              <w:t>（5）设备可实现芯片和FA的自动和手动耦合，界面实时显示参数，耦合功能满足指标要求；</w:t>
            </w:r>
          </w:p>
          <w:p w14:paraId="0BC1487D">
            <w:pPr>
              <w:spacing w:line="400" w:lineRule="exact"/>
              <w:rPr>
                <w:rFonts w:hint="eastAsia" w:ascii="宋体" w:hAnsi="宋体" w:cs="宋体"/>
                <w:color w:val="000000"/>
                <w:szCs w:val="21"/>
                <w:highlight w:val="none"/>
              </w:rPr>
            </w:pPr>
            <w:r>
              <w:rPr>
                <w:rFonts w:hint="eastAsia" w:ascii="宋体" w:hAnsi="宋体" w:cs="宋体"/>
                <w:color w:val="000000"/>
                <w:szCs w:val="21"/>
                <w:highlight w:val="none"/>
              </w:rPr>
              <w:t>（6）耦合软件具有二次开发能力，支持低代码个性化需求的灵活应用；</w:t>
            </w:r>
          </w:p>
          <w:p w14:paraId="1106ACFE">
            <w:pPr>
              <w:spacing w:line="400" w:lineRule="exact"/>
              <w:rPr>
                <w:rFonts w:hint="eastAsia" w:ascii="宋体" w:hAnsi="宋体" w:cs="宋体"/>
                <w:color w:val="000000"/>
                <w:szCs w:val="21"/>
                <w:highlight w:val="none"/>
              </w:rPr>
            </w:pPr>
            <w:r>
              <w:rPr>
                <w:rFonts w:hint="eastAsia" w:ascii="宋体" w:hAnsi="宋体" w:cs="宋体"/>
                <w:color w:val="000000"/>
                <w:szCs w:val="21"/>
                <w:highlight w:val="none"/>
              </w:rPr>
              <w:t>（7）具备账户管理功能，可根据需要灵活创建账户、工艺，支持不同的账户进入个性化界面配置；</w:t>
            </w:r>
          </w:p>
          <w:p w14:paraId="48274DFC">
            <w:pPr>
              <w:spacing w:line="400" w:lineRule="exact"/>
              <w:rPr>
                <w:rFonts w:hint="eastAsia" w:ascii="宋体" w:hAnsi="宋体" w:cs="宋体"/>
                <w:color w:val="000000"/>
                <w:szCs w:val="21"/>
                <w:highlight w:val="none"/>
              </w:rPr>
            </w:pPr>
            <w:r>
              <w:rPr>
                <w:rFonts w:hint="eastAsia" w:ascii="宋体" w:hAnsi="宋体" w:cs="宋体"/>
                <w:szCs w:val="18"/>
                <w:highlight w:val="none"/>
              </w:rPr>
              <w:t>■</w:t>
            </w:r>
            <w:r>
              <w:rPr>
                <w:rFonts w:hint="eastAsia" w:ascii="宋体" w:hAnsi="宋体" w:cs="宋体"/>
                <w:color w:val="000000"/>
                <w:szCs w:val="21"/>
                <w:highlight w:val="none"/>
              </w:rPr>
              <w:t>（8）XY直线电动轴：行程±15mm； Z轴行程0-12mm，最小分辨率0.05μm,重复定位精度±0.1μm；</w:t>
            </w:r>
          </w:p>
          <w:p w14:paraId="26E7A1DA">
            <w:pPr>
              <w:spacing w:line="400" w:lineRule="exact"/>
              <w:rPr>
                <w:rFonts w:hint="eastAsia" w:ascii="宋体" w:hAnsi="宋体" w:cs="宋体"/>
                <w:color w:val="000000"/>
                <w:szCs w:val="21"/>
                <w:highlight w:val="none"/>
              </w:rPr>
            </w:pPr>
            <w:r>
              <w:rPr>
                <w:rFonts w:hint="eastAsia" w:ascii="宋体" w:hAnsi="宋体" w:cs="宋体"/>
                <w:szCs w:val="18"/>
                <w:highlight w:val="none"/>
              </w:rPr>
              <w:t>●</w:t>
            </w:r>
            <w:r>
              <w:rPr>
                <w:rFonts w:hint="eastAsia" w:ascii="宋体" w:hAnsi="宋体" w:cs="宋体"/>
                <w:color w:val="000000"/>
                <w:szCs w:val="21"/>
                <w:highlight w:val="none"/>
              </w:rPr>
              <w:t>（9）θY滑台：行程:±8°，分辨率≤0.004°，重复定位精度：±0.005；</w:t>
            </w:r>
          </w:p>
          <w:p w14:paraId="1F38F1DA">
            <w:pPr>
              <w:spacing w:line="400" w:lineRule="exact"/>
              <w:rPr>
                <w:rFonts w:hint="eastAsia" w:ascii="宋体" w:hAnsi="宋体" w:cs="宋体"/>
                <w:color w:val="000000"/>
                <w:szCs w:val="21"/>
                <w:highlight w:val="none"/>
              </w:rPr>
            </w:pPr>
            <w:r>
              <w:rPr>
                <w:rFonts w:hint="eastAsia" w:ascii="宋体" w:hAnsi="宋体" w:cs="宋体"/>
                <w:szCs w:val="18"/>
                <w:highlight w:val="none"/>
              </w:rPr>
              <w:t>●</w:t>
            </w:r>
            <w:r>
              <w:rPr>
                <w:rFonts w:hint="eastAsia" w:ascii="宋体" w:hAnsi="宋体" w:cs="宋体"/>
                <w:color w:val="000000"/>
                <w:szCs w:val="21"/>
                <w:highlight w:val="none"/>
              </w:rPr>
              <w:t>（10）θX滑台：行程±6°分辨率：≤0.003°，重复定位精度0.003°；</w:t>
            </w:r>
          </w:p>
          <w:p w14:paraId="66A300E0">
            <w:pPr>
              <w:spacing w:line="400" w:lineRule="exact"/>
              <w:rPr>
                <w:rFonts w:hint="eastAsia" w:ascii="宋体" w:hAnsi="宋体" w:cs="宋体"/>
                <w:color w:val="000000"/>
                <w:szCs w:val="21"/>
                <w:highlight w:val="none"/>
              </w:rPr>
            </w:pPr>
            <w:r>
              <w:rPr>
                <w:rFonts w:hint="eastAsia" w:ascii="宋体" w:hAnsi="宋体" w:cs="宋体"/>
                <w:szCs w:val="18"/>
                <w:highlight w:val="none"/>
              </w:rPr>
              <w:t>●</w:t>
            </w:r>
            <w:r>
              <w:rPr>
                <w:rFonts w:hint="eastAsia" w:ascii="宋体" w:hAnsi="宋体" w:cs="宋体"/>
                <w:color w:val="000000"/>
                <w:szCs w:val="21"/>
                <w:highlight w:val="none"/>
              </w:rPr>
              <w:t>（11）θZ滑台，行程±8°，分辨率≤0.003°，重复定位精度0.005°；</w:t>
            </w:r>
          </w:p>
          <w:p w14:paraId="1665728F">
            <w:pPr>
              <w:spacing w:line="400" w:lineRule="exact"/>
              <w:rPr>
                <w:rFonts w:hint="eastAsia" w:ascii="宋体" w:hAnsi="宋体" w:cs="宋体"/>
                <w:color w:val="000000"/>
                <w:szCs w:val="21"/>
                <w:highlight w:val="none"/>
              </w:rPr>
            </w:pPr>
            <w:r>
              <w:rPr>
                <w:rFonts w:hint="eastAsia" w:ascii="宋体" w:hAnsi="宋体" w:cs="宋体"/>
                <w:color w:val="000000"/>
                <w:szCs w:val="21"/>
                <w:highlight w:val="none"/>
              </w:rPr>
              <w:t>（12）具备高于1000万像素网口相机；</w:t>
            </w:r>
          </w:p>
          <w:p w14:paraId="4CE8A1FA">
            <w:pPr>
              <w:spacing w:line="400" w:lineRule="exact"/>
              <w:rPr>
                <w:rFonts w:hint="eastAsia" w:ascii="宋体" w:hAnsi="宋体" w:cs="宋体"/>
                <w:color w:val="000000"/>
                <w:szCs w:val="21"/>
                <w:highlight w:val="none"/>
              </w:rPr>
            </w:pPr>
            <w:r>
              <w:rPr>
                <w:rFonts w:hint="eastAsia" w:ascii="宋体" w:hAnsi="宋体" w:cs="宋体"/>
                <w:color w:val="000000"/>
                <w:szCs w:val="21"/>
                <w:highlight w:val="none"/>
              </w:rPr>
              <w:t>（13）齐聚焦镜头：0.75-5X，放大倍率≥200X，LED环形灯；工作距离80-100mm；</w:t>
            </w:r>
          </w:p>
          <w:p w14:paraId="139ADF58">
            <w:pPr>
              <w:spacing w:line="400" w:lineRule="exact"/>
              <w:rPr>
                <w:rFonts w:hint="eastAsia" w:ascii="宋体" w:hAnsi="宋体" w:cs="宋体"/>
                <w:color w:val="000000"/>
                <w:szCs w:val="21"/>
                <w:highlight w:val="none"/>
              </w:rPr>
            </w:pPr>
            <w:r>
              <w:rPr>
                <w:rFonts w:hint="eastAsia" w:ascii="宋体" w:hAnsi="宋体" w:cs="宋体"/>
                <w:color w:val="000000"/>
                <w:szCs w:val="21"/>
                <w:highlight w:val="none"/>
              </w:rPr>
              <w:t>（14）调节结构：手动线性滑台行程200mm，镜头整体移动-XYX三维燕尾滑台,调节镜头位置及焦距,行程+/-15m；</w:t>
            </w:r>
          </w:p>
          <w:p w14:paraId="3776FF8C">
            <w:pPr>
              <w:spacing w:line="400" w:lineRule="exact"/>
              <w:rPr>
                <w:rFonts w:hint="eastAsia" w:ascii="宋体" w:hAnsi="宋体" w:cs="宋体"/>
                <w:color w:val="000000"/>
                <w:szCs w:val="21"/>
                <w:highlight w:val="none"/>
              </w:rPr>
            </w:pPr>
            <w:r>
              <w:rPr>
                <w:rFonts w:hint="eastAsia" w:ascii="宋体" w:hAnsi="宋体" w:cs="宋体"/>
                <w:color w:val="000000"/>
                <w:szCs w:val="21"/>
                <w:highlight w:val="none"/>
              </w:rPr>
              <w:t>（15）芯片夹具支持夹持bar的尺寸5-20 mm，重复装夹精度高于0.1mm；包含至少1个夹具：水平裸纤夹具 2个，垂直裸纤夹具2个，温控夹具1个，温控器1个，水平FA夹具2个，垂直FA夹具2个。</w:t>
            </w:r>
          </w:p>
          <w:p w14:paraId="6B3669C2">
            <w:pPr>
              <w:spacing w:line="400" w:lineRule="exact"/>
              <w:rPr>
                <w:rFonts w:hint="eastAsia" w:ascii="宋体" w:hAnsi="宋体" w:cs="宋体"/>
                <w:color w:val="000000"/>
                <w:szCs w:val="21"/>
                <w:highlight w:val="none"/>
              </w:rPr>
            </w:pPr>
            <w:r>
              <w:rPr>
                <w:rFonts w:hint="eastAsia" w:ascii="宋体" w:hAnsi="宋体" w:cs="宋体"/>
                <w:szCs w:val="18"/>
                <w:highlight w:val="none"/>
              </w:rPr>
              <w:t>●</w:t>
            </w:r>
            <w:r>
              <w:rPr>
                <w:rFonts w:hint="eastAsia" w:ascii="宋体" w:hAnsi="宋体" w:cs="宋体"/>
                <w:color w:val="000000"/>
                <w:szCs w:val="21"/>
                <w:highlight w:val="none"/>
              </w:rPr>
              <w:t>（16）配备手动耦合台。</w:t>
            </w:r>
          </w:p>
          <w:p w14:paraId="218437C2">
            <w:pPr>
              <w:spacing w:line="400" w:lineRule="exact"/>
              <w:rPr>
                <w:rFonts w:hint="eastAsia" w:ascii="宋体" w:hAnsi="宋体" w:cs="宋体"/>
                <w:color w:val="000000"/>
                <w:szCs w:val="21"/>
                <w:highlight w:val="none"/>
              </w:rPr>
            </w:pPr>
            <w:r>
              <w:rPr>
                <w:rFonts w:hint="eastAsia" w:ascii="宋体" w:hAnsi="宋体" w:cs="宋体"/>
                <w:color w:val="auto"/>
                <w:szCs w:val="21"/>
                <w:highlight w:val="none"/>
              </w:rPr>
              <w:t>5.</w:t>
            </w:r>
            <w:bookmarkStart w:id="19" w:name="_Hlk225781726"/>
            <w:r>
              <w:rPr>
                <w:rFonts w:hint="eastAsia" w:ascii="宋体" w:hAnsi="宋体" w:cs="宋体"/>
                <w:color w:val="auto"/>
                <w:szCs w:val="21"/>
                <w:highlight w:val="none"/>
              </w:rPr>
              <w:t>键合模块：</w:t>
            </w:r>
          </w:p>
          <w:p w14:paraId="685BBFC0">
            <w:pPr>
              <w:spacing w:line="400" w:lineRule="exact"/>
              <w:rPr>
                <w:rFonts w:hint="eastAsia" w:ascii="宋体" w:hAnsi="宋体" w:cs="宋体"/>
                <w:color w:val="000000"/>
                <w:szCs w:val="21"/>
                <w:highlight w:val="none"/>
              </w:rPr>
            </w:pPr>
            <w:r>
              <w:rPr>
                <w:rFonts w:hint="eastAsia" w:ascii="宋体" w:hAnsi="宋体" w:cs="宋体"/>
                <w:color w:val="000000"/>
                <w:szCs w:val="21"/>
                <w:highlight w:val="none"/>
              </w:rPr>
              <w:t>（1）兼容线径范围：15-50μm金线；</w:t>
            </w:r>
          </w:p>
          <w:p w14:paraId="22D82462">
            <w:pPr>
              <w:spacing w:line="400" w:lineRule="exact"/>
              <w:rPr>
                <w:rFonts w:hint="eastAsia" w:ascii="宋体" w:hAnsi="宋体" w:cs="宋体"/>
                <w:color w:val="000000"/>
                <w:szCs w:val="21"/>
                <w:highlight w:val="none"/>
              </w:rPr>
            </w:pPr>
            <w:r>
              <w:rPr>
                <w:rFonts w:hint="eastAsia" w:ascii="宋体" w:hAnsi="宋体" w:cs="宋体"/>
                <w:color w:val="000000"/>
                <w:szCs w:val="21"/>
                <w:highlight w:val="none"/>
              </w:rPr>
              <w:t>（2）最高键合速度：≥10线/秒；</w:t>
            </w:r>
          </w:p>
          <w:p w14:paraId="58F89233">
            <w:pPr>
              <w:spacing w:line="400" w:lineRule="exact"/>
              <w:rPr>
                <w:rFonts w:hint="eastAsia" w:ascii="宋体" w:hAnsi="宋体" w:cs="宋体"/>
                <w:color w:val="000000"/>
                <w:szCs w:val="21"/>
                <w:highlight w:val="none"/>
              </w:rPr>
            </w:pPr>
            <w:r>
              <w:rPr>
                <w:rFonts w:hint="eastAsia" w:ascii="宋体" w:hAnsi="宋体" w:cs="宋体"/>
                <w:szCs w:val="18"/>
                <w:highlight w:val="none"/>
              </w:rPr>
              <w:t>★</w:t>
            </w:r>
            <w:r>
              <w:rPr>
                <w:rFonts w:hint="eastAsia" w:ascii="宋体" w:hAnsi="宋体" w:cs="宋体"/>
                <w:color w:val="000000"/>
                <w:szCs w:val="21"/>
                <w:highlight w:val="none"/>
              </w:rPr>
              <w:t>（3）键合总定位精度：≤±3μm；</w:t>
            </w:r>
          </w:p>
          <w:p w14:paraId="530D9D1F">
            <w:pPr>
              <w:spacing w:line="400" w:lineRule="exact"/>
              <w:rPr>
                <w:rFonts w:hint="eastAsia" w:ascii="宋体" w:hAnsi="宋体" w:cs="宋体"/>
                <w:color w:val="000000"/>
                <w:szCs w:val="21"/>
                <w:highlight w:val="none"/>
              </w:rPr>
            </w:pPr>
            <w:r>
              <w:rPr>
                <w:rFonts w:hint="eastAsia" w:ascii="宋体" w:hAnsi="宋体" w:cs="宋体"/>
                <w:color w:val="000000"/>
                <w:szCs w:val="21"/>
                <w:highlight w:val="none"/>
              </w:rPr>
              <w:t>（4）微间距能力：≤50μm直列式布置@3sigma；</w:t>
            </w:r>
          </w:p>
          <w:p w14:paraId="4C518BFF">
            <w:pPr>
              <w:spacing w:line="400" w:lineRule="exact"/>
              <w:rPr>
                <w:rFonts w:hint="eastAsia" w:ascii="宋体" w:hAnsi="宋体" w:cs="宋体"/>
                <w:color w:val="000000"/>
                <w:szCs w:val="21"/>
                <w:highlight w:val="none"/>
              </w:rPr>
            </w:pPr>
            <w:r>
              <w:rPr>
                <w:rFonts w:hint="eastAsia" w:ascii="宋体" w:hAnsi="宋体" w:cs="宋体"/>
                <w:color w:val="000000"/>
                <w:szCs w:val="21"/>
                <w:highlight w:val="none"/>
              </w:rPr>
              <w:t>（5）键合区域尺寸：X轴向≥56mm, Y轴向≥80mm；</w:t>
            </w:r>
          </w:p>
          <w:p w14:paraId="6F749864">
            <w:pPr>
              <w:spacing w:line="400" w:lineRule="exact"/>
              <w:rPr>
                <w:rFonts w:hint="eastAsia" w:ascii="宋体" w:hAnsi="宋体" w:cs="宋体"/>
                <w:color w:val="000000"/>
                <w:szCs w:val="21"/>
                <w:highlight w:val="none"/>
              </w:rPr>
            </w:pPr>
            <w:r>
              <w:rPr>
                <w:rFonts w:hint="eastAsia" w:ascii="宋体" w:hAnsi="宋体" w:cs="宋体"/>
                <w:szCs w:val="18"/>
                <w:highlight w:val="none"/>
              </w:rPr>
              <w:t>■</w:t>
            </w:r>
            <w:r>
              <w:rPr>
                <w:rFonts w:hint="eastAsia" w:ascii="宋体" w:hAnsi="宋体" w:cs="宋体"/>
                <w:color w:val="000000"/>
                <w:szCs w:val="21"/>
                <w:highlight w:val="none"/>
              </w:rPr>
              <w:t>（6）键合腔深：≥6mm；</w:t>
            </w:r>
          </w:p>
          <w:p w14:paraId="67071D9A">
            <w:pPr>
              <w:spacing w:line="400" w:lineRule="exact"/>
              <w:rPr>
                <w:rFonts w:hint="eastAsia" w:ascii="宋体" w:hAnsi="宋体" w:cs="宋体"/>
                <w:color w:val="000000"/>
                <w:szCs w:val="21"/>
                <w:highlight w:val="none"/>
              </w:rPr>
            </w:pPr>
            <w:r>
              <w:rPr>
                <w:rFonts w:hint="eastAsia" w:ascii="宋体" w:hAnsi="宋体" w:cs="宋体"/>
                <w:szCs w:val="18"/>
                <w:highlight w:val="none"/>
              </w:rPr>
              <w:t>●</w:t>
            </w:r>
            <w:r>
              <w:rPr>
                <w:rFonts w:hint="eastAsia" w:ascii="宋体" w:hAnsi="宋体" w:cs="宋体"/>
                <w:color w:val="000000"/>
                <w:szCs w:val="21"/>
                <w:highlight w:val="none"/>
              </w:rPr>
              <w:t>（7）焊球大小控制：1.5-3倍焊线直径可编程控制；（8）补球功能：具有键合后立刻补球功能；</w:t>
            </w:r>
          </w:p>
          <w:p w14:paraId="17077EBB">
            <w:pPr>
              <w:spacing w:line="400" w:lineRule="exact"/>
              <w:rPr>
                <w:rFonts w:hint="eastAsia" w:ascii="宋体" w:hAnsi="宋体" w:cs="宋体"/>
                <w:color w:val="000000"/>
                <w:szCs w:val="21"/>
                <w:highlight w:val="none"/>
              </w:rPr>
            </w:pPr>
            <w:r>
              <w:rPr>
                <w:rFonts w:hint="eastAsia" w:ascii="宋体" w:hAnsi="宋体" w:cs="宋体"/>
                <w:color w:val="000000"/>
                <w:szCs w:val="21"/>
                <w:highlight w:val="none"/>
              </w:rPr>
              <w:t>（9）焊线最大长度：≥7.6mm (0.300〞)（焊线直径25.4μm）;</w:t>
            </w:r>
          </w:p>
          <w:p w14:paraId="159580FC">
            <w:pPr>
              <w:spacing w:line="400" w:lineRule="exact"/>
              <w:rPr>
                <w:rFonts w:hint="eastAsia" w:ascii="宋体" w:hAnsi="宋体" w:cs="宋体"/>
                <w:color w:val="000000"/>
                <w:szCs w:val="21"/>
                <w:highlight w:val="none"/>
              </w:rPr>
            </w:pPr>
            <w:r>
              <w:rPr>
                <w:rFonts w:hint="eastAsia" w:ascii="宋体" w:hAnsi="宋体" w:cs="宋体"/>
                <w:color w:val="000000"/>
                <w:szCs w:val="21"/>
                <w:highlight w:val="none"/>
              </w:rPr>
              <w:t>（10）最小线弧高度（焊线直径25.4μm）：≤100μm；（11）焊接压力控制：5-300g，可编程可控制；</w:t>
            </w:r>
          </w:p>
          <w:p w14:paraId="23820E1A">
            <w:pPr>
              <w:spacing w:line="400" w:lineRule="exact"/>
              <w:rPr>
                <w:rFonts w:hint="eastAsia" w:ascii="宋体" w:hAnsi="宋体" w:cs="宋体"/>
                <w:color w:val="000000"/>
                <w:szCs w:val="21"/>
                <w:highlight w:val="none"/>
              </w:rPr>
            </w:pPr>
            <w:r>
              <w:rPr>
                <w:rFonts w:hint="eastAsia" w:ascii="宋体" w:hAnsi="宋体" w:cs="宋体"/>
                <w:color w:val="000000"/>
                <w:szCs w:val="21"/>
                <w:highlight w:val="none"/>
              </w:rPr>
              <w:t>（12）线轴尺寸：2英寸，全自动送线模式；</w:t>
            </w:r>
          </w:p>
          <w:p w14:paraId="4F63CB05">
            <w:pPr>
              <w:spacing w:line="400" w:lineRule="exact"/>
              <w:rPr>
                <w:rFonts w:hint="eastAsia" w:ascii="宋体" w:hAnsi="宋体" w:cs="宋体"/>
                <w:color w:val="000000"/>
                <w:szCs w:val="21"/>
                <w:highlight w:val="none"/>
              </w:rPr>
            </w:pPr>
            <w:r>
              <w:rPr>
                <w:rFonts w:hint="eastAsia" w:ascii="宋体" w:hAnsi="宋体" w:cs="宋体"/>
                <w:color w:val="000000"/>
                <w:szCs w:val="21"/>
                <w:highlight w:val="none"/>
              </w:rPr>
              <w:t>（13）双频换能器：焊接频率（120KHz，50KHz）可切换；</w:t>
            </w:r>
          </w:p>
          <w:p w14:paraId="427054E9">
            <w:pPr>
              <w:spacing w:line="400" w:lineRule="exact"/>
              <w:rPr>
                <w:rFonts w:hint="eastAsia" w:ascii="宋体" w:hAnsi="宋体" w:cs="宋体"/>
                <w:color w:val="000000"/>
                <w:szCs w:val="21"/>
                <w:highlight w:val="none"/>
              </w:rPr>
            </w:pPr>
            <w:r>
              <w:rPr>
                <w:rFonts w:hint="eastAsia" w:ascii="宋体" w:hAnsi="宋体" w:cs="宋体"/>
                <w:szCs w:val="18"/>
                <w:highlight w:val="none"/>
              </w:rPr>
              <w:t>●</w:t>
            </w:r>
            <w:r>
              <w:rPr>
                <w:rFonts w:hint="eastAsia" w:ascii="宋体" w:hAnsi="宋体" w:cs="宋体"/>
                <w:color w:val="000000"/>
                <w:szCs w:val="21"/>
                <w:highlight w:val="none"/>
              </w:rPr>
              <w:t>（14）焊接区温度控制：室温-200℃；</w:t>
            </w:r>
          </w:p>
          <w:p w14:paraId="6A763D2B">
            <w:pPr>
              <w:spacing w:line="400" w:lineRule="exact"/>
              <w:rPr>
                <w:rFonts w:hint="eastAsia" w:ascii="宋体" w:hAnsi="宋体" w:cs="宋体"/>
                <w:color w:val="000000"/>
                <w:szCs w:val="21"/>
                <w:highlight w:val="none"/>
              </w:rPr>
            </w:pPr>
            <w:r>
              <w:rPr>
                <w:rFonts w:hint="eastAsia" w:ascii="宋体" w:hAnsi="宋体" w:cs="宋体"/>
                <w:color w:val="000000"/>
                <w:szCs w:val="21"/>
                <w:highlight w:val="none"/>
              </w:rPr>
              <w:t>（15）键合时自动检测：具备有小球侦测、失线侦测、断线侦测、失球侦测功能；</w:t>
            </w:r>
          </w:p>
          <w:p w14:paraId="5515823F">
            <w:pPr>
              <w:spacing w:line="400" w:lineRule="exact"/>
              <w:rPr>
                <w:rFonts w:hint="eastAsia" w:ascii="宋体" w:hAnsi="宋体" w:cs="宋体"/>
                <w:color w:val="000000"/>
                <w:szCs w:val="21"/>
                <w:highlight w:val="none"/>
              </w:rPr>
            </w:pPr>
            <w:r>
              <w:rPr>
                <w:rFonts w:hint="eastAsia" w:ascii="宋体" w:hAnsi="宋体" w:cs="宋体"/>
                <w:color w:val="000000"/>
                <w:szCs w:val="21"/>
                <w:highlight w:val="none"/>
              </w:rPr>
              <w:t>（16）图象识别系统：具备先进的扫描视觉引擎，满足焊接时自动识别和自动校正；</w:t>
            </w:r>
          </w:p>
          <w:p w14:paraId="35328CBE">
            <w:pPr>
              <w:spacing w:line="400" w:lineRule="exact"/>
              <w:rPr>
                <w:rFonts w:hint="eastAsia" w:ascii="宋体" w:hAnsi="宋体" w:cs="宋体"/>
                <w:color w:val="000000"/>
                <w:szCs w:val="21"/>
                <w:highlight w:val="none"/>
              </w:rPr>
            </w:pPr>
            <w:r>
              <w:rPr>
                <w:rFonts w:hint="eastAsia" w:ascii="宋体" w:hAnsi="宋体" w:cs="宋体"/>
                <w:color w:val="000000"/>
                <w:szCs w:val="21"/>
                <w:highlight w:val="none"/>
              </w:rPr>
              <w:t>（17）摄像头系统：配备双倍光学放大系统(低倍1.5-2倍和高倍5-7倍)；</w:t>
            </w:r>
          </w:p>
          <w:p w14:paraId="6F4E3767">
            <w:pPr>
              <w:spacing w:line="400" w:lineRule="exact"/>
              <w:rPr>
                <w:rFonts w:hint="eastAsia" w:ascii="宋体" w:hAnsi="宋体" w:cs="宋体"/>
                <w:color w:val="000000"/>
                <w:szCs w:val="21"/>
                <w:highlight w:val="none"/>
              </w:rPr>
            </w:pPr>
            <w:r>
              <w:rPr>
                <w:rFonts w:hint="eastAsia" w:ascii="宋体" w:hAnsi="宋体" w:cs="宋体"/>
                <w:color w:val="000000"/>
                <w:szCs w:val="21"/>
                <w:highlight w:val="none"/>
              </w:rPr>
              <w:t>（18）照明系统：广角垂直照明及可编程的红蓝灯光，自动照明调节，可补偿芯片和光照的变化；</w:t>
            </w:r>
          </w:p>
          <w:p w14:paraId="26B05737">
            <w:pPr>
              <w:spacing w:line="400" w:lineRule="exact"/>
              <w:rPr>
                <w:rFonts w:hint="eastAsia" w:ascii="宋体" w:hAnsi="宋体" w:cs="宋体"/>
                <w:color w:val="000000"/>
                <w:szCs w:val="21"/>
                <w:highlight w:val="none"/>
              </w:rPr>
            </w:pPr>
            <w:r>
              <w:rPr>
                <w:rFonts w:hint="eastAsia" w:ascii="宋体" w:hAnsi="宋体" w:cs="宋体"/>
                <w:color w:val="000000"/>
                <w:szCs w:val="21"/>
                <w:highlight w:val="none"/>
              </w:rPr>
              <w:t>（19）图像识别角度容差：≥±5°；</w:t>
            </w:r>
          </w:p>
          <w:p w14:paraId="560EA8EE">
            <w:pPr>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（20）自动对焦系统：标配自动对焦系统；</w:t>
            </w:r>
          </w:p>
          <w:p w14:paraId="0B738509">
            <w:pPr>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（21）可升级实时工艺过程及性能监控功能；</w:t>
            </w:r>
          </w:p>
          <w:p w14:paraId="69C36430">
            <w:pPr>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（22）可升级生产数据分析和产品键合质量追溯功能；（23）可升级预防性维护监测与预测分析功能；</w:t>
            </w:r>
          </w:p>
          <w:p w14:paraId="07E76EF1">
            <w:pPr>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（24）轨道产品载盘配置要求：根据产品设计；</w:t>
            </w:r>
          </w:p>
          <w:p w14:paraId="5497BD6F">
            <w:pPr>
              <w:spacing w:line="400" w:lineRule="exact"/>
              <w:rPr>
                <w:rFonts w:hint="eastAsia" w:ascii="宋体" w:hAnsi="宋体" w:cs="宋体"/>
                <w:color w:val="000000"/>
                <w:szCs w:val="21"/>
                <w:highlight w:val="none"/>
              </w:rPr>
            </w:pPr>
            <w:r>
              <w:rPr>
                <w:rFonts w:hint="eastAsia" w:ascii="宋体" w:hAnsi="宋体" w:cs="宋体"/>
                <w:color w:val="000000" w:themeColor="text1"/>
                <w:szCs w:val="21"/>
                <w:highlight w:val="none"/>
                <w14:textFill>
                  <w14:solidFill>
                    <w14:schemeClr w14:val="tx1"/>
                  </w14:solidFill>
                </w14:textFill>
              </w:rPr>
              <w:t>（25）设备可通过选件升级实现细线楔形焊接功能；（26）设备内置不间断电源；</w:t>
            </w:r>
            <w:bookmarkEnd w:id="19"/>
          </w:p>
          <w:p w14:paraId="5C4B39C4">
            <w:pPr>
              <w:spacing w:line="400" w:lineRule="exact"/>
              <w:rPr>
                <w:rFonts w:hint="eastAsia" w:ascii="宋体" w:hAnsi="宋体" w:cs="宋体"/>
                <w:color w:val="000000"/>
                <w:szCs w:val="21"/>
                <w:highlight w:val="none"/>
              </w:rPr>
            </w:pPr>
            <w:r>
              <w:rPr>
                <w:rFonts w:hint="eastAsia" w:ascii="宋体" w:hAnsi="宋体" w:cs="宋体"/>
                <w:color w:val="auto"/>
                <w:szCs w:val="21"/>
                <w:highlight w:val="none"/>
              </w:rPr>
              <w:t>6.封焊模块：</w:t>
            </w:r>
          </w:p>
          <w:p w14:paraId="4CF40A5D">
            <w:pPr>
              <w:spacing w:line="400" w:lineRule="exact"/>
              <w:rPr>
                <w:rFonts w:hint="eastAsia" w:ascii="宋体" w:hAnsi="宋体" w:cs="宋体"/>
                <w:color w:val="000000"/>
                <w:szCs w:val="21"/>
                <w:highlight w:val="none"/>
              </w:rPr>
            </w:pPr>
            <w:r>
              <w:rPr>
                <w:rFonts w:hint="eastAsia" w:ascii="宋体" w:hAnsi="宋体" w:cs="宋体"/>
                <w:szCs w:val="18"/>
                <w:highlight w:val="none"/>
              </w:rPr>
              <w:t>●</w:t>
            </w:r>
            <w:r>
              <w:rPr>
                <w:rFonts w:hint="eastAsia" w:ascii="宋体" w:hAnsi="宋体" w:cs="宋体"/>
                <w:color w:val="000000"/>
                <w:szCs w:val="21"/>
                <w:highlight w:val="none"/>
              </w:rPr>
              <w:t>（1）焊接尺寸：3-200mm；</w:t>
            </w:r>
          </w:p>
          <w:p w14:paraId="493E7CC8">
            <w:pPr>
              <w:spacing w:line="400" w:lineRule="exact"/>
              <w:rPr>
                <w:rFonts w:hint="eastAsia" w:ascii="宋体" w:hAnsi="宋体" w:cs="宋体"/>
                <w:color w:val="000000"/>
                <w:szCs w:val="21"/>
                <w:highlight w:val="none"/>
              </w:rPr>
            </w:pPr>
            <w:r>
              <w:rPr>
                <w:rFonts w:hint="eastAsia" w:ascii="宋体" w:hAnsi="宋体" w:cs="宋体"/>
                <w:color w:val="000000"/>
                <w:szCs w:val="21"/>
                <w:highlight w:val="none"/>
              </w:rPr>
              <w:t>（2）焊接压力：0.8-5kg；</w:t>
            </w:r>
          </w:p>
          <w:p w14:paraId="7D45ED2E">
            <w:pPr>
              <w:spacing w:line="400" w:lineRule="exact"/>
              <w:rPr>
                <w:rFonts w:hint="eastAsia" w:ascii="宋体" w:hAnsi="宋体" w:cs="宋体"/>
                <w:color w:val="000000"/>
                <w:szCs w:val="21"/>
                <w:highlight w:val="none"/>
              </w:rPr>
            </w:pPr>
            <w:r>
              <w:rPr>
                <w:rFonts w:hint="eastAsia" w:ascii="宋体" w:hAnsi="宋体" w:cs="宋体"/>
                <w:color w:val="000000"/>
                <w:szCs w:val="21"/>
                <w:highlight w:val="none"/>
              </w:rPr>
              <w:t>（3）高度：62mm（可调）；</w:t>
            </w:r>
          </w:p>
          <w:p w14:paraId="7EA8E675">
            <w:pPr>
              <w:spacing w:line="400" w:lineRule="exact"/>
              <w:rPr>
                <w:rFonts w:hint="eastAsia" w:ascii="宋体" w:hAnsi="宋体" w:cs="宋体"/>
                <w:color w:val="000000"/>
                <w:szCs w:val="21"/>
                <w:highlight w:val="none"/>
              </w:rPr>
            </w:pPr>
            <w:r>
              <w:rPr>
                <w:rFonts w:hint="eastAsia" w:ascii="宋体" w:hAnsi="宋体" w:cs="宋体"/>
                <w:color w:val="000000"/>
                <w:szCs w:val="21"/>
                <w:highlight w:val="none"/>
              </w:rPr>
              <w:t>（4）脉冲频率：0.1-99ms；</w:t>
            </w:r>
          </w:p>
          <w:p w14:paraId="309E144F">
            <w:pPr>
              <w:spacing w:line="400" w:lineRule="exact"/>
              <w:rPr>
                <w:rFonts w:hint="eastAsia" w:ascii="宋体" w:hAnsi="宋体" w:cs="宋体"/>
                <w:color w:val="000000"/>
                <w:szCs w:val="21"/>
                <w:highlight w:val="none"/>
              </w:rPr>
            </w:pPr>
            <w:r>
              <w:rPr>
                <w:rFonts w:hint="eastAsia" w:ascii="宋体" w:hAnsi="宋体" w:cs="宋体"/>
                <w:szCs w:val="18"/>
                <w:highlight w:val="none"/>
              </w:rPr>
              <w:t>■</w:t>
            </w:r>
            <w:r>
              <w:rPr>
                <w:rFonts w:hint="eastAsia" w:ascii="宋体" w:hAnsi="宋体" w:cs="宋体"/>
                <w:color w:val="000000"/>
                <w:szCs w:val="21"/>
                <w:highlight w:val="none"/>
              </w:rPr>
              <w:t>（5）X,Y轴精度：±3um；</w:t>
            </w:r>
          </w:p>
          <w:p w14:paraId="3B7DF3A4">
            <w:pPr>
              <w:spacing w:line="400" w:lineRule="exact"/>
              <w:rPr>
                <w:rFonts w:hint="eastAsia" w:ascii="宋体" w:hAnsi="宋体" w:cs="宋体"/>
                <w:color w:val="000000"/>
                <w:szCs w:val="21"/>
                <w:highlight w:val="none"/>
              </w:rPr>
            </w:pPr>
            <w:r>
              <w:rPr>
                <w:rFonts w:hint="eastAsia" w:ascii="宋体" w:hAnsi="宋体" w:cs="宋体"/>
                <w:color w:val="000000"/>
                <w:szCs w:val="21"/>
                <w:highlight w:val="none"/>
              </w:rPr>
              <w:t>（6）旋转精度：±45弧秒；</w:t>
            </w:r>
          </w:p>
          <w:p w14:paraId="69F8A55B">
            <w:pPr>
              <w:spacing w:line="400" w:lineRule="exact"/>
              <w:rPr>
                <w:rFonts w:hint="eastAsia" w:ascii="宋体" w:hAnsi="宋体" w:cs="宋体"/>
                <w:color w:val="000000"/>
                <w:szCs w:val="21"/>
                <w:highlight w:val="none"/>
              </w:rPr>
            </w:pPr>
            <w:r>
              <w:rPr>
                <w:rFonts w:hint="eastAsia" w:ascii="宋体" w:hAnsi="宋体" w:cs="宋体"/>
                <w:color w:val="000000"/>
                <w:szCs w:val="21"/>
                <w:highlight w:val="none"/>
              </w:rPr>
              <w:t>（7）旋转台：360度；</w:t>
            </w:r>
          </w:p>
          <w:p w14:paraId="02EC788B">
            <w:pPr>
              <w:spacing w:line="400" w:lineRule="exact"/>
              <w:rPr>
                <w:rFonts w:hint="eastAsia" w:ascii="宋体" w:hAnsi="宋体" w:cs="宋体"/>
                <w:color w:val="000000"/>
                <w:szCs w:val="21"/>
                <w:highlight w:val="none"/>
              </w:rPr>
            </w:pPr>
            <w:r>
              <w:rPr>
                <w:rFonts w:hint="eastAsia" w:ascii="宋体" w:hAnsi="宋体" w:cs="宋体"/>
                <w:color w:val="000000"/>
                <w:szCs w:val="21"/>
                <w:highlight w:val="none"/>
              </w:rPr>
              <w:t>（8）最大焊接速度：≥40mm/秒；</w:t>
            </w:r>
          </w:p>
          <w:p w14:paraId="44D90FDD">
            <w:pPr>
              <w:spacing w:line="400" w:lineRule="exact"/>
              <w:rPr>
                <w:rFonts w:hint="eastAsia" w:ascii="宋体" w:hAnsi="宋体" w:cs="宋体"/>
                <w:color w:val="000000"/>
                <w:szCs w:val="21"/>
                <w:highlight w:val="none"/>
              </w:rPr>
            </w:pPr>
            <w:r>
              <w:rPr>
                <w:rFonts w:hint="eastAsia" w:ascii="宋体" w:hAnsi="宋体" w:cs="宋体"/>
                <w:color w:val="000000"/>
                <w:szCs w:val="21"/>
                <w:highlight w:val="none"/>
              </w:rPr>
              <w:t>（9）电流大小：2000A或2500A；</w:t>
            </w:r>
          </w:p>
          <w:p w14:paraId="564260EF">
            <w:pPr>
              <w:spacing w:line="400" w:lineRule="exact"/>
              <w:rPr>
                <w:rFonts w:hint="eastAsia" w:ascii="宋体" w:hAnsi="宋体" w:cs="宋体"/>
                <w:color w:val="000000"/>
                <w:szCs w:val="21"/>
                <w:highlight w:val="none"/>
              </w:rPr>
            </w:pPr>
            <w:r>
              <w:rPr>
                <w:rFonts w:hint="eastAsia" w:ascii="宋体" w:hAnsi="宋体" w:cs="宋体"/>
                <w:color w:val="000000"/>
                <w:szCs w:val="21"/>
                <w:highlight w:val="none"/>
              </w:rPr>
              <w:t>（10）焊接类型：ONE-PASS矩形，FOUR-PASS四边形，FAST-TACK点焊；</w:t>
            </w:r>
          </w:p>
          <w:p w14:paraId="4B8DA4E3">
            <w:pPr>
              <w:spacing w:line="400" w:lineRule="exact"/>
              <w:rPr>
                <w:rFonts w:hint="eastAsia" w:ascii="宋体" w:hAnsi="宋体" w:cs="宋体"/>
                <w:color w:val="000000"/>
                <w:szCs w:val="21"/>
                <w:highlight w:val="none"/>
              </w:rPr>
            </w:pPr>
            <w:r>
              <w:rPr>
                <w:rFonts w:hint="eastAsia" w:ascii="宋体" w:hAnsi="宋体" w:cs="宋体"/>
                <w:color w:val="000000"/>
                <w:szCs w:val="21"/>
                <w:highlight w:val="none"/>
              </w:rPr>
              <w:t>（11）点焊功能：支持任意位置；</w:t>
            </w:r>
          </w:p>
          <w:p w14:paraId="13FB802B">
            <w:pPr>
              <w:spacing w:line="400" w:lineRule="exact"/>
              <w:rPr>
                <w:rFonts w:hint="eastAsia" w:ascii="宋体" w:hAnsi="宋体" w:cs="宋体"/>
                <w:color w:val="000000"/>
                <w:szCs w:val="21"/>
                <w:highlight w:val="none"/>
              </w:rPr>
            </w:pPr>
            <w:r>
              <w:rPr>
                <w:rFonts w:hint="eastAsia" w:ascii="宋体" w:hAnsi="宋体" w:cs="宋体"/>
                <w:color w:val="000000"/>
                <w:szCs w:val="21"/>
                <w:highlight w:val="none"/>
              </w:rPr>
              <w:t>（12）设备尺寸：≤L582×H480×W640mm</w:t>
            </w:r>
            <w:r>
              <w:rPr>
                <w:rFonts w:hint="eastAsia" w:ascii="宋体" w:hAnsi="宋体" w:cs="宋体"/>
                <w:color w:val="000000"/>
                <w:szCs w:val="21"/>
                <w:highlight w:val="none"/>
                <w:vertAlign w:val="superscript"/>
              </w:rPr>
              <w:t>3</w:t>
            </w:r>
            <w:r>
              <w:rPr>
                <w:rFonts w:hint="eastAsia" w:ascii="宋体" w:hAnsi="宋体" w:cs="宋体"/>
                <w:color w:val="000000"/>
                <w:szCs w:val="21"/>
                <w:highlight w:val="none"/>
              </w:rPr>
              <w:t>；</w:t>
            </w:r>
          </w:p>
          <w:p w14:paraId="3270B415">
            <w:pPr>
              <w:spacing w:line="400" w:lineRule="exact"/>
              <w:rPr>
                <w:rFonts w:hint="eastAsia" w:ascii="宋体" w:hAnsi="宋体" w:cs="宋体"/>
                <w:color w:val="000000"/>
                <w:szCs w:val="21"/>
                <w:highlight w:val="none"/>
              </w:rPr>
            </w:pPr>
            <w:r>
              <w:rPr>
                <w:rFonts w:hint="eastAsia" w:ascii="宋体" w:hAnsi="宋体" w:cs="宋体"/>
                <w:color w:val="000000"/>
                <w:szCs w:val="21"/>
                <w:highlight w:val="none"/>
              </w:rPr>
              <w:t>（14）安全保护措施：急停开关，双按钮启动，暂停等功能；</w:t>
            </w:r>
          </w:p>
          <w:p w14:paraId="28B967E4">
            <w:pPr>
              <w:spacing w:line="400" w:lineRule="exact"/>
              <w:rPr>
                <w:rFonts w:hint="eastAsia" w:ascii="宋体" w:hAnsi="宋体" w:cs="宋体"/>
                <w:color w:val="000000"/>
                <w:szCs w:val="21"/>
                <w:highlight w:val="none"/>
              </w:rPr>
            </w:pPr>
            <w:r>
              <w:rPr>
                <w:rFonts w:hint="eastAsia" w:ascii="宋体" w:hAnsi="宋体" w:cs="宋体"/>
                <w:color w:val="000000"/>
                <w:szCs w:val="21"/>
                <w:highlight w:val="none"/>
              </w:rPr>
              <w:t>7.</w:t>
            </w:r>
            <w:bookmarkStart w:id="20" w:name="_Hlk225781773"/>
            <w:r>
              <w:rPr>
                <w:rFonts w:hint="eastAsia" w:ascii="宋体" w:hAnsi="宋体" w:cs="宋体"/>
                <w:color w:val="000000" w:themeColor="text1"/>
                <w:szCs w:val="21"/>
                <w:highlight w:val="none"/>
                <w14:textFill>
                  <w14:solidFill>
                    <w14:schemeClr w14:val="tx1"/>
                  </w14:solidFill>
                </w14:textFill>
              </w:rPr>
              <w:t>老化、测试模块：</w:t>
            </w:r>
          </w:p>
          <w:p w14:paraId="6BD35CA2">
            <w:pPr>
              <w:spacing w:line="400" w:lineRule="exact"/>
              <w:rPr>
                <w:rFonts w:hint="eastAsia" w:ascii="宋体" w:hAnsi="宋体" w:cs="宋体"/>
                <w:color w:val="000000"/>
                <w:szCs w:val="21"/>
                <w:highlight w:val="none"/>
              </w:rPr>
            </w:pPr>
            <w:r>
              <w:rPr>
                <w:rFonts w:hint="eastAsia" w:ascii="宋体" w:hAnsi="宋体" w:cs="宋体"/>
                <w:color w:val="000000"/>
                <w:szCs w:val="21"/>
                <w:highlight w:val="none"/>
              </w:rPr>
              <w:t>7.1老化模组：</w:t>
            </w:r>
          </w:p>
          <w:p w14:paraId="2695A5A5">
            <w:pPr>
              <w:spacing w:line="400" w:lineRule="exact"/>
              <w:rPr>
                <w:rFonts w:hint="eastAsia" w:ascii="宋体" w:hAnsi="宋体" w:cs="宋体"/>
                <w:color w:val="000000"/>
                <w:szCs w:val="21"/>
                <w:highlight w:val="none"/>
              </w:rPr>
            </w:pPr>
            <w:r>
              <w:rPr>
                <w:rFonts w:hint="eastAsia" w:ascii="宋体" w:hAnsi="宋体" w:cs="宋体"/>
                <w:szCs w:val="18"/>
                <w:highlight w:val="none"/>
              </w:rPr>
              <w:t>★</w:t>
            </w:r>
            <w:r>
              <w:rPr>
                <w:rFonts w:hint="eastAsia" w:ascii="宋体" w:hAnsi="宋体" w:cs="宋体"/>
                <w:color w:val="000000"/>
                <w:szCs w:val="21"/>
                <w:highlight w:val="none"/>
              </w:rPr>
              <w:t>（1）控温范围：-40℃-+150℃；</w:t>
            </w:r>
          </w:p>
          <w:p w14:paraId="560068E8">
            <w:pPr>
              <w:spacing w:line="400" w:lineRule="exact"/>
              <w:rPr>
                <w:rFonts w:hint="eastAsia" w:ascii="宋体" w:hAnsi="宋体" w:cs="宋体"/>
                <w:color w:val="000000"/>
                <w:szCs w:val="21"/>
                <w:highlight w:val="none"/>
              </w:rPr>
            </w:pPr>
            <w:r>
              <w:rPr>
                <w:rFonts w:hint="eastAsia" w:ascii="宋体" w:hAnsi="宋体" w:cs="宋体"/>
                <w:color w:val="000000"/>
                <w:szCs w:val="21"/>
                <w:highlight w:val="none"/>
              </w:rPr>
              <w:t>（2）湿度范围：25-98%RH；</w:t>
            </w:r>
          </w:p>
          <w:p w14:paraId="68C56E6F">
            <w:pPr>
              <w:spacing w:line="400" w:lineRule="exact"/>
              <w:rPr>
                <w:rFonts w:hint="eastAsia" w:ascii="宋体" w:hAnsi="宋体" w:cs="宋体"/>
                <w:color w:val="000000"/>
                <w:szCs w:val="21"/>
                <w:highlight w:val="none"/>
              </w:rPr>
            </w:pPr>
            <w:r>
              <w:rPr>
                <w:rFonts w:hint="eastAsia" w:ascii="宋体" w:hAnsi="宋体" w:cs="宋体"/>
                <w:szCs w:val="18"/>
                <w:highlight w:val="none"/>
              </w:rPr>
              <w:t>●</w:t>
            </w:r>
            <w:r>
              <w:rPr>
                <w:rFonts w:hint="eastAsia" w:ascii="宋体" w:hAnsi="宋体" w:cs="宋体"/>
                <w:color w:val="000000"/>
                <w:szCs w:val="21"/>
                <w:highlight w:val="none"/>
              </w:rPr>
              <w:t>（3）温度波动度：±0.5℃；</w:t>
            </w:r>
          </w:p>
          <w:p w14:paraId="792A9693">
            <w:pPr>
              <w:spacing w:line="400" w:lineRule="exact"/>
              <w:rPr>
                <w:rFonts w:hint="eastAsia" w:ascii="宋体" w:hAnsi="宋体" w:cs="宋体"/>
                <w:color w:val="000000"/>
                <w:szCs w:val="21"/>
                <w:highlight w:val="none"/>
              </w:rPr>
            </w:pPr>
            <w:r>
              <w:rPr>
                <w:rFonts w:hint="eastAsia" w:ascii="宋体" w:hAnsi="宋体" w:cs="宋体"/>
                <w:color w:val="000000"/>
                <w:szCs w:val="21"/>
                <w:highlight w:val="none"/>
              </w:rPr>
              <w:t>（4）温度偏差：≤2.0℃；</w:t>
            </w:r>
          </w:p>
          <w:p w14:paraId="71DF8813">
            <w:pPr>
              <w:spacing w:line="400" w:lineRule="exact"/>
              <w:rPr>
                <w:rFonts w:hint="eastAsia" w:ascii="宋体" w:hAnsi="宋体" w:cs="宋体"/>
                <w:color w:val="000000"/>
                <w:szCs w:val="21"/>
                <w:highlight w:val="none"/>
              </w:rPr>
            </w:pPr>
            <w:r>
              <w:rPr>
                <w:rFonts w:hint="eastAsia" w:ascii="宋体" w:hAnsi="宋体" w:cs="宋体"/>
                <w:color w:val="000000"/>
                <w:szCs w:val="21"/>
                <w:highlight w:val="none"/>
              </w:rPr>
              <w:t>（5）升温速度：-30℃→+150℃≤35min；</w:t>
            </w:r>
          </w:p>
          <w:p w14:paraId="277438B7">
            <w:pPr>
              <w:spacing w:line="400" w:lineRule="exact"/>
              <w:rPr>
                <w:rFonts w:hint="eastAsia" w:ascii="宋体" w:hAnsi="宋体" w:cs="宋体"/>
                <w:color w:val="000000"/>
                <w:szCs w:val="21"/>
                <w:highlight w:val="none"/>
              </w:rPr>
            </w:pPr>
            <w:r>
              <w:rPr>
                <w:rFonts w:hint="eastAsia" w:ascii="宋体" w:hAnsi="宋体" w:cs="宋体"/>
                <w:szCs w:val="18"/>
                <w:highlight w:val="none"/>
              </w:rPr>
              <w:t>●</w:t>
            </w:r>
            <w:r>
              <w:rPr>
                <w:rFonts w:hint="eastAsia" w:ascii="宋体" w:hAnsi="宋体" w:cs="宋体"/>
                <w:color w:val="000000"/>
                <w:szCs w:val="21"/>
                <w:highlight w:val="none"/>
              </w:rPr>
              <w:t>（6）降温速度：+20℃→-25℃≤30min；</w:t>
            </w:r>
          </w:p>
          <w:p w14:paraId="30B0890B">
            <w:pPr>
              <w:spacing w:line="400" w:lineRule="exact"/>
              <w:rPr>
                <w:rFonts w:hint="eastAsia" w:ascii="宋体" w:hAnsi="宋体" w:cs="宋体"/>
                <w:color w:val="000000"/>
                <w:szCs w:val="21"/>
                <w:highlight w:val="none"/>
              </w:rPr>
            </w:pPr>
            <w:r>
              <w:rPr>
                <w:rFonts w:hint="eastAsia" w:ascii="宋体" w:hAnsi="宋体" w:cs="宋体"/>
                <w:color w:val="000000"/>
                <w:szCs w:val="21"/>
                <w:highlight w:val="none"/>
              </w:rPr>
              <w:t>（7）内箱尺寸：≥W300×H400×D250mm</w:t>
            </w:r>
            <w:r>
              <w:rPr>
                <w:rFonts w:hint="eastAsia" w:ascii="宋体" w:hAnsi="宋体" w:cs="宋体"/>
                <w:color w:val="000000"/>
                <w:szCs w:val="21"/>
                <w:highlight w:val="none"/>
                <w:vertAlign w:val="superscript"/>
              </w:rPr>
              <w:t>3</w:t>
            </w:r>
            <w:r>
              <w:rPr>
                <w:rFonts w:hint="eastAsia" w:ascii="宋体" w:hAnsi="宋体" w:cs="宋体"/>
                <w:color w:val="000000"/>
                <w:szCs w:val="21"/>
                <w:highlight w:val="none"/>
              </w:rPr>
              <w:t>；</w:t>
            </w:r>
          </w:p>
          <w:p w14:paraId="7F862630">
            <w:pPr>
              <w:spacing w:line="400" w:lineRule="exact"/>
              <w:rPr>
                <w:rFonts w:hint="eastAsia" w:ascii="宋体" w:hAnsi="宋体" w:cs="宋体"/>
                <w:color w:val="000000"/>
                <w:szCs w:val="21"/>
                <w:highlight w:val="none"/>
              </w:rPr>
            </w:pPr>
            <w:r>
              <w:rPr>
                <w:rFonts w:hint="eastAsia" w:ascii="宋体" w:hAnsi="宋体" w:cs="宋体"/>
                <w:color w:val="000000"/>
                <w:szCs w:val="21"/>
                <w:highlight w:val="none"/>
              </w:rPr>
              <w:t>（8）外型尺寸：≤W600×H900×D900mm</w:t>
            </w:r>
            <w:r>
              <w:rPr>
                <w:rFonts w:hint="eastAsia" w:ascii="宋体" w:hAnsi="宋体" w:cs="宋体"/>
                <w:color w:val="000000"/>
                <w:szCs w:val="21"/>
                <w:highlight w:val="none"/>
                <w:vertAlign w:val="superscript"/>
              </w:rPr>
              <w:t>3</w:t>
            </w:r>
            <w:r>
              <w:rPr>
                <w:rFonts w:hint="eastAsia" w:ascii="宋体" w:hAnsi="宋体" w:cs="宋体"/>
                <w:color w:val="000000"/>
                <w:szCs w:val="21"/>
                <w:highlight w:val="none"/>
              </w:rPr>
              <w:t>；</w:t>
            </w:r>
          </w:p>
          <w:p w14:paraId="5873EC4F">
            <w:pPr>
              <w:spacing w:line="400" w:lineRule="exact"/>
              <w:rPr>
                <w:rFonts w:hint="eastAsia" w:ascii="宋体" w:hAnsi="宋体" w:cs="宋体"/>
                <w:color w:val="000000"/>
                <w:szCs w:val="21"/>
                <w:highlight w:val="none"/>
              </w:rPr>
            </w:pPr>
            <w:r>
              <w:rPr>
                <w:rFonts w:hint="eastAsia" w:ascii="宋体" w:hAnsi="宋体" w:cs="宋体"/>
                <w:szCs w:val="18"/>
                <w:highlight w:val="none"/>
              </w:rPr>
              <w:t>●</w:t>
            </w:r>
            <w:r>
              <w:rPr>
                <w:rFonts w:hint="eastAsia" w:ascii="宋体" w:hAnsi="宋体" w:cs="宋体"/>
                <w:color w:val="000000"/>
                <w:szCs w:val="21"/>
                <w:highlight w:val="none"/>
              </w:rPr>
              <w:t>（9）湿度偏差：±3.0%RH（湿度＞75%RH时）；</w:t>
            </w:r>
          </w:p>
          <w:p w14:paraId="723D69B0">
            <w:pPr>
              <w:spacing w:line="400" w:lineRule="exact"/>
              <w:rPr>
                <w:rFonts w:hint="eastAsia" w:ascii="宋体" w:hAnsi="宋体" w:cs="宋体"/>
                <w:color w:val="000000"/>
                <w:szCs w:val="21"/>
                <w:highlight w:val="none"/>
              </w:rPr>
            </w:pPr>
            <w:r>
              <w:rPr>
                <w:rFonts w:hint="eastAsia" w:ascii="宋体" w:hAnsi="宋体" w:cs="宋体"/>
                <w:color w:val="000000"/>
                <w:szCs w:val="21"/>
                <w:highlight w:val="none"/>
              </w:rPr>
              <w:t>±5.0%RH（湿度≤75%RH时）；</w:t>
            </w:r>
          </w:p>
          <w:p w14:paraId="390C80B8">
            <w:pPr>
              <w:spacing w:line="400" w:lineRule="exact"/>
              <w:rPr>
                <w:rFonts w:hint="eastAsia" w:ascii="宋体" w:hAnsi="宋体" w:cs="宋体"/>
                <w:color w:val="000000"/>
                <w:szCs w:val="21"/>
                <w:highlight w:val="none"/>
              </w:rPr>
            </w:pPr>
            <w:r>
              <w:rPr>
                <w:rFonts w:hint="eastAsia" w:ascii="宋体" w:hAnsi="宋体" w:cs="宋体"/>
                <w:szCs w:val="18"/>
                <w:highlight w:val="none"/>
              </w:rPr>
              <w:t>■</w:t>
            </w:r>
            <w:r>
              <w:rPr>
                <w:rFonts w:hint="eastAsia" w:ascii="宋体" w:hAnsi="宋体" w:cs="宋体"/>
                <w:color w:val="000000"/>
                <w:szCs w:val="21"/>
                <w:highlight w:val="none"/>
              </w:rPr>
              <w:t>（10）湿度分辨率：≤0.1%RH；</w:t>
            </w:r>
          </w:p>
          <w:p w14:paraId="2FB2EF62">
            <w:pPr>
              <w:spacing w:line="400" w:lineRule="exact"/>
              <w:rPr>
                <w:rFonts w:hint="eastAsia" w:ascii="宋体" w:hAnsi="宋体" w:cs="宋体"/>
                <w:color w:val="000000"/>
                <w:szCs w:val="21"/>
                <w:highlight w:val="none"/>
              </w:rPr>
            </w:pPr>
            <w:r>
              <w:rPr>
                <w:rFonts w:hint="eastAsia" w:ascii="宋体" w:hAnsi="宋体" w:cs="宋体"/>
                <w:color w:val="000000"/>
                <w:szCs w:val="21"/>
                <w:highlight w:val="none"/>
              </w:rPr>
              <w:t>（11）外壁材料：双面镀锌钢板，表面喷塑处理；</w:t>
            </w:r>
          </w:p>
          <w:p w14:paraId="7E964296">
            <w:pPr>
              <w:spacing w:line="400" w:lineRule="exact"/>
              <w:rPr>
                <w:rFonts w:hint="eastAsia" w:ascii="宋体" w:hAnsi="宋体" w:cs="宋体"/>
                <w:color w:val="000000"/>
                <w:szCs w:val="21"/>
                <w:highlight w:val="none"/>
              </w:rPr>
            </w:pPr>
            <w:r>
              <w:rPr>
                <w:rFonts w:hint="eastAsia" w:ascii="宋体" w:hAnsi="宋体" w:cs="宋体"/>
                <w:color w:val="000000"/>
                <w:szCs w:val="21"/>
                <w:highlight w:val="none"/>
              </w:rPr>
              <w:t>（12）内壁材料：不锈钢板SUS304；</w:t>
            </w:r>
          </w:p>
          <w:p w14:paraId="65857957">
            <w:pPr>
              <w:spacing w:line="400" w:lineRule="exact"/>
              <w:rPr>
                <w:rFonts w:hint="eastAsia" w:ascii="宋体" w:hAnsi="宋体" w:cs="宋体"/>
                <w:color w:val="000000"/>
                <w:szCs w:val="21"/>
                <w:highlight w:val="none"/>
              </w:rPr>
            </w:pPr>
            <w:r>
              <w:rPr>
                <w:rFonts w:hint="eastAsia" w:ascii="宋体" w:hAnsi="宋体" w:cs="宋体"/>
                <w:color w:val="000000"/>
                <w:szCs w:val="21"/>
                <w:highlight w:val="none"/>
              </w:rPr>
              <w:t>（13）运行方式：程序方式、定值方式；</w:t>
            </w:r>
          </w:p>
          <w:p w14:paraId="4C8CDA64">
            <w:pPr>
              <w:spacing w:line="400" w:lineRule="exact"/>
              <w:rPr>
                <w:rFonts w:hint="eastAsia" w:ascii="宋体" w:hAnsi="宋体" w:cs="宋体"/>
                <w:color w:val="000000"/>
                <w:szCs w:val="21"/>
                <w:highlight w:val="none"/>
              </w:rPr>
            </w:pPr>
            <w:r>
              <w:rPr>
                <w:rFonts w:hint="eastAsia" w:ascii="宋体" w:hAnsi="宋体" w:cs="宋体"/>
                <w:color w:val="000000"/>
                <w:szCs w:val="21"/>
                <w:highlight w:val="none"/>
              </w:rPr>
              <w:t>（14）故障报警及原因、处理提示功能；</w:t>
            </w:r>
          </w:p>
          <w:p w14:paraId="52A31BB9">
            <w:pPr>
              <w:spacing w:line="400" w:lineRule="exact"/>
              <w:rPr>
                <w:rFonts w:hint="eastAsia" w:ascii="宋体" w:hAnsi="宋体" w:cs="宋体"/>
                <w:color w:val="000000"/>
                <w:szCs w:val="21"/>
                <w:highlight w:val="none"/>
              </w:rPr>
            </w:pPr>
            <w:r>
              <w:rPr>
                <w:rFonts w:hint="eastAsia" w:ascii="宋体" w:hAnsi="宋体" w:cs="宋体"/>
                <w:color w:val="000000"/>
                <w:szCs w:val="21"/>
                <w:highlight w:val="none"/>
              </w:rPr>
              <w:t>（15）断电保护功能；</w:t>
            </w:r>
          </w:p>
          <w:p w14:paraId="566B698A">
            <w:pPr>
              <w:spacing w:line="400" w:lineRule="exact"/>
              <w:rPr>
                <w:rFonts w:hint="eastAsia" w:ascii="宋体" w:hAnsi="宋体" w:cs="宋体"/>
                <w:color w:val="000000"/>
                <w:szCs w:val="21"/>
                <w:highlight w:val="none"/>
              </w:rPr>
            </w:pPr>
            <w:r>
              <w:rPr>
                <w:rFonts w:hint="eastAsia" w:ascii="宋体" w:hAnsi="宋体" w:cs="宋体"/>
                <w:color w:val="000000"/>
                <w:szCs w:val="21"/>
                <w:highlight w:val="none"/>
              </w:rPr>
              <w:t>（16）上、下限温度保护功能；</w:t>
            </w:r>
          </w:p>
          <w:p w14:paraId="71BCAB19">
            <w:pPr>
              <w:spacing w:line="400" w:lineRule="exact"/>
              <w:rPr>
                <w:rFonts w:hint="eastAsia" w:ascii="宋体" w:hAnsi="宋体" w:cs="宋体"/>
                <w:color w:val="000000"/>
                <w:szCs w:val="21"/>
                <w:highlight w:val="none"/>
              </w:rPr>
            </w:pPr>
            <w:r>
              <w:rPr>
                <w:rFonts w:hint="eastAsia" w:ascii="宋体" w:hAnsi="宋体" w:cs="宋体"/>
                <w:color w:val="000000"/>
                <w:szCs w:val="21"/>
                <w:highlight w:val="none"/>
              </w:rPr>
              <w:t>（17）日历定时功能（自动启动及自动停止运行）。</w:t>
            </w:r>
            <w:bookmarkEnd w:id="20"/>
          </w:p>
          <w:p w14:paraId="6DFCC15C">
            <w:pPr>
              <w:spacing w:line="400" w:lineRule="exact"/>
              <w:rPr>
                <w:rFonts w:hint="eastAsia" w:ascii="宋体" w:hAnsi="宋体" w:cs="宋体"/>
                <w:color w:val="000000"/>
                <w:szCs w:val="21"/>
                <w:highlight w:val="none"/>
              </w:rPr>
            </w:pPr>
            <w:r>
              <w:rPr>
                <w:rFonts w:hint="eastAsia" w:ascii="宋体" w:hAnsi="宋体" w:cs="宋体"/>
                <w:color w:val="000000"/>
                <w:szCs w:val="21"/>
                <w:highlight w:val="none"/>
              </w:rPr>
              <w:t>7.2探针测试模组：</w:t>
            </w:r>
          </w:p>
          <w:p w14:paraId="1492DA30">
            <w:pPr>
              <w:spacing w:line="400" w:lineRule="exact"/>
              <w:rPr>
                <w:rFonts w:hint="eastAsia" w:ascii="宋体" w:hAnsi="宋体" w:cs="宋体"/>
                <w:color w:val="000000"/>
                <w:szCs w:val="21"/>
                <w:highlight w:val="none"/>
              </w:rPr>
            </w:pPr>
            <w:r>
              <w:rPr>
                <w:rFonts w:hint="eastAsia" w:ascii="宋体" w:hAnsi="宋体" w:cs="宋体"/>
                <w:color w:val="000000"/>
                <w:szCs w:val="21"/>
                <w:highlight w:val="none"/>
              </w:rPr>
              <w:t>（1）支持≥6寸扩张晶粒自动测量；</w:t>
            </w:r>
          </w:p>
          <w:p w14:paraId="60C92F57">
            <w:pPr>
              <w:spacing w:line="400" w:lineRule="exact"/>
              <w:rPr>
                <w:rFonts w:hint="eastAsia" w:ascii="宋体" w:hAnsi="宋体" w:cs="宋体"/>
                <w:color w:val="000000"/>
                <w:szCs w:val="21"/>
                <w:highlight w:val="none"/>
              </w:rPr>
            </w:pPr>
            <w:r>
              <w:rPr>
                <w:rFonts w:hint="eastAsia" w:ascii="宋体" w:hAnsi="宋体" w:cs="宋体"/>
                <w:szCs w:val="18"/>
                <w:highlight w:val="none"/>
              </w:rPr>
              <w:t>★</w:t>
            </w:r>
            <w:r>
              <w:rPr>
                <w:rFonts w:hint="eastAsia" w:ascii="宋体" w:hAnsi="宋体" w:cs="宋体"/>
                <w:color w:val="000000"/>
                <w:szCs w:val="21"/>
                <w:highlight w:val="none"/>
              </w:rPr>
              <w:t>（2）测量芯片尺寸：6×6-80×80mil；</w:t>
            </w:r>
          </w:p>
          <w:p w14:paraId="2129F686">
            <w:pPr>
              <w:spacing w:line="400" w:lineRule="exact"/>
              <w:rPr>
                <w:rFonts w:hint="eastAsia" w:ascii="宋体" w:hAnsi="宋体" w:cs="宋体"/>
                <w:color w:val="000000"/>
                <w:szCs w:val="21"/>
                <w:highlight w:val="none"/>
              </w:rPr>
            </w:pPr>
            <w:r>
              <w:rPr>
                <w:rFonts w:hint="eastAsia" w:ascii="宋体" w:hAnsi="宋体" w:cs="宋体"/>
                <w:szCs w:val="18"/>
                <w:highlight w:val="none"/>
              </w:rPr>
              <w:t>■</w:t>
            </w:r>
            <w:r>
              <w:rPr>
                <w:rFonts w:hint="eastAsia" w:ascii="宋体" w:hAnsi="宋体" w:cs="宋体"/>
                <w:color w:val="000000"/>
                <w:szCs w:val="21"/>
                <w:highlight w:val="none"/>
              </w:rPr>
              <w:t>（3）X.Y.Z重复定位精度：≤±3μm；</w:t>
            </w:r>
          </w:p>
          <w:p w14:paraId="61E324F4">
            <w:pPr>
              <w:spacing w:line="400" w:lineRule="exact"/>
              <w:rPr>
                <w:rFonts w:hint="eastAsia" w:ascii="宋体" w:hAnsi="宋体" w:cs="宋体"/>
                <w:color w:val="000000"/>
                <w:szCs w:val="21"/>
                <w:highlight w:val="none"/>
              </w:rPr>
            </w:pPr>
            <w:r>
              <w:rPr>
                <w:rFonts w:hint="eastAsia" w:ascii="宋体" w:hAnsi="宋体" w:cs="宋体"/>
                <w:color w:val="000000"/>
                <w:szCs w:val="21"/>
                <w:highlight w:val="none"/>
              </w:rPr>
              <w:t>（4）X.Y垂直度：≤4μm/150mm；</w:t>
            </w:r>
          </w:p>
          <w:p w14:paraId="620DA045">
            <w:pPr>
              <w:spacing w:line="400" w:lineRule="exact"/>
              <w:rPr>
                <w:rFonts w:hint="eastAsia" w:ascii="宋体" w:hAnsi="宋体" w:cs="宋体"/>
                <w:color w:val="000000"/>
                <w:szCs w:val="21"/>
                <w:highlight w:val="none"/>
              </w:rPr>
            </w:pPr>
            <w:r>
              <w:rPr>
                <w:rFonts w:hint="eastAsia" w:ascii="宋体" w:hAnsi="宋体" w:cs="宋体"/>
                <w:color w:val="000000"/>
                <w:szCs w:val="21"/>
                <w:highlight w:val="none"/>
              </w:rPr>
              <w:t>（5）承片台平面度：≤10μm；</w:t>
            </w:r>
          </w:p>
          <w:p w14:paraId="3FCA6C08">
            <w:pPr>
              <w:spacing w:line="400" w:lineRule="exact"/>
              <w:rPr>
                <w:rFonts w:hint="eastAsia" w:ascii="宋体" w:hAnsi="宋体" w:cs="宋体"/>
                <w:color w:val="000000"/>
                <w:szCs w:val="21"/>
                <w:highlight w:val="none"/>
              </w:rPr>
            </w:pPr>
            <w:r>
              <w:rPr>
                <w:rFonts w:hint="eastAsia" w:ascii="宋体" w:hAnsi="宋体" w:cs="宋体"/>
                <w:color w:val="000000"/>
                <w:szCs w:val="21"/>
                <w:highlight w:val="none"/>
              </w:rPr>
              <w:t>（6）Z平台重复定位精度：≤±3μm；</w:t>
            </w:r>
          </w:p>
          <w:p w14:paraId="539F3723">
            <w:pPr>
              <w:spacing w:line="400" w:lineRule="exact"/>
              <w:rPr>
                <w:rFonts w:hint="eastAsia" w:ascii="宋体" w:hAnsi="宋体" w:cs="宋体"/>
                <w:color w:val="000000"/>
                <w:szCs w:val="21"/>
                <w:highlight w:val="none"/>
              </w:rPr>
            </w:pPr>
            <w:r>
              <w:rPr>
                <w:rFonts w:hint="eastAsia" w:ascii="宋体" w:hAnsi="宋体" w:cs="宋体"/>
                <w:color w:val="000000"/>
                <w:szCs w:val="21"/>
                <w:highlight w:val="none"/>
              </w:rPr>
              <w:t>（7）分辨率≤0.2μm；</w:t>
            </w:r>
          </w:p>
          <w:p w14:paraId="1E131774">
            <w:pPr>
              <w:spacing w:line="400" w:lineRule="exact"/>
              <w:rPr>
                <w:rFonts w:hint="eastAsia" w:ascii="宋体" w:hAnsi="宋体" w:cs="宋体"/>
                <w:color w:val="000000"/>
                <w:szCs w:val="21"/>
                <w:highlight w:val="none"/>
              </w:rPr>
            </w:pPr>
            <w:r>
              <w:rPr>
                <w:rFonts w:hint="eastAsia" w:ascii="宋体" w:hAnsi="宋体" w:cs="宋体"/>
                <w:color w:val="000000"/>
                <w:szCs w:val="21"/>
                <w:highlight w:val="none"/>
              </w:rPr>
              <w:t>（8）设备尺寸≤900×900×2400mm</w:t>
            </w:r>
            <w:r>
              <w:rPr>
                <w:rFonts w:hint="eastAsia" w:ascii="宋体" w:hAnsi="宋体" w:cs="宋体"/>
                <w:color w:val="000000"/>
                <w:szCs w:val="21"/>
                <w:highlight w:val="none"/>
                <w:vertAlign w:val="superscript"/>
              </w:rPr>
              <w:t>3</w:t>
            </w:r>
            <w:r>
              <w:rPr>
                <w:rFonts w:hint="eastAsia" w:ascii="宋体" w:hAnsi="宋体" w:cs="宋体"/>
                <w:color w:val="000000"/>
                <w:szCs w:val="21"/>
                <w:highlight w:val="none"/>
              </w:rPr>
              <w:t>；</w:t>
            </w:r>
          </w:p>
          <w:p w14:paraId="5D777988">
            <w:pPr>
              <w:spacing w:line="400" w:lineRule="exact"/>
              <w:rPr>
                <w:rFonts w:hint="eastAsia" w:ascii="宋体" w:hAnsi="宋体" w:cs="宋体"/>
                <w:color w:val="000000"/>
                <w:szCs w:val="21"/>
                <w:highlight w:val="none"/>
              </w:rPr>
            </w:pPr>
            <w:r>
              <w:rPr>
                <w:rFonts w:hint="eastAsia" w:ascii="宋体" w:hAnsi="宋体" w:cs="宋体"/>
                <w:szCs w:val="18"/>
                <w:highlight w:val="none"/>
              </w:rPr>
              <w:t>★</w:t>
            </w:r>
            <w:r>
              <w:rPr>
                <w:rFonts w:hint="eastAsia" w:ascii="宋体" w:hAnsi="宋体" w:cs="宋体"/>
                <w:color w:val="000000"/>
                <w:szCs w:val="21"/>
                <w:highlight w:val="none"/>
              </w:rPr>
              <w:t>（9）电流测量通道数：2个独立SMU通道；输出电压：0~200V；输出电流0-1.5A；测量电流精度：≤20fA；电压测试范围1uV-200V，测量电压精度：≤5μV；</w:t>
            </w:r>
          </w:p>
          <w:p w14:paraId="4B7E3FAE">
            <w:pPr>
              <w:spacing w:line="400" w:lineRule="exact"/>
              <w:rPr>
                <w:rFonts w:hint="eastAsia" w:ascii="宋体" w:hAnsi="宋体" w:cs="宋体"/>
                <w:color w:val="000000"/>
                <w:szCs w:val="21"/>
                <w:highlight w:val="none"/>
              </w:rPr>
            </w:pPr>
            <w:r>
              <w:rPr>
                <w:rFonts w:hint="eastAsia" w:ascii="宋体" w:hAnsi="宋体" w:cs="宋体"/>
                <w:szCs w:val="18"/>
                <w:highlight w:val="none"/>
              </w:rPr>
              <w:t>●</w:t>
            </w:r>
            <w:r>
              <w:rPr>
                <w:rFonts w:hint="eastAsia" w:ascii="宋体" w:hAnsi="宋体" w:cs="宋体"/>
                <w:color w:val="000000"/>
                <w:szCs w:val="21"/>
                <w:highlight w:val="none"/>
              </w:rPr>
              <w:t>（10）测量电容频率20-1MHz；测量速度≤10ms；测量偏置电压±60V；</w:t>
            </w:r>
          </w:p>
          <w:p w14:paraId="455DD7EB">
            <w:pPr>
              <w:spacing w:line="400" w:lineRule="exact"/>
              <w:rPr>
                <w:rFonts w:hint="eastAsia" w:ascii="宋体" w:hAnsi="宋体" w:cs="宋体"/>
                <w:color w:val="000000"/>
                <w:szCs w:val="21"/>
                <w:highlight w:val="none"/>
              </w:rPr>
            </w:pPr>
            <w:r>
              <w:rPr>
                <w:rFonts w:hint="eastAsia" w:ascii="宋体" w:hAnsi="宋体" w:cs="宋体"/>
                <w:szCs w:val="18"/>
                <w:highlight w:val="none"/>
              </w:rPr>
              <w:t>■</w:t>
            </w:r>
            <w:r>
              <w:rPr>
                <w:rFonts w:hint="eastAsia" w:ascii="宋体" w:hAnsi="宋体" w:cs="宋体"/>
                <w:color w:val="000000"/>
                <w:szCs w:val="21"/>
                <w:highlight w:val="none"/>
              </w:rPr>
              <w:t>（11）LED脉冲驱动器1个；具有紫外233nm、275nm和365nm功率≥100mA、可见光565nm功率≥1000mA 高功率LED光源及支架各1个；</w:t>
            </w:r>
          </w:p>
          <w:p w14:paraId="3C3126D1">
            <w:pPr>
              <w:spacing w:line="400" w:lineRule="exact"/>
              <w:rPr>
                <w:rFonts w:hint="eastAsia" w:ascii="宋体" w:hAnsi="宋体" w:cs="宋体"/>
                <w:color w:val="FF0000"/>
                <w:szCs w:val="21"/>
                <w:highlight w:val="none"/>
              </w:rPr>
            </w:pPr>
            <w:r>
              <w:rPr>
                <w:rFonts w:hint="eastAsia" w:ascii="宋体" w:hAnsi="宋体" w:cs="宋体"/>
                <w:szCs w:val="18"/>
                <w:highlight w:val="none"/>
              </w:rPr>
              <w:t>●</w:t>
            </w:r>
            <w:r>
              <w:rPr>
                <w:rFonts w:hint="eastAsia" w:ascii="宋体" w:hAnsi="宋体" w:cs="宋体"/>
                <w:color w:val="000000"/>
                <w:szCs w:val="21"/>
                <w:highlight w:val="none"/>
              </w:rPr>
              <w:t>（12）激光模块1个：波长：600-650nm，脉冲激光输出功率:≥5mW；重复频率：0.001-5kHz；脉宽:~4ns；光束质量:M2≤2；功率稳定性: ≤3%（4小时，rms值）；</w:t>
            </w:r>
          </w:p>
          <w:p w14:paraId="44AAEE9A">
            <w:pPr>
              <w:spacing w:line="400" w:lineRule="exact"/>
              <w:rPr>
                <w:rFonts w:hint="eastAsia" w:ascii="宋体" w:hAnsi="宋体" w:cs="宋体"/>
                <w:color w:val="000000"/>
                <w:szCs w:val="21"/>
                <w:highlight w:val="none"/>
              </w:rPr>
            </w:pPr>
            <w:r>
              <w:rPr>
                <w:rFonts w:hint="eastAsia" w:ascii="宋体" w:hAnsi="宋体" w:cs="宋体"/>
                <w:szCs w:val="18"/>
                <w:highlight w:val="none"/>
              </w:rPr>
              <w:t>●</w:t>
            </w:r>
            <w:r>
              <w:rPr>
                <w:rFonts w:hint="eastAsia" w:ascii="宋体" w:hAnsi="宋体" w:cs="宋体"/>
                <w:color w:val="000000"/>
                <w:szCs w:val="21"/>
                <w:highlight w:val="none"/>
              </w:rPr>
              <w:t>（14）示波功能：波形测量具备数字通道≥4；模拟带宽：≥350MHz；最大采样率：≥1GSa/s最大存储深度：≥100Mpts；显示器：≥10英寸多点触控电容屏。</w:t>
            </w:r>
          </w:p>
          <w:p w14:paraId="6C905924">
            <w:pPr>
              <w:spacing w:line="400" w:lineRule="exact"/>
              <w:rPr>
                <w:rFonts w:hint="eastAsia" w:ascii="宋体" w:hAnsi="宋体" w:cs="宋体"/>
                <w:color w:val="000000"/>
                <w:szCs w:val="21"/>
                <w:highlight w:val="none"/>
              </w:rPr>
            </w:pPr>
            <w:r>
              <w:rPr>
                <w:rFonts w:hint="eastAsia" w:ascii="宋体" w:hAnsi="宋体" w:cs="宋体"/>
                <w:color w:val="000000"/>
                <w:szCs w:val="21"/>
                <w:highlight w:val="none"/>
              </w:rPr>
              <w:t>7.3</w:t>
            </w:r>
            <w:r>
              <w:rPr>
                <w:rFonts w:hint="eastAsia" w:ascii="宋体" w:hAnsi="宋体" w:cs="宋体"/>
                <w:color w:val="auto"/>
                <w:szCs w:val="21"/>
                <w:highlight w:val="none"/>
              </w:rPr>
              <w:t xml:space="preserve"> 线性噪声测试模组：</w:t>
            </w:r>
          </w:p>
          <w:p w14:paraId="78B8BA0D">
            <w:pPr>
              <w:spacing w:line="400" w:lineRule="exact"/>
              <w:rPr>
                <w:rFonts w:hint="eastAsia" w:ascii="宋体" w:hAnsi="宋体" w:cs="宋体"/>
                <w:color w:val="000000"/>
                <w:szCs w:val="21"/>
                <w:highlight w:val="none"/>
              </w:rPr>
            </w:pPr>
            <w:r>
              <w:rPr>
                <w:rFonts w:hint="eastAsia" w:ascii="宋体" w:hAnsi="宋体" w:cs="宋体"/>
                <w:color w:val="000000"/>
                <w:szCs w:val="21"/>
                <w:highlight w:val="none"/>
              </w:rPr>
              <w:t>（1）频率噪声灵敏度：1MHz；</w:t>
            </w:r>
          </w:p>
          <w:p w14:paraId="61C68E37">
            <w:pPr>
              <w:spacing w:line="400" w:lineRule="exact"/>
              <w:rPr>
                <w:rFonts w:hint="eastAsia" w:ascii="宋体" w:hAnsi="宋体" w:cs="宋体"/>
                <w:color w:val="000000"/>
                <w:szCs w:val="21"/>
                <w:highlight w:val="none"/>
              </w:rPr>
            </w:pPr>
            <w:r>
              <w:rPr>
                <w:rFonts w:hint="eastAsia" w:ascii="宋体" w:hAnsi="宋体" w:cs="宋体"/>
                <w:szCs w:val="18"/>
                <w:highlight w:val="none"/>
              </w:rPr>
              <w:t>●</w:t>
            </w:r>
            <w:r>
              <w:rPr>
                <w:rFonts w:hint="eastAsia" w:ascii="宋体" w:hAnsi="宋体" w:cs="宋体"/>
                <w:color w:val="000000"/>
                <w:szCs w:val="21"/>
                <w:highlight w:val="none"/>
              </w:rPr>
              <w:t>（2）工作波长：</w:t>
            </w:r>
            <w:r>
              <w:rPr>
                <w:rFonts w:ascii="宋体" w:hAnsi="宋体" w:cs="宋体"/>
                <w:color w:val="000000"/>
                <w:szCs w:val="21"/>
                <w:highlight w:val="none"/>
              </w:rPr>
              <w:t>1530-1565n</w:t>
            </w:r>
            <w:r>
              <w:rPr>
                <w:rFonts w:hint="eastAsia" w:ascii="宋体" w:hAnsi="宋体" w:cs="宋体"/>
                <w:color w:val="000000"/>
                <w:szCs w:val="21"/>
                <w:highlight w:val="none"/>
              </w:rPr>
              <w:t>m，相位噪声噪底：-160±2dBc/Hz&gt;10MHz；</w:t>
            </w:r>
          </w:p>
          <w:p w14:paraId="194AB9D0">
            <w:pPr>
              <w:spacing w:line="400" w:lineRule="exact"/>
              <w:rPr>
                <w:rFonts w:hint="eastAsia" w:ascii="宋体" w:hAnsi="宋体" w:cs="宋体"/>
                <w:color w:val="000000"/>
                <w:szCs w:val="21"/>
                <w:highlight w:val="none"/>
              </w:rPr>
            </w:pPr>
            <w:r>
              <w:rPr>
                <w:rFonts w:hint="eastAsia" w:ascii="宋体" w:hAnsi="宋体" w:cs="宋体"/>
                <w:color w:val="000000"/>
                <w:szCs w:val="21"/>
                <w:highlight w:val="none"/>
              </w:rPr>
              <w:t>（3）线宽测试范围（FWHM）：标准噪底1kHz~10MHz(&lt;10ms)；超低噪底3Hz~30kHz(&lt;10ms)；</w:t>
            </w:r>
          </w:p>
          <w:p w14:paraId="62C70E44">
            <w:pPr>
              <w:spacing w:line="400" w:lineRule="exact"/>
              <w:rPr>
                <w:rFonts w:hint="eastAsia" w:ascii="宋体" w:hAnsi="宋体" w:cs="宋体"/>
                <w:color w:val="000000"/>
                <w:szCs w:val="21"/>
                <w:highlight w:val="none"/>
              </w:rPr>
            </w:pPr>
            <w:r>
              <w:rPr>
                <w:rFonts w:hint="eastAsia" w:ascii="宋体" w:hAnsi="宋体" w:cs="宋体"/>
                <w:color w:val="000000"/>
                <w:szCs w:val="21"/>
                <w:highlight w:val="none"/>
              </w:rPr>
              <w:t>（4）动态范围：≥60dB；</w:t>
            </w:r>
          </w:p>
          <w:p w14:paraId="097B3F44">
            <w:pPr>
              <w:spacing w:line="400" w:lineRule="exact"/>
              <w:rPr>
                <w:rFonts w:hint="eastAsia" w:ascii="宋体" w:hAnsi="宋体" w:cs="宋体"/>
                <w:color w:val="000000"/>
                <w:szCs w:val="21"/>
                <w:highlight w:val="none"/>
              </w:rPr>
            </w:pPr>
            <w:r>
              <w:rPr>
                <w:rFonts w:hint="eastAsia" w:ascii="宋体" w:hAnsi="宋体" w:cs="宋体"/>
                <w:color w:val="000000"/>
                <w:szCs w:val="21"/>
                <w:highlight w:val="none"/>
              </w:rPr>
              <w:t>（5）光输入功率范围：+5dBm-+15dBm；</w:t>
            </w:r>
          </w:p>
          <w:p w14:paraId="5836D125">
            <w:pPr>
              <w:spacing w:line="400" w:lineRule="exact"/>
              <w:rPr>
                <w:rFonts w:hint="eastAsia" w:ascii="宋体" w:hAnsi="宋体" w:cs="宋体"/>
                <w:color w:val="000000"/>
                <w:szCs w:val="21"/>
                <w:highlight w:val="none"/>
              </w:rPr>
            </w:pPr>
            <w:r>
              <w:rPr>
                <w:rFonts w:hint="eastAsia" w:ascii="宋体" w:hAnsi="宋体" w:cs="宋体"/>
                <w:szCs w:val="18"/>
                <w:highlight w:val="none"/>
              </w:rPr>
              <w:t>●</w:t>
            </w:r>
            <w:r>
              <w:rPr>
                <w:rFonts w:hint="eastAsia" w:ascii="宋体" w:hAnsi="宋体" w:cs="宋体"/>
                <w:color w:val="000000"/>
                <w:szCs w:val="21"/>
                <w:highlight w:val="none"/>
              </w:rPr>
              <w:t>（6）偏移频率范围：10Hz-1MHz；</w:t>
            </w:r>
          </w:p>
          <w:p w14:paraId="4A02502F">
            <w:pPr>
              <w:spacing w:line="400" w:lineRule="exact"/>
              <w:rPr>
                <w:rFonts w:hint="eastAsia" w:ascii="宋体" w:hAnsi="宋体" w:cs="宋体"/>
                <w:color w:val="000000"/>
                <w:szCs w:val="21"/>
                <w:highlight w:val="none"/>
              </w:rPr>
            </w:pPr>
            <w:r>
              <w:rPr>
                <w:rFonts w:hint="eastAsia" w:ascii="宋体" w:hAnsi="宋体" w:cs="宋体"/>
                <w:color w:val="000000"/>
                <w:szCs w:val="21"/>
                <w:highlight w:val="none"/>
              </w:rPr>
              <w:t>（7）带宽分辨率：0.1Hz-200kHz。</w:t>
            </w:r>
          </w:p>
          <w:p w14:paraId="55CAE973">
            <w:pPr>
              <w:spacing w:line="400" w:lineRule="exact"/>
              <w:rPr>
                <w:rFonts w:hint="eastAsia" w:ascii="宋体" w:hAnsi="宋体" w:cs="宋体"/>
                <w:color w:val="EE0000"/>
                <w:szCs w:val="21"/>
                <w:highlight w:val="none"/>
              </w:rPr>
            </w:pPr>
            <w:r>
              <w:rPr>
                <w:rFonts w:hint="eastAsia" w:ascii="宋体" w:hAnsi="宋体" w:cs="宋体"/>
                <w:color w:val="000000"/>
                <w:szCs w:val="21"/>
                <w:highlight w:val="none"/>
              </w:rPr>
              <w:t>7.4</w:t>
            </w:r>
            <w:r>
              <w:rPr>
                <w:rFonts w:hint="eastAsia" w:ascii="宋体" w:hAnsi="宋体" w:cs="宋体"/>
                <w:color w:val="auto"/>
                <w:szCs w:val="21"/>
                <w:highlight w:val="none"/>
              </w:rPr>
              <w:t>光谱测量模组：</w:t>
            </w:r>
          </w:p>
          <w:p w14:paraId="646ABA77">
            <w:pPr>
              <w:spacing w:line="400" w:lineRule="exact"/>
              <w:rPr>
                <w:rFonts w:hint="eastAsia" w:ascii="宋体" w:hAnsi="宋体" w:cs="宋体"/>
                <w:color w:val="000000"/>
                <w:szCs w:val="21"/>
                <w:highlight w:val="none"/>
              </w:rPr>
            </w:pPr>
            <w:r>
              <w:rPr>
                <w:rFonts w:hint="eastAsia" w:ascii="宋体" w:hAnsi="宋体" w:cs="宋体"/>
                <w:szCs w:val="18"/>
                <w:highlight w:val="none"/>
              </w:rPr>
              <w:t>●</w:t>
            </w:r>
            <w:r>
              <w:rPr>
                <w:rFonts w:hint="eastAsia" w:ascii="宋体" w:hAnsi="宋体" w:cs="宋体"/>
                <w:color w:val="000000"/>
                <w:szCs w:val="21"/>
                <w:highlight w:val="none"/>
              </w:rPr>
              <w:t>（1）工作波段:900-1700nm；自由空间光束最大输入直径：4mm；探测功率范围：0.01-50mW；采样频率：15Hz；偏振态SOP精度：±0.25°；偏振度DOP精度：±5%；消光比PER精度：0.5dB；输入方式：自由空间或FC/APC光纤耦合；</w:t>
            </w:r>
          </w:p>
          <w:p w14:paraId="6D805154">
            <w:pPr>
              <w:spacing w:line="400" w:lineRule="exact"/>
              <w:rPr>
                <w:rFonts w:hint="eastAsia" w:ascii="宋体" w:hAnsi="宋体" w:cs="宋体"/>
                <w:color w:val="000000"/>
                <w:szCs w:val="21"/>
                <w:highlight w:val="none"/>
              </w:rPr>
            </w:pPr>
            <w:r>
              <w:rPr>
                <w:rFonts w:hint="eastAsia" w:ascii="宋体" w:hAnsi="宋体" w:cs="宋体"/>
                <w:szCs w:val="18"/>
                <w:highlight w:val="none"/>
              </w:rPr>
              <w:t>●</w:t>
            </w:r>
            <w:r>
              <w:rPr>
                <w:rFonts w:hint="eastAsia" w:ascii="宋体" w:hAnsi="宋体" w:cs="宋体"/>
                <w:color w:val="000000"/>
                <w:szCs w:val="21"/>
                <w:highlight w:val="none"/>
              </w:rPr>
              <w:t>（2）工作波段200-800nm；光谱分辨率≤1nm；探测器像素≥2048；尺寸≤100×95×80mm</w:t>
            </w:r>
            <w:r>
              <w:rPr>
                <w:rFonts w:hint="eastAsia" w:ascii="宋体" w:hAnsi="宋体" w:cs="宋体"/>
                <w:color w:val="000000"/>
                <w:szCs w:val="21"/>
                <w:highlight w:val="none"/>
                <w:vertAlign w:val="superscript"/>
              </w:rPr>
              <w:t>3</w:t>
            </w:r>
            <w:r>
              <w:rPr>
                <w:rFonts w:hint="eastAsia" w:ascii="宋体" w:hAnsi="宋体" w:cs="宋体"/>
                <w:color w:val="000000"/>
                <w:szCs w:val="21"/>
                <w:highlight w:val="none"/>
              </w:rPr>
              <w:t>；</w:t>
            </w:r>
          </w:p>
          <w:p w14:paraId="6EBCE525">
            <w:pPr>
              <w:spacing w:line="400" w:lineRule="exact"/>
              <w:rPr>
                <w:rFonts w:hint="eastAsia" w:ascii="宋体" w:hAnsi="宋体" w:cs="宋体"/>
                <w:color w:val="000000"/>
                <w:szCs w:val="21"/>
                <w:highlight w:val="none"/>
              </w:rPr>
            </w:pPr>
            <w:r>
              <w:rPr>
                <w:rFonts w:hint="eastAsia" w:ascii="宋体" w:hAnsi="宋体" w:cs="宋体"/>
                <w:color w:val="000000"/>
                <w:szCs w:val="21"/>
                <w:highlight w:val="none"/>
              </w:rPr>
              <w:t xml:space="preserve">（3）功率测量模块至少1个，电池供电工作时长≥10小时；探头1个：0.19-20µm，10 µW-1W；硅标准功率探头1个，200-1100 nm，50 nW-50 mW。 </w:t>
            </w:r>
          </w:p>
          <w:p w14:paraId="5FAFB05B">
            <w:pPr>
              <w:spacing w:line="400" w:lineRule="exact"/>
              <w:rPr>
                <w:rFonts w:hint="eastAsia" w:ascii="宋体" w:hAnsi="宋体" w:cs="宋体"/>
                <w:color w:val="EE0000"/>
                <w:szCs w:val="21"/>
                <w:highlight w:val="none"/>
              </w:rPr>
            </w:pPr>
            <w:r>
              <w:rPr>
                <w:rFonts w:hint="eastAsia" w:ascii="宋体" w:hAnsi="宋体" w:cs="宋体"/>
                <w:color w:val="auto"/>
                <w:szCs w:val="21"/>
                <w:highlight w:val="none"/>
              </w:rPr>
              <w:t>7.</w:t>
            </w:r>
            <w:bookmarkStart w:id="21" w:name="_Hlk225782102"/>
            <w:r>
              <w:rPr>
                <w:rFonts w:hint="eastAsia" w:ascii="宋体" w:hAnsi="宋体" w:cs="宋体"/>
                <w:color w:val="auto"/>
                <w:szCs w:val="21"/>
                <w:highlight w:val="none"/>
              </w:rPr>
              <w:t>5光束质量测量模组：</w:t>
            </w:r>
          </w:p>
          <w:p w14:paraId="720D6CE5">
            <w:pPr>
              <w:spacing w:line="400" w:lineRule="exact"/>
              <w:rPr>
                <w:rFonts w:hint="eastAsia" w:ascii="宋体" w:hAnsi="宋体" w:cs="宋体"/>
                <w:color w:val="000000"/>
                <w:szCs w:val="21"/>
                <w:highlight w:val="none"/>
              </w:rPr>
            </w:pPr>
            <w:r>
              <w:rPr>
                <w:rFonts w:hint="eastAsia" w:ascii="宋体" w:hAnsi="宋体" w:cs="宋体"/>
                <w:color w:val="000000"/>
                <w:szCs w:val="21"/>
                <w:highlight w:val="none"/>
              </w:rPr>
              <w:t>（1）最大输入光束直径：9mm；</w:t>
            </w:r>
          </w:p>
          <w:p w14:paraId="0817853B">
            <w:pPr>
              <w:spacing w:line="400" w:lineRule="exact"/>
              <w:rPr>
                <w:rFonts w:hint="eastAsia" w:ascii="宋体" w:hAnsi="宋体" w:cs="宋体"/>
                <w:color w:val="000000"/>
                <w:szCs w:val="21"/>
                <w:highlight w:val="none"/>
              </w:rPr>
            </w:pPr>
            <w:r>
              <w:rPr>
                <w:rFonts w:hint="eastAsia" w:ascii="宋体" w:hAnsi="宋体" w:cs="宋体"/>
                <w:color w:val="000000"/>
                <w:szCs w:val="21"/>
                <w:highlight w:val="none"/>
              </w:rPr>
              <w:t>●（2）波长范围：900-2700nm；</w:t>
            </w:r>
          </w:p>
          <w:p w14:paraId="095EDB9D">
            <w:pPr>
              <w:spacing w:line="400" w:lineRule="exact"/>
              <w:rPr>
                <w:rFonts w:hint="eastAsia" w:ascii="宋体" w:hAnsi="宋体" w:cs="宋体"/>
                <w:color w:val="000000"/>
                <w:szCs w:val="21"/>
                <w:highlight w:val="none"/>
              </w:rPr>
            </w:pPr>
            <w:r>
              <w:rPr>
                <w:rFonts w:hint="eastAsia" w:ascii="宋体" w:hAnsi="宋体" w:cs="宋体"/>
                <w:color w:val="000000"/>
                <w:szCs w:val="21"/>
                <w:highlight w:val="none"/>
              </w:rPr>
              <w:t>●（3）有效CCD口径:直径</w:t>
            </w:r>
            <w:r>
              <w:rPr>
                <w:rFonts w:hint="eastAsia" w:ascii="宋体" w:hAnsi="宋体" w:cs="宋体"/>
                <w:color w:val="auto"/>
                <w:szCs w:val="21"/>
                <w:highlight w:val="none"/>
              </w:rPr>
              <w:t>不低于9mm</w:t>
            </w:r>
            <w:r>
              <w:rPr>
                <w:rFonts w:hint="eastAsia" w:ascii="宋体" w:hAnsi="宋体" w:cs="宋体"/>
                <w:color w:val="000000"/>
                <w:szCs w:val="21"/>
                <w:highlight w:val="none"/>
              </w:rPr>
              <w:t>；</w:t>
            </w:r>
          </w:p>
          <w:p w14:paraId="171BCBD6">
            <w:pPr>
              <w:spacing w:line="400" w:lineRule="exact"/>
              <w:rPr>
                <w:rFonts w:hint="eastAsia" w:ascii="宋体" w:hAnsi="宋体" w:cs="宋体"/>
                <w:color w:val="000000"/>
                <w:szCs w:val="21"/>
                <w:highlight w:val="none"/>
              </w:rPr>
            </w:pPr>
            <w:r>
              <w:rPr>
                <w:rFonts w:hint="eastAsia" w:ascii="宋体" w:hAnsi="宋体" w:cs="宋体"/>
                <w:color w:val="000000"/>
                <w:szCs w:val="21"/>
                <w:highlight w:val="none"/>
              </w:rPr>
              <w:t>（4）CCD像元大小:≤8×8μm；</w:t>
            </w:r>
          </w:p>
          <w:p w14:paraId="20679441">
            <w:pPr>
              <w:spacing w:line="400" w:lineRule="exact"/>
              <w:rPr>
                <w:rFonts w:hint="eastAsia" w:ascii="宋体" w:hAnsi="宋体" w:cs="宋体"/>
                <w:color w:val="000000"/>
                <w:szCs w:val="21"/>
                <w:highlight w:val="none"/>
              </w:rPr>
            </w:pPr>
            <w:r>
              <w:rPr>
                <w:rFonts w:hint="eastAsia" w:ascii="宋体" w:hAnsi="宋体" w:cs="宋体"/>
                <w:color w:val="000000"/>
                <w:szCs w:val="21"/>
                <w:highlight w:val="none"/>
              </w:rPr>
              <w:t>（5）M2范围:1-50；</w:t>
            </w:r>
          </w:p>
          <w:p w14:paraId="40AF4E57">
            <w:pPr>
              <w:spacing w:line="400" w:lineRule="exact"/>
              <w:rPr>
                <w:rFonts w:hint="eastAsia" w:ascii="宋体" w:hAnsi="宋体" w:cs="宋体"/>
                <w:color w:val="000000"/>
                <w:szCs w:val="21"/>
                <w:highlight w:val="none"/>
              </w:rPr>
            </w:pPr>
            <w:r>
              <w:rPr>
                <w:rFonts w:hint="eastAsia" w:ascii="宋体" w:hAnsi="宋体" w:cs="宋体"/>
                <w:color w:val="000000"/>
                <w:szCs w:val="21"/>
                <w:highlight w:val="none"/>
              </w:rPr>
              <w:t>（6）M2精度：±5%；</w:t>
            </w:r>
          </w:p>
          <w:p w14:paraId="205D3972">
            <w:pPr>
              <w:spacing w:line="400" w:lineRule="exact"/>
              <w:rPr>
                <w:rFonts w:hint="eastAsia" w:ascii="宋体" w:hAnsi="宋体" w:cs="宋体"/>
                <w:color w:val="000000"/>
                <w:szCs w:val="21"/>
                <w:highlight w:val="none"/>
              </w:rPr>
            </w:pPr>
            <w:r>
              <w:rPr>
                <w:rFonts w:hint="eastAsia" w:ascii="宋体" w:hAnsi="宋体" w:cs="宋体"/>
                <w:color w:val="000000"/>
                <w:szCs w:val="21"/>
                <w:highlight w:val="none"/>
              </w:rPr>
              <w:t>（7）M2重复性：±2%；</w:t>
            </w:r>
            <w:bookmarkEnd w:id="21"/>
          </w:p>
          <w:p w14:paraId="33719C16">
            <w:pPr>
              <w:spacing w:line="400" w:lineRule="exact"/>
              <w:rPr>
                <w:rFonts w:hint="eastAsia" w:ascii="宋体" w:hAnsi="宋体" w:cs="宋体"/>
                <w:color w:val="000000"/>
                <w:szCs w:val="21"/>
                <w:highlight w:val="none"/>
              </w:rPr>
            </w:pPr>
            <w:r>
              <w:rPr>
                <w:rFonts w:hint="eastAsia" w:ascii="宋体" w:hAnsi="宋体" w:cs="宋体"/>
                <w:color w:val="000000"/>
                <w:szCs w:val="21"/>
                <w:highlight w:val="none"/>
              </w:rPr>
              <w:t>8.力-电耦合测试及编带模块：</w:t>
            </w:r>
          </w:p>
          <w:p w14:paraId="287DD162">
            <w:pPr>
              <w:spacing w:line="400" w:lineRule="exact"/>
              <w:rPr>
                <w:rFonts w:hint="eastAsia" w:ascii="宋体" w:hAnsi="宋体" w:cs="宋体"/>
                <w:color w:val="000000"/>
                <w:szCs w:val="21"/>
                <w:highlight w:val="none"/>
              </w:rPr>
            </w:pPr>
            <w:r>
              <w:rPr>
                <w:rFonts w:hint="eastAsia" w:ascii="宋体" w:hAnsi="宋体" w:cs="宋体"/>
                <w:color w:val="000000"/>
                <w:szCs w:val="21"/>
                <w:highlight w:val="none"/>
              </w:rPr>
              <w:t>（1）拉力试验模组：可用于各种材料的拉伸、压缩、弯曲、剪切等力学性能测试；试验力示值误差：≤±0.5%；位移示值误差：≤±0.5%；变形示值误差：≤±0.5%；</w:t>
            </w:r>
          </w:p>
          <w:p w14:paraId="7DD66AD3">
            <w:pPr>
              <w:spacing w:line="400" w:lineRule="exact"/>
              <w:rPr>
                <w:rFonts w:hint="eastAsia" w:ascii="宋体" w:hAnsi="宋体" w:cs="宋体"/>
                <w:color w:val="000000"/>
                <w:szCs w:val="21"/>
                <w:highlight w:val="none"/>
              </w:rPr>
            </w:pPr>
            <w:r>
              <w:rPr>
                <w:rFonts w:hint="eastAsia" w:ascii="宋体" w:hAnsi="宋体" w:cs="宋体"/>
                <w:color w:val="000000"/>
                <w:szCs w:val="21"/>
                <w:highlight w:val="none"/>
              </w:rPr>
              <w:t>（2）静电模组：电流测量：&lt;1fA（包含噪声）～20mA；电压测量：10µV～200V；电阻测量：10Ω～200GΩ;最低电阻精度优于1%，最高电阻精度优于10%;电荷测量：10fC～20µC；15种测量功能，包括电容、温度和模数转换；扩展测量范围：10pA~10A及1mW-100mW；多触点容性大触摸屏及图形显示器≥5英寸(12.7cm)；存储≥700万个读数；</w:t>
            </w:r>
          </w:p>
          <w:p w14:paraId="25CD12C5">
            <w:pPr>
              <w:spacing w:line="400" w:lineRule="exact"/>
              <w:rPr>
                <w:rFonts w:hint="eastAsia" w:ascii="宋体" w:hAnsi="宋体" w:cs="宋体"/>
                <w:color w:val="000000"/>
                <w:szCs w:val="21"/>
                <w:highlight w:val="none"/>
              </w:rPr>
            </w:pPr>
            <w:r>
              <w:rPr>
                <w:rFonts w:hint="eastAsia" w:ascii="宋体" w:hAnsi="宋体" w:cs="宋体"/>
                <w:color w:val="000000"/>
                <w:szCs w:val="21"/>
                <w:highlight w:val="none"/>
              </w:rPr>
              <w:t xml:space="preserve">（3）生理信号记录模组：输入通道数量：≥4个(≥DIN差分输入通道,≥2 完全隔离的生物电通道)；集合采样速率: ≥200KHz/s ；最大带宽:≥25KHz；具备生物电放大器安全认证包含并不限于:生物电，可测心电、脑电、肌电及神经电信号等；可采用不少于两种不同的记录模式：连续记录或者叠加平均记录；频谱记录数据实时显示，可进行离线分析； </w:t>
            </w:r>
          </w:p>
          <w:p w14:paraId="4755DB9E">
            <w:pPr>
              <w:spacing w:line="400" w:lineRule="exact"/>
              <w:rPr>
                <w:rFonts w:hint="eastAsia" w:ascii="宋体" w:hAnsi="宋体" w:cs="宋体"/>
                <w:color w:val="000000"/>
                <w:szCs w:val="21"/>
                <w:highlight w:val="none"/>
              </w:rPr>
            </w:pPr>
            <w:r>
              <w:rPr>
                <w:rFonts w:hint="eastAsia" w:ascii="宋体" w:hAnsi="宋体" w:cs="宋体"/>
                <w:color w:val="000000"/>
                <w:szCs w:val="21"/>
                <w:highlight w:val="none"/>
              </w:rPr>
              <w:t>●（4）电化学工作模组：双通道，各通道独立测试，全浮地模式；电压控制范围：±10V，槽压为±21V；电流控制范围：±1A；电位、电流控制精度：≥0.1%；电位灵敏度：≥1μV；电流灵敏度：≥1pA。</w:t>
            </w:r>
          </w:p>
          <w:p w14:paraId="43D72440">
            <w:pPr>
              <w:spacing w:line="400" w:lineRule="exact"/>
              <w:rPr>
                <w:rFonts w:hint="eastAsia" w:ascii="宋体" w:hAnsi="宋体" w:cs="宋体"/>
                <w:bCs/>
                <w:szCs w:val="24"/>
                <w:highlight w:val="none"/>
              </w:rPr>
            </w:pPr>
            <w:r>
              <w:rPr>
                <w:rFonts w:hint="eastAsia" w:ascii="宋体" w:hAnsi="宋体" w:cs="宋体"/>
                <w:color w:val="000000"/>
                <w:szCs w:val="21"/>
                <w:highlight w:val="none"/>
              </w:rPr>
              <w:t>■（5）编带模组：适用2835及3535器件编带；运行速度≥10K/小时；载带：8-12mm；具备视觉识别编带和电流测试编带；满足反复热压封口及自封；中文触摸屏：≥7英寸；设备尺寸≤1200×900×2400mm</w:t>
            </w:r>
            <w:r>
              <w:rPr>
                <w:rFonts w:hint="eastAsia" w:ascii="宋体" w:hAnsi="宋体" w:cs="宋体"/>
                <w:color w:val="000000"/>
                <w:szCs w:val="21"/>
                <w:highlight w:val="none"/>
                <w:vertAlign w:val="superscript"/>
              </w:rPr>
              <w:t>3</w:t>
            </w:r>
            <w:r>
              <w:rPr>
                <w:rFonts w:hint="eastAsia" w:ascii="宋体" w:hAnsi="宋体" w:cs="宋体"/>
                <w:color w:val="000000"/>
                <w:szCs w:val="21"/>
                <w:highlight w:val="none"/>
              </w:rPr>
              <w:t>。</w:t>
            </w:r>
          </w:p>
        </w:tc>
        <w:tc>
          <w:tcPr>
            <w:tcW w:w="382" w:type="pct"/>
            <w:tcBorders>
              <w:top w:val="single" w:color="000000" w:sz="4" w:space="0"/>
              <w:left w:val="single" w:color="000000" w:sz="4" w:space="0"/>
              <w:bottom w:val="single" w:color="000000" w:sz="4" w:space="0"/>
              <w:right w:val="single" w:color="auto" w:sz="4" w:space="0"/>
            </w:tcBorders>
            <w:noWrap/>
            <w:vAlign w:val="center"/>
          </w:tcPr>
          <w:p w14:paraId="2F967BA6">
            <w:pPr>
              <w:spacing w:line="360" w:lineRule="auto"/>
              <w:jc w:val="center"/>
              <w:rPr>
                <w:rFonts w:hint="eastAsia" w:ascii="宋体" w:hAnsi="宋体" w:cs="宋体"/>
                <w:bCs/>
                <w:szCs w:val="18"/>
                <w:highlight w:val="none"/>
              </w:rPr>
            </w:pPr>
            <w:r>
              <w:rPr>
                <w:bCs/>
                <w:szCs w:val="18"/>
                <w:highlight w:val="none"/>
              </w:rPr>
              <w:t>1</w:t>
            </w:r>
          </w:p>
        </w:tc>
        <w:tc>
          <w:tcPr>
            <w:tcW w:w="382" w:type="pct"/>
            <w:tcBorders>
              <w:top w:val="single" w:color="000000" w:sz="4" w:space="0"/>
              <w:left w:val="single" w:color="auto" w:sz="4" w:space="0"/>
              <w:bottom w:val="single" w:color="000000" w:sz="4" w:space="0"/>
              <w:right w:val="single" w:color="000000" w:sz="4" w:space="0"/>
            </w:tcBorders>
            <w:noWrap/>
            <w:vAlign w:val="center"/>
          </w:tcPr>
          <w:p w14:paraId="3B126553">
            <w:pPr>
              <w:pStyle w:val="3"/>
              <w:jc w:val="center"/>
              <w:rPr>
                <w:rFonts w:hint="eastAsia" w:ascii="宋体" w:hAnsi="宋体" w:eastAsia="宋体" w:cs="宋体"/>
                <w:highlight w:val="none"/>
              </w:rPr>
            </w:pPr>
            <w:r>
              <w:rPr>
                <w:rFonts w:hint="eastAsia" w:ascii="宋体" w:hAnsi="宋体" w:eastAsia="宋体" w:cs="宋体"/>
                <w:highlight w:val="none"/>
              </w:rPr>
              <w:t>套</w:t>
            </w:r>
          </w:p>
        </w:tc>
      </w:tr>
      <w:bookmarkEnd w:id="0"/>
    </w:tbl>
    <w:p w14:paraId="027D5381">
      <w:pPr>
        <w:pStyle w:val="5"/>
        <w:ind w:firstLine="0" w:firstLineChars="0"/>
        <w:rPr>
          <w:highlight w:val="none"/>
        </w:rPr>
      </w:pPr>
      <w:r>
        <w:rPr>
          <w:rFonts w:hint="eastAsia"/>
          <w:highlight w:val="none"/>
        </w:rPr>
        <w:t>三、安装调试、培训及售后服务要求</w:t>
      </w:r>
    </w:p>
    <w:p w14:paraId="1FBF2117">
      <w:pPr>
        <w:spacing w:line="360" w:lineRule="auto"/>
        <w:ind w:firstLine="480" w:firstLineChars="200"/>
        <w:rPr>
          <w:rFonts w:hint="eastAsia" w:ascii="宋体" w:hAnsi="宋体"/>
          <w:bCs/>
          <w:color w:val="000000"/>
          <w:szCs w:val="24"/>
          <w:highlight w:val="none"/>
        </w:rPr>
      </w:pPr>
      <w:r>
        <w:rPr>
          <w:rFonts w:hint="eastAsia" w:ascii="宋体" w:hAnsi="宋体"/>
          <w:bCs/>
          <w:color w:val="000000"/>
          <w:szCs w:val="24"/>
          <w:highlight w:val="none"/>
        </w:rPr>
        <w:t>1、安装调试：</w:t>
      </w:r>
    </w:p>
    <w:p w14:paraId="02653B0A">
      <w:pPr>
        <w:spacing w:line="360" w:lineRule="auto"/>
        <w:ind w:firstLine="480" w:firstLineChars="200"/>
        <w:rPr>
          <w:rFonts w:hint="eastAsia" w:ascii="宋体" w:hAnsi="宋体"/>
          <w:bCs/>
          <w:color w:val="000000"/>
          <w:szCs w:val="24"/>
          <w:highlight w:val="none"/>
        </w:rPr>
      </w:pPr>
      <w:r>
        <w:rPr>
          <w:rFonts w:hint="eastAsia" w:ascii="宋体" w:hAnsi="宋体"/>
          <w:bCs/>
          <w:color w:val="000000"/>
          <w:szCs w:val="24"/>
          <w:highlight w:val="none"/>
        </w:rPr>
        <w:t>（1）协助安装调试前的准备工作，提供相关要求并作相应的指导。</w:t>
      </w:r>
    </w:p>
    <w:p w14:paraId="00968D48">
      <w:pPr>
        <w:spacing w:line="360" w:lineRule="auto"/>
        <w:ind w:firstLine="480" w:firstLineChars="200"/>
        <w:rPr>
          <w:rFonts w:hint="eastAsia" w:ascii="宋体" w:hAnsi="宋体"/>
          <w:bCs/>
          <w:color w:val="000000"/>
          <w:szCs w:val="24"/>
          <w:highlight w:val="none"/>
        </w:rPr>
      </w:pPr>
      <w:r>
        <w:rPr>
          <w:rFonts w:hint="eastAsia" w:ascii="宋体" w:hAnsi="宋体"/>
          <w:bCs/>
          <w:color w:val="000000"/>
          <w:szCs w:val="24"/>
          <w:highlight w:val="none"/>
        </w:rPr>
        <w:t>（2）货物到达用户指定交货地点后，中标人在接到用户通知后1周内进行安</w:t>
      </w:r>
    </w:p>
    <w:p w14:paraId="2AB6C1CD">
      <w:pPr>
        <w:spacing w:line="360" w:lineRule="auto"/>
        <w:rPr>
          <w:rFonts w:hint="eastAsia" w:ascii="宋体" w:hAnsi="宋体"/>
          <w:bCs/>
          <w:color w:val="000000"/>
          <w:szCs w:val="24"/>
          <w:highlight w:val="none"/>
        </w:rPr>
      </w:pPr>
      <w:r>
        <w:rPr>
          <w:rFonts w:hint="eastAsia" w:ascii="宋体" w:hAnsi="宋体"/>
          <w:bCs/>
          <w:color w:val="000000"/>
          <w:szCs w:val="24"/>
          <w:highlight w:val="none"/>
        </w:rPr>
        <w:t xml:space="preserve">装调试，直至验收通过，并就货物的性能、原理、操作、保养和维护等对用户技术人员（至少2人）进行培训。 </w:t>
      </w:r>
    </w:p>
    <w:p w14:paraId="40359A40">
      <w:pPr>
        <w:spacing w:line="360" w:lineRule="auto"/>
        <w:ind w:firstLine="480" w:firstLineChars="200"/>
        <w:rPr>
          <w:rFonts w:hint="eastAsia" w:ascii="宋体" w:hAnsi="宋体"/>
          <w:bCs/>
          <w:color w:val="000000"/>
          <w:szCs w:val="24"/>
          <w:highlight w:val="none"/>
        </w:rPr>
      </w:pPr>
      <w:r>
        <w:rPr>
          <w:rFonts w:hint="eastAsia" w:ascii="宋体" w:hAnsi="宋体"/>
          <w:bCs/>
          <w:color w:val="000000"/>
          <w:szCs w:val="24"/>
          <w:highlight w:val="none"/>
        </w:rPr>
        <w:t>2、售后服务：</w:t>
      </w:r>
    </w:p>
    <w:p w14:paraId="636B6C91">
      <w:pPr>
        <w:spacing w:line="360" w:lineRule="auto"/>
        <w:ind w:firstLine="480" w:firstLineChars="200"/>
        <w:rPr>
          <w:rFonts w:hint="eastAsia" w:ascii="宋体" w:hAnsi="宋体"/>
          <w:bCs/>
          <w:color w:val="000000"/>
          <w:szCs w:val="24"/>
          <w:highlight w:val="none"/>
        </w:rPr>
      </w:pPr>
      <w:r>
        <w:rPr>
          <w:rFonts w:hint="eastAsia" w:ascii="宋体" w:hAnsi="宋体"/>
          <w:bCs/>
          <w:color w:val="000000"/>
          <w:szCs w:val="24"/>
          <w:highlight w:val="none"/>
        </w:rPr>
        <w:t xml:space="preserve">（1）中标人应在4小时内对用户的维修要求作出响应，2个工作日内到达现场维修。 </w:t>
      </w:r>
    </w:p>
    <w:p w14:paraId="2B30DAA2">
      <w:pPr>
        <w:spacing w:line="360" w:lineRule="auto"/>
        <w:ind w:firstLine="480" w:firstLineChars="200"/>
        <w:rPr>
          <w:rFonts w:hint="eastAsia" w:ascii="宋体" w:hAnsi="宋体"/>
          <w:bCs/>
          <w:color w:val="000000"/>
          <w:szCs w:val="24"/>
          <w:highlight w:val="none"/>
        </w:rPr>
      </w:pPr>
      <w:r>
        <w:rPr>
          <w:rFonts w:hint="eastAsia" w:ascii="宋体" w:hAnsi="宋体"/>
          <w:bCs/>
          <w:color w:val="000000"/>
          <w:szCs w:val="24"/>
          <w:highlight w:val="none"/>
        </w:rPr>
        <w:t>（2）如遇软件升级问题，在硬件支持的前提下，质保期内提供免费升级。</w:t>
      </w:r>
    </w:p>
    <w:p w14:paraId="0C40382B">
      <w:pPr>
        <w:pStyle w:val="5"/>
        <w:ind w:firstLine="0" w:firstLineChars="0"/>
        <w:rPr>
          <w:highlight w:val="none"/>
        </w:rPr>
      </w:pPr>
      <w:r>
        <w:rPr>
          <w:rFonts w:hint="eastAsia"/>
          <w:highlight w:val="none"/>
        </w:rPr>
        <w:t>四、报价要求</w:t>
      </w:r>
    </w:p>
    <w:p w14:paraId="16B78FC2">
      <w:pPr>
        <w:spacing w:line="360" w:lineRule="auto"/>
        <w:ind w:firstLine="480" w:firstLineChars="200"/>
        <w:rPr>
          <w:rFonts w:hint="eastAsia"/>
          <w:color w:val="000000"/>
          <w:szCs w:val="24"/>
          <w:highlight w:val="none"/>
        </w:rPr>
      </w:pPr>
      <w:r>
        <w:rPr>
          <w:rFonts w:hint="eastAsia" w:ascii="宋体" w:hAnsi="宋体"/>
          <w:bCs/>
          <w:color w:val="000000"/>
          <w:szCs w:val="24"/>
          <w:highlight w:val="none"/>
        </w:rPr>
        <w:t>本项目须报投标总价，投标总价包含完成所投包别项目产生的一切费用（仪器设备安装调试所需要的人工、材料、工具等均由中标人负责提供，所需费用包含在投标总报价内），履约期间采购人不再追加任何费用，投标人自行考虑报价风险。</w:t>
      </w:r>
    </w:p>
    <w:p w14:paraId="1B12B98E">
      <w:pPr>
        <w:rPr>
          <w:rFonts w:hint="eastAsia"/>
          <w:highlight w:val="none"/>
        </w:rPr>
      </w:pPr>
    </w:p>
    <w:p w14:paraId="3ADA6B5C">
      <w:pPr>
        <w:rPr>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altName w:val="微软雅黑"/>
    <w:panose1 w:val="00000000000000000000"/>
    <w:charset w:val="86"/>
    <w:family w:val="script"/>
    <w:pitch w:val="default"/>
    <w:sig w:usb0="00000000" w:usb1="00000000" w:usb2="00082016" w:usb3="00000000" w:csb0="00040001" w:csb1="00000000"/>
  </w:font>
  <w:font w:name="方正黑体_GBK">
    <w:altName w:val="微软雅黑"/>
    <w:panose1 w:val="00000000000000000000"/>
    <w:charset w:val="86"/>
    <w:family w:val="script"/>
    <w:pitch w:val="default"/>
    <w:sig w:usb0="00000000" w:usb1="00000000" w:usb2="00000000" w:usb3="00000000" w:csb0="00040000" w:csb1="00000000"/>
  </w:font>
  <w:font w:name="@微软简标宋">
    <w:altName w:val="微软雅黑"/>
    <w:panose1 w:val="00000000000000000000"/>
    <w:charset w:val="86"/>
    <w:family w:val="auto"/>
    <w:pitch w:val="default"/>
    <w:sig w:usb0="00000000" w:usb1="00000000" w:usb2="00000000" w:usb3="00000000" w:csb0="00000000" w:csb1="00000000"/>
  </w:font>
  <w:font w:name="楷体_GB2312">
    <w:panose1 w:val="02010609030101010101"/>
    <w:charset w:val="86"/>
    <w:family w:val="modern"/>
    <w:pitch w:val="default"/>
    <w:sig w:usb0="00000001" w:usb1="080E0000" w:usb2="00000000" w:usb3="00000000" w:csb0="00040000" w:csb1="00000000"/>
  </w:font>
  <w:font w:name="Segoe UI Symbol">
    <w:panose1 w:val="020B0502040204020203"/>
    <w:charset w:val="00"/>
    <w:family w:val="swiss"/>
    <w:pitch w:val="default"/>
    <w:sig w:usb0="800001E3" w:usb1="1200FFEF" w:usb2="00040000" w:usb3="04000000" w:csb0="00000001" w:csb1="4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F26EC1"/>
    <w:multiLevelType w:val="singleLevel"/>
    <w:tmpl w:val="07F26EC1"/>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1894133"/>
    <w:rsid w:val="318941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仿宋_GB2312" w:eastAsia="宋体" w:cs="@仿宋_GB2312"/>
      <w:kern w:val="2"/>
      <w:sz w:val="24"/>
      <w:lang w:val="en-US" w:eastAsia="zh-CN" w:bidi="ar-SA"/>
    </w:rPr>
  </w:style>
  <w:style w:type="paragraph" w:styleId="4">
    <w:name w:val="heading 1"/>
    <w:basedOn w:val="1"/>
    <w:next w:val="1"/>
    <w:link w:val="12"/>
    <w:qFormat/>
    <w:uiPriority w:val="9"/>
    <w:pPr>
      <w:keepNext/>
      <w:keepLines/>
      <w:spacing w:line="360" w:lineRule="auto"/>
      <w:jc w:val="center"/>
      <w:outlineLvl w:val="0"/>
    </w:pPr>
    <w:rPr>
      <w:rFonts w:eastAsia="方正小标宋_GBK"/>
      <w:bCs/>
      <w:kern w:val="44"/>
      <w:sz w:val="44"/>
      <w:szCs w:val="44"/>
    </w:rPr>
  </w:style>
  <w:style w:type="paragraph" w:styleId="5">
    <w:name w:val="heading 2"/>
    <w:basedOn w:val="1"/>
    <w:next w:val="1"/>
    <w:qFormat/>
    <w:uiPriority w:val="0"/>
    <w:pPr>
      <w:keepNext/>
      <w:keepLines/>
      <w:spacing w:before="240" w:line="360" w:lineRule="auto"/>
      <w:ind w:firstLine="640" w:firstLineChars="200"/>
      <w:jc w:val="left"/>
      <w:outlineLvl w:val="1"/>
    </w:pPr>
    <w:rPr>
      <w:rFonts w:ascii="Arial" w:hAnsi="Arial" w:eastAsia="方正黑体_GBK" w:cs="Arial"/>
      <w:bCs/>
      <w:sz w:val="28"/>
      <w:szCs w:val="32"/>
    </w:rPr>
  </w:style>
  <w:style w:type="character" w:default="1" w:styleId="11">
    <w:name w:val="Default Paragraph Font"/>
    <w:semiHidden/>
    <w:qFormat/>
    <w:uiPriority w:val="0"/>
  </w:style>
  <w:style w:type="table" w:default="1" w:styleId="10">
    <w:name w:val="Normal Table"/>
    <w:semiHidden/>
    <w:uiPriority w:val="0"/>
    <w:tblPr>
      <w:tblCellMar>
        <w:top w:w="0" w:type="dxa"/>
        <w:left w:w="108" w:type="dxa"/>
        <w:bottom w:w="0" w:type="dxa"/>
        <w:right w:w="108" w:type="dxa"/>
      </w:tblCellMar>
    </w:tblPr>
  </w:style>
  <w:style w:type="paragraph" w:styleId="2">
    <w:name w:val="Body Text First Indent"/>
    <w:basedOn w:val="3"/>
    <w:unhideWhenUsed/>
    <w:qFormat/>
    <w:uiPriority w:val="99"/>
    <w:pPr>
      <w:ind w:firstLine="420" w:firstLineChars="100"/>
    </w:pPr>
  </w:style>
  <w:style w:type="paragraph" w:styleId="3">
    <w:name w:val="Body Text"/>
    <w:basedOn w:val="1"/>
    <w:qFormat/>
    <w:uiPriority w:val="0"/>
    <w:pPr>
      <w:spacing w:after="120"/>
    </w:pPr>
    <w:rPr>
      <w:rFonts w:ascii="@微软简标宋" w:hAnsi="@微软简标宋" w:eastAsia="@微软简标宋" w:cs="@微软简标宋"/>
      <w:szCs w:val="24"/>
    </w:rPr>
  </w:style>
  <w:style w:type="paragraph" w:styleId="6">
    <w:name w:val="Body Text Indent"/>
    <w:basedOn w:val="1"/>
    <w:unhideWhenUsed/>
    <w:qFormat/>
    <w:uiPriority w:val="99"/>
    <w:pPr>
      <w:ind w:firstLine="645"/>
    </w:pPr>
    <w:rPr>
      <w:rFonts w:ascii="楷体_GB2312" w:eastAsia="楷体_GB2312"/>
      <w:sz w:val="32"/>
    </w:rPr>
  </w:style>
  <w:style w:type="paragraph" w:styleId="7">
    <w:name w:val="footer"/>
    <w:basedOn w:val="1"/>
    <w:unhideWhenUsed/>
    <w:qFormat/>
    <w:uiPriority w:val="0"/>
    <w:pPr>
      <w:tabs>
        <w:tab w:val="center" w:pos="4153"/>
        <w:tab w:val="right" w:pos="8306"/>
      </w:tabs>
      <w:snapToGrid w:val="0"/>
      <w:jc w:val="left"/>
    </w:pPr>
    <w:rPr>
      <w:sz w:val="18"/>
      <w:szCs w:val="18"/>
    </w:rPr>
  </w:style>
  <w:style w:type="paragraph" w:styleId="8">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9">
    <w:name w:val="Body Text First Indent 2"/>
    <w:basedOn w:val="6"/>
    <w:unhideWhenUsed/>
    <w:qFormat/>
    <w:uiPriority w:val="99"/>
    <w:pPr>
      <w:ind w:left="420" w:firstLine="420" w:firstLineChars="200"/>
    </w:pPr>
    <w:rPr>
      <w:rFonts w:ascii="Times New Roman" w:cs="Times New Roman"/>
    </w:rPr>
  </w:style>
  <w:style w:type="character" w:customStyle="1" w:styleId="12">
    <w:name w:val="标题 1 字符"/>
    <w:link w:val="4"/>
    <w:qFormat/>
    <w:uiPriority w:val="9"/>
    <w:rPr>
      <w:rFonts w:eastAsia="方正小标宋_GBK"/>
      <w:bCs/>
      <w:kern w:val="44"/>
      <w:sz w:val="44"/>
      <w:szCs w:val="44"/>
    </w:rPr>
  </w:style>
  <w:style w:type="paragraph" w:customStyle="1" w:styleId="13">
    <w:name w:val="D&amp;L"/>
    <w:basedOn w:val="8"/>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14">
    <w:name w:val="xl31"/>
    <w:basedOn w:val="1"/>
    <w:qFormat/>
    <w:uiPriority w:val="0"/>
    <w:pPr>
      <w:widowControl/>
      <w:spacing w:before="100" w:beforeAutospacing="1" w:after="100" w:afterAutospacing="1"/>
      <w:jc w:val="center"/>
    </w:pPr>
    <w:rPr>
      <w:b/>
      <w:bCs/>
      <w:kern w:val="0"/>
      <w:sz w:val="28"/>
      <w:szCs w:val="2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0</Words>
  <Characters>0</Characters>
  <Lines>0</Lines>
  <Paragraphs>0</Paragraphs>
  <TotalTime>0</TotalTime>
  <ScaleCrop>false</ScaleCrop>
  <LinksUpToDate>false</LinksUpToDate>
  <CharactersWithSpaces>0</CharactersWithSpaces>
  <Application>WPS Office_12.1.0.25856_F1E327BC-269C-435d-A152-05C5408002CA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2026-04-09T10:16:00Z</dcterms:created>
  <dc:creator>安天</dc:creator>
  <cp:lastModifiedBy>安天</cp:lastModifiedBy>
  <dcterms:modified xsi:type="dcterms:W3CDTF">2026-04-09T10:16:55Z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2052-12.1.0.25856</vt:lpwstr>
  </property>
  <property fmtid="{D5CDD505-2E9C-101B-9397-08002B2CF9AE}" pid="3" name="ICV">
    <vt:lpwstr>F92FCB58D01B42C981EEF1F6F34F780E_11</vt:lpwstr>
  </property>
  <property fmtid="{D5CDD505-2E9C-101B-9397-08002B2CF9AE}" pid="4" name="KSOTemplateDocerSaveRecord">
    <vt:lpwstr>eyJoZGlkIjoiNzVjODdkMDUwYTU3OWE5YmJkNTdjZGUyODE1NzQ4OWEiLCJ1c2VySWQiOiIyODkwNDAzNDUifQ==</vt:lpwstr>
  </property>
</Properties>
</file>