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E169B">
      <w:pPr>
        <w:spacing w:line="360" w:lineRule="auto"/>
        <w:jc w:val="center"/>
        <w:outlineLvl w:val="0"/>
        <w:rPr>
          <w:rFonts w:asciiTheme="minorEastAsia" w:hAnsiTheme="minorEastAsia" w:eastAsiaTheme="minorEastAsia"/>
          <w:b/>
          <w:sz w:val="28"/>
          <w:highlight w:val="none"/>
        </w:rPr>
      </w:pPr>
      <w:bookmarkStart w:id="0" w:name="_Toc5980"/>
      <w:r>
        <w:rPr>
          <w:rFonts w:hint="eastAsia" w:asciiTheme="minorEastAsia" w:hAnsiTheme="minorEastAsia" w:eastAsiaTheme="minorEastAsia"/>
          <w:b/>
          <w:sz w:val="28"/>
          <w:highlight w:val="none"/>
        </w:rPr>
        <w:t>采购需求</w:t>
      </w:r>
      <w:bookmarkEnd w:id="0"/>
      <w:bookmarkStart w:id="9" w:name="_GoBack"/>
      <w:bookmarkEnd w:id="9"/>
    </w:p>
    <w:p w14:paraId="414A422B">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019F8686">
      <w:pPr>
        <w:spacing w:line="360" w:lineRule="auto"/>
        <w:ind w:firstLine="435"/>
        <w:rPr>
          <w:rFonts w:ascii="宋体" w:hAnsi="宋体" w:eastAsia="宋体"/>
          <w:sz w:val="24"/>
          <w:szCs w:val="18"/>
          <w:highlight w:val="none"/>
        </w:rPr>
      </w:pPr>
      <w:r>
        <w:rPr>
          <w:rFonts w:hint="eastAsia" w:asciiTheme="minorEastAsia" w:hAnsiTheme="minorEastAsia" w:eastAsiaTheme="minorEastAsia"/>
          <w:sz w:val="24"/>
          <w:highlight w:val="none"/>
        </w:rPr>
        <w:t>1.</w:t>
      </w:r>
      <w:r>
        <w:rPr>
          <w:rFonts w:ascii="宋体" w:hAnsi="宋体" w:eastAsia="宋体"/>
          <w:sz w:val="24"/>
          <w:szCs w:val="18"/>
          <w:highlight w:val="none"/>
        </w:rPr>
        <w:t>根据《</w:t>
      </w:r>
      <w:r>
        <w:rPr>
          <w:rFonts w:hint="eastAsia" w:ascii="宋体" w:hAnsi="宋体" w:eastAsia="宋体"/>
          <w:sz w:val="24"/>
          <w:szCs w:val="18"/>
          <w:highlight w:val="none"/>
        </w:rPr>
        <w:t>政府采购进口产品管理办法</w:t>
      </w:r>
      <w:r>
        <w:rPr>
          <w:rFonts w:ascii="宋体" w:hAnsi="宋体" w:eastAsia="宋体"/>
          <w:sz w:val="24"/>
          <w:szCs w:val="18"/>
          <w:highlight w:val="none"/>
        </w:rPr>
        <w:t>》及政府采购管理部门的相关规定，下列采购需求中</w:t>
      </w:r>
      <w:r>
        <w:rPr>
          <w:rFonts w:hint="eastAsia" w:ascii="宋体" w:hAnsi="宋体" w:eastAsia="宋体"/>
          <w:sz w:val="24"/>
          <w:szCs w:val="18"/>
          <w:highlight w:val="none"/>
        </w:rPr>
        <w:t>标注进口产品的货物均</w:t>
      </w:r>
      <w:r>
        <w:rPr>
          <w:rFonts w:ascii="宋体" w:hAnsi="宋体" w:eastAsia="宋体"/>
          <w:sz w:val="24"/>
          <w:szCs w:val="18"/>
          <w:highlight w:val="none"/>
        </w:rPr>
        <w:t>已履行相关论证手续，经核准采购进口</w:t>
      </w:r>
      <w:r>
        <w:rPr>
          <w:rFonts w:hint="eastAsia" w:ascii="宋体" w:hAnsi="宋体" w:eastAsia="宋体"/>
          <w:sz w:val="24"/>
          <w:szCs w:val="18"/>
          <w:highlight w:val="none"/>
        </w:rPr>
        <w:t>产品</w:t>
      </w:r>
      <w:r>
        <w:rPr>
          <w:rFonts w:ascii="宋体" w:hAnsi="宋体" w:eastAsia="宋体"/>
          <w:sz w:val="24"/>
          <w:szCs w:val="18"/>
          <w:highlight w:val="none"/>
        </w:rPr>
        <w:t>，但不限制满足招标文件要求的国内产品参与竞争</w:t>
      </w:r>
      <w:r>
        <w:rPr>
          <w:rFonts w:hint="eastAsia" w:ascii="宋体" w:hAnsi="宋体" w:eastAsia="宋体"/>
          <w:sz w:val="24"/>
          <w:szCs w:val="18"/>
          <w:highlight w:val="none"/>
        </w:rPr>
        <w:t>。未标注进口产品的货物均</w:t>
      </w:r>
      <w:r>
        <w:rPr>
          <w:rFonts w:ascii="宋体" w:hAnsi="宋体" w:eastAsia="宋体"/>
          <w:sz w:val="24"/>
          <w:szCs w:val="18"/>
          <w:highlight w:val="none"/>
        </w:rPr>
        <w:t>为拒绝采购进口产品</w:t>
      </w:r>
      <w:r>
        <w:rPr>
          <w:rFonts w:hint="eastAsia" w:ascii="宋体" w:hAnsi="宋体" w:eastAsia="宋体"/>
          <w:sz w:val="24"/>
          <w:szCs w:val="18"/>
          <w:highlight w:val="none"/>
        </w:rPr>
        <w:t>。</w:t>
      </w:r>
    </w:p>
    <w:p w14:paraId="669E2E63">
      <w:pPr>
        <w:spacing w:line="360" w:lineRule="auto"/>
        <w:ind w:firstLine="435"/>
        <w:rPr>
          <w:rFonts w:ascii="宋体" w:hAnsi="宋体" w:eastAsia="宋体"/>
          <w:sz w:val="24"/>
          <w:szCs w:val="18"/>
          <w:highlight w:val="none"/>
        </w:rPr>
      </w:pPr>
      <w:r>
        <w:rPr>
          <w:rFonts w:hint="eastAsia" w:ascii="宋体" w:hAnsi="宋体" w:eastAsia="宋体"/>
          <w:sz w:val="24"/>
          <w:szCs w:val="18"/>
          <w:highlight w:val="none"/>
        </w:rPr>
        <w:t>2.</w:t>
      </w:r>
      <w:r>
        <w:rPr>
          <w:rFonts w:ascii="宋体" w:hAnsi="宋体" w:eastAsia="宋体" w:cs="宋体"/>
          <w:sz w:val="24"/>
          <w:szCs w:val="24"/>
          <w:highlight w:val="none"/>
        </w:rPr>
        <w:t>政府采购政策（包括但不限于下列具体政策要求</w:t>
      </w:r>
      <w:r>
        <w:rPr>
          <w:rFonts w:hint="eastAsia" w:ascii="宋体" w:hAnsi="宋体" w:eastAsia="宋体" w:cs="宋体"/>
          <w:sz w:val="24"/>
          <w:szCs w:val="24"/>
          <w:highlight w:val="none"/>
        </w:rPr>
        <w:t>）</w:t>
      </w:r>
      <w:r>
        <w:rPr>
          <w:rFonts w:hint="eastAsia" w:ascii="宋体" w:hAnsi="宋体" w:eastAsia="宋体"/>
          <w:sz w:val="24"/>
          <w:szCs w:val="18"/>
          <w:highlight w:val="none"/>
        </w:rPr>
        <w:t>：</w:t>
      </w:r>
    </w:p>
    <w:p w14:paraId="65E030BC">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E234244">
      <w:pPr>
        <w:spacing w:line="360" w:lineRule="auto"/>
        <w:ind w:firstLine="435"/>
        <w:rPr>
          <w:rFonts w:ascii="宋体" w:hAnsi="宋体" w:eastAsia="宋体" w:cs="宋体"/>
          <w:sz w:val="24"/>
          <w:szCs w:val="24"/>
          <w:highlight w:val="none"/>
        </w:rPr>
      </w:pPr>
      <w:r>
        <w:rPr>
          <w:rFonts w:hint="eastAsia" w:ascii="宋体" w:hAnsi="宋体" w:eastAsia="宋体" w:cs="宋体"/>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1D0D432">
      <w:pPr>
        <w:spacing w:line="360" w:lineRule="auto"/>
        <w:ind w:firstLine="435"/>
        <w:rPr>
          <w:rFonts w:ascii="宋体" w:hAnsi="宋体" w:eastAsia="宋体"/>
          <w:b/>
          <w:bCs/>
          <w:sz w:val="24"/>
          <w:szCs w:val="18"/>
          <w:highlight w:val="none"/>
        </w:rPr>
      </w:pPr>
      <w:r>
        <w:rPr>
          <w:rFonts w:hint="eastAsia" w:ascii="宋体" w:hAnsi="宋体" w:eastAsia="宋体" w:cs="宋体"/>
          <w:sz w:val="24"/>
          <w:szCs w:val="24"/>
          <w:highlight w:val="none"/>
        </w:rPr>
        <w:t>（3）</w:t>
      </w:r>
      <w:r>
        <w:rPr>
          <w:rFonts w:hint="eastAsia" w:ascii="宋体" w:hAnsi="宋体" w:eastAsia="宋体" w:cs="宋体"/>
          <w:b/>
          <w:bCs/>
          <w:sz w:val="24"/>
          <w:szCs w:val="24"/>
          <w:highlight w:val="none"/>
        </w:rPr>
        <w:t>标注▲的产品为核心产品，投标人在投标文件《主要中标标的承诺函》中填写名称、规格、型号、数量、单价等信息，承诺函随评审结果一并公告；</w:t>
      </w:r>
    </w:p>
    <w:p w14:paraId="5FCED17B">
      <w:pPr>
        <w:spacing w:line="360" w:lineRule="auto"/>
        <w:ind w:firstLine="435"/>
        <w:rPr>
          <w:highlight w:val="none"/>
        </w:rPr>
      </w:pPr>
      <w:r>
        <w:rPr>
          <w:rFonts w:hint="eastAsia" w:ascii="宋体" w:hAnsi="宋体" w:eastAsia="宋体" w:cs="宋体"/>
          <w:sz w:val="24"/>
          <w:szCs w:val="24"/>
          <w:highlight w:val="none"/>
        </w:rPr>
        <w:t>3.</w:t>
      </w:r>
      <w:r>
        <w:rPr>
          <w:rFonts w:hint="eastAsia" w:ascii="宋体" w:hAnsi="宋体" w:eastAsia="宋体"/>
          <w:sz w:val="24"/>
          <w:szCs w:val="18"/>
          <w:highlight w:val="none"/>
        </w:rPr>
        <w:t>如采购人允许采用分包方式履行合同的，应当明确可以分包履行的相关内容。</w:t>
      </w:r>
    </w:p>
    <w:p w14:paraId="4A006E96">
      <w:pPr>
        <w:spacing w:line="360" w:lineRule="auto"/>
        <w:ind w:firstLine="437"/>
        <w:outlineLvl w:val="1"/>
        <w:rPr>
          <w:rFonts w:ascii="宋体" w:hAnsi="宋体" w:eastAsia="宋体"/>
          <w:b/>
          <w:sz w:val="24"/>
          <w:szCs w:val="18"/>
          <w:highlight w:val="none"/>
        </w:rPr>
      </w:pPr>
      <w:bookmarkStart w:id="1" w:name="_Toc21076"/>
      <w:bookmarkStart w:id="2" w:name="_Toc2554"/>
      <w:bookmarkStart w:id="3" w:name="_Toc32151"/>
      <w:r>
        <w:rPr>
          <w:rFonts w:hint="eastAsia" w:ascii="宋体" w:hAnsi="宋体" w:eastAsia="宋体"/>
          <w:b/>
          <w:sz w:val="24"/>
          <w:szCs w:val="18"/>
          <w:highlight w:val="none"/>
        </w:rPr>
        <w:t>一、采购需求前附表</w:t>
      </w:r>
      <w:bookmarkEnd w:id="1"/>
      <w:bookmarkEnd w:id="2"/>
      <w:bookmarkEnd w:id="3"/>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938"/>
        <w:gridCol w:w="5856"/>
      </w:tblGrid>
      <w:tr w14:paraId="4B3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9774476">
            <w:pPr>
              <w:pStyle w:val="9"/>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37" w:type="pct"/>
            <w:vAlign w:val="center"/>
          </w:tcPr>
          <w:p w14:paraId="21A6201B">
            <w:pPr>
              <w:pStyle w:val="1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435" w:type="pct"/>
            <w:vAlign w:val="center"/>
          </w:tcPr>
          <w:p w14:paraId="5E176687">
            <w:pPr>
              <w:pStyle w:val="1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7411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F142233">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37" w:type="pct"/>
            <w:vAlign w:val="center"/>
          </w:tcPr>
          <w:p w14:paraId="68C1B97E">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435" w:type="pct"/>
            <w:vAlign w:val="center"/>
          </w:tcPr>
          <w:p w14:paraId="331F887E">
            <w:pPr>
              <w:pStyle w:val="10"/>
              <w:widowControl w:val="0"/>
              <w:spacing w:before="0" w:beforeAutospacing="0" w:after="0" w:afterAutospacing="0" w:line="360" w:lineRule="auto"/>
              <w:jc w:val="both"/>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设备安装调试完毕且经验收合格正常使用后一次性付清全部合同价款。</w:t>
            </w:r>
          </w:p>
          <w:p w14:paraId="406BD231">
            <w:pPr>
              <w:pStyle w:val="10"/>
              <w:widowControl w:val="0"/>
              <w:spacing w:before="0" w:beforeAutospacing="0" w:after="0" w:afterAutospacing="0" w:line="360" w:lineRule="auto"/>
              <w:jc w:val="both"/>
              <w:rPr>
                <w:rFonts w:hint="eastAsia" w:ascii="宋体" w:hAnsi="宋体" w:eastAsia="宋体"/>
                <w:b w:val="0"/>
                <w:sz w:val="24"/>
                <w:highlight w:val="none"/>
              </w:rPr>
            </w:pPr>
            <w:r>
              <w:rPr>
                <w:rFonts w:hint="eastAsia" w:ascii="宋体" w:hAnsi="宋体" w:eastAsia="宋体"/>
                <w:b/>
                <w:bCs w:val="0"/>
                <w:sz w:val="24"/>
                <w:highlight w:val="none"/>
                <w:lang w:val="en-US" w:eastAsia="zh-CN"/>
              </w:rPr>
              <w:t>注：</w:t>
            </w:r>
            <w:r>
              <w:rPr>
                <w:rFonts w:hint="eastAsia" w:ascii="宋体" w:hAnsi="宋体" w:eastAsia="宋体"/>
                <w:b/>
                <w:bCs w:val="0"/>
                <w:sz w:val="24"/>
                <w:highlight w:val="none"/>
              </w:rPr>
              <w:t>付款之前中标人需开具合法有效的符合采购人财务要求的对应金额发票。</w:t>
            </w:r>
          </w:p>
        </w:tc>
      </w:tr>
      <w:tr w14:paraId="0464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1460333F">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37" w:type="pct"/>
            <w:vAlign w:val="center"/>
          </w:tcPr>
          <w:p w14:paraId="12ED8004">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供货及安装地点</w:t>
            </w:r>
          </w:p>
        </w:tc>
        <w:tc>
          <w:tcPr>
            <w:tcW w:w="3435" w:type="pct"/>
            <w:vAlign w:val="center"/>
          </w:tcPr>
          <w:p w14:paraId="3521E540">
            <w:pPr>
              <w:pStyle w:val="10"/>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合肥市安徽医科大学，采购人指定地点。</w:t>
            </w:r>
          </w:p>
        </w:tc>
      </w:tr>
      <w:tr w14:paraId="223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D15A85C">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37" w:type="pct"/>
            <w:vAlign w:val="center"/>
          </w:tcPr>
          <w:p w14:paraId="633D08C0">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供货及安装期限</w:t>
            </w:r>
          </w:p>
        </w:tc>
        <w:tc>
          <w:tcPr>
            <w:tcW w:w="3435" w:type="pct"/>
            <w:vAlign w:val="center"/>
          </w:tcPr>
          <w:p w14:paraId="03FFFF02">
            <w:pPr>
              <w:pStyle w:val="10"/>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合同签订后接采购人通知</w:t>
            </w:r>
            <w:r>
              <w:rPr>
                <w:rFonts w:hint="eastAsia" w:ascii="宋体" w:hAnsi="宋体" w:eastAsia="宋体"/>
                <w:b w:val="0"/>
                <w:sz w:val="24"/>
                <w:highlight w:val="none"/>
                <w:lang w:val="en-US" w:eastAsia="zh-CN"/>
              </w:rPr>
              <w:t>200</w:t>
            </w:r>
            <w:r>
              <w:rPr>
                <w:rFonts w:hint="eastAsia" w:ascii="宋体" w:hAnsi="宋体" w:eastAsia="宋体"/>
                <w:b w:val="0"/>
                <w:sz w:val="24"/>
                <w:highlight w:val="none"/>
              </w:rPr>
              <w:t>个日历日内完成供货。</w:t>
            </w:r>
          </w:p>
        </w:tc>
      </w:tr>
      <w:tr w14:paraId="6421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4234FFE">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37" w:type="pct"/>
            <w:vAlign w:val="center"/>
          </w:tcPr>
          <w:p w14:paraId="36F3BC36">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3435" w:type="pct"/>
            <w:vAlign w:val="center"/>
          </w:tcPr>
          <w:p w14:paraId="38F23209">
            <w:pPr>
              <w:pStyle w:val="10"/>
              <w:widowControl w:val="0"/>
              <w:spacing w:before="0" w:beforeAutospacing="0" w:after="0" w:afterAutospacing="0" w:line="360" w:lineRule="auto"/>
              <w:jc w:val="both"/>
              <w:rPr>
                <w:rFonts w:ascii="宋体" w:hAnsi="宋体" w:eastAsia="宋体"/>
                <w:b w:val="0"/>
                <w:sz w:val="24"/>
                <w:highlight w:val="none"/>
              </w:rPr>
            </w:pPr>
            <w:r>
              <w:rPr>
                <w:rFonts w:hint="eastAsia" w:ascii="宋体" w:hAnsi="宋体" w:eastAsia="宋体"/>
                <w:b w:val="0"/>
                <w:sz w:val="24"/>
                <w:highlight w:val="none"/>
              </w:rPr>
              <w:t>所有</w:t>
            </w:r>
            <w:r>
              <w:rPr>
                <w:rFonts w:hint="eastAsia" w:ascii="宋体" w:hAnsi="宋体" w:eastAsia="宋体"/>
                <w:b w:val="0"/>
                <w:sz w:val="24"/>
                <w:highlight w:val="none"/>
                <w:lang w:eastAsia="zh-CN"/>
              </w:rPr>
              <w:t>货物</w:t>
            </w:r>
            <w:r>
              <w:rPr>
                <w:rFonts w:hint="eastAsia" w:ascii="宋体" w:hAnsi="宋体" w:eastAsia="宋体"/>
                <w:b w:val="0"/>
                <w:sz w:val="24"/>
                <w:highlight w:val="none"/>
              </w:rPr>
              <w:t>自验收合格之日起开始计算</w:t>
            </w:r>
            <w:r>
              <w:rPr>
                <w:rFonts w:hint="eastAsia" w:ascii="宋体" w:hAnsi="宋体" w:eastAsia="宋体"/>
                <w:b w:val="0"/>
                <w:sz w:val="24"/>
                <w:highlight w:val="none"/>
                <w:lang w:val="en-US" w:eastAsia="zh-CN"/>
              </w:rPr>
              <w:t>3</w:t>
            </w:r>
            <w:r>
              <w:rPr>
                <w:rFonts w:hint="eastAsia" w:ascii="宋体" w:hAnsi="宋体" w:eastAsia="宋体"/>
                <w:b w:val="0"/>
                <w:sz w:val="24"/>
                <w:highlight w:val="none"/>
              </w:rPr>
              <w:t>年。</w:t>
            </w:r>
          </w:p>
        </w:tc>
      </w:tr>
      <w:tr w14:paraId="01ED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7" w:type="pct"/>
            <w:vAlign w:val="center"/>
          </w:tcPr>
          <w:p w14:paraId="0B81F582">
            <w:pPr>
              <w:pStyle w:val="9"/>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bookmarkStart w:id="4" w:name="_Toc7671"/>
            <w:bookmarkStart w:id="5" w:name="_Toc5944"/>
            <w:bookmarkStart w:id="6" w:name="_Toc10993"/>
            <w:r>
              <w:rPr>
                <w:rFonts w:hint="eastAsia" w:ascii="宋体" w:hAnsi="宋体" w:eastAsia="宋体"/>
                <w:bCs/>
                <w:kern w:val="2"/>
                <w:highlight w:val="none"/>
              </w:rPr>
              <w:t>5</w:t>
            </w:r>
          </w:p>
        </w:tc>
        <w:tc>
          <w:tcPr>
            <w:tcW w:w="1137" w:type="pct"/>
            <w:vAlign w:val="center"/>
          </w:tcPr>
          <w:p w14:paraId="41403B23">
            <w:pPr>
              <w:pStyle w:val="1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所属行业</w:t>
            </w:r>
          </w:p>
        </w:tc>
        <w:tc>
          <w:tcPr>
            <w:tcW w:w="3435" w:type="pct"/>
            <w:vAlign w:val="center"/>
          </w:tcPr>
          <w:p w14:paraId="0884FAF0">
            <w:pPr>
              <w:pStyle w:val="10"/>
              <w:widowControl w:val="0"/>
              <w:spacing w:before="0" w:beforeAutospacing="0" w:after="0" w:afterAutospacing="0" w:line="360" w:lineRule="auto"/>
              <w:jc w:val="both"/>
              <w:rPr>
                <w:highlight w:val="none"/>
              </w:rPr>
            </w:pPr>
            <w:r>
              <w:rPr>
                <w:rFonts w:hint="eastAsia" w:ascii="宋体" w:hAnsi="宋体" w:eastAsia="宋体"/>
                <w:b w:val="0"/>
                <w:sz w:val="24"/>
                <w:highlight w:val="none"/>
              </w:rPr>
              <w:t>工业</w:t>
            </w:r>
          </w:p>
        </w:tc>
      </w:tr>
    </w:tbl>
    <w:p w14:paraId="0EA9C7BC">
      <w:pPr>
        <w:numPr>
          <w:ilvl w:val="0"/>
          <w:numId w:val="1"/>
        </w:numPr>
        <w:spacing w:line="360" w:lineRule="auto"/>
        <w:ind w:firstLine="437"/>
        <w:outlineLvl w:val="1"/>
        <w:rPr>
          <w:rFonts w:ascii="宋体" w:hAnsi="宋体" w:eastAsia="宋体"/>
          <w:b/>
          <w:bCs/>
          <w:sz w:val="24"/>
          <w:szCs w:val="18"/>
          <w:highlight w:val="none"/>
        </w:rPr>
      </w:pPr>
      <w:r>
        <w:rPr>
          <w:rFonts w:hint="eastAsia" w:ascii="宋体" w:hAnsi="宋体" w:eastAsia="宋体"/>
          <w:b/>
          <w:sz w:val="24"/>
          <w:szCs w:val="18"/>
          <w:highlight w:val="none"/>
        </w:rPr>
        <w:t>货物</w:t>
      </w:r>
      <w:r>
        <w:rPr>
          <w:rFonts w:hint="eastAsia" w:ascii="宋体" w:hAnsi="宋体" w:eastAsia="宋体"/>
          <w:b/>
          <w:bCs/>
          <w:sz w:val="24"/>
          <w:szCs w:val="18"/>
          <w:highlight w:val="none"/>
        </w:rPr>
        <w:t>需求</w:t>
      </w:r>
      <w:bookmarkEnd w:id="4"/>
      <w:bookmarkEnd w:id="5"/>
      <w:bookmarkEnd w:id="6"/>
    </w:p>
    <w:p w14:paraId="4F3D7F3F">
      <w:pPr>
        <w:pStyle w:val="3"/>
        <w:rPr>
          <w:rFonts w:ascii="宋体" w:hAnsi="宋体" w:eastAsia="宋体" w:cs="宋体"/>
          <w:b/>
          <w:bCs w:val="0"/>
          <w:sz w:val="24"/>
          <w:szCs w:val="24"/>
          <w:highlight w:val="none"/>
        </w:rPr>
      </w:pPr>
      <w:r>
        <w:rPr>
          <w:rFonts w:hint="eastAsia" w:ascii="宋体" w:hAnsi="宋体" w:eastAsia="宋体" w:cs="宋体"/>
          <w:b/>
          <w:bCs w:val="0"/>
          <w:sz w:val="24"/>
          <w:szCs w:val="24"/>
          <w:highlight w:val="none"/>
        </w:rPr>
        <w:t>（一）货物指标重要性表述</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1605"/>
        <w:gridCol w:w="5993"/>
      </w:tblGrid>
      <w:tr w14:paraId="64B2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pct"/>
            <w:vAlign w:val="center"/>
          </w:tcPr>
          <w:p w14:paraId="5441586A">
            <w:pPr>
              <w:spacing w:line="360" w:lineRule="auto"/>
              <w:jc w:val="center"/>
              <w:rPr>
                <w:rFonts w:ascii="宋体" w:hAnsi="宋体" w:eastAsia="宋体" w:cs="宋体"/>
                <w:b/>
                <w:sz w:val="24"/>
                <w:szCs w:val="18"/>
                <w:highlight w:val="none"/>
              </w:rPr>
            </w:pPr>
            <w:r>
              <w:rPr>
                <w:rFonts w:hint="eastAsia" w:ascii="宋体" w:hAnsi="宋体" w:eastAsia="宋体" w:cs="宋体"/>
                <w:b/>
                <w:sz w:val="24"/>
                <w:szCs w:val="18"/>
                <w:highlight w:val="none"/>
              </w:rPr>
              <w:t>序号</w:t>
            </w:r>
          </w:p>
        </w:tc>
        <w:tc>
          <w:tcPr>
            <w:tcW w:w="942" w:type="pct"/>
            <w:vAlign w:val="center"/>
          </w:tcPr>
          <w:p w14:paraId="084EC25B">
            <w:pPr>
              <w:spacing w:line="360" w:lineRule="auto"/>
              <w:jc w:val="center"/>
              <w:rPr>
                <w:rFonts w:ascii="宋体" w:hAnsi="宋体" w:eastAsia="宋体" w:cs="宋体"/>
                <w:b/>
                <w:sz w:val="24"/>
                <w:szCs w:val="18"/>
                <w:highlight w:val="none"/>
              </w:rPr>
            </w:pPr>
            <w:r>
              <w:rPr>
                <w:rFonts w:hint="eastAsia" w:ascii="宋体" w:hAnsi="宋体" w:eastAsia="宋体" w:cs="宋体"/>
                <w:b/>
                <w:sz w:val="24"/>
                <w:szCs w:val="18"/>
                <w:highlight w:val="none"/>
              </w:rPr>
              <w:t>标识符号</w:t>
            </w:r>
          </w:p>
        </w:tc>
        <w:tc>
          <w:tcPr>
            <w:tcW w:w="3516" w:type="pct"/>
            <w:vAlign w:val="center"/>
          </w:tcPr>
          <w:p w14:paraId="6A751385">
            <w:pPr>
              <w:spacing w:line="360" w:lineRule="auto"/>
              <w:jc w:val="center"/>
              <w:rPr>
                <w:rFonts w:ascii="宋体" w:hAnsi="宋体" w:eastAsia="宋体" w:cs="宋体"/>
                <w:b/>
                <w:sz w:val="24"/>
                <w:szCs w:val="18"/>
                <w:highlight w:val="none"/>
              </w:rPr>
            </w:pPr>
            <w:r>
              <w:rPr>
                <w:rFonts w:hint="eastAsia" w:ascii="宋体" w:hAnsi="宋体" w:eastAsia="宋体" w:cs="宋体"/>
                <w:b/>
                <w:sz w:val="24"/>
                <w:szCs w:val="18"/>
                <w:highlight w:val="none"/>
              </w:rPr>
              <w:t>代表意思</w:t>
            </w:r>
          </w:p>
        </w:tc>
      </w:tr>
      <w:tr w14:paraId="0FB2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40" w:type="pct"/>
            <w:vAlign w:val="center"/>
          </w:tcPr>
          <w:p w14:paraId="08B92092">
            <w:pPr>
              <w:spacing w:line="360" w:lineRule="auto"/>
              <w:jc w:val="center"/>
              <w:rPr>
                <w:rFonts w:ascii="宋体" w:hAnsi="宋体" w:eastAsia="宋体" w:cs="宋体"/>
                <w:sz w:val="24"/>
                <w:szCs w:val="18"/>
                <w:highlight w:val="none"/>
              </w:rPr>
            </w:pPr>
            <w:r>
              <w:rPr>
                <w:rFonts w:hint="eastAsia" w:ascii="宋体" w:hAnsi="宋体" w:eastAsia="宋体" w:cs="宋体"/>
                <w:sz w:val="24"/>
                <w:szCs w:val="18"/>
                <w:highlight w:val="none"/>
              </w:rPr>
              <w:t>1</w:t>
            </w:r>
          </w:p>
        </w:tc>
        <w:tc>
          <w:tcPr>
            <w:tcW w:w="942" w:type="pct"/>
            <w:vAlign w:val="center"/>
          </w:tcPr>
          <w:p w14:paraId="2A2F56AE">
            <w:pPr>
              <w:spacing w:line="360" w:lineRule="auto"/>
              <w:jc w:val="center"/>
              <w:rPr>
                <w:rFonts w:ascii="宋体" w:hAnsi="宋体" w:eastAsia="宋体" w:cs="宋体"/>
                <w:sz w:val="24"/>
                <w:szCs w:val="18"/>
                <w:highlight w:val="none"/>
              </w:rPr>
            </w:pPr>
            <w:r>
              <w:rPr>
                <w:rFonts w:hint="eastAsia" w:ascii="宋体" w:hAnsi="宋体" w:eastAsia="宋体" w:cs="宋体"/>
                <w:sz w:val="24"/>
                <w:szCs w:val="18"/>
                <w:highlight w:val="none"/>
              </w:rPr>
              <w:t>★</w:t>
            </w:r>
          </w:p>
        </w:tc>
        <w:tc>
          <w:tcPr>
            <w:tcW w:w="3516" w:type="pct"/>
            <w:vAlign w:val="center"/>
          </w:tcPr>
          <w:p w14:paraId="2D460A7B">
            <w:pPr>
              <w:spacing w:line="360" w:lineRule="auto"/>
              <w:jc w:val="center"/>
              <w:rPr>
                <w:highlight w:val="none"/>
              </w:rPr>
            </w:pPr>
            <w:r>
              <w:rPr>
                <w:rFonts w:hint="eastAsia" w:ascii="宋体" w:hAnsi="宋体" w:eastAsia="宋体" w:cs="宋体"/>
                <w:sz w:val="24"/>
                <w:highlight w:val="none"/>
              </w:rPr>
              <w:t>评分项，</w:t>
            </w:r>
            <w:r>
              <w:rPr>
                <w:rFonts w:hint="eastAsia" w:ascii="宋体" w:hAnsi="宋体" w:eastAsia="宋体" w:cs="宋体"/>
                <w:sz w:val="24"/>
                <w:szCs w:val="24"/>
              </w:rPr>
              <w:t>详见评分细则。</w:t>
            </w:r>
          </w:p>
        </w:tc>
      </w:tr>
      <w:tr w14:paraId="08B4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40" w:type="pct"/>
            <w:vAlign w:val="center"/>
          </w:tcPr>
          <w:p w14:paraId="20DC9D72">
            <w:pPr>
              <w:spacing w:line="360" w:lineRule="auto"/>
              <w:jc w:val="center"/>
              <w:rPr>
                <w:rFonts w:ascii="宋体" w:hAnsi="宋体" w:eastAsia="宋体" w:cs="宋体"/>
                <w:sz w:val="24"/>
                <w:szCs w:val="18"/>
                <w:highlight w:val="none"/>
              </w:rPr>
            </w:pPr>
            <w:r>
              <w:rPr>
                <w:rFonts w:hint="eastAsia" w:ascii="宋体" w:hAnsi="宋体" w:eastAsia="宋体" w:cs="宋体"/>
                <w:sz w:val="24"/>
                <w:szCs w:val="18"/>
                <w:highlight w:val="none"/>
              </w:rPr>
              <w:t>2</w:t>
            </w:r>
          </w:p>
        </w:tc>
        <w:tc>
          <w:tcPr>
            <w:tcW w:w="942" w:type="pct"/>
            <w:vAlign w:val="center"/>
          </w:tcPr>
          <w:p w14:paraId="72E43E29">
            <w:pPr>
              <w:spacing w:line="360" w:lineRule="auto"/>
              <w:jc w:val="center"/>
              <w:rPr>
                <w:rFonts w:ascii="宋体" w:hAnsi="宋体" w:eastAsia="宋体" w:cs="宋体"/>
                <w:bCs/>
                <w:sz w:val="24"/>
                <w:szCs w:val="18"/>
                <w:highlight w:val="none"/>
              </w:rPr>
            </w:pPr>
            <w:r>
              <w:rPr>
                <w:rFonts w:hint="eastAsia" w:ascii="宋体" w:hAnsi="宋体" w:eastAsia="宋体" w:cs="宋体"/>
                <w:sz w:val="24"/>
                <w:szCs w:val="18"/>
                <w:highlight w:val="none"/>
              </w:rPr>
              <w:t>无标识项</w:t>
            </w:r>
          </w:p>
        </w:tc>
        <w:tc>
          <w:tcPr>
            <w:tcW w:w="3516" w:type="pct"/>
            <w:vAlign w:val="center"/>
          </w:tcPr>
          <w:p w14:paraId="0EB1797F">
            <w:pPr>
              <w:spacing w:line="360" w:lineRule="auto"/>
              <w:jc w:val="center"/>
              <w:rPr>
                <w:rFonts w:ascii="宋体" w:hAnsi="宋体" w:eastAsia="宋体" w:cs="宋体"/>
                <w:bCs/>
                <w:sz w:val="24"/>
                <w:szCs w:val="18"/>
                <w:highlight w:val="none"/>
              </w:rPr>
            </w:pPr>
            <w:r>
              <w:rPr>
                <w:rFonts w:hint="eastAsia" w:ascii="宋体" w:hAnsi="宋体" w:eastAsia="宋体" w:cs="宋体"/>
                <w:bCs/>
                <w:sz w:val="24"/>
                <w:szCs w:val="18"/>
                <w:highlight w:val="none"/>
              </w:rPr>
              <w:t>负偏离或未响应，将导致投标无效。</w:t>
            </w:r>
          </w:p>
        </w:tc>
      </w:tr>
      <w:tr w14:paraId="56A2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A5072FC">
            <w:pPr>
              <w:spacing w:line="360" w:lineRule="auto"/>
              <w:rPr>
                <w:rFonts w:ascii="宋体" w:hAnsi="宋体" w:eastAsia="宋体" w:cs="宋体"/>
                <w:b/>
                <w:sz w:val="24"/>
                <w:highlight w:val="none"/>
              </w:rPr>
            </w:pPr>
            <w:r>
              <w:rPr>
                <w:rFonts w:hint="eastAsia" w:ascii="宋体" w:hAnsi="宋体" w:eastAsia="宋体" w:cs="宋体"/>
                <w:b/>
                <w:sz w:val="24"/>
                <w:highlight w:val="none"/>
              </w:rPr>
              <w:t>注：1、如某项标识中包含多条技术参数或要求，则该项标识所含内容均需满足或优于采购文件要求，否则不予认可。</w:t>
            </w:r>
          </w:p>
          <w:p w14:paraId="1021873D">
            <w:pPr>
              <w:pStyle w:val="5"/>
              <w:spacing w:line="360" w:lineRule="auto"/>
              <w:rPr>
                <w:rFonts w:hint="eastAsia" w:eastAsia="宋体"/>
                <w:highlight w:val="none"/>
                <w:lang w:eastAsia="zh-CN"/>
              </w:rPr>
            </w:pPr>
            <w:r>
              <w:rPr>
                <w:rFonts w:hint="eastAsia" w:ascii="宋体" w:hAnsi="宋体" w:eastAsia="宋体" w:cs="宋体"/>
                <w:b/>
                <w:bCs/>
                <w:sz w:val="24"/>
                <w:szCs w:val="20"/>
                <w:highlight w:val="none"/>
                <w:lang w:val="en-US"/>
              </w:rPr>
              <w:t>2、以“（二）货物指标要求”中要求提供证明材料的以证明材料为评审依据，没有要求提供证明材料的以投标响应表为评审依据</w:t>
            </w:r>
            <w:r>
              <w:rPr>
                <w:rFonts w:hint="eastAsia" w:ascii="宋体" w:hAnsi="宋体" w:eastAsia="宋体" w:cs="宋体"/>
                <w:b/>
                <w:bCs/>
                <w:sz w:val="24"/>
                <w:szCs w:val="20"/>
                <w:highlight w:val="none"/>
                <w:lang w:val="en-US" w:eastAsia="zh-CN"/>
              </w:rPr>
              <w:t>。</w:t>
            </w:r>
          </w:p>
        </w:tc>
      </w:tr>
    </w:tbl>
    <w:p w14:paraId="7049C935">
      <w:pPr>
        <w:rPr>
          <w:highlight w:val="none"/>
        </w:rPr>
      </w:pPr>
    </w:p>
    <w:p w14:paraId="5B73CB45">
      <w:pPr>
        <w:pStyle w:val="4"/>
        <w:rPr>
          <w:rFonts w:ascii="宋体" w:hAnsi="宋体" w:eastAsia="宋体" w:cs="宋体"/>
          <w:b/>
          <w:bCs/>
          <w:sz w:val="24"/>
          <w:szCs w:val="24"/>
          <w:highlight w:val="none"/>
        </w:rPr>
      </w:pPr>
      <w:r>
        <w:rPr>
          <w:rFonts w:hint="eastAsia" w:ascii="宋体" w:hAnsi="宋体" w:eastAsia="宋体" w:cs="宋体"/>
          <w:b/>
          <w:bCs/>
          <w:sz w:val="24"/>
          <w:szCs w:val="24"/>
          <w:highlight w:val="none"/>
        </w:rPr>
        <w:t>（二）货物指标要求</w:t>
      </w:r>
      <w:bookmarkStart w:id="7" w:name="_Toc7421"/>
      <w:bookmarkStart w:id="8" w:name="_Toc4843"/>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40"/>
        <w:gridCol w:w="5766"/>
        <w:gridCol w:w="554"/>
        <w:gridCol w:w="566"/>
      </w:tblGrid>
      <w:tr w14:paraId="30F4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64D85559">
            <w:pPr>
              <w:spacing w:line="500" w:lineRule="exact"/>
              <w:jc w:val="center"/>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610" w:type="pct"/>
            <w:vAlign w:val="center"/>
          </w:tcPr>
          <w:p w14:paraId="7D1BC800">
            <w:pPr>
              <w:snapToGrid w:val="0"/>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货物名称</w:t>
            </w:r>
          </w:p>
        </w:tc>
        <w:tc>
          <w:tcPr>
            <w:tcW w:w="3384" w:type="pct"/>
            <w:vAlign w:val="center"/>
          </w:tcPr>
          <w:p w14:paraId="359BD703">
            <w:pP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color w:val="000000"/>
                <w:kern w:val="0"/>
                <w:sz w:val="24"/>
                <w:szCs w:val="24"/>
                <w:highlight w:val="none"/>
                <w:lang w:bidi="ar"/>
              </w:rPr>
              <w:t>技术参数及要求</w:t>
            </w:r>
          </w:p>
        </w:tc>
        <w:tc>
          <w:tcPr>
            <w:tcW w:w="325" w:type="pct"/>
            <w:vAlign w:val="center"/>
          </w:tcPr>
          <w:p w14:paraId="22885687">
            <w:pPr>
              <w:snapToGrid w:val="0"/>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单位</w:t>
            </w:r>
          </w:p>
        </w:tc>
        <w:tc>
          <w:tcPr>
            <w:tcW w:w="332" w:type="pct"/>
            <w:vAlign w:val="center"/>
          </w:tcPr>
          <w:p w14:paraId="40683BEE">
            <w:pPr>
              <w:snapToGrid w:val="0"/>
              <w:spacing w:line="500" w:lineRule="exact"/>
              <w:jc w:val="center"/>
              <w:rPr>
                <w:rFonts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数量</w:t>
            </w:r>
          </w:p>
        </w:tc>
      </w:tr>
      <w:tr w14:paraId="5218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2B854BBE">
            <w:pPr>
              <w:spacing w:line="500" w:lineRule="exact"/>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610" w:type="pct"/>
            <w:vAlign w:val="center"/>
          </w:tcPr>
          <w:p w14:paraId="679ACE4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u w:val="none"/>
                <w:lang w:val="en-US" w:eastAsia="zh-CN" w:bidi="ar"/>
              </w:rPr>
              <w:t>头颈、胸、上肢联合磁吸式可拆卸塑化标本</w:t>
            </w:r>
          </w:p>
        </w:tc>
        <w:tc>
          <w:tcPr>
            <w:tcW w:w="3384" w:type="pct"/>
            <w:vAlign w:val="center"/>
          </w:tcPr>
          <w:p w14:paraId="55BD8BE8">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asciiTheme="minorEastAsia" w:hAnsiTheme="minorEastAsia" w:eastAsiaTheme="minorEastAsia" w:cstheme="minorEastAsia"/>
                <w:sz w:val="24"/>
                <w:szCs w:val="24"/>
                <w:highlight w:val="none"/>
              </w:rPr>
            </w:pPr>
            <w:r>
              <w:rPr>
                <w:rFonts w:hint="eastAsia" w:ascii="宋体" w:hAnsi="宋体" w:eastAsia="宋体" w:cs="宋体"/>
                <w:i w:val="0"/>
                <w:iCs w:val="0"/>
                <w:color w:val="000000"/>
                <w:kern w:val="0"/>
                <w:sz w:val="24"/>
                <w:szCs w:val="24"/>
                <w:u w:val="none"/>
                <w:lang w:val="en-US" w:eastAsia="zh-CN" w:bidi="ar"/>
              </w:rPr>
              <w:t>结构显示：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①头颈部右侧结构显示：眼轮匝肌、口轮匝肌、胸锁乳突肌（可拆卸显示颈部动脉）、迷走神经、右喉返神经、颈总动脉、颈内动脉、颈外动脉、甲状腺上动脉、舌动脉、面动脉、内眦动脉、上颌动脉、脑膜中动脉、下牙槽动脉及神经、颞浅动脉、枕动脉、耳后动脉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②去除胸前壁，保留胸大肌及胸小肌显示锁骨下动脉及其分支：右锁骨下动脉、椎动脉、右侧肺形态（可拆卸）胸廓内动脉、甲状颈干、甲状腺下动脉、肩胛上动脉；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③右侧腋窝显示：腋动脉、胸肩峰动脉、肩胛下动脉（胸背动脉及旋肩胛动脉）、胸外侧动脉及胸长神经、旋肱后动脉及腋神经、旋肱前动脉；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上肢右侧主要显示：三角肌、肱三头肌（部分可拆卸显示深层动脉及神经）、肱肌、喙肱肌、肱二头肌（部分可拆卸显示深层动脉及神经）、肱深动脉、尺侧上副动脉、尺侧下副动脉、尺动脉、桡动脉、掌浅弓、掌深弓。（前臂至少三块浅层肌肉可拆卸确保充分显示深层动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头颈部左侧显示：三叉神经（眼神经、上颌神经、下颌神经）、耳颞神经、颊神经、下牙槽神经、舌神经、舌下神经、颈交感干、迷走神经、颈袢、喉上神经、左喉返神经、舌咽神经、膈神经、副神经、前中后斜角肌、斜角肌间隙、臂丛、左锁骨下动脉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⑥上肢左侧主要显示：三角肌、肱三头肌（部分可拆卸显示深层动脉及神经）、肱肌、喙肱肌、肱二头肌（部分可拆卸显示深层动脉及神经）、腋动脉、肱动脉，尺动脉、桡动脉、肌皮神经、腋神经、正中神经、尺神经、桡神经、臂内侧皮神经、前臂内侧皮神经、胸长神经、胸背神经等。（前臂至少三块浅层肌肉可拆卸确保充分显示深层神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⑦胸部主要显示：胸前壁打开（可拆卸）、左右侧肺部形态（可拆卸）、心包打开、心脏（可拆卸）、升主动脉、动脉韧带、主动脉弓、头臂干、膈神经、左右喉返神经、胸交感干、肋间神经等；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⑧背部主要显示：斜方肌（一侧可拆卸显示深层肌）、背阔肌、冈上肌、冈下肌、小圆肌、大圆肌、竖脊肌等。</w:t>
            </w:r>
          </w:p>
        </w:tc>
        <w:tc>
          <w:tcPr>
            <w:tcW w:w="325" w:type="pct"/>
            <w:vAlign w:val="center"/>
          </w:tcPr>
          <w:p w14:paraId="0187E627">
            <w:pPr>
              <w:spacing w:line="50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件</w:t>
            </w:r>
          </w:p>
        </w:tc>
        <w:tc>
          <w:tcPr>
            <w:tcW w:w="332" w:type="pct"/>
            <w:vAlign w:val="center"/>
          </w:tcPr>
          <w:p w14:paraId="7B5DD10B">
            <w:pPr>
              <w:spacing w:line="50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4</w:t>
            </w:r>
          </w:p>
        </w:tc>
      </w:tr>
      <w:tr w14:paraId="4DBF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547D3B2A">
            <w:pPr>
              <w:spacing w:line="5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610" w:type="pct"/>
            <w:shd w:val="clear" w:color="auto" w:fill="auto"/>
            <w:vAlign w:val="center"/>
          </w:tcPr>
          <w:p w14:paraId="6A9EF24A">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女性腹腔及盆腔磁吸式可拆卸塑化标本</w:t>
            </w:r>
          </w:p>
        </w:tc>
        <w:tc>
          <w:tcPr>
            <w:tcW w:w="3384" w:type="pct"/>
            <w:shd w:val="clear" w:color="auto" w:fill="auto"/>
            <w:vAlign w:val="center"/>
          </w:tcPr>
          <w:p w14:paraId="3AB8DAE2">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结构显示：腹壁打开（可拆卸）、腹壁显示机构【腹外斜肌、腹内斜肌、腹横肌、腹直肌鞘（一侧打开一侧不打开）、腱划、弓状线、腹横筋膜】、腹主动脉、腹腔干及分支、肝总动脉、脾动脉、胃左动脉、肝固有动脉、胃右动脉、空回肠保留下层肠系膜（可拆卸，充分显示肠系膜上动脉主干及其分支）、大肠（可分阶段拆卸）、肠系膜下动脉主干及分支、肾动脉、子宫、卵巢动脉、盆腔动脉及分支等结构；内部脏器内镶强磁，可任意拆卸组装。</w:t>
            </w:r>
          </w:p>
        </w:tc>
        <w:tc>
          <w:tcPr>
            <w:tcW w:w="325" w:type="pct"/>
            <w:vAlign w:val="center"/>
          </w:tcPr>
          <w:p w14:paraId="01992C62">
            <w:pPr>
              <w:spacing w:line="5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件</w:t>
            </w:r>
          </w:p>
        </w:tc>
        <w:tc>
          <w:tcPr>
            <w:tcW w:w="332" w:type="pct"/>
            <w:vAlign w:val="center"/>
          </w:tcPr>
          <w:p w14:paraId="4B03D258">
            <w:pPr>
              <w:spacing w:line="5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r>
      <w:tr w14:paraId="47A6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44D5BEF5">
            <w:pPr>
              <w:spacing w:line="5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610" w:type="pct"/>
            <w:shd w:val="clear" w:color="auto" w:fill="auto"/>
            <w:vAlign w:val="center"/>
          </w:tcPr>
          <w:p w14:paraId="2B0D31F4">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szCs w:val="21"/>
                <w:highlight w:val="none"/>
              </w:rPr>
              <w:t>▲</w:t>
            </w:r>
            <w:r>
              <w:rPr>
                <w:rFonts w:hint="eastAsia" w:ascii="宋体" w:hAnsi="宋体" w:eastAsia="宋体" w:cs="宋体"/>
                <w:i w:val="0"/>
                <w:iCs w:val="0"/>
                <w:color w:val="000000"/>
                <w:kern w:val="0"/>
                <w:sz w:val="24"/>
                <w:szCs w:val="24"/>
                <w:u w:val="none"/>
                <w:lang w:val="en-US" w:eastAsia="zh-CN" w:bidi="ar"/>
              </w:rPr>
              <w:t>一侧男性盆腔及下肢磁吸式可拆卸塑化标本</w:t>
            </w:r>
          </w:p>
        </w:tc>
        <w:tc>
          <w:tcPr>
            <w:tcW w:w="3384" w:type="pct"/>
            <w:shd w:val="clear" w:color="auto" w:fill="auto"/>
            <w:vAlign w:val="center"/>
          </w:tcPr>
          <w:p w14:paraId="39EC300A">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★结构显示（提供①-⑥项实物照片）：</w:t>
            </w:r>
          </w:p>
          <w:p w14:paraId="47F24EFC">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①盆腔：腰大肌、髂肌、髂总动脉、髂内动脉、髂外动脉、膀胱、直肠、男性尿道、前列腺、睾丸等；</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②臀部：臀大肌（可拆卸）、臀中肌、梨状肌、梨状肌上孔及下孔神经血管、坐骨神经；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③大腿前外侧及内侧：腹股沟韧带、缝匠肌（部分可拆卸）、耻骨肌、长收肌（可拆卸显示短收肌及闭孔神经）、大收肌、收肌管裂孔、股薄肌、股内侧肌、股外侧肌、股直肌（可拆卸显示股中间肌）、阔筋膜张肌、髂胫束；（根据情况选择股前内外侧肌可拆卸，充分显示股神经、股动脉、股深动脉、旋股内侧动脉、旋股外侧动脉、穿动脉）；</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④大腿后：股二头肌、半腱肌、半膜肌；（根据情况选择大腿后群肌可拆卸，充分显示深层胫神经及腓总神经）；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⑤小腿前外侧： 胫骨前肌及趾长伸肌（二肌可拆卸显示腓深神经及胫骨前动静脉）、腓浅神经、隐神经、踇长伸肌、腓骨长肌、腓骨短肌；</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⑥小腿后：小腿三头肌（可拆卸充分显示胫神经及胫后动脉、腓动脉）、跟腱、趾长屈肌、踇长屈肌（可拆卸）、胫骨后肌、足背外侧皮神经、足背内侧皮神经、足背中间皮神经、足底外侧动脉神经、足底内侧动脉神经等结构。</w:t>
            </w:r>
          </w:p>
          <w:p w14:paraId="4005A2DE">
            <w:pPr>
              <w:keepNext w:val="0"/>
              <w:keepLines w:val="0"/>
              <w:pageBreakBefore w:val="0"/>
              <w:widowControl/>
              <w:suppressLineNumbers w:val="0"/>
              <w:kinsoku/>
              <w:wordWrap/>
              <w:overflowPunct/>
              <w:topLinePunct w:val="0"/>
              <w:autoSpaceDE/>
              <w:autoSpaceDN/>
              <w:bidi w:val="0"/>
              <w:adjustRightInd/>
              <w:snapToGrid/>
              <w:spacing w:line="420" w:lineRule="exact"/>
              <w:ind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★展示：</w:t>
            </w:r>
            <w:r>
              <w:rPr>
                <w:rFonts w:hint="eastAsia" w:ascii="宋体" w:hAnsi="宋体" w:eastAsia="宋体" w:cs="宋体"/>
                <w:b w:val="0"/>
                <w:bCs w:val="0"/>
                <w:i w:val="0"/>
                <w:iCs w:val="0"/>
                <w:color w:val="000000"/>
                <w:kern w:val="0"/>
                <w:sz w:val="24"/>
                <w:szCs w:val="24"/>
                <w:u w:val="none"/>
                <w:lang w:val="en-US" w:eastAsia="zh-CN" w:bidi="ar"/>
              </w:rPr>
              <w:t>匹配3D实物标本二维码展示，功能具有任意角度缩放、旋转、独立展示与区域标注、配有语音、图片识别系统等功能，可实现仰视与俯视结合，平视与立体交融，把实物标本教学的传统优势与现代数字技术相结合，真实展现人体的形态结构。</w:t>
            </w:r>
            <w:r>
              <w:rPr>
                <w:rFonts w:hint="eastAsia" w:ascii="宋体" w:hAnsi="宋体" w:eastAsia="宋体" w:cs="宋体"/>
                <w:b/>
                <w:bCs/>
                <w:i w:val="0"/>
                <w:iCs w:val="0"/>
                <w:color w:val="000000"/>
                <w:kern w:val="0"/>
                <w:sz w:val="24"/>
                <w:szCs w:val="24"/>
                <w:u w:val="single"/>
                <w:lang w:val="en-US" w:eastAsia="zh-CN" w:bidi="ar"/>
              </w:rPr>
              <w:t>（提供</w:t>
            </w:r>
            <w:r>
              <w:rPr>
                <w:rFonts w:hint="eastAsia" w:asciiTheme="minorEastAsia" w:hAnsiTheme="minorEastAsia" w:eastAsiaTheme="minorEastAsia" w:cstheme="minorEastAsia"/>
                <w:b/>
                <w:bCs/>
                <w:sz w:val="24"/>
                <w:szCs w:val="24"/>
                <w:highlight w:val="none"/>
                <w:u w:val="none"/>
                <w:lang w:val="en-US" w:eastAsia="zh-CN"/>
              </w:rPr>
              <w:t>演示以上功能系统截图</w:t>
            </w:r>
            <w:r>
              <w:rPr>
                <w:rFonts w:hint="eastAsia" w:ascii="宋体" w:hAnsi="宋体" w:eastAsia="宋体" w:cs="宋体"/>
                <w:b/>
                <w:bCs/>
                <w:i w:val="0"/>
                <w:iCs w:val="0"/>
                <w:color w:val="000000"/>
                <w:kern w:val="0"/>
                <w:sz w:val="24"/>
                <w:szCs w:val="24"/>
                <w:u w:val="single"/>
                <w:lang w:val="en-US" w:eastAsia="zh-CN" w:bidi="ar"/>
              </w:rPr>
              <w:t>）</w:t>
            </w:r>
          </w:p>
        </w:tc>
        <w:tc>
          <w:tcPr>
            <w:tcW w:w="325" w:type="pct"/>
            <w:shd w:val="clear" w:color="auto" w:fill="auto"/>
            <w:vAlign w:val="center"/>
          </w:tcPr>
          <w:p w14:paraId="7C21B40D">
            <w:pPr>
              <w:spacing w:line="50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件</w:t>
            </w:r>
          </w:p>
        </w:tc>
        <w:tc>
          <w:tcPr>
            <w:tcW w:w="332" w:type="pct"/>
            <w:shd w:val="clear" w:color="auto" w:fill="auto"/>
            <w:vAlign w:val="center"/>
          </w:tcPr>
          <w:p w14:paraId="27FEB2EF">
            <w:pPr>
              <w:spacing w:line="500" w:lineRule="exact"/>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4</w:t>
            </w:r>
          </w:p>
        </w:tc>
      </w:tr>
      <w:tr w14:paraId="75B1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597011FA">
            <w:pPr>
              <w:spacing w:line="5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610" w:type="pct"/>
            <w:shd w:val="clear" w:color="auto" w:fill="auto"/>
            <w:vAlign w:val="center"/>
          </w:tcPr>
          <w:p w14:paraId="334A7BB6">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纵隔塑化标本</w:t>
            </w:r>
          </w:p>
        </w:tc>
        <w:tc>
          <w:tcPr>
            <w:tcW w:w="3384" w:type="pct"/>
            <w:shd w:val="clear" w:color="auto" w:fill="auto"/>
            <w:vAlign w:val="center"/>
          </w:tcPr>
          <w:p w14:paraId="3B6A28F3">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val="0"/>
                <w:bCs w:val="0"/>
                <w:i w:val="0"/>
                <w:iCs w:val="0"/>
                <w:color w:val="000000"/>
                <w:kern w:val="0"/>
                <w:sz w:val="24"/>
                <w:szCs w:val="24"/>
                <w:u w:val="none"/>
                <w:lang w:val="en-US" w:eastAsia="zh-CN" w:bidi="ar"/>
              </w:rPr>
              <w:t>结构显示：右交感干、肋间后动脉、隔、上腔静脉、奇静脉、半奇静脉及副半奇静脉、右膈神经、右肺动脉、心包、右上肺静脉、右下肺静脉、支气管、左交感干、食管、心包、左肺上静脉、左肺下静脉、左迷走神经及左喉返神经、右迷走神经及右后返神经、左膈神经、内脏大神经及内脏小神经、膈肌等结构（所有结构必须显示，浅层结构可拆卸）。</w:t>
            </w:r>
          </w:p>
        </w:tc>
        <w:tc>
          <w:tcPr>
            <w:tcW w:w="325" w:type="pct"/>
            <w:shd w:val="clear" w:color="auto" w:fill="auto"/>
            <w:vAlign w:val="center"/>
          </w:tcPr>
          <w:p w14:paraId="63246E7D">
            <w:pPr>
              <w:spacing w:line="5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件</w:t>
            </w:r>
          </w:p>
        </w:tc>
        <w:tc>
          <w:tcPr>
            <w:tcW w:w="332" w:type="pct"/>
            <w:shd w:val="clear" w:color="auto" w:fill="auto"/>
            <w:vAlign w:val="center"/>
          </w:tcPr>
          <w:p w14:paraId="50F2877E">
            <w:pPr>
              <w:spacing w:line="5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r>
      <w:tr w14:paraId="580F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8" w:type="pct"/>
            <w:vAlign w:val="center"/>
          </w:tcPr>
          <w:p w14:paraId="4627A267">
            <w:pPr>
              <w:spacing w:line="500" w:lineRule="exact"/>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610" w:type="pct"/>
            <w:shd w:val="clear" w:color="auto" w:fill="auto"/>
            <w:vAlign w:val="center"/>
          </w:tcPr>
          <w:p w14:paraId="5C803315">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腹膜后隙器官神经血管塑化标本</w:t>
            </w:r>
          </w:p>
        </w:tc>
        <w:tc>
          <w:tcPr>
            <w:tcW w:w="3384" w:type="pct"/>
            <w:shd w:val="clear" w:color="auto" w:fill="auto"/>
            <w:vAlign w:val="center"/>
          </w:tcPr>
          <w:p w14:paraId="5BFD136D">
            <w:pPr>
              <w:keepNext w:val="0"/>
              <w:keepLines w:val="0"/>
              <w:pageBreakBefore w:val="0"/>
              <w:widowControl/>
              <w:suppressLineNumbers w:val="0"/>
              <w:kinsoku/>
              <w:wordWrap/>
              <w:overflowPunct/>
              <w:topLinePunct w:val="0"/>
              <w:autoSpaceDE/>
              <w:autoSpaceDN/>
              <w:bidi w:val="0"/>
              <w:adjustRightInd/>
              <w:snapToGrid/>
              <w:spacing w:line="420" w:lineRule="exact"/>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结构显示：肾上腺、肾、肾动脉、睾丸动脉、肾上腺中动脉、肠系膜上动脉、腹主动脉、肠系膜下动脉、腰动脉、膈下动脉、骶正中动脉、下腔静脉、腰交感干及腹腔丛、肋下神经、髂腹下神经、髂腹股沟神经、股外侧皮神经、股神经、闭孔神经、生殖股神经、腰骶干、输尿管、髂总动脉及髂内外动脉等结构（所有结构必须显示，浅层结构可拆卸）。匹配3D实物标本二维码展示，功能具有任意角度缩放、旋转，独立展示与区域标注、配有语音、图片识别系统等功能，可实现仰视与俯视结合，平视与立体交融，把实物标本教学的传统优势与现代数字技术相结合，真实展现人体的形态结构。</w:t>
            </w:r>
          </w:p>
        </w:tc>
        <w:tc>
          <w:tcPr>
            <w:tcW w:w="325" w:type="pct"/>
            <w:shd w:val="clear" w:color="auto" w:fill="auto"/>
            <w:vAlign w:val="center"/>
          </w:tcPr>
          <w:p w14:paraId="383C2EC0">
            <w:pPr>
              <w:spacing w:line="5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台</w:t>
            </w:r>
          </w:p>
        </w:tc>
        <w:tc>
          <w:tcPr>
            <w:tcW w:w="332" w:type="pct"/>
            <w:shd w:val="clear" w:color="auto" w:fill="auto"/>
            <w:vAlign w:val="center"/>
          </w:tcPr>
          <w:p w14:paraId="361B0474">
            <w:pPr>
              <w:spacing w:line="50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r>
      <w:tr w14:paraId="1020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2F25E532">
            <w:pPr>
              <w:spacing w:line="500" w:lineRule="exac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注：以上塑化标本均使用耐酸碱、抗老化、透明的亚克力（有机玻璃）制作标本盒进行封装。有机玻璃盒的尺寸需与标本精准匹配，确保标本在盒内稳固放置；盒子设计为可打开的形式，方便标本的放置与取出操作，有机玻璃的厚度≧5毫米。</w:t>
            </w:r>
          </w:p>
        </w:tc>
      </w:tr>
      <w:bookmarkEnd w:id="7"/>
      <w:bookmarkEnd w:id="8"/>
    </w:tbl>
    <w:p w14:paraId="25ABCB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E6ECF0"/>
    <w:multiLevelType w:val="singleLevel"/>
    <w:tmpl w:val="7DE6ECF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92194"/>
    <w:rsid w:val="5ED9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3">
    <w:name w:val="heading 4"/>
    <w:basedOn w:val="1"/>
    <w:next w:val="1"/>
    <w:qFormat/>
    <w:uiPriority w:val="0"/>
    <w:pPr>
      <w:keepNext/>
      <w:keepLines/>
      <w:spacing w:before="280" w:after="290" w:line="376" w:lineRule="auto"/>
      <w:outlineLvl w:val="3"/>
    </w:pPr>
    <w:rPr>
      <w:b/>
      <w:bCs/>
      <w:sz w:val="28"/>
      <w:szCs w:val="28"/>
    </w:rPr>
  </w:style>
  <w:style w:type="paragraph" w:styleId="4">
    <w:name w:val="heading 5"/>
    <w:basedOn w:val="1"/>
    <w:next w:val="1"/>
    <w:unhideWhenUsed/>
    <w:qFormat/>
    <w:uiPriority w:val="9"/>
    <w:pPr>
      <w:keepNext/>
      <w:keepLines/>
      <w:spacing w:line="372" w:lineRule="auto"/>
      <w:outlineLvl w:val="4"/>
    </w:pPr>
    <w:rPr>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微软简标宋" w:hAnsi="@微软简标宋" w:eastAsia="@微软简标宋" w:cs="@微软简标宋"/>
      <w:szCs w:val="24"/>
      <w:lang w:val="zh-CN"/>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amp;L"/>
    <w:basedOn w:val="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2025-11-05T09:29:00Z</dcterms:created>
  <dc:creator>Lenovo</dc:creator>
  <cp:lastModifiedBy>Lenovo</cp:lastModifiedBy>
  <dcterms:modified xsi:type="dcterms:W3CDTF">2025-11-05T09:30:18Z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85F3F080F6F94EF3B23604E3B63C5F10_11</vt:lpwstr>
  </property>
  <property fmtid="{D5CDD505-2E9C-101B-9397-08002B2CF9AE}" pid="4" name="KSOTemplateDocerSaveRecord">
    <vt:lpwstr>eyJoZGlkIjoiNjMxY2QzYWVmZTYyZjk2NzA2OWJkYmYyMDIxM2VjNWUiLCJ1c2VySWQiOiI3NjgzOTY2OTUifQ==</vt:lpwstr>
  </property>
</Properties>
</file>