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18AC4">
      <w:pPr>
        <w:pStyle w:val="2"/>
        <w:rPr>
          <w:rFonts w:hint="eastAsia" w:ascii="方正小标宋_GBK" w:hAnsi="方正小标宋_GBK" w:eastAsia="方正小标宋_GBK" w:cs="方正小标宋_GBK"/>
          <w:kern w:val="44"/>
          <w:sz w:val="44"/>
          <w:szCs w:val="44"/>
        </w:rPr>
      </w:pPr>
      <w:r>
        <w:rPr>
          <w:rFonts w:hint="eastAsia" w:ascii="方正小标宋_GBK" w:hAnsi="方正小标宋_GBK" w:cs="方正小标宋_GBK"/>
        </w:rPr>
        <w:t>采购需求</w:t>
      </w:r>
    </w:p>
    <w:p w14:paraId="5D218AC5">
      <w:pPr>
        <w:spacing w:line="360" w:lineRule="auto"/>
        <w:rPr>
          <w:rFonts w:hint="eastAsia" w:ascii="宋体" w:hAnsi="宋体"/>
          <w:b/>
        </w:rPr>
      </w:pPr>
      <w:r>
        <w:rPr>
          <w:rFonts w:hint="eastAsia" w:ascii="宋体" w:hAnsi="宋体"/>
          <w:b/>
        </w:rPr>
        <w:t>前注：</w:t>
      </w:r>
    </w:p>
    <w:p w14:paraId="5D218AC6">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5D218AC7">
      <w:pPr>
        <w:spacing w:line="360" w:lineRule="auto"/>
        <w:ind w:firstLine="435"/>
        <w:rPr>
          <w:rFonts w:hint="eastAsia" w:ascii="宋体" w:hAnsi="宋体" w:cs="宋体"/>
          <w:szCs w:val="18"/>
        </w:rPr>
      </w:pPr>
      <w:r>
        <w:rPr>
          <w:rFonts w:hint="eastAsia" w:ascii="宋体" w:hAnsi="宋体" w:cs="宋体"/>
          <w:szCs w:val="18"/>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5D218AC8">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D218AC9">
      <w:pPr>
        <w:pStyle w:val="3"/>
        <w:ind w:firstLine="560"/>
      </w:pPr>
      <w:bookmarkStart w:id="1" w:name="_Toc1899401549"/>
      <w:bookmarkStart w:id="2" w:name="_Toc1452677390"/>
      <w:bookmarkStart w:id="3" w:name="_Toc1064185329"/>
      <w:bookmarkStart w:id="4" w:name="_Toc292361325"/>
      <w:bookmarkStart w:id="5" w:name="_Toc2025078090"/>
      <w:bookmarkStart w:id="6" w:name="_Toc1437377518_WPSOffice_Level2"/>
      <w:bookmarkStart w:id="7" w:name="_Toc382548620"/>
      <w:bookmarkStart w:id="8" w:name="_Toc337877615"/>
      <w:r>
        <w:rPr>
          <w:rFonts w:hint="eastAsia"/>
        </w:rPr>
        <w:t>一、采购需求前附表</w:t>
      </w:r>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D21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CA">
            <w:pPr>
              <w:pStyle w:val="10"/>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5D218ACB">
            <w:pPr>
              <w:pStyle w:val="11"/>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5D218ACC">
            <w:pPr>
              <w:pStyle w:val="11"/>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5D21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D218ACE">
            <w:pPr>
              <w:pStyle w:val="10"/>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5D218ACF">
            <w:pPr>
              <w:pStyle w:val="11"/>
              <w:widowControl w:val="0"/>
              <w:spacing w:before="0" w:beforeAutospacing="0" w:after="0" w:afterAutospacing="0" w:line="360" w:lineRule="auto"/>
              <w:rPr>
                <w:rFonts w:hint="eastAsia" w:ascii="宋体" w:hAnsi="宋体" w:cs="宋体"/>
                <w:b w:val="0"/>
                <w:sz w:val="24"/>
              </w:rPr>
            </w:pPr>
            <w:r>
              <w:rPr>
                <w:rFonts w:hint="eastAsia" w:ascii="宋体" w:hAnsi="宋体" w:cs="宋体"/>
                <w:b w:val="0"/>
                <w:color w:val="000000" w:themeColor="text1"/>
                <w:sz w:val="24"/>
                <w14:textFill>
                  <w14:solidFill>
                    <w14:schemeClr w14:val="tx1"/>
                  </w14:solidFill>
                </w14:textFill>
              </w:rPr>
              <w:t>付款方式</w:t>
            </w:r>
          </w:p>
        </w:tc>
        <w:tc>
          <w:tcPr>
            <w:tcW w:w="5544" w:type="dxa"/>
            <w:vAlign w:val="center"/>
          </w:tcPr>
          <w:p w14:paraId="5D218AD2">
            <w:pPr>
              <w:widowControl/>
              <w:spacing w:line="360" w:lineRule="auto"/>
              <w:jc w:val="left"/>
              <w:rPr>
                <w:rFonts w:hint="eastAsia" w:ascii="宋体" w:hAnsi="宋体" w:cs="宋体"/>
                <w:bCs/>
              </w:rPr>
            </w:pPr>
            <w:r>
              <w:t>合同签订生效后，采购人向中标人支付合同价款的70%预付款（中标人须同时向采购人递交等额预付款保函），全部货物安装调试完毕，剩余30%在验收合格后一次性付给中标人，同时退还预付款保函。</w:t>
            </w:r>
          </w:p>
          <w:p w14:paraId="5D218AD3">
            <w:pPr>
              <w:widowControl/>
              <w:spacing w:line="360" w:lineRule="auto"/>
              <w:jc w:val="left"/>
              <w:rPr>
                <w:rFonts w:hint="eastAsia" w:ascii="宋体" w:hAnsi="宋体" w:cs="宋体"/>
                <w:bCs/>
              </w:rPr>
            </w:pPr>
            <w:r>
              <w:rPr>
                <w:rFonts w:hint="eastAsia" w:ascii="宋体" w:hAnsi="宋体" w:cs="宋体"/>
                <w:bCs/>
              </w:rPr>
              <w:t>注：</w:t>
            </w:r>
          </w:p>
          <w:p w14:paraId="5D218AD4">
            <w:pPr>
              <w:widowControl/>
              <w:spacing w:line="360" w:lineRule="auto"/>
              <w:jc w:val="left"/>
              <w:rPr>
                <w:rFonts w:hint="eastAsia" w:ascii="宋体" w:hAnsi="宋体" w:cs="宋体"/>
                <w:bCs/>
              </w:rPr>
            </w:pPr>
            <w:r>
              <w:rPr>
                <w:rFonts w:hint="eastAsia" w:ascii="宋体" w:hAnsi="宋体" w:cs="宋体"/>
                <w:bCs/>
              </w:rPr>
              <w:t>（1）预付款保函形式： ☑银行保函 ☑担保机构担保</w:t>
            </w:r>
          </w:p>
          <w:p w14:paraId="5D218AD5">
            <w:pPr>
              <w:widowControl/>
              <w:spacing w:line="360" w:lineRule="auto"/>
              <w:jc w:val="left"/>
              <w:rPr>
                <w:rFonts w:hint="eastAsia" w:ascii="宋体" w:hAnsi="宋体" w:cs="宋体"/>
                <w:bCs/>
              </w:rPr>
            </w:pPr>
            <w:r>
              <w:rPr>
                <w:rFonts w:hint="eastAsia" w:ascii="宋体" w:hAnsi="宋体" w:cs="宋体"/>
                <w:bCs/>
              </w:rPr>
              <w:t>（2）预付款保函递交要求：</w:t>
            </w:r>
          </w:p>
          <w:p w14:paraId="5D218AD6">
            <w:pPr>
              <w:widowControl/>
              <w:spacing w:line="360" w:lineRule="auto"/>
              <w:jc w:val="left"/>
              <w:rPr>
                <w:rFonts w:hint="eastAsia" w:ascii="宋体" w:hAnsi="宋体" w:cs="宋体"/>
                <w:bCs/>
              </w:rPr>
            </w:pPr>
            <w:r>
              <w:rPr>
                <w:rFonts w:hint="eastAsia" w:ascii="宋体" w:hAnsi="宋体" w:cs="宋体"/>
                <w:bCs/>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5D218AD7">
            <w:pPr>
              <w:widowControl/>
              <w:spacing w:line="360" w:lineRule="auto"/>
              <w:jc w:val="left"/>
              <w:rPr>
                <w:rFonts w:hint="eastAsia" w:ascii="宋体" w:hAnsi="宋体" w:cs="宋体"/>
                <w:bCs/>
              </w:rPr>
            </w:pPr>
            <w:r>
              <w:rPr>
                <w:rFonts w:hint="eastAsia" w:ascii="宋体" w:hAnsi="宋体" w:cs="宋体"/>
                <w:bCs/>
              </w:rPr>
              <w:t>②如采用担保机构担保，应为具有备案资质的融资担保机构出具的见索即付无条件担保，且应将原件交至采购人保管。</w:t>
            </w:r>
          </w:p>
          <w:p w14:paraId="5D218AD8">
            <w:pPr>
              <w:widowControl/>
              <w:spacing w:line="360" w:lineRule="auto"/>
              <w:jc w:val="left"/>
              <w:rPr>
                <w:rFonts w:hint="eastAsia" w:ascii="宋体" w:hAnsi="宋体" w:cs="宋体"/>
                <w:bCs/>
              </w:rPr>
            </w:pPr>
            <w:r>
              <w:rPr>
                <w:rFonts w:hint="eastAsia" w:ascii="宋体" w:hAnsi="宋体" w:cs="宋体"/>
                <w:bCs/>
              </w:rPr>
              <w:t>（3）在签订合同时，中标人书面明确表示无需预付款或者主动要求降低预付款比例的，采购人可不适用前述预付款规定。</w:t>
            </w:r>
          </w:p>
        </w:tc>
      </w:tr>
      <w:tr w14:paraId="5D21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DA">
            <w:pPr>
              <w:pStyle w:val="10"/>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5D218ADB">
            <w:pPr>
              <w:pStyle w:val="11"/>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5D218ADC">
            <w:pPr>
              <w:widowControl/>
              <w:spacing w:line="360" w:lineRule="auto"/>
              <w:jc w:val="left"/>
              <w:rPr>
                <w:rFonts w:hint="eastAsia" w:ascii="宋体" w:hAnsi="宋体" w:cs="宋体"/>
                <w:bCs/>
              </w:rPr>
            </w:pPr>
            <w:r>
              <w:rPr>
                <w:rFonts w:hint="eastAsia" w:ascii="宋体" w:hAnsi="宋体" w:cs="宋体"/>
                <w:bCs/>
              </w:rPr>
              <w:t>安徽大学龙河校区，采购人指定地点。</w:t>
            </w:r>
          </w:p>
        </w:tc>
      </w:tr>
      <w:tr w14:paraId="5D21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DE">
            <w:pPr>
              <w:pStyle w:val="10"/>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5D218ADF">
            <w:pPr>
              <w:pStyle w:val="11"/>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5D218AE0">
            <w:pPr>
              <w:widowControl/>
              <w:spacing w:line="360" w:lineRule="auto"/>
              <w:jc w:val="left"/>
              <w:rPr>
                <w:rFonts w:hint="eastAsia" w:ascii="宋体" w:hAnsi="宋体" w:cs="宋体"/>
                <w:bCs/>
              </w:rPr>
            </w:pPr>
            <w:r>
              <w:rPr>
                <w:rFonts w:hint="eastAsia" w:ascii="宋体" w:hAnsi="宋体" w:cs="宋体"/>
                <w:bCs/>
              </w:rPr>
              <w:t>合同签订后并接受采购人通知后3个月内完成供货安装调试及验收等所有工作。</w:t>
            </w:r>
          </w:p>
        </w:tc>
      </w:tr>
      <w:tr w14:paraId="5D21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E2">
            <w:pPr>
              <w:pStyle w:val="10"/>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5D218AE3">
            <w:pPr>
              <w:pStyle w:val="11"/>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5D218AE4">
            <w:pPr>
              <w:widowControl/>
              <w:spacing w:line="360" w:lineRule="auto"/>
              <w:jc w:val="left"/>
              <w:rPr>
                <w:rFonts w:hint="eastAsia" w:ascii="宋体" w:hAnsi="宋体" w:cs="宋体"/>
                <w:bCs/>
              </w:rPr>
            </w:pPr>
            <w:r>
              <w:rPr>
                <w:rFonts w:hint="eastAsia" w:ascii="宋体" w:hAnsi="宋体" w:cs="宋体"/>
                <w:bCs/>
              </w:rPr>
              <w:t>验收合格之日起12个月。</w:t>
            </w:r>
          </w:p>
        </w:tc>
      </w:tr>
      <w:tr w14:paraId="5D21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D218AE6">
            <w:pPr>
              <w:pStyle w:val="10"/>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302804901"/>
            <w:bookmarkStart w:id="10" w:name="_Toc1715351726"/>
            <w:bookmarkStart w:id="11" w:name="_Toc717369146"/>
            <w:bookmarkStart w:id="12" w:name="_Toc1191965283_WPSOffice_Level2"/>
            <w:bookmarkStart w:id="13" w:name="_Toc58935147"/>
            <w:bookmarkStart w:id="14" w:name="_Toc626387511"/>
            <w:bookmarkStart w:id="15" w:name="_Toc369119811"/>
            <w:bookmarkStart w:id="16" w:name="_Toc1693477008"/>
            <w:r>
              <w:rPr>
                <w:rFonts w:hint="eastAsia" w:ascii="宋体" w:hAnsi="宋体" w:cs="宋体"/>
                <w:bCs/>
                <w:kern w:val="2"/>
              </w:rPr>
              <w:t>5</w:t>
            </w:r>
          </w:p>
        </w:tc>
        <w:tc>
          <w:tcPr>
            <w:tcW w:w="2054" w:type="dxa"/>
            <w:vAlign w:val="center"/>
          </w:tcPr>
          <w:p w14:paraId="5D218AE7">
            <w:pPr>
              <w:pStyle w:val="11"/>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5D218AE8">
            <w:pPr>
              <w:widowControl/>
              <w:spacing w:line="360" w:lineRule="auto"/>
              <w:jc w:val="left"/>
              <w:rPr>
                <w:rFonts w:hint="eastAsia" w:ascii="宋体" w:hAnsi="宋体" w:cs="宋体"/>
                <w:bCs/>
              </w:rPr>
            </w:pPr>
            <w:r>
              <w:rPr>
                <w:rFonts w:hint="eastAsia" w:ascii="宋体" w:hAnsi="宋体" w:cs="宋体"/>
                <w:bCs/>
                <w:highlight w:val="none"/>
              </w:rPr>
              <w:t>工业。</w:t>
            </w:r>
          </w:p>
        </w:tc>
      </w:tr>
    </w:tbl>
    <w:p w14:paraId="5D218AEA">
      <w:pPr>
        <w:pStyle w:val="3"/>
        <w:numPr>
          <w:ilvl w:val="0"/>
          <w:numId w:val="1"/>
        </w:numPr>
        <w:ind w:firstLine="560"/>
      </w:pPr>
      <w:r>
        <w:rPr>
          <w:rFonts w:hint="eastAsia"/>
        </w:rPr>
        <w:t>货物需求</w:t>
      </w:r>
      <w:bookmarkEnd w:id="9"/>
      <w:bookmarkEnd w:id="10"/>
      <w:bookmarkEnd w:id="11"/>
      <w:bookmarkEnd w:id="12"/>
      <w:bookmarkEnd w:id="13"/>
      <w:bookmarkEnd w:id="14"/>
      <w:bookmarkEnd w:id="15"/>
      <w:bookmarkEnd w:id="16"/>
    </w:p>
    <w:p w14:paraId="5D218AEC">
      <w:pPr>
        <w:pStyle w:val="7"/>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8"/>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410"/>
        <w:gridCol w:w="5238"/>
      </w:tblGrid>
      <w:tr w14:paraId="5D21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D218AED">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410" w:type="dxa"/>
            <w:vAlign w:val="center"/>
          </w:tcPr>
          <w:p w14:paraId="5D218AEE">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238" w:type="dxa"/>
            <w:vAlign w:val="center"/>
          </w:tcPr>
          <w:p w14:paraId="5D218AEF">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5D21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D218AF1">
            <w:pPr>
              <w:spacing w:line="360" w:lineRule="auto"/>
              <w:jc w:val="center"/>
              <w:rPr>
                <w:rFonts w:hint="eastAsia" w:ascii="宋体" w:hAnsi="宋体" w:cs="宋体"/>
                <w:szCs w:val="24"/>
              </w:rPr>
            </w:pPr>
            <w:r>
              <w:rPr>
                <w:szCs w:val="18"/>
              </w:rPr>
              <w:t>关键性指标项</w:t>
            </w:r>
          </w:p>
        </w:tc>
        <w:tc>
          <w:tcPr>
            <w:tcW w:w="1410" w:type="dxa"/>
            <w:vAlign w:val="center"/>
          </w:tcPr>
          <w:p w14:paraId="5D218AF2">
            <w:pPr>
              <w:spacing w:line="360" w:lineRule="auto"/>
              <w:jc w:val="center"/>
              <w:rPr>
                <w:rFonts w:hint="eastAsia" w:ascii="宋体" w:hAnsi="宋体" w:cs="宋体"/>
                <w:szCs w:val="24"/>
              </w:rPr>
            </w:pPr>
            <w:r>
              <w:rPr>
                <w:rFonts w:ascii="宋体" w:hAnsi="宋体" w:cs="Segoe UI Symbol"/>
                <w:szCs w:val="18"/>
              </w:rPr>
              <w:t>★</w:t>
            </w:r>
          </w:p>
        </w:tc>
        <w:tc>
          <w:tcPr>
            <w:tcW w:w="5238" w:type="dxa"/>
            <w:vAlign w:val="center"/>
          </w:tcPr>
          <w:p w14:paraId="5D218AF3">
            <w:pPr>
              <w:spacing w:line="360" w:lineRule="auto"/>
              <w:jc w:val="center"/>
              <w:rPr>
                <w:rFonts w:hint="eastAsia" w:ascii="宋体" w:hAnsi="宋体" w:eastAsia="宋体" w:cs="宋体"/>
                <w:szCs w:val="24"/>
                <w:lang w:eastAsia="zh-CN"/>
              </w:rPr>
            </w:pPr>
            <w:r>
              <w:rPr>
                <w:rFonts w:hint="eastAsia" w:ascii="宋体" w:hAnsi="宋体" w:cs="宋体"/>
                <w:szCs w:val="18"/>
                <w:lang w:val="en-US" w:eastAsia="zh-CN"/>
              </w:rPr>
              <w:t>符合性审查项，</w:t>
            </w:r>
            <w:r>
              <w:rPr>
                <w:szCs w:val="18"/>
              </w:rPr>
              <w:t>不满足该指标项将导致投标</w:t>
            </w:r>
            <w:r>
              <w:rPr>
                <w:rFonts w:hint="eastAsia"/>
                <w:szCs w:val="18"/>
                <w:lang w:val="en-US" w:eastAsia="zh-CN"/>
              </w:rPr>
              <w:t>无效</w:t>
            </w:r>
          </w:p>
        </w:tc>
      </w:tr>
      <w:tr w14:paraId="5D21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D218AF5">
            <w:pPr>
              <w:spacing w:line="360" w:lineRule="auto"/>
              <w:jc w:val="center"/>
              <w:rPr>
                <w:rFonts w:hint="eastAsia" w:ascii="宋体" w:hAnsi="宋体" w:cs="宋体"/>
                <w:szCs w:val="24"/>
              </w:rPr>
            </w:pPr>
            <w:r>
              <w:rPr>
                <w:szCs w:val="18"/>
              </w:rPr>
              <w:t>重要指标项</w:t>
            </w:r>
          </w:p>
        </w:tc>
        <w:tc>
          <w:tcPr>
            <w:tcW w:w="1410" w:type="dxa"/>
            <w:vAlign w:val="center"/>
          </w:tcPr>
          <w:p w14:paraId="5D218AF6">
            <w:pPr>
              <w:spacing w:line="360" w:lineRule="auto"/>
              <w:jc w:val="center"/>
              <w:rPr>
                <w:rFonts w:hint="eastAsia" w:ascii="宋体" w:hAnsi="宋体" w:cs="宋体"/>
                <w:szCs w:val="24"/>
              </w:rPr>
            </w:pPr>
            <w:r>
              <w:rPr>
                <w:rFonts w:ascii="宋体" w:hAnsi="宋体"/>
                <w:szCs w:val="18"/>
              </w:rPr>
              <w:t>■</w:t>
            </w:r>
          </w:p>
        </w:tc>
        <w:tc>
          <w:tcPr>
            <w:tcW w:w="5238" w:type="dxa"/>
            <w:vAlign w:val="center"/>
          </w:tcPr>
          <w:p w14:paraId="5D218AF7">
            <w:pPr>
              <w:spacing w:line="360" w:lineRule="auto"/>
              <w:jc w:val="center"/>
              <w:rPr>
                <w:rFonts w:hint="eastAsia" w:ascii="宋体" w:hAnsi="宋体" w:cs="宋体"/>
                <w:szCs w:val="18"/>
              </w:rPr>
            </w:pPr>
            <w:r>
              <w:rPr>
                <w:szCs w:val="24"/>
              </w:rPr>
              <w:t>评分项，每满足一项得</w:t>
            </w:r>
            <w:r>
              <w:rPr>
                <w:rFonts w:hint="eastAsia"/>
                <w:szCs w:val="24"/>
              </w:rPr>
              <w:t>8</w:t>
            </w:r>
            <w:r>
              <w:rPr>
                <w:szCs w:val="24"/>
              </w:rPr>
              <w:t>分</w:t>
            </w:r>
          </w:p>
        </w:tc>
      </w:tr>
      <w:tr w14:paraId="5D21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5D218AF9">
            <w:pPr>
              <w:spacing w:line="360" w:lineRule="auto"/>
              <w:jc w:val="center"/>
              <w:rPr>
                <w:rFonts w:hint="eastAsia" w:ascii="宋体" w:hAnsi="宋体" w:cs="宋体"/>
                <w:szCs w:val="18"/>
              </w:rPr>
            </w:pPr>
            <w:r>
              <w:rPr>
                <w:szCs w:val="18"/>
              </w:rPr>
              <w:t>一般指标项</w:t>
            </w:r>
          </w:p>
        </w:tc>
        <w:tc>
          <w:tcPr>
            <w:tcW w:w="1410" w:type="dxa"/>
            <w:vAlign w:val="center"/>
          </w:tcPr>
          <w:p w14:paraId="5D218AFA">
            <w:pPr>
              <w:spacing w:line="360" w:lineRule="auto"/>
              <w:jc w:val="center"/>
              <w:rPr>
                <w:rFonts w:hint="eastAsia" w:ascii="宋体" w:hAnsi="宋体" w:cs="宋体"/>
                <w:szCs w:val="24"/>
              </w:rPr>
            </w:pPr>
            <w:r>
              <w:rPr>
                <w:rFonts w:ascii="宋体" w:hAnsi="宋体"/>
                <w:szCs w:val="18"/>
              </w:rPr>
              <w:t>●</w:t>
            </w:r>
          </w:p>
        </w:tc>
        <w:tc>
          <w:tcPr>
            <w:tcW w:w="5238" w:type="dxa"/>
            <w:vAlign w:val="center"/>
          </w:tcPr>
          <w:p w14:paraId="5D218AFB">
            <w:pPr>
              <w:spacing w:line="360" w:lineRule="auto"/>
              <w:jc w:val="center"/>
              <w:rPr>
                <w:rFonts w:hint="eastAsia" w:ascii="宋体" w:hAnsi="宋体" w:cs="宋体"/>
                <w:szCs w:val="18"/>
              </w:rPr>
            </w:pPr>
            <w:r>
              <w:rPr>
                <w:szCs w:val="24"/>
              </w:rPr>
              <w:t>评分项，每满足一项得</w:t>
            </w:r>
            <w:r>
              <w:rPr>
                <w:rFonts w:hint="eastAsia"/>
                <w:szCs w:val="24"/>
                <w:lang w:val="en-US" w:eastAsia="zh-CN"/>
              </w:rPr>
              <w:t>4</w:t>
            </w:r>
            <w:r>
              <w:rPr>
                <w:szCs w:val="24"/>
              </w:rPr>
              <w:t>分</w:t>
            </w:r>
          </w:p>
        </w:tc>
      </w:tr>
      <w:tr w14:paraId="5D21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5D218B01">
            <w:pPr>
              <w:pStyle w:val="7"/>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5D218B02">
            <w:pPr>
              <w:pStyle w:val="7"/>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5D218B03">
            <w:pPr>
              <w:pStyle w:val="7"/>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5D218B04">
            <w:pPr>
              <w:pStyle w:val="7"/>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w:t>
            </w:r>
            <w:r>
              <w:rPr>
                <w:rFonts w:hint="default" w:ascii="宋体" w:hAnsi="宋体" w:eastAsia="宋体" w:cs="宋体"/>
                <w:sz w:val="24"/>
                <w:szCs w:val="24"/>
                <w:lang w:val="en-US"/>
              </w:rPr>
              <w:t>、</w:t>
            </w:r>
            <w:r>
              <w:rPr>
                <w:rFonts w:ascii="宋体" w:hAnsi="宋体" w:eastAsia="宋体" w:cs="宋体"/>
                <w:sz w:val="24"/>
                <w:szCs w:val="24"/>
              </w:rPr>
              <w:t>“●”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lang w:val="en-US" w:eastAsia="zh-CN"/>
              </w:rPr>
              <w:t>按</w:t>
            </w:r>
            <w:r>
              <w:rPr>
                <w:rFonts w:ascii="宋体" w:hAnsi="宋体" w:eastAsia="宋体" w:cs="宋体"/>
                <w:sz w:val="24"/>
                <w:szCs w:val="24"/>
              </w:rPr>
              <w:t>投标</w:t>
            </w:r>
            <w:r>
              <w:rPr>
                <w:rFonts w:hint="eastAsia" w:ascii="宋体" w:hAnsi="宋体" w:eastAsia="宋体" w:cs="宋体"/>
                <w:sz w:val="24"/>
                <w:szCs w:val="24"/>
                <w:lang w:val="en-US" w:eastAsia="zh-CN"/>
              </w:rPr>
              <w:t>无效处理</w:t>
            </w:r>
            <w:r>
              <w:rPr>
                <w:rFonts w:ascii="宋体" w:hAnsi="宋体" w:eastAsia="宋体" w:cs="宋体"/>
                <w:sz w:val="24"/>
                <w:szCs w:val="24"/>
              </w:rPr>
              <w:t>或不得分），如发现虚假响应参数的按无效投标处理。</w:t>
            </w:r>
          </w:p>
          <w:p w14:paraId="5D218B05">
            <w:pPr>
              <w:pStyle w:val="7"/>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5D218B06">
            <w:pPr>
              <w:pStyle w:val="7"/>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5D218B07">
            <w:pPr>
              <w:pStyle w:val="7"/>
              <w:spacing w:line="500" w:lineRule="exact"/>
              <w:ind w:left="0" w:firstLine="0" w:firstLineChars="0"/>
              <w:rPr>
                <w:rFonts w:hint="eastAsia" w:ascii="宋体" w:hAnsi="宋体" w:eastAsia="宋体" w:cs="宋体"/>
                <w:bCs/>
                <w:sz w:val="24"/>
                <w:szCs w:val="24"/>
              </w:rPr>
            </w:pPr>
            <w:r>
              <w:rPr>
                <w:rFonts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5D218B09">
      <w:pPr>
        <w:pStyle w:val="7"/>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tbl>
      <w:tblPr>
        <w:tblStyle w:val="8"/>
        <w:tblW w:w="5051" w:type="pct"/>
        <w:tblInd w:w="-92" w:type="dxa"/>
        <w:tblLayout w:type="fixed"/>
        <w:tblCellMar>
          <w:top w:w="0" w:type="dxa"/>
          <w:left w:w="108" w:type="dxa"/>
          <w:bottom w:w="0" w:type="dxa"/>
          <w:right w:w="108" w:type="dxa"/>
        </w:tblCellMar>
      </w:tblPr>
      <w:tblGrid>
        <w:gridCol w:w="633"/>
        <w:gridCol w:w="790"/>
        <w:gridCol w:w="5870"/>
        <w:gridCol w:w="658"/>
        <w:gridCol w:w="658"/>
      </w:tblGrid>
      <w:tr w14:paraId="5D218B0F">
        <w:tblPrEx>
          <w:tblCellMar>
            <w:top w:w="0" w:type="dxa"/>
            <w:left w:w="108" w:type="dxa"/>
            <w:bottom w:w="0" w:type="dxa"/>
            <w:right w:w="108" w:type="dxa"/>
          </w:tblCellMar>
        </w:tblPrEx>
        <w:trPr>
          <w:trHeight w:val="60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14:paraId="5D218B0A">
            <w:pPr>
              <w:pStyle w:val="4"/>
              <w:jc w:val="center"/>
              <w:rPr>
                <w:rFonts w:hint="eastAsia" w:ascii="宋体" w:hAnsi="宋体" w:eastAsia="宋体" w:cs="宋体"/>
              </w:rPr>
            </w:pPr>
            <w:r>
              <w:rPr>
                <w:rFonts w:hint="eastAsia" w:ascii="宋体" w:hAnsi="宋体" w:eastAsia="宋体" w:cs="宋体"/>
              </w:rPr>
              <w:t>序号</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D218B0B">
            <w:pPr>
              <w:pStyle w:val="4"/>
              <w:jc w:val="center"/>
              <w:rPr>
                <w:rFonts w:hint="eastAsia" w:ascii="宋体" w:hAnsi="宋体" w:eastAsia="宋体" w:cs="宋体"/>
              </w:rPr>
            </w:pPr>
            <w:r>
              <w:rPr>
                <w:rFonts w:hint="eastAsia" w:ascii="宋体" w:hAnsi="宋体" w:eastAsia="宋体" w:cs="宋体"/>
              </w:rPr>
              <w:t>货物名称</w:t>
            </w:r>
          </w:p>
        </w:tc>
        <w:tc>
          <w:tcPr>
            <w:tcW w:w="3408" w:type="pct"/>
            <w:tcBorders>
              <w:top w:val="single" w:color="000000" w:sz="4" w:space="0"/>
              <w:left w:val="single" w:color="000000" w:sz="4" w:space="0"/>
              <w:bottom w:val="single" w:color="000000" w:sz="4" w:space="0"/>
              <w:right w:val="single" w:color="000000" w:sz="4" w:space="0"/>
            </w:tcBorders>
            <w:noWrap/>
            <w:vAlign w:val="center"/>
          </w:tcPr>
          <w:p w14:paraId="5D218B0C">
            <w:pPr>
              <w:pStyle w:val="4"/>
              <w:jc w:val="center"/>
              <w:rPr>
                <w:rFonts w:hint="eastAsia" w:ascii="宋体" w:hAnsi="宋体" w:eastAsia="宋体" w:cs="宋体"/>
              </w:rPr>
            </w:pPr>
            <w:r>
              <w:rPr>
                <w:rFonts w:hint="eastAsia" w:ascii="宋体" w:hAnsi="宋体" w:eastAsia="宋体" w:cs="宋体"/>
              </w:rPr>
              <w:t>技术参数及要求</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D218B0D">
            <w:pPr>
              <w:pStyle w:val="4"/>
              <w:jc w:val="center"/>
              <w:rPr>
                <w:rFonts w:hint="eastAsia" w:ascii="宋体" w:hAnsi="宋体" w:eastAsia="宋体" w:cs="宋体"/>
              </w:rPr>
            </w:pPr>
            <w:r>
              <w:rPr>
                <w:rFonts w:hint="eastAsia" w:ascii="宋体" w:hAnsi="宋体" w:eastAsia="宋体" w:cs="宋体"/>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5D218B0E">
            <w:pPr>
              <w:pStyle w:val="4"/>
              <w:jc w:val="center"/>
              <w:rPr>
                <w:rFonts w:hint="eastAsia" w:ascii="宋体" w:hAnsi="宋体" w:eastAsia="宋体" w:cs="宋体"/>
              </w:rPr>
            </w:pPr>
            <w:r>
              <w:rPr>
                <w:rFonts w:hint="eastAsia" w:ascii="宋体" w:hAnsi="宋体" w:eastAsia="宋体" w:cs="宋体"/>
              </w:rPr>
              <w:t>单位</w:t>
            </w:r>
          </w:p>
        </w:tc>
      </w:tr>
      <w:tr w14:paraId="5D218B45">
        <w:tblPrEx>
          <w:tblCellMar>
            <w:top w:w="0" w:type="dxa"/>
            <w:left w:w="108" w:type="dxa"/>
            <w:bottom w:w="0" w:type="dxa"/>
            <w:right w:w="108" w:type="dxa"/>
          </w:tblCellMar>
        </w:tblPrEx>
        <w:trPr>
          <w:trHeight w:val="100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14:paraId="5D218B10">
            <w:pPr>
              <w:spacing w:line="360" w:lineRule="auto"/>
              <w:jc w:val="center"/>
              <w:rPr>
                <w:rFonts w:hint="eastAsia" w:ascii="宋体" w:hAnsi="宋体" w:cs="宋体"/>
                <w:szCs w:val="18"/>
              </w:rPr>
            </w:pPr>
            <w:r>
              <w:rPr>
                <w:szCs w:val="18"/>
              </w:rPr>
              <w:t>1</w:t>
            </w:r>
          </w:p>
        </w:tc>
        <w:tc>
          <w:tcPr>
            <w:tcW w:w="799" w:type="dxa"/>
            <w:tcBorders>
              <w:top w:val="single" w:color="000000" w:sz="4" w:space="0"/>
              <w:left w:val="single" w:color="000000" w:sz="4" w:space="0"/>
              <w:bottom w:val="single" w:color="000000" w:sz="4" w:space="0"/>
              <w:right w:val="single" w:color="000000" w:sz="4" w:space="0"/>
            </w:tcBorders>
            <w:vAlign w:val="center"/>
          </w:tcPr>
          <w:p w14:paraId="5D218B11">
            <w:pPr>
              <w:spacing w:line="360" w:lineRule="auto"/>
              <w:jc w:val="center"/>
              <w:rPr>
                <w:rFonts w:hint="eastAsia" w:ascii="宋体" w:hAnsi="宋体" w:cs="宋体"/>
                <w:bCs/>
                <w:szCs w:val="24"/>
              </w:rPr>
            </w:pPr>
            <w:r>
              <w:rPr>
                <w:rFonts w:hint="eastAsia" w:ascii="Segoe UI Symbol" w:hAnsi="Segoe UI Symbol" w:cs="Segoe UI Symbol"/>
                <w:bCs/>
                <w:szCs w:val="18"/>
              </w:rPr>
              <w:t>▲透射电镜微波样品台</w:t>
            </w:r>
          </w:p>
        </w:tc>
        <w:tc>
          <w:tcPr>
            <w:tcW w:w="5934" w:type="dxa"/>
            <w:tcBorders>
              <w:top w:val="single" w:color="000000" w:sz="4" w:space="0"/>
              <w:left w:val="single" w:color="000000" w:sz="4" w:space="0"/>
              <w:bottom w:val="single" w:color="000000" w:sz="4" w:space="0"/>
              <w:right w:val="single" w:color="000000" w:sz="4" w:space="0"/>
            </w:tcBorders>
          </w:tcPr>
          <w:p w14:paraId="67A5CD8D">
            <w:pPr>
              <w:spacing w:line="360" w:lineRule="auto"/>
              <w:ind w:left="60"/>
              <w:rPr>
                <w:rFonts w:hint="eastAsia" w:ascii="宋体" w:hAnsi="宋体" w:cs="Segoe UI Symbol"/>
                <w:szCs w:val="18"/>
              </w:rPr>
            </w:pPr>
            <w:r>
              <w:rPr>
                <w:rFonts w:hint="eastAsia" w:ascii="宋体" w:hAnsi="宋体" w:cs="Segoe UI Symbol"/>
                <w:szCs w:val="18"/>
              </w:rPr>
              <w:t>透射电镜微波样品台技术参数</w:t>
            </w:r>
          </w:p>
          <w:p w14:paraId="1165980F">
            <w:pPr>
              <w:spacing w:line="360" w:lineRule="auto"/>
              <w:rPr>
                <w:rFonts w:hint="eastAsia" w:ascii="宋体" w:hAnsi="宋体" w:cs="Segoe UI Symbol"/>
                <w:szCs w:val="18"/>
              </w:rPr>
            </w:pPr>
            <w:r>
              <w:rPr>
                <w:rFonts w:hint="eastAsia" w:ascii="宋体" w:hAnsi="宋体" w:cs="Segoe UI Symbol"/>
                <w:szCs w:val="18"/>
              </w:rPr>
              <w:t>1.■该设备兼容性：兼容透射电子显微镜，实现对材料微观动态行为进行研究</w:t>
            </w:r>
            <w:r>
              <w:rPr>
                <w:rFonts w:hint="eastAsia" w:ascii="宋体" w:hAnsi="宋体" w:cs="Segoe UI Symbol"/>
                <w:szCs w:val="18"/>
                <w:highlight w:val="none"/>
              </w:rPr>
              <w:t>；</w:t>
            </w:r>
          </w:p>
          <w:p w14:paraId="274573FF">
            <w:pPr>
              <w:spacing w:line="360" w:lineRule="auto"/>
              <w:rPr>
                <w:rFonts w:hint="eastAsia" w:ascii="宋体" w:hAnsi="宋体" w:cs="Segoe UI Symbol"/>
                <w:szCs w:val="18"/>
                <w:highlight w:val="none"/>
              </w:rPr>
            </w:pPr>
            <w:r>
              <w:rPr>
                <w:rFonts w:hint="eastAsia" w:ascii="宋体" w:hAnsi="宋体" w:cs="Segoe UI Symbol"/>
                <w:szCs w:val="18"/>
              </w:rPr>
              <w:t>2.</w:t>
            </w:r>
            <w:r>
              <w:rPr>
                <w:rFonts w:ascii="宋体" w:hAnsi="宋体"/>
                <w:szCs w:val="18"/>
              </w:rPr>
              <w:t>●</w:t>
            </w:r>
            <w:r>
              <w:rPr>
                <w:rFonts w:hint="eastAsia" w:ascii="宋体" w:hAnsi="宋体" w:cs="Segoe UI Symbol"/>
                <w:szCs w:val="18"/>
              </w:rPr>
              <w:t>倾转方式：单倾，倾转</w:t>
            </w:r>
            <w:r>
              <w:rPr>
                <w:rFonts w:hint="eastAsia" w:ascii="宋体" w:hAnsi="宋体" w:cs="Segoe UI Symbol"/>
                <w:szCs w:val="18"/>
                <w:highlight w:val="none"/>
              </w:rPr>
              <w:t>角度≥±25°（受限制于极靴间距）；</w:t>
            </w:r>
          </w:p>
          <w:p w14:paraId="32F98E37">
            <w:pPr>
              <w:spacing w:line="360" w:lineRule="auto"/>
              <w:rPr>
                <w:rFonts w:hint="eastAsia" w:ascii="宋体" w:hAnsi="宋体" w:cs="Segoe UI Symbol"/>
                <w:szCs w:val="18"/>
                <w:highlight w:val="none"/>
              </w:rPr>
            </w:pPr>
            <w:r>
              <w:rPr>
                <w:rFonts w:hint="eastAsia" w:ascii="宋体" w:hAnsi="宋体" w:cs="Segoe UI Symbol"/>
                <w:szCs w:val="18"/>
                <w:highlight w:val="none"/>
              </w:rPr>
              <w:t>3.</w:t>
            </w:r>
            <w:bookmarkStart w:id="17" w:name="OLE_LINK1"/>
            <w:r>
              <w:rPr>
                <w:rFonts w:hint="eastAsia" w:ascii="宋体" w:hAnsi="宋体" w:cs="Segoe UI Symbol"/>
                <w:szCs w:val="18"/>
                <w:highlight w:val="none"/>
              </w:rPr>
              <w:t>■</w:t>
            </w:r>
            <w:bookmarkEnd w:id="17"/>
            <w:r>
              <w:rPr>
                <w:rFonts w:hint="eastAsia" w:ascii="宋体" w:hAnsi="宋体" w:cs="Segoe UI Symbol"/>
                <w:szCs w:val="18"/>
                <w:highlight w:val="none"/>
              </w:rPr>
              <w:t>样品漂移：≤1.5nm/min（样品杆自身）；</w:t>
            </w:r>
          </w:p>
          <w:p w14:paraId="21A2CF1F">
            <w:pPr>
              <w:spacing w:line="360" w:lineRule="auto"/>
              <w:rPr>
                <w:rFonts w:hint="eastAsia" w:ascii="宋体" w:hAnsi="宋体" w:cs="Segoe UI Symbol"/>
                <w:szCs w:val="18"/>
                <w:highlight w:val="none"/>
              </w:rPr>
            </w:pPr>
            <w:r>
              <w:rPr>
                <w:rFonts w:hint="eastAsia" w:ascii="宋体" w:hAnsi="宋体" w:cs="Segoe UI Symbol"/>
                <w:szCs w:val="18"/>
                <w:highlight w:val="none"/>
              </w:rPr>
              <w:t>4.■装样方式：多</w:t>
            </w:r>
            <w:r>
              <w:rPr>
                <w:rFonts w:hint="eastAsia" w:ascii="宋体" w:hAnsi="宋体" w:cs="Segoe UI Symbol"/>
                <w:szCs w:val="18"/>
                <w:highlight w:val="none"/>
                <w:lang w:val="en-US" w:eastAsia="zh-CN"/>
              </w:rPr>
              <w:t>电极</w:t>
            </w:r>
            <w:r>
              <w:rPr>
                <w:rFonts w:hint="eastAsia" w:ascii="宋体" w:hAnsi="宋体" w:cs="Segoe UI Symbol"/>
                <w:szCs w:val="18"/>
                <w:highlight w:val="none"/>
              </w:rPr>
              <w:t>定制芯片；</w:t>
            </w:r>
          </w:p>
          <w:p w14:paraId="66FA8563">
            <w:pPr>
              <w:spacing w:line="360" w:lineRule="auto"/>
              <w:rPr>
                <w:rFonts w:hint="eastAsia" w:ascii="宋体" w:hAnsi="宋体" w:cs="Segoe UI Symbol"/>
                <w:szCs w:val="18"/>
                <w:highlight w:val="none"/>
              </w:rPr>
            </w:pPr>
            <w:r>
              <w:rPr>
                <w:rFonts w:hint="eastAsia" w:ascii="宋体" w:hAnsi="宋体" w:cs="Segoe UI Symbol"/>
                <w:szCs w:val="18"/>
                <w:highlight w:val="none"/>
              </w:rPr>
              <w:t>5.★定制射频探针；</w:t>
            </w:r>
          </w:p>
          <w:p w14:paraId="6F34E5E9">
            <w:pPr>
              <w:spacing w:line="360" w:lineRule="auto"/>
              <w:rPr>
                <w:rFonts w:hint="eastAsia" w:ascii="宋体" w:hAnsi="宋体" w:cs="Segoe UI Symbol"/>
                <w:szCs w:val="18"/>
                <w:highlight w:val="none"/>
              </w:rPr>
            </w:pPr>
            <w:r>
              <w:rPr>
                <w:rFonts w:hint="eastAsia" w:ascii="宋体" w:hAnsi="宋体" w:cs="Segoe UI Symbol"/>
                <w:szCs w:val="18"/>
                <w:highlight w:val="none"/>
              </w:rPr>
              <w:t>6.★射频指标：12GHz；</w:t>
            </w:r>
          </w:p>
          <w:p w14:paraId="61E75D19">
            <w:pPr>
              <w:spacing w:line="360" w:lineRule="auto"/>
              <w:ind w:left="0"/>
              <w:rPr>
                <w:rFonts w:hint="eastAsia" w:ascii="宋体" w:hAnsi="宋体" w:cs="宋体"/>
                <w:bCs/>
                <w:szCs w:val="24"/>
              </w:rPr>
            </w:pPr>
            <w:r>
              <w:rPr>
                <w:rFonts w:hint="eastAsia" w:ascii="宋体" w:hAnsi="宋体" w:cs="Segoe UI Symbol"/>
                <w:szCs w:val="18"/>
                <w:highlight w:val="none"/>
              </w:rPr>
              <w:t>7.</w:t>
            </w:r>
            <w:r>
              <w:rPr>
                <w:rFonts w:ascii="宋体" w:hAnsi="宋体"/>
                <w:szCs w:val="18"/>
                <w:highlight w:val="none"/>
              </w:rPr>
              <w:t>●</w:t>
            </w:r>
            <w:r>
              <w:rPr>
                <w:rFonts w:hint="eastAsia" w:ascii="宋体" w:hAnsi="宋体"/>
                <w:szCs w:val="18"/>
                <w:highlight w:val="none"/>
              </w:rPr>
              <w:t>设备支持</w:t>
            </w:r>
            <w:r>
              <w:rPr>
                <w:rFonts w:hint="eastAsia"/>
                <w:highlight w:val="none"/>
              </w:rPr>
              <w:t>适配</w:t>
            </w:r>
            <w:r>
              <w:rPr>
                <w:rFonts w:hint="eastAsia" w:ascii="宋体" w:hAnsi="宋体"/>
                <w:szCs w:val="18"/>
              </w:rPr>
              <w:t>的通信协议，预留信号源接口</w:t>
            </w:r>
            <w:r>
              <w:rPr>
                <w:rFonts w:hint="eastAsia" w:ascii="宋体" w:hAnsi="宋体" w:cs="Segoe UI Symbol"/>
                <w:szCs w:val="18"/>
              </w:rPr>
              <w:t>。</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D218B43">
            <w:pPr>
              <w:spacing w:line="360" w:lineRule="auto"/>
              <w:jc w:val="center"/>
              <w:rPr>
                <w:rFonts w:hint="eastAsia" w:ascii="宋体" w:hAnsi="宋体" w:cs="宋体"/>
                <w:bCs/>
                <w:szCs w:val="18"/>
              </w:rPr>
            </w:pPr>
            <w:r>
              <w:rPr>
                <w:bCs/>
                <w:szCs w:val="18"/>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5D218B44">
            <w:pPr>
              <w:pStyle w:val="4"/>
              <w:jc w:val="center"/>
              <w:rPr>
                <w:rFonts w:hint="eastAsia" w:ascii="宋体" w:hAnsi="宋体" w:eastAsia="宋体" w:cs="宋体"/>
              </w:rPr>
            </w:pPr>
            <w:r>
              <w:rPr>
                <w:rFonts w:hint="eastAsia" w:ascii="宋体" w:hAnsi="宋体" w:eastAsia="宋体" w:cs="宋体"/>
              </w:rPr>
              <w:t>套</w:t>
            </w:r>
          </w:p>
        </w:tc>
      </w:tr>
      <w:bookmarkEnd w:id="0"/>
    </w:tbl>
    <w:p w14:paraId="5D218B46">
      <w:pPr>
        <w:pStyle w:val="3"/>
        <w:ind w:firstLine="0" w:firstLineChars="0"/>
      </w:pPr>
      <w:r>
        <w:rPr>
          <w:rFonts w:hint="eastAsia"/>
        </w:rPr>
        <w:t>三、安装调试、质保、培训及售后服务要求</w:t>
      </w:r>
    </w:p>
    <w:p w14:paraId="22066538">
      <w:pPr>
        <w:spacing w:line="360" w:lineRule="auto"/>
        <w:ind w:firstLine="480" w:firstLineChars="200"/>
        <w:rPr>
          <w:rFonts w:hint="eastAsia" w:ascii="宋体" w:hAnsi="宋体"/>
          <w:bCs/>
          <w:color w:val="000000"/>
          <w:szCs w:val="24"/>
        </w:rPr>
      </w:pPr>
      <w:r>
        <w:rPr>
          <w:rFonts w:hint="eastAsia" w:ascii="宋体" w:hAnsi="宋体"/>
          <w:bCs/>
          <w:color w:val="000000"/>
          <w:szCs w:val="24"/>
        </w:rPr>
        <w:t>1、售后服务要求：</w:t>
      </w:r>
    </w:p>
    <w:p w14:paraId="797DB61E">
      <w:pPr>
        <w:spacing w:line="360" w:lineRule="auto"/>
        <w:ind w:firstLine="480" w:firstLineChars="200"/>
        <w:rPr>
          <w:rFonts w:hint="eastAsia" w:ascii="宋体" w:hAnsi="宋体"/>
          <w:bCs/>
          <w:color w:val="000000"/>
          <w:szCs w:val="24"/>
        </w:rPr>
      </w:pPr>
      <w:r>
        <w:rPr>
          <w:rFonts w:hint="eastAsia" w:ascii="宋体" w:hAnsi="宋体"/>
          <w:bCs/>
          <w:color w:val="000000"/>
          <w:szCs w:val="24"/>
        </w:rPr>
        <w:t>（1）若仪器发生问题，</w:t>
      </w:r>
      <w:r>
        <w:rPr>
          <w:rFonts w:hint="eastAsia" w:ascii="宋体" w:hAnsi="宋体"/>
          <w:bCs/>
          <w:color w:val="000000"/>
          <w:szCs w:val="24"/>
          <w:lang w:eastAsia="zh-CN"/>
        </w:rPr>
        <w:t>及时</w:t>
      </w:r>
      <w:r>
        <w:rPr>
          <w:rFonts w:hint="eastAsia" w:ascii="宋体" w:hAnsi="宋体"/>
          <w:bCs/>
          <w:color w:val="000000"/>
          <w:szCs w:val="24"/>
        </w:rPr>
        <w:t>对问题进行答复，指导。若确认仪器发生故障，工程师48小时内赶到现场维修。</w:t>
      </w:r>
    </w:p>
    <w:p w14:paraId="499E45DD">
      <w:pPr>
        <w:spacing w:line="360" w:lineRule="auto"/>
        <w:ind w:firstLine="480" w:firstLineChars="200"/>
        <w:rPr>
          <w:rFonts w:hint="eastAsia" w:ascii="宋体" w:hAnsi="宋体"/>
          <w:bCs/>
          <w:color w:val="000000"/>
          <w:szCs w:val="24"/>
        </w:rPr>
      </w:pPr>
      <w:r>
        <w:rPr>
          <w:rFonts w:hint="eastAsia" w:ascii="宋体" w:hAnsi="宋体"/>
          <w:bCs/>
          <w:color w:val="000000"/>
          <w:szCs w:val="24"/>
        </w:rPr>
        <w:t>（2）</w:t>
      </w:r>
      <w:r>
        <w:rPr>
          <w:rFonts w:hint="eastAsia" w:ascii="宋体" w:hAnsi="宋体"/>
          <w:bCs/>
          <w:color w:val="000000"/>
          <w:szCs w:val="24"/>
          <w:lang w:val="en-US" w:eastAsia="zh-CN"/>
        </w:rPr>
        <w:t>所投产品</w:t>
      </w:r>
      <w:r>
        <w:rPr>
          <w:rFonts w:hint="eastAsia" w:ascii="宋体" w:hAnsi="宋体"/>
          <w:bCs/>
          <w:color w:val="000000"/>
          <w:szCs w:val="24"/>
        </w:rPr>
        <w:t>制造商</w:t>
      </w:r>
      <w:r>
        <w:rPr>
          <w:rFonts w:hint="eastAsia" w:ascii="宋体" w:hAnsi="宋体"/>
          <w:bCs/>
          <w:color w:val="000000"/>
          <w:szCs w:val="24"/>
          <w:lang w:val="en-US" w:eastAsia="zh-CN"/>
        </w:rPr>
        <w:t>在</w:t>
      </w:r>
      <w:r>
        <w:rPr>
          <w:rFonts w:hint="eastAsia" w:ascii="宋体" w:hAnsi="宋体"/>
          <w:bCs/>
          <w:color w:val="000000"/>
          <w:szCs w:val="24"/>
        </w:rPr>
        <w:t>国内有工厂</w:t>
      </w:r>
      <w:r>
        <w:rPr>
          <w:rFonts w:hint="eastAsia" w:ascii="宋体" w:hAnsi="宋体"/>
          <w:bCs/>
          <w:color w:val="000000"/>
          <w:szCs w:val="24"/>
          <w:lang w:eastAsia="zh-CN"/>
        </w:rPr>
        <w:t>，</w:t>
      </w:r>
      <w:r>
        <w:rPr>
          <w:rFonts w:hint="eastAsia" w:ascii="宋体" w:hAnsi="宋体"/>
          <w:bCs/>
          <w:color w:val="000000"/>
          <w:szCs w:val="24"/>
          <w:lang w:val="en-US" w:eastAsia="zh-CN"/>
        </w:rPr>
        <w:t>同时具</w:t>
      </w:r>
      <w:r>
        <w:rPr>
          <w:rFonts w:hint="eastAsia" w:ascii="宋体" w:hAnsi="宋体"/>
          <w:bCs/>
          <w:color w:val="000000"/>
          <w:szCs w:val="24"/>
        </w:rPr>
        <w:t>有专业技术服务工程师团队，必要时可提供现场技术支持。</w:t>
      </w:r>
    </w:p>
    <w:p w14:paraId="5763279D">
      <w:pPr>
        <w:spacing w:line="360" w:lineRule="auto"/>
        <w:ind w:firstLine="480" w:firstLineChars="200"/>
        <w:rPr>
          <w:rFonts w:hint="eastAsia" w:ascii="宋体" w:hAnsi="宋体"/>
          <w:bCs/>
          <w:color w:val="000000"/>
          <w:szCs w:val="24"/>
        </w:rPr>
      </w:pPr>
      <w:r>
        <w:rPr>
          <w:rFonts w:hint="eastAsia" w:ascii="宋体" w:hAnsi="宋体"/>
          <w:bCs/>
          <w:color w:val="000000"/>
          <w:szCs w:val="24"/>
        </w:rPr>
        <w:t>（3）</w:t>
      </w:r>
      <w:r>
        <w:rPr>
          <w:rFonts w:hint="eastAsia" w:ascii="宋体" w:hAnsi="宋体"/>
          <w:bCs/>
          <w:color w:val="000000"/>
          <w:szCs w:val="24"/>
          <w:lang w:val="en-US" w:eastAsia="zh-CN"/>
        </w:rPr>
        <w:t>所投产品</w:t>
      </w:r>
      <w:r>
        <w:rPr>
          <w:rFonts w:hint="eastAsia" w:ascii="宋体" w:hAnsi="宋体"/>
          <w:bCs/>
          <w:color w:val="000000"/>
          <w:szCs w:val="24"/>
        </w:rPr>
        <w:t>制造商在国内应具有维修中心，若仪器出现故障，应在中国内地具有维修能力，而无需寄回国外原厂进行维修。</w:t>
      </w:r>
    </w:p>
    <w:p w14:paraId="2C667B2F">
      <w:pPr>
        <w:spacing w:line="360" w:lineRule="auto"/>
        <w:ind w:firstLine="480" w:firstLineChars="200"/>
        <w:rPr>
          <w:rFonts w:hint="eastAsia" w:ascii="宋体" w:hAnsi="宋体"/>
          <w:bCs/>
          <w:color w:val="000000"/>
          <w:szCs w:val="24"/>
        </w:rPr>
      </w:pPr>
      <w:r>
        <w:rPr>
          <w:rFonts w:hint="eastAsia" w:ascii="宋体" w:hAnsi="宋体"/>
          <w:bCs/>
          <w:color w:val="000000"/>
          <w:szCs w:val="24"/>
        </w:rPr>
        <w:t>2、安装调试及质保：</w:t>
      </w:r>
    </w:p>
    <w:p w14:paraId="645A2F0F">
      <w:pPr>
        <w:spacing w:line="360" w:lineRule="auto"/>
        <w:ind w:firstLine="480" w:firstLineChars="200"/>
        <w:rPr>
          <w:rFonts w:hint="eastAsia" w:ascii="宋体" w:hAnsi="宋体"/>
          <w:bCs/>
          <w:color w:val="000000"/>
          <w:szCs w:val="24"/>
        </w:rPr>
      </w:pPr>
      <w:r>
        <w:rPr>
          <w:rFonts w:hint="eastAsia" w:ascii="宋体" w:hAnsi="宋体"/>
          <w:bCs/>
          <w:color w:val="000000"/>
          <w:szCs w:val="24"/>
        </w:rPr>
        <w:t>仪器到达所在地后，在接到用户通知后2周内要执行安装调试。</w:t>
      </w:r>
    </w:p>
    <w:p w14:paraId="1CB7D1BA">
      <w:pPr>
        <w:spacing w:line="360" w:lineRule="auto"/>
        <w:ind w:firstLine="480" w:firstLineChars="200"/>
        <w:rPr>
          <w:rFonts w:hint="eastAsia" w:ascii="宋体" w:hAnsi="宋体"/>
          <w:bCs/>
          <w:color w:val="000000"/>
          <w:szCs w:val="24"/>
        </w:rPr>
      </w:pPr>
      <w:r>
        <w:rPr>
          <w:rFonts w:hint="eastAsia" w:ascii="宋体" w:hAnsi="宋体"/>
          <w:bCs/>
          <w:color w:val="000000"/>
          <w:szCs w:val="24"/>
        </w:rPr>
        <w:t>3、培训：</w:t>
      </w:r>
    </w:p>
    <w:p w14:paraId="0715E770">
      <w:pPr>
        <w:spacing w:line="360" w:lineRule="auto"/>
        <w:ind w:firstLine="480" w:firstLineChars="200"/>
        <w:rPr>
          <w:rFonts w:hint="eastAsia" w:ascii="宋体" w:hAnsi="宋体"/>
          <w:bCs/>
          <w:color w:val="000000"/>
          <w:szCs w:val="24"/>
        </w:rPr>
      </w:pPr>
      <w:r>
        <w:rPr>
          <w:rFonts w:hint="eastAsia" w:ascii="宋体" w:hAnsi="宋体"/>
          <w:bCs/>
          <w:color w:val="000000"/>
          <w:szCs w:val="24"/>
        </w:rPr>
        <w:t>在用户现场对用户为期2天的培训。培训内容包括：仪器的技术原理、操作、数据处理、基本维护等。</w:t>
      </w:r>
    </w:p>
    <w:p w14:paraId="5D218B4E">
      <w:pPr>
        <w:pStyle w:val="3"/>
        <w:ind w:firstLine="0" w:firstLineChars="0"/>
      </w:pPr>
      <w:r>
        <w:rPr>
          <w:rFonts w:hint="eastAsia"/>
        </w:rPr>
        <w:t>四、报价要求</w:t>
      </w:r>
    </w:p>
    <w:p w14:paraId="5D218B50">
      <w:pPr>
        <w:spacing w:line="360" w:lineRule="auto"/>
        <w:ind w:firstLine="480" w:firstLineChars="200"/>
        <w:rPr>
          <w:rFonts w:hint="eastAsia"/>
          <w:color w:val="000000"/>
          <w:szCs w:val="24"/>
        </w:rPr>
      </w:pPr>
      <w:r>
        <w:rPr>
          <w:rFonts w:hint="eastAsia" w:ascii="宋体" w:hAnsi="宋体"/>
          <w:bCs/>
          <w:color w:val="000000"/>
          <w:szCs w:val="24"/>
        </w:rPr>
        <w:t>本项目须报投标总价，投标总价包含完成所投包别项目产生的一切费用（仪器设备安装调试所需要的人工、材料、工具等均由中标人负责提供，所需费用包含在投标总报价内），履约期间采购人不再追加任何费用，投标人自行考虑报价风险。</w:t>
      </w:r>
    </w:p>
    <w:p w14:paraId="4198C75C">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26EC1"/>
    <w:multiLevelType w:val="singleLevel"/>
    <w:tmpl w:val="07F26E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50EFE"/>
    <w:rsid w:val="7815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微软简标宋" w:hAnsi="@微软简标宋" w:eastAsia="@微软简标宋" w:cs="@微软简标宋"/>
      <w:szCs w:val="24"/>
    </w:rPr>
  </w:style>
  <w:style w:type="paragraph" w:styleId="5">
    <w:name w:val="Body Text Indent"/>
    <w:basedOn w:val="1"/>
    <w:unhideWhenUsed/>
    <w:qFormat/>
    <w:uiPriority w:val="99"/>
    <w:pPr>
      <w:ind w:firstLine="645"/>
    </w:pPr>
    <w:rPr>
      <w:rFonts w:ascii="楷体_GB2312" w:eastAsia="楷体_GB2312"/>
      <w:sz w:val="32"/>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5"/>
    <w:unhideWhenUsed/>
    <w:qFormat/>
    <w:uiPriority w:val="99"/>
    <w:pPr>
      <w:ind w:left="420" w:firstLine="420" w:firstLineChars="200"/>
    </w:pPr>
    <w:rPr>
      <w:rFonts w:ascii="Times New Roman" w:cs="Times New Roman"/>
    </w:rPr>
  </w:style>
  <w:style w:type="paragraph" w:customStyle="1" w:styleId="10">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2026-04-10T09:46:00Z</dcterms:created>
  <dc:creator>安天</dc:creator>
  <cp:lastModifiedBy>安天</cp:lastModifiedBy>
  <dcterms:modified xsi:type="dcterms:W3CDTF">2026-04-10T09:46:36Z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C6058BF9EF66448083870E54177C0502_11</vt:lpwstr>
  </property>
  <property fmtid="{D5CDD505-2E9C-101B-9397-08002B2CF9AE}" pid="4" name="KSOTemplateDocerSaveRecord">
    <vt:lpwstr>eyJoZGlkIjoiN2YzNjBkOTgyNWQ1YTMxYzM3MzMwNWFiODNmOWIzYWMiLCJ1c2VySWQiOiIyOTgxMTI1OTkifQ==</vt:lpwstr>
  </property>
</Properties>
</file>