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C5F1">
      <w:pPr>
        <w:spacing w:line="360" w:lineRule="auto"/>
        <w:ind w:firstLine="437"/>
        <w:jc w:val="center"/>
        <w:outlineLvl w:val="1"/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1"/>
          <w:szCs w:val="21"/>
          <w:highlight w:val="none"/>
          <w:lang w:val="en-US" w:eastAsia="zh-CN"/>
        </w:rPr>
        <w:t>采购需求</w:t>
      </w:r>
    </w:p>
    <w:p w14:paraId="557B2422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一、采购需求前附表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5426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5A3E241F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63023282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3217" w:type="pct"/>
            <w:noWrap w:val="0"/>
            <w:vAlign w:val="center"/>
          </w:tcPr>
          <w:p w14:paraId="6A12F34A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2DE9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5F022C8C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2911BE77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3217" w:type="pct"/>
            <w:noWrap w:val="0"/>
            <w:vAlign w:val="center"/>
          </w:tcPr>
          <w:p w14:paraId="4F6B6CAC">
            <w:pPr>
              <w:pStyle w:val="12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1"/>
                <w:szCs w:val="21"/>
                <w:highlight w:val="none"/>
                <w:u w:val="single"/>
              </w:rPr>
              <w:t xml:space="preserve">   安徽省     </w:t>
            </w:r>
          </w:p>
        </w:tc>
      </w:tr>
      <w:tr w14:paraId="7357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4355B7B0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514EC90A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3217" w:type="pct"/>
            <w:noWrap w:val="0"/>
            <w:vAlign w:val="center"/>
          </w:tcPr>
          <w:p w14:paraId="5E2AC1D8">
            <w:pPr>
              <w:pStyle w:val="12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1"/>
                <w:szCs w:val="21"/>
                <w:highlight w:val="none"/>
                <w:u w:val="single"/>
              </w:rPr>
              <w:t xml:space="preserve">   2025年11月中旬至2026年11月中旬，活动时间为每周周五、周六 、周日及暑期、国庆、春节等热门档期期间 </w:t>
            </w:r>
            <w:r>
              <w:rPr>
                <w:rFonts w:hint="eastAsia" w:ascii="宋体" w:hAnsi="宋体" w:eastAsia="宋体"/>
                <w:b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，若活动结束时，活动资金未使用完毕，则平台延长活动时间，直至资金全部用完。</w:t>
            </w:r>
            <w:r>
              <w:rPr>
                <w:rFonts w:hint="eastAsia" w:ascii="宋体" w:hAnsi="宋体" w:eastAsia="宋体"/>
                <w:b w:val="0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</w:p>
        </w:tc>
      </w:tr>
      <w:tr w14:paraId="6297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5D818379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92" w:type="pct"/>
            <w:noWrap w:val="0"/>
            <w:vAlign w:val="center"/>
          </w:tcPr>
          <w:p w14:paraId="00FB058F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1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3217" w:type="pct"/>
            <w:noWrap w:val="0"/>
            <w:vAlign w:val="center"/>
          </w:tcPr>
          <w:p w14:paraId="638BF702">
            <w:pPr>
              <w:spacing w:line="360" w:lineRule="auto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标的名称：共享皖美时光——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2025安徽省惠民观影活动</w:t>
            </w:r>
          </w:p>
          <w:p w14:paraId="1F59DCD6">
            <w:pPr>
              <w:spacing w:line="360" w:lineRule="auto"/>
              <w:jc w:val="left"/>
              <w:rPr>
                <w:rFonts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所属行业：其他未列明行业</w:t>
            </w:r>
          </w:p>
        </w:tc>
      </w:tr>
    </w:tbl>
    <w:p w14:paraId="525B9184">
      <w:pPr>
        <w:numPr>
          <w:ilvl w:val="0"/>
          <w:numId w:val="0"/>
        </w:numPr>
        <w:spacing w:line="360" w:lineRule="auto"/>
        <w:outlineLvl w:val="9"/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val="en-US" w:eastAsia="zh-CN"/>
        </w:rPr>
      </w:pPr>
      <w:bookmarkStart w:id="0" w:name="_Toc16543"/>
      <w:bookmarkStart w:id="1" w:name="_Hlk16461016"/>
    </w:p>
    <w:bookmarkEnd w:id="0"/>
    <w:p w14:paraId="40800886">
      <w:pPr>
        <w:spacing w:line="400" w:lineRule="exact"/>
        <w:ind w:firstLine="482" w:firstLineChars="200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二、服务</w:t>
      </w:r>
      <w:r>
        <w:rPr>
          <w:rFonts w:hint="eastAsia" w:ascii="宋体" w:hAnsi="宋体" w:eastAsia="宋体" w:cs="宋体"/>
          <w:b/>
          <w:sz w:val="24"/>
          <w:szCs w:val="24"/>
        </w:rPr>
        <w:t>要求</w:t>
      </w:r>
    </w:p>
    <w:p w14:paraId="3D874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一</w:t>
      </w:r>
      <w:r>
        <w:rPr>
          <w:rFonts w:hint="eastAsia" w:ascii="宋体" w:hAnsi="宋体" w:eastAsia="宋体" w:cs="宋体"/>
          <w:i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Cs/>
          <w:sz w:val="24"/>
          <w:szCs w:val="24"/>
        </w:rPr>
        <w:t>、活动内容</w:t>
      </w:r>
    </w:p>
    <w:p w14:paraId="386A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（一）主题：共享皖美时光——</w:t>
      </w:r>
      <w:r>
        <w:rPr>
          <w:rFonts w:hint="eastAsia" w:ascii="宋体" w:hAnsi="宋体" w:eastAsia="宋体" w:cs="宋体"/>
          <w:iCs/>
          <w:sz w:val="24"/>
          <w:szCs w:val="24"/>
          <w:lang w:eastAsia="zh-CN"/>
        </w:rPr>
        <w:t>2025安徽省惠民观影活动</w:t>
      </w:r>
      <w:r>
        <w:rPr>
          <w:rFonts w:hint="eastAsia" w:ascii="宋体" w:hAnsi="宋体" w:eastAsia="宋体" w:cs="宋体"/>
          <w:iCs/>
          <w:sz w:val="24"/>
          <w:szCs w:val="24"/>
        </w:rPr>
        <w:t>。</w:t>
      </w:r>
    </w:p>
    <w:p w14:paraId="76F0C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（二）时间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及日投放量</w:t>
      </w:r>
      <w:r>
        <w:rPr>
          <w:rFonts w:hint="eastAsia" w:ascii="宋体" w:hAnsi="宋体" w:eastAsia="宋体" w:cs="宋体"/>
          <w:iCs/>
          <w:sz w:val="24"/>
          <w:szCs w:val="24"/>
        </w:rPr>
        <w:t>：2025年11月中旬至2026年11月中旬，活动时间为每周周五、周六 、周日及暑期、国庆、春节等热门档期期间。每周周五、周六 、周日及暑期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档</w:t>
      </w:r>
      <w:r>
        <w:rPr>
          <w:rFonts w:hint="eastAsia" w:ascii="宋体" w:hAnsi="宋体" w:eastAsia="宋体" w:cs="宋体"/>
          <w:iCs/>
          <w:sz w:val="24"/>
          <w:szCs w:val="24"/>
        </w:rPr>
        <w:t>每日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最高</w:t>
      </w:r>
      <w:r>
        <w:rPr>
          <w:rFonts w:hint="eastAsia" w:ascii="宋体" w:hAnsi="宋体" w:eastAsia="宋体" w:cs="宋体"/>
          <w:iCs/>
          <w:sz w:val="24"/>
          <w:szCs w:val="24"/>
        </w:rPr>
        <w:t>发放3000张消费券；国庆、春节等热门档期每日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最高</w:t>
      </w:r>
      <w:r>
        <w:rPr>
          <w:rFonts w:hint="eastAsia" w:ascii="宋体" w:hAnsi="宋体" w:eastAsia="宋体" w:cs="宋体"/>
          <w:iCs/>
          <w:sz w:val="24"/>
          <w:szCs w:val="24"/>
        </w:rPr>
        <w:t>发放10000张</w:t>
      </w:r>
      <w:r>
        <w:rPr>
          <w:rFonts w:hint="eastAsia" w:ascii="宋体" w:hAnsi="宋体" w:eastAsia="宋体" w:cs="宋体"/>
          <w:iCs/>
          <w:sz w:val="24"/>
          <w:szCs w:val="24"/>
          <w:lang w:eastAsia="zh-CN"/>
        </w:rPr>
        <w:t>。</w:t>
      </w:r>
    </w:p>
    <w:p w14:paraId="33EF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（三）方式：省委宣传部、省电影局联合相关平台（以招标形式确定），采用购票直接立减、发放抵扣券等形式</w:t>
      </w:r>
      <w:r>
        <w:rPr>
          <w:rFonts w:hint="eastAsia" w:ascii="宋体" w:hAnsi="宋体" w:eastAsia="宋体" w:cs="宋体"/>
          <w:iCs/>
          <w:sz w:val="24"/>
          <w:szCs w:val="24"/>
          <w:u w:val="none"/>
        </w:rPr>
        <w:t>开展惠民观影，促进电影消费</w:t>
      </w:r>
      <w:r>
        <w:rPr>
          <w:rFonts w:hint="eastAsia" w:ascii="宋体" w:hAnsi="宋体" w:eastAsia="宋体" w:cs="宋体"/>
          <w:iCs/>
          <w:sz w:val="24"/>
          <w:szCs w:val="24"/>
        </w:rPr>
        <w:t>。</w:t>
      </w:r>
    </w:p>
    <w:p w14:paraId="2CE7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二</w:t>
      </w:r>
      <w:r>
        <w:rPr>
          <w:rFonts w:hint="eastAsia" w:ascii="宋体" w:hAnsi="宋体" w:eastAsia="宋体" w:cs="宋体"/>
          <w:i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Cs/>
          <w:sz w:val="24"/>
          <w:szCs w:val="24"/>
        </w:rPr>
        <w:t>、资金使用</w:t>
      </w:r>
    </w:p>
    <w:p w14:paraId="3C3E498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使用方式</w:t>
      </w:r>
    </w:p>
    <w:p w14:paraId="6F4D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  <w:t>★</w:t>
      </w:r>
      <w:r>
        <w:rPr>
          <w:rFonts w:hint="eastAsia" w:ascii="宋体" w:hAnsi="宋体" w:eastAsia="宋体" w:cs="宋体"/>
          <w:iCs/>
          <w:sz w:val="24"/>
          <w:szCs w:val="24"/>
        </w:rPr>
        <w:t>1.活动资金（含电影专资1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Cs/>
          <w:sz w:val="24"/>
          <w:szCs w:val="24"/>
        </w:rPr>
        <w:t>00万元及投标人配套资金）在签订合同后7日内由中标人先行垫付，省委宣传部在完成招标并签订合同后7日内，支付合同价款（1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Cs/>
          <w:sz w:val="24"/>
          <w:szCs w:val="24"/>
        </w:rPr>
        <w:t>00万元）的70%，待活动结束并完成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验收</w:t>
      </w:r>
      <w:r>
        <w:rPr>
          <w:rFonts w:hint="eastAsia" w:ascii="宋体" w:hAnsi="宋体" w:eastAsia="宋体" w:cs="宋体"/>
          <w:iCs/>
          <w:sz w:val="24"/>
          <w:szCs w:val="24"/>
        </w:rPr>
        <w:t>后，支付合同价款的30%。</w:t>
      </w:r>
    </w:p>
    <w:p w14:paraId="77666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default" w:ascii="宋体" w:hAnsi="宋体" w:eastAsia="宋体" w:cs="宋体"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  <w:t>★</w:t>
      </w:r>
      <w:r>
        <w:rPr>
          <w:rFonts w:hint="eastAsia" w:ascii="宋体" w:hAnsi="宋体" w:eastAsia="宋体" w:cs="宋体"/>
          <w:iCs/>
          <w:sz w:val="24"/>
          <w:szCs w:val="24"/>
        </w:rPr>
        <w:t>2.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投标人为本项目开展</w:t>
      </w:r>
      <w:r>
        <w:rPr>
          <w:rFonts w:hint="eastAsia" w:ascii="宋体" w:hAnsi="宋体" w:eastAsia="宋体" w:cs="宋体"/>
          <w:iCs/>
          <w:sz w:val="24"/>
          <w:szCs w:val="24"/>
        </w:rPr>
        <w:t>“电影+”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iCs/>
          <w:sz w:val="24"/>
          <w:szCs w:val="24"/>
        </w:rPr>
        <w:t>。通过资源联动，开展电影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+演艺</w:t>
      </w:r>
      <w:r>
        <w:rPr>
          <w:rFonts w:hint="eastAsia" w:ascii="宋体" w:hAnsi="宋体" w:eastAsia="宋体" w:cs="宋体"/>
          <w:iCs/>
          <w:sz w:val="24"/>
          <w:szCs w:val="24"/>
        </w:rPr>
        <w:t>+美食+旅游等促消费活动。</w:t>
      </w:r>
      <w:r>
        <w:rPr>
          <w:rFonts w:hint="eastAsia" w:ascii="宋体" w:hAnsi="宋体" w:eastAsia="宋体" w:cs="宋体"/>
          <w:i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Cs/>
          <w:sz w:val="24"/>
          <w:szCs w:val="24"/>
        </w:rPr>
        <w:t>.依托演艺票务平台，开展购演唱会、音乐节、舞台剧等门票送电影优惠券活动，将观演人群引流至影院。</w:t>
      </w:r>
      <w:r>
        <w:rPr>
          <w:rFonts w:hint="eastAsia" w:ascii="宋体" w:hAnsi="宋体" w:eastAsia="宋体" w:cs="宋体"/>
          <w:i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Cs/>
          <w:sz w:val="24"/>
          <w:szCs w:val="24"/>
        </w:rPr>
        <w:t>.依托饿了么、美团、飞猪等平台，在观众购买电影票时，同步发放美食、旅游优惠券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。</w:t>
      </w:r>
    </w:p>
    <w:p w14:paraId="02D6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iCs/>
          <w:sz w:val="24"/>
          <w:szCs w:val="24"/>
        </w:rPr>
        <w:t>省级电影专资1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Cs/>
          <w:sz w:val="24"/>
          <w:szCs w:val="24"/>
        </w:rPr>
        <w:t>00万元，用于开展单票立减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iCs/>
          <w:sz w:val="24"/>
          <w:szCs w:val="24"/>
        </w:rPr>
        <w:t>元补贴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活动、双人观影20元优惠券、影演联动</w:t>
      </w:r>
      <w:r>
        <w:rPr>
          <w:rFonts w:hint="eastAsia" w:ascii="宋体" w:hAnsi="宋体" w:eastAsia="宋体" w:cs="宋体"/>
          <w:iCs/>
          <w:sz w:val="24"/>
          <w:szCs w:val="24"/>
        </w:rPr>
        <w:t>；投标人配套资金，</w:t>
      </w:r>
      <w:r>
        <w:rPr>
          <w:rFonts w:hint="eastAsia" w:ascii="宋体" w:hAnsi="宋体" w:eastAsia="宋体" w:cs="宋体"/>
          <w:iCs/>
          <w:sz w:val="24"/>
          <w:lang w:eastAsia="zh-CN"/>
        </w:rPr>
        <w:t>用于开展电影票购票立减、买一赠一、一口价及不等额红包等</w:t>
      </w:r>
      <w:r>
        <w:rPr>
          <w:rFonts w:hint="eastAsia" w:ascii="宋体" w:hAnsi="宋体" w:eastAsia="宋体" w:cs="宋体"/>
          <w:iCs/>
          <w:sz w:val="24"/>
          <w:szCs w:val="24"/>
        </w:rPr>
        <w:t>多种活动。</w:t>
      </w:r>
    </w:p>
    <w:p w14:paraId="21D9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（二）使用流程</w:t>
      </w:r>
    </w:p>
    <w:p w14:paraId="30064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  <w:t>★</w:t>
      </w:r>
      <w:r>
        <w:rPr>
          <w:rFonts w:hint="eastAsia" w:ascii="宋体" w:hAnsi="宋体" w:eastAsia="宋体" w:cs="宋体"/>
          <w:iCs/>
          <w:sz w:val="24"/>
          <w:szCs w:val="24"/>
        </w:rPr>
        <w:t>1.合作平台设立“安徽省惠民观影活动”资金池，在合同签订后7日内，将全部活动资金放入该资金池（含电影专资1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Cs/>
          <w:sz w:val="24"/>
          <w:szCs w:val="24"/>
        </w:rPr>
        <w:t>00万元及平台配套资金），确保专款专用。</w:t>
      </w:r>
    </w:p>
    <w:p w14:paraId="4826D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  <w:t>★</w:t>
      </w:r>
      <w:r>
        <w:rPr>
          <w:rFonts w:hint="eastAsia" w:ascii="宋体" w:hAnsi="宋体" w:eastAsia="宋体" w:cs="宋体"/>
          <w:iCs/>
          <w:sz w:val="24"/>
          <w:szCs w:val="24"/>
        </w:rPr>
        <w:t>2.在平台首页开设“安徽省惠民观影活动”专题页面，用户可通过点击页面参与领券活动；或在微信等相关平台领取相应抵扣券。</w:t>
      </w:r>
    </w:p>
    <w:p w14:paraId="090D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  <w:t>★</w:t>
      </w:r>
      <w:r>
        <w:rPr>
          <w:rFonts w:hint="eastAsia" w:ascii="宋体" w:hAnsi="宋体" w:eastAsia="宋体" w:cs="宋体"/>
          <w:iCs/>
          <w:sz w:val="24"/>
          <w:szCs w:val="24"/>
        </w:rPr>
        <w:t>3.在用户购买电影票使用优惠券时，活动资金将随订单及时支付，相关票款及时拨付到影院。</w:t>
      </w:r>
    </w:p>
    <w:p w14:paraId="27C40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  <w:t>★</w:t>
      </w:r>
      <w:r>
        <w:rPr>
          <w:rFonts w:hint="eastAsia" w:ascii="宋体" w:hAnsi="宋体" w:eastAsia="宋体" w:cs="宋体"/>
          <w:iCs/>
          <w:sz w:val="24"/>
          <w:szCs w:val="24"/>
        </w:rPr>
        <w:t>4.若当日活动经费有结余的，结余资金将滚动至下一活动日中执行；若活动结束时，活动资金未使用完毕，则平台延长活动时间，直至资金全部用完。</w:t>
      </w:r>
    </w:p>
    <w:p w14:paraId="43F66758">
      <w:pPr>
        <w:spacing w:line="360" w:lineRule="auto"/>
        <w:ind w:firstLine="437"/>
        <w:outlineLvl w:val="1"/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u w:val="single"/>
          <w:lang w:val="en-US" w:eastAsia="zh-CN"/>
        </w:rPr>
        <w:t>注：“</w:t>
      </w:r>
      <w:r>
        <w:rPr>
          <w:rFonts w:hint="eastAsia" w:ascii="宋体" w:hAnsi="宋体" w:eastAsia="宋体" w:cs="宋体"/>
          <w:b/>
          <w:bCs/>
          <w:i w:val="0"/>
          <w:iCs/>
          <w:sz w:val="24"/>
          <w:highlight w:val="none"/>
          <w:shd w:val="clear" w:color="auto" w:fill="FFFFFF"/>
        </w:rPr>
        <w:t>★</w:t>
      </w:r>
      <w:r>
        <w:rPr>
          <w:rFonts w:hint="eastAsia" w:ascii="宋体" w:hAnsi="宋体" w:eastAsia="宋体" w:cs="宋体"/>
          <w:b/>
          <w:bCs/>
          <w:i w:val="0"/>
          <w:iCs/>
          <w:sz w:val="24"/>
          <w:szCs w:val="24"/>
          <w:u w:val="single"/>
          <w:lang w:val="en-US" w:eastAsia="zh-CN"/>
        </w:rPr>
        <w:t>”项为必须满足项，不满足或负偏离的响应其投标将被否决。</w:t>
      </w:r>
    </w:p>
    <w:bookmarkEnd w:id="1"/>
    <w:p w14:paraId="607A23ED">
      <w:pPr>
        <w:pStyle w:val="7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eastAsia="zh-CN"/>
        </w:rPr>
      </w:pPr>
    </w:p>
    <w:p w14:paraId="473A2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验收标准</w:t>
      </w:r>
    </w:p>
    <w:p w14:paraId="000729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应保质保量按时按约完成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招标需求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规定的各项工作，并于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跟踪审计过程中和项目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完成时按要求递交相关成果及佐证材料等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B3793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在服务期内随时接受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对服务实施情况进行的跟踪审计，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需对跟踪审计发现的问题及时加以整改纠正，跟踪审计情况将作为验收的重要组成部分。完成项目内容后，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应及时向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发出书面验收申请，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在收到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书面验收申请后，组织实施验收和履约评价。</w:t>
      </w:r>
    </w:p>
    <w:p w14:paraId="5815A7F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将对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的项目质量进行客观评估。验收小组完成验收后出具验收（评审）意见。</w:t>
      </w:r>
    </w:p>
    <w:p w14:paraId="2A29E7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4.对验收通过的项目，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将按照合同如期支付合同款。</w:t>
      </w:r>
    </w:p>
    <w:p w14:paraId="6C07C1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>5.对验收未通过的项目，将按合同约定要求供应商限期整改。对无法整改或整改后仍未达到合同要求的项目，将按验收不通过处理。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536C5"/>
    <w:multiLevelType w:val="multilevel"/>
    <w:tmpl w:val="373536C5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9ED"/>
    <w:rsid w:val="13B81064"/>
    <w:rsid w:val="1D6B6159"/>
    <w:rsid w:val="28981F1C"/>
    <w:rsid w:val="2B6D0468"/>
    <w:rsid w:val="4950147D"/>
    <w:rsid w:val="4CF94D1E"/>
    <w:rsid w:val="62C005B3"/>
    <w:rsid w:val="68EC14C9"/>
    <w:rsid w:val="707C234E"/>
    <w:rsid w:val="71CA4371"/>
    <w:rsid w:val="7F5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640" w:lineRule="exact"/>
      <w:outlineLvl w:val="0"/>
    </w:pPr>
    <w:rPr>
      <w:rFonts w:ascii="Times New Roman" w:hAnsi="Times New Roman" w:eastAsia="黑体" w:cs="Times New Roman"/>
      <w:color w:val="000000"/>
      <w:spacing w:val="11"/>
      <w:kern w:val="21"/>
      <w:sz w:val="28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Theme="minorAscii" w:hAnsiTheme="minorAscii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afterLines="0" w:line="360" w:lineRule="auto"/>
      <w:jc w:val="center"/>
      <w:outlineLvl w:val="3"/>
    </w:pPr>
    <w:rPr>
      <w:rFonts w:ascii="Arial" w:hAnsi="Arial" w:eastAsia="宋体"/>
      <w:b/>
      <w:sz w:val="2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qFormat/>
    <w:uiPriority w:val="0"/>
    <w:rPr>
      <w:rFonts w:eastAsia="黑体"/>
      <w:sz w:val="36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1">
    <w:name w:val="D&amp;L"/>
    <w:basedOn w:val="8"/>
    <w:qFormat/>
    <w:uiPriority w:val="99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paragraph" w:customStyle="1" w:styleId="1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2024-12-19T18:23:00Z</dcterms:created>
  <dc:creator>业务四部</dc:creator>
  <cp:lastModifiedBy>AT</cp:lastModifiedBy>
  <dcterms:modified xsi:type="dcterms:W3CDTF">2025-10-29T09:30:39Z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48819E26CB1B44898FE00C82A25D81FB_12</vt:lpwstr>
  </property>
  <property fmtid="{D5CDD505-2E9C-101B-9397-08002B2CF9AE}" pid="4" name="KSOTemplateDocerSaveRecord">
    <vt:lpwstr>eyJoZGlkIjoiYmQ3NjQxYmZmN2ZkODIxYWNiNTEzMzQyMTZmNzQ1MmMiLCJ1c2VySWQiOiIzMDc5OTY3MDEifQ==</vt:lpwstr>
  </property>
</Properties>
</file>