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DF6AC">
      <w:pPr>
        <w:pStyle w:val="2"/>
        <w:rPr>
          <w:rFonts w:hint="eastAsia" w:ascii="方正小标宋_GBK" w:hAnsi="方正小标宋_GBK" w:cs="方正小标宋_GBK"/>
        </w:rPr>
      </w:pPr>
      <w:bookmarkStart w:id="0" w:name="_Toc1698162705"/>
      <w:bookmarkStart w:id="1" w:name="_Toc1919576966"/>
      <w:bookmarkStart w:id="2" w:name="_Toc998780686"/>
      <w:bookmarkStart w:id="3" w:name="_Toc2039865327"/>
      <w:bookmarkStart w:id="4" w:name="_Toc1408663617_WPSOffice_Level1"/>
      <w:bookmarkStart w:id="5" w:name="_Toc1695149163"/>
      <w:bookmarkStart w:id="6" w:name="_Toc517905978"/>
      <w:bookmarkStart w:id="7" w:name="_Toc1127235811"/>
      <w:bookmarkStart w:id="8" w:name="_Toc1932310260"/>
      <w:r>
        <w:rPr>
          <w:rFonts w:hint="eastAsia" w:ascii="方正小标宋_GBK" w:hAnsi="方正小标宋_GBK" w:cs="方正小标宋_GBK"/>
        </w:rPr>
        <w:t>安徽省省属高校政府采购</w:t>
      </w:r>
    </w:p>
    <w:p w14:paraId="68E01C4A">
      <w:pPr>
        <w:pStyle w:val="2"/>
        <w:rPr>
          <w:rFonts w:hint="eastAsia" w:ascii="方正小标宋_GBK" w:hAnsi="方正小标宋_GBK" w:cs="方正小标宋_GBK"/>
        </w:rPr>
      </w:pPr>
      <w:r>
        <w:rPr>
          <w:rFonts w:hint="eastAsia" w:ascii="方正小标宋_GBK" w:hAnsi="方正小标宋_GBK" w:cs="方正小标宋_GBK"/>
        </w:rPr>
        <w:t>科研仪器设备类采购项目</w:t>
      </w:r>
      <w:bookmarkStart w:id="53" w:name="_GoBack"/>
      <w:bookmarkEnd w:id="53"/>
      <w:r>
        <w:rPr>
          <w:rFonts w:hint="eastAsia" w:ascii="方正小标宋_GBK" w:hAnsi="方正小标宋_GBK" w:cs="方正小标宋_GBK"/>
        </w:rPr>
        <w:t>采购需求</w:t>
      </w:r>
      <w:bookmarkEnd w:id="0"/>
      <w:bookmarkEnd w:id="1"/>
      <w:bookmarkEnd w:id="2"/>
      <w:bookmarkEnd w:id="3"/>
      <w:bookmarkEnd w:id="4"/>
      <w:bookmarkEnd w:id="5"/>
      <w:bookmarkEnd w:id="6"/>
      <w:bookmarkEnd w:id="7"/>
      <w:bookmarkEnd w:id="8"/>
    </w:p>
    <w:p w14:paraId="1E3F245A">
      <w:pPr>
        <w:spacing w:line="360" w:lineRule="auto"/>
        <w:rPr>
          <w:rFonts w:ascii="宋体" w:hAnsi="宋体" w:eastAsia="宋体"/>
          <w:b/>
          <w:sz w:val="24"/>
        </w:rPr>
      </w:pPr>
      <w:r>
        <w:rPr>
          <w:rFonts w:hint="eastAsia" w:ascii="宋体" w:hAnsi="宋体" w:eastAsia="宋体"/>
          <w:b/>
          <w:sz w:val="24"/>
        </w:rPr>
        <w:t>前注：</w:t>
      </w:r>
    </w:p>
    <w:p w14:paraId="2F74DCA5">
      <w:pPr>
        <w:spacing w:line="360" w:lineRule="auto"/>
        <w:ind w:firstLine="435"/>
        <w:rPr>
          <w:rFonts w:hint="eastAsia" w:ascii="宋体" w:hAnsi="宋体" w:eastAsia="宋体" w:cs="宋体"/>
          <w:sz w:val="24"/>
          <w:szCs w:val="18"/>
        </w:rPr>
      </w:pPr>
      <w:bookmarkStart w:id="9" w:name="_Hlk16461016"/>
      <w:r>
        <w:rPr>
          <w:rFonts w:hint="eastAsia" w:ascii="宋体" w:hAnsi="宋体" w:eastAsia="宋体" w:cs="宋体"/>
          <w:sz w:val="24"/>
        </w:rPr>
        <w:t>1.</w:t>
      </w:r>
      <w:r>
        <w:rPr>
          <w:rFonts w:hint="eastAsia" w:ascii="宋体" w:hAnsi="宋体" w:eastAsia="宋体" w:cs="宋体"/>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39E6EC1A">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1310A8F">
      <w:pPr>
        <w:spacing w:line="360" w:lineRule="auto"/>
        <w:ind w:firstLine="480" w:firstLineChars="200"/>
        <w:jc w:val="left"/>
        <w:rPr>
          <w:rFonts w:hint="eastAsia" w:ascii="宋体" w:hAnsi="宋体" w:eastAsia="宋体" w:cs="宋体"/>
          <w:sz w:val="24"/>
          <w:szCs w:val="18"/>
        </w:rPr>
      </w:pPr>
      <w:r>
        <w:rPr>
          <w:rFonts w:hint="eastAsia" w:ascii="宋体" w:hAnsi="宋体" w:eastAsia="宋体" w:cs="宋体"/>
          <w:sz w:val="24"/>
          <w:szCs w:val="18"/>
        </w:rPr>
        <w:t>3.下列采购需求中：标注</w:t>
      </w:r>
      <w:r>
        <w:rPr>
          <w:rFonts w:hint="eastAsia" w:ascii="宋体" w:hAnsi="宋体" w:eastAsia="宋体" w:cs="宋体"/>
          <w:sz w:val="24"/>
          <w:szCs w:val="24"/>
        </w:rPr>
        <w:t xml:space="preserve">▲ </w:t>
      </w:r>
      <w:r>
        <w:rPr>
          <w:rFonts w:hint="eastAsia" w:ascii="宋体" w:hAnsi="宋体" w:eastAsia="宋体" w:cs="宋体"/>
          <w:sz w:val="24"/>
          <w:szCs w:val="18"/>
        </w:rPr>
        <w:t>的产品（核心产品），投标人在投标文件《主要中标标的承诺函》中填写名称、品牌、规格、型号、数量、单价等信息。</w:t>
      </w:r>
    </w:p>
    <w:p w14:paraId="0A608F9C">
      <w:pPr>
        <w:pStyle w:val="3"/>
        <w:ind w:firstLine="560"/>
      </w:pPr>
      <w:bookmarkStart w:id="10" w:name="_Toc1437377518_WPSOffice_Level2"/>
      <w:bookmarkStart w:id="11" w:name="_Toc1452677390"/>
      <w:bookmarkStart w:id="12" w:name="_Toc1899401549"/>
      <w:bookmarkStart w:id="13" w:name="_Toc2025078090"/>
      <w:bookmarkStart w:id="14" w:name="_Toc382548620"/>
      <w:bookmarkStart w:id="15" w:name="_Toc292361325"/>
      <w:bookmarkStart w:id="16" w:name="_Toc1064185329"/>
      <w:bookmarkStart w:id="17" w:name="_Toc337877615"/>
      <w:r>
        <w:rPr>
          <w:rFonts w:hint="eastAsia"/>
        </w:rPr>
        <w:t>一、采购需求前附表</w:t>
      </w:r>
      <w:bookmarkEnd w:id="10"/>
      <w:bookmarkEnd w:id="11"/>
      <w:bookmarkEnd w:id="12"/>
      <w:bookmarkEnd w:id="13"/>
      <w:bookmarkEnd w:id="14"/>
      <w:bookmarkEnd w:id="15"/>
      <w:bookmarkEnd w:id="16"/>
      <w:bookmarkEnd w:id="17"/>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15"/>
        <w:gridCol w:w="5680"/>
      </w:tblGrid>
      <w:tr w14:paraId="0480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556C6957">
            <w:pPr>
              <w:pStyle w:val="17"/>
              <w:pBdr>
                <w:bottom w:val="none" w:color="auto" w:sz="0" w:space="0"/>
              </w:pBdr>
              <w:tabs>
                <w:tab w:val="clear" w:pos="4153"/>
                <w:tab w:val="clear" w:pos="8306"/>
              </w:tabs>
              <w:adjustRightInd/>
              <w:spacing w:line="240" w:lineRule="auto"/>
              <w:textAlignment w:val="auto"/>
              <w:rPr>
                <w:rFonts w:hint="eastAsia" w:ascii="宋体" w:hAnsi="宋体" w:eastAsia="宋体" w:cs="宋体"/>
                <w:b/>
                <w:kern w:val="2"/>
              </w:rPr>
            </w:pPr>
            <w:r>
              <w:rPr>
                <w:rFonts w:hint="eastAsia" w:ascii="宋体" w:hAnsi="宋体" w:eastAsia="宋体" w:cs="宋体"/>
                <w:b/>
                <w:kern w:val="2"/>
              </w:rPr>
              <w:t>序号</w:t>
            </w:r>
          </w:p>
        </w:tc>
        <w:tc>
          <w:tcPr>
            <w:tcW w:w="2215" w:type="dxa"/>
            <w:noWrap w:val="0"/>
            <w:vAlign w:val="center"/>
          </w:tcPr>
          <w:p w14:paraId="757A2714">
            <w:pPr>
              <w:pStyle w:val="18"/>
              <w:widowControl w:val="0"/>
              <w:spacing w:before="0" w:beforeAutospacing="0" w:after="0" w:afterAutospacing="0" w:line="360" w:lineRule="auto"/>
              <w:rPr>
                <w:rFonts w:hint="eastAsia" w:ascii="宋体" w:hAnsi="宋体" w:eastAsia="宋体" w:cs="宋体"/>
                <w:bCs w:val="0"/>
                <w:sz w:val="24"/>
              </w:rPr>
            </w:pPr>
            <w:r>
              <w:rPr>
                <w:rFonts w:hint="eastAsia" w:ascii="宋体" w:hAnsi="宋体" w:eastAsia="宋体" w:cs="宋体"/>
                <w:bCs w:val="0"/>
                <w:sz w:val="24"/>
              </w:rPr>
              <w:t>条款名称</w:t>
            </w:r>
          </w:p>
        </w:tc>
        <w:tc>
          <w:tcPr>
            <w:tcW w:w="5680" w:type="dxa"/>
            <w:noWrap w:val="0"/>
            <w:vAlign w:val="center"/>
          </w:tcPr>
          <w:p w14:paraId="30453147">
            <w:pPr>
              <w:pStyle w:val="18"/>
              <w:widowControl w:val="0"/>
              <w:spacing w:before="0" w:beforeAutospacing="0" w:after="0" w:afterAutospacing="0" w:line="360" w:lineRule="auto"/>
              <w:rPr>
                <w:rFonts w:hint="eastAsia" w:ascii="宋体" w:hAnsi="宋体" w:eastAsia="宋体" w:cs="宋体"/>
                <w:bCs w:val="0"/>
                <w:sz w:val="24"/>
              </w:rPr>
            </w:pPr>
            <w:r>
              <w:rPr>
                <w:rFonts w:hint="eastAsia" w:ascii="宋体" w:hAnsi="宋体" w:eastAsia="宋体" w:cs="宋体"/>
                <w:bCs w:val="0"/>
                <w:sz w:val="24"/>
              </w:rPr>
              <w:t>内容、说明与要求</w:t>
            </w:r>
          </w:p>
        </w:tc>
      </w:tr>
      <w:tr w14:paraId="5CFE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21C55A36">
            <w:pPr>
              <w:pStyle w:val="17"/>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1</w:t>
            </w:r>
          </w:p>
        </w:tc>
        <w:tc>
          <w:tcPr>
            <w:tcW w:w="2215" w:type="dxa"/>
            <w:noWrap w:val="0"/>
            <w:vAlign w:val="center"/>
          </w:tcPr>
          <w:p w14:paraId="10F991BE">
            <w:pPr>
              <w:pStyle w:val="18"/>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付款方式</w:t>
            </w:r>
          </w:p>
        </w:tc>
        <w:tc>
          <w:tcPr>
            <w:tcW w:w="5680" w:type="dxa"/>
            <w:noWrap w:val="0"/>
            <w:vAlign w:val="center"/>
          </w:tcPr>
          <w:p w14:paraId="31450614">
            <w:pPr>
              <w:pStyle w:val="18"/>
              <w:widowControl w:val="0"/>
              <w:spacing w:before="0" w:beforeAutospacing="0" w:after="0" w:afterAutospacing="0" w:line="360" w:lineRule="auto"/>
              <w:jc w:val="left"/>
              <w:rPr>
                <w:rFonts w:hint="eastAsia" w:ascii="宋体" w:hAnsi="宋体" w:eastAsia="宋体" w:cs="宋体"/>
                <w:b w:val="0"/>
                <w:sz w:val="24"/>
                <w:u w:val="single"/>
              </w:rPr>
            </w:pPr>
            <w:r>
              <w:rPr>
                <w:rFonts w:hint="eastAsia" w:ascii="宋体" w:hAnsi="宋体" w:eastAsia="宋体" w:cs="宋体"/>
                <w:b w:val="0"/>
                <w:sz w:val="24"/>
                <w:u w:val="single"/>
              </w:rPr>
              <w:t>（1）如中标单位为中小企业的，合同签订并收到中标人提供的等额预付款担保后，支付合同价款的40%；</w:t>
            </w:r>
          </w:p>
          <w:p w14:paraId="0B21F3CD">
            <w:pPr>
              <w:pStyle w:val="18"/>
              <w:widowControl w:val="0"/>
              <w:spacing w:before="0" w:beforeAutospacing="0" w:after="0" w:afterAutospacing="0" w:line="360" w:lineRule="auto"/>
              <w:jc w:val="left"/>
              <w:rPr>
                <w:rFonts w:hint="eastAsia" w:ascii="宋体" w:hAnsi="宋体" w:eastAsia="宋体" w:cs="宋体"/>
                <w:b w:val="0"/>
                <w:sz w:val="24"/>
                <w:u w:val="single"/>
              </w:rPr>
            </w:pPr>
            <w:r>
              <w:rPr>
                <w:rFonts w:hint="eastAsia" w:ascii="宋体" w:hAnsi="宋体" w:eastAsia="宋体" w:cs="宋体"/>
                <w:b w:val="0"/>
                <w:sz w:val="24"/>
                <w:u w:val="single"/>
              </w:rPr>
              <w:t>（2）设备安装调试完毕且经验收合格正常使用后一次性付清全部合同价款。</w:t>
            </w:r>
          </w:p>
        </w:tc>
      </w:tr>
      <w:tr w14:paraId="4FA1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00A42597">
            <w:pPr>
              <w:pStyle w:val="17"/>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2</w:t>
            </w:r>
          </w:p>
        </w:tc>
        <w:tc>
          <w:tcPr>
            <w:tcW w:w="2215" w:type="dxa"/>
            <w:noWrap w:val="0"/>
            <w:vAlign w:val="center"/>
          </w:tcPr>
          <w:p w14:paraId="5CAB9A83">
            <w:pPr>
              <w:pStyle w:val="18"/>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供货及安装地点</w:t>
            </w:r>
          </w:p>
        </w:tc>
        <w:tc>
          <w:tcPr>
            <w:tcW w:w="5680" w:type="dxa"/>
            <w:noWrap w:val="0"/>
            <w:vAlign w:val="center"/>
          </w:tcPr>
          <w:p w14:paraId="35FD825E">
            <w:pPr>
              <w:pStyle w:val="18"/>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u w:val="single"/>
              </w:rPr>
              <w:t>合肥市安徽医科大学梅山路校区，采购人指定地点</w:t>
            </w:r>
          </w:p>
        </w:tc>
      </w:tr>
      <w:tr w14:paraId="20F1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3B26068C">
            <w:pPr>
              <w:pStyle w:val="17"/>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3</w:t>
            </w:r>
          </w:p>
        </w:tc>
        <w:tc>
          <w:tcPr>
            <w:tcW w:w="2215" w:type="dxa"/>
            <w:noWrap w:val="0"/>
            <w:vAlign w:val="center"/>
          </w:tcPr>
          <w:p w14:paraId="242EE7CD">
            <w:pPr>
              <w:pStyle w:val="18"/>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供货及安装期限</w:t>
            </w:r>
          </w:p>
        </w:tc>
        <w:tc>
          <w:tcPr>
            <w:tcW w:w="5680" w:type="dxa"/>
            <w:noWrap w:val="0"/>
            <w:vAlign w:val="center"/>
          </w:tcPr>
          <w:p w14:paraId="78DDD2FE">
            <w:pPr>
              <w:pStyle w:val="18"/>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合同签订后接采购人通知3个月内完成供货、安装及调试工作</w:t>
            </w:r>
          </w:p>
        </w:tc>
      </w:tr>
      <w:tr w14:paraId="2910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2FB39887">
            <w:pPr>
              <w:pStyle w:val="17"/>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4</w:t>
            </w:r>
          </w:p>
        </w:tc>
        <w:tc>
          <w:tcPr>
            <w:tcW w:w="2215" w:type="dxa"/>
            <w:noWrap w:val="0"/>
            <w:vAlign w:val="center"/>
          </w:tcPr>
          <w:p w14:paraId="702BE0E5">
            <w:pPr>
              <w:pStyle w:val="18"/>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免费质保期</w:t>
            </w:r>
          </w:p>
        </w:tc>
        <w:tc>
          <w:tcPr>
            <w:tcW w:w="5680" w:type="dxa"/>
            <w:noWrap w:val="0"/>
            <w:vAlign w:val="center"/>
          </w:tcPr>
          <w:p w14:paraId="6C7E6EAD">
            <w:pPr>
              <w:pStyle w:val="18"/>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所有设备自验收合格之日起开始计算3年，更换后的零部件质保期从更换之日起计算。（如果采购需求“二、货物需求”中的产品免费质保期不同于此项规定，按其规定执行）</w:t>
            </w:r>
          </w:p>
        </w:tc>
      </w:tr>
      <w:tr w14:paraId="7341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534D2789">
            <w:pPr>
              <w:pStyle w:val="17"/>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5</w:t>
            </w:r>
          </w:p>
        </w:tc>
        <w:tc>
          <w:tcPr>
            <w:tcW w:w="2215" w:type="dxa"/>
            <w:noWrap w:val="0"/>
            <w:vAlign w:val="center"/>
          </w:tcPr>
          <w:p w14:paraId="04BA4ADF">
            <w:pPr>
              <w:pStyle w:val="18"/>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核心产品</w:t>
            </w:r>
          </w:p>
        </w:tc>
        <w:tc>
          <w:tcPr>
            <w:tcW w:w="5680" w:type="dxa"/>
            <w:noWrap w:val="0"/>
            <w:vAlign w:val="center"/>
          </w:tcPr>
          <w:p w14:paraId="47C51F4A">
            <w:pPr>
              <w:pStyle w:val="18"/>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 纳升液相色谱仪及前处理设备</w:t>
            </w:r>
          </w:p>
        </w:tc>
      </w:tr>
      <w:tr w14:paraId="2821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031F5285">
            <w:pPr>
              <w:pStyle w:val="17"/>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bookmarkStart w:id="18" w:name="_Toc302804901"/>
            <w:bookmarkStart w:id="19" w:name="_Toc626387511"/>
            <w:bookmarkStart w:id="20" w:name="_Toc58935147"/>
            <w:bookmarkStart w:id="21" w:name="_Toc1693477008"/>
            <w:bookmarkStart w:id="22" w:name="_Toc1191965283_WPSOffice_Level2"/>
            <w:bookmarkStart w:id="23" w:name="_Toc1715351726"/>
            <w:bookmarkStart w:id="24" w:name="_Toc369119811"/>
            <w:bookmarkStart w:id="25" w:name="_Toc717369146"/>
            <w:r>
              <w:rPr>
                <w:rFonts w:hint="eastAsia" w:ascii="宋体" w:hAnsi="宋体" w:eastAsia="宋体" w:cs="宋体"/>
                <w:bCs/>
                <w:kern w:val="2"/>
              </w:rPr>
              <w:t>6</w:t>
            </w:r>
          </w:p>
        </w:tc>
        <w:tc>
          <w:tcPr>
            <w:tcW w:w="2215" w:type="dxa"/>
            <w:noWrap w:val="0"/>
            <w:vAlign w:val="center"/>
          </w:tcPr>
          <w:p w14:paraId="3E5E5059">
            <w:pPr>
              <w:pStyle w:val="18"/>
              <w:widowControl w:val="0"/>
              <w:spacing w:before="0" w:beforeAutospacing="0" w:after="0" w:afterAutospacing="0" w:line="360" w:lineRule="auto"/>
              <w:rPr>
                <w:rFonts w:hint="eastAsia" w:ascii="宋体" w:hAnsi="宋体" w:eastAsia="宋体" w:cs="宋体"/>
                <w:b w:val="0"/>
                <w:bCs w:val="0"/>
                <w:sz w:val="24"/>
              </w:rPr>
            </w:pPr>
            <w:r>
              <w:rPr>
                <w:rFonts w:hint="eastAsia" w:ascii="宋体" w:hAnsi="宋体" w:eastAsia="宋体" w:cs="宋体"/>
                <w:b w:val="0"/>
                <w:bCs w:val="0"/>
                <w:sz w:val="24"/>
              </w:rPr>
              <w:t>采购标的所属行业</w:t>
            </w:r>
          </w:p>
        </w:tc>
        <w:tc>
          <w:tcPr>
            <w:tcW w:w="5680" w:type="dxa"/>
            <w:noWrap w:val="0"/>
            <w:vAlign w:val="center"/>
          </w:tcPr>
          <w:p w14:paraId="6AC59FD9">
            <w:pPr>
              <w:pStyle w:val="18"/>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工业</w:t>
            </w:r>
          </w:p>
        </w:tc>
      </w:tr>
      <w:tr w14:paraId="53B2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15E4F793">
            <w:pPr>
              <w:pStyle w:val="17"/>
              <w:pBdr>
                <w:bottom w:val="none" w:color="auto" w:sz="0" w:space="0"/>
              </w:pBdr>
              <w:tabs>
                <w:tab w:val="clear" w:pos="4153"/>
                <w:tab w:val="clear" w:pos="8306"/>
              </w:tabs>
              <w:adjustRightInd/>
              <w:spacing w:line="240" w:lineRule="auto"/>
              <w:textAlignment w:val="auto"/>
              <w:rPr>
                <w:rFonts w:ascii="宋体" w:hAnsi="宋体" w:eastAsia="宋体" w:cs="宋体"/>
                <w:bCs/>
                <w:kern w:val="2"/>
              </w:rPr>
            </w:pPr>
            <w:r>
              <w:rPr>
                <w:rFonts w:hint="eastAsia" w:ascii="宋体" w:hAnsi="宋体" w:eastAsia="宋体" w:cs="宋体"/>
                <w:bCs/>
                <w:kern w:val="2"/>
              </w:rPr>
              <w:t>7</w:t>
            </w:r>
          </w:p>
        </w:tc>
        <w:tc>
          <w:tcPr>
            <w:tcW w:w="2215" w:type="dxa"/>
            <w:noWrap w:val="0"/>
            <w:vAlign w:val="center"/>
          </w:tcPr>
          <w:p w14:paraId="52DFE08F">
            <w:pPr>
              <w:pStyle w:val="18"/>
              <w:widowControl w:val="0"/>
              <w:spacing w:before="0" w:beforeAutospacing="0" w:after="0" w:afterAutospacing="0" w:line="360" w:lineRule="auto"/>
              <w:rPr>
                <w:rFonts w:hint="eastAsia" w:ascii="宋体" w:hAnsi="宋体" w:eastAsia="宋体" w:cs="宋体"/>
                <w:b w:val="0"/>
                <w:bCs w:val="0"/>
                <w:sz w:val="24"/>
              </w:rPr>
            </w:pPr>
            <w:r>
              <w:rPr>
                <w:rFonts w:hint="eastAsia" w:ascii="宋体" w:hAnsi="宋体" w:eastAsia="宋体" w:cs="宋体"/>
                <w:b w:val="0"/>
                <w:bCs w:val="0"/>
                <w:sz w:val="24"/>
              </w:rPr>
              <w:t>是否为节能产品</w:t>
            </w:r>
          </w:p>
        </w:tc>
        <w:tc>
          <w:tcPr>
            <w:tcW w:w="5680" w:type="dxa"/>
            <w:noWrap w:val="0"/>
            <w:vAlign w:val="center"/>
          </w:tcPr>
          <w:p w14:paraId="3D6C4007">
            <w:pPr>
              <w:pStyle w:val="18"/>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否</w:t>
            </w:r>
          </w:p>
        </w:tc>
      </w:tr>
      <w:tr w14:paraId="46A6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6CA0876A">
            <w:pPr>
              <w:pStyle w:val="17"/>
              <w:pBdr>
                <w:bottom w:val="none" w:color="auto" w:sz="0" w:space="0"/>
              </w:pBdr>
              <w:tabs>
                <w:tab w:val="clear" w:pos="4153"/>
                <w:tab w:val="clear" w:pos="8306"/>
              </w:tabs>
              <w:adjustRightInd/>
              <w:spacing w:line="240" w:lineRule="auto"/>
              <w:textAlignment w:val="auto"/>
              <w:rPr>
                <w:rFonts w:ascii="宋体" w:hAnsi="宋体" w:eastAsia="宋体" w:cs="宋体"/>
                <w:bCs/>
                <w:kern w:val="2"/>
              </w:rPr>
            </w:pPr>
            <w:r>
              <w:rPr>
                <w:rFonts w:hint="eastAsia" w:ascii="宋体" w:hAnsi="宋体" w:eastAsia="宋体" w:cs="宋体"/>
                <w:bCs/>
                <w:kern w:val="2"/>
              </w:rPr>
              <w:t>8</w:t>
            </w:r>
          </w:p>
        </w:tc>
        <w:tc>
          <w:tcPr>
            <w:tcW w:w="2215" w:type="dxa"/>
            <w:noWrap w:val="0"/>
            <w:vAlign w:val="center"/>
          </w:tcPr>
          <w:p w14:paraId="505D9272">
            <w:pPr>
              <w:pStyle w:val="18"/>
              <w:widowControl w:val="0"/>
              <w:spacing w:before="0" w:beforeAutospacing="0" w:after="0" w:afterAutospacing="0" w:line="360" w:lineRule="auto"/>
              <w:rPr>
                <w:rFonts w:hint="eastAsia" w:ascii="宋体" w:hAnsi="宋体" w:eastAsia="宋体" w:cs="宋体"/>
                <w:b w:val="0"/>
                <w:bCs w:val="0"/>
                <w:sz w:val="24"/>
              </w:rPr>
            </w:pPr>
            <w:r>
              <w:rPr>
                <w:rFonts w:hint="eastAsia" w:ascii="宋体" w:hAnsi="宋体" w:eastAsia="宋体" w:cs="宋体"/>
                <w:b w:val="0"/>
                <w:bCs w:val="0"/>
                <w:sz w:val="24"/>
              </w:rPr>
              <w:t>是否为优先采购环境标志产品</w:t>
            </w:r>
          </w:p>
        </w:tc>
        <w:tc>
          <w:tcPr>
            <w:tcW w:w="5680" w:type="dxa"/>
            <w:noWrap w:val="0"/>
            <w:vAlign w:val="center"/>
          </w:tcPr>
          <w:p w14:paraId="52669C8E">
            <w:pPr>
              <w:pStyle w:val="18"/>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否</w:t>
            </w:r>
          </w:p>
        </w:tc>
      </w:tr>
      <w:tr w14:paraId="7B96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662C47A0">
            <w:pPr>
              <w:pStyle w:val="17"/>
              <w:pBdr>
                <w:bottom w:val="none" w:color="auto" w:sz="0" w:space="0"/>
              </w:pBdr>
              <w:tabs>
                <w:tab w:val="clear" w:pos="4153"/>
                <w:tab w:val="clear" w:pos="8306"/>
              </w:tabs>
              <w:adjustRightInd/>
              <w:spacing w:line="240" w:lineRule="auto"/>
              <w:textAlignment w:val="auto"/>
              <w:rPr>
                <w:rFonts w:ascii="宋体" w:hAnsi="宋体" w:eastAsia="宋体" w:cs="宋体"/>
                <w:bCs/>
                <w:kern w:val="2"/>
              </w:rPr>
            </w:pPr>
            <w:r>
              <w:rPr>
                <w:rFonts w:hint="eastAsia" w:ascii="宋体" w:hAnsi="宋体" w:eastAsia="宋体" w:cs="宋体"/>
                <w:bCs/>
                <w:kern w:val="2"/>
              </w:rPr>
              <w:t>9</w:t>
            </w:r>
          </w:p>
        </w:tc>
        <w:tc>
          <w:tcPr>
            <w:tcW w:w="2215" w:type="dxa"/>
            <w:noWrap w:val="0"/>
            <w:vAlign w:val="center"/>
          </w:tcPr>
          <w:p w14:paraId="27C46E00">
            <w:pPr>
              <w:pStyle w:val="18"/>
              <w:widowControl w:val="0"/>
              <w:spacing w:before="0" w:beforeAutospacing="0" w:after="0" w:afterAutospacing="0" w:line="360" w:lineRule="auto"/>
              <w:rPr>
                <w:rFonts w:hint="eastAsia" w:ascii="宋体" w:hAnsi="宋体" w:eastAsia="宋体" w:cs="宋体"/>
                <w:b w:val="0"/>
                <w:bCs w:val="0"/>
                <w:sz w:val="24"/>
              </w:rPr>
            </w:pPr>
            <w:r>
              <w:rPr>
                <w:rFonts w:hint="eastAsia" w:ascii="宋体" w:hAnsi="宋体" w:eastAsia="宋体" w:cs="宋体"/>
                <w:b w:val="0"/>
                <w:bCs w:val="0"/>
                <w:sz w:val="24"/>
              </w:rPr>
              <w:t>标的物性质</w:t>
            </w:r>
          </w:p>
        </w:tc>
        <w:tc>
          <w:tcPr>
            <w:tcW w:w="5680" w:type="dxa"/>
            <w:noWrap w:val="0"/>
            <w:vAlign w:val="center"/>
          </w:tcPr>
          <w:p w14:paraId="710A5F5E">
            <w:pPr>
              <w:pStyle w:val="18"/>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货物</w:t>
            </w:r>
          </w:p>
        </w:tc>
      </w:tr>
    </w:tbl>
    <w:p w14:paraId="6A5565A4">
      <w:pPr>
        <w:pStyle w:val="3"/>
        <w:ind w:firstLine="560"/>
        <w:rPr>
          <w:rFonts w:hint="eastAsia"/>
        </w:rPr>
      </w:pPr>
      <w:r>
        <w:rPr>
          <w:rFonts w:hint="eastAsia"/>
        </w:rPr>
        <w:t>二、货物需求</w:t>
      </w:r>
      <w:bookmarkEnd w:id="18"/>
      <w:bookmarkEnd w:id="19"/>
      <w:bookmarkEnd w:id="20"/>
      <w:bookmarkEnd w:id="21"/>
      <w:bookmarkEnd w:id="22"/>
      <w:bookmarkEnd w:id="23"/>
      <w:bookmarkEnd w:id="24"/>
      <w:bookmarkEnd w:id="25"/>
    </w:p>
    <w:p w14:paraId="1293503F">
      <w:pPr>
        <w:pStyle w:val="10"/>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（一）货物需求说明</w:t>
      </w:r>
      <w:r>
        <w:rPr>
          <w:rFonts w:hint="eastAsia" w:ascii="宋体" w:hAnsi="宋体" w:eastAsia="宋体" w:cs="宋体"/>
          <w:bCs/>
          <w:sz w:val="24"/>
          <w:szCs w:val="24"/>
        </w:rPr>
        <w:t>（</w:t>
      </w:r>
      <w:r>
        <w:rPr>
          <w:rFonts w:hint="eastAsia" w:ascii="宋体" w:hAnsi="宋体" w:eastAsia="宋体" w:cs="宋体"/>
          <w:b/>
          <w:bCs/>
          <w:i/>
          <w:sz w:val="24"/>
          <w:szCs w:val="24"/>
        </w:rPr>
        <w:t>类别分级及偏离要求根据项目实际设置</w:t>
      </w:r>
      <w:r>
        <w:rPr>
          <w:rFonts w:hint="eastAsia" w:ascii="宋体" w:hAnsi="宋体" w:eastAsia="宋体" w:cs="宋体"/>
          <w:bCs/>
          <w:sz w:val="24"/>
          <w:szCs w:val="24"/>
        </w:rPr>
        <w:t>）</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09"/>
        <w:gridCol w:w="4927"/>
      </w:tblGrid>
      <w:tr w14:paraId="0F97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9" w:type="pct"/>
            <w:noWrap w:val="0"/>
            <w:vAlign w:val="center"/>
          </w:tcPr>
          <w:p w14:paraId="09264EB7">
            <w:pPr>
              <w:pStyle w:val="10"/>
              <w:ind w:left="0" w:firstLine="480"/>
              <w:rPr>
                <w:rFonts w:hint="eastAsia" w:ascii="宋体" w:hAnsi="宋体" w:eastAsia="宋体" w:cs="宋体"/>
                <w:sz w:val="24"/>
                <w:szCs w:val="24"/>
              </w:rPr>
            </w:pPr>
            <w:bookmarkStart w:id="26" w:name="_Toc7671"/>
            <w:bookmarkStart w:id="27" w:name="_Toc5944"/>
            <w:r>
              <w:rPr>
                <w:rFonts w:hint="eastAsia" w:ascii="宋体" w:hAnsi="宋体" w:eastAsia="宋体" w:cs="宋体"/>
                <w:sz w:val="24"/>
                <w:szCs w:val="24"/>
              </w:rPr>
              <w:t>标识符号</w:t>
            </w:r>
          </w:p>
        </w:tc>
        <w:tc>
          <w:tcPr>
            <w:tcW w:w="1120" w:type="pct"/>
            <w:noWrap w:val="0"/>
            <w:vAlign w:val="center"/>
          </w:tcPr>
          <w:p w14:paraId="1CF9A94E">
            <w:pPr>
              <w:pStyle w:val="10"/>
              <w:ind w:left="0" w:firstLine="480"/>
              <w:rPr>
                <w:rFonts w:hint="eastAsia" w:ascii="宋体" w:hAnsi="宋体" w:eastAsia="宋体" w:cs="宋体"/>
                <w:sz w:val="24"/>
                <w:szCs w:val="24"/>
              </w:rPr>
            </w:pPr>
            <w:r>
              <w:rPr>
                <w:rFonts w:hint="eastAsia" w:ascii="宋体" w:hAnsi="宋体" w:eastAsia="宋体" w:cs="宋体"/>
                <w:sz w:val="24"/>
                <w:szCs w:val="24"/>
              </w:rPr>
              <w:t>标识含义</w:t>
            </w:r>
          </w:p>
        </w:tc>
        <w:tc>
          <w:tcPr>
            <w:tcW w:w="2891" w:type="pct"/>
            <w:noWrap w:val="0"/>
            <w:vAlign w:val="center"/>
          </w:tcPr>
          <w:p w14:paraId="58895661">
            <w:pPr>
              <w:pStyle w:val="10"/>
              <w:ind w:left="0" w:firstLine="480"/>
              <w:rPr>
                <w:rFonts w:hint="eastAsia" w:ascii="宋体" w:hAnsi="宋体" w:eastAsia="宋体" w:cs="宋体"/>
                <w:sz w:val="24"/>
                <w:szCs w:val="24"/>
              </w:rPr>
            </w:pPr>
            <w:r>
              <w:rPr>
                <w:rFonts w:hint="eastAsia" w:ascii="宋体" w:hAnsi="宋体" w:eastAsia="宋体" w:cs="宋体"/>
                <w:sz w:val="24"/>
                <w:szCs w:val="24"/>
              </w:rPr>
              <w:t>相关要求</w:t>
            </w:r>
          </w:p>
        </w:tc>
      </w:tr>
      <w:tr w14:paraId="747F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9" w:type="pct"/>
            <w:noWrap w:val="0"/>
            <w:vAlign w:val="center"/>
          </w:tcPr>
          <w:p w14:paraId="1375E081">
            <w:pPr>
              <w:pStyle w:val="10"/>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1120" w:type="pct"/>
            <w:noWrap w:val="0"/>
            <w:vAlign w:val="center"/>
          </w:tcPr>
          <w:p w14:paraId="3E5BC5A3">
            <w:pPr>
              <w:pStyle w:val="10"/>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基础指标</w:t>
            </w:r>
          </w:p>
        </w:tc>
        <w:tc>
          <w:tcPr>
            <w:tcW w:w="2891" w:type="pct"/>
            <w:noWrap w:val="0"/>
            <w:vAlign w:val="center"/>
          </w:tcPr>
          <w:p w14:paraId="74753CC0">
            <w:pPr>
              <w:pStyle w:val="10"/>
              <w:ind w:left="0" w:firstLine="0" w:firstLineChars="0"/>
              <w:rPr>
                <w:rFonts w:hint="eastAsia" w:ascii="宋体" w:hAnsi="宋体" w:eastAsia="宋体" w:cs="宋体"/>
                <w:b/>
                <w:bCs/>
                <w:sz w:val="24"/>
                <w:szCs w:val="24"/>
              </w:rPr>
            </w:pPr>
            <w:r>
              <w:rPr>
                <w:rFonts w:hint="eastAsia" w:ascii="宋体" w:hAnsi="宋体" w:eastAsia="宋体" w:cs="宋体"/>
                <w:b/>
                <w:bCs/>
                <w:sz w:val="24"/>
                <w:szCs w:val="24"/>
              </w:rPr>
              <w:t>作为基础指标，负偏离或未响应将导致投标无效</w:t>
            </w:r>
          </w:p>
        </w:tc>
      </w:tr>
      <w:tr w14:paraId="1009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89" w:type="pct"/>
            <w:noWrap w:val="0"/>
            <w:vAlign w:val="center"/>
          </w:tcPr>
          <w:p w14:paraId="07E09F08">
            <w:pPr>
              <w:pStyle w:val="10"/>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1120" w:type="pct"/>
            <w:noWrap w:val="0"/>
            <w:vAlign w:val="center"/>
          </w:tcPr>
          <w:p w14:paraId="5BD96B9E">
            <w:pPr>
              <w:pStyle w:val="10"/>
              <w:ind w:left="0" w:firstLine="480"/>
              <w:rPr>
                <w:rFonts w:hint="eastAsia" w:ascii="宋体" w:hAnsi="宋体" w:eastAsia="宋体" w:cs="宋体"/>
                <w:sz w:val="24"/>
                <w:szCs w:val="24"/>
              </w:rPr>
            </w:pPr>
            <w:r>
              <w:rPr>
                <w:rFonts w:hint="eastAsia" w:ascii="宋体" w:hAnsi="宋体" w:eastAsia="宋体" w:cs="宋体"/>
                <w:sz w:val="24"/>
                <w:szCs w:val="24"/>
              </w:rPr>
              <w:t>核心指标项</w:t>
            </w:r>
          </w:p>
        </w:tc>
        <w:tc>
          <w:tcPr>
            <w:tcW w:w="2891" w:type="pct"/>
            <w:noWrap w:val="0"/>
            <w:vAlign w:val="center"/>
          </w:tcPr>
          <w:p w14:paraId="50D49955">
            <w:pPr>
              <w:pStyle w:val="10"/>
              <w:ind w:left="0" w:firstLine="480"/>
              <w:rPr>
                <w:rFonts w:hint="eastAsia" w:ascii="宋体" w:hAnsi="宋体" w:eastAsia="宋体" w:cs="宋体"/>
                <w:sz w:val="24"/>
                <w:szCs w:val="24"/>
              </w:rPr>
            </w:pPr>
            <w:r>
              <w:rPr>
                <w:rFonts w:hint="eastAsia" w:ascii="宋体" w:hAnsi="宋体" w:eastAsia="宋体" w:cs="宋体"/>
                <w:sz w:val="24"/>
                <w:szCs w:val="24"/>
              </w:rPr>
              <w:t>评分项，每满足一项得2分。</w:t>
            </w:r>
          </w:p>
        </w:tc>
      </w:tr>
      <w:tr w14:paraId="5B04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89" w:type="pct"/>
            <w:noWrap w:val="0"/>
            <w:vAlign w:val="center"/>
          </w:tcPr>
          <w:p w14:paraId="6F8AB1B1">
            <w:pPr>
              <w:pStyle w:val="10"/>
              <w:ind w:left="0" w:firstLine="0" w:firstLineChars="0"/>
              <w:jc w:val="center"/>
              <w:rPr>
                <w:rFonts w:hint="eastAsia" w:ascii="宋体" w:hAnsi="宋体" w:eastAsia="宋体" w:cs="宋体"/>
                <w:sz w:val="24"/>
                <w:szCs w:val="24"/>
              </w:rPr>
            </w:pPr>
          </w:p>
        </w:tc>
        <w:tc>
          <w:tcPr>
            <w:tcW w:w="1120" w:type="pct"/>
            <w:noWrap w:val="0"/>
            <w:vAlign w:val="center"/>
          </w:tcPr>
          <w:p w14:paraId="4D3DF318">
            <w:pPr>
              <w:pStyle w:val="10"/>
              <w:ind w:left="0" w:firstLine="480"/>
              <w:rPr>
                <w:rFonts w:hint="eastAsia" w:ascii="宋体" w:hAnsi="宋体" w:eastAsia="宋体" w:cs="宋体"/>
                <w:sz w:val="24"/>
                <w:szCs w:val="24"/>
              </w:rPr>
            </w:pPr>
            <w:r>
              <w:rPr>
                <w:rFonts w:hint="eastAsia" w:ascii="宋体" w:hAnsi="宋体" w:eastAsia="宋体" w:cs="宋体"/>
                <w:sz w:val="24"/>
                <w:szCs w:val="24"/>
              </w:rPr>
              <w:t>无标识项</w:t>
            </w:r>
          </w:p>
        </w:tc>
        <w:tc>
          <w:tcPr>
            <w:tcW w:w="2891" w:type="pct"/>
            <w:noWrap w:val="0"/>
            <w:vAlign w:val="center"/>
          </w:tcPr>
          <w:p w14:paraId="31E85E35">
            <w:pPr>
              <w:pStyle w:val="10"/>
              <w:ind w:left="0" w:firstLine="0" w:firstLineChars="0"/>
              <w:rPr>
                <w:rFonts w:hint="eastAsia" w:ascii="宋体" w:hAnsi="宋体" w:eastAsia="宋体" w:cs="宋体"/>
                <w:b/>
                <w:bCs/>
                <w:sz w:val="24"/>
                <w:szCs w:val="24"/>
              </w:rPr>
            </w:pPr>
            <w:r>
              <w:rPr>
                <w:rFonts w:hint="eastAsia" w:ascii="宋体" w:hAnsi="宋体" w:eastAsia="宋体" w:cs="宋体"/>
                <w:b/>
                <w:bCs/>
                <w:sz w:val="24"/>
                <w:szCs w:val="24"/>
              </w:rPr>
              <w:t>（1）招标投标阶段，无标识项条款投标文件中无需逐条响应。如供应商对无标识条款设置有异议的，请在招标文件规定时间内向采购人或采购代理机构书面提出,否则视为供应商同意并接受无标识项条款的全部内容。</w:t>
            </w:r>
          </w:p>
          <w:p w14:paraId="0BADA0F9">
            <w:pPr>
              <w:pStyle w:val="10"/>
              <w:ind w:left="0" w:firstLine="0" w:firstLineChars="0"/>
              <w:rPr>
                <w:rFonts w:hint="eastAsia" w:ascii="宋体" w:hAnsi="宋体" w:eastAsia="宋体" w:cs="宋体"/>
                <w:sz w:val="24"/>
                <w:szCs w:val="24"/>
              </w:rPr>
            </w:pPr>
            <w:r>
              <w:rPr>
                <w:rFonts w:hint="eastAsia" w:ascii="宋体" w:hAnsi="宋体" w:eastAsia="宋体" w:cs="宋体"/>
                <w:b/>
                <w:bCs/>
                <w:sz w:val="24"/>
                <w:szCs w:val="24"/>
              </w:rPr>
              <w:t>（2）合同履行阶段，供应商供货时采购人有权核实，如不满足招标文件要求和实际使用需要，验收时不予通过，采购人有权终止合同，由此产生的一切后果由中标人自行承担。</w:t>
            </w:r>
          </w:p>
        </w:tc>
      </w:tr>
      <w:tr w14:paraId="1381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3C7211D4">
            <w:pPr>
              <w:pStyle w:val="10"/>
              <w:ind w:left="0" w:firstLine="482"/>
              <w:rPr>
                <w:rFonts w:hint="eastAsia" w:ascii="宋体" w:hAnsi="宋体" w:eastAsia="宋体" w:cs="宋体"/>
                <w:b/>
                <w:bCs/>
                <w:sz w:val="24"/>
                <w:szCs w:val="24"/>
              </w:rPr>
            </w:pPr>
            <w:r>
              <w:rPr>
                <w:rFonts w:hint="eastAsia" w:ascii="宋体" w:hAnsi="宋体" w:eastAsia="宋体" w:cs="宋体"/>
                <w:b/>
                <w:bCs/>
                <w:sz w:val="24"/>
                <w:szCs w:val="24"/>
              </w:rPr>
              <w:t>注：（1）如某项标识中包含多条技术参数或要求，则该项标识所含内容均需满足或优于招标文件要求，否则不予认可。</w:t>
            </w:r>
          </w:p>
          <w:p w14:paraId="0804C8AC">
            <w:pPr>
              <w:pStyle w:val="10"/>
              <w:ind w:left="0" w:firstLine="482"/>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和★项参数</w:t>
            </w:r>
            <w:r>
              <w:rPr>
                <w:rFonts w:hint="eastAsia" w:ascii="宋体" w:hAnsi="宋体" w:eastAsia="宋体" w:cs="宋体"/>
                <w:b/>
                <w:bCs/>
                <w:sz w:val="24"/>
                <w:szCs w:val="24"/>
              </w:rPr>
              <w:t>以投标响应表和采购需求“二、货物需求”中要求提供的证明材料作为评审依据。</w:t>
            </w:r>
          </w:p>
          <w:p w14:paraId="57F619E7">
            <w:pPr>
              <w:pStyle w:val="10"/>
              <w:ind w:left="0" w:firstLine="482"/>
              <w:rPr>
                <w:rFonts w:hint="eastAsia" w:ascii="宋体" w:hAnsi="宋体" w:eastAsia="宋体" w:cs="宋体"/>
                <w:sz w:val="24"/>
                <w:szCs w:val="24"/>
              </w:rPr>
            </w:pPr>
            <w:r>
              <w:rPr>
                <w:rFonts w:hint="eastAsia" w:ascii="宋体" w:hAnsi="宋体" w:eastAsia="宋体" w:cs="宋体"/>
                <w:b/>
                <w:bCs/>
                <w:sz w:val="24"/>
                <w:szCs w:val="24"/>
              </w:rPr>
              <w:t>（3）证明材料中涉及外文的，投标文件中应同时提供中文翻译件并加盖投标人公章，否则不予认可。</w:t>
            </w:r>
          </w:p>
        </w:tc>
      </w:tr>
      <w:bookmarkEnd w:id="26"/>
      <w:bookmarkEnd w:id="27"/>
    </w:tbl>
    <w:p w14:paraId="209903FD">
      <w:pPr>
        <w:pStyle w:val="10"/>
        <w:ind w:left="0" w:firstLine="482"/>
        <w:rPr>
          <w:rFonts w:hint="eastAsia" w:ascii="宋体" w:hAnsi="宋体" w:eastAsia="宋体" w:cs="宋体"/>
          <w:b/>
          <w:bCs/>
          <w:sz w:val="24"/>
          <w:szCs w:val="24"/>
        </w:rPr>
      </w:pPr>
    </w:p>
    <w:p w14:paraId="698A309A">
      <w:pPr>
        <w:pStyle w:val="10"/>
        <w:ind w:left="0" w:firstLine="482"/>
        <w:rPr>
          <w:rFonts w:hint="eastAsia" w:ascii="宋体" w:hAnsi="宋体" w:eastAsia="宋体" w:cs="宋体"/>
          <w:b/>
          <w:bCs/>
          <w:sz w:val="24"/>
          <w:szCs w:val="24"/>
        </w:rPr>
      </w:pPr>
      <w:r>
        <w:rPr>
          <w:rFonts w:hint="eastAsia" w:ascii="宋体" w:hAnsi="宋体" w:eastAsia="宋体" w:cs="宋体"/>
          <w:b/>
          <w:bCs/>
          <w:sz w:val="24"/>
          <w:szCs w:val="24"/>
        </w:rPr>
        <w:t>（二）货物需求清单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877"/>
        <w:gridCol w:w="6634"/>
        <w:gridCol w:w="549"/>
      </w:tblGrid>
      <w:tr w14:paraId="5DAA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A245DB4">
            <w:pPr>
              <w:widowControl/>
              <w:adjustRightInd w:val="0"/>
              <w:snapToGri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0" w:type="auto"/>
            <w:noWrap w:val="0"/>
            <w:vAlign w:val="center"/>
          </w:tcPr>
          <w:p w14:paraId="1FA16C6E">
            <w:pPr>
              <w:widowControl/>
              <w:adjustRightInd w:val="0"/>
              <w:snapToGri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物资名称</w:t>
            </w:r>
          </w:p>
        </w:tc>
        <w:tc>
          <w:tcPr>
            <w:tcW w:w="0" w:type="auto"/>
            <w:noWrap w:val="0"/>
            <w:vAlign w:val="center"/>
          </w:tcPr>
          <w:p w14:paraId="631F9D1F">
            <w:pPr>
              <w:widowControl/>
              <w:adjustRightInd w:val="0"/>
              <w:snapToGri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技术参数及要求</w:t>
            </w:r>
          </w:p>
        </w:tc>
        <w:tc>
          <w:tcPr>
            <w:tcW w:w="0" w:type="auto"/>
            <w:noWrap w:val="0"/>
            <w:vAlign w:val="center"/>
          </w:tcPr>
          <w:p w14:paraId="6C827C48">
            <w:pPr>
              <w:widowControl/>
              <w:adjustRightInd w:val="0"/>
              <w:snapToGri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数量/单位</w:t>
            </w:r>
          </w:p>
        </w:tc>
      </w:tr>
      <w:tr w14:paraId="5155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426BFAA4">
            <w:pPr>
              <w:adjustRightInd w:val="0"/>
              <w:snapToGrid w:val="0"/>
              <w:jc w:val="center"/>
              <w:rPr>
                <w:rFonts w:ascii="宋体" w:hAnsi="宋体" w:eastAsia="宋体" w:cs="Times New Roman"/>
                <w:szCs w:val="21"/>
              </w:rPr>
            </w:pPr>
            <w:bookmarkStart w:id="28" w:name="_Hlk196665479"/>
            <w:r>
              <w:rPr>
                <w:rFonts w:hint="eastAsia" w:ascii="宋体" w:hAnsi="宋体" w:eastAsia="宋体" w:cs="Times New Roman"/>
                <w:szCs w:val="21"/>
              </w:rPr>
              <w:t>1</w:t>
            </w:r>
          </w:p>
        </w:tc>
        <w:tc>
          <w:tcPr>
            <w:tcW w:w="0" w:type="auto"/>
            <w:noWrap w:val="0"/>
            <w:vAlign w:val="center"/>
          </w:tcPr>
          <w:p w14:paraId="7CB8A137">
            <w:pPr>
              <w:adjustRightInd w:val="0"/>
              <w:snapToGrid w:val="0"/>
              <w:rPr>
                <w:rFonts w:ascii="宋体" w:hAnsi="宋体" w:eastAsia="宋体" w:cs="Times New Roman"/>
                <w:szCs w:val="21"/>
              </w:rPr>
            </w:pPr>
            <w:r>
              <w:rPr>
                <w:rFonts w:hint="eastAsia" w:ascii="Times New Roman" w:hAnsi="Times New Roman" w:eastAsia="宋体" w:cs="宋体"/>
                <w:szCs w:val="21"/>
              </w:rPr>
              <w:t>▲</w:t>
            </w:r>
            <w:r>
              <w:rPr>
                <w:rFonts w:hint="eastAsia" w:ascii="宋体" w:hAnsi="宋体" w:eastAsia="宋体" w:cs="Times New Roman"/>
                <w:szCs w:val="21"/>
              </w:rPr>
              <w:t>纳升液相色谱仪及前处理设备</w:t>
            </w:r>
          </w:p>
        </w:tc>
        <w:tc>
          <w:tcPr>
            <w:tcW w:w="0" w:type="auto"/>
            <w:noWrap w:val="0"/>
            <w:vAlign w:val="top"/>
          </w:tcPr>
          <w:p w14:paraId="0785922D">
            <w:pPr>
              <w:adjustRightInd w:val="0"/>
              <w:snapToGrid w:val="0"/>
              <w:jc w:val="left"/>
              <w:textAlignment w:val="baseline"/>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1、应用范围</w:t>
            </w:r>
          </w:p>
          <w:p w14:paraId="4EB7C34A">
            <w:pPr>
              <w:adjustRightInd w:val="0"/>
              <w:snapToGrid w:val="0"/>
              <w:rPr>
                <w:rFonts w:ascii="Times New Roman" w:hAnsi="Times New Roman" w:eastAsia="宋体" w:cs="Times New Roman"/>
                <w:szCs w:val="21"/>
              </w:rPr>
            </w:pPr>
            <w:r>
              <w:rPr>
                <w:rFonts w:ascii="Times New Roman" w:hAnsi="Times New Roman" w:eastAsia="宋体" w:cs="Times New Roman"/>
                <w:szCs w:val="21"/>
              </w:rPr>
              <w:t>纳升液相色谱仪，作为质谱分离设备使用。</w:t>
            </w:r>
          </w:p>
          <w:p w14:paraId="7EE4265F">
            <w:pPr>
              <w:adjustRightInd w:val="0"/>
              <w:snapToGrid w:val="0"/>
              <w:jc w:val="left"/>
              <w:textAlignment w:val="baseline"/>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2、仪器用途要求及基本要求</w:t>
            </w:r>
          </w:p>
          <w:p w14:paraId="3265E6A2">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纳升液相色谱仪，作为质谱分离设备使用。</w:t>
            </w:r>
          </w:p>
          <w:p w14:paraId="31442E8F">
            <w:pPr>
              <w:adjustRightInd w:val="0"/>
              <w:snapToGrid w:val="0"/>
              <w:jc w:val="left"/>
              <w:textAlignment w:val="baseline"/>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3、工作条件</w:t>
            </w:r>
          </w:p>
          <w:p w14:paraId="46D548AB">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3.1电源：230V±10%，AC(交流)，50/60 Hz；</w:t>
            </w:r>
          </w:p>
          <w:p w14:paraId="25F9CE3D">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3.2环境温度：16–26 ℃（最优：18~21 ℃）；</w:t>
            </w:r>
          </w:p>
          <w:p w14:paraId="583311FC">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3.3相对湿度：50–80%。</w:t>
            </w:r>
          </w:p>
          <w:p w14:paraId="03589BF3">
            <w:pPr>
              <w:adjustRightInd w:val="0"/>
              <w:snapToGrid w:val="0"/>
              <w:jc w:val="left"/>
              <w:textAlignment w:val="baseline"/>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4、主要参数指标</w:t>
            </w:r>
          </w:p>
          <w:p w14:paraId="7AD5E1D9">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 xml:space="preserve">4.1纳流泵： </w:t>
            </w:r>
          </w:p>
          <w:p w14:paraId="42A52C94">
            <w:pPr>
              <w:adjustRightInd w:val="0"/>
              <w:snapToGrid w:val="0"/>
              <w:jc w:val="left"/>
              <w:textAlignment w:val="baseline"/>
              <w:rPr>
                <w:rFonts w:ascii="宋体" w:hAnsi="宋体" w:eastAsia="宋体" w:cs="Times New Roman"/>
                <w:bCs/>
                <w:color w:val="000000"/>
                <w:kern w:val="0"/>
                <w:szCs w:val="21"/>
              </w:rPr>
            </w:pPr>
            <w:r>
              <w:rPr>
                <w:rFonts w:hint="eastAsia" w:ascii="宋体" w:hAnsi="宋体" w:eastAsia="宋体" w:cs="Times New Roman"/>
                <w:bCs/>
                <w:color w:val="000000"/>
                <w:kern w:val="0"/>
                <w:szCs w:val="21"/>
              </w:rPr>
              <w:t>4.1.1 泵型及工作原理：带主动流量控制的高压二元梯度泵；</w:t>
            </w:r>
          </w:p>
          <w:p w14:paraId="60BD2034">
            <w:pPr>
              <w:adjustRightInd w:val="0"/>
              <w:snapToGrid w:val="0"/>
              <w:jc w:val="left"/>
              <w:textAlignment w:val="baseline"/>
              <w:rPr>
                <w:rFonts w:hint="eastAsia" w:ascii="宋体" w:hAnsi="宋体" w:eastAsia="宋体" w:cs="Times New Roman"/>
                <w:bCs/>
                <w:color w:val="000000"/>
                <w:kern w:val="0"/>
                <w:szCs w:val="21"/>
              </w:rPr>
            </w:pPr>
            <w:r>
              <w:rPr>
                <w:rFonts w:hint="eastAsia" w:ascii="宋体" w:hAnsi="宋体" w:eastAsia="宋体" w:cs="Times New Roman"/>
                <w:bCs/>
                <w:color w:val="000000"/>
                <w:kern w:val="0"/>
                <w:szCs w:val="21"/>
              </w:rPr>
              <w:t>★4.1.2 最大压力</w:t>
            </w:r>
            <w:r>
              <w:rPr>
                <w:rFonts w:ascii="Times New Roman" w:hAnsi="Times New Roman" w:eastAsia="宋体" w:cs="Times New Roman"/>
                <w:bCs/>
                <w:color w:val="000000"/>
                <w:kern w:val="0"/>
                <w:szCs w:val="21"/>
              </w:rPr>
              <w:t>≥145 MPa，</w:t>
            </w:r>
            <w:r>
              <w:rPr>
                <w:rFonts w:hint="eastAsia" w:ascii="宋体" w:hAnsi="宋体" w:eastAsia="宋体" w:cs="Times New Roman"/>
                <w:b/>
                <w:color w:val="000000"/>
                <w:kern w:val="0"/>
                <w:szCs w:val="21"/>
              </w:rPr>
              <w:t>此参数需提供产品彩页官网截图或技术白皮书作为证明材料</w:t>
            </w:r>
            <w:r>
              <w:rPr>
                <w:rFonts w:hint="eastAsia" w:ascii="宋体" w:hAnsi="宋体" w:eastAsia="宋体" w:cs="Times New Roman"/>
                <w:bCs/>
                <w:color w:val="000000"/>
                <w:kern w:val="0"/>
                <w:szCs w:val="21"/>
              </w:rPr>
              <w:t>；</w:t>
            </w:r>
          </w:p>
          <w:p w14:paraId="1F39E233">
            <w:pPr>
              <w:adjustRightInd w:val="0"/>
              <w:snapToGrid w:val="0"/>
              <w:jc w:val="left"/>
              <w:textAlignment w:val="baseline"/>
              <w:rPr>
                <w:rFonts w:ascii="宋体" w:hAnsi="宋体" w:eastAsia="宋体" w:cs="Times New Roman"/>
                <w:bCs/>
                <w:color w:val="000000"/>
                <w:kern w:val="0"/>
                <w:szCs w:val="21"/>
              </w:rPr>
            </w:pPr>
            <w:r>
              <w:rPr>
                <w:rFonts w:hint="eastAsia" w:ascii="宋体" w:hAnsi="宋体" w:eastAsia="宋体" w:cs="Times New Roman"/>
                <w:bCs/>
                <w:color w:val="000000"/>
                <w:kern w:val="0"/>
                <w:szCs w:val="21"/>
              </w:rPr>
              <w:t xml:space="preserve">★4.1.3流速范围：1 </w:t>
            </w:r>
            <w:r>
              <w:rPr>
                <w:rFonts w:ascii="Times New Roman" w:hAnsi="Times New Roman" w:eastAsia="宋体" w:cs="Times New Roman"/>
                <w:bCs/>
                <w:color w:val="000000"/>
                <w:kern w:val="0"/>
                <w:szCs w:val="21"/>
              </w:rPr>
              <w:t>nL/min–100 µL/min，1 nL</w:t>
            </w:r>
            <w:r>
              <w:rPr>
                <w:rFonts w:hint="eastAsia" w:ascii="宋体" w:hAnsi="宋体" w:eastAsia="宋体" w:cs="Times New Roman"/>
                <w:bCs/>
                <w:color w:val="000000"/>
                <w:kern w:val="0"/>
                <w:szCs w:val="21"/>
              </w:rPr>
              <w:t>增量；</w:t>
            </w:r>
          </w:p>
          <w:p w14:paraId="791D5E28">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4.1.4 泵溶剂通道：2个；</w:t>
            </w:r>
          </w:p>
          <w:p w14:paraId="7C6CE9EB">
            <w:pPr>
              <w:adjustRightInd w:val="0"/>
              <w:snapToGrid w:val="0"/>
              <w:jc w:val="left"/>
              <w:textAlignment w:val="baseline"/>
              <w:rPr>
                <w:rFonts w:ascii="Times New Roman" w:hAnsi="Times New Roman" w:eastAsia="宋体" w:cs="Times New Roman"/>
                <w:bCs/>
                <w:color w:val="000000"/>
                <w:kern w:val="0"/>
                <w:szCs w:val="21"/>
              </w:rPr>
            </w:pPr>
            <w:r>
              <w:rPr>
                <w:rFonts w:ascii="Segoe UI Symbol" w:hAnsi="Segoe UI Symbol" w:eastAsia="宋体" w:cs="Segoe UI Symbol"/>
                <w:bCs/>
                <w:color w:val="000000"/>
                <w:kern w:val="0"/>
                <w:szCs w:val="21"/>
              </w:rPr>
              <w:t>★</w:t>
            </w:r>
            <w:r>
              <w:rPr>
                <w:rFonts w:ascii="Times New Roman" w:hAnsi="Times New Roman" w:eastAsia="宋体" w:cs="Times New Roman"/>
                <w:bCs/>
                <w:color w:val="000000"/>
                <w:kern w:val="0"/>
                <w:szCs w:val="21"/>
              </w:rPr>
              <w:t>4.1.5 泵对系统梯度的延迟体积：&lt;</w:t>
            </w:r>
            <w:r>
              <w:rPr>
                <w:rFonts w:hint="eastAsia" w:ascii="Times New Roman" w:hAnsi="Times New Roman" w:eastAsia="宋体" w:cs="Times New Roman"/>
                <w:bCs/>
                <w:color w:val="000000"/>
                <w:kern w:val="0"/>
                <w:szCs w:val="21"/>
              </w:rPr>
              <w:t xml:space="preserve"> 25 nL</w:t>
            </w:r>
            <w:r>
              <w:rPr>
                <w:rFonts w:ascii="Times New Roman" w:hAnsi="Times New Roman" w:eastAsia="宋体" w:cs="Times New Roman"/>
                <w:bCs/>
                <w:color w:val="000000"/>
                <w:kern w:val="0"/>
                <w:szCs w:val="21"/>
              </w:rPr>
              <w:t>，</w:t>
            </w:r>
            <w:r>
              <w:rPr>
                <w:rFonts w:ascii="Times New Roman" w:hAnsi="Times New Roman" w:eastAsia="宋体" w:cs="Times New Roman"/>
                <w:b/>
                <w:color w:val="000000"/>
                <w:kern w:val="0"/>
                <w:szCs w:val="21"/>
              </w:rPr>
              <w:t>此参数需提供产品彩页官网截图或技术白皮书作为证明材料</w:t>
            </w:r>
            <w:r>
              <w:rPr>
                <w:rFonts w:ascii="Times New Roman" w:hAnsi="Times New Roman" w:eastAsia="宋体" w:cs="Times New Roman"/>
                <w:bCs/>
                <w:color w:val="000000"/>
                <w:kern w:val="0"/>
                <w:szCs w:val="21"/>
              </w:rPr>
              <w:t>；</w:t>
            </w:r>
          </w:p>
          <w:p w14:paraId="3A99B070">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4.1.6生物兼容性：兼容；</w:t>
            </w:r>
          </w:p>
          <w:p w14:paraId="095FB54C">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4.1.7 pH范围：2-10；</w:t>
            </w:r>
          </w:p>
          <w:p w14:paraId="0484620B">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4.1.8 安全特性：内置泄漏检测和安全泄漏处理、超压监测、温度监测；</w:t>
            </w:r>
          </w:p>
          <w:p w14:paraId="488085DB">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4.1.9环境操作条件：温度5–35 ℃；湿度：20-80%；</w:t>
            </w:r>
          </w:p>
          <w:p w14:paraId="00CBF244">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4.2自动进样器：</w:t>
            </w:r>
          </w:p>
          <w:p w14:paraId="364A5B3E">
            <w:pPr>
              <w:adjustRightInd w:val="0"/>
              <w:snapToGrid w:val="0"/>
              <w:jc w:val="left"/>
              <w:textAlignment w:val="baseline"/>
              <w:rPr>
                <w:rFonts w:ascii="Times New Roman" w:hAnsi="Times New Roman" w:eastAsia="宋体" w:cs="Times New Roman"/>
                <w:bCs/>
                <w:color w:val="000000"/>
                <w:kern w:val="0"/>
                <w:szCs w:val="21"/>
              </w:rPr>
            </w:pPr>
            <w:r>
              <w:rPr>
                <w:rFonts w:ascii="Segoe UI Symbol" w:hAnsi="Segoe UI Symbol" w:eastAsia="宋体" w:cs="Segoe UI Symbol"/>
                <w:bCs/>
                <w:color w:val="000000"/>
                <w:kern w:val="0"/>
                <w:szCs w:val="21"/>
              </w:rPr>
              <w:t>★</w:t>
            </w:r>
            <w:r>
              <w:rPr>
                <w:rFonts w:ascii="Times New Roman" w:hAnsi="Times New Roman" w:eastAsia="宋体" w:cs="Times New Roman"/>
                <w:bCs/>
                <w:color w:val="000000"/>
                <w:kern w:val="0"/>
                <w:szCs w:val="21"/>
              </w:rPr>
              <w:t>4.2.1进样体积范围：0.01–25 μL，</w:t>
            </w:r>
            <w:r>
              <w:rPr>
                <w:rFonts w:hint="eastAsia" w:ascii="Times New Roman" w:hAnsi="Times New Roman" w:eastAsia="宋体" w:cs="Times New Roman"/>
                <w:bCs/>
                <w:color w:val="000000"/>
                <w:kern w:val="0"/>
                <w:szCs w:val="21"/>
              </w:rPr>
              <w:t>每分钟</w:t>
            </w:r>
            <w:r>
              <w:rPr>
                <w:rFonts w:ascii="Times New Roman" w:hAnsi="Times New Roman" w:eastAsia="宋体" w:cs="Times New Roman"/>
                <w:bCs/>
                <w:color w:val="000000"/>
                <w:kern w:val="0"/>
                <w:szCs w:val="21"/>
              </w:rPr>
              <w:t>步长≤0.</w:t>
            </w:r>
            <w:r>
              <w:rPr>
                <w:rFonts w:hint="eastAsia" w:ascii="Times New Roman" w:hAnsi="Times New Roman" w:eastAsia="宋体" w:cs="Times New Roman"/>
                <w:bCs/>
                <w:color w:val="000000"/>
                <w:kern w:val="0"/>
                <w:szCs w:val="21"/>
              </w:rPr>
              <w:t>0</w:t>
            </w:r>
            <w:r>
              <w:rPr>
                <w:rFonts w:ascii="Times New Roman" w:hAnsi="Times New Roman" w:eastAsia="宋体" w:cs="Times New Roman"/>
                <w:bCs/>
                <w:color w:val="000000"/>
                <w:kern w:val="0"/>
                <w:szCs w:val="21"/>
              </w:rPr>
              <w:t>1 μL，</w:t>
            </w:r>
            <w:r>
              <w:rPr>
                <w:rFonts w:ascii="Times New Roman" w:hAnsi="Times New Roman" w:eastAsia="宋体" w:cs="Times New Roman"/>
                <w:b/>
                <w:color w:val="000000"/>
                <w:kern w:val="0"/>
                <w:szCs w:val="21"/>
              </w:rPr>
              <w:t>此参数需提供产品彩页官网截图或技术白皮书作为证明材料；</w:t>
            </w:r>
          </w:p>
          <w:p w14:paraId="1064B3B2">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4.2.2自动进样器控温：4–40 ℃；</w:t>
            </w:r>
          </w:p>
          <w:p w14:paraId="74C49213">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4.2.3样品盘温度稳定性：±1 ℃；</w:t>
            </w:r>
          </w:p>
          <w:p w14:paraId="3E47BBA5">
            <w:pPr>
              <w:adjustRightInd w:val="0"/>
              <w:snapToGrid w:val="0"/>
              <w:jc w:val="left"/>
              <w:textAlignment w:val="baseline"/>
              <w:rPr>
                <w:rFonts w:ascii="Times New Roman" w:hAnsi="Times New Roman" w:eastAsia="宋体" w:cs="Times New Roman"/>
                <w:bCs/>
                <w:color w:val="000000"/>
                <w:kern w:val="0"/>
                <w:szCs w:val="21"/>
              </w:rPr>
            </w:pPr>
            <w:r>
              <w:rPr>
                <w:rFonts w:ascii="Segoe UI Symbol" w:hAnsi="Segoe UI Symbol" w:eastAsia="宋体" w:cs="Segoe UI Symbol"/>
                <w:bCs/>
                <w:color w:val="000000"/>
                <w:kern w:val="0"/>
                <w:szCs w:val="21"/>
              </w:rPr>
              <w:t>★</w:t>
            </w:r>
            <w:r>
              <w:rPr>
                <w:rFonts w:ascii="Times New Roman" w:hAnsi="Times New Roman" w:eastAsia="宋体" w:cs="Times New Roman"/>
                <w:bCs/>
                <w:color w:val="000000"/>
                <w:kern w:val="0"/>
                <w:szCs w:val="21"/>
              </w:rPr>
              <w:t>4.2.4 样品盘和容量：1.5 mL样品瓶容量≥200个</w:t>
            </w:r>
            <w:r>
              <w:rPr>
                <w:rFonts w:ascii="Times New Roman" w:hAnsi="Times New Roman" w:eastAsia="宋体" w:cs="Times New Roman"/>
                <w:b/>
                <w:color w:val="000000"/>
                <w:kern w:val="0"/>
                <w:szCs w:val="21"/>
              </w:rPr>
              <w:t>，此参数需提供产品彩页官网截图或技术白皮书作为证明材料；</w:t>
            </w:r>
          </w:p>
          <w:p w14:paraId="5B0229F8">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4.2.5 自动进样器溶液：4个洗针液：内外针洗，强弱各一；</w:t>
            </w:r>
          </w:p>
          <w:p w14:paraId="3BD740BA">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4.3柱温箱：</w:t>
            </w:r>
          </w:p>
          <w:p w14:paraId="026C07B3">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4.3.1 温控范围：5–80℃；</w:t>
            </w:r>
          </w:p>
          <w:p w14:paraId="5997E752">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4.3.2 温度精度：±0.3℃；</w:t>
            </w:r>
          </w:p>
          <w:p w14:paraId="05591D0D">
            <w:pPr>
              <w:adjustRightInd w:val="0"/>
              <w:snapToGrid w:val="0"/>
              <w:jc w:val="left"/>
              <w:textAlignment w:val="baseline"/>
              <w:rPr>
                <w:rFonts w:ascii="Times New Roman" w:hAnsi="Times New Roman" w:eastAsia="宋体" w:cs="Times New Roman"/>
                <w:bCs/>
                <w:color w:val="000000"/>
                <w:kern w:val="0"/>
                <w:szCs w:val="21"/>
              </w:rPr>
            </w:pPr>
            <w:r>
              <w:rPr>
                <w:rFonts w:ascii="Segoe UI Symbol" w:hAnsi="Segoe UI Symbol" w:eastAsia="宋体" w:cs="Segoe UI Symbol"/>
                <w:bCs/>
                <w:color w:val="000000"/>
                <w:kern w:val="0"/>
                <w:szCs w:val="21"/>
              </w:rPr>
              <w:t>★</w:t>
            </w:r>
            <w:r>
              <w:rPr>
                <w:rFonts w:ascii="Times New Roman" w:hAnsi="Times New Roman" w:eastAsia="宋体" w:cs="Times New Roman"/>
                <w:bCs/>
                <w:color w:val="000000"/>
                <w:kern w:val="0"/>
                <w:szCs w:val="21"/>
              </w:rPr>
              <w:t>4.3.3 加热时间：从35°C到65°C±1°C不到12分钟；</w:t>
            </w:r>
          </w:p>
          <w:p w14:paraId="596CB996">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4.3.4 温度准确度：±0.5°C；</w:t>
            </w:r>
          </w:p>
          <w:p w14:paraId="59F47C58">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4.3.5 柱容量：最大可用线性色谱柱加上接头长度为300 mm；</w:t>
            </w:r>
          </w:p>
          <w:p w14:paraId="0737FAFD">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4.4 蛋白组学分析软件</w:t>
            </w:r>
          </w:p>
          <w:p w14:paraId="0BFE994B">
            <w:pPr>
              <w:adjustRightInd w:val="0"/>
              <w:snapToGrid w:val="0"/>
              <w:jc w:val="left"/>
              <w:textAlignment w:val="baseline"/>
              <w:rPr>
                <w:rFonts w:ascii="Times New Roman" w:hAnsi="Times New Roman" w:eastAsia="宋体" w:cs="Times New Roman"/>
                <w:b/>
                <w:bCs/>
                <w:color w:val="000000"/>
                <w:kern w:val="0"/>
                <w:szCs w:val="21"/>
              </w:rPr>
            </w:pPr>
            <w:r>
              <w:rPr>
                <w:rFonts w:ascii="Cambria Math" w:hAnsi="Cambria Math" w:eastAsia="宋体" w:cs="Cambria Math"/>
                <w:b/>
                <w:bCs/>
                <w:sz w:val="24"/>
                <w:szCs w:val="24"/>
              </w:rPr>
              <w:t>◎</w:t>
            </w:r>
            <w:r>
              <w:rPr>
                <w:rFonts w:ascii="Times New Roman" w:hAnsi="Times New Roman" w:eastAsia="宋体" w:cs="Times New Roman"/>
                <w:b/>
                <w:bCs/>
                <w:color w:val="000000"/>
                <w:kern w:val="0"/>
                <w:szCs w:val="21"/>
              </w:rPr>
              <w:t>4.4.1软件需完全兼容本单位现有高分辨质谱仪。</w:t>
            </w:r>
          </w:p>
          <w:p w14:paraId="27FC32C9">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4.4.2软件可以解析来自各种裂解技术的MS</w:t>
            </w:r>
            <w:r>
              <w:rPr>
                <w:rFonts w:ascii="Times New Roman" w:hAnsi="Times New Roman" w:eastAsia="微软雅黑" w:cs="Times New Roman"/>
                <w:bCs/>
                <w:color w:val="000000"/>
                <w:kern w:val="0"/>
                <w:szCs w:val="21"/>
              </w:rPr>
              <w:t>ⁿ</w:t>
            </w:r>
            <w:r>
              <w:rPr>
                <w:rFonts w:ascii="Times New Roman" w:hAnsi="Times New Roman" w:eastAsia="宋体" w:cs="Times New Roman"/>
                <w:bCs/>
                <w:color w:val="000000"/>
                <w:kern w:val="0"/>
                <w:szCs w:val="21"/>
              </w:rPr>
              <w:t>数据，配合蛋白质数据库（数据库均可在网上免费下载）用于进行高通量的蛋白质鉴定。</w:t>
            </w:r>
          </w:p>
          <w:p w14:paraId="1D1FB6FD">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4.4.3软件需具有包括蛋白质编码，翻译后修饰（磷酸化、乙酰化等）位点，肽段序列及序列覆盖度，谱图匹配，鉴定结果可信度打分等功能。</w:t>
            </w:r>
          </w:p>
          <w:p w14:paraId="3F99C21B">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4.4.4软件需可处理同位素标记的蛋白质组学定量数据包括稳定同位素标记、同位素标记相对和绝对定量和多肽体外标记技术，给出不同样本间同一蛋白质的相对定量结果数据。</w:t>
            </w:r>
          </w:p>
          <w:p w14:paraId="519AFCE9">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4.4.5软件需可处理非同位素标记定量数据。</w:t>
            </w:r>
          </w:p>
          <w:p w14:paraId="288A69AD">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4.4.6质保期内免费升级。</w:t>
            </w:r>
          </w:p>
          <w:p w14:paraId="0D62EA7C">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4.5 纳喷离子源</w:t>
            </w:r>
          </w:p>
          <w:p w14:paraId="49F19FEB">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4.5.1 独立的纳流ESI离子源（即纳喷离子源），可与现有质谱联用，并可保证与原有ESI源实现快速切换。</w:t>
            </w:r>
          </w:p>
          <w:p w14:paraId="3E2B266D">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4.5.2 流速范围：50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nL/min～1</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μL/min。</w:t>
            </w:r>
          </w:p>
          <w:p w14:paraId="12C2F006">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4.5.3 既可与商品化色谱柱连接，也可与自制色谱柱连接。</w:t>
            </w:r>
          </w:p>
          <w:p w14:paraId="2FAAD499">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4.5.4 喷针的位置三维可调。</w:t>
            </w:r>
          </w:p>
          <w:p w14:paraId="0DD46954">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4.5.5 配有2个电荷耦合器件（CCD）摄像机，方便观察</w:t>
            </w:r>
            <w:r>
              <w:rPr>
                <w:rFonts w:hint="eastAsia" w:ascii="Times New Roman" w:hAnsi="Times New Roman" w:eastAsia="宋体" w:cs="Times New Roman"/>
                <w:bCs/>
                <w:color w:val="000000"/>
                <w:kern w:val="0"/>
                <w:szCs w:val="21"/>
              </w:rPr>
              <w:t>纳喷离子</w:t>
            </w:r>
            <w:r>
              <w:rPr>
                <w:rFonts w:ascii="Times New Roman" w:hAnsi="Times New Roman" w:eastAsia="宋体" w:cs="Times New Roman"/>
                <w:bCs/>
                <w:color w:val="000000"/>
                <w:kern w:val="0"/>
                <w:szCs w:val="21"/>
              </w:rPr>
              <w:t>源的喷雾情况。</w:t>
            </w:r>
          </w:p>
          <w:p w14:paraId="22BF5C3D">
            <w:pPr>
              <w:adjustRightInd w:val="0"/>
              <w:snapToGrid w:val="0"/>
              <w:jc w:val="left"/>
              <w:textAlignment w:val="baseline"/>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5、产品配置需求</w:t>
            </w:r>
            <w:r>
              <w:rPr>
                <w:rFonts w:ascii="Times New Roman" w:hAnsi="Times New Roman" w:eastAsia="宋体" w:cs="Times New Roman"/>
                <w:b/>
                <w:color w:val="000000"/>
                <w:kern w:val="0"/>
                <w:szCs w:val="21"/>
              </w:rPr>
              <w:tab/>
            </w:r>
          </w:p>
          <w:p w14:paraId="190B2F9B">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5.1纳升液相色谱（包含纳升液相、柱温箱、荧光检测器）1套；</w:t>
            </w:r>
          </w:p>
          <w:p w14:paraId="36C98ECD">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5.2纳喷离子源1套；</w:t>
            </w:r>
          </w:p>
          <w:p w14:paraId="5C53A911">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 xml:space="preserve">5.3蛋白组学软件1套； </w:t>
            </w:r>
          </w:p>
          <w:p w14:paraId="7E69B18C">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5.4色谱柱、两通、补集柱各1套，喷针6盒，分析柱6套；</w:t>
            </w:r>
          </w:p>
          <w:p w14:paraId="7EA24B36">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5.5数据处理终端1台（服务器：CPU，24</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cpu核，3.0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GHz主频，内存：128</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GB，光驱：USB DVD刻录，硬盘：1</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TB SSD，安装操作系统+4</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TB SATA存储数据，显示器：≥27寸显示器，键鼠：键盘鼠标一套）；打印/扫描/复印三合一数码文档处理设备2台。</w:t>
            </w:r>
          </w:p>
          <w:p w14:paraId="0FB193D3">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5.6蛋白组学实验前处理设备（但不限于下列），由供货商负责提供，仪器名称和参数如下：</w:t>
            </w:r>
          </w:p>
          <w:p w14:paraId="6D1C6514">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5.6.1真空干燥箱（1.生物专用；2.配备真空泵；3.控温范围：5</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℃~65</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℃，温度分辨率：0.1</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℃，恒温波动度：±0.5</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℃；4.整机质保1年。）</w:t>
            </w:r>
          </w:p>
          <w:p w14:paraId="75915C9B">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5.6.2多管漩涡混合仪（1.转速范围：500~2500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rpm，调速精度：±1</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rpm；2.可定时调控；3.整机质保1年。）</w:t>
            </w:r>
          </w:p>
          <w:p w14:paraId="2C8AF7C9">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5.6.3氮吹仪2台（1.控温范围：5</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℃~150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℃；2.升温速率：≤30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min（40℃~150℃）；3.样品处理模块：2个；4.每个针管可单独控制，提起按下可实现通道开关；5.整机质保1年。）</w:t>
            </w:r>
          </w:p>
          <w:p w14:paraId="35B42497">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5.6.4水浴锅（1. 8孔，具有单工位磁力搅拌功能；2.整机质保1年。）</w:t>
            </w:r>
          </w:p>
          <w:p w14:paraId="537528CF">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5.6.5迷你混匀仪（1.操作显示方式：按键+数显，速度范围：300 ~3000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rpm，运行方式：连续运转或点动；2.可用配件：全部；3.整机质保1年。）</w:t>
            </w:r>
          </w:p>
          <w:p w14:paraId="45161807">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5.6.6pH计（1.电子测量范围：0.00~14.00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pH，–1999~1999</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mV，0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°C~100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°C；2.分辨率：0.01</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pH/1</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mV/0.1</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°C，准确度：± 0.01</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pH/± 1</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mV/±0.5</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°C；3.缓冲液组：2组(中国、美国)，校准：3点；4.另加1个pH电极；5.整机质保1年。）</w:t>
            </w:r>
          </w:p>
          <w:p w14:paraId="5142C51A">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5.6.7干式恒温器（1.控温范围：–10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°C~100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°C；2.升温速度：≤15</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min（20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°C~100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°C）；3.降温速度：≤30min（室温下降30°C）；4.整机质保1年。）</w:t>
            </w:r>
          </w:p>
          <w:p w14:paraId="4E65AAD0">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5.6.8混匀小精灵（1.转速范围：300~3000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rpm；2. 24*1.5/2.0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mL离心管支架；3.整机质保1年。）</w:t>
            </w:r>
          </w:p>
          <w:p w14:paraId="12145F24">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5.6.9液氮罐（1.容积：30L；2.整机质保1年。）</w:t>
            </w:r>
          </w:p>
          <w:p w14:paraId="5AED1A58">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5.6.10超声波清洗机（1.功率：200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W；2.频率：40KHz；3.整机质保1年。）</w:t>
            </w:r>
          </w:p>
          <w:p w14:paraId="019D4BC7">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5.6.11 小型离心机（1.12*1.5/2.0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mL离心管支架；2.最大转速10000</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rpm以上；3.整机质保1年。）</w:t>
            </w:r>
          </w:p>
          <w:p w14:paraId="63DDDDA7">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5.6.12 C18除盐柱5盒；</w:t>
            </w:r>
          </w:p>
          <w:p w14:paraId="5B7A2460">
            <w:pPr>
              <w:adjustRightInd w:val="0"/>
              <w:snapToGrid w:val="0"/>
              <w:jc w:val="left"/>
              <w:textAlignment w:val="baseline"/>
              <w:rPr>
                <w:rFonts w:hint="eastAsia"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5.6.13 独立工作站：用以蛋白数据处理，配置要求不低于：7995</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WX*1，64</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G</w:t>
            </w:r>
            <w:r>
              <w:rPr>
                <w:rFonts w:hint="eastAsia" w:ascii="Times New Roman" w:hAnsi="Times New Roman" w:eastAsia="宋体" w:cs="Times New Roman"/>
                <w:bCs/>
                <w:color w:val="000000"/>
                <w:kern w:val="0"/>
                <w:szCs w:val="21"/>
              </w:rPr>
              <w:t xml:space="preserve">B </w:t>
            </w:r>
            <w:r>
              <w:rPr>
                <w:rFonts w:ascii="Times New Roman" w:hAnsi="Times New Roman" w:eastAsia="宋体" w:cs="Times New Roman"/>
                <w:bCs/>
                <w:color w:val="000000"/>
                <w:kern w:val="0"/>
                <w:szCs w:val="21"/>
              </w:rPr>
              <w:t>DDR5内存*8 ，4</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TB SSD*1，8TB硬盘*1，4090显卡*1。</w:t>
            </w:r>
          </w:p>
          <w:p w14:paraId="260A5A05">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具体见下列清单：真空干燥箱、多管漩涡混合仪、氮吹仪（2台）、水浴锅、迷你混匀仪、pH计、干式恒温器、混匀小精灵、液氮罐、超声波清洗机、小型离心机、</w:t>
            </w:r>
            <w:r>
              <w:rPr>
                <w:rFonts w:hint="eastAsia" w:ascii="Times New Roman" w:hAnsi="Times New Roman" w:eastAsia="宋体" w:cs="Times New Roman"/>
                <w:bCs/>
                <w:color w:val="000000"/>
                <w:kern w:val="0"/>
                <w:szCs w:val="21"/>
              </w:rPr>
              <w:t>C18除盐柱（5盒）、</w:t>
            </w:r>
            <w:r>
              <w:rPr>
                <w:rFonts w:ascii="Times New Roman" w:hAnsi="Times New Roman" w:eastAsia="宋体" w:cs="Times New Roman"/>
                <w:bCs/>
                <w:color w:val="000000"/>
                <w:kern w:val="0"/>
                <w:szCs w:val="21"/>
              </w:rPr>
              <w:t>独立工作站等。</w:t>
            </w:r>
          </w:p>
          <w:p w14:paraId="2D826F74">
            <w:pPr>
              <w:adjustRightInd w:val="0"/>
              <w:snapToGrid w:val="0"/>
              <w:jc w:val="left"/>
              <w:textAlignment w:val="baseline"/>
              <w:rPr>
                <w:rFonts w:ascii="宋体" w:hAnsi="宋体" w:eastAsia="宋体" w:cs="Times New Roman"/>
                <w:b/>
                <w:color w:val="000000"/>
                <w:kern w:val="0"/>
                <w:szCs w:val="21"/>
              </w:rPr>
            </w:pPr>
            <w:r>
              <w:rPr>
                <w:rFonts w:hint="eastAsia" w:ascii="宋体" w:hAnsi="宋体" w:eastAsia="宋体" w:cs="Times New Roman"/>
                <w:b/>
                <w:color w:val="000000"/>
                <w:kern w:val="0"/>
                <w:szCs w:val="21"/>
              </w:rPr>
              <w:t>6、技术服务</w:t>
            </w:r>
          </w:p>
          <w:p w14:paraId="56B73D00">
            <w:pPr>
              <w:adjustRightInd w:val="0"/>
              <w:snapToGrid w:val="0"/>
              <w:jc w:val="left"/>
              <w:textAlignment w:val="baseline"/>
              <w:rPr>
                <w:rFonts w:ascii="宋体" w:hAnsi="宋体" w:eastAsia="宋体" w:cs="Times New Roman"/>
                <w:bCs/>
                <w:color w:val="000000"/>
                <w:kern w:val="0"/>
                <w:szCs w:val="21"/>
              </w:rPr>
            </w:pPr>
            <w:r>
              <w:rPr>
                <w:rFonts w:hint="eastAsia" w:ascii="宋体" w:hAnsi="宋体" w:eastAsia="宋体" w:cs="Times New Roman"/>
                <w:bCs/>
                <w:color w:val="000000"/>
                <w:kern w:val="0"/>
                <w:szCs w:val="21"/>
              </w:rPr>
              <w:t>6.1设备安装调试：纳升液相色谱仪接受进口产品。设备到达用户所在地后，在接到用户通知后15天内执行安装调试直至达到验收指标，试用无故障后完成验收，并签订验收报告。</w:t>
            </w:r>
          </w:p>
          <w:p w14:paraId="14E18C3C">
            <w:pPr>
              <w:adjustRightInd w:val="0"/>
              <w:snapToGrid w:val="0"/>
              <w:jc w:val="left"/>
              <w:textAlignment w:val="baseline"/>
              <w:rPr>
                <w:rFonts w:ascii="宋体" w:hAnsi="宋体" w:eastAsia="宋体" w:cs="Times New Roman"/>
                <w:bCs/>
                <w:color w:val="000000"/>
                <w:kern w:val="0"/>
                <w:szCs w:val="21"/>
              </w:rPr>
            </w:pPr>
            <w:r>
              <w:rPr>
                <w:rFonts w:hint="eastAsia" w:ascii="宋体" w:hAnsi="宋体" w:eastAsia="宋体" w:cs="Times New Roman"/>
                <w:bCs/>
                <w:color w:val="000000"/>
                <w:kern w:val="0"/>
                <w:szCs w:val="21"/>
              </w:rPr>
              <w:t>6.2技术培训：在用户所在地对用户进行免费现场培训。培训内容包括仪器的技术原理、操作、数据处理、基本维护等。</w:t>
            </w:r>
          </w:p>
          <w:p w14:paraId="79D08197">
            <w:pPr>
              <w:adjustRightInd w:val="0"/>
              <w:snapToGrid w:val="0"/>
              <w:jc w:val="left"/>
              <w:textAlignment w:val="baseline"/>
              <w:rPr>
                <w:rFonts w:ascii="宋体" w:hAnsi="宋体" w:eastAsia="宋体" w:cs="Times New Roman"/>
                <w:bCs/>
                <w:color w:val="000000"/>
                <w:kern w:val="0"/>
                <w:szCs w:val="21"/>
              </w:rPr>
            </w:pPr>
            <w:r>
              <w:rPr>
                <w:rFonts w:hint="eastAsia" w:ascii="宋体" w:hAnsi="宋体" w:eastAsia="宋体" w:cs="Times New Roman"/>
                <w:bCs/>
                <w:color w:val="000000"/>
                <w:kern w:val="0"/>
                <w:szCs w:val="21"/>
              </w:rPr>
              <w:t>★6.3保修期：纳升液相色谱仪整机质保3年，质保范围包括仪器整机和其所有附属配件。前处理设备免费质保期限：见招标技术参数。</w:t>
            </w:r>
          </w:p>
          <w:p w14:paraId="3D0D0FD6">
            <w:pPr>
              <w:adjustRightInd w:val="0"/>
              <w:snapToGrid w:val="0"/>
              <w:jc w:val="left"/>
              <w:textAlignment w:val="baseline"/>
              <w:rPr>
                <w:rFonts w:ascii="宋体" w:hAnsi="宋体" w:eastAsia="宋体" w:cs="Times New Roman"/>
                <w:bCs/>
                <w:color w:val="000000"/>
                <w:kern w:val="0"/>
                <w:szCs w:val="21"/>
              </w:rPr>
            </w:pPr>
            <w:r>
              <w:rPr>
                <w:rFonts w:hint="eastAsia" w:ascii="宋体" w:hAnsi="宋体" w:eastAsia="宋体" w:cs="Times New Roman"/>
                <w:bCs/>
                <w:color w:val="000000"/>
                <w:kern w:val="0"/>
                <w:szCs w:val="21"/>
              </w:rPr>
              <w:t>6.4维修响应时间：供应商必须保证快速的服务响应。得到通知后，在8小时内提供服务确认，保证技术人员的操作疑问能够在24小时内得到解答，48小时内到达现场。</w:t>
            </w:r>
          </w:p>
          <w:p w14:paraId="59606B75">
            <w:pPr>
              <w:adjustRightInd w:val="0"/>
              <w:snapToGrid w:val="0"/>
              <w:jc w:val="left"/>
              <w:textAlignment w:val="baseline"/>
              <w:rPr>
                <w:rFonts w:ascii="宋体" w:hAnsi="宋体" w:eastAsia="宋体" w:cs="Times New Roman"/>
                <w:b/>
                <w:color w:val="000000"/>
                <w:kern w:val="0"/>
                <w:szCs w:val="21"/>
              </w:rPr>
            </w:pPr>
            <w:r>
              <w:rPr>
                <w:rFonts w:hint="eastAsia" w:ascii="宋体" w:hAnsi="宋体" w:eastAsia="宋体" w:cs="Times New Roman"/>
                <w:b/>
                <w:color w:val="000000"/>
                <w:kern w:val="0"/>
                <w:szCs w:val="21"/>
              </w:rPr>
              <w:t>7、其他说明</w:t>
            </w:r>
          </w:p>
          <w:p w14:paraId="7F31C750">
            <w:pPr>
              <w:adjustRightInd w:val="0"/>
              <w:snapToGrid w:val="0"/>
              <w:jc w:val="left"/>
              <w:textAlignment w:val="baseline"/>
              <w:rPr>
                <w:rFonts w:ascii="宋体" w:hAnsi="宋体" w:eastAsia="宋体" w:cs="Times New Roman"/>
                <w:bCs/>
                <w:color w:val="000000"/>
                <w:kern w:val="0"/>
                <w:szCs w:val="21"/>
              </w:rPr>
            </w:pPr>
            <w:r>
              <w:rPr>
                <w:rFonts w:hint="eastAsia" w:ascii="宋体" w:hAnsi="宋体" w:eastAsia="宋体" w:cs="Times New Roman"/>
                <w:bCs/>
                <w:color w:val="000000"/>
                <w:kern w:val="0"/>
                <w:szCs w:val="21"/>
              </w:rPr>
              <w:t>7.1现场培训：仪器到货后进行基本操作讲解，工程师在调试仪器的同时，让用户能够自己操作仪器，使仪器使用者能全面、熟练掌握仪器性能和操作使用；会判断、处理一般常见故障。其培训内容指的是仪器设备的基本原理、安装、调试、操作使用和日常保养维修等。培训时间不少于2个工作日。</w:t>
            </w:r>
          </w:p>
          <w:p w14:paraId="7293514D">
            <w:pPr>
              <w:adjustRightInd w:val="0"/>
              <w:snapToGrid w:val="0"/>
              <w:jc w:val="left"/>
              <w:textAlignment w:val="baseline"/>
              <w:rPr>
                <w:rFonts w:ascii="宋体" w:hAnsi="宋体" w:eastAsia="宋体" w:cs="Times New Roman"/>
                <w:bCs/>
                <w:color w:val="000000"/>
                <w:kern w:val="0"/>
                <w:szCs w:val="21"/>
              </w:rPr>
            </w:pPr>
            <w:r>
              <w:rPr>
                <w:rFonts w:hint="eastAsia" w:ascii="宋体" w:hAnsi="宋体" w:eastAsia="宋体" w:cs="Times New Roman"/>
                <w:bCs/>
                <w:color w:val="000000"/>
                <w:kern w:val="0"/>
                <w:szCs w:val="21"/>
              </w:rPr>
              <w:t>7.2专业培训：提供两名免费名额到厂家总部培训学习的机会，培训时间不少于7个工作日。差旅费和食宿费用全部由供货商承担。</w:t>
            </w:r>
          </w:p>
          <w:p w14:paraId="011C3995">
            <w:pPr>
              <w:adjustRightInd w:val="0"/>
              <w:snapToGrid w:val="0"/>
              <w:jc w:val="left"/>
              <w:textAlignment w:val="baseline"/>
              <w:rPr>
                <w:rFonts w:ascii="宋体" w:hAnsi="宋体" w:eastAsia="宋体" w:cs="Times New Roman"/>
                <w:bCs/>
                <w:color w:val="000000"/>
                <w:kern w:val="0"/>
                <w:szCs w:val="21"/>
              </w:rPr>
            </w:pPr>
            <w:r>
              <w:rPr>
                <w:rFonts w:hint="eastAsia" w:ascii="宋体" w:hAnsi="宋体" w:eastAsia="宋体" w:cs="Times New Roman"/>
                <w:bCs/>
                <w:color w:val="000000"/>
                <w:kern w:val="0"/>
                <w:szCs w:val="21"/>
              </w:rPr>
              <w:t>7.3其他：无需其他任何辅助设备仪器均能正常工作。仪器设备的环境改造（包括水、电以及实验台等）所需费用由供货商负责。</w:t>
            </w:r>
          </w:p>
          <w:p w14:paraId="34B2960F">
            <w:pPr>
              <w:adjustRightInd w:val="0"/>
              <w:snapToGrid w:val="0"/>
              <w:jc w:val="left"/>
              <w:textAlignment w:val="baseline"/>
              <w:rPr>
                <w:rFonts w:ascii="宋体" w:hAnsi="宋体" w:eastAsia="宋体" w:cs="Times New Roman"/>
                <w:bCs/>
                <w:color w:val="000000"/>
                <w:kern w:val="0"/>
                <w:szCs w:val="21"/>
              </w:rPr>
            </w:pPr>
            <w:r>
              <w:rPr>
                <w:rFonts w:hint="eastAsia" w:ascii="宋体" w:hAnsi="宋体" w:eastAsia="宋体" w:cs="Times New Roman"/>
                <w:bCs/>
                <w:color w:val="000000"/>
                <w:kern w:val="0"/>
                <w:szCs w:val="21"/>
              </w:rPr>
              <w:t>7.4按照客户需求提供整机免费搬迁1次。</w:t>
            </w:r>
          </w:p>
        </w:tc>
        <w:tc>
          <w:tcPr>
            <w:tcW w:w="0" w:type="auto"/>
            <w:noWrap w:val="0"/>
            <w:vAlign w:val="center"/>
          </w:tcPr>
          <w:p w14:paraId="45DC9907">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1套</w:t>
            </w:r>
          </w:p>
        </w:tc>
      </w:tr>
      <w:bookmarkEnd w:id="28"/>
      <w:tr w14:paraId="2CFE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692A858">
            <w:pPr>
              <w:adjustRightInd w:val="0"/>
              <w:snapToGrid w:val="0"/>
              <w:jc w:val="center"/>
              <w:rPr>
                <w:rFonts w:ascii="宋体" w:hAnsi="宋体" w:eastAsia="宋体" w:cs="Times New Roman"/>
                <w:szCs w:val="21"/>
              </w:rPr>
            </w:pPr>
            <w:r>
              <w:rPr>
                <w:rFonts w:hint="eastAsia" w:ascii="宋体" w:hAnsi="宋体" w:eastAsia="宋体" w:cs="Times New Roman"/>
                <w:szCs w:val="21"/>
              </w:rPr>
              <w:t>2</w:t>
            </w:r>
          </w:p>
        </w:tc>
        <w:tc>
          <w:tcPr>
            <w:tcW w:w="0" w:type="auto"/>
            <w:noWrap w:val="0"/>
            <w:vAlign w:val="center"/>
          </w:tcPr>
          <w:p w14:paraId="0ACABC2F">
            <w:pPr>
              <w:adjustRightInd w:val="0"/>
              <w:snapToGrid w:val="0"/>
              <w:rPr>
                <w:rFonts w:ascii="宋体" w:hAnsi="宋体" w:eastAsia="宋体" w:cs="Times New Roman"/>
                <w:szCs w:val="21"/>
              </w:rPr>
            </w:pPr>
            <w:r>
              <w:rPr>
                <w:rFonts w:hint="eastAsia" w:ascii="宋体" w:hAnsi="宋体" w:eastAsia="宋体" w:cs="Times New Roman"/>
                <w:szCs w:val="21"/>
              </w:rPr>
              <w:t>微波消解系统</w:t>
            </w:r>
          </w:p>
        </w:tc>
        <w:tc>
          <w:tcPr>
            <w:tcW w:w="0" w:type="auto"/>
            <w:noWrap w:val="0"/>
            <w:vAlign w:val="top"/>
          </w:tcPr>
          <w:p w14:paraId="6B7213D4">
            <w:pPr>
              <w:adjustRightInd w:val="0"/>
              <w:snapToGrid w:val="0"/>
              <w:jc w:val="left"/>
              <w:textAlignment w:val="baseline"/>
              <w:rPr>
                <w:rFonts w:ascii="宋体" w:hAnsi="宋体" w:eastAsia="宋体" w:cs="Times New Roman"/>
                <w:b/>
                <w:bCs/>
                <w:color w:val="000000"/>
                <w:kern w:val="0"/>
                <w:szCs w:val="21"/>
              </w:rPr>
            </w:pPr>
            <w:r>
              <w:rPr>
                <w:rFonts w:ascii="宋体" w:hAnsi="宋体" w:eastAsia="宋体" w:cs="Times New Roman"/>
                <w:b/>
                <w:bCs/>
                <w:color w:val="000000"/>
                <w:kern w:val="0"/>
                <w:szCs w:val="21"/>
              </w:rPr>
              <w:t>1、应用范围</w:t>
            </w:r>
          </w:p>
          <w:p w14:paraId="531A61C8">
            <w:pPr>
              <w:adjustRightInd w:val="0"/>
              <w:snapToGrid w:val="0"/>
              <w:jc w:val="left"/>
              <w:textAlignment w:val="baseline"/>
              <w:rPr>
                <w:rFonts w:ascii="宋体" w:hAnsi="宋体" w:eastAsia="宋体" w:cs="Times New Roman"/>
                <w:szCs w:val="21"/>
              </w:rPr>
            </w:pPr>
            <w:r>
              <w:rPr>
                <w:rFonts w:hint="eastAsia" w:ascii="宋体" w:hAnsi="宋体" w:eastAsia="宋体" w:cs="Times New Roman"/>
                <w:szCs w:val="21"/>
              </w:rPr>
              <w:t>用于各种样品的微波消解和萃取过程</w:t>
            </w:r>
            <w:r>
              <w:rPr>
                <w:rFonts w:ascii="宋体" w:hAnsi="宋体" w:eastAsia="宋体" w:cs="Times New Roman"/>
                <w:bCs/>
                <w:color w:val="000000"/>
                <w:kern w:val="0"/>
                <w:szCs w:val="21"/>
              </w:rPr>
              <w:t>。</w:t>
            </w:r>
          </w:p>
          <w:p w14:paraId="44B9E846">
            <w:pPr>
              <w:adjustRightInd w:val="0"/>
              <w:snapToGrid w:val="0"/>
              <w:jc w:val="left"/>
              <w:textAlignment w:val="baseline"/>
              <w:rPr>
                <w:rFonts w:ascii="宋体" w:hAnsi="宋体" w:eastAsia="宋体" w:cs="Times New Roman"/>
                <w:b/>
                <w:szCs w:val="21"/>
              </w:rPr>
            </w:pPr>
            <w:r>
              <w:rPr>
                <w:rFonts w:ascii="宋体" w:hAnsi="宋体" w:eastAsia="宋体" w:cs="Times New Roman"/>
                <w:b/>
                <w:szCs w:val="21"/>
              </w:rPr>
              <w:t>2、仪器用途要求及基本要求</w:t>
            </w:r>
          </w:p>
          <w:p w14:paraId="718F483D">
            <w:pPr>
              <w:adjustRightInd w:val="0"/>
              <w:snapToGrid w:val="0"/>
              <w:jc w:val="left"/>
              <w:textAlignment w:val="baseline"/>
              <w:rPr>
                <w:rFonts w:ascii="宋体" w:hAnsi="宋体" w:eastAsia="宋体" w:cs="Times New Roman"/>
                <w:szCs w:val="21"/>
              </w:rPr>
            </w:pPr>
            <w:r>
              <w:rPr>
                <w:rFonts w:hint="eastAsia" w:ascii="宋体" w:hAnsi="宋体" w:eastAsia="宋体" w:cs="Times New Roman"/>
                <w:szCs w:val="21"/>
              </w:rPr>
              <w:t>用于各种样品的微波消解和萃取过程</w:t>
            </w:r>
            <w:r>
              <w:rPr>
                <w:rFonts w:ascii="宋体" w:hAnsi="宋体" w:eastAsia="宋体" w:cs="Times New Roman"/>
                <w:bCs/>
                <w:color w:val="000000"/>
                <w:kern w:val="0"/>
                <w:szCs w:val="21"/>
              </w:rPr>
              <w:t>。</w:t>
            </w:r>
          </w:p>
          <w:p w14:paraId="652F17BF">
            <w:pPr>
              <w:adjustRightInd w:val="0"/>
              <w:snapToGrid w:val="0"/>
              <w:jc w:val="left"/>
              <w:textAlignment w:val="baseline"/>
              <w:rPr>
                <w:rFonts w:ascii="宋体" w:hAnsi="宋体" w:eastAsia="宋体" w:cs="Times New Roman"/>
                <w:b/>
                <w:szCs w:val="21"/>
              </w:rPr>
            </w:pPr>
            <w:r>
              <w:rPr>
                <w:rFonts w:ascii="宋体" w:hAnsi="宋体" w:eastAsia="宋体" w:cs="Times New Roman"/>
                <w:b/>
                <w:szCs w:val="21"/>
              </w:rPr>
              <w:t>3、工作条件</w:t>
            </w:r>
          </w:p>
          <w:p w14:paraId="0CC103A3">
            <w:pPr>
              <w:adjustRightInd w:val="0"/>
              <w:snapToGrid w:val="0"/>
              <w:jc w:val="left"/>
              <w:textAlignment w:val="baseline"/>
              <w:rPr>
                <w:rFonts w:ascii="宋体" w:hAnsi="宋体" w:eastAsia="宋体" w:cs="Times New Roman"/>
                <w:szCs w:val="21"/>
              </w:rPr>
            </w:pPr>
            <w:r>
              <w:rPr>
                <w:rFonts w:ascii="宋体" w:hAnsi="宋体" w:eastAsia="宋体" w:cs="Times New Roman"/>
                <w:szCs w:val="21"/>
              </w:rPr>
              <w:t>3.1电源：230V±10%，AC(交流)，50/60Hz</w:t>
            </w:r>
          </w:p>
          <w:p w14:paraId="2A099473">
            <w:pPr>
              <w:adjustRightInd w:val="0"/>
              <w:snapToGrid w:val="0"/>
              <w:jc w:val="left"/>
              <w:textAlignment w:val="baseline"/>
              <w:rPr>
                <w:rFonts w:ascii="宋体" w:hAnsi="宋体" w:eastAsia="宋体" w:cs="Times New Roman"/>
                <w:szCs w:val="21"/>
              </w:rPr>
            </w:pPr>
            <w:r>
              <w:rPr>
                <w:rFonts w:ascii="宋体" w:hAnsi="宋体" w:eastAsia="宋体" w:cs="Times New Roman"/>
                <w:szCs w:val="21"/>
              </w:rPr>
              <w:t>3.2环境温度：16–26℃（最优：18~21℃）</w:t>
            </w:r>
          </w:p>
          <w:p w14:paraId="2C8CAE97">
            <w:pPr>
              <w:adjustRightInd w:val="0"/>
              <w:snapToGrid w:val="0"/>
              <w:jc w:val="left"/>
              <w:textAlignment w:val="baseline"/>
              <w:rPr>
                <w:rFonts w:ascii="宋体" w:hAnsi="宋体" w:eastAsia="宋体" w:cs="Times New Roman"/>
                <w:szCs w:val="21"/>
              </w:rPr>
            </w:pPr>
            <w:r>
              <w:rPr>
                <w:rFonts w:ascii="宋体" w:hAnsi="宋体" w:eastAsia="宋体" w:cs="Times New Roman"/>
                <w:szCs w:val="21"/>
              </w:rPr>
              <w:t>3.3相对湿度：50–80%</w:t>
            </w:r>
          </w:p>
          <w:p w14:paraId="2602317D">
            <w:pPr>
              <w:adjustRightInd w:val="0"/>
              <w:snapToGrid w:val="0"/>
              <w:jc w:val="left"/>
              <w:textAlignment w:val="baseline"/>
              <w:rPr>
                <w:rFonts w:ascii="宋体" w:hAnsi="宋体" w:eastAsia="宋体" w:cs="Times New Roman"/>
                <w:b/>
                <w:szCs w:val="21"/>
              </w:rPr>
            </w:pPr>
            <w:r>
              <w:rPr>
                <w:rFonts w:ascii="宋体" w:hAnsi="宋体" w:eastAsia="宋体" w:cs="Times New Roman"/>
                <w:b/>
                <w:szCs w:val="21"/>
              </w:rPr>
              <w:t>4、主要参数指标</w:t>
            </w:r>
          </w:p>
          <w:p w14:paraId="12D5D41B">
            <w:pPr>
              <w:adjustRightInd w:val="0"/>
              <w:snapToGrid w:val="0"/>
              <w:rPr>
                <w:rFonts w:ascii="宋体" w:hAnsi="宋体" w:eastAsia="宋体" w:cs="Times New Roman"/>
                <w:szCs w:val="21"/>
              </w:rPr>
            </w:pPr>
            <w:r>
              <w:rPr>
                <w:rFonts w:ascii="宋体" w:hAnsi="宋体" w:eastAsia="宋体" w:cs="Times New Roman"/>
                <w:szCs w:val="21"/>
              </w:rPr>
              <w:t>4.1基本配置：全不锈钢微波消解萃取系统主1套、高精度全罐温度控制系统1套、全罐压力控制系统1套、自动落锁系统1套、全塑不含金属材质整套高压消解转子1套(含全塑转子支架</w:t>
            </w:r>
            <w:r>
              <w:rPr>
                <w:rFonts w:hint="eastAsia" w:ascii="宋体" w:hAnsi="宋体" w:eastAsia="宋体" w:cs="Times New Roman"/>
                <w:szCs w:val="21"/>
              </w:rPr>
              <w:t>，</w:t>
            </w:r>
            <w:r>
              <w:rPr>
                <w:rFonts w:ascii="宋体" w:hAnsi="宋体" w:eastAsia="宋体" w:cs="Times New Roman"/>
                <w:szCs w:val="21"/>
              </w:rPr>
              <w:t>内罐</w:t>
            </w:r>
            <w:r>
              <w:rPr>
                <w:rFonts w:hint="eastAsia" w:ascii="宋体" w:hAnsi="宋体" w:eastAsia="宋体" w:cs="Times New Roman"/>
                <w:szCs w:val="21"/>
              </w:rPr>
              <w:t>，</w:t>
            </w:r>
            <w:r>
              <w:rPr>
                <w:rFonts w:ascii="宋体" w:hAnsi="宋体" w:eastAsia="宋体" w:cs="Times New Roman"/>
                <w:szCs w:val="21"/>
              </w:rPr>
              <w:t>外罐</w:t>
            </w:r>
            <w:r>
              <w:rPr>
                <w:rFonts w:hint="eastAsia" w:ascii="宋体" w:hAnsi="宋体" w:eastAsia="宋体" w:cs="Times New Roman"/>
                <w:szCs w:val="21"/>
              </w:rPr>
              <w:t>，</w:t>
            </w:r>
            <w:r>
              <w:rPr>
                <w:rFonts w:ascii="宋体" w:hAnsi="宋体" w:eastAsia="宋体" w:cs="Times New Roman"/>
                <w:szCs w:val="21"/>
              </w:rPr>
              <w:t>内塞，盖子等)、分离式触摸屏控制终端1套、消解内罐44个、配套赶酸器1台、酸缸1套、实验室隔断及墙面处理；</w:t>
            </w:r>
          </w:p>
          <w:p w14:paraId="428FFD0D">
            <w:pPr>
              <w:adjustRightInd w:val="0"/>
              <w:snapToGrid w:val="0"/>
              <w:rPr>
                <w:rFonts w:ascii="宋体" w:hAnsi="宋体" w:eastAsia="宋体" w:cs="Times New Roman"/>
                <w:szCs w:val="21"/>
              </w:rPr>
            </w:pPr>
            <w:r>
              <w:rPr>
                <w:rFonts w:hint="eastAsia" w:ascii="宋体" w:hAnsi="宋体" w:eastAsia="宋体" w:cs="Times New Roman"/>
                <w:szCs w:val="21"/>
              </w:rPr>
              <w:t>4.2硬件部分：</w:t>
            </w:r>
          </w:p>
          <w:p w14:paraId="764613D3">
            <w:pPr>
              <w:adjustRightInd w:val="0"/>
              <w:snapToGrid w:val="0"/>
              <w:rPr>
                <w:rFonts w:ascii="宋体" w:hAnsi="宋体" w:eastAsia="宋体" w:cs="Times New Roman"/>
                <w:szCs w:val="21"/>
              </w:rPr>
            </w:pPr>
            <w:r>
              <w:rPr>
                <w:rFonts w:hint="eastAsia" w:ascii="宋体" w:hAnsi="宋体" w:eastAsia="宋体" w:cs="Times New Roman"/>
                <w:szCs w:val="21"/>
              </w:rPr>
              <w:t>1)采用最先进的双磁控管微波控制技术，微波输出功率≥1900W。</w:t>
            </w:r>
          </w:p>
          <w:p w14:paraId="3E5557EC">
            <w:pPr>
              <w:adjustRightInd w:val="0"/>
              <w:snapToGrid w:val="0"/>
              <w:rPr>
                <w:rFonts w:ascii="宋体" w:hAnsi="宋体" w:eastAsia="宋体" w:cs="Times New Roman"/>
                <w:szCs w:val="21"/>
              </w:rPr>
            </w:pPr>
            <w:r>
              <w:rPr>
                <w:rFonts w:hint="eastAsia" w:ascii="宋体" w:hAnsi="宋体" w:eastAsia="宋体" w:cs="Times New Roman"/>
                <w:szCs w:val="21"/>
              </w:rPr>
              <w:t>★2)</w:t>
            </w:r>
            <w:r>
              <w:rPr>
                <w:rFonts w:hint="eastAsia" w:ascii="Times New Roman" w:hAnsi="Times New Roman" w:eastAsia="宋体" w:cs="Times New Roman"/>
                <w:szCs w:val="22"/>
              </w:rPr>
              <w:t xml:space="preserve"> </w:t>
            </w:r>
            <w:r>
              <w:rPr>
                <w:rFonts w:hint="eastAsia" w:ascii="宋体" w:hAnsi="宋体" w:eastAsia="宋体" w:cs="Times New Roman"/>
                <w:szCs w:val="21"/>
              </w:rPr>
              <w:t>高安全标准，生产厂家全线产品质量体系获得ISO9001证书。</w:t>
            </w:r>
            <w:r>
              <w:rPr>
                <w:rFonts w:hint="eastAsia" w:ascii="宋体" w:hAnsi="宋体" w:eastAsia="宋体" w:cs="Times New Roman"/>
                <w:b/>
                <w:bCs/>
                <w:szCs w:val="21"/>
              </w:rPr>
              <w:t>（此参数需提供认证证书或国家认监委的查询截图）</w:t>
            </w:r>
          </w:p>
          <w:p w14:paraId="24B3EF13">
            <w:pPr>
              <w:adjustRightInd w:val="0"/>
              <w:snapToGrid w:val="0"/>
              <w:rPr>
                <w:rFonts w:ascii="宋体" w:hAnsi="宋体" w:eastAsia="宋体" w:cs="Times New Roman"/>
                <w:szCs w:val="21"/>
              </w:rPr>
            </w:pPr>
            <w:r>
              <w:rPr>
                <w:rFonts w:hint="eastAsia" w:ascii="宋体" w:hAnsi="宋体" w:eastAsia="宋体" w:cs="Times New Roman"/>
                <w:szCs w:val="21"/>
              </w:rPr>
              <w:t>★3)微波发射方式具有脉冲和非脉冲两种方式。满功率工作时，微波泄漏量≤0.05mW/cm2. （</w:t>
            </w:r>
            <w:r>
              <w:rPr>
                <w:rFonts w:hint="eastAsia" w:ascii="宋体" w:hAnsi="宋体" w:eastAsia="宋体" w:cs="Times New Roman"/>
                <w:b/>
                <w:bCs/>
                <w:szCs w:val="21"/>
              </w:rPr>
              <w:t>此参数需提供产品彩页官网截图或技术白皮书作为证明材料</w:t>
            </w:r>
            <w:r>
              <w:rPr>
                <w:rFonts w:hint="eastAsia" w:ascii="宋体" w:hAnsi="宋体" w:eastAsia="宋体" w:cs="Times New Roman"/>
                <w:szCs w:val="21"/>
              </w:rPr>
              <w:t>）</w:t>
            </w:r>
          </w:p>
          <w:p w14:paraId="03FC6677">
            <w:pPr>
              <w:adjustRightInd w:val="0"/>
              <w:snapToGrid w:val="0"/>
              <w:rPr>
                <w:rFonts w:ascii="宋体" w:hAnsi="宋体" w:eastAsia="宋体" w:cs="Times New Roman"/>
                <w:szCs w:val="21"/>
              </w:rPr>
            </w:pPr>
            <w:r>
              <w:rPr>
                <w:rFonts w:hint="eastAsia" w:ascii="宋体" w:hAnsi="宋体" w:eastAsia="宋体" w:cs="Times New Roman"/>
                <w:szCs w:val="21"/>
              </w:rPr>
              <w:t>4)多维微波能量输出，“微波散射器技术”和特殊的能量最大化技术结合，不断旋转的锥形微波散射器不断搅拌微波，以保证腔体内能量分布均匀和微波能量最优化。</w:t>
            </w:r>
          </w:p>
          <w:p w14:paraId="5D2E71CE">
            <w:pPr>
              <w:adjustRightInd w:val="0"/>
              <w:snapToGrid w:val="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5)大微波消解腔体，容积≥70L（</w:t>
            </w:r>
            <w:r>
              <w:rPr>
                <w:rFonts w:hint="eastAsia" w:ascii="宋体" w:hAnsi="宋体" w:eastAsia="宋体" w:cs="Times New Roman"/>
                <w:b/>
                <w:bCs/>
                <w:szCs w:val="21"/>
              </w:rPr>
              <w:t>提供腔体尺寸和证明文件</w:t>
            </w:r>
            <w:r>
              <w:rPr>
                <w:rFonts w:hint="eastAsia" w:ascii="宋体" w:hAnsi="宋体" w:eastAsia="宋体" w:cs="Times New Roman"/>
                <w:szCs w:val="21"/>
              </w:rPr>
              <w:t>）</w:t>
            </w:r>
          </w:p>
          <w:p w14:paraId="5BCA0D0A">
            <w:pPr>
              <w:adjustRightInd w:val="0"/>
              <w:snapToGrid w:val="0"/>
              <w:rPr>
                <w:rFonts w:ascii="宋体" w:hAnsi="宋体" w:eastAsia="宋体" w:cs="Times New Roman"/>
                <w:szCs w:val="21"/>
              </w:rPr>
            </w:pPr>
            <w:r>
              <w:rPr>
                <w:rFonts w:hint="eastAsia" w:ascii="宋体" w:hAnsi="宋体" w:eastAsia="宋体" w:cs="Times New Roman"/>
                <w:szCs w:val="21"/>
              </w:rPr>
              <w:t>★6)不锈钢自吸式门体采用专利的“自密闭”技术，可自吸式关闭，门体为双层全不锈钢结构，不得采用塑料和玻璃等材质，有效防爆和防微波泄露作用，具有自动平移泻压功能，遇到意外事故可自动迅速向外平移，解除隐患后能自动恢复原状。（</w:t>
            </w:r>
            <w:r>
              <w:rPr>
                <w:rFonts w:hint="eastAsia" w:ascii="宋体" w:hAnsi="宋体" w:eastAsia="宋体" w:cs="Times New Roman"/>
                <w:b/>
                <w:bCs/>
                <w:szCs w:val="21"/>
              </w:rPr>
              <w:t>此参数需提供产品彩页官网截图或技术白皮书作为证明材料）</w:t>
            </w:r>
          </w:p>
          <w:p w14:paraId="67FF6BD3">
            <w:pPr>
              <w:adjustRightInd w:val="0"/>
              <w:snapToGrid w:val="0"/>
              <w:rPr>
                <w:rFonts w:ascii="宋体" w:hAnsi="宋体" w:eastAsia="宋体" w:cs="Times New Roman"/>
                <w:szCs w:val="21"/>
              </w:rPr>
            </w:pPr>
            <w:r>
              <w:rPr>
                <w:rFonts w:hint="eastAsia" w:ascii="宋体" w:hAnsi="宋体" w:eastAsia="宋体" w:cs="Times New Roman"/>
                <w:szCs w:val="21"/>
              </w:rPr>
              <w:t>7)自动落锁系统，当微波工作时，门自动锁闭，门打开时，微波自动切断，防止被随意打开。开门软件控制，机械和电子软件双重门锁，软件可设定温度门锁，当样品温度高于设定温度时自动锁闭，避免误操作开门。</w:t>
            </w:r>
          </w:p>
          <w:p w14:paraId="6470AC7E">
            <w:pPr>
              <w:adjustRightInd w:val="0"/>
              <w:snapToGrid w:val="0"/>
              <w:rPr>
                <w:rFonts w:ascii="宋体" w:hAnsi="宋体" w:eastAsia="宋体" w:cs="Times New Roman"/>
                <w:szCs w:val="21"/>
              </w:rPr>
            </w:pPr>
            <w:r>
              <w:rPr>
                <w:rFonts w:hint="eastAsia" w:ascii="宋体" w:hAnsi="宋体" w:eastAsia="宋体" w:cs="Times New Roman"/>
                <w:szCs w:val="21"/>
              </w:rPr>
              <w:t xml:space="preserve">8)内置可调节大流量排风系统，确保消解和冷却时精确控制冷却速率，流量6-6.5 </w:t>
            </w:r>
            <w:r>
              <w:rPr>
                <w:rFonts w:ascii="Times New Roman" w:hAnsi="Times New Roman" w:eastAsia="宋体" w:cs="Times New Roman"/>
                <w:szCs w:val="21"/>
              </w:rPr>
              <w:t>m</w:t>
            </w:r>
            <w:r>
              <w:rPr>
                <w:rFonts w:ascii="Times New Roman" w:hAnsi="Times New Roman" w:eastAsia="宋体" w:cs="Times New Roman"/>
                <w:szCs w:val="21"/>
                <w:vertAlign w:val="superscript"/>
              </w:rPr>
              <w:t>3</w:t>
            </w:r>
            <w:r>
              <w:rPr>
                <w:rFonts w:ascii="Times New Roman" w:hAnsi="Times New Roman" w:eastAsia="宋体" w:cs="Times New Roman"/>
                <w:szCs w:val="21"/>
              </w:rPr>
              <w:t>/min</w:t>
            </w:r>
            <w:r>
              <w:rPr>
                <w:rFonts w:hint="eastAsia" w:ascii="宋体" w:hAnsi="宋体" w:eastAsia="宋体" w:cs="Times New Roman"/>
                <w:szCs w:val="21"/>
              </w:rPr>
              <w:t>，风道内置且抗腐蚀</w:t>
            </w:r>
          </w:p>
          <w:p w14:paraId="03065FEB">
            <w:pPr>
              <w:adjustRightInd w:val="0"/>
              <w:snapToGrid w:val="0"/>
              <w:rPr>
                <w:rFonts w:ascii="宋体" w:hAnsi="宋体" w:eastAsia="宋体" w:cs="Times New Roman"/>
                <w:szCs w:val="21"/>
              </w:rPr>
            </w:pPr>
            <w:r>
              <w:rPr>
                <w:rFonts w:hint="eastAsia" w:ascii="宋体" w:hAnsi="宋体" w:eastAsia="宋体" w:cs="Times New Roman"/>
                <w:szCs w:val="21"/>
              </w:rPr>
              <w:t>9)多功能微波操作平台，可以扩展为微波萃取，微波无溶剂萃取，微波蛋白质水解，微波高温熔融，微波合成等。</w:t>
            </w:r>
          </w:p>
          <w:p w14:paraId="07A0ED80">
            <w:pPr>
              <w:adjustRightInd w:val="0"/>
              <w:snapToGrid w:val="0"/>
              <w:rPr>
                <w:rFonts w:ascii="宋体" w:hAnsi="宋体" w:eastAsia="宋体" w:cs="Times New Roman"/>
                <w:szCs w:val="21"/>
              </w:rPr>
            </w:pPr>
            <w:r>
              <w:rPr>
                <w:rFonts w:hint="eastAsia" w:ascii="宋体" w:hAnsi="宋体" w:eastAsia="宋体" w:cs="Times New Roman"/>
                <w:szCs w:val="21"/>
              </w:rPr>
              <w:t>10)微波工作腔体具有防爆窗观察系统。</w:t>
            </w:r>
          </w:p>
          <w:p w14:paraId="7E006BCF">
            <w:pPr>
              <w:adjustRightInd w:val="0"/>
              <w:snapToGrid w:val="0"/>
              <w:rPr>
                <w:rFonts w:ascii="宋体" w:hAnsi="宋体" w:eastAsia="宋体" w:cs="Times New Roman"/>
                <w:szCs w:val="21"/>
              </w:rPr>
            </w:pPr>
            <w:r>
              <w:rPr>
                <w:rFonts w:hint="eastAsia" w:ascii="宋体" w:hAnsi="宋体" w:eastAsia="宋体" w:cs="Times New Roman"/>
                <w:szCs w:val="21"/>
              </w:rPr>
              <w:t>11)仪器主机正面具有大尺寸颜色指示灯，具有5种以上颜色指示灯分别代表不同的操作状态，远距离即可对仪器运行状况一目了然。</w:t>
            </w:r>
          </w:p>
          <w:p w14:paraId="61E5C300">
            <w:pPr>
              <w:adjustRightInd w:val="0"/>
              <w:snapToGrid w:val="0"/>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3</w:t>
            </w:r>
            <w:r>
              <w:rPr>
                <w:rFonts w:hint="eastAsia" w:ascii="宋体" w:hAnsi="宋体" w:eastAsia="宋体" w:cs="Times New Roman"/>
                <w:szCs w:val="21"/>
              </w:rPr>
              <w:t>温度和压力控制系统：</w:t>
            </w:r>
          </w:p>
          <w:p w14:paraId="0E04435E">
            <w:pPr>
              <w:adjustRightInd w:val="0"/>
              <w:snapToGrid w:val="0"/>
              <w:rPr>
                <w:rFonts w:ascii="宋体" w:hAnsi="宋体" w:eastAsia="宋体" w:cs="Times New Roman"/>
                <w:szCs w:val="21"/>
              </w:rPr>
            </w:pPr>
            <w:r>
              <w:rPr>
                <w:rFonts w:hint="eastAsia" w:ascii="宋体" w:hAnsi="宋体" w:eastAsia="宋体" w:cs="Times New Roman"/>
                <w:szCs w:val="21"/>
              </w:rPr>
              <w:t>1)高精度红外温度控制系统，两个在消解罐底部安装的传感器可透过TFM材料实现对样品消解溶液的非接触直接测量。同时也可实现仅使用一个红外温度传感器控制所有44位样品的温度，控温范围：0-500℃。</w:t>
            </w:r>
          </w:p>
          <w:p w14:paraId="6BB5B457">
            <w:pPr>
              <w:adjustRightInd w:val="0"/>
              <w:snapToGrid w:val="0"/>
              <w:rPr>
                <w:rFonts w:ascii="宋体" w:hAnsi="宋体" w:eastAsia="宋体" w:cs="Times New Roman"/>
                <w:szCs w:val="21"/>
              </w:rPr>
            </w:pPr>
            <w:r>
              <w:rPr>
                <w:rFonts w:hint="eastAsia" w:ascii="宋体" w:hAnsi="宋体" w:eastAsia="宋体" w:cs="Times New Roman"/>
                <w:szCs w:val="21"/>
              </w:rPr>
              <w:t>2)全自动过温保护系统，当消解罐内温度高于设定温度时，全自动识别并自动切断微波输出，确保操作安全。当消解温度回归正常时，自动识别并启动，全自动消解罐识别系统，保证样品消解不会中断重做</w:t>
            </w:r>
          </w:p>
          <w:p w14:paraId="4219D63E">
            <w:pPr>
              <w:adjustRightInd w:val="0"/>
              <w:snapToGrid w:val="0"/>
              <w:rPr>
                <w:rFonts w:ascii="宋体" w:hAnsi="宋体" w:eastAsia="宋体" w:cs="Times New Roman"/>
                <w:szCs w:val="21"/>
              </w:rPr>
            </w:pPr>
            <w:r>
              <w:rPr>
                <w:rFonts w:hint="eastAsia" w:ascii="宋体" w:hAnsi="宋体" w:eastAsia="宋体" w:cs="Times New Roman"/>
                <w:szCs w:val="21"/>
              </w:rPr>
              <w:t>3)非接触式全罐压力控制系统，当消解罐内压力发生意外时，能自动切断微波功率输出，停止加热反应。当压力回到正常时，能自动启动微波输出功率，确保消解实验继续正常运行。</w:t>
            </w:r>
          </w:p>
          <w:p w14:paraId="0396CEB4">
            <w:pPr>
              <w:adjustRightInd w:val="0"/>
              <w:snapToGrid w:val="0"/>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4</w:t>
            </w:r>
            <w:r>
              <w:rPr>
                <w:rFonts w:hint="eastAsia" w:ascii="宋体" w:hAnsi="宋体" w:eastAsia="宋体" w:cs="Times New Roman"/>
                <w:szCs w:val="21"/>
              </w:rPr>
              <w:t>控制终端：</w:t>
            </w:r>
          </w:p>
          <w:p w14:paraId="09650739">
            <w:pPr>
              <w:adjustRightInd w:val="0"/>
              <w:snapToGrid w:val="0"/>
              <w:rPr>
                <w:rFonts w:ascii="宋体" w:hAnsi="宋体" w:eastAsia="宋体" w:cs="Times New Roman"/>
                <w:szCs w:val="21"/>
              </w:rPr>
            </w:pPr>
            <w:r>
              <w:rPr>
                <w:rFonts w:hint="eastAsia" w:ascii="宋体" w:hAnsi="宋体" w:eastAsia="宋体" w:cs="Times New Roman"/>
                <w:szCs w:val="21"/>
              </w:rPr>
              <w:t>1)分体触摸式智能控制终端，高分辨率彩色显示，实验人员可远距离安全控制微波消解系统的所有操作，避免由于控制终端固定在仪器正前方时需要操作人员紧挨仪器操作所带来的风险</w:t>
            </w:r>
          </w:p>
          <w:p w14:paraId="363C80C0">
            <w:pPr>
              <w:adjustRightInd w:val="0"/>
              <w:snapToGrid w:val="0"/>
              <w:rPr>
                <w:rFonts w:ascii="宋体" w:hAnsi="宋体" w:eastAsia="宋体" w:cs="Times New Roman"/>
                <w:szCs w:val="21"/>
              </w:rPr>
            </w:pPr>
            <w:r>
              <w:rPr>
                <w:rFonts w:hint="eastAsia" w:ascii="宋体" w:hAnsi="宋体" w:eastAsia="宋体" w:cs="Times New Roman"/>
                <w:szCs w:val="21"/>
              </w:rPr>
              <w:t>2)具有智能程序升温、梯度升温功能，实时精确显示反应罐内的温度曲线</w:t>
            </w:r>
          </w:p>
          <w:p w14:paraId="2A1E6BAF">
            <w:pPr>
              <w:adjustRightInd w:val="0"/>
              <w:snapToGrid w:val="0"/>
              <w:rPr>
                <w:rFonts w:ascii="宋体" w:hAnsi="宋体" w:eastAsia="宋体" w:cs="Times New Roman"/>
                <w:szCs w:val="21"/>
              </w:rPr>
            </w:pPr>
            <w:r>
              <w:rPr>
                <w:rFonts w:hint="eastAsia" w:ascii="宋体" w:hAnsi="宋体" w:eastAsia="宋体" w:cs="Times New Roman"/>
                <w:szCs w:val="21"/>
              </w:rPr>
              <w:t>3)图标式菜单，一键操作，智能消解，内存1000种以上的应用方法；可在线控制和修改所有的反应参数，能在线精确显示微波功率曲线</w:t>
            </w:r>
          </w:p>
          <w:p w14:paraId="2463BF01">
            <w:pPr>
              <w:adjustRightInd w:val="0"/>
              <w:snapToGrid w:val="0"/>
              <w:rPr>
                <w:rFonts w:ascii="宋体" w:hAnsi="宋体" w:eastAsia="宋体" w:cs="Times New Roman"/>
                <w:szCs w:val="21"/>
              </w:rPr>
            </w:pPr>
            <w:r>
              <w:rPr>
                <w:rFonts w:hint="eastAsia" w:ascii="宋体" w:hAnsi="宋体" w:eastAsia="宋体" w:cs="Times New Roman"/>
                <w:szCs w:val="21"/>
              </w:rPr>
              <w:t>4)全自动消解罐识别系统，根据用户消解样品的数量和消解罐类型，全自动调节微波输出功率大小，确保每次试验的重现性。</w:t>
            </w:r>
          </w:p>
          <w:p w14:paraId="6512D150">
            <w:pPr>
              <w:adjustRightInd w:val="0"/>
              <w:snapToGrid w:val="0"/>
              <w:rPr>
                <w:rFonts w:ascii="宋体" w:hAnsi="宋体" w:eastAsia="宋体" w:cs="Times New Roman"/>
                <w:szCs w:val="21"/>
              </w:rPr>
            </w:pPr>
            <w:r>
              <w:rPr>
                <w:rFonts w:hint="eastAsia" w:ascii="宋体" w:hAnsi="宋体" w:eastAsia="宋体" w:cs="Times New Roman"/>
                <w:szCs w:val="21"/>
              </w:rPr>
              <w:t>5)支持运行方法实时修改，修改后随时更新，而无需重启方法</w:t>
            </w:r>
          </w:p>
          <w:p w14:paraId="0758514D">
            <w:pPr>
              <w:adjustRightInd w:val="0"/>
              <w:snapToGrid w:val="0"/>
              <w:rPr>
                <w:rFonts w:ascii="宋体" w:hAnsi="宋体" w:eastAsia="宋体" w:cs="Times New Roman"/>
                <w:szCs w:val="21"/>
              </w:rPr>
            </w:pPr>
            <w:r>
              <w:rPr>
                <w:rFonts w:hint="eastAsia" w:ascii="宋体" w:hAnsi="宋体" w:eastAsia="宋体" w:cs="Times New Roman"/>
                <w:szCs w:val="21"/>
              </w:rPr>
              <w:t>6)具有在线客户服务工作站，可支持无缝隙的24小时技术支持服务，安全操作，操作手册、分析数据库、视频等及所有相关信息均可时刻显示，适合所有样品消解。</w:t>
            </w:r>
          </w:p>
          <w:p w14:paraId="1D43427A">
            <w:pPr>
              <w:adjustRightInd w:val="0"/>
              <w:snapToGrid w:val="0"/>
              <w:rPr>
                <w:rFonts w:ascii="宋体" w:hAnsi="宋体" w:eastAsia="宋体" w:cs="Times New Roman"/>
                <w:szCs w:val="21"/>
              </w:rPr>
            </w:pPr>
            <w:r>
              <w:rPr>
                <w:rFonts w:hint="eastAsia" w:ascii="宋体" w:hAnsi="宋体" w:eastAsia="宋体" w:cs="Times New Roman"/>
                <w:szCs w:val="21"/>
              </w:rPr>
              <w:t>7)包含11种以上的多语言操作界面，含中文操作界面。</w:t>
            </w:r>
          </w:p>
          <w:p w14:paraId="5AB3149B">
            <w:pPr>
              <w:adjustRightInd w:val="0"/>
              <w:snapToGrid w:val="0"/>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4</w:t>
            </w:r>
            <w:r>
              <w:rPr>
                <w:rFonts w:hint="eastAsia" w:ascii="宋体" w:hAnsi="宋体" w:eastAsia="宋体" w:cs="Times New Roman"/>
                <w:szCs w:val="21"/>
              </w:rPr>
              <w:t>全塑材质消解转子：</w:t>
            </w:r>
          </w:p>
          <w:p w14:paraId="6E848125">
            <w:pPr>
              <w:adjustRightInd w:val="0"/>
              <w:snapToGrid w:val="0"/>
              <w:rPr>
                <w:rFonts w:ascii="宋体" w:hAnsi="宋体" w:eastAsia="宋体" w:cs="Times New Roman"/>
                <w:szCs w:val="21"/>
              </w:rPr>
            </w:pPr>
            <w:r>
              <w:rPr>
                <w:rFonts w:hint="eastAsia" w:ascii="宋体" w:hAnsi="宋体" w:eastAsia="宋体" w:cs="Times New Roman"/>
                <w:szCs w:val="21"/>
              </w:rPr>
              <w:t>1)全塑不含金属材质消解转子，保证转子在微波工作腔内的工作安全，避免酸气腐蚀。每个消解罐均具有“弹性泄压阀”主动泻压保护技术，泄压后不影响样品继续消解，拒绝使用金属防爆膜设计的消解罐，泄压过程无任何消耗件</w:t>
            </w:r>
          </w:p>
          <w:p w14:paraId="528A54CB">
            <w:pPr>
              <w:adjustRightInd w:val="0"/>
              <w:snapToGrid w:val="0"/>
              <w:rPr>
                <w:rFonts w:ascii="宋体" w:hAnsi="宋体" w:eastAsia="宋体" w:cs="Times New Roman"/>
                <w:szCs w:val="21"/>
              </w:rPr>
            </w:pPr>
            <w:r>
              <w:rPr>
                <w:rFonts w:hint="eastAsia" w:ascii="宋体" w:hAnsi="宋体" w:eastAsia="宋体" w:cs="Times New Roman"/>
                <w:szCs w:val="21"/>
              </w:rPr>
              <w:t>2)样品消解罐最高耐压：≥100bar（1800psi）；样品消解罐最高耐温：≥310℃。</w:t>
            </w:r>
          </w:p>
          <w:p w14:paraId="3B72A90A">
            <w:pPr>
              <w:adjustRightInd w:val="0"/>
              <w:snapToGrid w:val="0"/>
              <w:rPr>
                <w:rFonts w:ascii="宋体" w:hAnsi="宋体" w:eastAsia="宋体" w:cs="Times New Roman"/>
                <w:b/>
                <w:bCs/>
                <w:szCs w:val="21"/>
              </w:rPr>
            </w:pPr>
            <w:r>
              <w:rPr>
                <w:rFonts w:hint="eastAsia" w:ascii="宋体" w:hAnsi="宋体" w:eastAsia="宋体" w:cs="Times New Roman"/>
                <w:szCs w:val="21"/>
              </w:rPr>
              <w:t>★3)样品消解罐体积：≥80ml；同时处理的反应罐数：≥44（</w:t>
            </w:r>
            <w:r>
              <w:rPr>
                <w:rFonts w:hint="eastAsia" w:ascii="宋体" w:hAnsi="宋体" w:eastAsia="宋体" w:cs="Times New Roman"/>
                <w:b/>
                <w:bCs/>
                <w:szCs w:val="21"/>
              </w:rPr>
              <w:t>此参数需提供产品彩页官网截图或技术白皮书作为证明材料）</w:t>
            </w:r>
          </w:p>
          <w:p w14:paraId="24775BAB">
            <w:pPr>
              <w:adjustRightInd w:val="0"/>
              <w:snapToGrid w:val="0"/>
              <w:rPr>
                <w:rFonts w:ascii="宋体" w:hAnsi="宋体" w:eastAsia="宋体" w:cs="Times New Roman"/>
                <w:szCs w:val="21"/>
              </w:rPr>
            </w:pPr>
            <w:r>
              <w:rPr>
                <w:rFonts w:hint="eastAsia" w:ascii="宋体" w:hAnsi="宋体" w:eastAsia="宋体" w:cs="Times New Roman"/>
                <w:szCs w:val="21"/>
              </w:rPr>
              <w:t>4)样品消解罐和盖子的材料：PTFE-TFM（不含金属部件），保护外罐材质：复合石英纤维PEEKK材料（不含金属部件），不吸收任何溶剂和气体，永远不会发生形变。</w:t>
            </w:r>
          </w:p>
          <w:p w14:paraId="084D0DD5">
            <w:pPr>
              <w:adjustRightInd w:val="0"/>
              <w:snapToGrid w:val="0"/>
              <w:rPr>
                <w:rFonts w:ascii="宋体" w:hAnsi="宋体" w:eastAsia="宋体" w:cs="Times New Roman"/>
                <w:szCs w:val="21"/>
              </w:rPr>
            </w:pPr>
            <w:r>
              <w:rPr>
                <w:rFonts w:hint="eastAsia" w:ascii="宋体" w:hAnsi="宋体" w:eastAsia="宋体" w:cs="Times New Roman"/>
                <w:szCs w:val="21"/>
              </w:rPr>
              <w:t>5)转子所有部件不吸收水分，消解后转子支持原位普通风冷，强制风冷或水冷三种冷却方式</w:t>
            </w:r>
          </w:p>
          <w:p w14:paraId="58E68D61">
            <w:pPr>
              <w:adjustRightInd w:val="0"/>
              <w:snapToGrid w:val="0"/>
              <w:rPr>
                <w:rFonts w:ascii="宋体" w:hAnsi="宋体" w:eastAsia="宋体" w:cs="Times New Roman"/>
                <w:szCs w:val="21"/>
              </w:rPr>
            </w:pPr>
            <w:r>
              <w:rPr>
                <w:rFonts w:hint="eastAsia" w:ascii="宋体" w:hAnsi="宋体" w:eastAsia="宋体" w:cs="Times New Roman"/>
                <w:szCs w:val="21"/>
              </w:rPr>
              <w:t>6)消解罐工作方式为连续360°同向旋转及往复旋转两种方式，确保受热均匀。</w:t>
            </w:r>
          </w:p>
          <w:p w14:paraId="0ABBA53A">
            <w:pPr>
              <w:adjustRightInd w:val="0"/>
              <w:snapToGrid w:val="0"/>
              <w:rPr>
                <w:rFonts w:ascii="宋体" w:hAnsi="宋体" w:eastAsia="宋体" w:cs="Times New Roman"/>
                <w:b/>
                <w:szCs w:val="21"/>
              </w:rPr>
            </w:pPr>
            <w:r>
              <w:rPr>
                <w:rFonts w:ascii="宋体" w:hAnsi="宋体" w:eastAsia="宋体" w:cs="Times New Roman"/>
                <w:b/>
                <w:szCs w:val="21"/>
              </w:rPr>
              <w:t>5、技术服务</w:t>
            </w:r>
          </w:p>
          <w:p w14:paraId="34578430">
            <w:pPr>
              <w:adjustRightInd w:val="0"/>
              <w:snapToGrid w:val="0"/>
              <w:rPr>
                <w:rFonts w:ascii="宋体" w:hAnsi="宋体" w:eastAsia="宋体" w:cs="Times New Roman"/>
                <w:szCs w:val="21"/>
              </w:rPr>
            </w:pPr>
            <w:r>
              <w:rPr>
                <w:rFonts w:hint="eastAsia" w:ascii="宋体" w:hAnsi="宋体" w:eastAsia="宋体" w:cs="Times New Roman"/>
                <w:szCs w:val="21"/>
              </w:rPr>
              <w:t>5.1设备安装调试：微波消解系统接受进口。设备到达用户所在地后，在接到用户通知后15天内执行安装调试直至达到验收指标，试用无故障后完成验收，并签订验收报告。</w:t>
            </w:r>
          </w:p>
          <w:p w14:paraId="245F1362">
            <w:pPr>
              <w:adjustRightInd w:val="0"/>
              <w:snapToGrid w:val="0"/>
              <w:rPr>
                <w:rFonts w:ascii="宋体" w:hAnsi="宋体" w:eastAsia="宋体" w:cs="Times New Roman"/>
                <w:szCs w:val="21"/>
              </w:rPr>
            </w:pPr>
            <w:r>
              <w:rPr>
                <w:rFonts w:hint="eastAsia" w:ascii="宋体" w:hAnsi="宋体" w:eastAsia="宋体" w:cs="Times New Roman"/>
                <w:szCs w:val="21"/>
              </w:rPr>
              <w:t>5.2技术培训：在用户所在地对用户进行免费现场培训。培训内容包括仪器的技术原理、操作、数据处理、基本维护等。</w:t>
            </w:r>
          </w:p>
          <w:p w14:paraId="78F57FF2">
            <w:pPr>
              <w:adjustRightInd w:val="0"/>
              <w:snapToGrid w:val="0"/>
              <w:rPr>
                <w:rFonts w:ascii="宋体" w:hAnsi="宋体" w:eastAsia="宋体" w:cs="Times New Roman"/>
                <w:szCs w:val="21"/>
              </w:rPr>
            </w:pPr>
            <w:r>
              <w:rPr>
                <w:rFonts w:hint="eastAsia" w:ascii="宋体" w:hAnsi="宋体" w:eastAsia="宋体" w:cs="Times New Roman"/>
                <w:szCs w:val="21"/>
              </w:rPr>
              <w:t>★5.3保修期：整机质保3年，质保范围包括仪器整机和其所有附属配件。</w:t>
            </w:r>
          </w:p>
          <w:p w14:paraId="15F1E632">
            <w:pPr>
              <w:adjustRightInd w:val="0"/>
              <w:snapToGrid w:val="0"/>
              <w:rPr>
                <w:rFonts w:ascii="宋体" w:hAnsi="宋体" w:eastAsia="宋体" w:cs="Times New Roman"/>
                <w:szCs w:val="21"/>
              </w:rPr>
            </w:pPr>
            <w:r>
              <w:rPr>
                <w:rFonts w:hint="eastAsia" w:ascii="宋体" w:hAnsi="宋体" w:eastAsia="宋体" w:cs="Times New Roman"/>
                <w:szCs w:val="21"/>
              </w:rPr>
              <w:t>5.4维修响应时间：供应商必须保证快速的服务响应。得到通知后，在8小时内提供服务确认，保证技术人员的操作疑问能够在24小时内得到解答，48小时内到达现场。</w:t>
            </w:r>
          </w:p>
          <w:p w14:paraId="055294D8">
            <w:pPr>
              <w:adjustRightInd w:val="0"/>
              <w:snapToGrid w:val="0"/>
              <w:rPr>
                <w:rFonts w:ascii="宋体" w:hAnsi="宋体" w:eastAsia="宋体" w:cs="Times New Roman"/>
                <w:b/>
                <w:szCs w:val="21"/>
              </w:rPr>
            </w:pPr>
            <w:r>
              <w:rPr>
                <w:rFonts w:hint="eastAsia" w:ascii="宋体" w:hAnsi="宋体" w:eastAsia="宋体" w:cs="Times New Roman"/>
                <w:b/>
                <w:szCs w:val="21"/>
              </w:rPr>
              <w:t>6、其他说明</w:t>
            </w:r>
          </w:p>
          <w:p w14:paraId="056BA947">
            <w:pPr>
              <w:adjustRightInd w:val="0"/>
              <w:snapToGrid w:val="0"/>
              <w:rPr>
                <w:rFonts w:ascii="宋体" w:hAnsi="宋体" w:eastAsia="宋体" w:cs="Times New Roman"/>
                <w:szCs w:val="21"/>
              </w:rPr>
            </w:pPr>
            <w:r>
              <w:rPr>
                <w:rFonts w:hint="eastAsia" w:ascii="宋体" w:hAnsi="宋体" w:eastAsia="宋体" w:cs="Times New Roman"/>
                <w:szCs w:val="21"/>
              </w:rPr>
              <w:t>6.1现场培训：仪器到货后进行基本操作讲解，工程师在调试仪器的同时，让用户能够自己操作仪器，使仪器使用者能全面、熟练掌握仪器性能和操作使用；会判断、处理一般常见故障。其培训内容指的是仪器设备的基本原理、安装、调试、操作使用和日常保养维修等。培训时间不少于2个工作日。</w:t>
            </w:r>
          </w:p>
          <w:p w14:paraId="440EE559">
            <w:pPr>
              <w:adjustRightInd w:val="0"/>
              <w:snapToGrid w:val="0"/>
              <w:rPr>
                <w:rFonts w:ascii="宋体" w:hAnsi="宋体" w:eastAsia="宋体" w:cs="Times New Roman"/>
                <w:szCs w:val="21"/>
              </w:rPr>
            </w:pPr>
            <w:r>
              <w:rPr>
                <w:rFonts w:hint="eastAsia" w:ascii="宋体" w:hAnsi="宋体" w:eastAsia="宋体" w:cs="Times New Roman"/>
                <w:szCs w:val="21"/>
              </w:rPr>
              <w:t>6.2其他：无需其他任何辅助设备仪器均能正常工作。仪器设备的环境改造（包括水、电以及实验台等）所需费用由供货商负责。</w:t>
            </w:r>
          </w:p>
          <w:p w14:paraId="50751E8A">
            <w:pPr>
              <w:adjustRightInd w:val="0"/>
              <w:snapToGrid w:val="0"/>
              <w:rPr>
                <w:rFonts w:ascii="宋体" w:hAnsi="宋体" w:eastAsia="宋体" w:cs="Times New Roman"/>
                <w:szCs w:val="21"/>
              </w:rPr>
            </w:pPr>
            <w:r>
              <w:rPr>
                <w:rFonts w:hint="eastAsia" w:ascii="宋体" w:hAnsi="宋体" w:eastAsia="宋体" w:cs="Times New Roman"/>
                <w:szCs w:val="21"/>
              </w:rPr>
              <w:t>6.3质保期内整机免费搬迁1次。</w:t>
            </w:r>
          </w:p>
        </w:tc>
        <w:tc>
          <w:tcPr>
            <w:tcW w:w="0" w:type="auto"/>
            <w:noWrap w:val="0"/>
            <w:vAlign w:val="center"/>
          </w:tcPr>
          <w:p w14:paraId="675193DB">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1台</w:t>
            </w:r>
          </w:p>
        </w:tc>
      </w:tr>
      <w:tr w14:paraId="0BA1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0B5E981">
            <w:pPr>
              <w:adjustRightInd w:val="0"/>
              <w:snapToGrid w:val="0"/>
              <w:jc w:val="center"/>
              <w:rPr>
                <w:rFonts w:ascii="宋体" w:hAnsi="宋体" w:eastAsia="宋体" w:cs="Times New Roman"/>
                <w:szCs w:val="21"/>
              </w:rPr>
            </w:pPr>
            <w:r>
              <w:rPr>
                <w:rFonts w:hint="eastAsia" w:ascii="宋体" w:hAnsi="宋体" w:eastAsia="宋体" w:cs="Times New Roman"/>
                <w:szCs w:val="21"/>
              </w:rPr>
              <w:t>3</w:t>
            </w:r>
          </w:p>
        </w:tc>
        <w:tc>
          <w:tcPr>
            <w:tcW w:w="0" w:type="auto"/>
            <w:noWrap w:val="0"/>
            <w:vAlign w:val="center"/>
          </w:tcPr>
          <w:p w14:paraId="5BEE948D">
            <w:pPr>
              <w:adjustRightInd w:val="0"/>
              <w:snapToGrid w:val="0"/>
              <w:jc w:val="center"/>
              <w:rPr>
                <w:rFonts w:ascii="宋体" w:hAnsi="宋体" w:eastAsia="宋体" w:cs="Times New Roman"/>
                <w:szCs w:val="21"/>
              </w:rPr>
            </w:pPr>
            <w:r>
              <w:rPr>
                <w:rFonts w:hint="eastAsia" w:ascii="宋体" w:hAnsi="宋体" w:eastAsia="宋体" w:cs="Times New Roman"/>
                <w:szCs w:val="21"/>
              </w:rPr>
              <w:t>冷冻干燥机</w:t>
            </w:r>
          </w:p>
        </w:tc>
        <w:tc>
          <w:tcPr>
            <w:tcW w:w="0" w:type="auto"/>
            <w:noWrap w:val="0"/>
            <w:vAlign w:val="top"/>
          </w:tcPr>
          <w:p w14:paraId="0520DDE7">
            <w:pPr>
              <w:adjustRightInd w:val="0"/>
              <w:snapToGrid w:val="0"/>
              <w:jc w:val="left"/>
              <w:textAlignment w:val="baseline"/>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1．应用范围</w:t>
            </w:r>
          </w:p>
          <w:p w14:paraId="6C827A7A">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bCs/>
                <w:color w:val="000000"/>
                <w:kern w:val="0"/>
                <w:szCs w:val="21"/>
              </w:rPr>
              <w:t>用于对各种样品进行脱水干燥处理，保存其生物活性。</w:t>
            </w:r>
          </w:p>
          <w:p w14:paraId="24CA8BCC">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2．仪器用途要求及基本要求</w:t>
            </w:r>
          </w:p>
          <w:p w14:paraId="67A482F7">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bCs/>
                <w:color w:val="000000"/>
                <w:kern w:val="0"/>
                <w:szCs w:val="21"/>
              </w:rPr>
              <w:t>用于对各种样品进行脱水干燥处理，保存其生物活性。</w:t>
            </w:r>
          </w:p>
          <w:p w14:paraId="5365231D">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3．工作条件</w:t>
            </w:r>
          </w:p>
          <w:p w14:paraId="6B0B35C3">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3.1 电源：230V±10%，AC(交流)，50/60Hz</w:t>
            </w:r>
          </w:p>
          <w:p w14:paraId="6468EAB9">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3.2 环境温度：16–26℃（最优：18~21℃）</w:t>
            </w:r>
          </w:p>
          <w:p w14:paraId="650419FD">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3.3 相对湿度：50–80%</w:t>
            </w:r>
          </w:p>
          <w:p w14:paraId="26B2CA57">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4．主要参数指标</w:t>
            </w:r>
          </w:p>
          <w:p w14:paraId="421E4324">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4.1 基本配置：冷冻干燥机主机1台，干燥腔1个，真空泵1台，不间断电源1套；</w:t>
            </w:r>
          </w:p>
          <w:p w14:paraId="1A242E7F">
            <w:pPr>
              <w:adjustRightInd w:val="0"/>
              <w:snapToGrid w:val="0"/>
              <w:ind w:hanging="2"/>
              <w:rPr>
                <w:rFonts w:ascii="Times New Roman" w:hAnsi="Times New Roman" w:eastAsia="宋体" w:cs="Times New Roman"/>
                <w:szCs w:val="21"/>
              </w:rPr>
            </w:pPr>
            <w:r>
              <w:rPr>
                <w:rFonts w:ascii="Segoe UI Symbol" w:hAnsi="Segoe UI Symbol" w:eastAsia="宋体" w:cs="Segoe UI Symbol"/>
                <w:szCs w:val="21"/>
              </w:rPr>
              <w:t>★</w:t>
            </w:r>
            <w:r>
              <w:rPr>
                <w:rFonts w:ascii="Times New Roman" w:hAnsi="Times New Roman" w:eastAsia="宋体" w:cs="Times New Roman"/>
                <w:szCs w:val="21"/>
              </w:rPr>
              <w:t>4.2 冷阱温度 ≤ - 84 ℃，冷阱容积 ≥ 4.4 L，最大凝冰量 ≥ 2.5 kg，冷凝效率 ≥ 2 kg/24 h，具有抗防腐蚀抗变形功能，</w:t>
            </w:r>
            <w:r>
              <w:rPr>
                <w:rFonts w:ascii="Times New Roman" w:hAnsi="Times New Roman" w:eastAsia="宋体" w:cs="Times New Roman"/>
                <w:b/>
                <w:bCs/>
                <w:szCs w:val="21"/>
              </w:rPr>
              <w:t>此参数需提供产品彩页官网截图或技术白皮书作为证明材料；</w:t>
            </w:r>
          </w:p>
          <w:p w14:paraId="53E6C975">
            <w:pPr>
              <w:adjustRightInd w:val="0"/>
              <w:snapToGrid w:val="0"/>
              <w:ind w:left="315" w:hanging="315" w:hangingChars="150"/>
              <w:rPr>
                <w:rFonts w:ascii="Times New Roman" w:hAnsi="Times New Roman" w:eastAsia="宋体" w:cs="Times New Roman"/>
                <w:szCs w:val="21"/>
                <w:lang w:val="zh-CN"/>
              </w:rPr>
            </w:pPr>
            <w:r>
              <w:rPr>
                <w:rFonts w:ascii="Times New Roman" w:hAnsi="Times New Roman" w:eastAsia="宋体" w:cs="Times New Roman"/>
                <w:szCs w:val="21"/>
              </w:rPr>
              <w:t>4.3 干燥腔配有分层隔板，外挂接口不低于12个，配有对应规格冻干瓶；</w:t>
            </w:r>
          </w:p>
          <w:p w14:paraId="11A82DD1">
            <w:pPr>
              <w:adjustRightInd w:val="0"/>
              <w:snapToGrid w:val="0"/>
              <w:ind w:left="315" w:hanging="315" w:hangingChars="150"/>
              <w:jc w:val="left"/>
              <w:rPr>
                <w:rFonts w:ascii="Times New Roman" w:hAnsi="Times New Roman" w:eastAsia="宋体" w:cs="Times New Roman"/>
                <w:b/>
                <w:bCs/>
                <w:szCs w:val="21"/>
              </w:rPr>
            </w:pPr>
            <w:r>
              <w:rPr>
                <w:rFonts w:ascii="Segoe UI Symbol" w:hAnsi="Segoe UI Symbol" w:eastAsia="宋体" w:cs="Segoe UI Symbol"/>
                <w:szCs w:val="21"/>
              </w:rPr>
              <w:t>★</w:t>
            </w:r>
            <w:r>
              <w:rPr>
                <w:rFonts w:ascii="Times New Roman" w:hAnsi="Times New Roman" w:eastAsia="宋体" w:cs="Times New Roman"/>
                <w:szCs w:val="21"/>
              </w:rPr>
              <w:t>4.4 原装品牌真空泵1台，耐有机溶剂，抽速不低于90 L/min，极限真空度不高于5*10</w:t>
            </w:r>
            <w:r>
              <w:rPr>
                <w:rFonts w:ascii="Times New Roman" w:hAnsi="Times New Roman" w:eastAsia="宋体" w:cs="Times New Roman"/>
                <w:szCs w:val="21"/>
                <w:vertAlign w:val="superscript"/>
              </w:rPr>
              <w:t>-3</w:t>
            </w:r>
            <w:r>
              <w:rPr>
                <w:rFonts w:ascii="Times New Roman" w:hAnsi="Times New Roman" w:eastAsia="宋体" w:cs="Times New Roman"/>
                <w:szCs w:val="21"/>
              </w:rPr>
              <w:t xml:space="preserve"> mbar，</w:t>
            </w:r>
            <w:r>
              <w:rPr>
                <w:rFonts w:ascii="Times New Roman" w:hAnsi="Times New Roman" w:eastAsia="宋体" w:cs="Times New Roman"/>
                <w:b/>
                <w:bCs/>
                <w:szCs w:val="21"/>
              </w:rPr>
              <w:t>此参数需提供产品彩页官网截图或技术白皮书作为证明材料；</w:t>
            </w:r>
          </w:p>
          <w:p w14:paraId="00B7673C">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4.5 真空控制系统1套；</w:t>
            </w:r>
          </w:p>
          <w:p w14:paraId="0766623C">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 xml:space="preserve">4.6 配有耐有机溶剂的密封件； </w:t>
            </w:r>
          </w:p>
          <w:p w14:paraId="280857F7">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4.7 配有放置架一个；</w:t>
            </w:r>
          </w:p>
          <w:p w14:paraId="0D3710A6">
            <w:pPr>
              <w:adjustRightInd w:val="0"/>
              <w:snapToGrid w:val="0"/>
              <w:ind w:hanging="2"/>
              <w:jc w:val="left"/>
              <w:rPr>
                <w:rFonts w:ascii="Times New Roman" w:hAnsi="Times New Roman" w:eastAsia="宋体" w:cs="Times New Roman"/>
                <w:szCs w:val="21"/>
              </w:rPr>
            </w:pPr>
            <w:r>
              <w:rPr>
                <w:rFonts w:ascii="Times New Roman" w:hAnsi="Times New Roman" w:eastAsia="宋体" w:cs="Times New Roman"/>
                <w:szCs w:val="21"/>
              </w:rPr>
              <w:t>4.8 安全性：无火源；</w:t>
            </w:r>
          </w:p>
          <w:p w14:paraId="2D258C2E">
            <w:pPr>
              <w:adjustRightInd w:val="0"/>
              <w:snapToGrid w:val="0"/>
              <w:ind w:hanging="2"/>
              <w:jc w:val="left"/>
              <w:rPr>
                <w:rFonts w:ascii="Times New Roman" w:hAnsi="Times New Roman" w:eastAsia="宋体" w:cs="Times New Roman"/>
                <w:szCs w:val="21"/>
              </w:rPr>
            </w:pPr>
            <w:r>
              <w:rPr>
                <w:rFonts w:ascii="Times New Roman" w:hAnsi="Times New Roman" w:eastAsia="宋体" w:cs="Times New Roman"/>
                <w:szCs w:val="21"/>
              </w:rPr>
              <w:t>4.9 符合水样和有机溶剂干燥要求；</w:t>
            </w:r>
          </w:p>
          <w:p w14:paraId="4AFEB8FE">
            <w:pPr>
              <w:adjustRightInd w:val="0"/>
              <w:snapToGrid w:val="0"/>
              <w:ind w:hanging="2"/>
              <w:jc w:val="left"/>
              <w:rPr>
                <w:rFonts w:ascii="Times New Roman" w:hAnsi="Times New Roman" w:eastAsia="宋体" w:cs="Times New Roman"/>
                <w:szCs w:val="21"/>
              </w:rPr>
            </w:pPr>
            <w:r>
              <w:rPr>
                <w:rFonts w:ascii="Times New Roman" w:hAnsi="Times New Roman" w:eastAsia="宋体" w:cs="Times New Roman"/>
                <w:szCs w:val="21"/>
              </w:rPr>
              <w:t>4.10 具有密码保护或安全锁定功能；</w:t>
            </w:r>
          </w:p>
          <w:p w14:paraId="7488C876">
            <w:pPr>
              <w:adjustRightInd w:val="0"/>
              <w:snapToGrid w:val="0"/>
              <w:ind w:hanging="2"/>
              <w:jc w:val="left"/>
              <w:rPr>
                <w:rFonts w:ascii="Times New Roman" w:hAnsi="Times New Roman" w:eastAsia="宋体" w:cs="Times New Roman"/>
                <w:szCs w:val="21"/>
              </w:rPr>
            </w:pPr>
            <w:r>
              <w:rPr>
                <w:rFonts w:ascii="Times New Roman" w:hAnsi="Times New Roman" w:eastAsia="宋体" w:cs="Times New Roman"/>
                <w:szCs w:val="21"/>
              </w:rPr>
              <w:t>4.11 可通过USB等方式进行数据采集和传输。</w:t>
            </w:r>
          </w:p>
          <w:p w14:paraId="18887DB9">
            <w:pPr>
              <w:adjustRightInd w:val="0"/>
              <w:snapToGrid w:val="0"/>
              <w:jc w:val="left"/>
              <w:rPr>
                <w:rFonts w:ascii="Times New Roman" w:hAnsi="Times New Roman" w:eastAsia="宋体" w:cs="Times New Roman"/>
                <w:b/>
                <w:szCs w:val="21"/>
              </w:rPr>
            </w:pPr>
            <w:r>
              <w:rPr>
                <w:rFonts w:ascii="Times New Roman" w:hAnsi="Times New Roman" w:eastAsia="宋体" w:cs="Times New Roman"/>
                <w:b/>
                <w:szCs w:val="21"/>
              </w:rPr>
              <w:t>5．技术服务</w:t>
            </w:r>
          </w:p>
          <w:p w14:paraId="5BE54C59">
            <w:pPr>
              <w:adjustRightInd w:val="0"/>
              <w:snapToGrid w:val="0"/>
              <w:rPr>
                <w:rFonts w:ascii="Times New Roman" w:hAnsi="Times New Roman" w:eastAsia="宋体" w:cs="Times New Roman"/>
                <w:szCs w:val="21"/>
              </w:rPr>
            </w:pPr>
            <w:r>
              <w:rPr>
                <w:rFonts w:ascii="Times New Roman" w:hAnsi="Times New Roman" w:eastAsia="宋体" w:cs="Times New Roman"/>
                <w:szCs w:val="21"/>
              </w:rPr>
              <w:t>5.1设备安装调试：冷冻干燥机接受进口产品。设备到达用户所在地后，在接到用户通知后15天内执行安装调试直至达到验收指标，试用无故障后完成验收，并签订验收报告。</w:t>
            </w:r>
          </w:p>
          <w:p w14:paraId="0EE54D94">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5.2技术培训：在用户所在地对用户进行免费现场培训。培训内容包括仪器的技术原理、操作、数据处理、基本维护等。</w:t>
            </w:r>
          </w:p>
          <w:p w14:paraId="376DC650">
            <w:pPr>
              <w:adjustRightInd w:val="0"/>
              <w:snapToGrid w:val="0"/>
              <w:jc w:val="left"/>
              <w:rPr>
                <w:rFonts w:ascii="Times New Roman" w:hAnsi="Times New Roman" w:eastAsia="宋体" w:cs="Times New Roman"/>
                <w:szCs w:val="21"/>
              </w:rPr>
            </w:pPr>
            <w:r>
              <w:rPr>
                <w:rFonts w:hint="eastAsia" w:ascii="宋体" w:hAnsi="宋体" w:eastAsia="宋体" w:cs="Times New Roman"/>
                <w:szCs w:val="21"/>
              </w:rPr>
              <w:t>★</w:t>
            </w:r>
            <w:r>
              <w:rPr>
                <w:rFonts w:ascii="Times New Roman" w:hAnsi="Times New Roman" w:eastAsia="宋体" w:cs="Times New Roman"/>
                <w:szCs w:val="21"/>
              </w:rPr>
              <w:t>5.3保修期：整机质保3年，质保范围包括仪器整机和其所有附属配件。</w:t>
            </w:r>
          </w:p>
          <w:p w14:paraId="49223A77">
            <w:pPr>
              <w:adjustRightInd w:val="0"/>
              <w:snapToGrid w:val="0"/>
              <w:textAlignment w:val="baseline"/>
              <w:rPr>
                <w:rFonts w:ascii="Times New Roman" w:hAnsi="Times New Roman" w:eastAsia="宋体" w:cs="Times New Roman"/>
                <w:bCs/>
                <w:color w:val="000000"/>
                <w:kern w:val="0"/>
                <w:szCs w:val="21"/>
              </w:rPr>
            </w:pPr>
            <w:r>
              <w:rPr>
                <w:rFonts w:ascii="Times New Roman" w:hAnsi="Times New Roman" w:eastAsia="宋体" w:cs="Times New Roman"/>
                <w:szCs w:val="21"/>
              </w:rPr>
              <w:t>5.4维修响应时间：供应商必须保证快速的服务响应。</w:t>
            </w:r>
            <w:r>
              <w:rPr>
                <w:rFonts w:ascii="Times New Roman" w:hAnsi="Times New Roman" w:eastAsia="宋体" w:cs="Times New Roman"/>
                <w:bCs/>
                <w:color w:val="000000"/>
                <w:kern w:val="0"/>
                <w:szCs w:val="21"/>
              </w:rPr>
              <w:t>得到通知后，在8小时内提供服务确认，保证技术人员的操作疑问能够在24小时内得到解答，48小时内到达现场。</w:t>
            </w:r>
          </w:p>
          <w:p w14:paraId="6CDE5CE4">
            <w:pPr>
              <w:adjustRightInd w:val="0"/>
              <w:snapToGrid w:val="0"/>
              <w:jc w:val="left"/>
              <w:rPr>
                <w:rFonts w:ascii="Times New Roman" w:hAnsi="Times New Roman" w:eastAsia="宋体" w:cs="Times New Roman"/>
                <w:b/>
                <w:szCs w:val="21"/>
              </w:rPr>
            </w:pPr>
            <w:r>
              <w:rPr>
                <w:rFonts w:ascii="Times New Roman" w:hAnsi="Times New Roman" w:eastAsia="宋体" w:cs="Times New Roman"/>
                <w:b/>
                <w:szCs w:val="21"/>
              </w:rPr>
              <w:t>6．其他说明</w:t>
            </w:r>
          </w:p>
          <w:p w14:paraId="1CE3B678">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6.1现场培训：仪器到货后进行基本操作讲解，工程师在调试仪器的同时，让用户能够自己操作仪器，使仪器使用者能全面、熟练掌握仪器性能和操作使用；会判断、处理一般常见故障。其培训内容指的是仪器设备的基本原理、安装、调试、操作使用和日常保养维修等。培训时间不少于2个工作日。</w:t>
            </w:r>
          </w:p>
          <w:p w14:paraId="00754E85">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6.2其他：无需其他任何辅助设备仪器均能正常工作。仪器设备的环境改造（包括水、电以及实验台等）所需费用由供货商负责。</w:t>
            </w:r>
          </w:p>
          <w:p w14:paraId="47C8ACA3">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6.3按照客户需求提供整机免费搬迁1次。</w:t>
            </w:r>
          </w:p>
        </w:tc>
        <w:tc>
          <w:tcPr>
            <w:tcW w:w="0" w:type="auto"/>
            <w:noWrap w:val="0"/>
            <w:vAlign w:val="center"/>
          </w:tcPr>
          <w:p w14:paraId="7528EE8D">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1台</w:t>
            </w:r>
          </w:p>
        </w:tc>
      </w:tr>
      <w:tr w14:paraId="343E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D19AC8D">
            <w:pPr>
              <w:adjustRightInd w:val="0"/>
              <w:snapToGrid w:val="0"/>
              <w:jc w:val="center"/>
              <w:rPr>
                <w:rFonts w:ascii="宋体" w:hAnsi="宋体" w:eastAsia="宋体" w:cs="Times New Roman"/>
                <w:szCs w:val="21"/>
              </w:rPr>
            </w:pPr>
            <w:r>
              <w:rPr>
                <w:rFonts w:hint="eastAsia" w:ascii="宋体" w:hAnsi="宋体" w:eastAsia="宋体" w:cs="Times New Roman"/>
                <w:szCs w:val="21"/>
              </w:rPr>
              <w:t>4</w:t>
            </w:r>
          </w:p>
        </w:tc>
        <w:tc>
          <w:tcPr>
            <w:tcW w:w="0" w:type="auto"/>
            <w:noWrap w:val="0"/>
            <w:vAlign w:val="center"/>
          </w:tcPr>
          <w:p w14:paraId="2F71B736">
            <w:pPr>
              <w:adjustRightInd w:val="0"/>
              <w:snapToGrid w:val="0"/>
              <w:jc w:val="center"/>
              <w:rPr>
                <w:rFonts w:ascii="宋体" w:hAnsi="宋体" w:eastAsia="宋体" w:cs="Times New Roman"/>
                <w:szCs w:val="21"/>
              </w:rPr>
            </w:pPr>
            <w:r>
              <w:rPr>
                <w:rFonts w:hint="eastAsia" w:ascii="宋体" w:hAnsi="宋体" w:eastAsia="宋体" w:cs="Times New Roman"/>
                <w:szCs w:val="21"/>
              </w:rPr>
              <w:t>紫外可见分光光度计</w:t>
            </w:r>
          </w:p>
        </w:tc>
        <w:tc>
          <w:tcPr>
            <w:tcW w:w="0" w:type="auto"/>
            <w:noWrap w:val="0"/>
            <w:vAlign w:val="top"/>
          </w:tcPr>
          <w:p w14:paraId="73036A88">
            <w:pPr>
              <w:adjustRightInd w:val="0"/>
              <w:snapToGrid w:val="0"/>
              <w:jc w:val="left"/>
              <w:textAlignment w:val="baseline"/>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1．应用范围</w:t>
            </w:r>
          </w:p>
          <w:p w14:paraId="6A73F9BA">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bCs/>
                <w:color w:val="000000"/>
                <w:kern w:val="0"/>
                <w:szCs w:val="21"/>
              </w:rPr>
              <w:t>利用物质分子对紫外可见光谱区的辐射吸收进行定性定量分析。</w:t>
            </w:r>
          </w:p>
          <w:p w14:paraId="6CBE60E7">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2．仪器用途要求及基本要求</w:t>
            </w:r>
          </w:p>
          <w:p w14:paraId="3F5C4046">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bCs/>
                <w:color w:val="000000"/>
                <w:kern w:val="0"/>
                <w:szCs w:val="21"/>
              </w:rPr>
              <w:t>利用物质分子对紫外可见光谱区的辐射吸收进行定性定量分析。</w:t>
            </w:r>
          </w:p>
          <w:p w14:paraId="39803BA9">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3．工作条件</w:t>
            </w:r>
          </w:p>
          <w:p w14:paraId="64596AAD">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3.1电源：230V±10%，AC(交流)，50/60 Hz</w:t>
            </w:r>
          </w:p>
          <w:p w14:paraId="3C6CE86C">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3.2环境温度：16–26 ℃（最优：18~21℃）</w:t>
            </w:r>
          </w:p>
          <w:p w14:paraId="7522AC20">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3.3相对湿度：50–80%</w:t>
            </w:r>
          </w:p>
          <w:p w14:paraId="51A4C243">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4．主要参数指标</w:t>
            </w:r>
          </w:p>
          <w:p w14:paraId="448B6173">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4.1 波长范围：190-900 nm。</w:t>
            </w:r>
          </w:p>
          <w:p w14:paraId="222BB8D0">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4.2 测光系统：双光束光学系统。</w:t>
            </w:r>
          </w:p>
          <w:p w14:paraId="03636EF9">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4.3 光谱带宽：</w:t>
            </w:r>
            <w:r>
              <w:rPr>
                <w:rFonts w:ascii="Times New Roman" w:hAnsi="Times New Roman" w:eastAsia="宋体" w:cs="Times New Roman"/>
                <w:bCs/>
                <w:szCs w:val="21"/>
              </w:rPr>
              <w:t>0.1 nm、0.2 nm、0.5 nm、1 nm、2 nm、5 nm。</w:t>
            </w:r>
          </w:p>
          <w:p w14:paraId="39DC3AD1">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4.4 波长准确度：±0.3nm(开机自动校准)。</w:t>
            </w:r>
          </w:p>
          <w:p w14:paraId="51446BD0">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4.5 波长重复性：0.1nm。</w:t>
            </w:r>
          </w:p>
          <w:p w14:paraId="20E0FC66">
            <w:pPr>
              <w:adjustRightInd w:val="0"/>
              <w:snapToGrid w:val="0"/>
              <w:ind w:left="315" w:hanging="315" w:hangingChars="150"/>
              <w:jc w:val="left"/>
              <w:rPr>
                <w:rFonts w:ascii="Times New Roman" w:hAnsi="Times New Roman" w:eastAsia="宋体" w:cs="Times New Roman"/>
                <w:b/>
                <w:bCs/>
                <w:szCs w:val="21"/>
              </w:rPr>
            </w:pPr>
            <w:r>
              <w:rPr>
                <w:rFonts w:ascii="Segoe UI Symbol" w:hAnsi="Segoe UI Symbol" w:eastAsia="宋体" w:cs="Segoe UI Symbol"/>
                <w:szCs w:val="21"/>
              </w:rPr>
              <w:t>★</w:t>
            </w:r>
            <w:r>
              <w:rPr>
                <w:rFonts w:ascii="Times New Roman" w:hAnsi="Times New Roman" w:eastAsia="宋体" w:cs="Times New Roman"/>
                <w:szCs w:val="21"/>
              </w:rPr>
              <w:t>4.6 杂散光：≤0.01% T(220nm, NaI)；≤0.05% T(360 nm, NaNO</w:t>
            </w:r>
            <w:r>
              <w:rPr>
                <w:rFonts w:ascii="Times New Roman" w:hAnsi="Times New Roman" w:eastAsia="宋体" w:cs="Times New Roman"/>
                <w:szCs w:val="21"/>
                <w:vertAlign w:val="subscript"/>
              </w:rPr>
              <w:t>2</w:t>
            </w:r>
            <w:r>
              <w:rPr>
                <w:rFonts w:ascii="Times New Roman" w:hAnsi="Times New Roman" w:eastAsia="宋体" w:cs="Times New Roman"/>
                <w:szCs w:val="21"/>
              </w:rPr>
              <w:t>)，</w:t>
            </w:r>
            <w:r>
              <w:rPr>
                <w:rFonts w:ascii="Times New Roman" w:hAnsi="Times New Roman" w:eastAsia="宋体" w:cs="Times New Roman"/>
                <w:b/>
                <w:bCs/>
                <w:szCs w:val="21"/>
              </w:rPr>
              <w:t>此参数需提供产品彩页官网截图或技术白皮书作为证明材料。</w:t>
            </w:r>
          </w:p>
          <w:p w14:paraId="0ABC839B">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4.7 光度范围：-4.0～4.0 Abs。</w:t>
            </w:r>
          </w:p>
          <w:p w14:paraId="4A0805D6">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4.8 光度准确度：±0.002 Abs(0～0.5Abs)，±0.004 Abs(0.5～1.0Abs)，±0.3%T(0～100%T)。</w:t>
            </w:r>
          </w:p>
          <w:p w14:paraId="037881CE">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4.9 光度重复性：0.001 Abs(0～0.5Abs)，0.002 Abs(0.5～1.0Abs)。</w:t>
            </w:r>
          </w:p>
          <w:p w14:paraId="4BD8D673">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4.10 基线平直度：±0.001 Abs。</w:t>
            </w:r>
          </w:p>
          <w:p w14:paraId="56C1310D">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4.11 基线漂移：≤ 0.0004 Abs/h(500 nm,0 Abs预热后)。</w:t>
            </w:r>
          </w:p>
          <w:p w14:paraId="7CC3DED1">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4.12 噪声：±0.0004 Abs。</w:t>
            </w:r>
          </w:p>
          <w:p w14:paraId="59C0396D">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4.13 自带紫外应用分析工作站软件，可做光度测量、光谱扫描、定量计算和时间扫描等。可选配光学积分球、微量样品池架、恒温池架、短光程样品池架、镜面反射附件、蠕动进样器等附件。</w:t>
            </w:r>
          </w:p>
          <w:p w14:paraId="339D3AD1">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4.14 检测器：光电倍增管。</w:t>
            </w:r>
          </w:p>
          <w:p w14:paraId="61E9A8F3">
            <w:pPr>
              <w:adjustRightInd w:val="0"/>
              <w:snapToGrid w:val="0"/>
              <w:ind w:left="315" w:hanging="315" w:hangingChars="150"/>
              <w:jc w:val="left"/>
              <w:rPr>
                <w:rFonts w:ascii="Times New Roman" w:hAnsi="Times New Roman" w:eastAsia="宋体" w:cs="Times New Roman"/>
                <w:szCs w:val="21"/>
              </w:rPr>
            </w:pPr>
            <w:r>
              <w:rPr>
                <w:rFonts w:ascii="Segoe UI Symbol" w:hAnsi="Segoe UI Symbol" w:eastAsia="宋体" w:cs="Segoe UI Symbol"/>
                <w:szCs w:val="21"/>
              </w:rPr>
              <w:t>★</w:t>
            </w:r>
            <w:r>
              <w:rPr>
                <w:rFonts w:ascii="Times New Roman" w:hAnsi="Times New Roman" w:eastAsia="宋体" w:cs="Times New Roman"/>
                <w:szCs w:val="21"/>
              </w:rPr>
              <w:t>4.15 设备可选配三维直角坐标式（X 、Y 、Z 三轴）自动进样器，最大可支持54个样品以上连续进样，</w:t>
            </w:r>
            <w:r>
              <w:rPr>
                <w:rFonts w:ascii="Times New Roman" w:hAnsi="Times New Roman" w:eastAsia="宋体" w:cs="Times New Roman"/>
                <w:b/>
                <w:bCs/>
                <w:szCs w:val="21"/>
              </w:rPr>
              <w:t>此参数需提供产品彩页官网截图或技术白皮书作为证明材料；</w:t>
            </w:r>
          </w:p>
          <w:p w14:paraId="7243DB34">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4.16 配置要求：</w:t>
            </w:r>
          </w:p>
          <w:p w14:paraId="2F0D78D9">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4.16.1 紫外可见分光光度计主机一套；</w:t>
            </w:r>
          </w:p>
          <w:p w14:paraId="35FDA65D">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4.16.2 可调样品池架（使用10 mm、20 mm、30 mm、50 mm比色池）一套；</w:t>
            </w:r>
          </w:p>
          <w:p w14:paraId="69F10633">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4.16.3 石英标准比色皿（10mm）2套；</w:t>
            </w:r>
          </w:p>
          <w:p w14:paraId="31E34DC5">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4.16.4 数据分析用台式终端1台；（8G内存/256G固态硬盘/集成显卡/键鼠/双串口/大于21.5寸宽屏/WIN11专业版）；</w:t>
            </w:r>
          </w:p>
          <w:p w14:paraId="6A86FBBC">
            <w:pPr>
              <w:adjustRightInd w:val="0"/>
              <w:snapToGrid w:val="0"/>
              <w:ind w:left="315" w:hanging="315" w:hangingChars="150"/>
              <w:jc w:val="left"/>
              <w:rPr>
                <w:rFonts w:ascii="Times New Roman" w:hAnsi="Times New Roman" w:eastAsia="宋体" w:cs="Times New Roman"/>
                <w:szCs w:val="21"/>
              </w:rPr>
            </w:pPr>
            <w:r>
              <w:rPr>
                <w:rFonts w:ascii="Times New Roman" w:hAnsi="Times New Roman" w:eastAsia="宋体" w:cs="Times New Roman"/>
                <w:szCs w:val="21"/>
              </w:rPr>
              <w:t>4.16.5 激光图文输出终端：1台；（600×600 dpi，8 MB内存/USB 2.0/）。</w:t>
            </w:r>
          </w:p>
          <w:p w14:paraId="59D6E0B2">
            <w:pPr>
              <w:adjustRightInd w:val="0"/>
              <w:snapToGrid w:val="0"/>
              <w:jc w:val="left"/>
              <w:rPr>
                <w:rFonts w:ascii="Times New Roman" w:hAnsi="Times New Roman" w:eastAsia="宋体" w:cs="Times New Roman"/>
                <w:b/>
                <w:szCs w:val="21"/>
              </w:rPr>
            </w:pPr>
            <w:r>
              <w:rPr>
                <w:rFonts w:ascii="Times New Roman" w:hAnsi="Times New Roman" w:eastAsia="宋体" w:cs="Times New Roman"/>
                <w:b/>
                <w:szCs w:val="21"/>
              </w:rPr>
              <w:t>5．技术服务</w:t>
            </w:r>
          </w:p>
          <w:p w14:paraId="0C4DEF35">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5.1 设备安装调试：设备到达用户所在地后，在接到用户通知后15天内执行安装调试直至达到验收指标，试用无故障后完成验收，并签订验收报告。</w:t>
            </w:r>
          </w:p>
          <w:p w14:paraId="69BF6AC2">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5.2 技术培训：在用户所在地对用户进行免费现场培训。培训内容包括仪器的技术原理、操作、数据处理、基本维护等。</w:t>
            </w:r>
          </w:p>
          <w:p w14:paraId="249F1A05">
            <w:pPr>
              <w:adjustRightInd w:val="0"/>
              <w:snapToGrid w:val="0"/>
              <w:jc w:val="left"/>
              <w:rPr>
                <w:rFonts w:ascii="Times New Roman" w:hAnsi="Times New Roman" w:eastAsia="宋体" w:cs="Times New Roman"/>
                <w:szCs w:val="21"/>
              </w:rPr>
            </w:pPr>
            <w:r>
              <w:rPr>
                <w:rFonts w:hint="eastAsia" w:ascii="宋体" w:hAnsi="宋体" w:eastAsia="宋体" w:cs="Times New Roman"/>
                <w:szCs w:val="21"/>
              </w:rPr>
              <w:t>★</w:t>
            </w:r>
            <w:r>
              <w:rPr>
                <w:rFonts w:ascii="Times New Roman" w:hAnsi="Times New Roman" w:eastAsia="宋体" w:cs="Times New Roman"/>
                <w:szCs w:val="21"/>
              </w:rPr>
              <w:t>5.3 保修期：整机质保3年，质保范围包括仪器整机和其所有附属配件。</w:t>
            </w:r>
          </w:p>
          <w:p w14:paraId="780B29E1">
            <w:pPr>
              <w:adjustRightInd w:val="0"/>
              <w:snapToGrid w:val="0"/>
              <w:textAlignment w:val="baseline"/>
              <w:rPr>
                <w:rFonts w:ascii="Times New Roman" w:hAnsi="Times New Roman" w:eastAsia="宋体" w:cs="Times New Roman"/>
                <w:bCs/>
                <w:color w:val="000000"/>
                <w:kern w:val="0"/>
                <w:szCs w:val="21"/>
              </w:rPr>
            </w:pPr>
            <w:r>
              <w:rPr>
                <w:rFonts w:ascii="Times New Roman" w:hAnsi="Times New Roman" w:eastAsia="宋体" w:cs="Times New Roman"/>
                <w:szCs w:val="21"/>
              </w:rPr>
              <w:t>5.4 维修响应时间：供应商必须保证快速的服务响应。</w:t>
            </w:r>
            <w:r>
              <w:rPr>
                <w:rFonts w:ascii="Times New Roman" w:hAnsi="Times New Roman" w:eastAsia="宋体" w:cs="Times New Roman"/>
                <w:bCs/>
                <w:color w:val="000000"/>
                <w:kern w:val="0"/>
                <w:szCs w:val="21"/>
              </w:rPr>
              <w:t>得到通知后，在8小时内提供服务确认，保证技术人员的操作疑问能够在24小时内得到解答，48小时内到达现场。</w:t>
            </w:r>
          </w:p>
          <w:p w14:paraId="53AB6A24">
            <w:pPr>
              <w:adjustRightInd w:val="0"/>
              <w:snapToGrid w:val="0"/>
              <w:jc w:val="left"/>
              <w:rPr>
                <w:rFonts w:ascii="Times New Roman" w:hAnsi="Times New Roman" w:eastAsia="宋体" w:cs="Times New Roman"/>
                <w:b/>
                <w:szCs w:val="21"/>
              </w:rPr>
            </w:pPr>
            <w:r>
              <w:rPr>
                <w:rFonts w:ascii="Times New Roman" w:hAnsi="Times New Roman" w:eastAsia="宋体" w:cs="Times New Roman"/>
                <w:b/>
                <w:szCs w:val="21"/>
              </w:rPr>
              <w:t>6．其他说明</w:t>
            </w:r>
          </w:p>
          <w:p w14:paraId="7F2BD196">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6.1 现场培训：仪器到货后进行基本操作讲解，工程师在调试仪器的同时，让用户能够自己操作仪器，使仪器使用者能全面、熟练掌握仪器性能和操作使用；会判断、处理一般常见故障。其培训内容指的是仪器设备的基本原理、安装、调试、操作使用和日常保养维修等。培训时间不少于2个工作日。</w:t>
            </w:r>
          </w:p>
          <w:p w14:paraId="4089583B">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6.2 其他：无需其他任何辅助设备仪器均能正常工作。仪器设备的环境改造（包括水、电以及实验台等）所需费用由供货商负责。</w:t>
            </w:r>
          </w:p>
          <w:p w14:paraId="1EC2989A">
            <w:pPr>
              <w:adjustRightInd w:val="0"/>
              <w:snapToGrid w:val="0"/>
              <w:jc w:val="left"/>
              <w:rPr>
                <w:rFonts w:ascii="宋体" w:hAnsi="宋体" w:eastAsia="宋体" w:cs="Times New Roman"/>
                <w:szCs w:val="21"/>
              </w:rPr>
            </w:pPr>
            <w:r>
              <w:rPr>
                <w:rFonts w:ascii="Times New Roman" w:hAnsi="Times New Roman" w:eastAsia="宋体" w:cs="Times New Roman"/>
                <w:szCs w:val="21"/>
              </w:rPr>
              <w:t>6.3按客户需求提供整机免费搬迁1次。</w:t>
            </w:r>
          </w:p>
        </w:tc>
        <w:tc>
          <w:tcPr>
            <w:tcW w:w="0" w:type="auto"/>
            <w:noWrap w:val="0"/>
            <w:vAlign w:val="center"/>
          </w:tcPr>
          <w:p w14:paraId="568F1B97">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1台</w:t>
            </w:r>
          </w:p>
        </w:tc>
      </w:tr>
      <w:tr w14:paraId="66BF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6B9EEEC4">
            <w:pPr>
              <w:adjustRightInd w:val="0"/>
              <w:snapToGrid w:val="0"/>
              <w:jc w:val="center"/>
              <w:rPr>
                <w:rFonts w:ascii="宋体" w:hAnsi="宋体" w:eastAsia="宋体" w:cs="Times New Roman"/>
                <w:szCs w:val="21"/>
              </w:rPr>
            </w:pPr>
            <w:r>
              <w:rPr>
                <w:rFonts w:hint="eastAsia" w:ascii="宋体" w:hAnsi="宋体" w:eastAsia="宋体" w:cs="Times New Roman"/>
                <w:szCs w:val="21"/>
              </w:rPr>
              <w:t>5</w:t>
            </w:r>
          </w:p>
        </w:tc>
        <w:tc>
          <w:tcPr>
            <w:tcW w:w="0" w:type="auto"/>
            <w:noWrap w:val="0"/>
            <w:vAlign w:val="center"/>
          </w:tcPr>
          <w:p w14:paraId="5695B237">
            <w:pPr>
              <w:adjustRightInd w:val="0"/>
              <w:snapToGrid w:val="0"/>
              <w:jc w:val="center"/>
              <w:rPr>
                <w:rFonts w:ascii="宋体" w:hAnsi="宋体" w:eastAsia="宋体" w:cs="Times New Roman"/>
                <w:szCs w:val="21"/>
              </w:rPr>
            </w:pPr>
            <w:r>
              <w:rPr>
                <w:rFonts w:hint="eastAsia" w:ascii="宋体" w:hAnsi="宋体" w:eastAsia="宋体" w:cs="Times New Roman"/>
                <w:szCs w:val="21"/>
              </w:rPr>
              <w:t>高通量冷冻组织研磨仪</w:t>
            </w:r>
          </w:p>
        </w:tc>
        <w:tc>
          <w:tcPr>
            <w:tcW w:w="0" w:type="auto"/>
            <w:noWrap w:val="0"/>
            <w:vAlign w:val="top"/>
          </w:tcPr>
          <w:p w14:paraId="35A17AC5">
            <w:pPr>
              <w:adjustRightInd w:val="0"/>
              <w:snapToGrid w:val="0"/>
              <w:jc w:val="left"/>
              <w:textAlignment w:val="baseline"/>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1．应用范围</w:t>
            </w:r>
          </w:p>
          <w:p w14:paraId="5915F2A3">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bCs/>
                <w:color w:val="000000"/>
                <w:kern w:val="0"/>
                <w:szCs w:val="21"/>
              </w:rPr>
              <w:t>主要用于多种样品的研磨和破碎。</w:t>
            </w:r>
          </w:p>
          <w:p w14:paraId="3D3F0009">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2．仪器用途要求及基本要求</w:t>
            </w:r>
          </w:p>
          <w:p w14:paraId="5F25DC1D">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bCs/>
                <w:color w:val="000000"/>
                <w:kern w:val="0"/>
                <w:szCs w:val="21"/>
              </w:rPr>
              <w:t>主要用于多种样品的研磨和破碎。</w:t>
            </w:r>
          </w:p>
          <w:p w14:paraId="494F5295">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3．工作条件</w:t>
            </w:r>
          </w:p>
          <w:p w14:paraId="0EBC3A12">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3.1 电源：230V±10%，AC(交流)，50/60Hz</w:t>
            </w:r>
          </w:p>
          <w:p w14:paraId="69E560D3">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3.2 环境温度：16–26℃（最优：18~21℃）</w:t>
            </w:r>
          </w:p>
          <w:p w14:paraId="134E6FF4">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3.3 相对湿度：50–80%</w:t>
            </w:r>
          </w:p>
          <w:p w14:paraId="3675C9FD">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4．主要参数指标</w:t>
            </w:r>
          </w:p>
          <w:p w14:paraId="08E1EBAC">
            <w:pPr>
              <w:adjustRightInd w:val="0"/>
              <w:snapToGrid w:val="0"/>
              <w:jc w:val="left"/>
              <w:rPr>
                <w:rFonts w:ascii="Times New Roman" w:hAnsi="Times New Roman" w:eastAsia="宋体" w:cs="Times New Roman"/>
                <w:szCs w:val="21"/>
              </w:rPr>
            </w:pPr>
            <w:r>
              <w:rPr>
                <w:rFonts w:ascii="Segoe UI Symbol" w:hAnsi="Segoe UI Symbol" w:eastAsia="宋体" w:cs="Segoe UI Symbol"/>
                <w:szCs w:val="21"/>
              </w:rPr>
              <w:t>★</w:t>
            </w:r>
            <w:r>
              <w:rPr>
                <w:rFonts w:ascii="Times New Roman" w:hAnsi="Times New Roman" w:eastAsia="宋体" w:cs="Times New Roman"/>
                <w:szCs w:val="21"/>
              </w:rPr>
              <w:t>4.1 基本配置：</w:t>
            </w:r>
          </w:p>
          <w:p w14:paraId="50818D0B">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4.1.1 主机一台；</w:t>
            </w:r>
          </w:p>
          <w:p w14:paraId="7D526B01">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4.1.2  2.0 ml×96通量合金适配器；</w:t>
            </w:r>
          </w:p>
          <w:p w14:paraId="1C513D79">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4.1.3  5.0 ml×12通量合金适配器；</w:t>
            </w:r>
          </w:p>
          <w:p w14:paraId="72A2D1EC">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4.1.4  50 ml×2通量合金适配器；</w:t>
            </w:r>
          </w:p>
          <w:p w14:paraId="66D07636">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4.1.5  3 mm的316不锈钢珠2000粒；</w:t>
            </w:r>
          </w:p>
          <w:p w14:paraId="1EA293FB">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4.1.6  6 mm的316不锈钢珠1000粒；</w:t>
            </w:r>
          </w:p>
          <w:p w14:paraId="3FCB3B58">
            <w:pPr>
              <w:adjustRightInd w:val="0"/>
              <w:snapToGrid w:val="0"/>
              <w:ind w:firstLine="630" w:firstLineChars="300"/>
              <w:jc w:val="left"/>
              <w:rPr>
                <w:rFonts w:ascii="Times New Roman" w:hAnsi="Times New Roman" w:eastAsia="宋体" w:cs="Times New Roman"/>
                <w:szCs w:val="21"/>
              </w:rPr>
            </w:pPr>
            <w:r>
              <w:rPr>
                <w:rFonts w:ascii="Times New Roman" w:hAnsi="Times New Roman" w:eastAsia="宋体" w:cs="Times New Roman"/>
                <w:szCs w:val="21"/>
              </w:rPr>
              <w:t>（适配器可直接置于液氮中）</w:t>
            </w:r>
          </w:p>
          <w:p w14:paraId="32085325">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4.2 显示：OLED触摸屏；</w:t>
            </w:r>
          </w:p>
          <w:p w14:paraId="01E901EE">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4.3 功能：均质、研磨、破碎、匀浆、材分散、制备、混匀、振荡</w:t>
            </w:r>
          </w:p>
          <w:p w14:paraId="4D10B872">
            <w:pPr>
              <w:adjustRightInd w:val="0"/>
              <w:snapToGrid w:val="0"/>
              <w:jc w:val="left"/>
              <w:rPr>
                <w:rFonts w:ascii="Times New Roman" w:hAnsi="Times New Roman" w:eastAsia="宋体" w:cs="Times New Roman"/>
                <w:b/>
                <w:bCs/>
                <w:szCs w:val="21"/>
              </w:rPr>
            </w:pPr>
            <w:r>
              <w:rPr>
                <w:rFonts w:ascii="Segoe UI Symbol" w:hAnsi="Segoe UI Symbol" w:eastAsia="宋体" w:cs="Segoe UI Symbol"/>
                <w:szCs w:val="21"/>
              </w:rPr>
              <w:t>★</w:t>
            </w:r>
            <w:r>
              <w:rPr>
                <w:rFonts w:ascii="Times New Roman" w:hAnsi="Times New Roman" w:eastAsia="宋体" w:cs="Times New Roman"/>
                <w:szCs w:val="21"/>
              </w:rPr>
              <w:t>4.4 研磨方式：干磨，湿磨，预冷研磨均可，</w:t>
            </w:r>
            <w:r>
              <w:rPr>
                <w:rFonts w:ascii="Times New Roman" w:hAnsi="Times New Roman" w:eastAsia="宋体" w:cs="Times New Roman"/>
                <w:b/>
                <w:bCs/>
                <w:szCs w:val="21"/>
              </w:rPr>
              <w:t>此参数需提供产品彩页官网截图或技术白皮书作为证明材料；</w:t>
            </w:r>
          </w:p>
          <w:p w14:paraId="2627DE05">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4.5 研磨球直径：0.1-30 mm；</w:t>
            </w:r>
          </w:p>
          <w:p w14:paraId="71EABE67">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4.6 出料粒度：~5 μm；</w:t>
            </w:r>
          </w:p>
          <w:p w14:paraId="6AFFDD8C">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4.7 噪音等级：＜55 db；</w:t>
            </w:r>
          </w:p>
          <w:p w14:paraId="71FBF21D">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4.8 研磨平台数：大于2个；</w:t>
            </w:r>
          </w:p>
          <w:p w14:paraId="7EC440E2">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4.9 制冷功能：-50℃到室温可调节；</w:t>
            </w:r>
          </w:p>
          <w:p w14:paraId="6C0D7B7F">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4.10 时间设定：0秒~99分钟可调，可自行设定；</w:t>
            </w:r>
          </w:p>
          <w:p w14:paraId="23782C68">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4.11 加减速：2秒内；</w:t>
            </w:r>
          </w:p>
          <w:p w14:paraId="1A9DAEC7">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4.12 加速时间：压缩机制冷；</w:t>
            </w:r>
          </w:p>
          <w:p w14:paraId="2A90689B">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4.13 带自动中心定位的紧固装置，电动门安全锁，全程保护；</w:t>
            </w:r>
          </w:p>
          <w:p w14:paraId="2B6356FE">
            <w:pPr>
              <w:adjustRightInd w:val="0"/>
              <w:snapToGrid w:val="0"/>
              <w:jc w:val="left"/>
              <w:rPr>
                <w:rFonts w:ascii="Times New Roman" w:hAnsi="Times New Roman" w:eastAsia="宋体" w:cs="Times New Roman"/>
                <w:b/>
                <w:szCs w:val="21"/>
              </w:rPr>
            </w:pPr>
            <w:r>
              <w:rPr>
                <w:rFonts w:ascii="Times New Roman" w:hAnsi="Times New Roman" w:eastAsia="宋体" w:cs="Times New Roman"/>
                <w:b/>
                <w:szCs w:val="21"/>
              </w:rPr>
              <w:t>5．技术服务</w:t>
            </w:r>
          </w:p>
          <w:p w14:paraId="4027154E">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5.1 设备安装调试：设备到达用户所在地后，在接到用户通知后15天内执行安装调试直至达到验收指标，试用无故障后完成验收，并签订验收报告。</w:t>
            </w:r>
          </w:p>
          <w:p w14:paraId="39388A2B">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5.2 技术培训：在用户所在地对用户进行免费现场培训。培训内容包括仪器的技术原理、操作、数据处理、基本维护等。</w:t>
            </w:r>
          </w:p>
          <w:p w14:paraId="2106B87B">
            <w:pPr>
              <w:adjustRightInd w:val="0"/>
              <w:snapToGrid w:val="0"/>
              <w:jc w:val="left"/>
              <w:rPr>
                <w:rFonts w:ascii="Times New Roman" w:hAnsi="Times New Roman" w:eastAsia="宋体" w:cs="Times New Roman"/>
                <w:szCs w:val="21"/>
              </w:rPr>
            </w:pPr>
            <w:r>
              <w:rPr>
                <w:rFonts w:hint="eastAsia" w:ascii="宋体" w:hAnsi="宋体" w:eastAsia="宋体" w:cs="Times New Roman"/>
                <w:szCs w:val="21"/>
              </w:rPr>
              <w:t>★</w:t>
            </w:r>
            <w:r>
              <w:rPr>
                <w:rFonts w:ascii="Times New Roman" w:hAnsi="Times New Roman" w:eastAsia="宋体" w:cs="Times New Roman"/>
                <w:szCs w:val="21"/>
              </w:rPr>
              <w:t>5.3 保修期：整机质保3年，质保范围包括仪器整机和其所有附属配件。</w:t>
            </w:r>
          </w:p>
          <w:p w14:paraId="5D57510C">
            <w:pPr>
              <w:adjustRightInd w:val="0"/>
              <w:snapToGrid w:val="0"/>
              <w:textAlignment w:val="baseline"/>
              <w:rPr>
                <w:rFonts w:ascii="Times New Roman" w:hAnsi="Times New Roman" w:eastAsia="宋体" w:cs="Times New Roman"/>
                <w:bCs/>
                <w:color w:val="000000"/>
                <w:kern w:val="0"/>
                <w:szCs w:val="21"/>
              </w:rPr>
            </w:pPr>
            <w:r>
              <w:rPr>
                <w:rFonts w:ascii="Times New Roman" w:hAnsi="Times New Roman" w:eastAsia="宋体" w:cs="Times New Roman"/>
                <w:szCs w:val="21"/>
              </w:rPr>
              <w:t>5.4 维修响应时间：供应商必须保证快速的服务响应。</w:t>
            </w:r>
            <w:r>
              <w:rPr>
                <w:rFonts w:ascii="Times New Roman" w:hAnsi="Times New Roman" w:eastAsia="宋体" w:cs="Times New Roman"/>
                <w:bCs/>
                <w:color w:val="000000"/>
                <w:kern w:val="0"/>
                <w:szCs w:val="21"/>
              </w:rPr>
              <w:t>得到通知后，在8小时内提供服务确认，保证技术人员的操作疑问能够在24小时内得到解答，48小时内到达现场。</w:t>
            </w:r>
          </w:p>
          <w:p w14:paraId="47F08B8D">
            <w:pPr>
              <w:adjustRightInd w:val="0"/>
              <w:snapToGrid w:val="0"/>
              <w:jc w:val="left"/>
              <w:rPr>
                <w:rFonts w:ascii="Times New Roman" w:hAnsi="Times New Roman" w:eastAsia="宋体" w:cs="Times New Roman"/>
                <w:b/>
                <w:szCs w:val="21"/>
              </w:rPr>
            </w:pPr>
            <w:r>
              <w:rPr>
                <w:rFonts w:ascii="Times New Roman" w:hAnsi="Times New Roman" w:eastAsia="宋体" w:cs="Times New Roman"/>
                <w:b/>
                <w:szCs w:val="21"/>
              </w:rPr>
              <w:t>6．其他说明</w:t>
            </w:r>
          </w:p>
          <w:p w14:paraId="28794FC8">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6.1 现场培训：仪器到货后进行基本操作讲解，工程师在调试仪器的同时，让用户能够自己操作仪器，使仪器使用者能全面、熟练掌握仪器性能和操作使用；会判断、处理一般常见故障。其培训内容指的是仪器设备的基本原理、安装、调试、操作使用和日常保养维修等。培训时间不少于2个工作日。</w:t>
            </w:r>
          </w:p>
          <w:p w14:paraId="7C01617B">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6.2 其他：无需其他任何辅助设备仪器均能正常工作。仪器设备的环境改造（包括水、电以及实验台等）所需费用由供货商负责。</w:t>
            </w:r>
          </w:p>
          <w:p w14:paraId="15ED52BB">
            <w:pPr>
              <w:adjustRightInd w:val="0"/>
              <w:snapToGrid w:val="0"/>
              <w:jc w:val="left"/>
              <w:rPr>
                <w:rFonts w:ascii="宋体" w:hAnsi="宋体" w:eastAsia="宋体" w:cs="Times New Roman"/>
                <w:szCs w:val="21"/>
              </w:rPr>
            </w:pPr>
            <w:r>
              <w:rPr>
                <w:rFonts w:ascii="Times New Roman" w:hAnsi="Times New Roman" w:eastAsia="宋体" w:cs="Times New Roman"/>
                <w:szCs w:val="21"/>
              </w:rPr>
              <w:t>6.3按客户需求提供整机免费搬迁1次。</w:t>
            </w:r>
          </w:p>
        </w:tc>
        <w:tc>
          <w:tcPr>
            <w:tcW w:w="0" w:type="auto"/>
            <w:noWrap w:val="0"/>
            <w:vAlign w:val="center"/>
          </w:tcPr>
          <w:p w14:paraId="4CC5436C">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1台</w:t>
            </w:r>
          </w:p>
        </w:tc>
      </w:tr>
      <w:tr w14:paraId="0349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D26C694">
            <w:pPr>
              <w:adjustRightInd w:val="0"/>
              <w:snapToGrid w:val="0"/>
              <w:jc w:val="center"/>
              <w:rPr>
                <w:rFonts w:ascii="宋体" w:hAnsi="宋体" w:eastAsia="宋体" w:cs="Times New Roman"/>
                <w:szCs w:val="21"/>
              </w:rPr>
            </w:pPr>
            <w:r>
              <w:rPr>
                <w:rFonts w:hint="eastAsia" w:ascii="宋体" w:hAnsi="宋体" w:eastAsia="宋体" w:cs="Times New Roman"/>
                <w:szCs w:val="21"/>
              </w:rPr>
              <w:t>6</w:t>
            </w:r>
          </w:p>
        </w:tc>
        <w:tc>
          <w:tcPr>
            <w:tcW w:w="0" w:type="auto"/>
            <w:noWrap w:val="0"/>
            <w:vAlign w:val="center"/>
          </w:tcPr>
          <w:p w14:paraId="5B757275">
            <w:pPr>
              <w:adjustRightInd w:val="0"/>
              <w:snapToGrid w:val="0"/>
              <w:jc w:val="center"/>
              <w:rPr>
                <w:rFonts w:ascii="宋体" w:hAnsi="宋体" w:eastAsia="宋体" w:cs="Times New Roman"/>
                <w:szCs w:val="21"/>
              </w:rPr>
            </w:pPr>
            <w:r>
              <w:rPr>
                <w:rFonts w:hint="eastAsia" w:ascii="宋体" w:hAnsi="宋体" w:eastAsia="宋体" w:cs="Times New Roman"/>
                <w:szCs w:val="21"/>
              </w:rPr>
              <w:t>分散仪</w:t>
            </w:r>
          </w:p>
        </w:tc>
        <w:tc>
          <w:tcPr>
            <w:tcW w:w="0" w:type="auto"/>
            <w:noWrap w:val="0"/>
            <w:vAlign w:val="top"/>
          </w:tcPr>
          <w:p w14:paraId="208B1F6C">
            <w:pPr>
              <w:adjustRightInd w:val="0"/>
              <w:snapToGrid w:val="0"/>
              <w:jc w:val="left"/>
              <w:textAlignment w:val="baseline"/>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1．应用范围</w:t>
            </w:r>
          </w:p>
          <w:p w14:paraId="1A8E4ACB">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bCs/>
                <w:color w:val="000000"/>
                <w:kern w:val="0"/>
                <w:szCs w:val="21"/>
              </w:rPr>
              <w:t>用于对各种样品进行分散处理。</w:t>
            </w:r>
          </w:p>
          <w:p w14:paraId="7B431790">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2．仪器用途要求及基本要求</w:t>
            </w:r>
          </w:p>
          <w:p w14:paraId="3F4A35C5">
            <w:pPr>
              <w:adjustRightInd w:val="0"/>
              <w:snapToGrid w:val="0"/>
              <w:jc w:val="left"/>
              <w:textAlignment w:val="baseline"/>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用于对各种样品进行分散处理。</w:t>
            </w:r>
          </w:p>
          <w:p w14:paraId="3D35E46D">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3．工作条件</w:t>
            </w:r>
          </w:p>
          <w:p w14:paraId="3ADC5988">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3.1电源：230V±10%，AC(交流)，50/60Hz</w:t>
            </w:r>
          </w:p>
          <w:p w14:paraId="4BE78ED1">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3.2环境温度：16–26℃（最优：18~21℃）</w:t>
            </w:r>
          </w:p>
          <w:p w14:paraId="6433754C">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3.3相对湿度：50–80%</w:t>
            </w:r>
          </w:p>
          <w:p w14:paraId="26CF8E1B">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4．主要参数指标</w:t>
            </w:r>
          </w:p>
          <w:p w14:paraId="26AB6C52">
            <w:pPr>
              <w:adjustRightInd w:val="0"/>
              <w:snapToGrid w:val="0"/>
              <w:jc w:val="left"/>
              <w:rPr>
                <w:rFonts w:ascii="Times New Roman" w:hAnsi="Times New Roman" w:eastAsia="宋体" w:cs="Times New Roman"/>
                <w:szCs w:val="21"/>
              </w:rPr>
            </w:pPr>
            <w:r>
              <w:rPr>
                <w:rFonts w:ascii="Segoe UI Symbol" w:hAnsi="Segoe UI Symbol" w:eastAsia="宋体" w:cs="Segoe UI Symbol"/>
                <w:szCs w:val="21"/>
              </w:rPr>
              <w:t>★</w:t>
            </w:r>
            <w:r>
              <w:rPr>
                <w:rFonts w:ascii="Times New Roman" w:hAnsi="Times New Roman" w:eastAsia="宋体" w:cs="Times New Roman"/>
                <w:szCs w:val="21"/>
              </w:rPr>
              <w:t>4.1 处理量：0.5 - 100 mL；</w:t>
            </w:r>
          </w:p>
          <w:p w14:paraId="066D8843">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4.2 转速范围：8000 - 30000 rpm；</w:t>
            </w:r>
          </w:p>
          <w:p w14:paraId="58832E78">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4.3 速度调整：无极调速；</w:t>
            </w:r>
          </w:p>
          <w:p w14:paraId="2E4AEE17">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4.4 转速显示：刻度；</w:t>
            </w:r>
          </w:p>
          <w:p w14:paraId="0B34974B">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4.5 噪声：≤65 dB；</w:t>
            </w:r>
          </w:p>
          <w:p w14:paraId="55E59D91">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4.6 工序类型：分批处理；</w:t>
            </w:r>
          </w:p>
          <w:p w14:paraId="154800AB">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4.7 允许环境温度：5-40℃；</w:t>
            </w:r>
          </w:p>
          <w:p w14:paraId="5E880B0E">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4.8 允许相对湿度：80%；</w:t>
            </w:r>
          </w:p>
          <w:p w14:paraId="250BE14F">
            <w:pPr>
              <w:adjustRightInd w:val="0"/>
              <w:snapToGrid w:val="0"/>
              <w:jc w:val="left"/>
              <w:rPr>
                <w:rFonts w:ascii="Times New Roman" w:hAnsi="Times New Roman" w:eastAsia="宋体" w:cs="Times New Roman"/>
                <w:b/>
                <w:bCs/>
                <w:szCs w:val="21"/>
              </w:rPr>
            </w:pPr>
            <w:r>
              <w:rPr>
                <w:rFonts w:ascii="Segoe UI Symbol" w:hAnsi="Segoe UI Symbol" w:eastAsia="宋体" w:cs="Segoe UI Symbol"/>
                <w:szCs w:val="21"/>
              </w:rPr>
              <w:t>★</w:t>
            </w:r>
            <w:r>
              <w:rPr>
                <w:rFonts w:ascii="Times New Roman" w:hAnsi="Times New Roman" w:eastAsia="宋体" w:cs="Times New Roman"/>
                <w:szCs w:val="21"/>
              </w:rPr>
              <w:t>4.9 刀头参数，容量：0.5-100</w:t>
            </w:r>
            <w:r>
              <w:rPr>
                <w:rFonts w:hint="eastAsia" w:ascii="Times New Roman" w:hAnsi="Times New Roman" w:eastAsia="宋体" w:cs="Times New Roman"/>
                <w:szCs w:val="21"/>
              </w:rPr>
              <w:t xml:space="preserve"> </w:t>
            </w:r>
            <w:r>
              <w:rPr>
                <w:rFonts w:ascii="Times New Roman" w:hAnsi="Times New Roman" w:eastAsia="宋体" w:cs="Times New Roman"/>
                <w:szCs w:val="21"/>
              </w:rPr>
              <w:t>mL，材料：316</w:t>
            </w:r>
            <w:r>
              <w:rPr>
                <w:rFonts w:hint="eastAsia" w:ascii="Times New Roman" w:hAnsi="Times New Roman" w:eastAsia="宋体" w:cs="Times New Roman"/>
                <w:szCs w:val="21"/>
              </w:rPr>
              <w:t xml:space="preserve"> </w:t>
            </w:r>
            <w:r>
              <w:rPr>
                <w:rFonts w:ascii="Times New Roman" w:hAnsi="Times New Roman" w:eastAsia="宋体" w:cs="Times New Roman"/>
                <w:szCs w:val="21"/>
              </w:rPr>
              <w:t>L，pH值：2-13，最高工作温度：180℃,可配置一次性刀头供使用，</w:t>
            </w:r>
            <w:r>
              <w:rPr>
                <w:rFonts w:ascii="Times New Roman" w:hAnsi="Times New Roman" w:eastAsia="宋体" w:cs="Times New Roman"/>
                <w:b/>
                <w:bCs/>
                <w:szCs w:val="21"/>
              </w:rPr>
              <w:t>此参数需提供产品彩页官网截图或技术白皮书作为证明材料；</w:t>
            </w:r>
          </w:p>
          <w:p w14:paraId="50FFDE3B">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4.10 适用于各种灭菌方式；</w:t>
            </w:r>
          </w:p>
          <w:p w14:paraId="77148727">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4.11 具有过载保护功能；</w:t>
            </w:r>
          </w:p>
          <w:p w14:paraId="2188BD15">
            <w:pPr>
              <w:adjustRightInd w:val="0"/>
              <w:snapToGrid w:val="0"/>
              <w:jc w:val="left"/>
              <w:rPr>
                <w:rFonts w:ascii="Times New Roman" w:hAnsi="Times New Roman" w:eastAsia="宋体" w:cs="Times New Roman"/>
                <w:b/>
                <w:szCs w:val="21"/>
              </w:rPr>
            </w:pPr>
            <w:r>
              <w:rPr>
                <w:rFonts w:ascii="Times New Roman" w:hAnsi="Times New Roman" w:eastAsia="宋体" w:cs="Times New Roman"/>
                <w:b/>
                <w:szCs w:val="21"/>
              </w:rPr>
              <w:t>5．技术服务</w:t>
            </w:r>
          </w:p>
          <w:p w14:paraId="6E4B214B">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5.1 设备安装调试：设备到达用户所在地后，在接到用户通知后15天内执行安装调试直至达到验收指标，试用无故障后完成验收，并签订验收报告。</w:t>
            </w:r>
          </w:p>
          <w:p w14:paraId="18DE9687">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5.2 技术培训：在用户所在地对用户进行免费现场培训。培训内容包括仪器的技术原理、操作、数据处理、基本维护等。</w:t>
            </w:r>
          </w:p>
          <w:p w14:paraId="43005A47">
            <w:pPr>
              <w:adjustRightInd w:val="0"/>
              <w:snapToGrid w:val="0"/>
              <w:jc w:val="left"/>
              <w:rPr>
                <w:rFonts w:ascii="Times New Roman" w:hAnsi="Times New Roman" w:eastAsia="宋体" w:cs="Times New Roman"/>
                <w:szCs w:val="21"/>
              </w:rPr>
            </w:pPr>
            <w:r>
              <w:rPr>
                <w:rFonts w:hint="eastAsia" w:ascii="宋体" w:hAnsi="宋体" w:eastAsia="宋体" w:cs="Times New Roman"/>
                <w:szCs w:val="21"/>
              </w:rPr>
              <w:t>★</w:t>
            </w:r>
            <w:r>
              <w:rPr>
                <w:rFonts w:ascii="Times New Roman" w:hAnsi="Times New Roman" w:eastAsia="宋体" w:cs="Times New Roman"/>
                <w:szCs w:val="21"/>
              </w:rPr>
              <w:t>5.3 保修期：整机质保3年，质保范围包括仪器整机和其所有附属配件。</w:t>
            </w:r>
          </w:p>
          <w:p w14:paraId="003B1B01">
            <w:pPr>
              <w:adjustRightInd w:val="0"/>
              <w:snapToGrid w:val="0"/>
              <w:textAlignment w:val="baseline"/>
              <w:rPr>
                <w:rFonts w:ascii="Times New Roman" w:hAnsi="Times New Roman" w:eastAsia="宋体" w:cs="Times New Roman"/>
                <w:bCs/>
                <w:color w:val="000000"/>
                <w:kern w:val="0"/>
                <w:szCs w:val="21"/>
              </w:rPr>
            </w:pPr>
            <w:r>
              <w:rPr>
                <w:rFonts w:ascii="Times New Roman" w:hAnsi="Times New Roman" w:eastAsia="宋体" w:cs="Times New Roman"/>
                <w:szCs w:val="21"/>
              </w:rPr>
              <w:t>5.4 维修响应时间：供应商必须保证快速的服务响应。</w:t>
            </w:r>
            <w:r>
              <w:rPr>
                <w:rFonts w:ascii="Times New Roman" w:hAnsi="Times New Roman" w:eastAsia="宋体" w:cs="Times New Roman"/>
                <w:bCs/>
                <w:color w:val="000000"/>
                <w:kern w:val="0"/>
                <w:szCs w:val="21"/>
              </w:rPr>
              <w:t>得到通知后，在8小时内提供服务确认，保证技术人员的操作疑问能够在24小时内得到解答，48小时内到达现场。</w:t>
            </w:r>
          </w:p>
          <w:p w14:paraId="5CEB9A15">
            <w:pPr>
              <w:adjustRightInd w:val="0"/>
              <w:snapToGrid w:val="0"/>
              <w:jc w:val="left"/>
              <w:rPr>
                <w:rFonts w:ascii="Times New Roman" w:hAnsi="Times New Roman" w:eastAsia="宋体" w:cs="Times New Roman"/>
                <w:b/>
                <w:szCs w:val="21"/>
              </w:rPr>
            </w:pPr>
            <w:r>
              <w:rPr>
                <w:rFonts w:ascii="Times New Roman" w:hAnsi="Times New Roman" w:eastAsia="宋体" w:cs="Times New Roman"/>
                <w:b/>
                <w:szCs w:val="21"/>
              </w:rPr>
              <w:t>6．其他说明</w:t>
            </w:r>
          </w:p>
          <w:p w14:paraId="61A3F363">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6.1 现场培训：仪器到货后进行基本操作讲解，工程师在调试仪器的同时，让用户能够自己操作仪器，使仪器使用者能全面、熟练掌握仪器性能和操作使用；会判断、处理一般常见故障。其培训内容指的是仪器设备的基本原理、安装、调试、操作使用和日常保养维修等。培训时间不少于2个工作日。</w:t>
            </w:r>
          </w:p>
          <w:p w14:paraId="351445D8">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6.2 其他：无需其他任何辅助设备仪器均能正常工作。仪器设备的环境改造（包括水、电以及实验台等）所需费用由供货商负责。</w:t>
            </w:r>
          </w:p>
          <w:p w14:paraId="0F03F0D2">
            <w:pPr>
              <w:adjustRightInd w:val="0"/>
              <w:snapToGrid w:val="0"/>
              <w:jc w:val="left"/>
              <w:rPr>
                <w:rFonts w:ascii="宋体" w:hAnsi="宋体" w:eastAsia="宋体" w:cs="Times New Roman"/>
                <w:szCs w:val="21"/>
              </w:rPr>
            </w:pPr>
            <w:r>
              <w:rPr>
                <w:rFonts w:ascii="Times New Roman" w:hAnsi="Times New Roman" w:eastAsia="宋体" w:cs="Times New Roman"/>
                <w:szCs w:val="21"/>
              </w:rPr>
              <w:t>6.3 按客户需求提供整机免费搬迁1次。</w:t>
            </w:r>
          </w:p>
        </w:tc>
        <w:tc>
          <w:tcPr>
            <w:tcW w:w="0" w:type="auto"/>
            <w:noWrap w:val="0"/>
            <w:vAlign w:val="center"/>
          </w:tcPr>
          <w:p w14:paraId="002E6A0D">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1台</w:t>
            </w:r>
          </w:p>
        </w:tc>
      </w:tr>
      <w:tr w14:paraId="280A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25188E56">
            <w:pPr>
              <w:adjustRightInd w:val="0"/>
              <w:snapToGrid w:val="0"/>
              <w:jc w:val="center"/>
              <w:rPr>
                <w:rFonts w:ascii="宋体" w:hAnsi="宋体" w:eastAsia="宋体" w:cs="Times New Roman"/>
                <w:szCs w:val="21"/>
              </w:rPr>
            </w:pPr>
            <w:r>
              <w:rPr>
                <w:rFonts w:hint="eastAsia" w:ascii="宋体" w:hAnsi="宋体" w:eastAsia="宋体" w:cs="Times New Roman"/>
                <w:szCs w:val="21"/>
              </w:rPr>
              <w:t>7</w:t>
            </w:r>
          </w:p>
        </w:tc>
        <w:tc>
          <w:tcPr>
            <w:tcW w:w="0" w:type="auto"/>
            <w:noWrap w:val="0"/>
            <w:vAlign w:val="center"/>
          </w:tcPr>
          <w:p w14:paraId="0E45F0E8">
            <w:pPr>
              <w:adjustRightInd w:val="0"/>
              <w:snapToGrid w:val="0"/>
              <w:jc w:val="center"/>
              <w:rPr>
                <w:rFonts w:ascii="宋体" w:hAnsi="宋体" w:eastAsia="宋体" w:cs="Times New Roman"/>
                <w:szCs w:val="21"/>
              </w:rPr>
            </w:pPr>
            <w:r>
              <w:rPr>
                <w:rFonts w:hint="eastAsia" w:ascii="宋体" w:hAnsi="宋体" w:eastAsia="宋体" w:cs="Times New Roman"/>
                <w:szCs w:val="21"/>
              </w:rPr>
              <w:t>超声细胞破碎仪</w:t>
            </w:r>
          </w:p>
        </w:tc>
        <w:tc>
          <w:tcPr>
            <w:tcW w:w="0" w:type="auto"/>
            <w:noWrap w:val="0"/>
            <w:vAlign w:val="top"/>
          </w:tcPr>
          <w:p w14:paraId="68F43416">
            <w:pPr>
              <w:adjustRightInd w:val="0"/>
              <w:snapToGrid w:val="0"/>
              <w:jc w:val="left"/>
              <w:textAlignment w:val="baseline"/>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1．应用范围</w:t>
            </w:r>
          </w:p>
          <w:p w14:paraId="17B0AB2F">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bCs/>
                <w:color w:val="000000"/>
                <w:kern w:val="0"/>
                <w:szCs w:val="21"/>
              </w:rPr>
              <w:t>用于对细胞等生物样本进行破碎处理，提取蛋白等用于研究。</w:t>
            </w:r>
          </w:p>
          <w:p w14:paraId="34F68D0A">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2．仪器用途要求及基本要求</w:t>
            </w:r>
          </w:p>
          <w:p w14:paraId="75DBBD7C">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bCs/>
                <w:color w:val="000000"/>
                <w:kern w:val="0"/>
                <w:szCs w:val="21"/>
              </w:rPr>
              <w:t>用于对细胞等生物样本进行破碎处理，提取蛋白等用于研究。</w:t>
            </w:r>
          </w:p>
          <w:p w14:paraId="7457B3C8">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3．工作条件</w:t>
            </w:r>
          </w:p>
          <w:p w14:paraId="7E38FDC8">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3.1 电源：230V±10%，AC(交流)，50/60Hz</w:t>
            </w:r>
          </w:p>
          <w:p w14:paraId="4F1C4A4A">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3.2 环境温度：16–26℃（最优：18~21℃）</w:t>
            </w:r>
          </w:p>
          <w:p w14:paraId="0F5958DA">
            <w:pPr>
              <w:adjustRightInd w:val="0"/>
              <w:snapToGrid w:val="0"/>
              <w:jc w:val="left"/>
              <w:textAlignment w:val="baseline"/>
              <w:rPr>
                <w:rFonts w:ascii="Times New Roman" w:hAnsi="Times New Roman" w:eastAsia="宋体" w:cs="Times New Roman"/>
                <w:szCs w:val="21"/>
              </w:rPr>
            </w:pPr>
            <w:r>
              <w:rPr>
                <w:rFonts w:ascii="Times New Roman" w:hAnsi="Times New Roman" w:eastAsia="宋体" w:cs="Times New Roman"/>
                <w:szCs w:val="21"/>
              </w:rPr>
              <w:t>3.3 相对湿度：50–80%</w:t>
            </w:r>
          </w:p>
          <w:p w14:paraId="4C92DB30">
            <w:pPr>
              <w:adjustRightInd w:val="0"/>
              <w:snapToGrid w:val="0"/>
              <w:jc w:val="left"/>
              <w:textAlignment w:val="baseline"/>
              <w:rPr>
                <w:rFonts w:ascii="Times New Roman" w:hAnsi="Times New Roman" w:eastAsia="宋体" w:cs="Times New Roman"/>
                <w:b/>
                <w:szCs w:val="21"/>
              </w:rPr>
            </w:pPr>
            <w:r>
              <w:rPr>
                <w:rFonts w:ascii="Times New Roman" w:hAnsi="Times New Roman" w:eastAsia="宋体" w:cs="Times New Roman"/>
                <w:b/>
                <w:szCs w:val="21"/>
              </w:rPr>
              <w:t>4．主要参数指标</w:t>
            </w:r>
          </w:p>
          <w:p w14:paraId="296D32B1">
            <w:pPr>
              <w:adjustRightInd w:val="0"/>
              <w:snapToGrid w:val="0"/>
              <w:jc w:val="left"/>
              <w:rPr>
                <w:rFonts w:ascii="Times New Roman" w:hAnsi="Times New Roman" w:eastAsia="宋体" w:cs="Times New Roman"/>
                <w:szCs w:val="21"/>
              </w:rPr>
            </w:pPr>
            <w:r>
              <w:rPr>
                <w:rFonts w:ascii="Segoe UI Symbol" w:hAnsi="Segoe UI Symbol" w:eastAsia="宋体" w:cs="Segoe UI Symbol"/>
                <w:szCs w:val="21"/>
              </w:rPr>
              <w:t>★</w:t>
            </w:r>
            <w:r>
              <w:rPr>
                <w:rFonts w:ascii="Times New Roman" w:hAnsi="Times New Roman" w:eastAsia="宋体" w:cs="Times New Roman"/>
                <w:szCs w:val="21"/>
              </w:rPr>
              <w:t>4.1基本配置：主机1台，换能器1套，变幅杆Φ2、Φ3、Φ6 (mm)各1根，隔音箱1台；</w:t>
            </w:r>
          </w:p>
          <w:p w14:paraId="619A84BA">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4.2 温度控制范围0℃ ~ 100℃；</w:t>
            </w:r>
          </w:p>
          <w:p w14:paraId="2CAE7431">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4.3 频率范围：0 - 25KHz；</w:t>
            </w:r>
          </w:p>
          <w:p w14:paraId="11C892FA">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4.4 功率范围：5-650W连续可调，此参数需提供产品彩页官网截图或技术白皮书作为证明材料；</w:t>
            </w:r>
          </w:p>
          <w:p w14:paraId="502D8BEC">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4.5 单次超声时间设定：0.1~99.9s；</w:t>
            </w:r>
          </w:p>
          <w:p w14:paraId="4214ADE5">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4.6 单次间隔时间设定：0.1~99.9s；</w:t>
            </w:r>
          </w:p>
          <w:p w14:paraId="69504B91">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4.7 全程时间设定：0.1-99.9 min;</w:t>
            </w:r>
          </w:p>
          <w:p w14:paraId="3D13B87B">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4.8 数据打印、隔音箱、照明、灭菌、电动升降；</w:t>
            </w:r>
          </w:p>
          <w:p w14:paraId="1FD4CE2F">
            <w:pPr>
              <w:adjustRightInd w:val="0"/>
              <w:snapToGrid w:val="0"/>
              <w:jc w:val="left"/>
              <w:rPr>
                <w:rFonts w:ascii="Times New Roman" w:hAnsi="Times New Roman" w:eastAsia="宋体" w:cs="Times New Roman"/>
                <w:b/>
                <w:szCs w:val="21"/>
              </w:rPr>
            </w:pPr>
            <w:r>
              <w:rPr>
                <w:rFonts w:ascii="Times New Roman" w:hAnsi="Times New Roman" w:eastAsia="宋体" w:cs="Times New Roman"/>
                <w:b/>
                <w:szCs w:val="21"/>
              </w:rPr>
              <w:t>5．技术服务</w:t>
            </w:r>
          </w:p>
          <w:p w14:paraId="667DD2F2">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5.1 设备安装调试：设备到达用户所在地后，在接到用户通知后15天内执行安装调试直至达到验收指标，试用无故障后完成验收，并签订验收报告。</w:t>
            </w:r>
          </w:p>
          <w:p w14:paraId="4DB32D5E">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5.2 技术培训：在用户所在地对用户进行免费现场培训。培训内容包括仪器的技术原理、操作、数据处理、基本维护等。</w:t>
            </w:r>
          </w:p>
          <w:p w14:paraId="43AE9D55">
            <w:pPr>
              <w:adjustRightInd w:val="0"/>
              <w:snapToGrid w:val="0"/>
              <w:jc w:val="left"/>
              <w:rPr>
                <w:rFonts w:ascii="Times New Roman" w:hAnsi="Times New Roman" w:eastAsia="宋体" w:cs="Times New Roman"/>
                <w:szCs w:val="21"/>
              </w:rPr>
            </w:pPr>
            <w:r>
              <w:rPr>
                <w:rFonts w:hint="eastAsia" w:ascii="宋体" w:hAnsi="宋体" w:eastAsia="宋体" w:cs="Times New Roman"/>
                <w:szCs w:val="21"/>
              </w:rPr>
              <w:t>★</w:t>
            </w:r>
            <w:r>
              <w:rPr>
                <w:rFonts w:ascii="Times New Roman" w:hAnsi="Times New Roman" w:eastAsia="宋体" w:cs="Times New Roman"/>
                <w:szCs w:val="21"/>
              </w:rPr>
              <w:t>5.3 保修期：整机质保3年，质保范围包括仪器整机和其所有附属配件。</w:t>
            </w:r>
          </w:p>
          <w:p w14:paraId="287AA465">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5.4 维修响应时间：供应商必须保证快速的服务响应。</w:t>
            </w:r>
            <w:r>
              <w:rPr>
                <w:rFonts w:ascii="Times New Roman" w:hAnsi="Times New Roman" w:eastAsia="宋体" w:cs="Times New Roman"/>
                <w:bCs/>
                <w:color w:val="000000"/>
                <w:kern w:val="0"/>
                <w:szCs w:val="21"/>
              </w:rPr>
              <w:t>得到通知后，在8小时内提供服务确认，保证技术人员的操作疑问能够在24小时内得到解答，48小时内到达现场</w:t>
            </w:r>
            <w:r>
              <w:rPr>
                <w:rFonts w:ascii="Times New Roman" w:hAnsi="Times New Roman" w:eastAsia="宋体" w:cs="Times New Roman"/>
                <w:szCs w:val="21"/>
              </w:rPr>
              <w:t>。</w:t>
            </w:r>
          </w:p>
          <w:p w14:paraId="273E2F32">
            <w:pPr>
              <w:adjustRightInd w:val="0"/>
              <w:snapToGrid w:val="0"/>
              <w:jc w:val="left"/>
              <w:rPr>
                <w:rFonts w:ascii="Times New Roman" w:hAnsi="Times New Roman" w:eastAsia="宋体" w:cs="Times New Roman"/>
                <w:b/>
                <w:szCs w:val="21"/>
              </w:rPr>
            </w:pPr>
            <w:r>
              <w:rPr>
                <w:rFonts w:ascii="Times New Roman" w:hAnsi="Times New Roman" w:eastAsia="宋体" w:cs="Times New Roman"/>
                <w:b/>
                <w:szCs w:val="21"/>
              </w:rPr>
              <w:t>6．其他说明</w:t>
            </w:r>
          </w:p>
          <w:p w14:paraId="52F920FF">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6.1 现场培训：仪器到货后进行基本操作讲解，工程师在调试仪器的同时，让用户能够自己操作仪器，使仪器使用者能全面、熟练掌握仪器性能和操作使用；会判断、处理一般常见故障。其培训内容指的是仪器设备的基本原理、安装、调试、操作使用和日常保养维修等。培训时间不少于2个工作日。</w:t>
            </w:r>
          </w:p>
          <w:p w14:paraId="4D27B63B">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6.2 其他：无需其他任何辅助设备仪器均能正常工作。仪器设备的环境改造（包括水、电以及实验台等）所需费用由供货商负责。</w:t>
            </w:r>
          </w:p>
          <w:p w14:paraId="17ABD0F4">
            <w:pPr>
              <w:adjustRightInd w:val="0"/>
              <w:snapToGrid w:val="0"/>
              <w:jc w:val="left"/>
              <w:rPr>
                <w:rFonts w:ascii="宋体" w:hAnsi="宋体" w:eastAsia="宋体" w:cs="Times New Roman"/>
                <w:szCs w:val="21"/>
              </w:rPr>
            </w:pPr>
            <w:r>
              <w:rPr>
                <w:rFonts w:ascii="Times New Roman" w:hAnsi="Times New Roman" w:eastAsia="宋体" w:cs="Times New Roman"/>
                <w:szCs w:val="21"/>
              </w:rPr>
              <w:t>6.3 按客户需求提供整机免费搬迁1次。</w:t>
            </w:r>
          </w:p>
        </w:tc>
        <w:tc>
          <w:tcPr>
            <w:tcW w:w="0" w:type="auto"/>
            <w:noWrap w:val="0"/>
            <w:vAlign w:val="center"/>
          </w:tcPr>
          <w:p w14:paraId="35AE7399">
            <w:pPr>
              <w:widowControl/>
              <w:adjustRightInd w:val="0"/>
              <w:snapToGrid w:val="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1台</w:t>
            </w:r>
          </w:p>
        </w:tc>
      </w:tr>
      <w:tr w14:paraId="4F15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2FF36E07">
            <w:pPr>
              <w:adjustRightInd w:val="0"/>
              <w:snapToGrid w:val="0"/>
              <w:jc w:val="center"/>
              <w:rPr>
                <w:rFonts w:hint="eastAsia" w:ascii="宋体" w:hAnsi="宋体" w:eastAsia="宋体" w:cs="Times New Roman"/>
                <w:szCs w:val="21"/>
              </w:rPr>
            </w:pPr>
            <w:r>
              <w:rPr>
                <w:rFonts w:hint="eastAsia" w:ascii="宋体" w:hAnsi="宋体" w:eastAsia="宋体" w:cs="Times New Roman"/>
                <w:color w:val="000000"/>
                <w:szCs w:val="21"/>
              </w:rPr>
              <w:t>8</w:t>
            </w:r>
          </w:p>
        </w:tc>
        <w:tc>
          <w:tcPr>
            <w:tcW w:w="0" w:type="auto"/>
            <w:noWrap w:val="0"/>
            <w:vAlign w:val="center"/>
          </w:tcPr>
          <w:p w14:paraId="7A23B897">
            <w:pPr>
              <w:adjustRightInd w:val="0"/>
              <w:snapToGrid w:val="0"/>
              <w:jc w:val="center"/>
              <w:rPr>
                <w:rFonts w:ascii="宋体" w:hAnsi="宋体" w:eastAsia="宋体" w:cs="Times New Roman"/>
                <w:szCs w:val="21"/>
              </w:rPr>
            </w:pPr>
            <w:r>
              <w:rPr>
                <w:rFonts w:hint="eastAsia" w:ascii="宋体" w:hAnsi="宋体" w:eastAsia="宋体" w:cs="Times New Roman"/>
                <w:color w:val="000000"/>
                <w:szCs w:val="21"/>
              </w:rPr>
              <w:t>精密空调</w:t>
            </w:r>
          </w:p>
        </w:tc>
        <w:tc>
          <w:tcPr>
            <w:tcW w:w="0" w:type="auto"/>
            <w:noWrap w:val="0"/>
            <w:vAlign w:val="top"/>
          </w:tcPr>
          <w:p w14:paraId="7F0A8FE6">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1．应用范围</w:t>
            </w:r>
          </w:p>
          <w:p w14:paraId="4165A346">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主要用于实验室内温度和湿度的精准控制。</w:t>
            </w:r>
          </w:p>
          <w:p w14:paraId="2974C949">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2．仪器用途要求及基本要求</w:t>
            </w:r>
          </w:p>
          <w:p w14:paraId="768764BD">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主要用于实验室内温度和湿度的精准控制。</w:t>
            </w:r>
          </w:p>
          <w:p w14:paraId="4BF43788">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3．工作条件</w:t>
            </w:r>
          </w:p>
          <w:p w14:paraId="758456F6">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3.1 电源：230V±10%，AC(交流)，50/60Hz</w:t>
            </w:r>
          </w:p>
          <w:p w14:paraId="69795B3C">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3.2 环境温度：16–26℃（最优：18~21℃）</w:t>
            </w:r>
          </w:p>
          <w:p w14:paraId="3FF86A38">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 xml:space="preserve">3.3 相对湿度：50–80% </w:t>
            </w:r>
          </w:p>
          <w:p w14:paraId="6AE7C0E8">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4. 主要参数指标</w:t>
            </w:r>
          </w:p>
          <w:p w14:paraId="6AE730ED">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4.1. 单冷机组；</w:t>
            </w:r>
          </w:p>
          <w:p w14:paraId="6D666B15">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4.2. 设备适应温度：室内–10℃~+30℃，室外–15℃ ~ +45℃，湿度：≤95%RH；</w:t>
            </w:r>
          </w:p>
          <w:p w14:paraId="45DE4AA5">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4.3. 具备防雷设计，内置交流防雷器；</w:t>
            </w:r>
          </w:p>
          <w:p w14:paraId="3E7E6AB6">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4.4. 空调机组需要配置高精度温湿度传感器，要求温湿度传感器温度控制精度可达±0.2℃；湿度精度为±2%；</w:t>
            </w:r>
          </w:p>
          <w:p w14:paraId="0012CBDA">
            <w:pPr>
              <w:adjustRightInd w:val="0"/>
              <w:snapToGrid w:val="0"/>
              <w:jc w:val="left"/>
              <w:rPr>
                <w:rFonts w:hint="eastAsia" w:ascii="Times New Roman" w:hAnsi="Times New Roman" w:eastAsia="宋体" w:cs="Times New Roman"/>
                <w:szCs w:val="21"/>
              </w:rPr>
            </w:pPr>
            <w:r>
              <w:rPr>
                <w:rFonts w:hint="eastAsia" w:ascii="Times New Roman" w:hAnsi="Times New Roman" w:eastAsia="宋体" w:cs="Times New Roman"/>
                <w:szCs w:val="21"/>
              </w:rPr>
              <w:t>4.5 制冷量：7.5 kw；风量：2000 m</w:t>
            </w:r>
            <w:r>
              <w:rPr>
                <w:rFonts w:hint="eastAsia" w:ascii="Times New Roman" w:hAnsi="Times New Roman" w:eastAsia="宋体" w:cs="Times New Roman"/>
                <w:szCs w:val="21"/>
                <w:vertAlign w:val="superscript"/>
              </w:rPr>
              <w:t>3</w:t>
            </w:r>
            <w:r>
              <w:rPr>
                <w:rFonts w:hint="eastAsia" w:ascii="Times New Roman" w:hAnsi="Times New Roman" w:eastAsia="宋体" w:cs="Times New Roman"/>
                <w:szCs w:val="21"/>
              </w:rPr>
              <w:t>/h；</w:t>
            </w:r>
          </w:p>
          <w:p w14:paraId="3EC8DF5B">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6</w:t>
            </w:r>
            <w:r>
              <w:rPr>
                <w:rFonts w:ascii="Times New Roman" w:hAnsi="Times New Roman" w:eastAsia="宋体" w:cs="Times New Roman"/>
                <w:szCs w:val="21"/>
              </w:rPr>
              <w:t>. 整机质保1年。</w:t>
            </w:r>
          </w:p>
        </w:tc>
        <w:tc>
          <w:tcPr>
            <w:tcW w:w="0" w:type="auto"/>
            <w:noWrap w:val="0"/>
            <w:vAlign w:val="center"/>
          </w:tcPr>
          <w:p w14:paraId="3878C4E1">
            <w:pPr>
              <w:widowControl/>
              <w:adjustRightInd w:val="0"/>
              <w:snapToGrid w:val="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2台</w:t>
            </w:r>
          </w:p>
        </w:tc>
      </w:tr>
      <w:tr w14:paraId="7708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493CAAA4">
            <w:pPr>
              <w:adjustRightInd w:val="0"/>
              <w:snapToGrid w:val="0"/>
              <w:jc w:val="center"/>
              <w:rPr>
                <w:rFonts w:hint="eastAsia" w:ascii="宋体" w:hAnsi="宋体" w:eastAsia="宋体" w:cs="Times New Roman"/>
                <w:szCs w:val="21"/>
              </w:rPr>
            </w:pPr>
            <w:r>
              <w:rPr>
                <w:rFonts w:hint="eastAsia" w:ascii="宋体" w:hAnsi="宋体" w:eastAsia="宋体" w:cs="Times New Roman"/>
                <w:color w:val="000000"/>
                <w:szCs w:val="21"/>
              </w:rPr>
              <w:t>9</w:t>
            </w:r>
          </w:p>
        </w:tc>
        <w:tc>
          <w:tcPr>
            <w:tcW w:w="0" w:type="auto"/>
            <w:noWrap w:val="0"/>
            <w:vAlign w:val="center"/>
          </w:tcPr>
          <w:p w14:paraId="752D8601">
            <w:pPr>
              <w:adjustRightInd w:val="0"/>
              <w:snapToGrid w:val="0"/>
              <w:jc w:val="center"/>
              <w:rPr>
                <w:rFonts w:ascii="宋体" w:hAnsi="宋体" w:eastAsia="宋体" w:cs="Times New Roman"/>
                <w:szCs w:val="21"/>
              </w:rPr>
            </w:pPr>
            <w:r>
              <w:rPr>
                <w:rFonts w:hint="eastAsia" w:ascii="宋体" w:hAnsi="宋体" w:eastAsia="宋体" w:cs="Times New Roman"/>
                <w:color w:val="000000"/>
                <w:szCs w:val="21"/>
              </w:rPr>
              <w:t xml:space="preserve">空气净化器 </w:t>
            </w:r>
          </w:p>
        </w:tc>
        <w:tc>
          <w:tcPr>
            <w:tcW w:w="0" w:type="auto"/>
            <w:noWrap w:val="0"/>
            <w:vAlign w:val="top"/>
          </w:tcPr>
          <w:p w14:paraId="7D0693FC">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1．应用范围</w:t>
            </w:r>
          </w:p>
          <w:p w14:paraId="428B9D64">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主要用于实验室空气环境净化。</w:t>
            </w:r>
          </w:p>
          <w:p w14:paraId="013F0582">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2．仪器用途要求及基本要求</w:t>
            </w:r>
          </w:p>
          <w:p w14:paraId="0323574B">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主要用于实验室空气环境净化。</w:t>
            </w:r>
          </w:p>
          <w:p w14:paraId="56EC4DB6">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3．工作条件</w:t>
            </w:r>
          </w:p>
          <w:p w14:paraId="00D9A6EC">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3.1 电源：230V±10%，AC(交流)，50/60Hz</w:t>
            </w:r>
          </w:p>
          <w:p w14:paraId="14AAE8A6">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3.2 环境温度：16–26℃（最优：18~21℃）</w:t>
            </w:r>
          </w:p>
          <w:p w14:paraId="2E70D52A">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 xml:space="preserve">3.3 相对湿度：50–80% </w:t>
            </w:r>
          </w:p>
          <w:p w14:paraId="13F8D512">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4. 主要参数指标</w:t>
            </w:r>
          </w:p>
          <w:p w14:paraId="2835F626">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4.1. 适用面积：100m</w:t>
            </w:r>
            <w:r>
              <w:rPr>
                <w:rFonts w:ascii="Times New Roman" w:hAnsi="Times New Roman" w:eastAsia="宋体" w:cs="Times New Roman"/>
                <w:szCs w:val="21"/>
                <w:vertAlign w:val="superscript"/>
              </w:rPr>
              <w:t>2</w:t>
            </w:r>
            <w:r>
              <w:rPr>
                <w:rFonts w:ascii="Times New Roman" w:hAnsi="Times New Roman" w:eastAsia="宋体" w:cs="Times New Roman"/>
                <w:szCs w:val="21"/>
              </w:rPr>
              <w:t>以上；</w:t>
            </w:r>
          </w:p>
          <w:p w14:paraId="57B51B62">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4.2. 整机质保2年。</w:t>
            </w:r>
          </w:p>
        </w:tc>
        <w:tc>
          <w:tcPr>
            <w:tcW w:w="0" w:type="auto"/>
            <w:noWrap w:val="0"/>
            <w:vAlign w:val="center"/>
          </w:tcPr>
          <w:p w14:paraId="4EB5EB10">
            <w:pPr>
              <w:widowControl/>
              <w:adjustRightInd w:val="0"/>
              <w:snapToGrid w:val="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1台</w:t>
            </w:r>
          </w:p>
        </w:tc>
      </w:tr>
      <w:tr w14:paraId="32CE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669C67C">
            <w:pPr>
              <w:adjustRightInd w:val="0"/>
              <w:snapToGrid w:val="0"/>
              <w:jc w:val="center"/>
              <w:rPr>
                <w:rFonts w:hint="eastAsia" w:ascii="宋体" w:hAnsi="宋体" w:eastAsia="宋体" w:cs="Times New Roman"/>
                <w:szCs w:val="21"/>
              </w:rPr>
            </w:pPr>
            <w:r>
              <w:rPr>
                <w:rFonts w:hint="eastAsia" w:ascii="宋体" w:hAnsi="宋体" w:eastAsia="宋体" w:cs="Times New Roman"/>
                <w:color w:val="000000"/>
                <w:szCs w:val="21"/>
              </w:rPr>
              <w:t>10</w:t>
            </w:r>
          </w:p>
        </w:tc>
        <w:tc>
          <w:tcPr>
            <w:tcW w:w="0" w:type="auto"/>
            <w:noWrap w:val="0"/>
            <w:vAlign w:val="center"/>
          </w:tcPr>
          <w:p w14:paraId="64BF0F8F">
            <w:pPr>
              <w:adjustRightInd w:val="0"/>
              <w:snapToGrid w:val="0"/>
              <w:jc w:val="center"/>
              <w:rPr>
                <w:rFonts w:ascii="宋体" w:hAnsi="宋体" w:eastAsia="宋体" w:cs="Times New Roman"/>
                <w:szCs w:val="21"/>
              </w:rPr>
            </w:pPr>
            <w:r>
              <w:rPr>
                <w:rFonts w:hint="eastAsia" w:ascii="宋体" w:hAnsi="宋体" w:eastAsia="宋体" w:cs="Times New Roman"/>
                <w:color w:val="000000"/>
                <w:szCs w:val="21"/>
              </w:rPr>
              <w:t>生物显微镜</w:t>
            </w:r>
          </w:p>
        </w:tc>
        <w:tc>
          <w:tcPr>
            <w:tcW w:w="0" w:type="auto"/>
            <w:noWrap w:val="0"/>
            <w:vAlign w:val="top"/>
          </w:tcPr>
          <w:p w14:paraId="07418F87">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1．应用范围</w:t>
            </w:r>
          </w:p>
          <w:p w14:paraId="683E5EB3">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主要用于实验室细胞培养的观察。</w:t>
            </w:r>
          </w:p>
          <w:p w14:paraId="00EB656A">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2．仪器用途要求及基本要求</w:t>
            </w:r>
          </w:p>
          <w:p w14:paraId="6D9C9965">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主要用于实验室细胞培养的观察。</w:t>
            </w:r>
          </w:p>
          <w:p w14:paraId="6C8A762D">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3．工作条件</w:t>
            </w:r>
          </w:p>
          <w:p w14:paraId="40F40353">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3.1 电源：230V±10%，AC(交流)，50/60Hz</w:t>
            </w:r>
          </w:p>
          <w:p w14:paraId="33C98FA0">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3.2 环境温度：16–26℃（最优：18~21℃）</w:t>
            </w:r>
          </w:p>
          <w:p w14:paraId="16214A1A">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 xml:space="preserve">3.3 相对湿度：50–80% </w:t>
            </w:r>
          </w:p>
          <w:p w14:paraId="71A9963D">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4. 主要参数指标</w:t>
            </w:r>
          </w:p>
          <w:p w14:paraId="384A4AAE">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4.1.光学系统：无限远色差校正光学系统；</w:t>
            </w:r>
          </w:p>
          <w:p w14:paraId="0FB79465">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4.2. 观察筒：铰链式双目，30度倾斜，筒距调节范围，55mm-75mm，具有视度调节功能；</w:t>
            </w:r>
          </w:p>
          <w:p w14:paraId="17AFE90A">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4.3. 目镜：10X/20mm，其中一只目镜带教学指针，让切片观察目标具体化；</w:t>
            </w:r>
          </w:p>
          <w:p w14:paraId="00DFE0D6">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4.4. 物镜：无限远平场消色差物镜4X，10X，40X（弹），100X（弹，油）；</w:t>
            </w:r>
          </w:p>
          <w:p w14:paraId="26D8ADC0">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4.5. 载物台：复合式机械移动载物台，面积≥140mmX135mm，移动行程≥75mmX50mm;</w:t>
            </w:r>
          </w:p>
          <w:p w14:paraId="6A6645D1">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4.6. 照明系统：6V/3W LED灯，亮度可调;</w:t>
            </w:r>
          </w:p>
          <w:p w14:paraId="05E9A648">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4.7. 整机质保1年。</w:t>
            </w:r>
          </w:p>
        </w:tc>
        <w:tc>
          <w:tcPr>
            <w:tcW w:w="0" w:type="auto"/>
            <w:noWrap w:val="0"/>
            <w:vAlign w:val="center"/>
          </w:tcPr>
          <w:p w14:paraId="3C1D6269">
            <w:pPr>
              <w:widowControl/>
              <w:adjustRightInd w:val="0"/>
              <w:snapToGrid w:val="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5台</w:t>
            </w:r>
          </w:p>
        </w:tc>
      </w:tr>
      <w:tr w14:paraId="1E03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4BFBADD2">
            <w:pPr>
              <w:adjustRightInd w:val="0"/>
              <w:snapToGrid w:val="0"/>
              <w:jc w:val="center"/>
              <w:rPr>
                <w:rFonts w:hint="eastAsia" w:ascii="宋体" w:hAnsi="宋体" w:eastAsia="宋体" w:cs="Times New Roman"/>
                <w:szCs w:val="21"/>
              </w:rPr>
            </w:pPr>
            <w:r>
              <w:rPr>
                <w:rFonts w:hint="eastAsia" w:ascii="宋体" w:hAnsi="宋体" w:eastAsia="宋体" w:cs="Times New Roman"/>
                <w:color w:val="000000"/>
                <w:szCs w:val="21"/>
              </w:rPr>
              <w:t>11</w:t>
            </w:r>
          </w:p>
        </w:tc>
        <w:tc>
          <w:tcPr>
            <w:tcW w:w="0" w:type="auto"/>
            <w:noWrap w:val="0"/>
            <w:vAlign w:val="center"/>
          </w:tcPr>
          <w:p w14:paraId="30B03CDA">
            <w:pPr>
              <w:adjustRightInd w:val="0"/>
              <w:snapToGrid w:val="0"/>
              <w:jc w:val="center"/>
              <w:rPr>
                <w:rFonts w:ascii="宋体" w:hAnsi="宋体" w:eastAsia="宋体" w:cs="Times New Roman"/>
                <w:szCs w:val="21"/>
              </w:rPr>
            </w:pPr>
            <w:r>
              <w:rPr>
                <w:rFonts w:hint="eastAsia" w:ascii="宋体" w:hAnsi="宋体" w:eastAsia="宋体" w:cs="Times New Roman"/>
                <w:color w:val="000000"/>
                <w:szCs w:val="21"/>
              </w:rPr>
              <w:t>除湿机</w:t>
            </w:r>
          </w:p>
        </w:tc>
        <w:tc>
          <w:tcPr>
            <w:tcW w:w="0" w:type="auto"/>
            <w:noWrap w:val="0"/>
            <w:vAlign w:val="top"/>
          </w:tcPr>
          <w:p w14:paraId="0DC7BBB6">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1．应用范围</w:t>
            </w:r>
          </w:p>
          <w:p w14:paraId="1F4B032F">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主要用于实验室空气湿度控制。</w:t>
            </w:r>
          </w:p>
          <w:p w14:paraId="26B153EA">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2．仪器用途要求及基本要求</w:t>
            </w:r>
          </w:p>
          <w:p w14:paraId="69CA4122">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主要用于实验室空气湿度控制。</w:t>
            </w:r>
          </w:p>
          <w:p w14:paraId="27782739">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3．工作条件</w:t>
            </w:r>
          </w:p>
          <w:p w14:paraId="23033C36">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3.1 电源：230V±10%，AC(交流)，50/60Hz</w:t>
            </w:r>
          </w:p>
          <w:p w14:paraId="7F29228B">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3.2 环境温度：16–26℃（最优：18~21℃）</w:t>
            </w:r>
          </w:p>
          <w:p w14:paraId="5BC6E857">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 xml:space="preserve">3.3 相对湿度：50–80% </w:t>
            </w:r>
          </w:p>
          <w:p w14:paraId="150B0D0D">
            <w:pPr>
              <w:adjustRightInd w:val="0"/>
              <w:snapToGrid w:val="0"/>
              <w:jc w:val="left"/>
              <w:rPr>
                <w:rFonts w:hint="eastAsia" w:ascii="Times New Roman" w:hAnsi="Times New Roman" w:eastAsia="宋体" w:cs="Times New Roman"/>
                <w:b/>
                <w:bCs/>
                <w:szCs w:val="21"/>
              </w:rPr>
            </w:pPr>
            <w:r>
              <w:rPr>
                <w:rFonts w:ascii="Times New Roman" w:hAnsi="Times New Roman" w:eastAsia="宋体" w:cs="Times New Roman"/>
                <w:b/>
                <w:bCs/>
                <w:szCs w:val="21"/>
              </w:rPr>
              <w:t>4. 主要参数指标</w:t>
            </w:r>
          </w:p>
          <w:p w14:paraId="788BC7DB">
            <w:pPr>
              <w:adjustRightInd w:val="0"/>
              <w:snapToGrid w:val="0"/>
              <w:jc w:val="left"/>
              <w:rPr>
                <w:rFonts w:hint="eastAsia" w:ascii="Times New Roman" w:hAnsi="Times New Roman" w:eastAsia="宋体" w:cs="Times New Roman"/>
                <w:szCs w:val="21"/>
              </w:rPr>
            </w:pPr>
            <w:r>
              <w:rPr>
                <w:rFonts w:ascii="Times New Roman" w:hAnsi="Times New Roman" w:eastAsia="宋体" w:cs="Times New Roman"/>
                <w:szCs w:val="21"/>
              </w:rPr>
              <w:t>4.1. 除湿量：≥90 L/D；</w:t>
            </w:r>
          </w:p>
          <w:p w14:paraId="35A24690">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4.2. 适用80-150m</w:t>
            </w:r>
            <w:r>
              <w:rPr>
                <w:rFonts w:ascii="Times New Roman" w:hAnsi="Times New Roman" w:eastAsia="宋体" w:cs="Times New Roman"/>
                <w:szCs w:val="21"/>
                <w:vertAlign w:val="superscript"/>
              </w:rPr>
              <w:t>2</w:t>
            </w:r>
            <w:r>
              <w:rPr>
                <w:rFonts w:ascii="Times New Roman" w:hAnsi="Times New Roman" w:eastAsia="宋体" w:cs="Times New Roman"/>
                <w:szCs w:val="21"/>
              </w:rPr>
              <w:t>。</w:t>
            </w:r>
          </w:p>
        </w:tc>
        <w:tc>
          <w:tcPr>
            <w:tcW w:w="0" w:type="auto"/>
            <w:noWrap w:val="0"/>
            <w:vAlign w:val="center"/>
          </w:tcPr>
          <w:p w14:paraId="4ADBB621">
            <w:pPr>
              <w:widowControl/>
              <w:adjustRightInd w:val="0"/>
              <w:snapToGrid w:val="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2台</w:t>
            </w:r>
          </w:p>
        </w:tc>
      </w:tr>
      <w:tr w14:paraId="521F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11B1DFB">
            <w:pPr>
              <w:adjustRightInd w:val="0"/>
              <w:snapToGrid w:val="0"/>
              <w:jc w:val="center"/>
              <w:rPr>
                <w:rFonts w:hint="eastAsia" w:ascii="宋体" w:hAnsi="宋体" w:eastAsia="宋体" w:cs="Times New Roman"/>
                <w:color w:val="000000"/>
                <w:szCs w:val="21"/>
              </w:rPr>
            </w:pPr>
            <w:r>
              <w:rPr>
                <w:rFonts w:hint="eastAsia" w:ascii="宋体" w:hAnsi="宋体" w:eastAsia="宋体" w:cs="Times New Roman"/>
                <w:color w:val="000000"/>
                <w:szCs w:val="21"/>
              </w:rPr>
              <w:t>12</w:t>
            </w:r>
          </w:p>
        </w:tc>
        <w:tc>
          <w:tcPr>
            <w:tcW w:w="0" w:type="auto"/>
            <w:noWrap w:val="0"/>
            <w:vAlign w:val="center"/>
          </w:tcPr>
          <w:p w14:paraId="0A3CF114">
            <w:pPr>
              <w:adjustRightInd w:val="0"/>
              <w:snapToGrid w:val="0"/>
              <w:jc w:val="center"/>
              <w:rPr>
                <w:rFonts w:hint="eastAsia" w:ascii="宋体" w:hAnsi="宋体" w:eastAsia="宋体" w:cs="Times New Roman"/>
                <w:color w:val="000000"/>
                <w:szCs w:val="21"/>
              </w:rPr>
            </w:pPr>
            <w:r>
              <w:rPr>
                <w:rFonts w:hint="eastAsia" w:ascii="宋体" w:hAnsi="宋体" w:eastAsia="宋体" w:cs="Times New Roman"/>
                <w:color w:val="000000"/>
                <w:szCs w:val="21"/>
              </w:rPr>
              <w:t>倒置显微镜</w:t>
            </w:r>
          </w:p>
        </w:tc>
        <w:tc>
          <w:tcPr>
            <w:tcW w:w="0" w:type="auto"/>
            <w:noWrap w:val="0"/>
            <w:vAlign w:val="top"/>
          </w:tcPr>
          <w:p w14:paraId="03268527">
            <w:pPr>
              <w:pStyle w:val="19"/>
              <w:adjustRightInd w:val="0"/>
              <w:snapToGrid w:val="0"/>
              <w:spacing w:before="0" w:beforeAutospacing="0" w:after="0" w:afterAutospacing="0"/>
              <w:rPr>
                <w:rStyle w:val="20"/>
                <w:rFonts w:hint="default" w:ascii="Times New Roman" w:hAnsi="Times New Roman" w:eastAsia="宋体" w:cs="Times New Roman"/>
                <w:sz w:val="21"/>
                <w:szCs w:val="21"/>
                <w:lang w:val="en"/>
              </w:rPr>
            </w:pPr>
            <w:r>
              <w:rPr>
                <w:rStyle w:val="20"/>
                <w:rFonts w:hint="default" w:ascii="Times New Roman" w:hAnsi="Times New Roman" w:eastAsia="宋体" w:cs="Times New Roman"/>
                <w:kern w:val="2"/>
                <w:sz w:val="21"/>
                <w:szCs w:val="21"/>
                <w:lang w:val="en"/>
              </w:rPr>
              <w:t>1．应用范围</w:t>
            </w:r>
          </w:p>
          <w:p w14:paraId="6430CEB6">
            <w:pPr>
              <w:pStyle w:val="19"/>
              <w:adjustRightInd w:val="0"/>
              <w:snapToGrid w:val="0"/>
              <w:spacing w:before="0" w:beforeAutospacing="0" w:after="0" w:afterAutospacing="0"/>
              <w:rPr>
                <w:rFonts w:ascii="Times New Roman" w:hAnsi="Times New Roman" w:cs="Times New Roman"/>
                <w:sz w:val="22"/>
                <w:szCs w:val="22"/>
                <w:lang w:val="en"/>
              </w:rPr>
            </w:pPr>
            <w:r>
              <w:rPr>
                <w:rStyle w:val="21"/>
                <w:rFonts w:hint="default" w:ascii="Times New Roman" w:hAnsi="Times New Roman" w:eastAsia="宋体" w:cs="Times New Roman"/>
                <w:kern w:val="2"/>
                <w:sz w:val="21"/>
                <w:szCs w:val="21"/>
                <w:lang w:val="en"/>
              </w:rPr>
              <w:t>主要用于观察培养的活细胞和生物样本。</w:t>
            </w:r>
          </w:p>
          <w:p w14:paraId="2E20CEB9">
            <w:pPr>
              <w:pStyle w:val="19"/>
              <w:adjustRightInd w:val="0"/>
              <w:snapToGrid w:val="0"/>
              <w:spacing w:before="0" w:beforeAutospacing="0" w:after="0" w:afterAutospacing="0"/>
              <w:rPr>
                <w:rStyle w:val="20"/>
                <w:rFonts w:hint="default" w:ascii="Times New Roman" w:hAnsi="Times New Roman" w:eastAsia="宋体" w:cs="Times New Roman"/>
                <w:sz w:val="21"/>
                <w:szCs w:val="21"/>
                <w:lang w:val="en"/>
              </w:rPr>
            </w:pPr>
            <w:r>
              <w:rPr>
                <w:rStyle w:val="20"/>
                <w:rFonts w:hint="default" w:ascii="Times New Roman" w:hAnsi="Times New Roman" w:eastAsia="宋体" w:cs="Times New Roman"/>
                <w:kern w:val="2"/>
                <w:sz w:val="21"/>
                <w:szCs w:val="21"/>
                <w:lang w:val="en"/>
              </w:rPr>
              <w:t>2．仪器用途要求及基本要求</w:t>
            </w:r>
          </w:p>
          <w:p w14:paraId="32845851">
            <w:pPr>
              <w:pStyle w:val="19"/>
              <w:adjustRightInd w:val="0"/>
              <w:snapToGrid w:val="0"/>
              <w:spacing w:before="0" w:beforeAutospacing="0" w:after="0" w:afterAutospacing="0"/>
              <w:rPr>
                <w:rFonts w:ascii="Times New Roman" w:hAnsi="Times New Roman" w:cs="Times New Roman"/>
                <w:sz w:val="22"/>
                <w:szCs w:val="22"/>
                <w:lang w:val="en"/>
              </w:rPr>
            </w:pPr>
            <w:r>
              <w:rPr>
                <w:rStyle w:val="21"/>
                <w:rFonts w:hint="default" w:ascii="Times New Roman" w:hAnsi="Times New Roman" w:eastAsia="宋体" w:cs="Times New Roman"/>
                <w:kern w:val="2"/>
                <w:sz w:val="21"/>
                <w:szCs w:val="21"/>
                <w:lang w:val="en"/>
              </w:rPr>
              <w:t>主要用于观察培养的活细胞和生物样本。</w:t>
            </w:r>
          </w:p>
          <w:p w14:paraId="0BFFC334">
            <w:pPr>
              <w:pStyle w:val="19"/>
              <w:adjustRightInd w:val="0"/>
              <w:snapToGrid w:val="0"/>
              <w:spacing w:before="0" w:beforeAutospacing="0" w:after="0" w:afterAutospacing="0"/>
              <w:rPr>
                <w:rStyle w:val="20"/>
                <w:rFonts w:hint="default" w:ascii="Times New Roman" w:hAnsi="Times New Roman" w:eastAsia="宋体" w:cs="Times New Roman"/>
                <w:sz w:val="21"/>
                <w:szCs w:val="21"/>
                <w:lang w:val="en"/>
              </w:rPr>
            </w:pPr>
            <w:r>
              <w:rPr>
                <w:rStyle w:val="20"/>
                <w:rFonts w:hint="default" w:ascii="Times New Roman" w:hAnsi="Times New Roman" w:eastAsia="宋体" w:cs="Times New Roman"/>
                <w:kern w:val="2"/>
                <w:sz w:val="21"/>
                <w:szCs w:val="21"/>
                <w:lang w:val="en"/>
              </w:rPr>
              <w:t>3．工作条件</w:t>
            </w:r>
          </w:p>
          <w:p w14:paraId="37986672">
            <w:pPr>
              <w:pStyle w:val="19"/>
              <w:adjustRightInd w:val="0"/>
              <w:snapToGrid w:val="0"/>
              <w:spacing w:before="0" w:beforeAutospacing="0" w:after="0" w:afterAutospacing="0"/>
              <w:rPr>
                <w:rStyle w:val="21"/>
                <w:rFonts w:hint="default" w:ascii="Times New Roman" w:hAnsi="Times New Roman" w:eastAsia="宋体" w:cs="Times New Roman"/>
                <w:sz w:val="21"/>
                <w:szCs w:val="21"/>
                <w:lang w:val="en"/>
              </w:rPr>
            </w:pPr>
            <w:r>
              <w:rPr>
                <w:rStyle w:val="21"/>
                <w:rFonts w:hint="default" w:ascii="Times New Roman" w:hAnsi="Times New Roman" w:eastAsia="宋体" w:cs="Times New Roman"/>
                <w:kern w:val="2"/>
                <w:sz w:val="21"/>
                <w:szCs w:val="21"/>
                <w:lang w:val="en"/>
              </w:rPr>
              <w:t>3.1 电源：230V±10%，AC(交流)，50/60Hz</w:t>
            </w:r>
          </w:p>
          <w:p w14:paraId="047C95A1">
            <w:pPr>
              <w:pStyle w:val="19"/>
              <w:adjustRightInd w:val="0"/>
              <w:snapToGrid w:val="0"/>
              <w:spacing w:before="0" w:beforeAutospacing="0" w:after="0" w:afterAutospacing="0"/>
              <w:rPr>
                <w:rStyle w:val="21"/>
                <w:rFonts w:hint="default" w:ascii="Times New Roman" w:hAnsi="Times New Roman" w:eastAsia="宋体" w:cs="Times New Roman"/>
                <w:sz w:val="21"/>
                <w:szCs w:val="21"/>
                <w:lang w:val="en"/>
              </w:rPr>
            </w:pPr>
            <w:r>
              <w:rPr>
                <w:rStyle w:val="21"/>
                <w:rFonts w:hint="default" w:ascii="Times New Roman" w:hAnsi="Times New Roman" w:eastAsia="宋体" w:cs="Times New Roman"/>
                <w:kern w:val="2"/>
                <w:sz w:val="21"/>
                <w:szCs w:val="21"/>
                <w:lang w:val="en"/>
              </w:rPr>
              <w:t>3.2 环境温度：16–26℃（最优：18~21℃）</w:t>
            </w:r>
          </w:p>
          <w:p w14:paraId="0A0FF4CE">
            <w:pPr>
              <w:pStyle w:val="19"/>
              <w:adjustRightInd w:val="0"/>
              <w:snapToGrid w:val="0"/>
              <w:spacing w:before="0" w:beforeAutospacing="0" w:after="0" w:afterAutospacing="0"/>
              <w:rPr>
                <w:rFonts w:ascii="Times New Roman" w:hAnsi="Times New Roman" w:cs="Times New Roman"/>
                <w:sz w:val="22"/>
                <w:szCs w:val="22"/>
                <w:lang w:val="en"/>
              </w:rPr>
            </w:pPr>
            <w:r>
              <w:rPr>
                <w:rStyle w:val="21"/>
                <w:rFonts w:hint="default" w:ascii="Times New Roman" w:hAnsi="Times New Roman" w:eastAsia="宋体" w:cs="Times New Roman"/>
                <w:kern w:val="2"/>
                <w:sz w:val="21"/>
                <w:szCs w:val="21"/>
                <w:lang w:val="en"/>
              </w:rPr>
              <w:t xml:space="preserve">3.3 相对湿度：50–80% </w:t>
            </w:r>
          </w:p>
          <w:p w14:paraId="48A6E98C">
            <w:pPr>
              <w:pStyle w:val="19"/>
              <w:adjustRightInd w:val="0"/>
              <w:snapToGrid w:val="0"/>
              <w:spacing w:before="0" w:beforeAutospacing="0" w:after="0" w:afterAutospacing="0"/>
              <w:rPr>
                <w:rStyle w:val="20"/>
                <w:rFonts w:hint="default" w:ascii="Times New Roman" w:hAnsi="Times New Roman" w:eastAsia="宋体" w:cs="Times New Roman"/>
                <w:sz w:val="21"/>
                <w:szCs w:val="21"/>
                <w:lang w:val="en"/>
              </w:rPr>
            </w:pPr>
            <w:r>
              <w:rPr>
                <w:rStyle w:val="20"/>
                <w:rFonts w:hint="default" w:ascii="Times New Roman" w:hAnsi="Times New Roman" w:eastAsia="宋体" w:cs="Times New Roman"/>
                <w:kern w:val="2"/>
                <w:sz w:val="21"/>
                <w:szCs w:val="21"/>
                <w:lang w:val="en"/>
              </w:rPr>
              <w:t>4. 主要参数指标</w:t>
            </w:r>
          </w:p>
          <w:p w14:paraId="4CEC3DA0">
            <w:pPr>
              <w:pStyle w:val="19"/>
              <w:adjustRightInd w:val="0"/>
              <w:snapToGrid w:val="0"/>
              <w:spacing w:before="0" w:beforeAutospacing="0" w:after="0" w:afterAutospacing="0"/>
              <w:rPr>
                <w:rFonts w:ascii="Times New Roman" w:hAnsi="Times New Roman" w:cs="Times New Roman"/>
                <w:sz w:val="22"/>
                <w:szCs w:val="22"/>
                <w:lang w:val="en"/>
              </w:rPr>
            </w:pPr>
            <w:r>
              <w:rPr>
                <w:rStyle w:val="21"/>
                <w:rFonts w:hint="default" w:ascii="Times New Roman" w:hAnsi="Times New Roman" w:eastAsia="宋体" w:cs="Times New Roman"/>
                <w:kern w:val="2"/>
                <w:sz w:val="21"/>
                <w:szCs w:val="21"/>
                <w:lang w:val="en"/>
              </w:rPr>
              <w:t>4.1. 放大倍数：40X-400X；</w:t>
            </w:r>
          </w:p>
          <w:p w14:paraId="52BB3EA1">
            <w:pPr>
              <w:pStyle w:val="19"/>
              <w:adjustRightInd w:val="0"/>
              <w:snapToGrid w:val="0"/>
              <w:spacing w:before="0" w:beforeAutospacing="0" w:after="0" w:afterAutospacing="0"/>
              <w:rPr>
                <w:rStyle w:val="21"/>
                <w:rFonts w:hint="default" w:ascii="Times New Roman" w:hAnsi="Times New Roman" w:eastAsia="宋体" w:cs="Times New Roman"/>
                <w:sz w:val="21"/>
                <w:szCs w:val="21"/>
                <w:lang w:val="en"/>
              </w:rPr>
            </w:pPr>
            <w:r>
              <w:rPr>
                <w:rStyle w:val="21"/>
                <w:rFonts w:hint="default" w:ascii="Times New Roman" w:hAnsi="Times New Roman" w:eastAsia="宋体" w:cs="Times New Roman"/>
                <w:kern w:val="2"/>
                <w:sz w:val="21"/>
                <w:szCs w:val="21"/>
                <w:lang w:val="en"/>
              </w:rPr>
              <w:t>4.2. 目镜：高眼点大视野平场目镜10X，可调屈光度，线视场22mm；</w:t>
            </w:r>
          </w:p>
          <w:p w14:paraId="760E66EA">
            <w:pPr>
              <w:pStyle w:val="19"/>
              <w:adjustRightInd w:val="0"/>
              <w:snapToGrid w:val="0"/>
              <w:spacing w:before="0" w:beforeAutospacing="0" w:after="0" w:afterAutospacing="0"/>
              <w:rPr>
                <w:rStyle w:val="21"/>
                <w:rFonts w:hint="default" w:ascii="Times New Roman" w:hAnsi="Times New Roman" w:eastAsia="宋体" w:cs="Times New Roman"/>
                <w:sz w:val="21"/>
                <w:szCs w:val="21"/>
                <w:lang w:val="en"/>
              </w:rPr>
            </w:pPr>
            <w:r>
              <w:rPr>
                <w:rStyle w:val="21"/>
                <w:rFonts w:hint="default" w:ascii="Times New Roman" w:hAnsi="Times New Roman" w:eastAsia="宋体" w:cs="Times New Roman"/>
                <w:kern w:val="2"/>
                <w:sz w:val="21"/>
                <w:szCs w:val="21"/>
                <w:lang w:val="en"/>
              </w:rPr>
              <w:t>4.3. 转换器：内定位5孔物镜转换器；</w:t>
            </w:r>
          </w:p>
          <w:p w14:paraId="48E68815">
            <w:pPr>
              <w:pStyle w:val="19"/>
              <w:adjustRightInd w:val="0"/>
              <w:snapToGrid w:val="0"/>
              <w:spacing w:before="0" w:beforeAutospacing="0" w:after="0" w:afterAutospacing="0"/>
              <w:rPr>
                <w:rStyle w:val="21"/>
                <w:rFonts w:hint="default" w:ascii="Times New Roman" w:hAnsi="Times New Roman" w:eastAsia="宋体" w:cs="Times New Roman"/>
                <w:sz w:val="21"/>
                <w:szCs w:val="21"/>
                <w:lang w:val="en"/>
              </w:rPr>
            </w:pPr>
            <w:r>
              <w:rPr>
                <w:rStyle w:val="21"/>
                <w:rFonts w:hint="default" w:ascii="Times New Roman" w:hAnsi="Times New Roman" w:eastAsia="宋体" w:cs="Times New Roman"/>
                <w:kern w:val="2"/>
                <w:sz w:val="21"/>
                <w:szCs w:val="21"/>
                <w:lang w:val="en"/>
              </w:rPr>
              <w:t>4.4. 物镜：4倍平场消色差物镜，10倍20倍40倍正相衬物镜；</w:t>
            </w:r>
          </w:p>
          <w:p w14:paraId="7B9FA6B1">
            <w:pPr>
              <w:pStyle w:val="19"/>
              <w:adjustRightInd w:val="0"/>
              <w:snapToGrid w:val="0"/>
              <w:spacing w:before="0" w:beforeAutospacing="0" w:after="0" w:afterAutospacing="0"/>
              <w:rPr>
                <w:rStyle w:val="21"/>
                <w:rFonts w:hint="default" w:ascii="Times New Roman" w:hAnsi="Times New Roman" w:eastAsia="宋体" w:cs="Times New Roman"/>
                <w:sz w:val="21"/>
                <w:szCs w:val="21"/>
                <w:lang w:val="en"/>
              </w:rPr>
            </w:pPr>
            <w:r>
              <w:rPr>
                <w:rStyle w:val="21"/>
                <w:rFonts w:hint="default" w:ascii="Times New Roman" w:hAnsi="Times New Roman" w:eastAsia="宋体" w:cs="Times New Roman"/>
                <w:kern w:val="2"/>
                <w:sz w:val="21"/>
                <w:szCs w:val="21"/>
                <w:lang w:val="en"/>
              </w:rPr>
              <w:t>4.5. 调焦机构：粗微同轴调焦；粗调行程</w:t>
            </w:r>
            <w:r>
              <w:rPr>
                <w:rStyle w:val="22"/>
                <w:rFonts w:hint="default" w:ascii="Times New Roman" w:hAnsi="Times New Roman" w:eastAsia="宋体" w:cs="Times New Roman"/>
                <w:kern w:val="2"/>
                <w:sz w:val="21"/>
                <w:szCs w:val="21"/>
                <w:lang w:val="en"/>
              </w:rPr>
              <w:t>≥</w:t>
            </w:r>
            <w:r>
              <w:rPr>
                <w:rStyle w:val="21"/>
                <w:rFonts w:hint="default" w:ascii="Times New Roman" w:hAnsi="Times New Roman" w:eastAsia="宋体" w:cs="Times New Roman"/>
                <w:kern w:val="2"/>
                <w:sz w:val="21"/>
                <w:szCs w:val="21"/>
                <w:lang w:val="en"/>
              </w:rPr>
              <w:t>9mm，微调精度0.002mm；</w:t>
            </w:r>
          </w:p>
          <w:p w14:paraId="6FECF574">
            <w:pPr>
              <w:pStyle w:val="19"/>
              <w:adjustRightInd w:val="0"/>
              <w:snapToGrid w:val="0"/>
              <w:spacing w:before="0" w:beforeAutospacing="0" w:after="0" w:afterAutospacing="0"/>
              <w:rPr>
                <w:rStyle w:val="21"/>
                <w:rFonts w:hint="default" w:ascii="Times New Roman" w:hAnsi="Times New Roman" w:eastAsia="宋体" w:cs="Times New Roman"/>
                <w:sz w:val="21"/>
                <w:szCs w:val="21"/>
                <w:lang w:val="en"/>
              </w:rPr>
            </w:pPr>
            <w:r>
              <w:rPr>
                <w:rStyle w:val="21"/>
                <w:rFonts w:hint="default" w:ascii="Times New Roman" w:hAnsi="Times New Roman" w:eastAsia="宋体" w:cs="Times New Roman"/>
                <w:kern w:val="2"/>
                <w:sz w:val="21"/>
                <w:szCs w:val="21"/>
                <w:lang w:val="en"/>
              </w:rPr>
              <w:t>4.6. 载物台：固定式载物平台，配有载玻片托座和培养皿托座；</w:t>
            </w:r>
          </w:p>
          <w:p w14:paraId="0C3970CF">
            <w:pPr>
              <w:pStyle w:val="19"/>
              <w:adjustRightInd w:val="0"/>
              <w:snapToGrid w:val="0"/>
              <w:spacing w:before="0" w:beforeAutospacing="0" w:after="0" w:afterAutospacing="0"/>
              <w:rPr>
                <w:rStyle w:val="21"/>
                <w:rFonts w:hint="default" w:ascii="Times New Roman" w:hAnsi="Times New Roman" w:eastAsia="宋体" w:cs="Times New Roman"/>
                <w:sz w:val="21"/>
                <w:szCs w:val="21"/>
                <w:lang w:val="en"/>
              </w:rPr>
            </w:pPr>
            <w:r>
              <w:rPr>
                <w:rStyle w:val="21"/>
                <w:rFonts w:hint="default" w:ascii="Times New Roman" w:hAnsi="Times New Roman" w:eastAsia="宋体" w:cs="Times New Roman"/>
                <w:kern w:val="2"/>
                <w:sz w:val="21"/>
                <w:szCs w:val="21"/>
                <w:lang w:val="en"/>
              </w:rPr>
              <w:t>4.7. 照明装置：柯拉照明，亮度连续可调，带可变孔径光阑与视场光阑，聚光镜超长工作距离达72mm；</w:t>
            </w:r>
          </w:p>
          <w:p w14:paraId="5575EADE">
            <w:pPr>
              <w:pStyle w:val="19"/>
              <w:adjustRightInd w:val="0"/>
              <w:snapToGrid w:val="0"/>
              <w:spacing w:before="0" w:beforeAutospacing="0" w:after="0" w:afterAutospacing="0"/>
              <w:rPr>
                <w:rStyle w:val="21"/>
                <w:rFonts w:hint="default" w:ascii="Times New Roman" w:hAnsi="Times New Roman" w:eastAsia="宋体" w:cs="Times New Roman"/>
                <w:sz w:val="21"/>
                <w:szCs w:val="21"/>
                <w:lang w:val="en"/>
              </w:rPr>
            </w:pPr>
            <w:r>
              <w:rPr>
                <w:rStyle w:val="21"/>
                <w:rFonts w:hint="default" w:ascii="Times New Roman" w:hAnsi="Times New Roman" w:eastAsia="宋体" w:cs="Times New Roman"/>
                <w:kern w:val="2"/>
                <w:sz w:val="21"/>
                <w:szCs w:val="21"/>
                <w:lang w:val="en"/>
              </w:rPr>
              <w:t>4.8. 滤色片：配色温转变滤色片以及绿色反差滤色片；</w:t>
            </w:r>
          </w:p>
          <w:p w14:paraId="14C65CB8">
            <w:pPr>
              <w:pStyle w:val="19"/>
              <w:adjustRightInd w:val="0"/>
              <w:snapToGrid w:val="0"/>
              <w:spacing w:before="0" w:beforeAutospacing="0" w:after="0" w:afterAutospacing="0"/>
              <w:rPr>
                <w:rFonts w:ascii="Times New Roman" w:hAnsi="Times New Roman" w:cs="Times New Roman"/>
                <w:sz w:val="22"/>
                <w:szCs w:val="22"/>
                <w:lang w:val="en"/>
              </w:rPr>
            </w:pPr>
            <w:r>
              <w:rPr>
                <w:rStyle w:val="21"/>
                <w:rFonts w:hint="default" w:ascii="Times New Roman" w:hAnsi="Times New Roman" w:eastAsia="宋体" w:cs="Times New Roman"/>
                <w:kern w:val="2"/>
                <w:sz w:val="21"/>
                <w:szCs w:val="21"/>
                <w:lang w:val="en"/>
              </w:rPr>
              <w:t>4.9. 整机质保1年。</w:t>
            </w:r>
          </w:p>
        </w:tc>
        <w:tc>
          <w:tcPr>
            <w:tcW w:w="0" w:type="auto"/>
            <w:noWrap w:val="0"/>
            <w:vAlign w:val="center"/>
          </w:tcPr>
          <w:p w14:paraId="7503DA2C">
            <w:pPr>
              <w:widowControl/>
              <w:adjustRightInd w:val="0"/>
              <w:snapToGrid w:val="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3台</w:t>
            </w:r>
          </w:p>
        </w:tc>
      </w:tr>
    </w:tbl>
    <w:p w14:paraId="04E81E3A">
      <w:pPr>
        <w:pStyle w:val="3"/>
        <w:spacing w:before="0"/>
        <w:ind w:firstLine="560"/>
      </w:pPr>
      <w:bookmarkStart w:id="29" w:name="_Toc902728931"/>
      <w:bookmarkStart w:id="30" w:name="_Toc49042126"/>
      <w:bookmarkStart w:id="31" w:name="_Toc1520309192"/>
      <w:bookmarkStart w:id="32" w:name="_Toc13384869"/>
      <w:bookmarkStart w:id="33" w:name="_Toc1061105159_WPSOffice_Level2"/>
      <w:bookmarkStart w:id="34" w:name="_Toc1900587714"/>
      <w:bookmarkStart w:id="35" w:name="_Toc1814319857"/>
      <w:bookmarkStart w:id="36" w:name="_Toc1101062245"/>
      <w:r>
        <w:rPr>
          <w:rFonts w:hint="eastAsia"/>
        </w:rPr>
        <w:t>三、报价要求</w:t>
      </w:r>
      <w:bookmarkEnd w:id="29"/>
      <w:bookmarkEnd w:id="30"/>
      <w:bookmarkEnd w:id="31"/>
      <w:bookmarkEnd w:id="32"/>
      <w:bookmarkEnd w:id="33"/>
      <w:bookmarkEnd w:id="34"/>
      <w:bookmarkEnd w:id="35"/>
      <w:bookmarkEnd w:id="36"/>
    </w:p>
    <w:p w14:paraId="50F29330">
      <w:pPr>
        <w:spacing w:line="360" w:lineRule="auto"/>
        <w:ind w:firstLine="435"/>
        <w:rPr>
          <w:rFonts w:hint="eastAsia" w:ascii="Arial" w:hAnsi="Arial" w:eastAsia="宋体" w:cs="Arial"/>
          <w:sz w:val="24"/>
        </w:rPr>
      </w:pPr>
      <w:bookmarkStart w:id="37" w:name="_Toc1292427663"/>
      <w:bookmarkStart w:id="38" w:name="_Toc2038055339"/>
      <w:bookmarkStart w:id="39" w:name="_Toc1075298592"/>
      <w:bookmarkStart w:id="40" w:name="_Toc1449541372"/>
      <w:bookmarkStart w:id="41" w:name="_Toc1790658759"/>
      <w:bookmarkStart w:id="42" w:name="_Toc687041046"/>
      <w:bookmarkStart w:id="43" w:name="_Toc2035097239_WPSOffice_Level2"/>
      <w:bookmarkStart w:id="44" w:name="_Toc1158811885"/>
      <w:r>
        <w:rPr>
          <w:rFonts w:hint="eastAsia" w:ascii="Arial" w:hAnsi="Arial" w:eastAsia="宋体" w:cs="Arial"/>
          <w:sz w:val="24"/>
        </w:rPr>
        <w:t>投标报价包括货物从设计、采购、制造、交货（包括运输至采购人指定地点卸车就位）至售后服务的一切费用（如设计费、采购费、制造费、包装费、运输保险费、运输费、装卸费、其他技术服务及质保期服务费等）、管理费、利润和税金，以及采购合同中所有责任、义务和风险。</w:t>
      </w:r>
    </w:p>
    <w:p w14:paraId="5C60FABE">
      <w:pPr>
        <w:pStyle w:val="3"/>
        <w:spacing w:before="0"/>
        <w:ind w:firstLine="560"/>
      </w:pPr>
      <w:r>
        <w:rPr>
          <w:rFonts w:hint="eastAsia"/>
        </w:rPr>
        <w:t>四、其他要求</w:t>
      </w:r>
      <w:bookmarkEnd w:id="37"/>
      <w:bookmarkEnd w:id="38"/>
      <w:bookmarkEnd w:id="39"/>
      <w:bookmarkEnd w:id="40"/>
      <w:bookmarkEnd w:id="41"/>
      <w:bookmarkEnd w:id="42"/>
      <w:bookmarkEnd w:id="43"/>
      <w:bookmarkEnd w:id="44"/>
    </w:p>
    <w:p w14:paraId="2D3BF1BA">
      <w:pPr>
        <w:spacing w:line="360" w:lineRule="auto"/>
        <w:ind w:firstLine="435"/>
        <w:rPr>
          <w:rFonts w:hint="eastAsia" w:ascii="Arial" w:hAnsi="Arial" w:eastAsia="宋体" w:cs="Arial"/>
          <w:sz w:val="24"/>
        </w:rPr>
      </w:pPr>
      <w:bookmarkStart w:id="45" w:name="_Toc2120379296"/>
      <w:bookmarkStart w:id="46" w:name="_Toc1524176813_WPSOffice_Level2"/>
      <w:bookmarkStart w:id="47" w:name="_Toc642470627"/>
      <w:bookmarkStart w:id="48" w:name="_Toc1077550963"/>
      <w:bookmarkStart w:id="49" w:name="_Toc306278678"/>
      <w:bookmarkStart w:id="50" w:name="_Toc2138070836"/>
      <w:bookmarkStart w:id="51" w:name="_Toc1507727762"/>
      <w:bookmarkStart w:id="52" w:name="_Toc225729906"/>
      <w:r>
        <w:rPr>
          <w:rFonts w:hint="eastAsia" w:ascii="Arial" w:hAnsi="Arial" w:eastAsia="宋体" w:cs="Arial"/>
          <w:sz w:val="24"/>
        </w:rPr>
        <w:t>/</w:t>
      </w:r>
    </w:p>
    <w:p w14:paraId="04B3C475">
      <w:pPr>
        <w:pStyle w:val="3"/>
        <w:spacing w:before="0"/>
        <w:ind w:firstLine="560"/>
      </w:pPr>
      <w:r>
        <w:rPr>
          <w:rFonts w:hint="eastAsia"/>
        </w:rPr>
        <w:t>五、样品要求</w:t>
      </w:r>
      <w:bookmarkEnd w:id="45"/>
      <w:bookmarkEnd w:id="46"/>
      <w:bookmarkEnd w:id="47"/>
      <w:bookmarkEnd w:id="48"/>
      <w:bookmarkEnd w:id="49"/>
      <w:bookmarkEnd w:id="50"/>
      <w:bookmarkEnd w:id="51"/>
      <w:bookmarkEnd w:id="52"/>
    </w:p>
    <w:p w14:paraId="0FDD82BF">
      <w:pPr>
        <w:spacing w:line="360" w:lineRule="auto"/>
        <w:ind w:firstLine="435"/>
        <w:rPr>
          <w:rFonts w:hint="eastAsia" w:ascii="Arial" w:hAnsi="Arial" w:eastAsia="宋体" w:cs="Arial"/>
          <w:sz w:val="24"/>
        </w:rPr>
      </w:pPr>
      <w:r>
        <w:rPr>
          <w:rFonts w:hint="eastAsia" w:ascii="Arial" w:hAnsi="Arial" w:eastAsia="宋体" w:cs="Arial"/>
          <w:sz w:val="24"/>
        </w:rPr>
        <w:t>/</w:t>
      </w:r>
    </w:p>
    <w:bookmarkEnd w:id="9"/>
    <w:p w14:paraId="2B76C6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宋?">
    <w:altName w:val="宋体"/>
    <w:panose1 w:val="00000000000000000000"/>
    <w:charset w:val="81"/>
    <w:family w:val="roman"/>
    <w:pitch w:val="default"/>
    <w:sig w:usb0="00000000" w:usb1="00000000" w:usb2="00000010" w:usb3="00000000" w:csb0="00080000" w:csb1="00000000"/>
  </w:font>
  <w:font w:name="Plotter">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01E47"/>
    <w:rsid w:val="048B5C9B"/>
    <w:rsid w:val="05B020DE"/>
    <w:rsid w:val="0B7E7342"/>
    <w:rsid w:val="0B81776F"/>
    <w:rsid w:val="0BA72E08"/>
    <w:rsid w:val="0EA7526D"/>
    <w:rsid w:val="0FEA3E2B"/>
    <w:rsid w:val="107C0758"/>
    <w:rsid w:val="121A73FA"/>
    <w:rsid w:val="13AE5449"/>
    <w:rsid w:val="17484150"/>
    <w:rsid w:val="1A66715E"/>
    <w:rsid w:val="215F4DCD"/>
    <w:rsid w:val="24955B50"/>
    <w:rsid w:val="24E02EF9"/>
    <w:rsid w:val="25BD1FE8"/>
    <w:rsid w:val="27A71D1F"/>
    <w:rsid w:val="2CEE15DA"/>
    <w:rsid w:val="2E1F51D1"/>
    <w:rsid w:val="319A0963"/>
    <w:rsid w:val="323D6A6F"/>
    <w:rsid w:val="32DF5385"/>
    <w:rsid w:val="34802932"/>
    <w:rsid w:val="3930123F"/>
    <w:rsid w:val="39871519"/>
    <w:rsid w:val="41E05756"/>
    <w:rsid w:val="423C43DA"/>
    <w:rsid w:val="47CD234C"/>
    <w:rsid w:val="4A271D5E"/>
    <w:rsid w:val="4C137714"/>
    <w:rsid w:val="4D416E03"/>
    <w:rsid w:val="51172D37"/>
    <w:rsid w:val="52FB52AE"/>
    <w:rsid w:val="537D4134"/>
    <w:rsid w:val="56050C0A"/>
    <w:rsid w:val="56A86F71"/>
    <w:rsid w:val="585020F8"/>
    <w:rsid w:val="5BA74384"/>
    <w:rsid w:val="5E9B773F"/>
    <w:rsid w:val="60126471"/>
    <w:rsid w:val="63AF0894"/>
    <w:rsid w:val="65DB492F"/>
    <w:rsid w:val="68633EF1"/>
    <w:rsid w:val="6A5C063B"/>
    <w:rsid w:val="6A8A41D9"/>
    <w:rsid w:val="6B6437FD"/>
    <w:rsid w:val="6DFD7D70"/>
    <w:rsid w:val="72096764"/>
    <w:rsid w:val="768F7AF6"/>
    <w:rsid w:val="77E90E7D"/>
    <w:rsid w:val="7CB80BC0"/>
    <w:rsid w:val="7CF95E05"/>
    <w:rsid w:val="7DD01DA8"/>
    <w:rsid w:val="7F800765"/>
    <w:rsid w:val="7FB64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13"/>
    <w:qFormat/>
    <w:uiPriority w:val="0"/>
    <w:pPr>
      <w:keepNext/>
      <w:keepLines/>
      <w:spacing w:line="360" w:lineRule="auto"/>
      <w:jc w:val="center"/>
      <w:outlineLvl w:val="0"/>
    </w:pPr>
    <w:rPr>
      <w:rFonts w:ascii="Times New Roman" w:hAnsi="Times New Roman" w:eastAsia="仿宋"/>
      <w:b/>
      <w:bCs/>
      <w:kern w:val="44"/>
      <w:sz w:val="36"/>
      <w:szCs w:val="44"/>
    </w:rPr>
  </w:style>
  <w:style w:type="paragraph" w:styleId="3">
    <w:name w:val="heading 2"/>
    <w:basedOn w:val="1"/>
    <w:next w:val="1"/>
    <w:link w:val="14"/>
    <w:semiHidden/>
    <w:unhideWhenUsed/>
    <w:qFormat/>
    <w:uiPriority w:val="0"/>
    <w:pPr>
      <w:spacing w:line="360" w:lineRule="auto"/>
      <w:ind w:left="0" w:right="0" w:firstLine="0" w:firstLineChars="0"/>
      <w:outlineLvl w:val="1"/>
    </w:pPr>
    <w:rPr>
      <w:rFonts w:ascii="Microsoft JhengHei" w:hAnsi="Microsoft JhengHei" w:eastAsia="仿宋" w:cs="Microsoft JhengHei"/>
      <w:b/>
      <w:bCs/>
      <w:sz w:val="28"/>
      <w:szCs w:val="32"/>
      <w:lang w:eastAsia="en-US"/>
    </w:rPr>
  </w:style>
  <w:style w:type="paragraph" w:styleId="4">
    <w:name w:val="heading 3"/>
    <w:basedOn w:val="1"/>
    <w:next w:val="1"/>
    <w:link w:val="15"/>
    <w:semiHidden/>
    <w:unhideWhenUsed/>
    <w:qFormat/>
    <w:uiPriority w:val="0"/>
    <w:pPr>
      <w:ind w:left="237" w:right="102"/>
      <w:outlineLvl w:val="2"/>
    </w:pPr>
    <w:rPr>
      <w:rFonts w:ascii="宋?" w:hAnsi="宋?" w:eastAsia="仿宋" w:cs="宋?"/>
      <w:b/>
      <w:sz w:val="28"/>
      <w:szCs w:val="28"/>
      <w:lang w:eastAsia="en-US"/>
    </w:rPr>
  </w:style>
  <w:style w:type="character" w:default="1" w:styleId="12">
    <w:name w:val="Default Paragraph Font"/>
    <w:autoRedefine/>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Indent"/>
    <w:basedOn w:val="1"/>
    <w:next w:val="6"/>
    <w:unhideWhenUsed/>
    <w:uiPriority w:val="99"/>
    <w:pPr>
      <w:ind w:firstLine="645"/>
    </w:pPr>
    <w:rPr>
      <w:rFonts w:ascii="楷体_GB2312" w:eastAsia="楷体_GB2312"/>
      <w:sz w:val="32"/>
      <w:szCs w:val="20"/>
    </w:rPr>
  </w:style>
  <w:style w:type="paragraph" w:styleId="6">
    <w:name w:val="envelope return"/>
    <w:basedOn w:val="1"/>
    <w:qFormat/>
    <w:uiPriority w:val="99"/>
    <w:pPr>
      <w:snapToGrid w:val="0"/>
    </w:pPr>
    <w:rPr>
      <w:rFonts w:ascii="Arial" w:hAnsi="Arial" w:cs="Arial"/>
    </w:rPr>
  </w:style>
  <w:style w:type="paragraph" w:styleId="7">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qFormat/>
    <w:uiPriority w:val="0"/>
    <w:pPr>
      <w:spacing w:line="480" w:lineRule="auto"/>
      <w:jc w:val="center"/>
    </w:pPr>
    <w:rPr>
      <w:rFonts w:ascii="Times New Roman" w:hAnsi="Times New Roman" w:eastAsia="仿宋" w:cs="Times New Roman"/>
      <w:b/>
      <w:sz w:val="36"/>
      <w:szCs w:val="22"/>
    </w:rPr>
  </w:style>
  <w:style w:type="paragraph" w:styleId="9">
    <w:name w:val="Title"/>
    <w:basedOn w:val="1"/>
    <w:next w:val="1"/>
    <w:link w:val="16"/>
    <w:qFormat/>
    <w:uiPriority w:val="0"/>
    <w:pPr>
      <w:spacing w:line="480" w:lineRule="auto"/>
      <w:jc w:val="center"/>
    </w:pPr>
    <w:rPr>
      <w:rFonts w:ascii="Plotter" w:hAnsi="Plotter" w:eastAsia="仿宋" w:cs="Times New Roman"/>
      <w:b/>
      <w:bCs/>
      <w:sz w:val="36"/>
      <w:szCs w:val="44"/>
    </w:rPr>
  </w:style>
  <w:style w:type="paragraph" w:styleId="10">
    <w:name w:val="Body Text First Indent 2"/>
    <w:basedOn w:val="5"/>
    <w:unhideWhenUsed/>
    <w:uiPriority w:val="99"/>
    <w:pPr>
      <w:ind w:left="420" w:firstLine="420" w:firstLineChars="200"/>
    </w:pPr>
    <w:rPr>
      <w:rFonts w:ascii="Times New Roman" w:cs="Times New Roman"/>
    </w:rPr>
  </w:style>
  <w:style w:type="character" w:customStyle="1" w:styleId="13">
    <w:name w:val="标题 1 字符"/>
    <w:link w:val="2"/>
    <w:qFormat/>
    <w:uiPriority w:val="0"/>
    <w:rPr>
      <w:rFonts w:ascii="Times New Roman" w:hAnsi="Times New Roman" w:eastAsia="仿宋"/>
      <w:b/>
      <w:bCs/>
      <w:kern w:val="44"/>
      <w:sz w:val="36"/>
      <w:szCs w:val="44"/>
    </w:rPr>
  </w:style>
  <w:style w:type="character" w:customStyle="1" w:styleId="14">
    <w:name w:val="标题 2 字符"/>
    <w:basedOn w:val="12"/>
    <w:link w:val="3"/>
    <w:qFormat/>
    <w:uiPriority w:val="0"/>
    <w:rPr>
      <w:rFonts w:ascii="Cambria" w:hAnsi="Cambria" w:eastAsia="仿宋" w:cs="Cambria"/>
      <w:b/>
      <w:bCs/>
      <w:kern w:val="0"/>
      <w:sz w:val="28"/>
      <w:szCs w:val="32"/>
      <w:lang w:eastAsia="en-US"/>
    </w:rPr>
  </w:style>
  <w:style w:type="character" w:customStyle="1" w:styleId="15">
    <w:name w:val="标题 3 字符"/>
    <w:basedOn w:val="12"/>
    <w:link w:val="4"/>
    <w:autoRedefine/>
    <w:semiHidden/>
    <w:qFormat/>
    <w:locked/>
    <w:uiPriority w:val="99"/>
    <w:rPr>
      <w:rFonts w:ascii="宋?" w:hAnsi="宋?" w:eastAsia="仿宋" w:cs="宋?"/>
      <w:b/>
      <w:bCs/>
      <w:kern w:val="0"/>
      <w:sz w:val="32"/>
      <w:szCs w:val="32"/>
      <w:lang w:eastAsia="en-US"/>
    </w:rPr>
  </w:style>
  <w:style w:type="character" w:customStyle="1" w:styleId="16">
    <w:name w:val="标题 字符"/>
    <w:link w:val="9"/>
    <w:autoRedefine/>
    <w:qFormat/>
    <w:uiPriority w:val="0"/>
    <w:rPr>
      <w:rFonts w:ascii="Plotter" w:hAnsi="Plotter" w:eastAsia="仿宋" w:cs="Times New Roman"/>
      <w:b/>
      <w:bCs/>
      <w:kern w:val="2"/>
      <w:sz w:val="36"/>
      <w:szCs w:val="44"/>
    </w:rPr>
  </w:style>
  <w:style w:type="paragraph" w:customStyle="1" w:styleId="17">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8">
    <w:name w:val="xl31"/>
    <w:basedOn w:val="1"/>
    <w:qFormat/>
    <w:uiPriority w:val="0"/>
    <w:pPr>
      <w:widowControl/>
      <w:spacing w:before="100" w:beforeAutospacing="1" w:after="100" w:afterAutospacing="1"/>
      <w:jc w:val="center"/>
    </w:pPr>
    <w:rPr>
      <w:b/>
      <w:bCs/>
      <w:kern w:val="0"/>
      <w:sz w:val="28"/>
      <w:szCs w:val="28"/>
    </w:rPr>
  </w:style>
  <w:style w:type="paragraph" w:customStyle="1" w:styleId="19">
    <w:name w:val="pf0"/>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0">
    <w:name w:val="cf01"/>
    <w:qFormat/>
    <w:uiPriority w:val="0"/>
    <w:rPr>
      <w:rFonts w:hint="eastAsia" w:ascii="Microsoft YaHei UI" w:hAnsi="Microsoft YaHei UI" w:eastAsia="Microsoft YaHei UI"/>
      <w:b/>
      <w:bCs/>
      <w:sz w:val="18"/>
      <w:szCs w:val="18"/>
    </w:rPr>
  </w:style>
  <w:style w:type="character" w:customStyle="1" w:styleId="21">
    <w:name w:val="cf11"/>
    <w:uiPriority w:val="0"/>
    <w:rPr>
      <w:rFonts w:hint="eastAsia" w:ascii="Microsoft YaHei UI" w:hAnsi="Microsoft YaHei UI" w:eastAsia="Microsoft YaHei UI"/>
      <w:sz w:val="18"/>
      <w:szCs w:val="18"/>
    </w:rPr>
  </w:style>
  <w:style w:type="character" w:customStyle="1" w:styleId="22">
    <w:name w:val="cf21"/>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2024-06-01T01:44:00Z</dcterms:created>
  <dc:creator>Administrator</dc:creator>
  <cp:lastModifiedBy>Fairy</cp:lastModifiedBy>
  <dcterms:modified xsi:type="dcterms:W3CDTF">2025-05-14T02:46:51Z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8AEE2C2FE7D74413A2391B2D887EBDE9_12</vt:lpwstr>
  </property>
  <property fmtid="{D5CDD505-2E9C-101B-9397-08002B2CF9AE}" pid="4" name="KSOTemplateDocerSaveRecord">
    <vt:lpwstr>eyJoZGlkIjoiZTM3Y2ZhOWJlMTQyZGFkOWNkMDY5MmFiM2ZkMzM4YjgiLCJ1c2VySWQiOiIxMTc1MDMzODc2In0=</vt:lpwstr>
  </property>
</Properties>
</file>