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9CB1A">
      <w:pPr>
        <w:pStyle w:val="2"/>
        <w:widowControl/>
        <w:snapToGrid w:val="0"/>
        <w:spacing w:before="0" w:after="0" w:line="360" w:lineRule="auto"/>
        <w:jc w:val="center"/>
        <w:rPr>
          <w:rFonts w:hint="eastAsia" w:ascii="宋体" w:hAnsi="宋体"/>
        </w:rPr>
      </w:pPr>
      <w:bookmarkStart w:id="9" w:name="_GoBack"/>
      <w:bookmarkEnd w:id="9"/>
      <w:bookmarkStart w:id="0" w:name="_Toc445554746"/>
      <w:bookmarkStart w:id="1" w:name="_Toc25251"/>
      <w:bookmarkStart w:id="2" w:name="_Toc466024555"/>
      <w:bookmarkStart w:id="3" w:name="_Toc4571425"/>
      <w:bookmarkStart w:id="4" w:name="_Toc24866"/>
      <w:r>
        <w:rPr>
          <w:rFonts w:hint="eastAsia" w:ascii="宋体" w:hAnsi="宋体"/>
        </w:rPr>
        <w:t>采购需求</w:t>
      </w:r>
      <w:bookmarkEnd w:id="0"/>
      <w:bookmarkEnd w:id="1"/>
      <w:bookmarkEnd w:id="2"/>
      <w:bookmarkEnd w:id="3"/>
      <w:bookmarkEnd w:id="4"/>
      <w:bookmarkStart w:id="5" w:name="_Toc455587089"/>
      <w:bookmarkStart w:id="6" w:name="_Toc445554747"/>
      <w:bookmarkStart w:id="7" w:name="_Toc455587273"/>
      <w:bookmarkStart w:id="8" w:name="_Toc466024556"/>
    </w:p>
    <w:bookmarkEnd w:id="5"/>
    <w:bookmarkEnd w:id="6"/>
    <w:bookmarkEnd w:id="7"/>
    <w:bookmarkEnd w:id="8"/>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273"/>
        <w:gridCol w:w="6289"/>
      </w:tblGrid>
      <w:tr w14:paraId="5C87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661345C3">
            <w:pPr>
              <w:spacing w:line="360" w:lineRule="auto"/>
              <w:jc w:val="center"/>
              <w:rPr>
                <w:rFonts w:ascii="宋体" w:hAnsi="宋体" w:cs="@仿宋_GB2312"/>
                <w:b/>
                <w:sz w:val="24"/>
              </w:rPr>
            </w:pPr>
            <w:r>
              <w:rPr>
                <w:rFonts w:hint="eastAsia" w:ascii="宋体" w:hAnsi="宋体" w:cs="@仿宋_GB2312"/>
                <w:b/>
                <w:sz w:val="24"/>
              </w:rPr>
              <w:t>序号</w:t>
            </w:r>
          </w:p>
        </w:tc>
        <w:tc>
          <w:tcPr>
            <w:tcW w:w="747" w:type="pct"/>
            <w:noWrap w:val="0"/>
            <w:vAlign w:val="center"/>
          </w:tcPr>
          <w:p w14:paraId="0CE9095F">
            <w:pPr>
              <w:spacing w:line="360" w:lineRule="auto"/>
              <w:ind w:firstLine="435"/>
              <w:jc w:val="center"/>
              <w:rPr>
                <w:rFonts w:ascii="宋体" w:hAnsi="宋体" w:cs="@仿宋_GB2312"/>
                <w:b/>
                <w:sz w:val="24"/>
              </w:rPr>
            </w:pPr>
            <w:r>
              <w:rPr>
                <w:rFonts w:hint="eastAsia" w:ascii="宋体" w:hAnsi="宋体" w:cs="@仿宋_GB2312"/>
                <w:b/>
                <w:sz w:val="24"/>
              </w:rPr>
              <w:t>内容</w:t>
            </w:r>
          </w:p>
        </w:tc>
        <w:tc>
          <w:tcPr>
            <w:tcW w:w="3689" w:type="pct"/>
            <w:noWrap w:val="0"/>
            <w:vAlign w:val="center"/>
          </w:tcPr>
          <w:p w14:paraId="286DD058">
            <w:pPr>
              <w:spacing w:line="360" w:lineRule="auto"/>
              <w:ind w:firstLine="435"/>
              <w:jc w:val="center"/>
              <w:rPr>
                <w:rFonts w:ascii="宋体" w:hAnsi="宋体" w:cs="@仿宋_GB2312"/>
                <w:b/>
                <w:sz w:val="24"/>
              </w:rPr>
            </w:pPr>
            <w:r>
              <w:rPr>
                <w:rFonts w:hint="eastAsia" w:ascii="宋体" w:hAnsi="宋体" w:cs="@仿宋_GB2312"/>
                <w:b/>
                <w:sz w:val="24"/>
              </w:rPr>
              <w:t>说明和要求</w:t>
            </w:r>
          </w:p>
        </w:tc>
      </w:tr>
      <w:tr w14:paraId="255B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3D80D23D">
            <w:pPr>
              <w:spacing w:line="360" w:lineRule="auto"/>
              <w:jc w:val="center"/>
              <w:rPr>
                <w:rFonts w:ascii="宋体" w:hAnsi="宋体" w:cs="@仿宋_GB2312"/>
                <w:sz w:val="24"/>
              </w:rPr>
            </w:pPr>
            <w:r>
              <w:rPr>
                <w:rFonts w:hint="eastAsia" w:ascii="宋体" w:hAnsi="宋体" w:cs="@仿宋_GB2312"/>
                <w:sz w:val="24"/>
              </w:rPr>
              <w:t>1</w:t>
            </w:r>
          </w:p>
        </w:tc>
        <w:tc>
          <w:tcPr>
            <w:tcW w:w="747" w:type="pct"/>
            <w:noWrap w:val="0"/>
            <w:vAlign w:val="center"/>
          </w:tcPr>
          <w:p w14:paraId="54C9D95E">
            <w:pPr>
              <w:spacing w:line="360" w:lineRule="auto"/>
              <w:rPr>
                <w:rFonts w:ascii="宋体" w:hAnsi="宋体" w:cs="@仿宋_GB2312"/>
                <w:sz w:val="24"/>
              </w:rPr>
            </w:pPr>
            <w:r>
              <w:rPr>
                <w:rFonts w:hint="eastAsia" w:ascii="宋体" w:hAnsi="宋体" w:cs="@仿宋_GB2312"/>
                <w:sz w:val="24"/>
              </w:rPr>
              <w:t>人员到岗及履约要求</w:t>
            </w:r>
          </w:p>
        </w:tc>
        <w:tc>
          <w:tcPr>
            <w:tcW w:w="3689" w:type="pct"/>
            <w:noWrap w:val="0"/>
            <w:vAlign w:val="center"/>
          </w:tcPr>
          <w:p w14:paraId="1281F812">
            <w:pPr>
              <w:spacing w:line="360" w:lineRule="auto"/>
              <w:rPr>
                <w:rFonts w:ascii="宋体" w:hAnsi="宋体" w:cs="@仿宋_GB2312"/>
                <w:sz w:val="24"/>
              </w:rPr>
            </w:pPr>
            <w:r>
              <w:rPr>
                <w:rFonts w:hint="eastAsia" w:ascii="宋体" w:hAnsi="宋体" w:cs="@仿宋_GB2312"/>
                <w:sz w:val="24"/>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65588235">
            <w:pPr>
              <w:spacing w:line="360" w:lineRule="auto"/>
              <w:rPr>
                <w:rFonts w:ascii="宋体" w:hAnsi="宋体" w:cs="@仿宋_GB2312"/>
                <w:sz w:val="24"/>
              </w:rPr>
            </w:pPr>
            <w:r>
              <w:rPr>
                <w:rFonts w:hint="eastAsia" w:ascii="宋体" w:hAnsi="宋体" w:cs="@仿宋_GB2312"/>
                <w:sz w:val="24"/>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4909DD89">
            <w:pPr>
              <w:spacing w:line="360" w:lineRule="auto"/>
              <w:rPr>
                <w:rFonts w:ascii="宋体" w:hAnsi="宋体" w:cs="@仿宋_GB2312"/>
                <w:sz w:val="24"/>
              </w:rPr>
            </w:pPr>
            <w:r>
              <w:rPr>
                <w:rFonts w:hint="eastAsia" w:ascii="宋体" w:hAnsi="宋体" w:cs="@仿宋_GB2312"/>
                <w:sz w:val="24"/>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438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2905CC43">
            <w:pPr>
              <w:spacing w:line="360" w:lineRule="auto"/>
              <w:jc w:val="center"/>
              <w:rPr>
                <w:rFonts w:ascii="宋体" w:hAnsi="宋体" w:cs="@仿宋_GB2312"/>
                <w:sz w:val="24"/>
              </w:rPr>
            </w:pPr>
            <w:r>
              <w:rPr>
                <w:rFonts w:hint="eastAsia" w:ascii="宋体" w:hAnsi="宋体" w:cs="@仿宋_GB2312"/>
                <w:sz w:val="24"/>
              </w:rPr>
              <w:t>2</w:t>
            </w:r>
          </w:p>
        </w:tc>
        <w:tc>
          <w:tcPr>
            <w:tcW w:w="747" w:type="pct"/>
            <w:noWrap w:val="0"/>
            <w:vAlign w:val="center"/>
          </w:tcPr>
          <w:p w14:paraId="001B630E">
            <w:pPr>
              <w:spacing w:line="360" w:lineRule="auto"/>
              <w:rPr>
                <w:rFonts w:ascii="宋体" w:hAnsi="宋体" w:cs="@仿宋_GB2312"/>
                <w:sz w:val="24"/>
              </w:rPr>
            </w:pPr>
            <w:r>
              <w:rPr>
                <w:rFonts w:hint="eastAsia" w:ascii="宋体" w:hAnsi="宋体" w:cs="@仿宋_GB2312"/>
                <w:sz w:val="24"/>
              </w:rPr>
              <w:t>材料要求</w:t>
            </w:r>
          </w:p>
        </w:tc>
        <w:tc>
          <w:tcPr>
            <w:tcW w:w="3689" w:type="pct"/>
            <w:noWrap w:val="0"/>
            <w:vAlign w:val="center"/>
          </w:tcPr>
          <w:p w14:paraId="00527F8F">
            <w:pPr>
              <w:spacing w:line="360" w:lineRule="auto"/>
              <w:rPr>
                <w:rFonts w:ascii="宋体" w:hAnsi="宋体" w:cs="@仿宋_GB2312"/>
                <w:sz w:val="24"/>
              </w:rPr>
            </w:pPr>
            <w:r>
              <w:rPr>
                <w:rFonts w:hint="eastAsia" w:ascii="宋体" w:hAnsi="宋体" w:cs="@仿宋_GB2312"/>
                <w:sz w:val="24"/>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4CA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3F6876A8">
            <w:pPr>
              <w:spacing w:line="360" w:lineRule="auto"/>
              <w:jc w:val="center"/>
              <w:rPr>
                <w:rFonts w:ascii="宋体" w:hAnsi="宋体" w:cs="@仿宋_GB2312"/>
                <w:sz w:val="24"/>
              </w:rPr>
            </w:pPr>
            <w:r>
              <w:rPr>
                <w:rFonts w:hint="eastAsia" w:ascii="宋体" w:hAnsi="宋体" w:cs="@仿宋_GB2312"/>
                <w:sz w:val="24"/>
              </w:rPr>
              <w:t>3</w:t>
            </w:r>
          </w:p>
        </w:tc>
        <w:tc>
          <w:tcPr>
            <w:tcW w:w="747" w:type="pct"/>
            <w:noWrap w:val="0"/>
            <w:vAlign w:val="center"/>
          </w:tcPr>
          <w:p w14:paraId="491441B3">
            <w:pPr>
              <w:spacing w:line="360" w:lineRule="auto"/>
              <w:rPr>
                <w:rFonts w:ascii="宋体" w:hAnsi="宋体" w:cs="@仿宋_GB2312"/>
                <w:sz w:val="24"/>
              </w:rPr>
            </w:pPr>
            <w:r>
              <w:rPr>
                <w:rFonts w:hint="eastAsia" w:ascii="宋体" w:hAnsi="宋体" w:cs="@仿宋_GB2312"/>
                <w:sz w:val="24"/>
              </w:rPr>
              <w:t>工程施工重点难点</w:t>
            </w:r>
          </w:p>
        </w:tc>
        <w:tc>
          <w:tcPr>
            <w:tcW w:w="3689" w:type="pct"/>
            <w:noWrap w:val="0"/>
            <w:vAlign w:val="center"/>
          </w:tcPr>
          <w:p w14:paraId="2A211B0F">
            <w:pPr>
              <w:spacing w:line="360" w:lineRule="auto"/>
              <w:rPr>
                <w:rFonts w:ascii="宋体" w:hAnsi="宋体" w:cs="@仿宋_GB2312"/>
                <w:sz w:val="24"/>
              </w:rPr>
            </w:pPr>
            <w:r>
              <w:rPr>
                <w:rFonts w:hint="eastAsia" w:ascii="宋体" w:hAnsi="宋体" w:eastAsia="宋体" w:cs="@仿宋_GB2312"/>
                <w:sz w:val="24"/>
                <w:lang w:val="en-US" w:eastAsia="zh-CN"/>
              </w:rPr>
              <w:t>包含但不限于电力施工、电力调试、顶管（拖管）施工、工期计划等。</w:t>
            </w:r>
          </w:p>
        </w:tc>
      </w:tr>
      <w:tr w14:paraId="609E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74374F9C">
            <w:pPr>
              <w:spacing w:line="360" w:lineRule="auto"/>
              <w:jc w:val="center"/>
              <w:rPr>
                <w:rFonts w:ascii="宋体" w:hAnsi="宋体" w:cs="@仿宋_GB2312"/>
                <w:sz w:val="24"/>
              </w:rPr>
            </w:pPr>
            <w:r>
              <w:rPr>
                <w:rFonts w:hint="eastAsia" w:ascii="宋体" w:hAnsi="宋体" w:cs="@仿宋_GB2312"/>
                <w:sz w:val="24"/>
              </w:rPr>
              <w:t>4</w:t>
            </w:r>
          </w:p>
        </w:tc>
        <w:tc>
          <w:tcPr>
            <w:tcW w:w="747" w:type="pct"/>
            <w:noWrap w:val="0"/>
            <w:vAlign w:val="center"/>
          </w:tcPr>
          <w:p w14:paraId="30D35FE8">
            <w:pPr>
              <w:spacing w:line="360" w:lineRule="auto"/>
              <w:rPr>
                <w:rFonts w:ascii="宋体" w:hAnsi="宋体" w:cs="@仿宋_GB2312"/>
                <w:sz w:val="24"/>
              </w:rPr>
            </w:pPr>
            <w:r>
              <w:rPr>
                <w:rFonts w:hint="eastAsia" w:ascii="宋体" w:hAnsi="宋体" w:cs="@仿宋_GB2312"/>
                <w:sz w:val="24"/>
              </w:rPr>
              <w:t>报价须知</w:t>
            </w:r>
          </w:p>
        </w:tc>
        <w:tc>
          <w:tcPr>
            <w:tcW w:w="3689" w:type="pct"/>
            <w:noWrap w:val="0"/>
            <w:vAlign w:val="center"/>
          </w:tcPr>
          <w:p w14:paraId="7116D1A1">
            <w:pPr>
              <w:spacing w:line="360" w:lineRule="auto"/>
              <w:rPr>
                <w:rFonts w:ascii="宋体" w:hAnsi="宋体" w:cs="@仿宋_GB2312"/>
                <w:sz w:val="24"/>
              </w:rPr>
            </w:pPr>
            <w:r>
              <w:rPr>
                <w:rFonts w:ascii="宋体" w:hAnsi="宋体" w:cs="@仿宋_GB2312"/>
                <w:bCs/>
                <w:sz w:val="24"/>
                <w:szCs w:val="28"/>
              </w:rPr>
              <w:t>供应商最后报价均不得高于磋商文件（公告）列明的项目预算</w:t>
            </w:r>
            <w:r>
              <w:rPr>
                <w:rFonts w:hint="eastAsia" w:ascii="宋体" w:hAnsi="宋体" w:cs="@仿宋_GB2312"/>
                <w:bCs/>
                <w:sz w:val="24"/>
                <w:szCs w:val="28"/>
              </w:rPr>
              <w:t>、最高投标限价（控制价）</w:t>
            </w:r>
            <w:r>
              <w:rPr>
                <w:rFonts w:ascii="宋体" w:hAnsi="宋体" w:cs="@仿宋_GB2312"/>
                <w:bCs/>
                <w:sz w:val="24"/>
                <w:szCs w:val="28"/>
              </w:rPr>
              <w:t>，否则其响应文件将被认定为响应无效</w:t>
            </w:r>
            <w:r>
              <w:rPr>
                <w:rFonts w:hint="eastAsia" w:ascii="宋体" w:hAnsi="宋体" w:cs="@仿宋_GB2312"/>
                <w:sz w:val="24"/>
              </w:rPr>
              <w:t>。</w:t>
            </w:r>
          </w:p>
        </w:tc>
      </w:tr>
      <w:tr w14:paraId="0BCF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57FB15F7">
            <w:pPr>
              <w:spacing w:line="360" w:lineRule="auto"/>
              <w:jc w:val="center"/>
              <w:rPr>
                <w:rFonts w:ascii="宋体" w:hAnsi="宋体" w:cs="@仿宋_GB2312"/>
                <w:sz w:val="24"/>
              </w:rPr>
            </w:pPr>
            <w:r>
              <w:rPr>
                <w:rFonts w:hint="eastAsia" w:ascii="宋体" w:hAnsi="宋体" w:cs="@仿宋_GB2312"/>
                <w:sz w:val="24"/>
              </w:rPr>
              <w:t>5</w:t>
            </w:r>
          </w:p>
        </w:tc>
        <w:tc>
          <w:tcPr>
            <w:tcW w:w="747" w:type="pct"/>
            <w:noWrap w:val="0"/>
            <w:vAlign w:val="center"/>
          </w:tcPr>
          <w:p w14:paraId="2FF49B3B">
            <w:pPr>
              <w:spacing w:line="360" w:lineRule="auto"/>
              <w:rPr>
                <w:rFonts w:ascii="宋体" w:hAnsi="宋体" w:cs="@仿宋_GB2312"/>
                <w:sz w:val="24"/>
              </w:rPr>
            </w:pPr>
            <w:r>
              <w:rPr>
                <w:rFonts w:hint="eastAsia" w:ascii="宋体" w:hAnsi="宋体" w:cs="@仿宋_GB2312"/>
                <w:sz w:val="24"/>
              </w:rPr>
              <w:t>重要说明</w:t>
            </w:r>
          </w:p>
        </w:tc>
        <w:tc>
          <w:tcPr>
            <w:tcW w:w="3689" w:type="pct"/>
            <w:noWrap w:val="0"/>
            <w:vAlign w:val="center"/>
          </w:tcPr>
          <w:p w14:paraId="5AE36927">
            <w:pPr>
              <w:spacing w:line="360" w:lineRule="auto"/>
              <w:rPr>
                <w:rFonts w:ascii="宋体" w:hAnsi="宋体" w:cs="@仿宋_GB2312"/>
                <w:sz w:val="24"/>
              </w:rPr>
            </w:pPr>
            <w:r>
              <w:rPr>
                <w:rFonts w:hint="eastAsia" w:ascii="宋体" w:hAnsi="宋体" w:cs="@仿宋_GB2312"/>
                <w:sz w:val="24"/>
              </w:rPr>
              <w:t>（1）本项目的磋商文件、工程量清单、最高投标限价（控制价）、澄清、修改、补充等相关资料均通过电子服务系统发布，请供应商自行从网上下载，供应商应当及时查看有无相关澄清、修改、补充等内容。</w:t>
            </w:r>
          </w:p>
          <w:p w14:paraId="720EC64C">
            <w:pPr>
              <w:spacing w:line="360" w:lineRule="auto"/>
              <w:rPr>
                <w:rFonts w:hint="eastAsia" w:ascii="宋体" w:hAnsi="宋体" w:cs="@仿宋_GB2312"/>
                <w:sz w:val="24"/>
              </w:rPr>
            </w:pPr>
            <w:r>
              <w:rPr>
                <w:rFonts w:hint="eastAsia" w:ascii="宋体" w:hAnsi="宋体" w:cs="@仿宋_GB2312"/>
                <w:sz w:val="24"/>
              </w:rPr>
              <w:t>（2）承包人在工程实施过程中用工行为，必须严格执行国家及地方政府的有关规定，依法签订劳动合同，并按规定及时足额支付工资。</w:t>
            </w:r>
          </w:p>
        </w:tc>
      </w:tr>
      <w:tr w14:paraId="577E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44AB0DAB">
            <w:pPr>
              <w:spacing w:line="360" w:lineRule="auto"/>
              <w:jc w:val="center"/>
              <w:rPr>
                <w:rFonts w:ascii="宋体" w:hAnsi="宋体" w:cs="@仿宋_GB2312"/>
                <w:sz w:val="24"/>
              </w:rPr>
            </w:pPr>
            <w:r>
              <w:rPr>
                <w:rFonts w:ascii="宋体" w:hAnsi="宋体" w:cs="@仿宋_GB2312"/>
                <w:sz w:val="24"/>
              </w:rPr>
              <w:t>6</w:t>
            </w:r>
          </w:p>
        </w:tc>
        <w:tc>
          <w:tcPr>
            <w:tcW w:w="747" w:type="pct"/>
            <w:noWrap w:val="0"/>
            <w:vAlign w:val="center"/>
          </w:tcPr>
          <w:p w14:paraId="41C14839">
            <w:pPr>
              <w:spacing w:line="360" w:lineRule="auto"/>
              <w:jc w:val="center"/>
              <w:rPr>
                <w:rFonts w:ascii="宋体" w:hAnsi="宋体" w:cs="@仿宋_GB2312"/>
                <w:sz w:val="24"/>
              </w:rPr>
            </w:pPr>
            <w:r>
              <w:rPr>
                <w:rFonts w:hint="eastAsia" w:ascii="宋体" w:hAnsi="宋体" w:cs="@仿宋_GB2312"/>
                <w:sz w:val="24"/>
              </w:rPr>
              <w:t>项目经理</w:t>
            </w:r>
          </w:p>
        </w:tc>
        <w:tc>
          <w:tcPr>
            <w:tcW w:w="3689" w:type="pct"/>
            <w:noWrap w:val="0"/>
            <w:vAlign w:val="center"/>
          </w:tcPr>
          <w:p w14:paraId="7D516CE3">
            <w:pPr>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详见竞争性磋商公告</w:t>
            </w:r>
          </w:p>
        </w:tc>
      </w:tr>
      <w:tr w14:paraId="5213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0006093A">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7</w:t>
            </w:r>
          </w:p>
        </w:tc>
        <w:tc>
          <w:tcPr>
            <w:tcW w:w="747" w:type="pct"/>
            <w:noWrap w:val="0"/>
            <w:vAlign w:val="center"/>
          </w:tcPr>
          <w:p w14:paraId="159314AB">
            <w:pPr>
              <w:spacing w:line="360" w:lineRule="auto"/>
              <w:jc w:val="center"/>
              <w:rPr>
                <w:rFonts w:ascii="宋体" w:hAnsi="宋体" w:cs="@仿宋_GB2312"/>
                <w:bCs/>
                <w:sz w:val="24"/>
                <w:szCs w:val="28"/>
              </w:rPr>
            </w:pPr>
            <w:r>
              <w:rPr>
                <w:rFonts w:hint="eastAsia" w:ascii="宋体" w:hAnsi="宋体" w:cs="@仿宋_GB2312"/>
                <w:bCs/>
                <w:sz w:val="24"/>
                <w:szCs w:val="28"/>
              </w:rPr>
              <w:t>工程量清单、图纸</w:t>
            </w:r>
          </w:p>
        </w:tc>
        <w:tc>
          <w:tcPr>
            <w:tcW w:w="3689" w:type="pct"/>
            <w:noWrap w:val="0"/>
            <w:vAlign w:val="center"/>
          </w:tcPr>
          <w:p w14:paraId="5D356A65">
            <w:pPr>
              <w:spacing w:line="360" w:lineRule="auto"/>
              <w:jc w:val="left"/>
              <w:rPr>
                <w:rFonts w:hint="default" w:ascii="宋体" w:hAnsi="宋体" w:eastAsia="宋体" w:cs="@仿宋_GB2312"/>
                <w:sz w:val="24"/>
                <w:lang w:val="en-US" w:eastAsia="zh-CN"/>
              </w:rPr>
            </w:pPr>
            <w:r>
              <w:rPr>
                <w:rFonts w:hint="eastAsia" w:ascii="宋体" w:hAnsi="宋体" w:eastAsia="宋体" w:cs="@仿宋_GB2312"/>
                <w:sz w:val="24"/>
                <w:lang w:val="en-US" w:eastAsia="zh-CN"/>
              </w:rPr>
              <w:t>详见附件</w:t>
            </w:r>
          </w:p>
        </w:tc>
      </w:tr>
      <w:tr w14:paraId="077D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2C10BCD1">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8</w:t>
            </w:r>
          </w:p>
        </w:tc>
        <w:tc>
          <w:tcPr>
            <w:tcW w:w="747" w:type="pct"/>
            <w:noWrap w:val="0"/>
            <w:vAlign w:val="center"/>
          </w:tcPr>
          <w:p w14:paraId="672068AD">
            <w:pPr>
              <w:spacing w:line="360" w:lineRule="auto"/>
              <w:jc w:val="center"/>
              <w:rPr>
                <w:rFonts w:hint="default" w:ascii="宋体" w:hAnsi="宋体" w:eastAsia="宋体" w:cs="@仿宋_GB2312"/>
                <w:bCs/>
                <w:sz w:val="24"/>
                <w:szCs w:val="28"/>
                <w:lang w:val="en-US" w:eastAsia="zh-CN"/>
              </w:rPr>
            </w:pPr>
            <w:r>
              <w:rPr>
                <w:rFonts w:hint="eastAsia" w:ascii="宋体" w:hAnsi="宋体" w:cs="@仿宋_GB2312"/>
                <w:bCs/>
                <w:sz w:val="24"/>
                <w:szCs w:val="28"/>
                <w:lang w:val="en-US" w:eastAsia="zh-CN"/>
              </w:rPr>
              <w:t>本项目采购标的</w:t>
            </w:r>
          </w:p>
        </w:tc>
        <w:tc>
          <w:tcPr>
            <w:tcW w:w="3689" w:type="pct"/>
            <w:noWrap w:val="0"/>
            <w:vAlign w:val="center"/>
          </w:tcPr>
          <w:p w14:paraId="2C544638">
            <w:pPr>
              <w:spacing w:line="360" w:lineRule="auto"/>
              <w:jc w:val="left"/>
              <w:rPr>
                <w:rFonts w:ascii="宋体" w:hAnsi="宋体" w:cs="@仿宋_GB2312"/>
                <w:b/>
                <w:bCs/>
                <w:sz w:val="24"/>
              </w:rPr>
            </w:pPr>
            <w:r>
              <w:rPr>
                <w:rFonts w:hint="eastAsia" w:ascii="宋体" w:hAnsi="宋体" w:cs="@仿宋_GB2312"/>
                <w:sz w:val="24"/>
              </w:rPr>
              <w:t>安徽国际商务职业学院风雨操场及10#、11#学生公寓供电工程</w:t>
            </w:r>
          </w:p>
        </w:tc>
      </w:tr>
      <w:tr w14:paraId="6B6B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37CDB728">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9</w:t>
            </w:r>
          </w:p>
        </w:tc>
        <w:tc>
          <w:tcPr>
            <w:tcW w:w="747" w:type="pct"/>
            <w:noWrap w:val="0"/>
            <w:vAlign w:val="center"/>
          </w:tcPr>
          <w:p w14:paraId="769B4BFC">
            <w:pPr>
              <w:spacing w:line="360" w:lineRule="auto"/>
              <w:jc w:val="center"/>
              <w:rPr>
                <w:rFonts w:ascii="宋体" w:hAnsi="宋体" w:cs="@仿宋_GB2312"/>
                <w:bCs/>
                <w:kern w:val="2"/>
                <w:sz w:val="24"/>
                <w:szCs w:val="28"/>
                <w:lang w:val="en-US" w:eastAsia="zh-CN" w:bidi="ar-SA"/>
              </w:rPr>
            </w:pPr>
            <w:r>
              <w:rPr>
                <w:rFonts w:hint="eastAsia" w:ascii="宋体" w:hAnsi="宋体" w:cs="@仿宋_GB2312"/>
                <w:bCs/>
                <w:sz w:val="24"/>
                <w:szCs w:val="28"/>
              </w:rPr>
              <w:t>本项目采购标的所属行业</w:t>
            </w:r>
          </w:p>
        </w:tc>
        <w:tc>
          <w:tcPr>
            <w:tcW w:w="3689" w:type="pct"/>
            <w:noWrap w:val="0"/>
            <w:vAlign w:val="center"/>
          </w:tcPr>
          <w:p w14:paraId="363F9ADF">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建筑业</w:t>
            </w:r>
          </w:p>
        </w:tc>
      </w:tr>
      <w:tr w14:paraId="2546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14:paraId="703BB99D">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10</w:t>
            </w:r>
          </w:p>
        </w:tc>
        <w:tc>
          <w:tcPr>
            <w:tcW w:w="747" w:type="pct"/>
            <w:noWrap w:val="0"/>
            <w:vAlign w:val="center"/>
          </w:tcPr>
          <w:p w14:paraId="73093E5E">
            <w:pPr>
              <w:spacing w:line="360" w:lineRule="auto"/>
              <w:jc w:val="center"/>
              <w:rPr>
                <w:rFonts w:hint="eastAsia" w:ascii="宋体" w:hAnsi="宋体" w:cs="@仿宋_GB2312"/>
                <w:kern w:val="2"/>
                <w:sz w:val="24"/>
                <w:szCs w:val="24"/>
                <w:lang w:val="en-US" w:eastAsia="zh-CN" w:bidi="ar-SA"/>
              </w:rPr>
            </w:pPr>
            <w:r>
              <w:rPr>
                <w:rFonts w:hint="eastAsia" w:ascii="宋体" w:hAnsi="宋体" w:cs="@仿宋_GB2312"/>
                <w:sz w:val="24"/>
              </w:rPr>
              <w:t>其他</w:t>
            </w:r>
          </w:p>
        </w:tc>
        <w:tc>
          <w:tcPr>
            <w:tcW w:w="3689" w:type="pct"/>
            <w:noWrap w:val="0"/>
            <w:vAlign w:val="center"/>
          </w:tcPr>
          <w:p w14:paraId="4F7CE247">
            <w:pPr>
              <w:spacing w:line="360" w:lineRule="auto"/>
              <w:jc w:val="both"/>
              <w:rPr>
                <w:rFonts w:hint="default" w:ascii="宋体" w:hAnsi="宋体" w:cs="@仿宋_GB2312"/>
                <w:bCs/>
                <w:kern w:val="2"/>
                <w:sz w:val="24"/>
                <w:szCs w:val="28"/>
                <w:lang w:val="en-US" w:eastAsia="zh-CN" w:bidi="ar-SA"/>
              </w:rPr>
            </w:pPr>
            <w:r>
              <w:rPr>
                <w:rFonts w:hint="eastAsia" w:ascii="宋体" w:hAnsi="宋体" w:cs="@仿宋_GB2312"/>
                <w:bCs/>
                <w:kern w:val="2"/>
                <w:sz w:val="24"/>
                <w:szCs w:val="28"/>
                <w:lang w:val="en-US" w:eastAsia="zh-CN" w:bidi="ar-SA"/>
              </w:rPr>
              <w:t>/</w:t>
            </w:r>
          </w:p>
        </w:tc>
      </w:tr>
    </w:tbl>
    <w:p w14:paraId="2DFCBB52">
      <w:pPr>
        <w:numPr>
          <w:ilvl w:val="0"/>
          <w:numId w:val="0"/>
        </w:numPr>
        <w:spacing w:line="360" w:lineRule="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一、项目概况</w:t>
      </w:r>
    </w:p>
    <w:p w14:paraId="6FCF7F03">
      <w:pPr>
        <w:numPr>
          <w:ilvl w:val="0"/>
          <w:numId w:val="0"/>
        </w:numPr>
        <w:spacing w:line="360" w:lineRule="auto"/>
        <w:ind w:firstLine="480" w:firstLineChars="200"/>
        <w:rPr>
          <w:rFonts w:hint="default" w:ascii="宋体" w:hAnsi="宋体" w:eastAsia="宋体" w:cs="@仿宋_GB2312"/>
          <w:sz w:val="24"/>
          <w:lang w:val="en-US" w:eastAsia="zh-CN"/>
        </w:rPr>
      </w:pPr>
      <w:r>
        <w:rPr>
          <w:rFonts w:hint="default" w:ascii="宋体" w:hAnsi="宋体" w:eastAsia="宋体" w:cs="@仿宋_GB2312"/>
          <w:sz w:val="24"/>
          <w:lang w:val="en-US" w:eastAsia="zh-CN"/>
        </w:rPr>
        <w:t>安徽国际商务职业学院风雨操场及10#、11#学生公寓供电工程包含对风雨操场及10#、11#学生公寓供电线路接入、中心配电房部分电路调整等内容。详见据图纸及清单控制价等。</w:t>
      </w:r>
    </w:p>
    <w:p w14:paraId="6005654E">
      <w:pPr>
        <w:numPr>
          <w:ilvl w:val="0"/>
          <w:numId w:val="0"/>
        </w:numPr>
        <w:spacing w:line="360" w:lineRule="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二、报价要求</w:t>
      </w:r>
    </w:p>
    <w:p w14:paraId="05192F99">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1、磋商前任何单位和个人均不得擅自修改招标工程量清单内容。</w:t>
      </w:r>
    </w:p>
    <w:p w14:paraId="7BBA6F82">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2、本工程（如有）预留金详见清单控制价，投标供应商必须将该费用单列在响应报价中，不计规费但计入税金。</w:t>
      </w:r>
    </w:p>
    <w:p w14:paraId="19BC5C14">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3、建设工程不可竞争费构成及计费标准按《关于贯彻执行&lt;2018版安徽省建设工程计价依据动态调整（第1期）&gt;的通知》（合建监管〔2024〕13号）执行，本工程最高投标限价（招标控制价）已按规定的措施项目、费率和单价列出招标工程施工扬尘污染防治费用和建筑工人实名制管理费用清单，供应商应承诺报价中已包含磋商文件公布的施工扬尘污染防治费用和建筑工人实名制管理费用。</w:t>
      </w:r>
    </w:p>
    <w:p w14:paraId="5DA8620E">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4、对响应报价中分部分项工程综合单价、主要材料价格、人工费（含工日数量及工日单价）、机械费以及规费等未按照工程量清单计价规范要求计价的，可作为无效响应。（如：响应报价中分部分项清单综合单价低于主材价格等情况，做作为无效投标）</w:t>
      </w:r>
    </w:p>
    <w:p w14:paraId="4F811B8B">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5、成交供应商须根据采购方要求和施工图纸进行施工，如有疑问，须在成交后3日内与建设单位沟通。成交供应商必须注意现场成品保护，如有损坏请自行维修，后期不再另行计算，并保证在规定工期内完成本项工程。</w:t>
      </w:r>
    </w:p>
    <w:p w14:paraId="07BBA049">
      <w:pPr>
        <w:numPr>
          <w:ilvl w:val="0"/>
          <w:numId w:val="0"/>
        </w:numPr>
        <w:spacing w:line="360" w:lineRule="auto"/>
        <w:ind w:firstLine="480" w:firstLineChars="200"/>
        <w:rPr>
          <w:rFonts w:hint="eastAsia" w:ascii="宋体" w:hAnsi="宋体" w:eastAsia="宋体" w:cs="@仿宋_GB2312"/>
          <w:sz w:val="24"/>
          <w:lang w:val="en-US" w:eastAsia="zh-CN"/>
        </w:rPr>
      </w:pPr>
    </w:p>
    <w:p w14:paraId="77ECB5A4">
      <w:pPr>
        <w:numPr>
          <w:ilvl w:val="0"/>
          <w:numId w:val="1"/>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sz w:val="24"/>
          <w:lang w:val="en-US" w:eastAsia="zh-CN"/>
        </w:rPr>
        <w:t>本工程为“</w:t>
      </w:r>
      <w:r>
        <w:rPr>
          <w:rFonts w:hint="eastAsia" w:ascii="宋体" w:hAnsi="宋体" w:eastAsia="宋体" w:cs="@仿宋_GB2312"/>
          <w:color w:val="auto"/>
          <w:sz w:val="24"/>
          <w:lang w:val="en-US" w:eastAsia="zh-CN"/>
        </w:rPr>
        <w:t>交钥匙”工程，投标供应商自行考虑与本工程有关的试验、检测、现场勘测、调试及联合验收等费用，成交供应商不得再向发包人收取其他任何费用。</w:t>
      </w:r>
    </w:p>
    <w:p w14:paraId="704A3424">
      <w:pPr>
        <w:numPr>
          <w:ilvl w:val="0"/>
          <w:numId w:val="1"/>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磋商响应报价应考虑临时设施的拆除、及其拆除后建筑垃圾外运等费用，做到工程竣工时“工完、料尽、场地清”。供应商应认真详细勘察现场，因场地限制，不具备材料堆场、搭设加工区、搭设办公区、搭设生活区的，供应商在投标报价中充分考虑，成交以后不再调整。</w:t>
      </w:r>
    </w:p>
    <w:p w14:paraId="07D070E9">
      <w:pPr>
        <w:numPr>
          <w:ilvl w:val="0"/>
          <w:numId w:val="1"/>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本项目若由成交供应商自身原因导致工程延期，每延期目标工期1天，每日扣除合同价款的千分之五违约金，并承担由此导致学生未能按时入住而产生的相应住宿、交通等费用及延误工期造成监理增加费用。</w:t>
      </w:r>
    </w:p>
    <w:p w14:paraId="231AD7EB">
      <w:pPr>
        <w:numPr>
          <w:ilvl w:val="0"/>
          <w:numId w:val="0"/>
        </w:numPr>
        <w:spacing w:line="360" w:lineRule="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三、其他要求</w:t>
      </w:r>
    </w:p>
    <w:p w14:paraId="03990E43">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1、人员到岗及履约要求</w:t>
      </w:r>
    </w:p>
    <w:p w14:paraId="5A3CDF9F">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1）供应商一旦成交，磋商时所报的本项目的项目经理、施工现场技术负责人、各专业负责工程师等在整个项目施工期内必须在位，否则采购人有权终止合同。由此造成的损失，成交供应商自行承担并赔偿可能给采购人造成的损失。 </w:t>
      </w:r>
    </w:p>
    <w:p w14:paraId="08F9A298">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 </w:t>
      </w:r>
    </w:p>
    <w:p w14:paraId="70C361C6">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 </w:t>
      </w:r>
    </w:p>
    <w:p w14:paraId="564EDB39">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2、材料要求</w:t>
      </w:r>
    </w:p>
    <w:p w14:paraId="0787AE76">
      <w:pPr>
        <w:numPr>
          <w:ilvl w:val="0"/>
          <w:numId w:val="0"/>
        </w:numPr>
        <w:spacing w:line="360" w:lineRule="auto"/>
        <w:ind w:firstLine="480" w:firstLineChars="200"/>
        <w:rPr>
          <w:rFonts w:hint="eastAsia" w:ascii="宋体" w:hAnsi="宋体" w:eastAsia="宋体" w:cs="@仿宋_GB2312"/>
          <w:sz w:val="24"/>
          <w:lang w:val="en-US" w:eastAsia="zh-CN"/>
        </w:rPr>
      </w:pPr>
      <w:r>
        <w:rPr>
          <w:rFonts w:hint="eastAsia" w:ascii="宋体" w:hAnsi="宋体" w:eastAsia="宋体" w:cs="@仿宋_GB2312"/>
          <w:sz w:val="24"/>
          <w:lang w:val="en-US" w:eastAsia="zh-CN"/>
        </w:rPr>
        <w:t xml:space="preserve">（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47F7A9DF">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sz w:val="24"/>
          <w:lang w:val="en-US" w:eastAsia="zh-CN"/>
        </w:rPr>
        <w:t>（2）如本项目采购人对工程质量有特殊需求的，</w:t>
      </w:r>
      <w:r>
        <w:rPr>
          <w:rFonts w:hint="eastAsia" w:ascii="宋体" w:hAnsi="宋体" w:eastAsia="宋体" w:cs="@仿宋_GB2312"/>
          <w:color w:val="auto"/>
          <w:sz w:val="24"/>
          <w:lang w:val="en-US" w:eastAsia="zh-CN"/>
        </w:rPr>
        <w:t>对主要设备及材料提供不少于三个的参考品牌，对于采购人参考品牌的材料，供应商可选用参考品牌（仅供参考）或相当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7D83FBCD">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 xml:space="preserve">（3）对于采购人参考品牌的材料，供应商如认为参考品牌有限定性、唯一性、明显不在同一档次等级的或者其他异议的，应在本项目网上询问截止时间前通过电子交易系统提交。 </w:t>
      </w:r>
    </w:p>
    <w:p w14:paraId="6A821334">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3、重要说明</w:t>
      </w:r>
    </w:p>
    <w:p w14:paraId="1BBF0C01">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（1）在工程项目磋商过程中，供应商最后报价明显缺乏竞争性的，磋商小组可以否决其报价。</w:t>
      </w:r>
    </w:p>
    <w:p w14:paraId="6C6E0416">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（2）承包人在工程实施过程中用工行为，必须严格执行国家及地方政府的有关规定，依法签订劳动合同，并按规定及时足额支付工资。</w:t>
      </w:r>
    </w:p>
    <w:p w14:paraId="7EA6ADD7">
      <w:pPr>
        <w:numPr>
          <w:ilvl w:val="0"/>
          <w:numId w:val="0"/>
        </w:numPr>
        <w:spacing w:line="360" w:lineRule="auto"/>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四、清单控制价</w:t>
      </w:r>
    </w:p>
    <w:p w14:paraId="4C1479D7">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1、本工程在发放工程量清单、控制价后，如投标供应商认为数据有误，可在开标前按疑问提交时限要求以书面提出。</w:t>
      </w:r>
    </w:p>
    <w:p w14:paraId="4B935BD4">
      <w:pPr>
        <w:numPr>
          <w:ilvl w:val="0"/>
          <w:numId w:val="0"/>
        </w:numPr>
        <w:spacing w:line="360" w:lineRule="auto"/>
        <w:ind w:firstLine="480" w:firstLineChars="200"/>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2、投标供应商应对工程量清单和控制价等数据进行复核，如认为数据错误等疑问，应在开标前规定提交时限内以书面提出。如投标供应商未提出相关书面异议，视同认可工程量清单和控制价编制合理，中标后，投标供应商应按其报价完成招标范围和图纸内的全部内容，不得以工程量清单和控制价编制存在误差或者不合理提出各种形式的索赔。</w:t>
      </w:r>
    </w:p>
    <w:p w14:paraId="1D533F8D">
      <w:pPr>
        <w:numPr>
          <w:ilvl w:val="0"/>
          <w:numId w:val="0"/>
        </w:numPr>
        <w:spacing w:line="360" w:lineRule="auto"/>
        <w:jc w:val="center"/>
        <w:rPr>
          <w:rFonts w:hint="default"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参考品牌表（仅供参考）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794"/>
        <w:gridCol w:w="5096"/>
        <w:gridCol w:w="857"/>
      </w:tblGrid>
      <w:tr w14:paraId="307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top"/>
          </w:tcPr>
          <w:p w14:paraId="66EE3AA6">
            <w:pPr>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序号</w:t>
            </w:r>
          </w:p>
        </w:tc>
        <w:tc>
          <w:tcPr>
            <w:tcW w:w="2034" w:type="dxa"/>
            <w:noWrap w:val="0"/>
            <w:vAlign w:val="top"/>
          </w:tcPr>
          <w:p w14:paraId="5192A844">
            <w:pPr>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材料名称</w:t>
            </w:r>
          </w:p>
        </w:tc>
        <w:tc>
          <w:tcPr>
            <w:tcW w:w="6029" w:type="dxa"/>
            <w:noWrap w:val="0"/>
            <w:vAlign w:val="top"/>
          </w:tcPr>
          <w:p w14:paraId="5DCCD026">
            <w:pPr>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参考品牌</w:t>
            </w:r>
          </w:p>
        </w:tc>
        <w:tc>
          <w:tcPr>
            <w:tcW w:w="945" w:type="dxa"/>
            <w:noWrap w:val="0"/>
            <w:vAlign w:val="top"/>
          </w:tcPr>
          <w:p w14:paraId="73D675A8">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备注</w:t>
            </w:r>
          </w:p>
        </w:tc>
      </w:tr>
      <w:tr w14:paraId="7A77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14:paraId="61C05D9C">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1</w:t>
            </w:r>
          </w:p>
        </w:tc>
        <w:tc>
          <w:tcPr>
            <w:tcW w:w="2034" w:type="dxa"/>
            <w:noWrap w:val="0"/>
            <w:vAlign w:val="center"/>
          </w:tcPr>
          <w:p w14:paraId="38EDBB5D">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高低压成套及配电箱成套</w:t>
            </w:r>
          </w:p>
        </w:tc>
        <w:tc>
          <w:tcPr>
            <w:tcW w:w="6029" w:type="dxa"/>
            <w:noWrap w:val="0"/>
            <w:vAlign w:val="center"/>
          </w:tcPr>
          <w:p w14:paraId="7AACF90B">
            <w:pPr>
              <w:spacing w:line="360" w:lineRule="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广州白云、安徽嘉扬、安徽鸿鑫、北京双杰、安徽中电兴发与鑫龙、安徽索特、合肥良信、人民电气</w:t>
            </w:r>
          </w:p>
        </w:tc>
        <w:tc>
          <w:tcPr>
            <w:tcW w:w="945" w:type="dxa"/>
            <w:noWrap w:val="0"/>
            <w:vAlign w:val="center"/>
          </w:tcPr>
          <w:p w14:paraId="0D606D9C">
            <w:pPr>
              <w:spacing w:line="360" w:lineRule="auto"/>
              <w:rPr>
                <w:rFonts w:hint="eastAsia" w:ascii="宋体" w:hAnsi="宋体" w:eastAsia="宋体" w:cs="@仿宋_GB2312"/>
                <w:color w:val="auto"/>
                <w:sz w:val="24"/>
                <w:lang w:val="en-US" w:eastAsia="zh-CN"/>
              </w:rPr>
            </w:pPr>
          </w:p>
        </w:tc>
      </w:tr>
      <w:tr w14:paraId="23A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14:paraId="290F6174">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2</w:t>
            </w:r>
          </w:p>
        </w:tc>
        <w:tc>
          <w:tcPr>
            <w:tcW w:w="2034" w:type="dxa"/>
            <w:noWrap w:val="0"/>
            <w:vAlign w:val="center"/>
          </w:tcPr>
          <w:p w14:paraId="627FB247">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10KV固封真空断路器</w:t>
            </w:r>
          </w:p>
        </w:tc>
        <w:tc>
          <w:tcPr>
            <w:tcW w:w="6029" w:type="dxa"/>
            <w:noWrap w:val="0"/>
            <w:vAlign w:val="center"/>
          </w:tcPr>
          <w:p w14:paraId="3F991AA8">
            <w:pPr>
              <w:spacing w:line="360" w:lineRule="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ABB、罗格朗、施耐德、上海人民、常熟开关、泰永长征</w:t>
            </w:r>
          </w:p>
        </w:tc>
        <w:tc>
          <w:tcPr>
            <w:tcW w:w="945" w:type="dxa"/>
            <w:noWrap w:val="0"/>
            <w:vAlign w:val="center"/>
          </w:tcPr>
          <w:p w14:paraId="66E40B24">
            <w:pPr>
              <w:spacing w:line="360" w:lineRule="auto"/>
              <w:rPr>
                <w:rFonts w:hint="eastAsia" w:ascii="宋体" w:hAnsi="宋体" w:eastAsia="宋体" w:cs="@仿宋_GB2312"/>
                <w:color w:val="auto"/>
                <w:sz w:val="24"/>
                <w:lang w:val="en-US" w:eastAsia="zh-CN"/>
              </w:rPr>
            </w:pPr>
          </w:p>
        </w:tc>
      </w:tr>
      <w:tr w14:paraId="70BA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14:paraId="30897599">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3</w:t>
            </w:r>
          </w:p>
        </w:tc>
        <w:tc>
          <w:tcPr>
            <w:tcW w:w="2034" w:type="dxa"/>
            <w:noWrap w:val="0"/>
            <w:vAlign w:val="center"/>
          </w:tcPr>
          <w:p w14:paraId="2ACFA751">
            <w:pPr>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多功能仪表及能耗监测</w:t>
            </w:r>
          </w:p>
        </w:tc>
        <w:tc>
          <w:tcPr>
            <w:tcW w:w="6029" w:type="dxa"/>
            <w:noWrap w:val="0"/>
            <w:vAlign w:val="center"/>
          </w:tcPr>
          <w:p w14:paraId="228FC43E">
            <w:pPr>
              <w:spacing w:line="360" w:lineRule="auto"/>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广州汉光、无锡格策、南京天溯、深圳亿玛信诺、上海勃继、安科瑞、派诺、青岛鼎信、施耐德</w:t>
            </w:r>
          </w:p>
        </w:tc>
        <w:tc>
          <w:tcPr>
            <w:tcW w:w="945" w:type="dxa"/>
            <w:noWrap w:val="0"/>
            <w:vAlign w:val="center"/>
          </w:tcPr>
          <w:p w14:paraId="148A8668">
            <w:pPr>
              <w:spacing w:line="360" w:lineRule="auto"/>
              <w:rPr>
                <w:rFonts w:hint="eastAsia" w:ascii="宋体" w:hAnsi="宋体" w:eastAsia="宋体" w:cs="@仿宋_GB2312"/>
                <w:color w:val="auto"/>
                <w:sz w:val="24"/>
                <w:lang w:val="en-US" w:eastAsia="zh-CN"/>
              </w:rPr>
            </w:pPr>
          </w:p>
        </w:tc>
      </w:tr>
      <w:tr w14:paraId="21F4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14:paraId="6C6336B9">
            <w:pPr>
              <w:spacing w:line="360" w:lineRule="auto"/>
              <w:jc w:val="center"/>
              <w:rPr>
                <w:rFonts w:hint="eastAsia" w:ascii="宋体" w:hAnsi="宋体" w:eastAsia="宋体" w:cs="@仿宋_GB2312"/>
                <w:sz w:val="24"/>
                <w:lang w:val="en-US" w:eastAsia="zh-CN"/>
              </w:rPr>
            </w:pPr>
            <w:r>
              <w:rPr>
                <w:rFonts w:hint="eastAsia" w:ascii="宋体" w:hAnsi="宋体" w:eastAsia="宋体" w:cs="@仿宋_GB2312"/>
                <w:sz w:val="24"/>
                <w:lang w:val="en-US" w:eastAsia="zh-CN"/>
              </w:rPr>
              <w:t>4</w:t>
            </w:r>
          </w:p>
        </w:tc>
        <w:tc>
          <w:tcPr>
            <w:tcW w:w="2034" w:type="dxa"/>
            <w:noWrap w:val="0"/>
            <w:vAlign w:val="center"/>
          </w:tcPr>
          <w:p w14:paraId="0DCF6013">
            <w:pPr>
              <w:spacing w:line="360" w:lineRule="auto"/>
              <w:jc w:val="center"/>
              <w:rPr>
                <w:rFonts w:hint="eastAsia" w:ascii="宋体" w:hAnsi="宋体" w:eastAsia="宋体" w:cs="@仿宋_GB2312"/>
                <w:sz w:val="24"/>
                <w:lang w:val="en-US" w:eastAsia="zh-CN"/>
              </w:rPr>
            </w:pPr>
            <w:r>
              <w:rPr>
                <w:rFonts w:hint="eastAsia" w:ascii="宋体" w:hAnsi="宋体" w:eastAsia="宋体" w:cs="@仿宋_GB2312"/>
                <w:sz w:val="24"/>
                <w:lang w:val="en-US" w:eastAsia="zh-CN"/>
              </w:rPr>
              <w:t>电线电缆</w:t>
            </w:r>
          </w:p>
        </w:tc>
        <w:tc>
          <w:tcPr>
            <w:tcW w:w="6029" w:type="dxa"/>
            <w:noWrap w:val="0"/>
            <w:vAlign w:val="center"/>
          </w:tcPr>
          <w:p w14:paraId="08C2F722">
            <w:pPr>
              <w:spacing w:line="360" w:lineRule="auto"/>
              <w:rPr>
                <w:rFonts w:hint="eastAsia" w:ascii="宋体" w:hAnsi="宋体" w:eastAsia="宋体" w:cs="@仿宋_GB2312"/>
                <w:sz w:val="24"/>
                <w:lang w:val="en-US" w:eastAsia="zh-CN"/>
              </w:rPr>
            </w:pPr>
            <w:r>
              <w:rPr>
                <w:rFonts w:hint="eastAsia" w:ascii="宋体" w:hAnsi="宋体" w:eastAsia="宋体" w:cs="@仿宋_GB2312"/>
                <w:sz w:val="24"/>
                <w:lang w:val="en-US" w:eastAsia="zh-CN"/>
              </w:rPr>
              <w:t>无锡远东、江苏上上、江苏宝胜、纵横高科、绿宝、无锡江南、安徽睿欣、青岛汉缆、特变电工（新疆）、中天科技、亨通光电</w:t>
            </w:r>
          </w:p>
        </w:tc>
        <w:tc>
          <w:tcPr>
            <w:tcW w:w="945" w:type="dxa"/>
            <w:noWrap w:val="0"/>
            <w:vAlign w:val="center"/>
          </w:tcPr>
          <w:p w14:paraId="52F2B564">
            <w:pPr>
              <w:spacing w:line="360" w:lineRule="auto"/>
              <w:rPr>
                <w:rFonts w:hint="eastAsia" w:ascii="宋体" w:hAnsi="宋体" w:eastAsia="宋体" w:cs="@仿宋_GB2312"/>
                <w:sz w:val="24"/>
                <w:lang w:val="en-US" w:eastAsia="zh-CN"/>
              </w:rPr>
            </w:pPr>
          </w:p>
        </w:tc>
      </w:tr>
    </w:tbl>
    <w:p w14:paraId="26F6CB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E9D53"/>
    <w:multiLevelType w:val="singleLevel"/>
    <w:tmpl w:val="6F0E9D5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7631E"/>
    <w:rsid w:val="7877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2025-07-07T12:27:00Z</dcterms:created>
  <dc:creator>贞子的小女儿</dc:creator>
  <cp:lastModifiedBy>贞子的小女儿</cp:lastModifiedBy>
  <dcterms:modified xsi:type="dcterms:W3CDTF">2025-07-07T12:28:23Z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7730A42DC345491D824F6446C3B16707_11</vt:lpwstr>
  </property>
  <property fmtid="{D5CDD505-2E9C-101B-9397-08002B2CF9AE}" pid="4" name="KSOTemplateDocerSaveRecord">
    <vt:lpwstr>eyJoZGlkIjoiZGUxNDkwOGRhYjQwY2FkYjE0ODc4ZjJiZmU0ZGQ0MDYiLCJ1c2VySWQiOiIyODkwNDAzNDUifQ==</vt:lpwstr>
  </property>
</Properties>
</file>