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F692">
      <w:pPr>
        <w:jc w:val="center"/>
        <w:rPr>
          <w:rFonts w:hint="eastAsia" w:ascii="方正小标宋_GBK" w:hAnsi="方正小标宋_GBK" w:eastAsia="方正小标宋_GBK" w:cs="方正小标宋_GBK"/>
          <w:color w:val="auto"/>
          <w:kern w:val="44"/>
          <w:sz w:val="44"/>
          <w:szCs w:val="44"/>
        </w:rPr>
      </w:pPr>
      <w:r>
        <w:rPr>
          <w:rStyle w:val="13"/>
          <w:rFonts w:hint="eastAsia"/>
          <w:color w:val="auto"/>
        </w:rPr>
        <w:t xml:space="preserve"> 采购需求</w:t>
      </w:r>
      <w:bookmarkStart w:id="17" w:name="_GoBack"/>
      <w:bookmarkEnd w:id="17"/>
    </w:p>
    <w:p w14:paraId="798C4083">
      <w:pPr>
        <w:spacing w:line="360" w:lineRule="auto"/>
        <w:rPr>
          <w:rFonts w:hint="eastAsia" w:ascii="宋体" w:hAnsi="宋体"/>
          <w:b/>
          <w:color w:val="auto"/>
        </w:rPr>
      </w:pPr>
      <w:r>
        <w:rPr>
          <w:rFonts w:hint="eastAsia" w:ascii="宋体" w:hAnsi="宋体"/>
          <w:b/>
          <w:color w:val="auto"/>
        </w:rPr>
        <w:t>前注：</w:t>
      </w:r>
    </w:p>
    <w:p w14:paraId="1493DD00">
      <w:pPr>
        <w:spacing w:line="360" w:lineRule="auto"/>
        <w:ind w:firstLine="435"/>
        <w:rPr>
          <w:rFonts w:hint="eastAsia" w:ascii="宋体" w:hAnsi="宋体" w:cs="宋体"/>
          <w:color w:val="auto"/>
          <w:szCs w:val="18"/>
        </w:rPr>
      </w:pPr>
      <w:bookmarkStart w:id="0" w:name="_Hlk16461016"/>
      <w:r>
        <w:rPr>
          <w:rFonts w:hint="eastAsia" w:ascii="宋体" w:hAnsi="宋体" w:cs="宋体"/>
          <w:color w:val="auto"/>
        </w:rPr>
        <w:t>1.</w:t>
      </w:r>
      <w:r>
        <w:rPr>
          <w:rFonts w:hint="eastAsia" w:ascii="宋体" w:hAnsi="宋体" w:cs="宋体"/>
          <w:color w:val="auto"/>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1ADE9928">
      <w:pPr>
        <w:spacing w:line="360" w:lineRule="auto"/>
        <w:ind w:firstLine="435"/>
        <w:rPr>
          <w:rFonts w:hint="default" w:ascii="宋体" w:hAnsi="宋体" w:eastAsia="宋体" w:cs="宋体"/>
          <w:color w:val="auto"/>
          <w:szCs w:val="18"/>
          <w:highlight w:val="none"/>
          <w:lang w:val="en-US" w:eastAsia="zh-CN"/>
        </w:rPr>
      </w:pPr>
      <w:r>
        <w:rPr>
          <w:rFonts w:hint="eastAsia" w:ascii="宋体" w:hAnsi="宋体" w:cs="宋体"/>
          <w:color w:val="auto"/>
          <w:szCs w:val="18"/>
          <w:highlight w:val="none"/>
        </w:rPr>
        <w:t>2.</w:t>
      </w:r>
      <w:r>
        <w:rPr>
          <w:rFonts w:hint="eastAsia" w:ascii="宋体" w:hAnsi="宋体" w:cs="宋体"/>
          <w:color w:val="auto"/>
          <w:szCs w:val="18"/>
          <w:highlight w:val="none"/>
          <w:lang w:val="en-US" w:eastAsia="zh-CN"/>
        </w:rPr>
        <w:t>本技术规格中提及的工艺、材料、设备的标准、参数及参考品牌或型号（如有）仅起说明作用，并没有强制性且为本次采购的最低要求。投标人在投标中可以采用替代工艺、材料、设备的标准及品牌或型号，但这种替代应满足、等同或优于本技术规格的要求，否则评委在评审时有权作出不利于投标人的判定。</w:t>
      </w:r>
    </w:p>
    <w:p w14:paraId="079202C6">
      <w:pPr>
        <w:spacing w:line="360" w:lineRule="auto"/>
        <w:ind w:firstLine="435"/>
        <w:rPr>
          <w:rFonts w:hint="eastAsia" w:ascii="宋体" w:hAnsi="宋体" w:cs="宋体"/>
          <w:color w:val="auto"/>
          <w:szCs w:val="18"/>
        </w:rPr>
      </w:pPr>
      <w:r>
        <w:rPr>
          <w:rFonts w:hint="eastAsia" w:ascii="宋体" w:hAnsi="宋体" w:cs="宋体"/>
          <w:color w:val="auto"/>
          <w:szCs w:val="18"/>
          <w:lang w:val="en-US" w:eastAsia="zh-CN"/>
        </w:rPr>
        <w:t>3.</w:t>
      </w:r>
      <w:r>
        <w:rPr>
          <w:rFonts w:hint="eastAsia" w:ascii="宋体" w:hAnsi="宋体" w:cs="宋体"/>
          <w:color w:val="auto"/>
          <w:szCs w:val="18"/>
        </w:rPr>
        <w:t>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811B22">
      <w:pPr>
        <w:spacing w:line="360" w:lineRule="auto"/>
        <w:ind w:firstLine="480" w:firstLineChars="200"/>
        <w:jc w:val="left"/>
        <w:rPr>
          <w:rFonts w:hint="eastAsia" w:ascii="宋体" w:hAnsi="宋体" w:cs="宋体"/>
          <w:color w:val="auto"/>
          <w:szCs w:val="18"/>
        </w:rPr>
      </w:pPr>
      <w:r>
        <w:rPr>
          <w:rFonts w:hint="eastAsia" w:ascii="宋体" w:hAnsi="宋体" w:cs="宋体"/>
          <w:color w:val="auto"/>
          <w:szCs w:val="18"/>
          <w:lang w:val="en-US" w:eastAsia="zh-CN"/>
        </w:rPr>
        <w:t>4</w:t>
      </w:r>
      <w:r>
        <w:rPr>
          <w:rFonts w:hint="eastAsia" w:ascii="宋体" w:hAnsi="宋体" w:cs="宋体"/>
          <w:color w:val="auto"/>
          <w:szCs w:val="18"/>
        </w:rPr>
        <w:t>.下列采购需求中：标注</w:t>
      </w:r>
      <w:r>
        <w:rPr>
          <w:rFonts w:hint="eastAsia" w:ascii="宋体" w:hAnsi="宋体" w:cs="宋体"/>
          <w:color w:val="auto"/>
          <w:szCs w:val="24"/>
        </w:rPr>
        <w:t>▲</w:t>
      </w:r>
      <w:r>
        <w:rPr>
          <w:rFonts w:hint="eastAsia" w:ascii="宋体" w:hAnsi="宋体" w:cs="宋体"/>
          <w:color w:val="auto"/>
          <w:szCs w:val="18"/>
        </w:rPr>
        <w:t>的产品（核心产品），投标人在投标文件《主要中标标的承诺函》中填写名称、品牌、规格、型号、数量、单价等信息。</w:t>
      </w:r>
    </w:p>
    <w:p w14:paraId="6EDECB03">
      <w:pPr>
        <w:pStyle w:val="3"/>
        <w:ind w:firstLine="560"/>
        <w:rPr>
          <w:color w:val="auto"/>
        </w:rPr>
      </w:pPr>
      <w:bookmarkStart w:id="1" w:name="_Toc337877615"/>
      <w:bookmarkStart w:id="2" w:name="_Toc1899401549"/>
      <w:bookmarkStart w:id="3" w:name="_Toc1437377518_WPSOffice_Level2"/>
      <w:bookmarkStart w:id="4" w:name="_Toc1064185329"/>
      <w:bookmarkStart w:id="5" w:name="_Toc382548620"/>
      <w:bookmarkStart w:id="6" w:name="_Toc292361325"/>
      <w:bookmarkStart w:id="7" w:name="_Toc2025078090"/>
      <w:bookmarkStart w:id="8" w:name="_Toc1452677390"/>
      <w:r>
        <w:rPr>
          <w:rFonts w:hint="eastAsia"/>
          <w:color w:val="auto"/>
        </w:rPr>
        <w:t>一、采购需求前附表</w:t>
      </w:r>
      <w:bookmarkEnd w:id="1"/>
      <w:bookmarkEnd w:id="2"/>
      <w:bookmarkEnd w:id="3"/>
      <w:bookmarkEnd w:id="4"/>
      <w:bookmarkEnd w:id="5"/>
      <w:bookmarkEnd w:id="6"/>
      <w:bookmarkEnd w:id="7"/>
      <w:bookmarkEnd w:id="8"/>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5C4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41F2F4B">
            <w:pPr>
              <w:pStyle w:val="14"/>
              <w:pBdr>
                <w:bottom w:val="none" w:color="auto" w:sz="0" w:space="0"/>
              </w:pBdr>
              <w:tabs>
                <w:tab w:val="clear" w:pos="4153"/>
                <w:tab w:val="clear" w:pos="8306"/>
              </w:tabs>
              <w:adjustRightInd/>
              <w:spacing w:line="240" w:lineRule="auto"/>
              <w:textAlignment w:val="auto"/>
              <w:rPr>
                <w:rFonts w:hint="eastAsia" w:ascii="宋体" w:hAnsi="宋体" w:cs="宋体"/>
                <w:b/>
                <w:color w:val="auto"/>
                <w:kern w:val="2"/>
              </w:rPr>
            </w:pPr>
            <w:r>
              <w:rPr>
                <w:rFonts w:hint="eastAsia" w:ascii="宋体" w:hAnsi="宋体" w:cs="宋体"/>
                <w:b/>
                <w:color w:val="auto"/>
                <w:kern w:val="2"/>
              </w:rPr>
              <w:t>序号</w:t>
            </w:r>
          </w:p>
        </w:tc>
        <w:tc>
          <w:tcPr>
            <w:tcW w:w="2054" w:type="dxa"/>
            <w:vAlign w:val="center"/>
          </w:tcPr>
          <w:p w14:paraId="6B663E2A">
            <w:pPr>
              <w:pStyle w:val="15"/>
              <w:widowControl w:val="0"/>
              <w:spacing w:before="0" w:beforeAutospacing="0" w:after="0" w:afterAutospacing="0" w:line="360" w:lineRule="auto"/>
              <w:rPr>
                <w:rFonts w:hint="eastAsia" w:ascii="宋体" w:hAnsi="宋体" w:cs="宋体"/>
                <w:bCs w:val="0"/>
                <w:color w:val="auto"/>
                <w:sz w:val="24"/>
              </w:rPr>
            </w:pPr>
            <w:r>
              <w:rPr>
                <w:rFonts w:hint="eastAsia" w:ascii="宋体" w:hAnsi="宋体" w:cs="宋体"/>
                <w:bCs w:val="0"/>
                <w:color w:val="auto"/>
                <w:sz w:val="24"/>
              </w:rPr>
              <w:t>条款名称</w:t>
            </w:r>
          </w:p>
        </w:tc>
        <w:tc>
          <w:tcPr>
            <w:tcW w:w="5544" w:type="dxa"/>
            <w:vAlign w:val="center"/>
          </w:tcPr>
          <w:p w14:paraId="4C6BBD14">
            <w:pPr>
              <w:pStyle w:val="15"/>
              <w:widowControl w:val="0"/>
              <w:spacing w:before="0" w:beforeAutospacing="0" w:after="0" w:afterAutospacing="0" w:line="360" w:lineRule="auto"/>
              <w:rPr>
                <w:rFonts w:hint="eastAsia" w:ascii="宋体" w:hAnsi="宋体" w:cs="宋体"/>
                <w:bCs w:val="0"/>
                <w:color w:val="auto"/>
                <w:sz w:val="24"/>
              </w:rPr>
            </w:pPr>
            <w:r>
              <w:rPr>
                <w:rFonts w:hint="eastAsia" w:ascii="宋体" w:hAnsi="宋体" w:cs="宋体"/>
                <w:bCs w:val="0"/>
                <w:color w:val="auto"/>
                <w:sz w:val="24"/>
              </w:rPr>
              <w:t>内容、说明与要求</w:t>
            </w:r>
          </w:p>
        </w:tc>
      </w:tr>
      <w:tr w14:paraId="1932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5A5C7E22">
            <w:pPr>
              <w:pStyle w:val="14"/>
              <w:pBdr>
                <w:bottom w:val="none" w:color="auto" w:sz="0" w:space="0"/>
              </w:pBdr>
              <w:tabs>
                <w:tab w:val="clear" w:pos="4153"/>
                <w:tab w:val="clear" w:pos="8306"/>
              </w:tabs>
              <w:adjustRightInd/>
              <w:spacing w:line="240" w:lineRule="auto"/>
              <w:textAlignment w:val="auto"/>
              <w:rPr>
                <w:rFonts w:hint="eastAsia" w:ascii="宋体" w:hAnsi="宋体" w:cs="宋体"/>
                <w:bCs/>
                <w:color w:val="auto"/>
                <w:kern w:val="2"/>
              </w:rPr>
            </w:pPr>
            <w:r>
              <w:rPr>
                <w:rFonts w:hint="eastAsia" w:ascii="宋体" w:hAnsi="宋体" w:cs="宋体"/>
                <w:bCs/>
                <w:color w:val="auto"/>
                <w:kern w:val="2"/>
              </w:rPr>
              <w:t>1</w:t>
            </w:r>
          </w:p>
        </w:tc>
        <w:tc>
          <w:tcPr>
            <w:tcW w:w="2054" w:type="dxa"/>
            <w:vAlign w:val="center"/>
          </w:tcPr>
          <w:p w14:paraId="295FB5A5">
            <w:pPr>
              <w:pStyle w:val="15"/>
              <w:widowControl w:val="0"/>
              <w:spacing w:before="0" w:beforeAutospacing="0" w:after="0" w:afterAutospacing="0" w:line="360" w:lineRule="auto"/>
              <w:rPr>
                <w:rFonts w:hint="eastAsia" w:ascii="宋体" w:hAnsi="宋体" w:cs="宋体"/>
                <w:b w:val="0"/>
                <w:color w:val="auto"/>
                <w:sz w:val="24"/>
              </w:rPr>
            </w:pPr>
            <w:r>
              <w:rPr>
                <w:rFonts w:hint="eastAsia" w:ascii="宋体" w:hAnsi="宋体" w:cs="宋体"/>
                <w:b w:val="0"/>
                <w:color w:val="auto"/>
                <w:sz w:val="24"/>
              </w:rPr>
              <w:t>付款方式</w:t>
            </w:r>
          </w:p>
        </w:tc>
        <w:tc>
          <w:tcPr>
            <w:tcW w:w="5544" w:type="dxa"/>
            <w:vAlign w:val="center"/>
          </w:tcPr>
          <w:p w14:paraId="3B7937F4">
            <w:pPr>
              <w:spacing w:line="360" w:lineRule="auto"/>
              <w:rPr>
                <w:rFonts w:hint="eastAsia" w:ascii="宋体" w:hAnsi="宋体" w:cs="宋体"/>
                <w:color w:val="auto"/>
                <w:szCs w:val="18"/>
                <w:lang w:val="en-US" w:eastAsia="zh-CN"/>
              </w:rPr>
            </w:pPr>
            <w:r>
              <w:rPr>
                <w:rFonts w:hint="eastAsia" w:ascii="宋体" w:hAnsi="宋体" w:cs="宋体"/>
                <w:color w:val="auto"/>
                <w:szCs w:val="18"/>
                <w:lang w:val="en-US" w:eastAsia="zh-CN"/>
              </w:rPr>
              <w:t>合同签订生效后，采购人向中标人支付70%合同款（中标人须同时向采购人递交等额预付款保函），全部货物安装调试完毕，剩余30%在验收合格后一次性付给中标人，同时退还预付款保函。</w:t>
            </w:r>
          </w:p>
          <w:p w14:paraId="0609B301">
            <w:pPr>
              <w:widowControl/>
              <w:spacing w:line="360" w:lineRule="auto"/>
              <w:jc w:val="left"/>
              <w:rPr>
                <w:rFonts w:hint="eastAsia" w:ascii="宋体" w:hAnsi="宋体" w:cs="宋体"/>
                <w:b/>
                <w:color w:val="auto"/>
              </w:rPr>
            </w:pPr>
            <w:r>
              <w:rPr>
                <w:rFonts w:hint="eastAsia" w:ascii="宋体" w:hAnsi="宋体" w:cs="宋体"/>
                <w:b/>
                <w:color w:val="auto"/>
              </w:rPr>
              <w:t>注：</w:t>
            </w:r>
          </w:p>
          <w:p w14:paraId="36966E86">
            <w:pPr>
              <w:widowControl/>
              <w:spacing w:line="360" w:lineRule="auto"/>
              <w:jc w:val="left"/>
              <w:rPr>
                <w:rFonts w:hint="eastAsia" w:ascii="宋体" w:hAnsi="宋体" w:cs="宋体"/>
                <w:b/>
                <w:color w:val="auto"/>
              </w:rPr>
            </w:pPr>
            <w:r>
              <w:rPr>
                <w:rFonts w:hint="eastAsia" w:ascii="宋体" w:hAnsi="宋体" w:cs="宋体"/>
                <w:b/>
                <w:color w:val="auto"/>
              </w:rPr>
              <w:t>（1）预付款保函形式： ☑银行保函 ☑担保机构担保</w:t>
            </w:r>
          </w:p>
          <w:p w14:paraId="1CD80D26">
            <w:pPr>
              <w:widowControl/>
              <w:spacing w:line="360" w:lineRule="auto"/>
              <w:jc w:val="left"/>
              <w:rPr>
                <w:rFonts w:hint="eastAsia" w:ascii="宋体" w:hAnsi="宋体" w:cs="宋体"/>
                <w:b/>
                <w:color w:val="auto"/>
              </w:rPr>
            </w:pPr>
            <w:r>
              <w:rPr>
                <w:rFonts w:hint="eastAsia" w:ascii="宋体" w:hAnsi="宋体" w:cs="宋体"/>
                <w:b/>
                <w:color w:val="auto"/>
              </w:rPr>
              <w:t>（2）预付款保函递交要求：</w:t>
            </w:r>
          </w:p>
          <w:p w14:paraId="78BF2BF1">
            <w:pPr>
              <w:widowControl/>
              <w:spacing w:line="360" w:lineRule="auto"/>
              <w:jc w:val="left"/>
              <w:rPr>
                <w:rFonts w:hint="eastAsia" w:ascii="宋体" w:hAnsi="宋体" w:cs="宋体"/>
                <w:b/>
                <w:color w:val="auto"/>
              </w:rPr>
            </w:pPr>
            <w:r>
              <w:rPr>
                <w:rFonts w:hint="eastAsia" w:ascii="宋体" w:hAnsi="宋体" w:cs="宋体"/>
                <w:b/>
                <w:color w:val="auto"/>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34DE5ADB">
            <w:pPr>
              <w:widowControl/>
              <w:spacing w:line="360" w:lineRule="auto"/>
              <w:jc w:val="left"/>
              <w:rPr>
                <w:rFonts w:hint="eastAsia" w:ascii="宋体" w:hAnsi="宋体" w:cs="宋体"/>
                <w:b/>
                <w:color w:val="auto"/>
              </w:rPr>
            </w:pPr>
            <w:r>
              <w:rPr>
                <w:rFonts w:hint="eastAsia" w:ascii="宋体" w:hAnsi="宋体" w:cs="宋体"/>
                <w:b/>
                <w:color w:val="auto"/>
              </w:rPr>
              <w:t>②如采用担保机构担保，应为具有备案资质的融资担保机构出具的见索即付无条件担保，且应将原件交至采购人保管。</w:t>
            </w:r>
          </w:p>
          <w:p w14:paraId="162126BF">
            <w:pPr>
              <w:widowControl/>
              <w:spacing w:line="360" w:lineRule="auto"/>
              <w:jc w:val="left"/>
              <w:rPr>
                <w:rFonts w:hint="eastAsia" w:ascii="宋体" w:hAnsi="宋体" w:cs="宋体"/>
                <w:bCs/>
                <w:color w:val="auto"/>
              </w:rPr>
            </w:pPr>
            <w:r>
              <w:rPr>
                <w:rFonts w:hint="eastAsia" w:ascii="宋体" w:hAnsi="宋体" w:cs="宋体"/>
                <w:b/>
                <w:color w:val="auto"/>
              </w:rPr>
              <w:t>（3）在签订合同时，中标人书面明确表示无需预付款或者主动要求降低预付款比例的，采购人可不适用前述预付款规定。</w:t>
            </w:r>
          </w:p>
        </w:tc>
      </w:tr>
      <w:tr w14:paraId="420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FD8CB28">
            <w:pPr>
              <w:pStyle w:val="14"/>
              <w:pBdr>
                <w:bottom w:val="none" w:color="auto" w:sz="0" w:space="0"/>
              </w:pBdr>
              <w:tabs>
                <w:tab w:val="clear" w:pos="4153"/>
                <w:tab w:val="clear" w:pos="8306"/>
              </w:tabs>
              <w:adjustRightInd/>
              <w:spacing w:line="240" w:lineRule="auto"/>
              <w:textAlignment w:val="auto"/>
              <w:rPr>
                <w:rFonts w:hint="eastAsia" w:ascii="宋体" w:hAnsi="宋体" w:cs="宋体"/>
                <w:bCs/>
                <w:color w:val="auto"/>
                <w:kern w:val="2"/>
              </w:rPr>
            </w:pPr>
            <w:r>
              <w:rPr>
                <w:rFonts w:hint="eastAsia" w:ascii="宋体" w:hAnsi="宋体" w:cs="宋体"/>
                <w:bCs/>
                <w:color w:val="auto"/>
                <w:kern w:val="2"/>
              </w:rPr>
              <w:t>2</w:t>
            </w:r>
          </w:p>
        </w:tc>
        <w:tc>
          <w:tcPr>
            <w:tcW w:w="2054" w:type="dxa"/>
            <w:vAlign w:val="center"/>
          </w:tcPr>
          <w:p w14:paraId="7AF6938C">
            <w:pPr>
              <w:pStyle w:val="15"/>
              <w:widowControl w:val="0"/>
              <w:spacing w:before="0" w:beforeAutospacing="0" w:after="0" w:afterAutospacing="0" w:line="360" w:lineRule="auto"/>
              <w:rPr>
                <w:rFonts w:hint="eastAsia" w:ascii="宋体" w:hAnsi="宋体" w:cs="宋体"/>
                <w:b w:val="0"/>
                <w:color w:val="auto"/>
                <w:sz w:val="24"/>
              </w:rPr>
            </w:pPr>
            <w:r>
              <w:rPr>
                <w:rFonts w:hint="eastAsia" w:ascii="宋体" w:hAnsi="宋体" w:cs="宋体"/>
                <w:b w:val="0"/>
                <w:color w:val="auto"/>
                <w:sz w:val="24"/>
              </w:rPr>
              <w:t>供货及安装地点</w:t>
            </w:r>
          </w:p>
        </w:tc>
        <w:tc>
          <w:tcPr>
            <w:tcW w:w="5544" w:type="dxa"/>
            <w:vAlign w:val="center"/>
          </w:tcPr>
          <w:p w14:paraId="60874FC7">
            <w:pPr>
              <w:pStyle w:val="15"/>
              <w:widowControl w:val="0"/>
              <w:spacing w:before="0" w:beforeAutospacing="0" w:after="0" w:afterAutospacing="0" w:line="360" w:lineRule="auto"/>
              <w:jc w:val="left"/>
              <w:rPr>
                <w:rFonts w:hint="eastAsia" w:ascii="宋体" w:hAnsi="宋体" w:cs="宋体"/>
                <w:b w:val="0"/>
                <w:color w:val="auto"/>
                <w:sz w:val="24"/>
              </w:rPr>
            </w:pPr>
            <w:r>
              <w:rPr>
                <w:rFonts w:hint="eastAsia" w:ascii="宋体" w:hAnsi="宋体" w:cs="宋体"/>
                <w:b w:val="0"/>
                <w:color w:val="auto"/>
                <w:sz w:val="24"/>
              </w:rPr>
              <w:t>安徽大学磬苑校区，理工楼E101。</w:t>
            </w:r>
          </w:p>
        </w:tc>
      </w:tr>
      <w:tr w14:paraId="62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25C4DFC">
            <w:pPr>
              <w:pStyle w:val="14"/>
              <w:pBdr>
                <w:bottom w:val="none" w:color="auto" w:sz="0" w:space="0"/>
              </w:pBdr>
              <w:tabs>
                <w:tab w:val="clear" w:pos="4153"/>
                <w:tab w:val="clear" w:pos="8306"/>
              </w:tabs>
              <w:adjustRightInd/>
              <w:spacing w:line="240" w:lineRule="auto"/>
              <w:textAlignment w:val="auto"/>
              <w:rPr>
                <w:rFonts w:hint="eastAsia" w:ascii="宋体" w:hAnsi="宋体" w:cs="宋体"/>
                <w:bCs/>
                <w:color w:val="auto"/>
                <w:kern w:val="2"/>
              </w:rPr>
            </w:pPr>
            <w:r>
              <w:rPr>
                <w:rFonts w:hint="eastAsia" w:ascii="宋体" w:hAnsi="宋体" w:cs="宋体"/>
                <w:bCs/>
                <w:color w:val="auto"/>
                <w:kern w:val="2"/>
              </w:rPr>
              <w:t>3</w:t>
            </w:r>
          </w:p>
        </w:tc>
        <w:tc>
          <w:tcPr>
            <w:tcW w:w="2054" w:type="dxa"/>
            <w:vAlign w:val="center"/>
          </w:tcPr>
          <w:p w14:paraId="5A289E54">
            <w:pPr>
              <w:pStyle w:val="15"/>
              <w:widowControl w:val="0"/>
              <w:spacing w:before="0" w:beforeAutospacing="0" w:after="0" w:afterAutospacing="0" w:line="360" w:lineRule="auto"/>
              <w:rPr>
                <w:rFonts w:hint="eastAsia" w:ascii="宋体" w:hAnsi="宋体" w:cs="宋体"/>
                <w:b w:val="0"/>
                <w:color w:val="auto"/>
                <w:sz w:val="24"/>
              </w:rPr>
            </w:pPr>
            <w:r>
              <w:rPr>
                <w:rFonts w:hint="eastAsia" w:ascii="宋体" w:hAnsi="宋体" w:cs="宋体"/>
                <w:b w:val="0"/>
                <w:color w:val="auto"/>
                <w:sz w:val="24"/>
              </w:rPr>
              <w:t>供货及安装期限</w:t>
            </w:r>
          </w:p>
        </w:tc>
        <w:tc>
          <w:tcPr>
            <w:tcW w:w="5544" w:type="dxa"/>
            <w:vAlign w:val="center"/>
          </w:tcPr>
          <w:p w14:paraId="634ED800">
            <w:pPr>
              <w:pStyle w:val="15"/>
              <w:widowControl w:val="0"/>
              <w:spacing w:before="0" w:beforeAutospacing="0" w:after="0" w:afterAutospacing="0" w:line="360" w:lineRule="auto"/>
              <w:jc w:val="left"/>
              <w:rPr>
                <w:rFonts w:hint="eastAsia" w:ascii="宋体" w:hAnsi="宋体" w:cs="宋体"/>
                <w:b w:val="0"/>
                <w:color w:val="auto"/>
                <w:sz w:val="24"/>
              </w:rPr>
            </w:pPr>
            <w:r>
              <w:rPr>
                <w:rFonts w:hint="eastAsia" w:ascii="宋体" w:hAnsi="宋体" w:cs="宋体"/>
                <w:b w:val="0"/>
                <w:color w:val="auto"/>
                <w:sz w:val="24"/>
                <w:lang w:eastAsia="zh-CN"/>
              </w:rPr>
              <w:t>合同签订后并接受采购人通知后6个月内完成供货安装调试及验收等所有工作</w:t>
            </w:r>
            <w:r>
              <w:rPr>
                <w:rFonts w:hint="eastAsia" w:ascii="宋体" w:hAnsi="宋体" w:cs="宋体"/>
                <w:b w:val="0"/>
                <w:color w:val="auto"/>
                <w:sz w:val="24"/>
              </w:rPr>
              <w:t>。</w:t>
            </w:r>
          </w:p>
        </w:tc>
      </w:tr>
      <w:tr w14:paraId="61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1EE22EB">
            <w:pPr>
              <w:pStyle w:val="14"/>
              <w:pBdr>
                <w:bottom w:val="none" w:color="auto" w:sz="0" w:space="0"/>
              </w:pBdr>
              <w:tabs>
                <w:tab w:val="clear" w:pos="4153"/>
                <w:tab w:val="clear" w:pos="8306"/>
              </w:tabs>
              <w:adjustRightInd/>
              <w:spacing w:line="240" w:lineRule="auto"/>
              <w:textAlignment w:val="auto"/>
              <w:rPr>
                <w:rFonts w:hint="eastAsia" w:ascii="宋体" w:hAnsi="宋体" w:cs="宋体"/>
                <w:bCs/>
                <w:color w:val="auto"/>
                <w:kern w:val="2"/>
              </w:rPr>
            </w:pPr>
            <w:r>
              <w:rPr>
                <w:rFonts w:hint="eastAsia" w:ascii="宋体" w:hAnsi="宋体" w:cs="宋体"/>
                <w:bCs/>
                <w:color w:val="auto"/>
                <w:kern w:val="2"/>
              </w:rPr>
              <w:t>4</w:t>
            </w:r>
          </w:p>
        </w:tc>
        <w:tc>
          <w:tcPr>
            <w:tcW w:w="2054" w:type="dxa"/>
            <w:vAlign w:val="center"/>
          </w:tcPr>
          <w:p w14:paraId="17BE67D7">
            <w:pPr>
              <w:pStyle w:val="15"/>
              <w:widowControl w:val="0"/>
              <w:spacing w:before="0" w:beforeAutospacing="0" w:after="0" w:afterAutospacing="0" w:line="360" w:lineRule="auto"/>
              <w:rPr>
                <w:rFonts w:hint="eastAsia" w:ascii="宋体" w:hAnsi="宋体" w:cs="宋体"/>
                <w:b w:val="0"/>
                <w:color w:val="auto"/>
                <w:sz w:val="24"/>
              </w:rPr>
            </w:pPr>
            <w:r>
              <w:rPr>
                <w:rFonts w:hint="eastAsia" w:ascii="宋体" w:hAnsi="宋体" w:cs="宋体"/>
                <w:b w:val="0"/>
                <w:color w:val="auto"/>
                <w:sz w:val="24"/>
              </w:rPr>
              <w:t>免费质保期</w:t>
            </w:r>
          </w:p>
        </w:tc>
        <w:tc>
          <w:tcPr>
            <w:tcW w:w="5544" w:type="dxa"/>
            <w:vAlign w:val="center"/>
          </w:tcPr>
          <w:p w14:paraId="3866FB31">
            <w:pPr>
              <w:pStyle w:val="5"/>
              <w:rPr>
                <w:rFonts w:hint="eastAsia" w:ascii="宋体" w:hAnsi="宋体" w:eastAsia="宋体" w:cs="宋体"/>
                <w:bCs/>
                <w:color w:val="auto"/>
              </w:rPr>
            </w:pPr>
            <w:r>
              <w:rPr>
                <w:rFonts w:hint="eastAsia" w:ascii="宋体" w:hAnsi="宋体" w:eastAsia="宋体" w:cs="宋体"/>
                <w:bCs/>
                <w:color w:val="auto"/>
                <w:lang w:val="en-US" w:eastAsia="zh-CN"/>
              </w:rPr>
              <w:t>验收合格之日起1年。</w:t>
            </w:r>
          </w:p>
        </w:tc>
      </w:tr>
      <w:tr w14:paraId="05F8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46EB66A4">
            <w:pPr>
              <w:pStyle w:val="14"/>
              <w:pBdr>
                <w:bottom w:val="none" w:color="auto" w:sz="0" w:space="0"/>
              </w:pBdr>
              <w:tabs>
                <w:tab w:val="clear" w:pos="4153"/>
                <w:tab w:val="clear" w:pos="8306"/>
              </w:tabs>
              <w:adjustRightInd/>
              <w:spacing w:line="240" w:lineRule="auto"/>
              <w:textAlignment w:val="auto"/>
              <w:rPr>
                <w:rFonts w:hint="eastAsia" w:ascii="宋体" w:hAnsi="宋体" w:cs="宋体"/>
                <w:bCs/>
                <w:color w:val="auto"/>
                <w:kern w:val="2"/>
              </w:rPr>
            </w:pPr>
            <w:bookmarkStart w:id="9" w:name="_Toc369119811"/>
            <w:bookmarkStart w:id="10" w:name="_Toc1693477008"/>
            <w:bookmarkStart w:id="11" w:name="_Toc626387511"/>
            <w:bookmarkStart w:id="12" w:name="_Toc1191965283_WPSOffice_Level2"/>
            <w:bookmarkStart w:id="13" w:name="_Toc302804901"/>
            <w:bookmarkStart w:id="14" w:name="_Toc717369146"/>
            <w:bookmarkStart w:id="15" w:name="_Toc1715351726"/>
            <w:bookmarkStart w:id="16" w:name="_Toc58935147"/>
            <w:r>
              <w:rPr>
                <w:rFonts w:hint="eastAsia" w:ascii="宋体" w:hAnsi="宋体" w:cs="宋体"/>
                <w:bCs/>
                <w:color w:val="auto"/>
                <w:kern w:val="2"/>
              </w:rPr>
              <w:t>5</w:t>
            </w:r>
          </w:p>
        </w:tc>
        <w:tc>
          <w:tcPr>
            <w:tcW w:w="2054" w:type="dxa"/>
            <w:vAlign w:val="center"/>
          </w:tcPr>
          <w:p w14:paraId="2110F92E">
            <w:pPr>
              <w:pStyle w:val="15"/>
              <w:widowControl w:val="0"/>
              <w:spacing w:before="0" w:beforeAutospacing="0" w:after="0" w:afterAutospacing="0" w:line="360" w:lineRule="auto"/>
              <w:rPr>
                <w:rFonts w:hint="eastAsia" w:ascii="宋体" w:hAnsi="宋体" w:cs="宋体"/>
                <w:b w:val="0"/>
                <w:color w:val="auto"/>
                <w:sz w:val="24"/>
              </w:rPr>
            </w:pPr>
            <w:r>
              <w:rPr>
                <w:rFonts w:hint="eastAsia" w:ascii="宋体" w:hAnsi="宋体" w:cs="宋体"/>
                <w:b w:val="0"/>
                <w:color w:val="auto"/>
                <w:sz w:val="24"/>
              </w:rPr>
              <w:t>本项目采购标的所属行业</w:t>
            </w:r>
          </w:p>
        </w:tc>
        <w:tc>
          <w:tcPr>
            <w:tcW w:w="5544" w:type="dxa"/>
            <w:vAlign w:val="center"/>
          </w:tcPr>
          <w:p w14:paraId="327123A1">
            <w:pPr>
              <w:pStyle w:val="15"/>
              <w:widowControl w:val="0"/>
              <w:spacing w:before="0" w:beforeAutospacing="0" w:after="0" w:afterAutospacing="0" w:line="360" w:lineRule="auto"/>
              <w:jc w:val="both"/>
              <w:rPr>
                <w:rFonts w:hint="eastAsia" w:ascii="宋体" w:hAnsi="宋体" w:cs="宋体"/>
                <w:b w:val="0"/>
                <w:color w:val="auto"/>
                <w:sz w:val="24"/>
              </w:rPr>
            </w:pPr>
            <w:r>
              <w:rPr>
                <w:rFonts w:hint="eastAsia" w:ascii="宋体" w:hAnsi="宋体" w:cs="宋体"/>
                <w:b w:val="0"/>
                <w:color w:val="auto"/>
                <w:sz w:val="24"/>
                <w:lang w:val="en-US" w:eastAsia="zh-CN"/>
              </w:rPr>
              <w:t>工业</w:t>
            </w:r>
            <w:r>
              <w:rPr>
                <w:rFonts w:hint="eastAsia" w:ascii="宋体" w:hAnsi="宋体" w:cs="宋体"/>
                <w:b w:val="0"/>
                <w:color w:val="auto"/>
                <w:sz w:val="24"/>
              </w:rPr>
              <w:t>。</w:t>
            </w:r>
          </w:p>
        </w:tc>
      </w:tr>
    </w:tbl>
    <w:p w14:paraId="0766B42F">
      <w:pPr>
        <w:pStyle w:val="3"/>
        <w:ind w:firstLine="560"/>
        <w:rPr>
          <w:color w:val="auto"/>
        </w:rPr>
      </w:pPr>
      <w:r>
        <w:rPr>
          <w:rFonts w:hint="eastAsia"/>
          <w:color w:val="auto"/>
        </w:rPr>
        <w:t>二、货物需求</w:t>
      </w:r>
      <w:bookmarkEnd w:id="9"/>
      <w:bookmarkEnd w:id="10"/>
      <w:bookmarkEnd w:id="11"/>
      <w:bookmarkEnd w:id="12"/>
      <w:bookmarkEnd w:id="13"/>
      <w:bookmarkEnd w:id="14"/>
      <w:bookmarkEnd w:id="15"/>
      <w:bookmarkEnd w:id="16"/>
    </w:p>
    <w:p w14:paraId="0A1B1B36">
      <w:pPr>
        <w:pStyle w:val="9"/>
        <w:spacing w:line="500" w:lineRule="exact"/>
        <w:ind w:left="0"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（一）货物指标重要性表述</w:t>
      </w:r>
    </w:p>
    <w:tbl>
      <w:tblPr>
        <w:tblStyle w:val="1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579"/>
        <w:gridCol w:w="5069"/>
      </w:tblGrid>
      <w:tr w14:paraId="11E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4CEF9991">
            <w:pPr>
              <w:spacing w:line="360" w:lineRule="auto"/>
              <w:jc w:val="center"/>
              <w:rPr>
                <w:rFonts w:hint="eastAsia" w:ascii="宋体" w:hAnsi="宋体" w:cs="宋体"/>
                <w:color w:val="auto"/>
                <w:szCs w:val="24"/>
              </w:rPr>
            </w:pPr>
            <w:r>
              <w:rPr>
                <w:rFonts w:hint="eastAsia" w:asciiTheme="majorEastAsia" w:hAnsiTheme="majorEastAsia" w:eastAsiaTheme="majorEastAsia"/>
                <w:b/>
                <w:color w:val="auto"/>
                <w:szCs w:val="24"/>
              </w:rPr>
              <w:t>标识重要性</w:t>
            </w:r>
          </w:p>
        </w:tc>
        <w:tc>
          <w:tcPr>
            <w:tcW w:w="1579" w:type="dxa"/>
            <w:vAlign w:val="center"/>
          </w:tcPr>
          <w:p w14:paraId="1EE33D4C">
            <w:pPr>
              <w:spacing w:line="360" w:lineRule="auto"/>
              <w:jc w:val="center"/>
              <w:rPr>
                <w:rFonts w:hint="eastAsia" w:ascii="宋体" w:hAnsi="宋体" w:cs="宋体"/>
                <w:color w:val="auto"/>
                <w:szCs w:val="24"/>
              </w:rPr>
            </w:pPr>
            <w:r>
              <w:rPr>
                <w:rFonts w:hint="eastAsia" w:asciiTheme="majorEastAsia" w:hAnsiTheme="majorEastAsia" w:eastAsiaTheme="majorEastAsia"/>
                <w:b/>
                <w:color w:val="auto"/>
                <w:szCs w:val="24"/>
              </w:rPr>
              <w:t>标识符号</w:t>
            </w:r>
          </w:p>
        </w:tc>
        <w:tc>
          <w:tcPr>
            <w:tcW w:w="5069" w:type="dxa"/>
            <w:vAlign w:val="center"/>
          </w:tcPr>
          <w:p w14:paraId="0EB35C7C">
            <w:pPr>
              <w:spacing w:line="360" w:lineRule="auto"/>
              <w:jc w:val="center"/>
              <w:rPr>
                <w:rFonts w:hint="eastAsia" w:ascii="宋体" w:hAnsi="宋体" w:cs="宋体"/>
                <w:color w:val="auto"/>
                <w:szCs w:val="24"/>
              </w:rPr>
            </w:pPr>
            <w:r>
              <w:rPr>
                <w:rFonts w:hint="eastAsia" w:asciiTheme="majorEastAsia" w:hAnsiTheme="majorEastAsia" w:eastAsiaTheme="majorEastAsia"/>
                <w:b/>
                <w:color w:val="auto"/>
                <w:szCs w:val="24"/>
              </w:rPr>
              <w:t>代表意思</w:t>
            </w:r>
          </w:p>
        </w:tc>
      </w:tr>
      <w:tr w14:paraId="18DC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A53FC8F">
            <w:pPr>
              <w:spacing w:line="360" w:lineRule="auto"/>
              <w:jc w:val="center"/>
              <w:rPr>
                <w:rFonts w:hint="eastAsia" w:ascii="宋体" w:hAnsi="宋体" w:cs="宋体"/>
                <w:color w:val="auto"/>
                <w:szCs w:val="24"/>
              </w:rPr>
            </w:pPr>
            <w:r>
              <w:rPr>
                <w:rFonts w:hint="eastAsia" w:cs="宋体" w:asciiTheme="majorEastAsia" w:hAnsiTheme="majorEastAsia" w:eastAsiaTheme="majorEastAsia"/>
                <w:color w:val="auto"/>
                <w:sz w:val="24"/>
                <w:szCs w:val="24"/>
              </w:rPr>
              <w:t>关键性指标项</w:t>
            </w:r>
          </w:p>
        </w:tc>
        <w:tc>
          <w:tcPr>
            <w:tcW w:w="1579" w:type="dxa"/>
            <w:vAlign w:val="center"/>
          </w:tcPr>
          <w:p w14:paraId="0FBDA46A">
            <w:pPr>
              <w:spacing w:line="360" w:lineRule="auto"/>
              <w:jc w:val="center"/>
              <w:rPr>
                <w:rFonts w:hint="eastAsia" w:ascii="宋体" w:hAnsi="宋体" w:cs="宋体"/>
                <w:color w:val="auto"/>
                <w:szCs w:val="24"/>
              </w:rPr>
            </w:pPr>
            <w:r>
              <w:rPr>
                <w:rFonts w:hint="eastAsia" w:cs="宋体" w:asciiTheme="majorEastAsia" w:hAnsiTheme="majorEastAsia" w:eastAsiaTheme="majorEastAsia"/>
                <w:color w:val="auto"/>
                <w:sz w:val="24"/>
                <w:szCs w:val="24"/>
              </w:rPr>
              <w:t>★</w:t>
            </w:r>
          </w:p>
        </w:tc>
        <w:tc>
          <w:tcPr>
            <w:tcW w:w="5069" w:type="dxa"/>
            <w:vAlign w:val="center"/>
          </w:tcPr>
          <w:p w14:paraId="6335D211">
            <w:pPr>
              <w:spacing w:line="360" w:lineRule="auto"/>
              <w:jc w:val="center"/>
              <w:rPr>
                <w:rFonts w:hint="eastAsia" w:ascii="宋体" w:hAnsi="宋体" w:cs="宋体"/>
                <w:color w:val="auto"/>
                <w:szCs w:val="24"/>
              </w:rPr>
            </w:pPr>
            <w:r>
              <w:rPr>
                <w:rFonts w:hint="eastAsia" w:cs="宋体" w:asciiTheme="majorEastAsia" w:hAnsiTheme="majorEastAsia" w:eastAsiaTheme="majorEastAsia"/>
                <w:color w:val="auto"/>
                <w:sz w:val="24"/>
                <w:szCs w:val="24"/>
              </w:rPr>
              <w:t>不满足该指标项将导致投标被拒绝</w:t>
            </w:r>
          </w:p>
        </w:tc>
      </w:tr>
      <w:tr w14:paraId="70B7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78AE0B6">
            <w:pPr>
              <w:spacing w:line="360" w:lineRule="auto"/>
              <w:jc w:val="center"/>
              <w:rPr>
                <w:rFonts w:hint="eastAsia" w:ascii="宋体" w:hAnsi="宋体" w:cs="宋体"/>
                <w:color w:val="auto"/>
                <w:szCs w:val="24"/>
              </w:rPr>
            </w:pPr>
            <w:r>
              <w:rPr>
                <w:rFonts w:hint="eastAsia" w:cs="宋体" w:asciiTheme="majorEastAsia" w:hAnsiTheme="majorEastAsia" w:eastAsiaTheme="majorEastAsia"/>
                <w:color w:val="auto"/>
                <w:sz w:val="24"/>
                <w:szCs w:val="24"/>
              </w:rPr>
              <w:t>重要指标项</w:t>
            </w:r>
          </w:p>
        </w:tc>
        <w:tc>
          <w:tcPr>
            <w:tcW w:w="1579" w:type="dxa"/>
            <w:vAlign w:val="center"/>
          </w:tcPr>
          <w:p w14:paraId="65DB68E0">
            <w:pPr>
              <w:spacing w:line="360" w:lineRule="auto"/>
              <w:jc w:val="center"/>
              <w:rPr>
                <w:rFonts w:hint="eastAsia" w:ascii="宋体" w:hAnsi="宋体" w:cs="宋体"/>
                <w:color w:val="auto"/>
                <w:szCs w:val="24"/>
              </w:rPr>
            </w:pPr>
            <w:r>
              <w:rPr>
                <w:rFonts w:hint="eastAsia" w:cs="宋体" w:asciiTheme="majorEastAsia" w:hAnsiTheme="majorEastAsia" w:eastAsiaTheme="majorEastAsia"/>
                <w:color w:val="auto"/>
                <w:sz w:val="24"/>
                <w:szCs w:val="24"/>
              </w:rPr>
              <w:t>■</w:t>
            </w:r>
          </w:p>
        </w:tc>
        <w:tc>
          <w:tcPr>
            <w:tcW w:w="5069" w:type="dxa"/>
            <w:vAlign w:val="center"/>
          </w:tcPr>
          <w:p w14:paraId="2D535382">
            <w:pPr>
              <w:spacing w:line="360" w:lineRule="auto"/>
              <w:jc w:val="center"/>
              <w:rPr>
                <w:rFonts w:hint="eastAsia" w:ascii="宋体" w:hAnsi="宋体" w:cs="宋体"/>
                <w:color w:val="auto"/>
                <w:szCs w:val="24"/>
              </w:rPr>
            </w:pPr>
            <w:r>
              <w:rPr>
                <w:rFonts w:hint="eastAsia" w:cs="宋体" w:asciiTheme="majorEastAsia" w:hAnsiTheme="majorEastAsia" w:eastAsiaTheme="majorEastAsia"/>
                <w:color w:val="auto"/>
                <w:sz w:val="24"/>
                <w:szCs w:val="24"/>
              </w:rPr>
              <w:t>评分项，每满足一项得</w:t>
            </w:r>
            <w:r>
              <w:rPr>
                <w:rFonts w:cs="宋体" w:asciiTheme="majorEastAsia" w:hAnsiTheme="majorEastAsia" w:eastAsiaTheme="majorEastAsia"/>
                <w:color w:val="auto"/>
                <w:sz w:val="24"/>
                <w:szCs w:val="24"/>
              </w:rPr>
              <w:t>3</w:t>
            </w:r>
            <w:r>
              <w:rPr>
                <w:rFonts w:hint="eastAsia" w:cs="宋体" w:asciiTheme="majorEastAsia" w:hAnsiTheme="majorEastAsia" w:eastAsiaTheme="majorEastAsia"/>
                <w:color w:val="auto"/>
                <w:sz w:val="24"/>
                <w:szCs w:val="24"/>
              </w:rPr>
              <w:t>分</w:t>
            </w:r>
          </w:p>
        </w:tc>
      </w:tr>
      <w:tr w14:paraId="3647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096219F3">
            <w:pPr>
              <w:spacing w:line="360" w:lineRule="auto"/>
              <w:jc w:val="center"/>
              <w:rPr>
                <w:rFonts w:hint="eastAsia" w:ascii="宋体" w:hAnsi="宋体" w:cs="宋体"/>
                <w:color w:val="auto"/>
                <w:szCs w:val="18"/>
              </w:rPr>
            </w:pPr>
            <w:r>
              <w:rPr>
                <w:rFonts w:hint="eastAsia" w:cs="宋体" w:asciiTheme="majorEastAsia" w:hAnsiTheme="majorEastAsia" w:eastAsiaTheme="majorEastAsia"/>
                <w:color w:val="auto"/>
                <w:sz w:val="24"/>
                <w:szCs w:val="24"/>
              </w:rPr>
              <w:t>一般指标项</w:t>
            </w:r>
          </w:p>
        </w:tc>
        <w:tc>
          <w:tcPr>
            <w:tcW w:w="1579" w:type="dxa"/>
            <w:vAlign w:val="center"/>
          </w:tcPr>
          <w:p w14:paraId="5BDA4C44">
            <w:pPr>
              <w:spacing w:line="360" w:lineRule="auto"/>
              <w:jc w:val="center"/>
              <w:rPr>
                <w:rFonts w:hint="eastAsia" w:ascii="宋体" w:hAnsi="宋体" w:cs="宋体"/>
                <w:color w:val="auto"/>
                <w:szCs w:val="24"/>
              </w:rPr>
            </w:pPr>
            <w:r>
              <w:rPr>
                <w:rFonts w:hint="eastAsia" w:cs="宋体" w:asciiTheme="majorEastAsia" w:hAnsiTheme="majorEastAsia" w:eastAsiaTheme="majorEastAsia"/>
                <w:color w:val="auto"/>
                <w:sz w:val="24"/>
                <w:szCs w:val="24"/>
              </w:rPr>
              <w:t>●</w:t>
            </w:r>
          </w:p>
        </w:tc>
        <w:tc>
          <w:tcPr>
            <w:tcW w:w="5069" w:type="dxa"/>
            <w:vAlign w:val="center"/>
          </w:tcPr>
          <w:p w14:paraId="2ED7CA10">
            <w:pPr>
              <w:spacing w:line="360" w:lineRule="auto"/>
              <w:jc w:val="center"/>
              <w:rPr>
                <w:rFonts w:hint="eastAsia" w:ascii="宋体" w:hAnsi="宋体" w:cs="宋体"/>
                <w:color w:val="auto"/>
                <w:szCs w:val="24"/>
              </w:rPr>
            </w:pPr>
            <w:r>
              <w:rPr>
                <w:rFonts w:hint="eastAsia" w:cs="宋体" w:asciiTheme="majorEastAsia" w:hAnsiTheme="majorEastAsia" w:eastAsiaTheme="majorEastAsia"/>
                <w:color w:val="auto"/>
                <w:sz w:val="24"/>
                <w:szCs w:val="24"/>
              </w:rPr>
              <w:t>评分项，每满足一项得</w:t>
            </w:r>
            <w:r>
              <w:rPr>
                <w:rFonts w:cs="宋体" w:asciiTheme="majorEastAsia" w:hAnsiTheme="majorEastAsia" w:eastAsiaTheme="majorEastAsia"/>
                <w:color w:val="auto"/>
                <w:sz w:val="24"/>
                <w:szCs w:val="24"/>
              </w:rPr>
              <w:t>2</w:t>
            </w:r>
            <w:r>
              <w:rPr>
                <w:rFonts w:hint="eastAsia" w:cs="宋体" w:asciiTheme="majorEastAsia" w:hAnsiTheme="majorEastAsia" w:eastAsiaTheme="majorEastAsia"/>
                <w:color w:val="auto"/>
                <w:sz w:val="24"/>
                <w:szCs w:val="24"/>
              </w:rPr>
              <w:t>分</w:t>
            </w:r>
          </w:p>
        </w:tc>
      </w:tr>
      <w:tr w14:paraId="4CB4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751C47D7">
            <w:pPr>
              <w:pStyle w:val="9"/>
              <w:spacing w:line="500" w:lineRule="exact"/>
              <w:ind w:left="0"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rPr>
              <w:t>注：</w:t>
            </w:r>
          </w:p>
          <w:p w14:paraId="0B20C0CF">
            <w:pPr>
              <w:pStyle w:val="9"/>
              <w:spacing w:line="500" w:lineRule="exact"/>
              <w:ind w:left="0" w:firstLine="0" w:firstLineChars="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1、关键指标项(标识符号★)应</w:t>
            </w:r>
            <w:r>
              <w:rPr>
                <w:rFonts w:hint="eastAsia" w:ascii="宋体" w:hAnsi="宋体" w:eastAsia="宋体" w:cs="宋体"/>
                <w:bCs/>
                <w:color w:val="auto"/>
                <w:sz w:val="24"/>
                <w:szCs w:val="24"/>
                <w:lang w:val="en-US" w:eastAsia="zh-CN"/>
              </w:rPr>
              <w:t>承诺合同签订后7个工作日内</w:t>
            </w:r>
            <w:r>
              <w:rPr>
                <w:rFonts w:hint="eastAsia" w:ascii="宋体" w:hAnsi="宋体" w:eastAsia="宋体" w:cs="宋体"/>
                <w:bCs/>
                <w:color w:val="auto"/>
                <w:sz w:val="24"/>
                <w:szCs w:val="24"/>
              </w:rPr>
              <w:t>提供检测报告、仿真文件</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程序代码、官网截图、产品说明书、产品彩页等任意一种证明材料。</w:t>
            </w:r>
          </w:p>
          <w:p w14:paraId="201B695C">
            <w:pPr>
              <w:pStyle w:val="9"/>
              <w:spacing w:line="500" w:lineRule="exact"/>
              <w:ind w:left="0"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rPr>
              <w:t>2、如某项标识中包含多条技术参数或要求，则该项标识所含内容均需满足或优于招标文件要求，否则不予认可。</w:t>
            </w:r>
          </w:p>
          <w:p w14:paraId="6EB8F8C9">
            <w:pPr>
              <w:pStyle w:val="9"/>
              <w:spacing w:line="500" w:lineRule="exact"/>
              <w:ind w:lef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、关于参数评审的相关要求：</w:t>
            </w:r>
          </w:p>
          <w:p w14:paraId="235501A6">
            <w:pPr>
              <w:pStyle w:val="9"/>
              <w:spacing w:line="500" w:lineRule="exact"/>
              <w:ind w:left="0" w:firstLine="0" w:firstLineChars="0"/>
              <w:rPr>
                <w:rFonts w:hint="eastAsia" w:ascii="宋体" w:hAnsi="宋体" w:eastAsia="宋体" w:cs="宋体"/>
                <w:color w:val="auto"/>
                <w:sz w:val="24"/>
                <w:szCs w:val="24"/>
              </w:rPr>
            </w:pPr>
            <w:r>
              <w:rPr>
                <w:rFonts w:ascii="宋体" w:hAnsi="宋体" w:eastAsia="宋体" w:cs="宋体"/>
                <w:color w:val="auto"/>
                <w:sz w:val="24"/>
                <w:szCs w:val="24"/>
              </w:rPr>
              <w:t>①投标人必须对“★”项、“■”项、“●”项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color w:val="auto"/>
                <w:sz w:val="24"/>
                <w:szCs w:val="24"/>
              </w:rPr>
              <w:t>对应</w:t>
            </w:r>
            <w:r>
              <w:rPr>
                <w:rFonts w:ascii="宋体" w:hAnsi="宋体" w:eastAsia="宋体" w:cs="宋体"/>
                <w:color w:val="auto"/>
                <w:sz w:val="24"/>
                <w:szCs w:val="24"/>
              </w:rPr>
              <w:t>的评审标准被否决投标或不得分），如发现虚假响应参数的按无效投标处理。</w:t>
            </w:r>
          </w:p>
          <w:p w14:paraId="1F2DAB18">
            <w:pPr>
              <w:pStyle w:val="9"/>
              <w:spacing w:line="500" w:lineRule="exact"/>
              <w:ind w:left="0" w:firstLine="0" w:firstLineChars="0"/>
              <w:rPr>
                <w:rFonts w:hint="eastAsia" w:ascii="宋体" w:hAnsi="宋体" w:eastAsia="宋体" w:cs="宋体"/>
                <w:color w:val="auto"/>
                <w:sz w:val="24"/>
                <w:szCs w:val="24"/>
              </w:rPr>
            </w:pPr>
            <w:r>
              <w:rPr>
                <w:rFonts w:ascii="宋体" w:hAnsi="宋体" w:eastAsia="宋体" w:cs="宋体"/>
                <w:color w:val="auto"/>
                <w:sz w:val="24"/>
                <w:szCs w:val="24"/>
              </w:rPr>
              <w:t>②如下述采购需求清单中约定要求提供证明材料，请投标人在相应标识项的参数技术响应表后附相应的证明材料，同时需要在响应表中注明所在页码，且需要同证明材料进行对应。</w:t>
            </w:r>
          </w:p>
          <w:p w14:paraId="3D8ADEAC">
            <w:pPr>
              <w:pStyle w:val="9"/>
              <w:spacing w:line="500" w:lineRule="exact"/>
              <w:ind w:left="0" w:firstLine="0" w:firstLineChars="0"/>
              <w:rPr>
                <w:rFonts w:hint="eastAsia" w:ascii="宋体" w:hAnsi="宋体" w:eastAsia="宋体" w:cs="宋体"/>
                <w:color w:val="auto"/>
                <w:sz w:val="24"/>
                <w:szCs w:val="24"/>
              </w:rPr>
            </w:pPr>
            <w:r>
              <w:rPr>
                <w:rFonts w:ascii="宋体" w:hAnsi="宋体" w:eastAsia="宋体" w:cs="宋体"/>
                <w:color w:val="auto"/>
                <w:sz w:val="24"/>
                <w:szCs w:val="24"/>
              </w:rPr>
              <w:t>③除采购需求清单中明确约定在投标文件（或投标时）提供检测或检验或测试报告等证明材料外，其他材料均为合同签订后提供。</w:t>
            </w:r>
          </w:p>
          <w:p w14:paraId="33BAFCB1">
            <w:pPr>
              <w:pStyle w:val="9"/>
              <w:spacing w:line="500" w:lineRule="exact"/>
              <w:ind w:left="0" w:firstLine="0" w:firstLineChars="0"/>
              <w:rPr>
                <w:rFonts w:hint="eastAsia" w:ascii="宋体" w:hAnsi="宋体" w:eastAsia="宋体" w:cs="宋体"/>
                <w:bCs/>
                <w:color w:val="auto"/>
                <w:sz w:val="24"/>
                <w:szCs w:val="24"/>
              </w:rPr>
            </w:pPr>
            <w:r>
              <w:rPr>
                <w:rFonts w:ascii="宋体" w:hAnsi="宋体" w:eastAsia="宋体" w:cs="宋体"/>
                <w:color w:val="auto"/>
                <w:sz w:val="24"/>
                <w:szCs w:val="24"/>
              </w:rPr>
              <w:t>④采购人有权要求合同签订后，验收时中标人对所投产品功能参数进行逐项演示，如发现有与投标文件描述不符或弄虚作假行为，中标人承担违约责任。</w:t>
            </w:r>
          </w:p>
        </w:tc>
      </w:tr>
    </w:tbl>
    <w:p w14:paraId="36A91013">
      <w:pPr>
        <w:pStyle w:val="9"/>
        <w:ind w:left="0"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（二）货物指标要求</w:t>
      </w:r>
    </w:p>
    <w:tbl>
      <w:tblPr>
        <w:tblStyle w:val="10"/>
        <w:tblW w:w="5051" w:type="pct"/>
        <w:tblInd w:w="-92" w:type="dxa"/>
        <w:tblLayout w:type="fixed"/>
        <w:tblCellMar>
          <w:top w:w="0" w:type="dxa"/>
          <w:left w:w="108" w:type="dxa"/>
          <w:bottom w:w="0" w:type="dxa"/>
          <w:right w:w="108" w:type="dxa"/>
        </w:tblCellMar>
      </w:tblPr>
      <w:tblGrid>
        <w:gridCol w:w="751"/>
        <w:gridCol w:w="1199"/>
        <w:gridCol w:w="5344"/>
        <w:gridCol w:w="658"/>
        <w:gridCol w:w="658"/>
      </w:tblGrid>
      <w:tr w14:paraId="02CE649E">
        <w:tblPrEx>
          <w:tblCellMar>
            <w:top w:w="0" w:type="dxa"/>
            <w:left w:w="108" w:type="dxa"/>
            <w:bottom w:w="0" w:type="dxa"/>
            <w:right w:w="108" w:type="dxa"/>
          </w:tblCellMar>
        </w:tblPrEx>
        <w:trPr>
          <w:trHeight w:val="6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6F3E2B8C">
            <w:pPr>
              <w:pStyle w:val="5"/>
              <w:jc w:val="center"/>
              <w:rPr>
                <w:rFonts w:hint="eastAsia" w:ascii="宋体" w:hAnsi="宋体" w:eastAsia="宋体" w:cs="宋体"/>
                <w:color w:val="auto"/>
              </w:rPr>
            </w:pPr>
            <w:r>
              <w:rPr>
                <w:rFonts w:hint="eastAsia" w:ascii="宋体" w:hAnsi="宋体" w:eastAsia="宋体" w:cs="宋体"/>
                <w:color w:val="auto"/>
              </w:rPr>
              <w:t>序号</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3F198DD9">
            <w:pPr>
              <w:pStyle w:val="5"/>
              <w:jc w:val="center"/>
              <w:rPr>
                <w:rFonts w:hint="eastAsia" w:ascii="宋体" w:hAnsi="宋体" w:eastAsia="宋体" w:cs="宋体"/>
                <w:color w:val="auto"/>
              </w:rPr>
            </w:pPr>
            <w:r>
              <w:rPr>
                <w:rFonts w:hint="eastAsia" w:ascii="宋体" w:hAnsi="宋体" w:eastAsia="宋体" w:cs="宋体"/>
                <w:color w:val="auto"/>
              </w:rPr>
              <w:t>货物名称</w:t>
            </w:r>
          </w:p>
        </w:tc>
        <w:tc>
          <w:tcPr>
            <w:tcW w:w="3103" w:type="pct"/>
            <w:tcBorders>
              <w:top w:val="single" w:color="000000" w:sz="4" w:space="0"/>
              <w:left w:val="single" w:color="000000" w:sz="4" w:space="0"/>
              <w:bottom w:val="single" w:color="000000" w:sz="4" w:space="0"/>
              <w:right w:val="single" w:color="000000" w:sz="4" w:space="0"/>
            </w:tcBorders>
            <w:noWrap/>
            <w:vAlign w:val="center"/>
          </w:tcPr>
          <w:p w14:paraId="52639E90">
            <w:pPr>
              <w:pStyle w:val="5"/>
              <w:jc w:val="center"/>
              <w:rPr>
                <w:rFonts w:hint="eastAsia" w:ascii="宋体" w:hAnsi="宋体" w:eastAsia="宋体" w:cs="宋体"/>
                <w:color w:val="auto"/>
              </w:rPr>
            </w:pPr>
            <w:r>
              <w:rPr>
                <w:rFonts w:hint="eastAsia" w:ascii="宋体" w:hAnsi="宋体" w:eastAsia="宋体" w:cs="宋体"/>
                <w:color w:val="auto"/>
              </w:rPr>
              <w:t>技术参数及要求</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2C6E742">
            <w:pPr>
              <w:pStyle w:val="5"/>
              <w:jc w:val="center"/>
              <w:rPr>
                <w:rFonts w:hint="eastAsia" w:ascii="宋体" w:hAnsi="宋体" w:eastAsia="宋体" w:cs="宋体"/>
                <w:color w:val="auto"/>
              </w:rPr>
            </w:pPr>
            <w:r>
              <w:rPr>
                <w:rFonts w:hint="eastAsia" w:ascii="宋体" w:hAnsi="宋体" w:eastAsia="宋体" w:cs="宋体"/>
                <w:color w:val="auto"/>
              </w:rPr>
              <w:t>数量</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33A2ACDD">
            <w:pPr>
              <w:pStyle w:val="5"/>
              <w:jc w:val="center"/>
              <w:rPr>
                <w:rFonts w:hint="eastAsia" w:ascii="宋体" w:hAnsi="宋体" w:eastAsia="宋体" w:cs="宋体"/>
                <w:color w:val="auto"/>
              </w:rPr>
            </w:pPr>
            <w:r>
              <w:rPr>
                <w:rFonts w:hint="eastAsia" w:ascii="宋体" w:hAnsi="宋体" w:eastAsia="宋体" w:cs="宋体"/>
                <w:color w:val="auto"/>
              </w:rPr>
              <w:t>单位</w:t>
            </w:r>
          </w:p>
        </w:tc>
      </w:tr>
      <w:tr w14:paraId="712D0F4F">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42F6BC11">
            <w:pPr>
              <w:spacing w:line="360" w:lineRule="auto"/>
              <w:jc w:val="center"/>
              <w:rPr>
                <w:rFonts w:hint="eastAsia" w:ascii="宋体" w:hAnsi="宋体" w:cs="宋体"/>
                <w:color w:val="auto"/>
                <w:szCs w:val="18"/>
              </w:rPr>
            </w:pPr>
            <w:r>
              <w:rPr>
                <w:rFonts w:hint="eastAsia" w:ascii="宋体" w:hAnsi="宋体" w:cs="宋体"/>
                <w:color w:val="auto"/>
                <w:szCs w:val="18"/>
              </w:rPr>
              <w:t>1</w:t>
            </w:r>
          </w:p>
        </w:tc>
        <w:tc>
          <w:tcPr>
            <w:tcW w:w="1212" w:type="dxa"/>
            <w:tcBorders>
              <w:top w:val="single" w:color="000000" w:sz="4" w:space="0"/>
              <w:left w:val="single" w:color="000000" w:sz="4" w:space="0"/>
              <w:bottom w:val="single" w:color="000000" w:sz="4" w:space="0"/>
              <w:right w:val="single" w:color="000000" w:sz="4" w:space="0"/>
            </w:tcBorders>
            <w:vAlign w:val="center"/>
          </w:tcPr>
          <w:p w14:paraId="0E99BAA3">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lang w:val="en-US" w:eastAsia="zh-CN"/>
              </w:rPr>
              <w:t>MCVD</w:t>
            </w:r>
            <w:r>
              <w:rPr>
                <w:rFonts w:hint="eastAsia" w:ascii="宋体" w:hAnsi="宋体" w:eastAsia="宋体" w:cs="宋体"/>
                <w:bCs/>
                <w:color w:val="auto"/>
                <w:sz w:val="24"/>
                <w:szCs w:val="24"/>
                <w:highlight w:val="none"/>
              </w:rPr>
              <w:t>控</w:t>
            </w:r>
            <w:r>
              <w:rPr>
                <w:rFonts w:hint="eastAsia" w:ascii="宋体" w:hAnsi="宋体" w:eastAsia="宋体" w:cs="宋体"/>
                <w:bCs/>
                <w:color w:val="auto"/>
                <w:sz w:val="24"/>
                <w:szCs w:val="24"/>
              </w:rPr>
              <w:t>制系统及机床</w:t>
            </w:r>
          </w:p>
        </w:tc>
        <w:tc>
          <w:tcPr>
            <w:tcW w:w="5403" w:type="dxa"/>
            <w:tcBorders>
              <w:top w:val="single" w:color="000000" w:sz="4" w:space="0"/>
              <w:left w:val="single" w:color="000000" w:sz="4" w:space="0"/>
              <w:bottom w:val="single" w:color="000000" w:sz="4" w:space="0"/>
              <w:right w:val="single" w:color="000000" w:sz="4" w:space="0"/>
            </w:tcBorders>
            <w:vAlign w:val="top"/>
          </w:tcPr>
          <w:p w14:paraId="4C36A0E9">
            <w:pPr>
              <w:pStyle w:val="16"/>
              <w:spacing w:before="156" w:after="156"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1.工艺技术要求</w:t>
            </w:r>
          </w:p>
          <w:p w14:paraId="32BBBC06">
            <w:pPr>
              <w:pStyle w:val="17"/>
              <w:spacing w:line="24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1.1 </w:t>
            </w:r>
            <w:r>
              <w:rPr>
                <w:rFonts w:hint="eastAsia" w:ascii="宋体" w:hAnsi="宋体" w:eastAsia="宋体" w:cs="宋体"/>
                <w:color w:val="auto"/>
                <w:sz w:val="24"/>
                <w:szCs w:val="24"/>
              </w:rPr>
              <w:t>可制备高浓度掺硼预制棒</w:t>
            </w:r>
          </w:p>
          <w:p w14:paraId="1F6D1D9F">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掺硼区（应力区）直径：≥15.0mm；</w:t>
            </w:r>
          </w:p>
          <w:p w14:paraId="7B90EF93">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与石英材料相对折射率差Δn（未火焰抛光）：≥0.007；</w:t>
            </w:r>
          </w:p>
          <w:p w14:paraId="68C943CF">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有效长度：≥800mm；</w:t>
            </w:r>
          </w:p>
          <w:p w14:paraId="403F1FEC">
            <w:pPr>
              <w:pStyle w:val="17"/>
              <w:spacing w:line="24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平直度（间每隔1000 mm）：≤0.5mm</w:t>
            </w:r>
            <w:r>
              <w:rPr>
                <w:rFonts w:hint="eastAsia" w:ascii="宋体" w:hAnsi="宋体" w:eastAsia="宋体" w:cs="宋体"/>
                <w:color w:val="auto"/>
                <w:sz w:val="24"/>
                <w:szCs w:val="24"/>
                <w:lang w:eastAsia="zh-CN"/>
              </w:rPr>
              <w:t>；</w:t>
            </w:r>
          </w:p>
          <w:p w14:paraId="41EA8181">
            <w:pPr>
              <w:pStyle w:val="17"/>
              <w:spacing w:line="24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不圆度（同一位置3角度测量）：≤1%</w:t>
            </w:r>
            <w:r>
              <w:rPr>
                <w:rFonts w:hint="eastAsia" w:ascii="宋体" w:hAnsi="宋体" w:eastAsia="宋体" w:cs="宋体"/>
                <w:color w:val="auto"/>
                <w:sz w:val="24"/>
                <w:szCs w:val="24"/>
                <w:lang w:eastAsia="zh-CN"/>
              </w:rPr>
              <w:t>；</w:t>
            </w:r>
          </w:p>
          <w:p w14:paraId="15EED472">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芯直径极差值（有效长度内）：≤0.3mm；</w:t>
            </w:r>
          </w:p>
          <w:p w14:paraId="2D9810FE">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折射率极差值（有效长度内）：≤0.0002。</w:t>
            </w:r>
          </w:p>
          <w:p w14:paraId="3744E138">
            <w:pPr>
              <w:pStyle w:val="17"/>
              <w:spacing w:line="24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1.2 </w:t>
            </w:r>
            <w:r>
              <w:rPr>
                <w:rFonts w:hint="eastAsia" w:ascii="宋体" w:hAnsi="宋体" w:eastAsia="宋体" w:cs="宋体"/>
                <w:color w:val="auto"/>
                <w:sz w:val="24"/>
                <w:szCs w:val="24"/>
              </w:rPr>
              <w:t>可制备ITU-T G.652.A单模光纤预制棒芯棒</w:t>
            </w:r>
          </w:p>
          <w:p w14:paraId="22DC3B90">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芯棒沉积速率：≥2.0g/min，沉积速率大小可依据工艺要求适当调整，沉积效率≥90%；</w:t>
            </w:r>
          </w:p>
          <w:p w14:paraId="698599D7">
            <w:pPr>
              <w:pStyle w:val="17"/>
              <w:spacing w:line="240" w:lineRule="auto"/>
              <w:ind w:firstLine="48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几何参数：</w:t>
            </w:r>
          </w:p>
          <w:p w14:paraId="5199B75A">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有效长度：≥900mm；</w:t>
            </w:r>
          </w:p>
          <w:p w14:paraId="188B9B81">
            <w:pPr>
              <w:pStyle w:val="17"/>
              <w:spacing w:line="24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外径变化（有效长度）：≤最大外径的3%</w:t>
            </w:r>
            <w:r>
              <w:rPr>
                <w:rFonts w:hint="eastAsia" w:ascii="宋体" w:hAnsi="宋体" w:eastAsia="宋体" w:cs="宋体"/>
                <w:color w:val="auto"/>
                <w:sz w:val="24"/>
                <w:szCs w:val="24"/>
                <w:lang w:eastAsia="zh-CN"/>
              </w:rPr>
              <w:t>；</w:t>
            </w:r>
          </w:p>
          <w:p w14:paraId="07399D61">
            <w:pPr>
              <w:pStyle w:val="17"/>
              <w:spacing w:line="24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弓曲度：≤0.5mm/m</w:t>
            </w:r>
            <w:r>
              <w:rPr>
                <w:rFonts w:hint="eastAsia" w:ascii="宋体" w:hAnsi="宋体" w:eastAsia="宋体" w:cs="宋体"/>
                <w:color w:val="auto"/>
                <w:sz w:val="24"/>
                <w:szCs w:val="24"/>
                <w:lang w:eastAsia="zh-CN"/>
              </w:rPr>
              <w:t>；</w:t>
            </w:r>
          </w:p>
          <w:p w14:paraId="4B907FBB">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d.</w:t>
            </w:r>
            <w:r>
              <w:rPr>
                <w:rFonts w:hint="eastAsia" w:ascii="宋体" w:hAnsi="宋体" w:eastAsia="宋体" w:cs="宋体"/>
                <w:color w:val="auto"/>
                <w:sz w:val="24"/>
                <w:szCs w:val="24"/>
              </w:rPr>
              <w:t xml:space="preserve">不圆度（同一位置3角度测量）：≤1%。 </w:t>
            </w:r>
          </w:p>
          <w:p w14:paraId="341F18CD">
            <w:pPr>
              <w:pStyle w:val="17"/>
              <w:spacing w:line="24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折射率参数：</w:t>
            </w:r>
          </w:p>
          <w:p w14:paraId="0AD98908">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包层平均折射率：-0.0007~-0.0003；</w:t>
            </w:r>
          </w:p>
          <w:p w14:paraId="57FFAEE9">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芯层平均折射率：+0.004~+0.007；</w:t>
            </w:r>
          </w:p>
          <w:p w14:paraId="54053592">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芯包层相对折射率差：0.0034-0.0038；</w:t>
            </w:r>
          </w:p>
          <w:p w14:paraId="1F806FBD">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d.</w:t>
            </w:r>
            <w:r>
              <w:rPr>
                <w:rFonts w:hint="eastAsia" w:ascii="宋体" w:hAnsi="宋体" w:eastAsia="宋体" w:cs="宋体"/>
                <w:color w:val="auto"/>
                <w:sz w:val="24"/>
                <w:szCs w:val="24"/>
              </w:rPr>
              <w:t>单根预制棒轴向相对折射率偏差（最大值</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最小值）：≤0.0003；</w:t>
            </w:r>
          </w:p>
          <w:p w14:paraId="47A4F9B2">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单根芯棒有效长度内气泡数量：≤3个（含亮点）；</w:t>
            </w:r>
          </w:p>
          <w:p w14:paraId="5E32F88D">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所拉丝光纤（除去掉头、断纤、涂敷缺陷等拉丝原因丢弃的光纤）中，满足</w:t>
            </w:r>
            <w:r>
              <w:rPr>
                <w:rFonts w:hint="eastAsia" w:ascii="宋体" w:hAnsi="宋体" w:eastAsia="宋体" w:cs="宋体"/>
                <w:color w:val="auto"/>
                <w:sz w:val="24"/>
                <w:szCs w:val="24"/>
                <w:lang w:eastAsia="zh-CN"/>
              </w:rPr>
              <w:t>：</w:t>
            </w:r>
          </w:p>
          <w:p w14:paraId="0CF661B1">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工作波长@1310nm衰减≤0.4dB/km，比例达到90%；</w:t>
            </w:r>
          </w:p>
          <w:p w14:paraId="5E7BAB94">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工作波长@1550nm衰减≤0.25dB/km，比例达到90%。</w:t>
            </w:r>
          </w:p>
          <w:p w14:paraId="444F5390">
            <w:pPr>
              <w:pStyle w:val="17"/>
              <w:spacing w:line="24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1.3 </w:t>
            </w:r>
            <w:r>
              <w:rPr>
                <w:rFonts w:hint="eastAsia" w:ascii="宋体" w:hAnsi="宋体" w:eastAsia="宋体" w:cs="宋体"/>
                <w:color w:val="auto"/>
                <w:sz w:val="24"/>
                <w:szCs w:val="24"/>
              </w:rPr>
              <w:t>制备多模光纤预制棒</w:t>
            </w:r>
          </w:p>
          <w:p w14:paraId="6A322F28">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产品有效长度≥800mm。制备50/125μm多模光纤，该多模光纤损耗满足GB/T12357</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-A1a类光纤损耗要求，850nm衰减系数≤2.6dB/km，1300nm衰减系数≤0.7dB/km，按多模光纤要求使用对应涂层与拉丝工艺。按要求使用</w:t>
            </w:r>
            <w:r>
              <w:rPr>
                <w:rFonts w:hint="eastAsia" w:ascii="宋体" w:hAnsi="宋体" w:eastAsia="宋体" w:cs="宋体"/>
                <w:color w:val="auto"/>
                <w:sz w:val="24"/>
                <w:szCs w:val="24"/>
                <w:lang w:val="en-US" w:eastAsia="zh-CN"/>
              </w:rPr>
              <w:t>对应的</w:t>
            </w:r>
            <w:r>
              <w:rPr>
                <w:rFonts w:hint="eastAsia" w:ascii="宋体" w:hAnsi="宋体" w:eastAsia="宋体" w:cs="宋体"/>
                <w:color w:val="auto"/>
                <w:sz w:val="24"/>
                <w:szCs w:val="24"/>
              </w:rPr>
              <w:t>多模衬管和套管，多模光纤专用涂层与拉丝工艺。</w:t>
            </w:r>
          </w:p>
          <w:p w14:paraId="38F28DC8">
            <w:pPr>
              <w:pStyle w:val="17"/>
              <w:spacing w:line="24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1.4 </w:t>
            </w:r>
            <w:r>
              <w:rPr>
                <w:rFonts w:hint="eastAsia" w:ascii="宋体" w:hAnsi="宋体" w:eastAsia="宋体" w:cs="宋体"/>
                <w:color w:val="auto"/>
                <w:sz w:val="24"/>
                <w:szCs w:val="24"/>
              </w:rPr>
              <w:t>制备掺氟层石英管</w:t>
            </w:r>
          </w:p>
          <w:p w14:paraId="3CD2A547">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掺氟层相对于纯石英层数值孔</w:t>
            </w:r>
            <w:r>
              <w:rPr>
                <w:rFonts w:hint="eastAsia" w:ascii="宋体" w:hAnsi="宋体" w:eastAsia="宋体" w:cs="宋体"/>
                <w:color w:val="auto"/>
                <w:sz w:val="24"/>
                <w:szCs w:val="24"/>
                <w:highlight w:val="none"/>
              </w:rPr>
              <w:t>径NA≥0.2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p>
          <w:p w14:paraId="70F695D5">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反应管直径在36mm时，沉积面积：≥120mm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；有效长度（参数均匀区域）：≥800mm；</w:t>
            </w:r>
          </w:p>
          <w:p w14:paraId="6808BFDF">
            <w:pPr>
              <w:pStyle w:val="17"/>
              <w:spacing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平直度(满足间每隔100mm)：≤0.05mm；</w:t>
            </w:r>
          </w:p>
          <w:p w14:paraId="1BA09743">
            <w:pPr>
              <w:pStyle w:val="17"/>
              <w:spacing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厚度极差值（有效长度内）：≤0.2mm；</w:t>
            </w:r>
          </w:p>
          <w:p w14:paraId="2F644278">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折射率极差值: ≤0.0005。</w:t>
            </w:r>
          </w:p>
          <w:p w14:paraId="70CF2ADB">
            <w:pPr>
              <w:pStyle w:val="17"/>
              <w:spacing w:line="24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1.5 </w:t>
            </w:r>
            <w:r>
              <w:rPr>
                <w:rFonts w:hint="eastAsia" w:ascii="宋体" w:hAnsi="宋体" w:eastAsia="宋体" w:cs="宋体"/>
                <w:color w:val="auto"/>
                <w:sz w:val="24"/>
                <w:szCs w:val="24"/>
              </w:rPr>
              <w:t>制备掺镱预制棒</w:t>
            </w:r>
          </w:p>
          <w:p w14:paraId="7B6CD629">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有效长度：≥800mm；</w:t>
            </w:r>
          </w:p>
          <w:p w14:paraId="3DE3294E">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芯直径≥2mm；</w:t>
            </w:r>
          </w:p>
          <w:p w14:paraId="32F9D3EC">
            <w:pPr>
              <w:pStyle w:val="17"/>
              <w:spacing w:line="24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芯Yb掺杂浓度≥1000ppm</w:t>
            </w:r>
            <w:r>
              <w:rPr>
                <w:rFonts w:hint="eastAsia" w:ascii="宋体" w:hAnsi="宋体" w:eastAsia="宋体" w:cs="宋体"/>
                <w:color w:val="auto"/>
                <w:sz w:val="24"/>
                <w:szCs w:val="24"/>
                <w:lang w:eastAsia="zh-CN"/>
              </w:rPr>
              <w:t>。</w:t>
            </w:r>
          </w:p>
          <w:p w14:paraId="29F0C8EB">
            <w:pPr>
              <w:pStyle w:val="18"/>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1.6 </w:t>
            </w:r>
            <w:r>
              <w:rPr>
                <w:rFonts w:hint="eastAsia" w:ascii="宋体" w:hAnsi="宋体" w:eastAsia="宋体" w:cs="宋体"/>
                <w:color w:val="auto"/>
                <w:sz w:val="24"/>
                <w:szCs w:val="24"/>
              </w:rPr>
              <w:t>验收棒/管缺陷要求</w:t>
            </w:r>
          </w:p>
          <w:p w14:paraId="4978F885">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气泡、亮点（尺寸≤1mm）个数：≤3个/米。</w:t>
            </w:r>
          </w:p>
          <w:p w14:paraId="115A688E">
            <w:pPr>
              <w:pStyle w:val="16"/>
              <w:spacing w:before="156" w:after="156"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2.设备技术要求</w:t>
            </w:r>
          </w:p>
          <w:p w14:paraId="1C195763">
            <w:pPr>
              <w:pStyle w:val="19"/>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车床</w:t>
            </w:r>
          </w:p>
          <w:p w14:paraId="116CD678">
            <w:pPr>
              <w:autoSpaceDE w:val="0"/>
              <w:autoSpaceDN w:val="0"/>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最大沉积长度：1300mm</w:t>
            </w:r>
            <w:r>
              <w:rPr>
                <w:rFonts w:hint="eastAsia" w:ascii="宋体" w:hAnsi="宋体" w:cs="宋体"/>
                <w:color w:val="auto"/>
                <w:kern w:val="0"/>
                <w:sz w:val="24"/>
                <w:szCs w:val="24"/>
                <w:lang w:eastAsia="zh-CN"/>
              </w:rPr>
              <w:t>；</w:t>
            </w:r>
          </w:p>
          <w:p w14:paraId="06E29996">
            <w:pPr>
              <w:autoSpaceDE w:val="0"/>
              <w:autoSpaceDN w:val="0"/>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主轴端面径向跳动：</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0.05mm</w:t>
            </w:r>
            <w:r>
              <w:rPr>
                <w:rFonts w:hint="eastAsia" w:ascii="宋体" w:hAnsi="宋体" w:cs="宋体"/>
                <w:color w:val="auto"/>
                <w:kern w:val="0"/>
                <w:sz w:val="24"/>
                <w:szCs w:val="24"/>
                <w:lang w:eastAsia="zh-CN"/>
              </w:rPr>
              <w:t>；</w:t>
            </w:r>
          </w:p>
          <w:p w14:paraId="08DE5340">
            <w:pPr>
              <w:autoSpaceDE w:val="0"/>
              <w:autoSpaceDN w:val="0"/>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主轴端面轴向跳动：</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0.05mm</w:t>
            </w:r>
            <w:r>
              <w:rPr>
                <w:rFonts w:hint="eastAsia" w:ascii="宋体" w:hAnsi="宋体" w:cs="宋体"/>
                <w:color w:val="auto"/>
                <w:kern w:val="0"/>
                <w:sz w:val="24"/>
                <w:szCs w:val="24"/>
                <w:lang w:eastAsia="zh-CN"/>
              </w:rPr>
              <w:t>；</w:t>
            </w:r>
          </w:p>
          <w:p w14:paraId="332C9CAB">
            <w:pPr>
              <w:autoSpaceDE w:val="0"/>
              <w:autoSpaceDN w:val="0"/>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主旋转轴同轴度偏差：</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0.1mm</w:t>
            </w:r>
            <w:r>
              <w:rPr>
                <w:rFonts w:hint="eastAsia" w:ascii="宋体" w:hAnsi="宋体" w:cs="宋体"/>
                <w:color w:val="auto"/>
                <w:kern w:val="0"/>
                <w:sz w:val="24"/>
                <w:szCs w:val="24"/>
                <w:lang w:eastAsia="zh-CN"/>
              </w:rPr>
              <w:t>。</w:t>
            </w:r>
          </w:p>
          <w:p w14:paraId="14BBEEBD">
            <w:pPr>
              <w:pStyle w:val="19"/>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反应管参数</w:t>
            </w:r>
          </w:p>
          <w:p w14:paraId="19709676">
            <w:pPr>
              <w:pStyle w:val="17"/>
              <w:spacing w:line="240" w:lineRule="auto"/>
              <w:ind w:left="0" w:lef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（1）反应管有效长度（不含支撑管及尾气管）：≥1300.0mm</w:t>
            </w:r>
            <w:r>
              <w:rPr>
                <w:rFonts w:hint="eastAsia" w:ascii="宋体" w:hAnsi="宋体" w:eastAsia="宋体" w:cs="宋体"/>
                <w:color w:val="auto"/>
                <w:sz w:val="24"/>
                <w:szCs w:val="24"/>
                <w:lang w:eastAsia="zh-CN"/>
              </w:rPr>
              <w:t>；</w:t>
            </w:r>
          </w:p>
          <w:p w14:paraId="6068FF8C">
            <w:pPr>
              <w:pStyle w:val="17"/>
              <w:spacing w:line="24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（2）反应管外径中心值为：Φ36mm，壁厚≥2mm</w:t>
            </w:r>
            <w:r>
              <w:rPr>
                <w:rFonts w:hint="eastAsia" w:ascii="宋体" w:hAnsi="宋体" w:eastAsia="宋体" w:cs="宋体"/>
                <w:color w:val="auto"/>
                <w:sz w:val="24"/>
                <w:szCs w:val="24"/>
                <w:lang w:eastAsia="zh-CN"/>
              </w:rPr>
              <w:t>。</w:t>
            </w:r>
          </w:p>
          <w:p w14:paraId="3D8D5432">
            <w:pPr>
              <w:pStyle w:val="17"/>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精密薄膜规绝压传感器：压力控制范围1~100mBar ；</w:t>
            </w:r>
          </w:p>
          <w:p w14:paraId="5F1F4E7A">
            <w:pPr>
              <w:autoSpaceDE w:val="0"/>
              <w:autoSpaceDN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反应管压力控制：采用自动闭环控制，1~100mbar 范围内可控，常用压力</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5~25mBar，控制精度±0.25%</w:t>
            </w:r>
            <w:r>
              <w:rPr>
                <w:rFonts w:hint="eastAsia" w:ascii="宋体" w:hAnsi="宋体" w:eastAsia="宋体" w:cs="宋体"/>
                <w:color w:val="auto"/>
                <w:sz w:val="24"/>
                <w:szCs w:val="24"/>
              </w:rPr>
              <w:t>；</w:t>
            </w:r>
          </w:p>
          <w:p w14:paraId="1B8CB6AC">
            <w:pPr>
              <w:pStyle w:val="19"/>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主滑台</w:t>
            </w:r>
          </w:p>
          <w:p w14:paraId="4D7193E7">
            <w:pPr>
              <w:pStyle w:val="17"/>
              <w:spacing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最大平移速度：35000mm/min。</w:t>
            </w:r>
          </w:p>
          <w:p w14:paraId="2577F666">
            <w:pPr>
              <w:pStyle w:val="17"/>
              <w:spacing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工作平移速度在15000~35000mm/min区间时，须保证在平移过程中平稳、不振动，控制加速区长度，且该参数可在软件控制系统或辅助控制屏幕显示和快速调节，具有9段 Ramp设定等功能。</w:t>
            </w:r>
          </w:p>
          <w:p w14:paraId="7682B33E">
            <w:pPr>
              <w:pStyle w:val="19"/>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★2.5 双数控电机同步旋转系统</w:t>
            </w:r>
          </w:p>
          <w:p w14:paraId="4D894FD5">
            <w:pPr>
              <w:pStyle w:val="19"/>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■2.6 保温炉系统</w:t>
            </w:r>
          </w:p>
          <w:p w14:paraId="367CAA2F">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控制方式：0~100%连续可调。保温炉三温区独立控温，采用温度反馈控制；</w:t>
            </w:r>
          </w:p>
          <w:p w14:paraId="14B79EB3">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温度波动控制：±1℃。</w:t>
            </w:r>
          </w:p>
          <w:p w14:paraId="70347512">
            <w:pPr>
              <w:pStyle w:val="19"/>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■2.7 微波系统</w:t>
            </w:r>
          </w:p>
          <w:p w14:paraId="7A89AD69">
            <w:pPr>
              <w:pStyle w:val="17"/>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（1）微波功率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微波源最大输出功率≥6KW，微波源频率约2.45GHz，配备自动调谐系统；</w:t>
            </w:r>
          </w:p>
          <w:p w14:paraId="12A33608">
            <w:pPr>
              <w:pStyle w:val="17"/>
              <w:spacing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（2）微波谐振腔：具有带水冷的圆柱型谐振腔和带水冷的矩形波导。</w:t>
            </w:r>
          </w:p>
          <w:p w14:paraId="7113082D">
            <w:pPr>
              <w:pStyle w:val="19"/>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■2.8 气柜系统</w:t>
            </w:r>
          </w:p>
          <w:p w14:paraId="6732A4F9">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具备独立供料气柜，满足对应产品的工艺控制需求。</w:t>
            </w:r>
          </w:p>
          <w:p w14:paraId="5B47A9F7">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配备常规气柜(含 SiCl</w:t>
            </w:r>
            <w:r>
              <w:rPr>
                <w:rFonts w:hint="eastAsia" w:ascii="宋体" w:hAnsi="宋体" w:eastAsia="宋体" w:cs="宋体"/>
                <w:color w:val="auto"/>
                <w:sz w:val="24"/>
                <w:szCs w:val="24"/>
                <w:vertAlign w:val="subscript"/>
              </w:rPr>
              <w:t>4</w:t>
            </w:r>
            <w:r>
              <w:rPr>
                <w:rFonts w:hint="eastAsia" w:ascii="宋体" w:hAnsi="宋体" w:eastAsia="宋体" w:cs="宋体"/>
                <w:color w:val="auto"/>
                <w:sz w:val="24"/>
                <w:szCs w:val="24"/>
              </w:rPr>
              <w:t>，GeCl</w:t>
            </w:r>
            <w:r>
              <w:rPr>
                <w:rFonts w:hint="eastAsia" w:ascii="宋体" w:hAnsi="宋体" w:eastAsia="宋体" w:cs="宋体"/>
                <w:color w:val="auto"/>
                <w:sz w:val="24"/>
                <w:szCs w:val="24"/>
                <w:vertAlign w:val="subscript"/>
              </w:rPr>
              <w:t>4</w:t>
            </w:r>
            <w:r>
              <w:rPr>
                <w:rFonts w:hint="eastAsia" w:ascii="宋体" w:hAnsi="宋体" w:eastAsia="宋体" w:cs="宋体"/>
                <w:color w:val="auto"/>
                <w:sz w:val="24"/>
                <w:szCs w:val="24"/>
              </w:rPr>
              <w:t>，PO</w:t>
            </w:r>
            <w:r>
              <w:rPr>
                <w:rFonts w:hint="eastAsia" w:ascii="宋体" w:hAnsi="宋体" w:eastAsia="宋体" w:cs="宋体"/>
                <w:color w:val="auto"/>
                <w:sz w:val="24"/>
                <w:szCs w:val="24"/>
                <w:highlight w:val="none"/>
              </w:rPr>
              <w:t>Cl</w:t>
            </w:r>
            <w:r>
              <w:rPr>
                <w:rFonts w:hint="eastAsia" w:ascii="宋体" w:hAnsi="宋体" w:eastAsia="宋体" w:cs="宋体"/>
                <w:color w:val="auto"/>
                <w:sz w:val="24"/>
                <w:szCs w:val="24"/>
                <w:highlight w:val="none"/>
                <w:vertAlign w:val="subscript"/>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Freon</w:t>
            </w:r>
            <w:r>
              <w:rPr>
                <w:rFonts w:hint="eastAsia" w:ascii="宋体" w:hAnsi="宋体" w:eastAsia="宋体" w:cs="宋体"/>
                <w:color w:val="auto"/>
                <w:sz w:val="24"/>
                <w:szCs w:val="24"/>
                <w:highlight w:val="none"/>
              </w:rPr>
              <w:t>，O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BCl</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等)，其中气柜配备如下流量计，量程和数量要求如下：</w:t>
            </w:r>
          </w:p>
          <w:p w14:paraId="386EF41A">
            <w:pPr>
              <w:autoSpaceDE w:val="0"/>
              <w:autoSpaceDN w:val="0"/>
              <w:adjustRightInd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SiCl</w:t>
            </w:r>
            <w:r>
              <w:rPr>
                <w:rFonts w:hint="eastAsia" w:ascii="宋体" w:hAnsi="宋体" w:eastAsia="宋体" w:cs="宋体"/>
                <w:color w:val="auto"/>
                <w:kern w:val="0"/>
                <w:sz w:val="24"/>
                <w:szCs w:val="24"/>
                <w:vertAlign w:val="subscript"/>
              </w:rPr>
              <w:t>4</w:t>
            </w:r>
            <w:r>
              <w:rPr>
                <w:rFonts w:hint="eastAsia" w:ascii="宋体" w:hAnsi="宋体" w:eastAsia="宋体" w:cs="宋体"/>
                <w:color w:val="auto"/>
                <w:kern w:val="0"/>
                <w:sz w:val="24"/>
                <w:szCs w:val="24"/>
              </w:rPr>
              <w:t xml:space="preserve">      MFC:  </w:t>
            </w:r>
            <w:r>
              <w:rPr>
                <w:rFonts w:hint="eastAsia" w:ascii="宋体" w:hAnsi="宋体" w:eastAsia="宋体" w:cs="宋体"/>
                <w:color w:val="auto"/>
                <w:lang w:val="en-US" w:eastAsia="zh-CN"/>
              </w:rPr>
              <w:t>≥</w:t>
            </w:r>
            <w:r>
              <w:rPr>
                <w:rFonts w:hint="eastAsia" w:ascii="宋体" w:hAnsi="宋体" w:eastAsia="宋体" w:cs="宋体"/>
                <w:color w:val="auto"/>
                <w:kern w:val="0"/>
                <w:sz w:val="24"/>
                <w:szCs w:val="24"/>
              </w:rPr>
              <w:t xml:space="preserve">2500sccm </w:t>
            </w:r>
          </w:p>
          <w:p w14:paraId="70E9065B">
            <w:pPr>
              <w:autoSpaceDE w:val="0"/>
              <w:autoSpaceDN w:val="0"/>
              <w:adjustRightInd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GeCl</w:t>
            </w:r>
            <w:r>
              <w:rPr>
                <w:rFonts w:hint="eastAsia" w:ascii="宋体" w:hAnsi="宋体" w:eastAsia="宋体" w:cs="宋体"/>
                <w:color w:val="auto"/>
                <w:kern w:val="0"/>
                <w:sz w:val="24"/>
                <w:szCs w:val="24"/>
                <w:vertAlign w:val="subscript"/>
              </w:rPr>
              <w:t xml:space="preserve">4            </w:t>
            </w:r>
            <w:r>
              <w:rPr>
                <w:rFonts w:hint="eastAsia" w:ascii="宋体" w:hAnsi="宋体" w:eastAsia="宋体" w:cs="宋体"/>
                <w:color w:val="auto"/>
                <w:kern w:val="0"/>
                <w:sz w:val="24"/>
                <w:szCs w:val="24"/>
              </w:rPr>
              <w:t xml:space="preserve">MFC:  </w:t>
            </w:r>
            <w:r>
              <w:rPr>
                <w:rFonts w:hint="eastAsia" w:ascii="宋体" w:hAnsi="宋体" w:eastAsia="宋体" w:cs="宋体"/>
                <w:color w:val="auto"/>
                <w:lang w:val="en-US" w:eastAsia="zh-CN"/>
              </w:rPr>
              <w:t>≥</w:t>
            </w:r>
            <w:r>
              <w:rPr>
                <w:rFonts w:hint="eastAsia" w:ascii="宋体" w:hAnsi="宋体" w:eastAsia="宋体" w:cs="宋体"/>
                <w:color w:val="auto"/>
                <w:kern w:val="0"/>
                <w:sz w:val="24"/>
                <w:szCs w:val="24"/>
              </w:rPr>
              <w:t xml:space="preserve">350sccm, </w:t>
            </w:r>
            <w:r>
              <w:rPr>
                <w:rFonts w:hint="eastAsia" w:ascii="宋体" w:hAnsi="宋体" w:eastAsia="宋体" w:cs="宋体"/>
                <w:color w:val="auto"/>
                <w:lang w:val="en-US" w:eastAsia="zh-CN"/>
              </w:rPr>
              <w:t>≥</w:t>
            </w:r>
            <w:r>
              <w:rPr>
                <w:rFonts w:hint="eastAsia" w:ascii="宋体" w:hAnsi="宋体" w:eastAsia="宋体" w:cs="宋体"/>
                <w:color w:val="auto"/>
                <w:kern w:val="0"/>
                <w:sz w:val="24"/>
                <w:szCs w:val="24"/>
              </w:rPr>
              <w:t>100sccm</w:t>
            </w:r>
          </w:p>
          <w:p w14:paraId="7AE25ED7">
            <w:pPr>
              <w:autoSpaceDE w:val="0"/>
              <w:autoSpaceDN w:val="0"/>
              <w:adjustRightInd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POCl</w:t>
            </w:r>
            <w:r>
              <w:rPr>
                <w:rFonts w:hint="eastAsia" w:ascii="宋体" w:hAnsi="宋体" w:eastAsia="宋体" w:cs="宋体"/>
                <w:color w:val="auto"/>
                <w:kern w:val="0"/>
                <w:sz w:val="24"/>
                <w:szCs w:val="24"/>
                <w:vertAlign w:val="subscript"/>
              </w:rPr>
              <w:t>3</w:t>
            </w:r>
            <w:r>
              <w:rPr>
                <w:rFonts w:hint="eastAsia" w:ascii="宋体" w:hAnsi="宋体" w:eastAsia="宋体" w:cs="宋体"/>
                <w:color w:val="auto"/>
                <w:kern w:val="0"/>
                <w:sz w:val="24"/>
                <w:szCs w:val="24"/>
              </w:rPr>
              <w:t>鼓泡O</w:t>
            </w:r>
            <w:r>
              <w:rPr>
                <w:rFonts w:hint="eastAsia" w:ascii="宋体" w:hAnsi="宋体" w:eastAsia="宋体" w:cs="宋体"/>
                <w:color w:val="auto"/>
                <w:kern w:val="0"/>
                <w:sz w:val="24"/>
                <w:szCs w:val="24"/>
                <w:vertAlign w:val="subscript"/>
              </w:rPr>
              <w:t>2</w:t>
            </w:r>
            <w:r>
              <w:rPr>
                <w:rFonts w:hint="eastAsia" w:ascii="宋体" w:hAnsi="宋体" w:eastAsia="宋体" w:cs="宋体"/>
                <w:color w:val="auto"/>
                <w:kern w:val="0"/>
                <w:sz w:val="24"/>
                <w:szCs w:val="24"/>
                <w:vertAlign w:val="baseline"/>
              </w:rPr>
              <w:t xml:space="preserve"> </w:t>
            </w:r>
            <w:r>
              <w:rPr>
                <w:rFonts w:hint="eastAsia" w:ascii="宋体" w:hAnsi="宋体" w:eastAsia="宋体" w:cs="宋体"/>
                <w:color w:val="auto"/>
                <w:kern w:val="0"/>
                <w:sz w:val="24"/>
                <w:szCs w:val="24"/>
              </w:rPr>
              <w:t>MFC：</w:t>
            </w:r>
            <w:r>
              <w:rPr>
                <w:rFonts w:hint="eastAsia" w:ascii="宋体" w:hAnsi="宋体" w:eastAsia="宋体" w:cs="宋体"/>
                <w:color w:val="auto"/>
                <w:lang w:val="en-US" w:eastAsia="zh-CN"/>
              </w:rPr>
              <w:t>≥</w:t>
            </w:r>
            <w:r>
              <w:rPr>
                <w:rFonts w:hint="eastAsia" w:ascii="宋体" w:hAnsi="宋体" w:eastAsia="宋体" w:cs="宋体"/>
                <w:color w:val="auto"/>
                <w:kern w:val="0"/>
                <w:sz w:val="24"/>
                <w:szCs w:val="24"/>
              </w:rPr>
              <w:t xml:space="preserve">300sccm, </w:t>
            </w:r>
            <w:r>
              <w:rPr>
                <w:rFonts w:hint="eastAsia" w:ascii="宋体" w:hAnsi="宋体" w:eastAsia="宋体" w:cs="宋体"/>
                <w:color w:val="auto"/>
                <w:lang w:val="en-US" w:eastAsia="zh-CN"/>
              </w:rPr>
              <w:t>≥</w:t>
            </w:r>
            <w:r>
              <w:rPr>
                <w:rFonts w:hint="eastAsia" w:ascii="宋体" w:hAnsi="宋体" w:eastAsia="宋体" w:cs="宋体"/>
                <w:color w:val="auto"/>
                <w:kern w:val="0"/>
                <w:sz w:val="24"/>
                <w:szCs w:val="24"/>
              </w:rPr>
              <w:t>50sccm</w:t>
            </w:r>
          </w:p>
          <w:p w14:paraId="1B67EA1B">
            <w:pPr>
              <w:autoSpaceDE w:val="0"/>
              <w:autoSpaceDN w:val="0"/>
              <w:adjustRightInd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O</w:t>
            </w:r>
            <w:r>
              <w:rPr>
                <w:rFonts w:hint="eastAsia" w:ascii="宋体" w:hAnsi="宋体" w:eastAsia="宋体" w:cs="宋体"/>
                <w:color w:val="auto"/>
                <w:kern w:val="0"/>
                <w:sz w:val="24"/>
                <w:szCs w:val="24"/>
                <w:vertAlign w:val="subscript"/>
              </w:rPr>
              <w:t xml:space="preserve">2 </w:t>
            </w:r>
            <w:r>
              <w:rPr>
                <w:rFonts w:hint="eastAsia" w:ascii="宋体" w:hAnsi="宋体" w:eastAsia="宋体" w:cs="宋体"/>
                <w:color w:val="auto"/>
                <w:kern w:val="0"/>
                <w:sz w:val="24"/>
                <w:szCs w:val="24"/>
              </w:rPr>
              <w:t xml:space="preserve">       MFC: </w:t>
            </w:r>
            <w:r>
              <w:rPr>
                <w:rFonts w:hint="eastAsia" w:ascii="宋体" w:hAnsi="宋体" w:eastAsia="宋体" w:cs="宋体"/>
                <w:color w:val="auto"/>
                <w:lang w:val="en-US" w:eastAsia="zh-CN"/>
              </w:rPr>
              <w:t>≥</w:t>
            </w:r>
            <w:r>
              <w:rPr>
                <w:rFonts w:hint="eastAsia" w:ascii="宋体" w:hAnsi="宋体" w:eastAsia="宋体" w:cs="宋体"/>
                <w:color w:val="auto"/>
                <w:kern w:val="0"/>
                <w:sz w:val="24"/>
                <w:szCs w:val="24"/>
              </w:rPr>
              <w:t xml:space="preserve">5000sccm x 2, </w:t>
            </w:r>
            <w:r>
              <w:rPr>
                <w:rFonts w:hint="eastAsia" w:ascii="宋体" w:hAnsi="宋体" w:eastAsia="宋体" w:cs="宋体"/>
                <w:color w:val="auto"/>
                <w:lang w:val="en-US" w:eastAsia="zh-CN"/>
              </w:rPr>
              <w:t>≥</w:t>
            </w:r>
            <w:r>
              <w:rPr>
                <w:rFonts w:hint="eastAsia" w:ascii="宋体" w:hAnsi="宋体" w:eastAsia="宋体" w:cs="宋体"/>
                <w:color w:val="auto"/>
                <w:kern w:val="0"/>
                <w:sz w:val="24"/>
                <w:szCs w:val="24"/>
              </w:rPr>
              <w:t>1000sccm</w:t>
            </w:r>
          </w:p>
          <w:p w14:paraId="51633595">
            <w:pPr>
              <w:autoSpaceDE w:val="0"/>
              <w:autoSpaceDN w:val="0"/>
              <w:adjustRightInd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Freon       MFC：</w:t>
            </w:r>
            <w:r>
              <w:rPr>
                <w:rFonts w:hint="eastAsia" w:ascii="宋体" w:hAnsi="宋体" w:eastAsia="宋体" w:cs="宋体"/>
                <w:color w:val="auto"/>
                <w:lang w:val="en-US" w:eastAsia="zh-CN"/>
              </w:rPr>
              <w:t>≥</w:t>
            </w:r>
            <w:r>
              <w:rPr>
                <w:rFonts w:hint="eastAsia" w:ascii="宋体" w:hAnsi="宋体" w:eastAsia="宋体" w:cs="宋体"/>
                <w:color w:val="auto"/>
                <w:kern w:val="0"/>
                <w:sz w:val="24"/>
                <w:szCs w:val="24"/>
              </w:rPr>
              <w:t>1000sccm,</w:t>
            </w:r>
            <w:r>
              <w:rPr>
                <w:rFonts w:hint="eastAsia" w:ascii="宋体" w:hAnsi="宋体" w:eastAsia="宋体" w:cs="宋体"/>
                <w:color w:val="auto"/>
                <w:lang w:val="en-US" w:eastAsia="zh-CN"/>
              </w:rPr>
              <w:t>≥</w:t>
            </w:r>
            <w:r>
              <w:rPr>
                <w:rFonts w:hint="eastAsia" w:ascii="宋体" w:hAnsi="宋体" w:eastAsia="宋体" w:cs="宋体"/>
                <w:color w:val="auto"/>
                <w:kern w:val="0"/>
                <w:sz w:val="24"/>
                <w:szCs w:val="24"/>
              </w:rPr>
              <w:t>200sccm</w:t>
            </w:r>
          </w:p>
          <w:p w14:paraId="14856320">
            <w:pPr>
              <w:autoSpaceDE w:val="0"/>
              <w:autoSpaceDN w:val="0"/>
              <w:adjustRightInd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BCl</w:t>
            </w:r>
            <w:r>
              <w:rPr>
                <w:rFonts w:hint="eastAsia" w:ascii="宋体" w:hAnsi="宋体" w:eastAsia="宋体" w:cs="宋体"/>
                <w:color w:val="auto"/>
                <w:kern w:val="0"/>
                <w:sz w:val="24"/>
                <w:szCs w:val="24"/>
                <w:vertAlign w:val="subscript"/>
              </w:rPr>
              <w:t>3</w:t>
            </w:r>
            <w:r>
              <w:rPr>
                <w:rFonts w:hint="eastAsia" w:ascii="宋体" w:hAnsi="宋体" w:eastAsia="宋体" w:cs="宋体"/>
                <w:color w:val="auto"/>
                <w:kern w:val="0"/>
                <w:sz w:val="24"/>
                <w:szCs w:val="24"/>
              </w:rPr>
              <w:t xml:space="preserve">        MFC: </w:t>
            </w:r>
            <w:r>
              <w:rPr>
                <w:rFonts w:hint="eastAsia" w:ascii="宋体" w:hAnsi="宋体" w:eastAsia="宋体" w:cs="宋体"/>
                <w:color w:val="auto"/>
                <w:lang w:val="en-US" w:eastAsia="zh-CN"/>
              </w:rPr>
              <w:t>≥</w:t>
            </w:r>
            <w:r>
              <w:rPr>
                <w:rFonts w:hint="eastAsia" w:ascii="宋体" w:hAnsi="宋体" w:eastAsia="宋体" w:cs="宋体"/>
                <w:color w:val="auto"/>
                <w:kern w:val="0"/>
                <w:sz w:val="24"/>
                <w:szCs w:val="24"/>
              </w:rPr>
              <w:t xml:space="preserve">1000sccm </w:t>
            </w:r>
          </w:p>
          <w:p w14:paraId="5FADF7D5">
            <w:pPr>
              <w:pStyle w:val="19"/>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■2.9 蒸发罐配置</w:t>
            </w:r>
          </w:p>
          <w:p w14:paraId="5E6E16C1">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（1）具有反应物（SiCl</w:t>
            </w:r>
            <w:r>
              <w:rPr>
                <w:rFonts w:hint="eastAsia" w:ascii="宋体" w:hAnsi="宋体" w:eastAsia="宋体" w:cs="宋体"/>
                <w:color w:val="auto"/>
                <w:sz w:val="24"/>
                <w:szCs w:val="24"/>
                <w:vertAlign w:val="subscript"/>
              </w:rPr>
              <w:t>4</w:t>
            </w:r>
            <w:r>
              <w:rPr>
                <w:rFonts w:hint="eastAsia" w:ascii="宋体" w:hAnsi="宋体" w:eastAsia="宋体" w:cs="宋体"/>
                <w:color w:val="auto"/>
                <w:sz w:val="24"/>
                <w:szCs w:val="24"/>
              </w:rPr>
              <w:t>､GeCl</w:t>
            </w:r>
            <w:r>
              <w:rPr>
                <w:rFonts w:hint="eastAsia" w:ascii="宋体" w:hAnsi="宋体" w:eastAsia="宋体" w:cs="宋体"/>
                <w:color w:val="auto"/>
                <w:sz w:val="24"/>
                <w:szCs w:val="24"/>
                <w:vertAlign w:val="subscript"/>
              </w:rPr>
              <w:t>4</w:t>
            </w:r>
            <w:r>
              <w:rPr>
                <w:rFonts w:hint="eastAsia" w:ascii="宋体" w:hAnsi="宋体" w:eastAsia="宋体" w:cs="宋体"/>
                <w:color w:val="auto"/>
                <w:sz w:val="24"/>
                <w:szCs w:val="24"/>
              </w:rPr>
              <w:t>､POCl</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BCl</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等）所需的蒸发罐，同时反应物料罐具备可拆卸、换新功能；</w:t>
            </w:r>
          </w:p>
          <w:p w14:paraId="451E7208">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（2）材质须均为316L不锈钢，内部电化学抛光</w:t>
            </w:r>
            <w:r>
              <w:rPr>
                <w:rFonts w:hint="eastAsia" w:ascii="宋体" w:hAnsi="宋体" w:eastAsia="宋体" w:cs="宋体"/>
                <w:color w:val="auto"/>
                <w:sz w:val="24"/>
                <w:szCs w:val="24"/>
                <w:highlight w:val="none"/>
              </w:rPr>
              <w:t>防腐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POCl</w:t>
            </w:r>
            <w:r>
              <w:rPr>
                <w:rFonts w:hint="eastAsia" w:ascii="宋体" w:hAnsi="宋体" w:eastAsia="宋体" w:cs="宋体"/>
                <w:color w:val="auto"/>
                <w:sz w:val="24"/>
                <w:szCs w:val="24"/>
                <w:highlight w:val="none"/>
                <w:vertAlign w:val="subscript"/>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为玻璃罐）</w:t>
            </w:r>
            <w:r>
              <w:rPr>
                <w:rFonts w:hint="eastAsia" w:ascii="宋体" w:hAnsi="宋体" w:eastAsia="宋体" w:cs="宋体"/>
                <w:color w:val="auto"/>
                <w:sz w:val="24"/>
                <w:szCs w:val="24"/>
              </w:rPr>
              <w:t xml:space="preserve">； </w:t>
            </w:r>
          </w:p>
          <w:p w14:paraId="436EBD8C">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（3）须含吹扫管路与自动液体加注功能；</w:t>
            </w:r>
          </w:p>
          <w:p w14:paraId="4BD82E05">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（4）须带压力检测、液位检测、温度检测。</w:t>
            </w:r>
          </w:p>
          <w:p w14:paraId="30082EBA">
            <w:pPr>
              <w:pStyle w:val="19"/>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2.10 控制系统</w:t>
            </w:r>
          </w:p>
          <w:p w14:paraId="12C35211">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MCVD</w:t>
            </w:r>
            <w:r>
              <w:rPr>
                <w:rFonts w:hint="eastAsia" w:ascii="宋体" w:hAnsi="宋体" w:eastAsia="宋体" w:cs="宋体"/>
                <w:color w:val="auto"/>
                <w:sz w:val="24"/>
                <w:szCs w:val="24"/>
              </w:rPr>
              <w:t>沉积系统的控制软件,具有可编程菜单（Recipe），可实现各阶段工艺参数多参数精确控制功能，编辑工具推荐Excel，具有离线编辑并上传、下载功能，可实现工艺过程中Recipe重新加载，当系统（上位机）骤停时，运行中的</w:t>
            </w:r>
            <w:r>
              <w:rPr>
                <w:rFonts w:hint="eastAsia" w:ascii="宋体" w:hAnsi="宋体" w:eastAsia="宋体" w:cs="宋体"/>
                <w:color w:val="auto"/>
                <w:sz w:val="24"/>
                <w:szCs w:val="24"/>
                <w:lang w:eastAsia="zh-CN"/>
              </w:rPr>
              <w:t>MCVD</w:t>
            </w:r>
            <w:r>
              <w:rPr>
                <w:rFonts w:hint="eastAsia" w:ascii="宋体" w:hAnsi="宋体" w:eastAsia="宋体" w:cs="宋体"/>
                <w:color w:val="auto"/>
                <w:sz w:val="24"/>
                <w:szCs w:val="24"/>
              </w:rPr>
              <w:t>系统可正常运转，具有良好、完备的应急处理能力；</w:t>
            </w:r>
          </w:p>
          <w:p w14:paraId="6FD92D5E">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●（2）PLC控制系统应具有对沉积所需各类工艺参数、机械运动功能参数等进行控制和调节的功能，开放PID调节参数控制；</w:t>
            </w:r>
          </w:p>
          <w:p w14:paraId="5BC2DBE3">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●（3）MFC 流量、微波功率、滑台运行速度等，都有单独的 Ramp 设定，甲方可根据实际需求增加对应参数的Ramp功能；</w:t>
            </w:r>
          </w:p>
          <w:p w14:paraId="4B16FB12">
            <w:pPr>
              <w:pStyle w:val="17"/>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★2.11锗掺杂（GeCl</w:t>
            </w:r>
            <w:r>
              <w:rPr>
                <w:rFonts w:hint="eastAsia" w:ascii="宋体" w:hAnsi="宋体" w:eastAsia="宋体" w:cs="宋体"/>
                <w:color w:val="auto"/>
                <w:sz w:val="24"/>
                <w:szCs w:val="24"/>
                <w:vertAlign w:val="subscript"/>
              </w:rPr>
              <w:t>4</w:t>
            </w:r>
            <w:r>
              <w:rPr>
                <w:rFonts w:hint="eastAsia" w:ascii="宋体" w:hAnsi="宋体" w:eastAsia="宋体" w:cs="宋体"/>
                <w:color w:val="auto"/>
                <w:sz w:val="24"/>
                <w:szCs w:val="24"/>
              </w:rPr>
              <w:t>）的流量可实现200 点拟合曲线控制方式。</w:t>
            </w:r>
          </w:p>
          <w:p w14:paraId="2528529E">
            <w:pPr>
              <w:pStyle w:val="4"/>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★2.12 YbCl</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高温掺杂装置：加热温度≥900℃，将 YbCl</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气体流量可控地、均匀地注入反应区</w:t>
            </w:r>
            <w:r>
              <w:rPr>
                <w:rFonts w:hint="eastAsia" w:hAnsi="宋体" w:cs="宋体"/>
                <w:color w:val="auto"/>
                <w:sz w:val="24"/>
                <w:szCs w:val="24"/>
                <w:lang w:eastAsia="zh-CN"/>
              </w:rPr>
              <w:t>；</w:t>
            </w:r>
            <w:r>
              <w:rPr>
                <w:rFonts w:hint="eastAsia" w:ascii="宋体" w:hAnsi="宋体" w:eastAsia="宋体" w:cs="宋体"/>
                <w:color w:val="auto"/>
                <w:sz w:val="24"/>
                <w:szCs w:val="24"/>
              </w:rPr>
              <w:t>AlCl</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高温掺杂装置：加热温度≥200℃，将 AlCl</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气体流量可控地、均匀地注入反应区</w:t>
            </w:r>
          </w:p>
          <w:p w14:paraId="71593225">
            <w:pPr>
              <w:pStyle w:val="19"/>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●2.13熔缩机床</w:t>
            </w:r>
          </w:p>
          <w:p w14:paraId="568C4CB5">
            <w:pPr>
              <w:autoSpaceDE w:val="0"/>
              <w:autoSpaceDN w:val="0"/>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气端与泵端旋转夹头间有效长度：≥3000mm</w:t>
            </w:r>
            <w:r>
              <w:rPr>
                <w:rFonts w:hint="eastAsia" w:ascii="宋体" w:hAnsi="宋体" w:cs="宋体"/>
                <w:color w:val="auto"/>
                <w:kern w:val="0"/>
                <w:sz w:val="24"/>
                <w:szCs w:val="24"/>
                <w:lang w:eastAsia="zh-CN"/>
              </w:rPr>
              <w:t>；</w:t>
            </w:r>
          </w:p>
          <w:p w14:paraId="465C5C1E">
            <w:pPr>
              <w:autoSpaceDE w:val="0"/>
              <w:autoSpaceDN w:val="0"/>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主轴端面径向跳动：</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0.05mm</w:t>
            </w:r>
            <w:r>
              <w:rPr>
                <w:rFonts w:hint="eastAsia" w:ascii="宋体" w:hAnsi="宋体" w:cs="宋体"/>
                <w:color w:val="auto"/>
                <w:kern w:val="0"/>
                <w:sz w:val="24"/>
                <w:szCs w:val="24"/>
                <w:lang w:eastAsia="zh-CN"/>
              </w:rPr>
              <w:t>；</w:t>
            </w:r>
          </w:p>
          <w:p w14:paraId="48361F38">
            <w:pPr>
              <w:autoSpaceDE w:val="0"/>
              <w:autoSpaceDN w:val="0"/>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主轴端面轴向跳动：</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0.05mm</w:t>
            </w:r>
            <w:r>
              <w:rPr>
                <w:rFonts w:hint="eastAsia" w:ascii="宋体" w:hAnsi="宋体" w:cs="宋体"/>
                <w:color w:val="auto"/>
                <w:kern w:val="0"/>
                <w:sz w:val="24"/>
                <w:szCs w:val="24"/>
                <w:lang w:eastAsia="zh-CN"/>
              </w:rPr>
              <w:t>；</w:t>
            </w:r>
          </w:p>
          <w:p w14:paraId="0849A0F8">
            <w:pPr>
              <w:pStyle w:val="19"/>
              <w:spacing w:line="24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主旋转轴同轴度偏差：≤0.1mm</w:t>
            </w:r>
            <w:r>
              <w:rPr>
                <w:rFonts w:hint="eastAsia" w:ascii="宋体" w:hAnsi="宋体" w:eastAsia="宋体" w:cs="宋体"/>
                <w:color w:val="auto"/>
                <w:sz w:val="24"/>
                <w:szCs w:val="24"/>
                <w:lang w:eastAsia="zh-CN"/>
              </w:rPr>
              <w:t>；</w:t>
            </w:r>
          </w:p>
          <w:p w14:paraId="7253F2F0">
            <w:pPr>
              <w:pStyle w:val="19"/>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旋转速度：0~60r/min；</w:t>
            </w:r>
          </w:p>
          <w:p w14:paraId="15BD1ADE">
            <w:pPr>
              <w:pStyle w:val="19"/>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主滑台平移速度区间：1-1500mm/min 。</w:t>
            </w:r>
          </w:p>
          <w:p w14:paraId="2EC988D4">
            <w:pPr>
              <w:pStyle w:val="19"/>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★2.14 熔缩炉系统</w:t>
            </w:r>
          </w:p>
          <w:p w14:paraId="790E7718">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石墨电阻炉或中频加热炉，满足</w:t>
            </w:r>
            <w:r>
              <w:rPr>
                <w:rFonts w:hint="eastAsia" w:ascii="宋体" w:hAnsi="宋体" w:eastAsia="宋体" w:cs="宋体"/>
                <w:color w:val="auto"/>
                <w:sz w:val="24"/>
                <w:szCs w:val="24"/>
                <w:lang w:eastAsia="zh-CN"/>
              </w:rPr>
              <w:t>MCVD</w:t>
            </w:r>
            <w:r>
              <w:rPr>
                <w:rFonts w:hint="eastAsia" w:ascii="宋体" w:hAnsi="宋体" w:eastAsia="宋体" w:cs="宋体"/>
                <w:color w:val="auto"/>
                <w:sz w:val="24"/>
                <w:szCs w:val="24"/>
              </w:rPr>
              <w:t>沉积后各类型反应管的熔缩需求；</w:t>
            </w:r>
          </w:p>
          <w:p w14:paraId="616D1891">
            <w:pPr>
              <w:pStyle w:val="19"/>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■2.15 控压系统</w:t>
            </w:r>
          </w:p>
          <w:p w14:paraId="39841ADF">
            <w:pPr>
              <w:pStyle w:val="17"/>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（1）测试方式：高精度精密差压传感器；</w:t>
            </w:r>
          </w:p>
          <w:p w14:paraId="78DC5B1D">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（2）压力传感器精度</w:t>
            </w:r>
          </w:p>
          <w:p w14:paraId="2ACACDBB">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2台压力传感器，以最终设备实际需求而定；</w:t>
            </w:r>
          </w:p>
          <w:p w14:paraId="72BC6939">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测量范围： ±1000Pa或等效压力范围；测量精度：±0.1%或等效压力范围。</w:t>
            </w:r>
          </w:p>
          <w:p w14:paraId="66C1B6F8">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（3）管压波动：不超过±1Pa或等效压力范围；</w:t>
            </w:r>
          </w:p>
          <w:p w14:paraId="4AF5CB9D">
            <w:pPr>
              <w:pStyle w:val="17"/>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（4）压力控制：采用精密控制的文丘里控制管内压力。</w:t>
            </w:r>
          </w:p>
          <w:p w14:paraId="4BB1A985">
            <w:pPr>
              <w:pStyle w:val="19"/>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●2.16 控制系统</w:t>
            </w:r>
          </w:p>
          <w:p w14:paraId="74C429B3">
            <w:pPr>
              <w:pStyle w:val="17"/>
              <w:numPr>
                <w:ilvl w:val="-1"/>
                <w:numId w:val="0"/>
              </w:numPr>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）MCVD</w:t>
            </w:r>
            <w:r>
              <w:rPr>
                <w:rFonts w:hint="eastAsia" w:ascii="宋体" w:hAnsi="宋体" w:eastAsia="宋体" w:cs="宋体"/>
                <w:color w:val="auto"/>
                <w:sz w:val="24"/>
                <w:szCs w:val="24"/>
              </w:rPr>
              <w:t>熔缩系统的控制软件,具有可编程菜单（Recipe），可实现熔缩过程各阶段工艺参数多参数精确控制功能，编辑工具推荐Excel，具有离线编辑并上传、下载功能，可实现工艺过程中Recipe重新加载，当系统（上位机）骤停时，运行中的</w:t>
            </w:r>
            <w:r>
              <w:rPr>
                <w:rFonts w:hint="eastAsia" w:ascii="宋体" w:hAnsi="宋体" w:eastAsia="宋体" w:cs="宋体"/>
                <w:color w:val="auto"/>
                <w:sz w:val="24"/>
                <w:szCs w:val="24"/>
                <w:lang w:eastAsia="zh-CN"/>
              </w:rPr>
              <w:t>MCVD</w:t>
            </w:r>
            <w:r>
              <w:rPr>
                <w:rFonts w:hint="eastAsia" w:ascii="宋体" w:hAnsi="宋体" w:eastAsia="宋体" w:cs="宋体"/>
                <w:color w:val="auto"/>
                <w:sz w:val="24"/>
                <w:szCs w:val="24"/>
              </w:rPr>
              <w:t>系统可正常运转，具有良好、完备的应急处理能力；</w:t>
            </w:r>
          </w:p>
          <w:p w14:paraId="06F8EEFA">
            <w:pPr>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（2）PLC控制系统（具有对成棒工艺参数、运动系统等进行控制和调节的功能）。</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7268214E">
            <w:pPr>
              <w:spacing w:line="360" w:lineRule="auto"/>
              <w:jc w:val="center"/>
              <w:rPr>
                <w:rFonts w:hint="eastAsia" w:ascii="宋体" w:hAnsi="宋体" w:cs="宋体"/>
                <w:bCs/>
                <w:color w:val="auto"/>
                <w:szCs w:val="18"/>
              </w:rPr>
            </w:pPr>
            <w:r>
              <w:rPr>
                <w:rFonts w:hint="eastAsia" w:ascii="宋体" w:hAnsi="宋体" w:cs="宋体"/>
                <w:color w:val="auto"/>
                <w:szCs w:val="28"/>
              </w:rPr>
              <w:t>1</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1FD2B316">
            <w:pPr>
              <w:pStyle w:val="5"/>
              <w:jc w:val="center"/>
              <w:rPr>
                <w:rFonts w:hint="eastAsia" w:ascii="宋体" w:hAnsi="宋体" w:eastAsia="宋体" w:cs="宋体"/>
                <w:color w:val="auto"/>
              </w:rPr>
            </w:pPr>
            <w:r>
              <w:rPr>
                <w:rFonts w:hint="eastAsia" w:ascii="宋体" w:hAnsi="宋体" w:eastAsia="宋体" w:cs="宋体"/>
                <w:color w:val="auto"/>
              </w:rPr>
              <w:t>套</w:t>
            </w:r>
          </w:p>
        </w:tc>
      </w:tr>
      <w:bookmarkEnd w:id="0"/>
    </w:tbl>
    <w:p w14:paraId="43941C68">
      <w:pPr>
        <w:autoSpaceDE w:val="0"/>
        <w:autoSpaceDN w:val="0"/>
        <w:adjustRightInd w:val="0"/>
        <w:spacing w:line="276" w:lineRule="auto"/>
        <w:jc w:val="left"/>
        <w:rPr>
          <w:rFonts w:hint="eastAsia" w:asciiTheme="majorEastAsia" w:hAnsiTheme="majorEastAsia" w:eastAsiaTheme="majorEastAsia"/>
          <w:b/>
          <w:color w:val="auto"/>
          <w:szCs w:val="24"/>
        </w:rPr>
      </w:pPr>
      <w:r>
        <w:rPr>
          <w:rFonts w:hint="eastAsia" w:asciiTheme="majorEastAsia" w:hAnsiTheme="majorEastAsia" w:eastAsiaTheme="majorEastAsia"/>
          <w:b/>
          <w:color w:val="auto"/>
          <w:szCs w:val="24"/>
        </w:rPr>
        <w:t>三、安装调试、培训、质保及售后服务要求</w:t>
      </w:r>
    </w:p>
    <w:p w14:paraId="05BBB565">
      <w:pPr>
        <w:spacing w:line="360" w:lineRule="auto"/>
        <w:ind w:firstLine="480" w:firstLineChars="200"/>
        <w:rPr>
          <w:rFonts w:hint="eastAsia" w:ascii="宋体" w:hAnsi="宋体" w:cs="Times New Roman"/>
          <w:bCs/>
          <w:color w:val="auto"/>
          <w:szCs w:val="18"/>
        </w:rPr>
      </w:pPr>
      <w:r>
        <w:rPr>
          <w:rFonts w:hint="eastAsia" w:ascii="宋体" w:hAnsi="宋体" w:cs="Times New Roman"/>
          <w:bCs/>
          <w:color w:val="auto"/>
          <w:szCs w:val="18"/>
        </w:rPr>
        <w:t>安装包括：设备的卸车、搬运、落位、以及系统的电缆、管路连接。所需安装工具、叉车由</w:t>
      </w:r>
      <w:r>
        <w:rPr>
          <w:rFonts w:hint="eastAsia" w:ascii="宋体" w:hAnsi="宋体" w:cs="Times New Roman"/>
          <w:bCs/>
          <w:color w:val="auto"/>
          <w:szCs w:val="18"/>
          <w:highlight w:val="none"/>
          <w:lang w:val="en-US" w:eastAsia="zh-CN"/>
        </w:rPr>
        <w:t>投标人</w:t>
      </w:r>
      <w:r>
        <w:rPr>
          <w:rFonts w:hint="eastAsia" w:ascii="宋体" w:hAnsi="宋体" w:cs="Times New Roman"/>
          <w:bCs/>
          <w:color w:val="auto"/>
          <w:szCs w:val="18"/>
        </w:rPr>
        <w:t>自主解决。</w:t>
      </w:r>
    </w:p>
    <w:p w14:paraId="516F506B">
      <w:pPr>
        <w:spacing w:line="360" w:lineRule="auto"/>
        <w:ind w:firstLine="480" w:firstLineChars="200"/>
        <w:rPr>
          <w:rFonts w:hint="eastAsia" w:ascii="宋体" w:hAnsi="宋体" w:cs="Times New Roman"/>
          <w:bCs/>
          <w:color w:val="auto"/>
          <w:szCs w:val="18"/>
        </w:rPr>
      </w:pPr>
      <w:r>
        <w:rPr>
          <w:rFonts w:hint="eastAsia" w:ascii="宋体" w:hAnsi="宋体" w:cs="Times New Roman"/>
          <w:bCs/>
          <w:color w:val="auto"/>
          <w:szCs w:val="18"/>
        </w:rPr>
        <w:t>调试包括：设备的机电系统功能调试、设备的生产工艺调试。</w:t>
      </w:r>
    </w:p>
    <w:p w14:paraId="6873FED6">
      <w:pPr>
        <w:spacing w:line="360" w:lineRule="auto"/>
        <w:ind w:firstLine="480" w:firstLineChars="200"/>
        <w:rPr>
          <w:rFonts w:hint="eastAsia" w:ascii="宋体" w:hAnsi="宋体" w:cs="Times New Roman"/>
          <w:bCs/>
          <w:color w:val="auto"/>
          <w:szCs w:val="18"/>
        </w:rPr>
      </w:pPr>
      <w:r>
        <w:rPr>
          <w:rFonts w:hint="eastAsia" w:ascii="宋体" w:hAnsi="宋体" w:cs="Times New Roman"/>
          <w:bCs/>
          <w:color w:val="auto"/>
          <w:szCs w:val="18"/>
        </w:rPr>
        <w:t>培训包括：设备维护人员的日常维护、一般故障处理；设备操作人员的操作培训。</w:t>
      </w:r>
    </w:p>
    <w:p w14:paraId="093D6E1E">
      <w:pPr>
        <w:spacing w:line="360" w:lineRule="auto"/>
        <w:ind w:firstLine="480" w:firstLineChars="200"/>
        <w:rPr>
          <w:rFonts w:hint="eastAsia" w:ascii="宋体" w:hAnsi="宋体" w:cs="Times New Roman"/>
          <w:bCs/>
          <w:color w:val="auto"/>
          <w:szCs w:val="18"/>
        </w:rPr>
      </w:pPr>
      <w:r>
        <w:rPr>
          <w:rFonts w:hint="eastAsia" w:ascii="宋体" w:hAnsi="宋体" w:cs="Times New Roman"/>
          <w:bCs/>
          <w:color w:val="auto"/>
          <w:szCs w:val="18"/>
          <w:lang w:val="en-US" w:eastAsia="zh-CN"/>
        </w:rPr>
        <w:t>安装调试相关要求：对车间进行电路、坏境改造，改造需满足设备运行要求。</w:t>
      </w:r>
    </w:p>
    <w:p w14:paraId="66A64F73">
      <w:pPr>
        <w:autoSpaceDE w:val="0"/>
        <w:autoSpaceDN w:val="0"/>
        <w:adjustRightInd w:val="0"/>
        <w:spacing w:line="276" w:lineRule="auto"/>
        <w:jc w:val="left"/>
        <w:rPr>
          <w:rFonts w:hint="eastAsia" w:asciiTheme="majorEastAsia" w:hAnsiTheme="majorEastAsia" w:eastAsiaTheme="majorEastAsia"/>
          <w:b/>
          <w:color w:val="auto"/>
          <w:szCs w:val="24"/>
        </w:rPr>
      </w:pPr>
      <w:r>
        <w:rPr>
          <w:rFonts w:hint="eastAsia" w:asciiTheme="majorEastAsia" w:hAnsiTheme="majorEastAsia" w:eastAsiaTheme="majorEastAsia"/>
          <w:b/>
          <w:color w:val="auto"/>
          <w:szCs w:val="24"/>
        </w:rPr>
        <w:t>四、报价要求</w:t>
      </w:r>
    </w:p>
    <w:p w14:paraId="4E7C4DF2">
      <w:pPr>
        <w:spacing w:line="360" w:lineRule="auto"/>
        <w:ind w:firstLine="480" w:firstLineChars="200"/>
        <w:rPr>
          <w:rStyle w:val="12"/>
          <w:rFonts w:hint="eastAsia" w:ascii="宋体" w:hAnsi="宋体" w:cs="Times New Roman"/>
          <w:bCs/>
          <w:color w:val="auto"/>
          <w:sz w:val="24"/>
          <w:szCs w:val="18"/>
        </w:rPr>
      </w:pPr>
      <w:r>
        <w:rPr>
          <w:rStyle w:val="12"/>
          <w:rFonts w:hint="eastAsia" w:ascii="宋体" w:hAnsi="宋体" w:cs="Times New Roman"/>
          <w:bCs/>
          <w:color w:val="auto"/>
          <w:sz w:val="24"/>
          <w:szCs w:val="18"/>
        </w:rPr>
        <w:t>本项目固定总价报价并进行结算，投标所报价格包括设计、采购、制造、交货(包括运输、卸车至采购人指定地点)、售后服务的一切费用(如设计费、采购费、制造费、试验检测费、包装费、运输保险费、运输费、装卸费、安装费、调试费、培训、售后服务、其他技术服务及质量保证期服务费等)、管理费、利润和税费(含关税)等所有费用，履约期间采购人不再追加任何费用，投标人自行考虑报价风险。</w:t>
      </w:r>
    </w:p>
    <w:p w14:paraId="335833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简标宋">
    <w:altName w:val="微软雅黑"/>
    <w:panose1 w:val="00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Century">
    <w:panose1 w:val="02040604050505020304"/>
    <w:charset w:val="00"/>
    <w:family w:val="roman"/>
    <w:pitch w:val="default"/>
    <w:sig w:usb0="00000287" w:usb1="00000000" w:usb2="00000000" w:usb3="00000000" w:csb0="2000009F" w:csb1="DFD70000"/>
  </w:font>
  <w:font w:name="PMingLiU-ExtB">
    <w:panose1 w:val="02020500000000000000"/>
    <w:charset w:val="88"/>
    <w:family w:val="roman"/>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140D7"/>
    <w:rsid w:val="46914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4"/>
      <w:lang w:val="en-US" w:eastAsia="zh-CN" w:bidi="ar-SA"/>
    </w:rPr>
  </w:style>
  <w:style w:type="paragraph" w:styleId="2">
    <w:name w:val="heading 1"/>
    <w:basedOn w:val="1"/>
    <w:next w:val="1"/>
    <w:link w:val="13"/>
    <w:qFormat/>
    <w:uiPriority w:val="9"/>
    <w:pPr>
      <w:keepNext/>
      <w:keepLines/>
      <w:spacing w:line="360" w:lineRule="auto"/>
      <w:jc w:val="center"/>
      <w:outlineLvl w:val="0"/>
    </w:pPr>
    <w:rPr>
      <w:rFonts w:eastAsia="方正小标宋_GBK"/>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hAnsi="Times New Roman" w:cs="Times New Roman"/>
      <w:kern w:val="0"/>
    </w:rPr>
  </w:style>
  <w:style w:type="paragraph" w:styleId="5">
    <w:name w:val="Body Text"/>
    <w:basedOn w:val="1"/>
    <w:next w:val="1"/>
    <w:qFormat/>
    <w:uiPriority w:val="0"/>
    <w:pPr>
      <w:spacing w:after="120"/>
    </w:pPr>
    <w:rPr>
      <w:rFonts w:ascii="@微软简标宋" w:hAnsi="@微软简标宋" w:eastAsia="@微软简标宋" w:cs="@微软简标宋"/>
      <w:szCs w:val="24"/>
    </w:rPr>
  </w:style>
  <w:style w:type="paragraph" w:styleId="6">
    <w:name w:val="Body Text Indent"/>
    <w:basedOn w:val="1"/>
    <w:unhideWhenUsed/>
    <w:qFormat/>
    <w:uiPriority w:val="99"/>
    <w:pPr>
      <w:ind w:firstLine="645"/>
    </w:pPr>
    <w:rPr>
      <w:rFonts w:ascii="楷体_GB2312" w:eastAsia="楷体_GB2312"/>
      <w:sz w:val="32"/>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unhideWhenUsed/>
    <w:qFormat/>
    <w:uiPriority w:val="99"/>
    <w:pPr>
      <w:ind w:left="420" w:firstLine="420" w:firstLineChars="200"/>
    </w:pPr>
    <w:rPr>
      <w:rFonts w:ascii="Times New Roman" w:cs="Times New Roman"/>
    </w:rPr>
  </w:style>
  <w:style w:type="character" w:styleId="12">
    <w:name w:val="annotation reference"/>
    <w:basedOn w:val="11"/>
    <w:semiHidden/>
    <w:unhideWhenUsed/>
    <w:qFormat/>
    <w:uiPriority w:val="99"/>
    <w:rPr>
      <w:sz w:val="21"/>
      <w:szCs w:val="21"/>
    </w:rPr>
  </w:style>
  <w:style w:type="character" w:customStyle="1" w:styleId="13">
    <w:name w:val="标题 1 字符"/>
    <w:link w:val="2"/>
    <w:qFormat/>
    <w:uiPriority w:val="9"/>
    <w:rPr>
      <w:rFonts w:eastAsia="方正小标宋_GBK"/>
      <w:bCs/>
      <w:kern w:val="44"/>
      <w:sz w:val="44"/>
      <w:szCs w:val="44"/>
    </w:rPr>
  </w:style>
  <w:style w:type="paragraph" w:customStyle="1" w:styleId="14">
    <w:name w:val="D&amp;L"/>
    <w:basedOn w:val="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5">
    <w:name w:val="xl31"/>
    <w:basedOn w:val="1"/>
    <w:qFormat/>
    <w:uiPriority w:val="0"/>
    <w:pPr>
      <w:widowControl/>
      <w:spacing w:before="100" w:beforeAutospacing="1" w:after="100" w:afterAutospacing="1"/>
      <w:jc w:val="center"/>
    </w:pPr>
    <w:rPr>
      <w:b/>
      <w:bCs/>
      <w:kern w:val="0"/>
      <w:sz w:val="28"/>
      <w:szCs w:val="28"/>
    </w:rPr>
  </w:style>
  <w:style w:type="paragraph" w:customStyle="1" w:styleId="16">
    <w:name w:val="常-标题2"/>
    <w:basedOn w:val="1"/>
    <w:qFormat/>
    <w:uiPriority w:val="0"/>
    <w:pPr>
      <w:adjustRightInd w:val="0"/>
      <w:snapToGrid w:val="0"/>
      <w:spacing w:before="50" w:beforeLines="50" w:after="50" w:afterLines="50" w:line="440" w:lineRule="exact"/>
      <w:outlineLvl w:val="1"/>
    </w:pPr>
    <w:rPr>
      <w:rFonts w:ascii="Century" w:hAnsi="Century" w:eastAsia="PMingLiU-ExtB"/>
      <w:b/>
      <w:kern w:val="0"/>
      <w:sz w:val="24"/>
    </w:rPr>
  </w:style>
  <w:style w:type="paragraph" w:customStyle="1" w:styleId="17">
    <w:name w:val="常-正文"/>
    <w:basedOn w:val="1"/>
    <w:qFormat/>
    <w:uiPriority w:val="0"/>
    <w:pPr>
      <w:adjustRightInd w:val="0"/>
      <w:snapToGrid w:val="0"/>
      <w:spacing w:line="360" w:lineRule="auto"/>
      <w:ind w:firstLine="200" w:firstLineChars="200"/>
    </w:pPr>
    <w:rPr>
      <w:rFonts w:ascii="Century" w:hAnsi="Century" w:eastAsia="PMingLiU-ExtB"/>
      <w:kern w:val="0"/>
      <w:sz w:val="24"/>
      <w:szCs w:val="20"/>
    </w:rPr>
  </w:style>
  <w:style w:type="paragraph" w:customStyle="1" w:styleId="18">
    <w:name w:val="常-正文无"/>
    <w:basedOn w:val="17"/>
    <w:qFormat/>
    <w:uiPriority w:val="0"/>
    <w:pPr>
      <w:ind w:firstLine="0" w:firstLineChars="0"/>
    </w:pPr>
  </w:style>
  <w:style w:type="paragraph" w:customStyle="1" w:styleId="19">
    <w:name w:val="常-标题4"/>
    <w:basedOn w:val="17"/>
    <w:qFormat/>
    <w:uiPriority w:val="0"/>
    <w:pPr>
      <w:ind w:firstLine="0" w:firstLineChars="0"/>
      <w:outlineLvl w:val="3"/>
    </w:pPr>
    <w:rPr>
      <w:rFonts w:eastAsiaTheme="minorEastAsi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2025-12-05T11:33:00Z</dcterms:created>
  <dc:creator>Lenovo</dc:creator>
  <cp:lastModifiedBy>Lenovo</cp:lastModifiedBy>
  <dcterms:modified xsi:type="dcterms:W3CDTF">2025-12-05T11:33:50Z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B016D3F471A84EB88FFB7187BA9A13C4_11</vt:lpwstr>
  </property>
  <property fmtid="{D5CDD505-2E9C-101B-9397-08002B2CF9AE}" pid="4" name="KSOTemplateDocerSaveRecord">
    <vt:lpwstr>eyJoZGlkIjoiNjMxY2QzYWVmZTYyZjk2NzA2OWJkYmYyMDIxM2VjNWUiLCJ1c2VySWQiOiI3NjgzOTY2OTUifQ==</vt:lpwstr>
  </property>
</Properties>
</file>