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shd w:val="clear"/>
        <w:jc w:val="center"/>
        <w:rPr>
          <w:rFonts w:ascii="方正小标宋_GBK" w:hAnsi="方正小标宋_GBK" w:eastAsia="方正小标宋_GBK" w:cs="方正小标宋_GBK"/>
          <w:color w:val="auto"/>
          <w:kern w:val="44"/>
          <w:sz w:val="44"/>
          <w:szCs w:val="44"/>
          <w:highlight w:val="none"/>
        </w:rPr>
      </w:pPr>
      <w:bookmarkStart w:id="17" w:name="_GoBack"/>
      <w:bookmarkEnd w:id="17"/>
      <w:r>
        <w:rPr>
          <w:rStyle w:val="11"/>
          <w:rFonts w:hint="eastAsia"/>
          <w:color w:val="auto"/>
          <w:highlight w:val="none"/>
        </w:rPr>
        <w:t xml:space="preserve"> 采购需求</w:t>
      </w:r>
    </w:p>
    <w:p w14:paraId="798C4083">
      <w:pPr>
        <w:shd w:val="clear"/>
        <w:spacing w:line="360" w:lineRule="auto"/>
        <w:rPr>
          <w:rFonts w:ascii="宋体" w:hAnsi="宋体"/>
          <w:b/>
          <w:color w:val="auto"/>
          <w:highlight w:val="none"/>
        </w:rPr>
      </w:pPr>
      <w:r>
        <w:rPr>
          <w:rFonts w:hint="eastAsia" w:ascii="宋体" w:hAnsi="宋体"/>
          <w:b/>
          <w:color w:val="auto"/>
          <w:highlight w:val="none"/>
        </w:rPr>
        <w:t>前注：</w:t>
      </w:r>
    </w:p>
    <w:p w14:paraId="1493DD00">
      <w:pPr>
        <w:shd w:val="clear"/>
        <w:spacing w:line="360" w:lineRule="auto"/>
        <w:ind w:firstLine="435"/>
        <w:rPr>
          <w:rFonts w:ascii="宋体" w:hAnsi="宋体" w:cs="宋体"/>
          <w:color w:val="auto"/>
          <w:szCs w:val="18"/>
          <w:highlight w:val="none"/>
        </w:rPr>
      </w:pPr>
      <w:bookmarkStart w:id="0" w:name="_Hlk16461016"/>
      <w:r>
        <w:rPr>
          <w:rFonts w:hint="eastAsia" w:ascii="宋体" w:hAnsi="宋体" w:cs="宋体"/>
          <w:color w:val="auto"/>
          <w:highlight w:val="none"/>
        </w:rPr>
        <w:t>1.</w:t>
      </w:r>
      <w:r>
        <w:rPr>
          <w:rFonts w:hint="eastAsia" w:ascii="宋体" w:hAnsi="宋体" w:cs="宋体"/>
          <w:color w:val="auto"/>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hd w:val="clear"/>
        <w:spacing w:line="360" w:lineRule="auto"/>
        <w:ind w:firstLine="435"/>
        <w:rPr>
          <w:rFonts w:ascii="宋体" w:hAnsi="宋体" w:cs="宋体"/>
          <w:color w:val="auto"/>
          <w:szCs w:val="18"/>
          <w:highlight w:val="none"/>
        </w:rPr>
      </w:pPr>
      <w:r>
        <w:rPr>
          <w:rFonts w:hint="eastAsia" w:ascii="宋体" w:hAnsi="宋体" w:cs="宋体"/>
          <w:color w:val="auto"/>
          <w:szCs w:val="18"/>
          <w:highlight w:val="none"/>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hd w:val="clear"/>
        <w:spacing w:line="360" w:lineRule="auto"/>
        <w:ind w:firstLine="480" w:firstLineChars="200"/>
        <w:jc w:val="left"/>
        <w:rPr>
          <w:rFonts w:ascii="宋体" w:hAnsi="宋体" w:cs="宋体"/>
          <w:color w:val="auto"/>
          <w:szCs w:val="18"/>
          <w:highlight w:val="none"/>
        </w:rPr>
      </w:pPr>
      <w:r>
        <w:rPr>
          <w:rFonts w:hint="eastAsia" w:ascii="宋体" w:hAnsi="宋体" w:cs="宋体"/>
          <w:color w:val="auto"/>
          <w:szCs w:val="18"/>
          <w:highlight w:val="none"/>
        </w:rPr>
        <w:t>3.下列采购需求中：标注</w:t>
      </w:r>
      <w:r>
        <w:rPr>
          <w:rFonts w:hint="eastAsia" w:ascii="宋体" w:hAnsi="宋体" w:cs="宋体"/>
          <w:color w:val="auto"/>
          <w:szCs w:val="24"/>
          <w:highlight w:val="none"/>
        </w:rPr>
        <w:t>▲</w:t>
      </w:r>
      <w:r>
        <w:rPr>
          <w:rFonts w:hint="eastAsia" w:ascii="宋体" w:hAnsi="宋体" w:cs="宋体"/>
          <w:color w:val="auto"/>
          <w:szCs w:val="18"/>
          <w:highlight w:val="none"/>
        </w:rPr>
        <w:t>的产品（核心产品），投标人在投标文件《主要中标标的承诺函》中填写名称、品牌、规格、型号、数量、单价等信息。</w:t>
      </w:r>
    </w:p>
    <w:p w14:paraId="6EDECB03">
      <w:pPr>
        <w:pStyle w:val="6"/>
        <w:shd w:val="clear"/>
        <w:ind w:firstLine="560"/>
        <w:rPr>
          <w:color w:val="auto"/>
          <w:highlight w:val="none"/>
        </w:rPr>
      </w:pPr>
      <w:bookmarkStart w:id="1" w:name="_Toc1452677390"/>
      <w:bookmarkStart w:id="2" w:name="_Toc337877615"/>
      <w:bookmarkStart w:id="3" w:name="_Toc2025078090"/>
      <w:bookmarkStart w:id="4" w:name="_Toc1064185329"/>
      <w:bookmarkStart w:id="5" w:name="_Toc382548620"/>
      <w:bookmarkStart w:id="6" w:name="_Toc1899401549"/>
      <w:bookmarkStart w:id="7" w:name="_Toc1437377518_WPSOffice_Level2"/>
      <w:bookmarkStart w:id="8" w:name="_Toc292361325"/>
      <w:r>
        <w:rPr>
          <w:rFonts w:hint="eastAsia"/>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28"/>
        <w:gridCol w:w="6148"/>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41F2F4B">
            <w:pPr>
              <w:pStyle w:val="12"/>
              <w:pBdr>
                <w:bottom w:val="none" w:color="auto" w:sz="0" w:space="0"/>
              </w:pBdr>
              <w:shd w:val="clear"/>
              <w:tabs>
                <w:tab w:val="clear" w:pos="4153"/>
                <w:tab w:val="clear" w:pos="8306"/>
              </w:tabs>
              <w:adjustRightInd/>
              <w:spacing w:line="240" w:lineRule="auto"/>
              <w:textAlignment w:val="auto"/>
              <w:rPr>
                <w:rFonts w:ascii="宋体" w:hAnsi="宋体" w:cs="宋体"/>
                <w:b/>
                <w:color w:val="auto"/>
                <w:kern w:val="2"/>
                <w:highlight w:val="none"/>
              </w:rPr>
            </w:pPr>
            <w:r>
              <w:rPr>
                <w:rFonts w:hint="eastAsia" w:ascii="宋体" w:hAnsi="宋体" w:cs="宋体"/>
                <w:b/>
                <w:color w:val="auto"/>
                <w:kern w:val="2"/>
                <w:highlight w:val="none"/>
              </w:rPr>
              <w:t>序号</w:t>
            </w:r>
          </w:p>
        </w:tc>
        <w:tc>
          <w:tcPr>
            <w:tcW w:w="1728" w:type="dxa"/>
            <w:vAlign w:val="center"/>
          </w:tcPr>
          <w:p w14:paraId="6B663E2A">
            <w:pPr>
              <w:pStyle w:val="13"/>
              <w:widowControl w:val="0"/>
              <w:shd w:val="clear"/>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条款名称</w:t>
            </w:r>
          </w:p>
        </w:tc>
        <w:tc>
          <w:tcPr>
            <w:tcW w:w="6148" w:type="dxa"/>
            <w:vAlign w:val="center"/>
          </w:tcPr>
          <w:p w14:paraId="4C6BBD14">
            <w:pPr>
              <w:pStyle w:val="13"/>
              <w:widowControl w:val="0"/>
              <w:shd w:val="clear"/>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5A5C7E22">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1</w:t>
            </w:r>
          </w:p>
        </w:tc>
        <w:tc>
          <w:tcPr>
            <w:tcW w:w="1728" w:type="dxa"/>
            <w:vAlign w:val="center"/>
          </w:tcPr>
          <w:p w14:paraId="295FB5A5">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付款方式</w:t>
            </w:r>
          </w:p>
        </w:tc>
        <w:tc>
          <w:tcPr>
            <w:tcW w:w="6148" w:type="dxa"/>
            <w:vAlign w:val="center"/>
          </w:tcPr>
          <w:p w14:paraId="21D943E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1.进口设备：采购人指定外贸代理机构办理进口产品采购事宜，并按下述方式支付合同款：合同生效后，外贸代理机构开出进口产品信用证后甲方支付70%合同款（专指进口部分）给外贸代理机构，剩余30%在验收合格后一次性付给外贸代理机构。注：双方以人民币结算。外贸代理机构与投标人另行签订合同约定付款方式进行结算，投标人须按照采购人与外贸代理机构签署的《外贸代理机构收取进口代理费标准》向外贸代理机构支付进口代理费。</w:t>
            </w:r>
          </w:p>
          <w:p w14:paraId="11A48AAE">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2.国产设备：</w:t>
            </w:r>
            <w:r>
              <w:rPr>
                <w:color w:val="auto"/>
                <w:highlight w:val="none"/>
              </w:rPr>
              <w:t>合同签订生效后，采购人向中标人支付合同价款（专指国产部分）的70%预付款（中标人须同时向采购人递交等额预付款保函），全部货物安装调试完毕，剩余30%在验收合格后一次性付给中标人，同时退还预付款保函。</w:t>
            </w:r>
          </w:p>
          <w:p w14:paraId="6E9D4532">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注：</w:t>
            </w:r>
          </w:p>
          <w:p w14:paraId="5C93735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（1）预付款保函形式： ☑银行保函</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☑担保机构担保</w:t>
            </w:r>
          </w:p>
          <w:p w14:paraId="275F208C">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（2）预付款保函递交要求：</w:t>
            </w:r>
          </w:p>
          <w:p w14:paraId="3112CBB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5549A7D3">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②如采用担保机构担保，应为具有备案资质的融资担保机构出具的见索即付无条件担保，且应将原件交至采购人保管。</w:t>
            </w:r>
          </w:p>
          <w:p w14:paraId="3F62376D">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FD8CB28">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2</w:t>
            </w:r>
          </w:p>
        </w:tc>
        <w:tc>
          <w:tcPr>
            <w:tcW w:w="1728" w:type="dxa"/>
            <w:vAlign w:val="center"/>
          </w:tcPr>
          <w:p w14:paraId="7AF6938C">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供货及安装地点</w:t>
            </w:r>
          </w:p>
        </w:tc>
        <w:tc>
          <w:tcPr>
            <w:tcW w:w="6148" w:type="dxa"/>
            <w:vAlign w:val="center"/>
          </w:tcPr>
          <w:p w14:paraId="60874FC7">
            <w:pPr>
              <w:pStyle w:val="13"/>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安徽大学磬苑校区材料科学大楼A</w:t>
            </w:r>
            <w:r>
              <w:rPr>
                <w:rFonts w:ascii="宋体" w:hAnsi="宋体" w:cs="宋体"/>
                <w:b w:val="0"/>
                <w:color w:val="auto"/>
                <w:sz w:val="24"/>
                <w:highlight w:val="none"/>
              </w:rPr>
              <w:t>103</w:t>
            </w:r>
            <w:r>
              <w:rPr>
                <w:rFonts w:hint="eastAsia" w:ascii="宋体" w:hAnsi="宋体" w:cs="宋体"/>
                <w:b w:val="0"/>
                <w:color w:val="auto"/>
                <w:sz w:val="24"/>
                <w:highlight w:val="none"/>
              </w:rPr>
              <w:t>，采购人指定地点。</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25C4DFC">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3</w:t>
            </w:r>
          </w:p>
        </w:tc>
        <w:tc>
          <w:tcPr>
            <w:tcW w:w="1728" w:type="dxa"/>
            <w:vAlign w:val="center"/>
          </w:tcPr>
          <w:p w14:paraId="5A289E54">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供货及安装期限</w:t>
            </w:r>
          </w:p>
        </w:tc>
        <w:tc>
          <w:tcPr>
            <w:tcW w:w="6148" w:type="dxa"/>
            <w:vAlign w:val="center"/>
          </w:tcPr>
          <w:p w14:paraId="634ED800">
            <w:pPr>
              <w:pStyle w:val="13"/>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合同签订后并接受采购人通知后10个月内完成供货安装调试及验收等所有工作。</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1EE22EB">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4</w:t>
            </w:r>
          </w:p>
        </w:tc>
        <w:tc>
          <w:tcPr>
            <w:tcW w:w="1728" w:type="dxa"/>
            <w:vAlign w:val="center"/>
          </w:tcPr>
          <w:p w14:paraId="17BE67D7">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免费质保期</w:t>
            </w:r>
          </w:p>
        </w:tc>
        <w:tc>
          <w:tcPr>
            <w:tcW w:w="6148" w:type="dxa"/>
            <w:vAlign w:val="center"/>
          </w:tcPr>
          <w:p w14:paraId="3866FB31">
            <w:pPr>
              <w:pStyle w:val="13"/>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验收合格之日起1年。</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46EB66A4">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bookmarkStart w:id="9" w:name="_Toc1693477008"/>
            <w:bookmarkStart w:id="10" w:name="_Toc1191965283_WPSOffice_Level2"/>
            <w:bookmarkStart w:id="11" w:name="_Toc302804901"/>
            <w:bookmarkStart w:id="12" w:name="_Toc717369146"/>
            <w:bookmarkStart w:id="13" w:name="_Toc369119811"/>
            <w:bookmarkStart w:id="14" w:name="_Toc1715351726"/>
            <w:bookmarkStart w:id="15" w:name="_Toc626387511"/>
            <w:bookmarkStart w:id="16" w:name="_Toc58935147"/>
            <w:r>
              <w:rPr>
                <w:rFonts w:hint="eastAsia" w:ascii="宋体" w:hAnsi="宋体" w:cs="宋体"/>
                <w:bCs/>
                <w:color w:val="auto"/>
                <w:kern w:val="2"/>
                <w:highlight w:val="none"/>
              </w:rPr>
              <w:t>5</w:t>
            </w:r>
          </w:p>
        </w:tc>
        <w:tc>
          <w:tcPr>
            <w:tcW w:w="1728" w:type="dxa"/>
            <w:vAlign w:val="center"/>
          </w:tcPr>
          <w:p w14:paraId="2110F92E">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本项目采购标的所属行业</w:t>
            </w:r>
          </w:p>
        </w:tc>
        <w:tc>
          <w:tcPr>
            <w:tcW w:w="6148" w:type="dxa"/>
            <w:vAlign w:val="center"/>
          </w:tcPr>
          <w:p w14:paraId="327123A1">
            <w:pPr>
              <w:pStyle w:val="13"/>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工业。</w:t>
            </w:r>
          </w:p>
        </w:tc>
      </w:tr>
    </w:tbl>
    <w:p w14:paraId="0766B42F">
      <w:pPr>
        <w:pStyle w:val="6"/>
        <w:shd w:val="clear"/>
        <w:ind w:firstLine="560"/>
        <w:rPr>
          <w:color w:val="auto"/>
          <w:highlight w:val="none"/>
        </w:rPr>
      </w:pPr>
      <w:r>
        <w:rPr>
          <w:rFonts w:hint="eastAsia"/>
          <w:color w:val="auto"/>
          <w:highlight w:val="none"/>
        </w:rPr>
        <w:t>二、货物需求</w:t>
      </w:r>
      <w:bookmarkEnd w:id="9"/>
      <w:bookmarkEnd w:id="10"/>
      <w:bookmarkEnd w:id="11"/>
      <w:bookmarkEnd w:id="12"/>
      <w:bookmarkEnd w:id="13"/>
      <w:bookmarkEnd w:id="14"/>
      <w:bookmarkEnd w:id="15"/>
      <w:bookmarkEnd w:id="16"/>
    </w:p>
    <w:p w14:paraId="36A2077F">
      <w:pPr>
        <w:shd w:val="clear"/>
        <w:jc w:val="center"/>
        <w:rPr>
          <w:b/>
          <w:bCs/>
          <w:color w:val="auto"/>
          <w:highlight w:val="none"/>
        </w:rPr>
      </w:pPr>
      <w:r>
        <w:rPr>
          <w:rFonts w:hint="eastAsia"/>
          <w:b/>
          <w:bCs/>
          <w:color w:val="auto"/>
          <w:highlight w:val="none"/>
        </w:rPr>
        <w:t>第1包：</w:t>
      </w:r>
      <w:r>
        <w:rPr>
          <w:rFonts w:hint="eastAsia" w:ascii="宋体" w:hAnsi="宋体" w:cs="Times New Roman"/>
          <w:b/>
          <w:bCs/>
          <w:color w:val="auto"/>
          <w:highlight w:val="none"/>
        </w:rPr>
        <w:t>宽带频谱分析仪与激光光束质量分析系统</w:t>
      </w:r>
    </w:p>
    <w:p w14:paraId="0A1B1B36">
      <w:pPr>
        <w:pStyle w:val="2"/>
        <w:shd w:val="clear"/>
        <w:spacing w:line="500" w:lineRule="exact"/>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240"/>
        <w:gridCol w:w="5408"/>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需求内容类别</w:t>
            </w:r>
          </w:p>
        </w:tc>
        <w:tc>
          <w:tcPr>
            <w:tcW w:w="1240" w:type="dxa"/>
          </w:tcPr>
          <w:p w14:paraId="1EE33D4C">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标识符号</w:t>
            </w:r>
          </w:p>
        </w:tc>
        <w:tc>
          <w:tcPr>
            <w:tcW w:w="5408" w:type="dxa"/>
          </w:tcPr>
          <w:p w14:paraId="0EB35C7C">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关键性指标项</w:t>
            </w:r>
          </w:p>
        </w:tc>
        <w:tc>
          <w:tcPr>
            <w:tcW w:w="1240" w:type="dxa"/>
            <w:vAlign w:val="center"/>
          </w:tcPr>
          <w:p w14:paraId="0FBDA46A">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6335D211">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不满足该指标项将导致投标被拒绝</w:t>
            </w:r>
          </w:p>
        </w:tc>
      </w:tr>
      <w:tr w14:paraId="0CB4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1C4C82B0">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重要指标项</w:t>
            </w:r>
          </w:p>
        </w:tc>
        <w:tc>
          <w:tcPr>
            <w:tcW w:w="1240" w:type="dxa"/>
            <w:vAlign w:val="center"/>
          </w:tcPr>
          <w:p w14:paraId="7E9BF91D">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50AC178E">
            <w:pPr>
              <w:shd w:val="clear"/>
              <w:spacing w:line="360" w:lineRule="auto"/>
              <w:jc w:val="center"/>
              <w:rPr>
                <w:rFonts w:ascii="Times New Roman" w:hAnsi="Times New Roman" w:cs="Times New Roman"/>
                <w:color w:val="auto"/>
                <w:szCs w:val="18"/>
                <w:highlight w:val="none"/>
              </w:rPr>
            </w:pPr>
            <w:r>
              <w:rPr>
                <w:rFonts w:hint="eastAsia" w:cs="宋体" w:asciiTheme="majorEastAsia" w:hAnsiTheme="majorEastAsia" w:eastAsiaTheme="majorEastAsia"/>
                <w:color w:val="auto"/>
                <w:szCs w:val="24"/>
                <w:highlight w:val="none"/>
              </w:rPr>
              <w:t>评分项，每满足一项得3分</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一般指标项</w:t>
            </w:r>
          </w:p>
        </w:tc>
        <w:tc>
          <w:tcPr>
            <w:tcW w:w="1240" w:type="dxa"/>
            <w:vAlign w:val="center"/>
          </w:tcPr>
          <w:p w14:paraId="65DB68E0">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2D535382">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评分项，每满足一项得2分</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hd w:val="clear"/>
              <w:spacing w:line="360" w:lineRule="auto"/>
              <w:jc w:val="center"/>
              <w:rPr>
                <w:color w:val="auto"/>
                <w:szCs w:val="28"/>
                <w:highlight w:val="none"/>
              </w:rPr>
            </w:pPr>
            <w:r>
              <w:rPr>
                <w:rFonts w:hint="eastAsia" w:cs="宋体" w:asciiTheme="majorEastAsia" w:hAnsiTheme="majorEastAsia" w:eastAsiaTheme="majorEastAsia"/>
                <w:color w:val="auto"/>
                <w:szCs w:val="24"/>
                <w:highlight w:val="none"/>
              </w:rPr>
              <w:t>无标识项</w:t>
            </w:r>
          </w:p>
        </w:tc>
        <w:tc>
          <w:tcPr>
            <w:tcW w:w="1240" w:type="dxa"/>
            <w:vAlign w:val="center"/>
          </w:tcPr>
          <w:p w14:paraId="10A03B12">
            <w:pPr>
              <w:shd w:val="clear"/>
              <w:spacing w:line="360" w:lineRule="auto"/>
              <w:jc w:val="center"/>
              <w:rPr>
                <w:color w:val="auto"/>
                <w:szCs w:val="28"/>
                <w:highlight w:val="none"/>
              </w:rPr>
            </w:pPr>
          </w:p>
        </w:tc>
        <w:tc>
          <w:tcPr>
            <w:tcW w:w="5408" w:type="dxa"/>
            <w:vAlign w:val="center"/>
          </w:tcPr>
          <w:p w14:paraId="6E06D7A3">
            <w:pPr>
              <w:shd w:val="clear"/>
              <w:spacing w:line="360" w:lineRule="auto"/>
              <w:jc w:val="center"/>
              <w:rPr>
                <w:rFonts w:ascii="宋体" w:hAnsi="宋体" w:cs="宋体"/>
                <w:color w:val="auto"/>
                <w:szCs w:val="24"/>
                <w:highlight w:val="none"/>
              </w:rPr>
            </w:pPr>
            <w:r>
              <w:rPr>
                <w:rFonts w:hint="eastAsia" w:ascii="宋体" w:hAnsi="宋体" w:cs="宋体"/>
                <w:bCs/>
                <w:color w:val="auto"/>
                <w:szCs w:val="24"/>
                <w:highlight w:val="none"/>
              </w:rPr>
              <w:t>符合性审查项，2条以上（不含2条）不响应或负偏离，将导致投标无效。</w:t>
            </w:r>
          </w:p>
        </w:tc>
      </w:tr>
    </w:tbl>
    <w:p w14:paraId="36A91013">
      <w:pPr>
        <w:pStyle w:val="2"/>
        <w:shd w:val="clear"/>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（二）货物指标要求</w:t>
      </w:r>
    </w:p>
    <w:tbl>
      <w:tblPr>
        <w:tblStyle w:val="9"/>
        <w:tblW w:w="5051" w:type="pct"/>
        <w:tblInd w:w="-92" w:type="dxa"/>
        <w:tblLayout w:type="fixed"/>
        <w:tblCellMar>
          <w:top w:w="0" w:type="dxa"/>
          <w:left w:w="108" w:type="dxa"/>
          <w:bottom w:w="0" w:type="dxa"/>
          <w:right w:w="108" w:type="dxa"/>
        </w:tblCellMar>
      </w:tblPr>
      <w:tblGrid>
        <w:gridCol w:w="497"/>
        <w:gridCol w:w="875"/>
        <w:gridCol w:w="6242"/>
        <w:gridCol w:w="540"/>
        <w:gridCol w:w="455"/>
      </w:tblGrid>
      <w:tr w14:paraId="02CE649E">
        <w:tblPrEx>
          <w:tblCellMar>
            <w:top w:w="0" w:type="dxa"/>
            <w:left w:w="108" w:type="dxa"/>
            <w:bottom w:w="0" w:type="dxa"/>
            <w:right w:w="108" w:type="dxa"/>
          </w:tblCellMar>
        </w:tblPrEx>
        <w:trPr>
          <w:trHeight w:val="6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14:paraId="6F3E2B8C">
            <w:pPr>
              <w:pStyle w:val="7"/>
              <w:shd w:val="clear"/>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F198DD9">
            <w:pPr>
              <w:pStyle w:val="7"/>
              <w:shd w:val="clear"/>
              <w:jc w:val="center"/>
              <w:rPr>
                <w:rFonts w:ascii="宋体" w:hAnsi="宋体" w:eastAsia="宋体" w:cs="宋体"/>
                <w:color w:val="auto"/>
                <w:highlight w:val="none"/>
              </w:rPr>
            </w:pPr>
            <w:r>
              <w:rPr>
                <w:rFonts w:hint="eastAsia" w:ascii="宋体" w:hAnsi="宋体" w:eastAsia="宋体" w:cs="宋体"/>
                <w:color w:val="auto"/>
                <w:highlight w:val="none"/>
              </w:rPr>
              <w:t>货物名称</w:t>
            </w:r>
          </w:p>
        </w:tc>
        <w:tc>
          <w:tcPr>
            <w:tcW w:w="3623" w:type="pct"/>
            <w:tcBorders>
              <w:top w:val="single" w:color="000000" w:sz="4" w:space="0"/>
              <w:left w:val="single" w:color="000000" w:sz="4" w:space="0"/>
              <w:bottom w:val="single" w:color="000000" w:sz="4" w:space="0"/>
              <w:right w:val="single" w:color="000000" w:sz="4" w:space="0"/>
            </w:tcBorders>
            <w:noWrap/>
            <w:vAlign w:val="center"/>
          </w:tcPr>
          <w:p w14:paraId="52639E90">
            <w:pPr>
              <w:pStyle w:val="7"/>
              <w:shd w:val="clear"/>
              <w:jc w:val="center"/>
              <w:rPr>
                <w:rFonts w:ascii="宋体" w:hAnsi="宋体" w:eastAsia="宋体" w:cs="宋体"/>
                <w:color w:val="auto"/>
                <w:highlight w:val="none"/>
              </w:rPr>
            </w:pPr>
            <w:r>
              <w:rPr>
                <w:rFonts w:hint="eastAsia" w:ascii="宋体" w:hAnsi="宋体" w:eastAsia="宋体" w:cs="宋体"/>
                <w:color w:val="auto"/>
                <w:highlight w:val="none"/>
              </w:rPr>
              <w:t>技术参数</w:t>
            </w:r>
          </w:p>
        </w:tc>
        <w:tc>
          <w:tcPr>
            <w:tcW w:w="314" w:type="pct"/>
            <w:tcBorders>
              <w:top w:val="single" w:color="000000" w:sz="4" w:space="0"/>
              <w:left w:val="single" w:color="000000" w:sz="4" w:space="0"/>
              <w:bottom w:val="single" w:color="000000" w:sz="4" w:space="0"/>
              <w:right w:val="single" w:color="auto" w:sz="4" w:space="0"/>
            </w:tcBorders>
            <w:noWrap/>
            <w:vAlign w:val="center"/>
          </w:tcPr>
          <w:p w14:paraId="52C6E742">
            <w:pPr>
              <w:pStyle w:val="7"/>
              <w:shd w:val="clear"/>
              <w:jc w:val="center"/>
              <w:rPr>
                <w:rFonts w:ascii="宋体" w:hAnsi="宋体" w:eastAsia="宋体" w:cs="宋体"/>
                <w:color w:val="auto"/>
                <w:highlight w:val="none"/>
              </w:rPr>
            </w:pPr>
            <w:r>
              <w:rPr>
                <w:rFonts w:hint="eastAsia" w:ascii="宋体" w:hAnsi="宋体" w:eastAsia="宋体" w:cs="宋体"/>
                <w:color w:val="auto"/>
                <w:highlight w:val="none"/>
              </w:rPr>
              <w:t>数量</w:t>
            </w:r>
          </w:p>
        </w:tc>
        <w:tc>
          <w:tcPr>
            <w:tcW w:w="264" w:type="pct"/>
            <w:tcBorders>
              <w:top w:val="single" w:color="000000" w:sz="4" w:space="0"/>
              <w:left w:val="single" w:color="auto" w:sz="4" w:space="0"/>
              <w:bottom w:val="single" w:color="000000" w:sz="4" w:space="0"/>
              <w:right w:val="single" w:color="000000" w:sz="4" w:space="0"/>
            </w:tcBorders>
            <w:noWrap/>
            <w:vAlign w:val="center"/>
          </w:tcPr>
          <w:p w14:paraId="33A2ACDD">
            <w:pPr>
              <w:pStyle w:val="7"/>
              <w:shd w:val="clear"/>
              <w:jc w:val="center"/>
              <w:rPr>
                <w:rFonts w:ascii="宋体" w:hAnsi="宋体" w:eastAsia="宋体" w:cs="宋体"/>
                <w:color w:val="auto"/>
                <w:highlight w:val="none"/>
              </w:rPr>
            </w:pPr>
            <w:r>
              <w:rPr>
                <w:rFonts w:hint="eastAsia" w:ascii="宋体" w:hAnsi="宋体" w:eastAsia="宋体" w:cs="宋体"/>
                <w:color w:val="auto"/>
                <w:highlight w:val="none"/>
              </w:rPr>
              <w:t>单位</w:t>
            </w:r>
          </w:p>
        </w:tc>
      </w:tr>
      <w:tr w14:paraId="712D0F4F">
        <w:tblPrEx>
          <w:tblCellMar>
            <w:top w:w="0" w:type="dxa"/>
            <w:left w:w="108" w:type="dxa"/>
            <w:bottom w:w="0" w:type="dxa"/>
            <w:right w:w="108" w:type="dxa"/>
          </w:tblCellMar>
        </w:tblPrEx>
        <w:trPr>
          <w:trHeight w:val="10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14:paraId="42F6BC11">
            <w:pPr>
              <w:shd w:val="clear"/>
              <w:spacing w:line="360" w:lineRule="auto"/>
              <w:jc w:val="center"/>
              <w:rPr>
                <w:rFonts w:ascii="宋体" w:hAnsi="宋体" w:cs="宋体"/>
                <w:color w:val="auto"/>
                <w:szCs w:val="18"/>
                <w:highlight w:val="none"/>
              </w:rPr>
            </w:pPr>
            <w:r>
              <w:rPr>
                <w:rFonts w:hint="eastAsia" w:ascii="宋体" w:hAnsi="宋体" w:cs="宋体"/>
                <w:color w:val="auto"/>
                <w:szCs w:val="18"/>
                <w:highlight w:val="none"/>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0E99BAA3">
            <w:pPr>
              <w:shd w:val="clear"/>
              <w:spacing w:line="360" w:lineRule="auto"/>
              <w:jc w:val="center"/>
              <w:rPr>
                <w:rFonts w:ascii="宋体" w:hAnsi="宋体" w:cs="宋体"/>
                <w:bCs/>
                <w:color w:val="auto"/>
                <w:szCs w:val="18"/>
                <w:highlight w:val="none"/>
              </w:rPr>
            </w:pPr>
            <w:r>
              <w:rPr>
                <w:rFonts w:hint="eastAsia" w:asciiTheme="majorEastAsia" w:hAnsiTheme="majorEastAsia" w:eastAsiaTheme="majorEastAsia"/>
                <w:color w:val="auto"/>
                <w:szCs w:val="24"/>
                <w:highlight w:val="none"/>
              </w:rPr>
              <w:t>▲</w:t>
            </w:r>
            <w:r>
              <w:rPr>
                <w:rFonts w:ascii="宋体" w:hAnsi="宋体" w:cs="宋体"/>
                <w:color w:val="auto"/>
                <w:highlight w:val="none"/>
              </w:rPr>
              <w:t>宽带频谱分析仪</w:t>
            </w:r>
            <w:r>
              <w:rPr>
                <w:rFonts w:hint="eastAsia" w:ascii="宋体" w:hAnsi="宋体"/>
                <w:b/>
                <w:color w:val="auto"/>
                <w:szCs w:val="18"/>
                <w:highlight w:val="none"/>
              </w:rPr>
              <w:t>（进口）</w:t>
            </w:r>
          </w:p>
        </w:tc>
        <w:tc>
          <w:tcPr>
            <w:tcW w:w="3623" w:type="pct"/>
            <w:tcBorders>
              <w:top w:val="single" w:color="000000" w:sz="4" w:space="0"/>
              <w:left w:val="single" w:color="000000" w:sz="4" w:space="0"/>
              <w:bottom w:val="single" w:color="000000" w:sz="4" w:space="0"/>
              <w:right w:val="single" w:color="000000" w:sz="4" w:space="0"/>
            </w:tcBorders>
          </w:tcPr>
          <w:p w14:paraId="332DCCDB">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具有频谱信号采样与分析功能，10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Hz-40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GHz频率范围，分析带宽不低于85</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MHz；</w:t>
            </w:r>
          </w:p>
          <w:p w14:paraId="1C000E19">
            <w:pPr>
              <w:widowControl/>
              <w:shd w:val="clear"/>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具有实时频谱观察与采集功能，100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Hz-40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GHz实时频率范围，实时分析带宽不低于85</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MHz；</w:t>
            </w:r>
          </w:p>
          <w:p w14:paraId="3C73981C">
            <w:pPr>
              <w:widowControl/>
              <w:shd w:val="clear"/>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★3.</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配有相位噪声测量模块，在100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Hz处能够测得不高于</w:t>
            </w:r>
            <w:r>
              <w:rPr>
                <w:rFonts w:hint="eastAsia" w:ascii="Times New Roman" w:hAnsi="Times New Roman" w:cs="Times New Roman" w:eastAsiaTheme="majorEastAsia"/>
                <w:color w:val="auto"/>
                <w:szCs w:val="24"/>
                <w:highlight w:val="none"/>
              </w:rPr>
              <w:t>-84 dBc，10 MHz处能够测得不高于-148 dBc；</w:t>
            </w:r>
          </w:p>
          <w:p w14:paraId="25358C4F">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■4. 频率分辨率优于0.01 Hz；</w:t>
            </w:r>
          </w:p>
          <w:p w14:paraId="29E5FF09">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■5. 配有双通道12位分辨率数据采集卡，实时采样率不低于1 GS/s；</w:t>
            </w:r>
          </w:p>
          <w:p w14:paraId="75C9E2D2">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■6. 所配有双通道12位分辨率数据采集卡，实时采样带宽不低于1 GHz；</w:t>
            </w:r>
          </w:p>
          <w:p w14:paraId="3369C6AE">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 xml:space="preserve">■7. 所配有双通道12位分辨率数据采集卡，适配接口6.9 GB/s PCIe Gen 3（8-lane）； </w:t>
            </w:r>
          </w:p>
          <w:p w14:paraId="61FA3E28">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●8. 显示平均噪声电平：</w:t>
            </w:r>
          </w:p>
          <w:p w14:paraId="188124CD">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不高于–154 dBm @1 GHz</w:t>
            </w:r>
          </w:p>
          <w:p w14:paraId="4F9FC767">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不高于–148 dBm @10 GHz</w:t>
            </w:r>
          </w:p>
          <w:p w14:paraId="39B5FD5E">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不高于–145 dBm @20 GHz</w:t>
            </w:r>
          </w:p>
          <w:p w14:paraId="504FB61C">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不高于–136 dBm @40 GHz；</w:t>
            </w:r>
          </w:p>
          <w:p w14:paraId="68B926CB">
            <w:pPr>
              <w:widowControl/>
              <w:shd w:val="clear"/>
              <w:rPr>
                <w:rFonts w:ascii="宋体" w:hAnsi="宋体" w:cs="宋体"/>
                <w:bCs/>
                <w:color w:val="auto"/>
                <w:szCs w:val="18"/>
                <w:highlight w:val="none"/>
              </w:rPr>
            </w:pPr>
            <w:r>
              <w:rPr>
                <w:rFonts w:hint="eastAsia" w:ascii="Times New Roman" w:hAnsi="Times New Roman" w:cs="Times New Roman" w:eastAsiaTheme="majorEastAsia"/>
                <w:color w:val="auto"/>
                <w:szCs w:val="24"/>
                <w:highlight w:val="none"/>
              </w:rPr>
              <w:t>■9. 配有数据处理模块。</w:t>
            </w:r>
          </w:p>
        </w:tc>
        <w:tc>
          <w:tcPr>
            <w:tcW w:w="314" w:type="pct"/>
            <w:tcBorders>
              <w:top w:val="single" w:color="000000" w:sz="4" w:space="0"/>
              <w:left w:val="single" w:color="000000" w:sz="4" w:space="0"/>
              <w:bottom w:val="single" w:color="000000" w:sz="4" w:space="0"/>
              <w:right w:val="single" w:color="auto" w:sz="4" w:space="0"/>
            </w:tcBorders>
            <w:noWrap/>
            <w:vAlign w:val="center"/>
          </w:tcPr>
          <w:p w14:paraId="7268214E">
            <w:pPr>
              <w:shd w:val="clear"/>
              <w:spacing w:line="360" w:lineRule="auto"/>
              <w:jc w:val="center"/>
              <w:rPr>
                <w:rFonts w:ascii="宋体" w:hAnsi="宋体" w:cs="宋体"/>
                <w:bCs/>
                <w:color w:val="auto"/>
                <w:szCs w:val="18"/>
                <w:highlight w:val="none"/>
              </w:rPr>
            </w:pPr>
            <w:r>
              <w:rPr>
                <w:rFonts w:hint="eastAsia" w:ascii="宋体" w:hAnsi="宋体" w:cs="宋体"/>
                <w:color w:val="auto"/>
                <w:szCs w:val="28"/>
                <w:highlight w:val="none"/>
              </w:rPr>
              <w:t>1</w:t>
            </w:r>
          </w:p>
        </w:tc>
        <w:tc>
          <w:tcPr>
            <w:tcW w:w="264" w:type="pct"/>
            <w:tcBorders>
              <w:top w:val="single" w:color="000000" w:sz="4" w:space="0"/>
              <w:left w:val="single" w:color="auto" w:sz="4" w:space="0"/>
              <w:bottom w:val="single" w:color="000000" w:sz="4" w:space="0"/>
              <w:right w:val="single" w:color="000000" w:sz="4" w:space="0"/>
            </w:tcBorders>
            <w:noWrap/>
            <w:vAlign w:val="center"/>
          </w:tcPr>
          <w:p w14:paraId="1FD2B316">
            <w:pPr>
              <w:pStyle w:val="7"/>
              <w:shd w:val="clear"/>
              <w:jc w:val="center"/>
              <w:rPr>
                <w:rFonts w:ascii="宋体" w:hAnsi="宋体" w:eastAsia="宋体" w:cs="宋体"/>
                <w:color w:val="auto"/>
                <w:highlight w:val="none"/>
              </w:rPr>
            </w:pPr>
            <w:r>
              <w:rPr>
                <w:rFonts w:hint="eastAsia" w:ascii="宋体" w:hAnsi="宋体" w:eastAsia="宋体" w:cs="宋体"/>
                <w:color w:val="auto"/>
                <w:highlight w:val="none"/>
              </w:rPr>
              <w:t>套</w:t>
            </w:r>
          </w:p>
        </w:tc>
      </w:tr>
      <w:tr w14:paraId="212F8DA8">
        <w:tblPrEx>
          <w:tblCellMar>
            <w:top w:w="0" w:type="dxa"/>
            <w:left w:w="108" w:type="dxa"/>
            <w:bottom w:w="0" w:type="dxa"/>
            <w:right w:w="108" w:type="dxa"/>
          </w:tblCellMar>
        </w:tblPrEx>
        <w:trPr>
          <w:trHeight w:val="10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14:paraId="1FC7A166">
            <w:pPr>
              <w:shd w:val="clear"/>
              <w:spacing w:line="360" w:lineRule="auto"/>
              <w:jc w:val="center"/>
              <w:rPr>
                <w:rFonts w:ascii="宋体" w:hAnsi="宋体" w:cs="宋体"/>
                <w:color w:val="auto"/>
                <w:szCs w:val="18"/>
                <w:highlight w:val="none"/>
              </w:rPr>
            </w:pPr>
            <w:r>
              <w:rPr>
                <w:rFonts w:hint="eastAsia" w:ascii="宋体" w:hAnsi="宋体" w:cs="宋体"/>
                <w:color w:val="auto"/>
                <w:szCs w:val="18"/>
                <w:highlight w:val="none"/>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1D62C90C">
            <w:pPr>
              <w:shd w:val="clear"/>
              <w:spacing w:line="360" w:lineRule="auto"/>
              <w:jc w:val="center"/>
              <w:rPr>
                <w:rFonts w:asciiTheme="majorEastAsia" w:hAnsiTheme="majorEastAsia" w:eastAsiaTheme="majorEastAsia"/>
                <w:bCs/>
                <w:color w:val="auto"/>
                <w:szCs w:val="24"/>
                <w:highlight w:val="none"/>
              </w:rPr>
            </w:pPr>
            <w:r>
              <w:rPr>
                <w:rFonts w:hint="eastAsia" w:asciiTheme="majorEastAsia" w:hAnsiTheme="majorEastAsia" w:eastAsiaTheme="majorEastAsia"/>
                <w:color w:val="auto"/>
                <w:szCs w:val="24"/>
                <w:highlight w:val="none"/>
              </w:rPr>
              <w:t>▲激光光束质量分析系统</w:t>
            </w:r>
            <w:r>
              <w:rPr>
                <w:rFonts w:hint="eastAsia" w:ascii="宋体" w:hAnsi="宋体"/>
                <w:b/>
                <w:color w:val="auto"/>
                <w:szCs w:val="18"/>
                <w:highlight w:val="none"/>
              </w:rPr>
              <w:t>（进口）</w:t>
            </w:r>
          </w:p>
        </w:tc>
        <w:tc>
          <w:tcPr>
            <w:tcW w:w="3623" w:type="pct"/>
            <w:tcBorders>
              <w:top w:val="single" w:color="000000" w:sz="4" w:space="0"/>
              <w:left w:val="single" w:color="000000" w:sz="4" w:space="0"/>
              <w:bottom w:val="single" w:color="000000" w:sz="4" w:space="0"/>
              <w:right w:val="single" w:color="000000" w:sz="4" w:space="0"/>
            </w:tcBorders>
          </w:tcPr>
          <w:p w14:paraId="0BD20022">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 xml:space="preserve">★1. 图像采集面积不小于6.7×5.6 mm； </w:t>
            </w:r>
          </w:p>
          <w:p w14:paraId="5333E5DB">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■2. CMOS传感器分辨率不低于2472×2064；</w:t>
            </w:r>
          </w:p>
          <w:p w14:paraId="0BC406CD">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■3. 工作波段可涵盖190 nm-1100 nm范围；</w:t>
            </w:r>
          </w:p>
          <w:p w14:paraId="4203D4CB">
            <w:pPr>
              <w:widowControl/>
              <w:numPr>
                <w:ilvl w:val="0"/>
                <w:numId w:val="1"/>
              </w:numPr>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12-bitADC,USB3.0接口，单脉冲捕获PRR不小于12.6 KHz；</w:t>
            </w:r>
          </w:p>
          <w:p w14:paraId="51C9A859">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●5. 信噪比不小于2500：1；</w:t>
            </w:r>
          </w:p>
          <w:p w14:paraId="5BAB77BE">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●6. 配有光学隔振平台尺寸，不小于1.5 m×1.5 m×800 mm；</w:t>
            </w:r>
          </w:p>
          <w:p w14:paraId="00F3C687">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■7. 配有扫频测试光源，中心波长1060 nm，扫描范围不小于90 nm，扫描频率不低于100 KHz，相干长度不低于10 mm，最大输出功率不低于40 mw；</w:t>
            </w:r>
          </w:p>
          <w:p w14:paraId="1671AFCB">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●8. 扫频测试光源的最大输出功率不低于40 mw，内置k触发器和启动触发器；</w:t>
            </w:r>
          </w:p>
          <w:p w14:paraId="37E446AF">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■9. 配有光放大模块，中心波长1455 nm，最大输出功率不低于5 W，输出功率可调；</w:t>
            </w:r>
          </w:p>
          <w:p w14:paraId="3976E878">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■10. 配有扫描透镜光路模块，波长范围400-1100 nm，扫描焦距不低于70 mm，视场不小于25 mm，入瞳不小于4mm，工作距离不低于20 mm；</w:t>
            </w:r>
          </w:p>
          <w:p w14:paraId="6C6B0186">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■11. 配有空间光耦合模块，可将激光进行空间光束整形和耦合，工作波长范围400-1100 nm，含有物镜100X，数值孔径大于0.9，180μm@100X视场，焦距调节范围大于10 mm；</w:t>
            </w:r>
          </w:p>
          <w:p w14:paraId="6EF76AEB">
            <w:pPr>
              <w:widowControl/>
              <w:shd w:val="clear"/>
              <w:rPr>
                <w:rFonts w:asciiTheme="majorEastAsia" w:hAnsiTheme="majorEastAsia" w:eastAsiaTheme="majorEastAsia"/>
                <w:color w:val="auto"/>
                <w:szCs w:val="24"/>
                <w:highlight w:val="none"/>
              </w:rPr>
            </w:pPr>
            <w:r>
              <w:rPr>
                <w:rFonts w:hint="eastAsia" w:ascii="Times New Roman" w:hAnsi="Times New Roman" w:cs="Times New Roman" w:eastAsiaTheme="majorEastAsia"/>
                <w:color w:val="auto"/>
                <w:szCs w:val="24"/>
                <w:highlight w:val="none"/>
              </w:rPr>
              <w:t>●12. 配有数据处理</w:t>
            </w:r>
            <w:r>
              <w:rPr>
                <w:rFonts w:ascii="Times New Roman" w:hAnsi="Times New Roman" w:cs="Times New Roman" w:eastAsiaTheme="majorEastAsia"/>
                <w:color w:val="auto"/>
                <w:szCs w:val="24"/>
                <w:highlight w:val="none"/>
              </w:rPr>
              <w:t>模块。</w:t>
            </w:r>
          </w:p>
        </w:tc>
        <w:tc>
          <w:tcPr>
            <w:tcW w:w="314" w:type="pct"/>
            <w:tcBorders>
              <w:top w:val="single" w:color="000000" w:sz="4" w:space="0"/>
              <w:left w:val="single" w:color="000000" w:sz="4" w:space="0"/>
              <w:bottom w:val="single" w:color="000000" w:sz="4" w:space="0"/>
              <w:right w:val="single" w:color="auto" w:sz="4" w:space="0"/>
            </w:tcBorders>
            <w:noWrap/>
            <w:vAlign w:val="center"/>
          </w:tcPr>
          <w:p w14:paraId="369A4050">
            <w:pPr>
              <w:shd w:val="clear"/>
              <w:spacing w:line="360" w:lineRule="auto"/>
              <w:jc w:val="center"/>
              <w:rPr>
                <w:rFonts w:ascii="宋体" w:hAnsi="宋体" w:cs="宋体"/>
                <w:bCs/>
                <w:color w:val="auto"/>
                <w:szCs w:val="18"/>
                <w:highlight w:val="none"/>
              </w:rPr>
            </w:pPr>
            <w:r>
              <w:rPr>
                <w:rFonts w:hint="eastAsia" w:ascii="宋体" w:hAnsi="宋体" w:cs="宋体"/>
                <w:color w:val="auto"/>
                <w:szCs w:val="28"/>
                <w:highlight w:val="none"/>
              </w:rPr>
              <w:t>1</w:t>
            </w:r>
          </w:p>
        </w:tc>
        <w:tc>
          <w:tcPr>
            <w:tcW w:w="264" w:type="pct"/>
            <w:tcBorders>
              <w:top w:val="single" w:color="000000" w:sz="4" w:space="0"/>
              <w:left w:val="single" w:color="auto" w:sz="4" w:space="0"/>
              <w:bottom w:val="single" w:color="000000" w:sz="4" w:space="0"/>
              <w:right w:val="single" w:color="000000" w:sz="4" w:space="0"/>
            </w:tcBorders>
            <w:noWrap/>
            <w:vAlign w:val="center"/>
          </w:tcPr>
          <w:p w14:paraId="49D6E1D0">
            <w:pPr>
              <w:pStyle w:val="7"/>
              <w:shd w:val="clear"/>
              <w:jc w:val="center"/>
              <w:rPr>
                <w:rFonts w:ascii="宋体" w:hAnsi="宋体" w:eastAsia="宋体" w:cs="宋体"/>
                <w:color w:val="auto"/>
                <w:highlight w:val="none"/>
              </w:rPr>
            </w:pPr>
            <w:r>
              <w:rPr>
                <w:rFonts w:hint="eastAsia" w:ascii="宋体" w:hAnsi="宋体" w:eastAsia="宋体" w:cs="宋体"/>
                <w:color w:val="auto"/>
                <w:highlight w:val="none"/>
              </w:rPr>
              <w:t>套</w:t>
            </w:r>
          </w:p>
        </w:tc>
      </w:tr>
      <w:bookmarkEnd w:id="0"/>
    </w:tbl>
    <w:p w14:paraId="4115F056">
      <w:pPr>
        <w:shd w:val="clear"/>
        <w:jc w:val="center"/>
        <w:rPr>
          <w:b/>
          <w:bCs/>
          <w:color w:val="auto"/>
          <w:highlight w:val="none"/>
        </w:rPr>
      </w:pPr>
    </w:p>
    <w:p w14:paraId="47E9F3ED">
      <w:pPr>
        <w:shd w:val="clear"/>
        <w:jc w:val="center"/>
        <w:rPr>
          <w:b/>
          <w:bCs/>
          <w:color w:val="auto"/>
          <w:highlight w:val="none"/>
        </w:rPr>
      </w:pPr>
      <w:r>
        <w:rPr>
          <w:rFonts w:hint="eastAsia" w:ascii="宋体" w:hAnsi="宋体" w:cs="Times New Roman"/>
          <w:b/>
          <w:bCs/>
          <w:color w:val="auto"/>
          <w:highlight w:val="none"/>
        </w:rPr>
        <w:t>第2包：980波段可调谐激光器</w:t>
      </w:r>
    </w:p>
    <w:p w14:paraId="4D72CFE9">
      <w:pPr>
        <w:pStyle w:val="2"/>
        <w:shd w:val="clear"/>
        <w:spacing w:line="500" w:lineRule="exact"/>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240"/>
        <w:gridCol w:w="5408"/>
      </w:tblGrid>
      <w:tr w14:paraId="2248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898" w:type="dxa"/>
          </w:tcPr>
          <w:p w14:paraId="3DD592B7">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需求内容类别</w:t>
            </w:r>
          </w:p>
        </w:tc>
        <w:tc>
          <w:tcPr>
            <w:tcW w:w="1240" w:type="dxa"/>
          </w:tcPr>
          <w:p w14:paraId="06D7C0AD">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标识符号</w:t>
            </w:r>
          </w:p>
        </w:tc>
        <w:tc>
          <w:tcPr>
            <w:tcW w:w="5408" w:type="dxa"/>
          </w:tcPr>
          <w:p w14:paraId="68C14DA5">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代表意思</w:t>
            </w:r>
          </w:p>
        </w:tc>
      </w:tr>
      <w:tr w14:paraId="717E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7E2D58B3">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关键性指标项</w:t>
            </w:r>
          </w:p>
        </w:tc>
        <w:tc>
          <w:tcPr>
            <w:tcW w:w="1240" w:type="dxa"/>
            <w:vAlign w:val="center"/>
          </w:tcPr>
          <w:p w14:paraId="539A48D3">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053AADF1">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不满足该指标项将导致投标被拒绝</w:t>
            </w:r>
          </w:p>
        </w:tc>
      </w:tr>
      <w:tr w14:paraId="6CD5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02CC26">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重要指标项</w:t>
            </w:r>
          </w:p>
        </w:tc>
        <w:tc>
          <w:tcPr>
            <w:tcW w:w="1240" w:type="dxa"/>
            <w:vAlign w:val="center"/>
          </w:tcPr>
          <w:p w14:paraId="4F084EB3">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09F9433C">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评分项，每满足一项得5分</w:t>
            </w:r>
          </w:p>
        </w:tc>
      </w:tr>
      <w:tr w14:paraId="49D5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41EA2B23">
            <w:pPr>
              <w:shd w:val="clear"/>
              <w:spacing w:line="360" w:lineRule="auto"/>
              <w:jc w:val="center"/>
              <w:rPr>
                <w:rFonts w:ascii="Times New Roman" w:hAnsi="Times New Roman" w:cs="Times New Roman"/>
                <w:color w:val="auto"/>
                <w:szCs w:val="18"/>
                <w:highlight w:val="none"/>
              </w:rPr>
            </w:pPr>
            <w:r>
              <w:rPr>
                <w:rFonts w:hint="eastAsia" w:cs="宋体" w:asciiTheme="majorEastAsia" w:hAnsiTheme="majorEastAsia" w:eastAsiaTheme="majorEastAsia"/>
                <w:color w:val="auto"/>
                <w:szCs w:val="24"/>
                <w:highlight w:val="none"/>
              </w:rPr>
              <w:t>一般指标项</w:t>
            </w:r>
          </w:p>
        </w:tc>
        <w:tc>
          <w:tcPr>
            <w:tcW w:w="1240" w:type="dxa"/>
            <w:vAlign w:val="center"/>
          </w:tcPr>
          <w:p w14:paraId="6D905028">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14800120">
            <w:pPr>
              <w:shd w:val="clear"/>
              <w:spacing w:line="360" w:lineRule="auto"/>
              <w:jc w:val="center"/>
              <w:rPr>
                <w:rFonts w:ascii="Times New Roman" w:hAnsi="Times New Roman" w:cs="Times New Roman"/>
                <w:color w:val="auto"/>
                <w:szCs w:val="24"/>
                <w:highlight w:val="none"/>
              </w:rPr>
            </w:pPr>
            <w:r>
              <w:rPr>
                <w:rFonts w:hint="eastAsia" w:cs="宋体" w:asciiTheme="majorEastAsia" w:hAnsiTheme="majorEastAsia" w:eastAsiaTheme="majorEastAsia"/>
                <w:color w:val="auto"/>
                <w:szCs w:val="24"/>
                <w:highlight w:val="none"/>
              </w:rPr>
              <w:t>评分项，每满足一项得4分</w:t>
            </w:r>
          </w:p>
        </w:tc>
      </w:tr>
      <w:tr w14:paraId="22F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73ACF2AC">
            <w:pPr>
              <w:shd w:val="clear"/>
              <w:spacing w:line="360" w:lineRule="auto"/>
              <w:jc w:val="center"/>
              <w:rPr>
                <w:color w:val="auto"/>
                <w:szCs w:val="28"/>
                <w:highlight w:val="none"/>
              </w:rPr>
            </w:pPr>
            <w:r>
              <w:rPr>
                <w:rFonts w:hint="eastAsia" w:cs="宋体" w:asciiTheme="majorEastAsia" w:hAnsiTheme="majorEastAsia" w:eastAsiaTheme="majorEastAsia"/>
                <w:color w:val="auto"/>
                <w:szCs w:val="24"/>
                <w:highlight w:val="none"/>
              </w:rPr>
              <w:t>无标识项</w:t>
            </w:r>
          </w:p>
        </w:tc>
        <w:tc>
          <w:tcPr>
            <w:tcW w:w="1240" w:type="dxa"/>
            <w:vAlign w:val="center"/>
          </w:tcPr>
          <w:p w14:paraId="5AC81D09">
            <w:pPr>
              <w:shd w:val="clear"/>
              <w:spacing w:line="360" w:lineRule="auto"/>
              <w:jc w:val="center"/>
              <w:rPr>
                <w:color w:val="auto"/>
                <w:szCs w:val="28"/>
                <w:highlight w:val="none"/>
              </w:rPr>
            </w:pPr>
          </w:p>
        </w:tc>
        <w:tc>
          <w:tcPr>
            <w:tcW w:w="5408" w:type="dxa"/>
            <w:vAlign w:val="center"/>
          </w:tcPr>
          <w:p w14:paraId="3B1ED941">
            <w:pPr>
              <w:shd w:val="clear"/>
              <w:spacing w:line="360" w:lineRule="auto"/>
              <w:jc w:val="center"/>
              <w:rPr>
                <w:rFonts w:ascii="宋体" w:hAnsi="宋体" w:cs="宋体"/>
                <w:color w:val="auto"/>
                <w:szCs w:val="24"/>
                <w:highlight w:val="none"/>
              </w:rPr>
            </w:pPr>
            <w:r>
              <w:rPr>
                <w:rFonts w:hint="eastAsia" w:ascii="宋体" w:hAnsi="宋体" w:cs="宋体"/>
                <w:bCs/>
                <w:color w:val="auto"/>
                <w:szCs w:val="24"/>
                <w:highlight w:val="none"/>
              </w:rPr>
              <w:t>符合性审查项，2条以上（不含2条）不响应或负偏离，将导致投标无效。</w:t>
            </w:r>
          </w:p>
        </w:tc>
      </w:tr>
    </w:tbl>
    <w:p w14:paraId="562D5335">
      <w:pPr>
        <w:pStyle w:val="2"/>
        <w:numPr>
          <w:ilvl w:val="0"/>
          <w:numId w:val="2"/>
        </w:numPr>
        <w:shd w:val="clear"/>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货物指标要求</w:t>
      </w:r>
    </w:p>
    <w:tbl>
      <w:tblPr>
        <w:tblStyle w:val="9"/>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46"/>
        <w:gridCol w:w="6378"/>
        <w:gridCol w:w="532"/>
        <w:gridCol w:w="474"/>
      </w:tblGrid>
      <w:tr w14:paraId="5296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Align w:val="center"/>
          </w:tcPr>
          <w:p w14:paraId="3A84EA07">
            <w:pPr>
              <w:shd w:val="clear"/>
              <w:spacing w:line="360" w:lineRule="auto"/>
              <w:jc w:val="center"/>
              <w:rPr>
                <w:rFonts w:ascii="Times New Roman" w:hAnsi="Times New Roman" w:cs="Times New Roman"/>
                <w:b/>
                <w:color w:val="auto"/>
                <w:szCs w:val="24"/>
                <w:highlight w:val="none"/>
              </w:rPr>
            </w:pPr>
            <w:r>
              <w:rPr>
                <w:rFonts w:ascii="Times New Roman" w:hAnsi="Times New Roman" w:cs="Times New Roman"/>
                <w:b/>
                <w:color w:val="auto"/>
                <w:szCs w:val="24"/>
                <w:highlight w:val="none"/>
              </w:rPr>
              <w:t>序号</w:t>
            </w:r>
          </w:p>
        </w:tc>
        <w:tc>
          <w:tcPr>
            <w:tcW w:w="484" w:type="pct"/>
            <w:vAlign w:val="center"/>
          </w:tcPr>
          <w:p w14:paraId="1812E217">
            <w:pPr>
              <w:shd w:val="clear"/>
              <w:spacing w:line="360" w:lineRule="auto"/>
              <w:jc w:val="center"/>
              <w:rPr>
                <w:rFonts w:ascii="Times New Roman" w:hAnsi="Times New Roman" w:cs="Times New Roman"/>
                <w:b/>
                <w:color w:val="auto"/>
                <w:szCs w:val="24"/>
                <w:highlight w:val="none"/>
              </w:rPr>
            </w:pPr>
            <w:r>
              <w:rPr>
                <w:rFonts w:ascii="Times New Roman" w:hAnsi="Times New Roman" w:cs="Times New Roman"/>
                <w:b/>
                <w:color w:val="auto"/>
                <w:szCs w:val="24"/>
                <w:highlight w:val="none"/>
              </w:rPr>
              <w:t>货物</w:t>
            </w:r>
          </w:p>
          <w:p w14:paraId="27785423">
            <w:pPr>
              <w:shd w:val="clear"/>
              <w:spacing w:line="360" w:lineRule="auto"/>
              <w:jc w:val="center"/>
              <w:rPr>
                <w:rFonts w:ascii="Times New Roman" w:hAnsi="Times New Roman" w:cs="Times New Roman"/>
                <w:b/>
                <w:color w:val="auto"/>
                <w:szCs w:val="24"/>
                <w:highlight w:val="none"/>
              </w:rPr>
            </w:pPr>
            <w:r>
              <w:rPr>
                <w:rFonts w:ascii="Times New Roman" w:hAnsi="Times New Roman" w:cs="Times New Roman"/>
                <w:b/>
                <w:color w:val="auto"/>
                <w:szCs w:val="24"/>
                <w:highlight w:val="none"/>
              </w:rPr>
              <w:t>名称</w:t>
            </w:r>
          </w:p>
        </w:tc>
        <w:tc>
          <w:tcPr>
            <w:tcW w:w="3649" w:type="pct"/>
            <w:vAlign w:val="center"/>
          </w:tcPr>
          <w:p w14:paraId="4E409D01">
            <w:pPr>
              <w:shd w:val="clear"/>
              <w:spacing w:line="360" w:lineRule="auto"/>
              <w:jc w:val="center"/>
              <w:rPr>
                <w:rFonts w:ascii="Times New Roman" w:hAnsi="Times New Roman" w:cs="Times New Roman"/>
                <w:b/>
                <w:color w:val="auto"/>
                <w:szCs w:val="24"/>
                <w:highlight w:val="none"/>
              </w:rPr>
            </w:pPr>
            <w:r>
              <w:rPr>
                <w:rFonts w:ascii="Times New Roman" w:hAnsi="Times New Roman" w:cs="Times New Roman"/>
                <w:b/>
                <w:color w:val="auto"/>
                <w:szCs w:val="24"/>
                <w:highlight w:val="none"/>
              </w:rPr>
              <w:t>技术参数及要求</w:t>
            </w:r>
          </w:p>
        </w:tc>
        <w:tc>
          <w:tcPr>
            <w:tcW w:w="305" w:type="pct"/>
            <w:vAlign w:val="center"/>
          </w:tcPr>
          <w:p w14:paraId="1FD4047C">
            <w:pPr>
              <w:pStyle w:val="7"/>
              <w:shd w:val="clear"/>
              <w:jc w:val="center"/>
              <w:rPr>
                <w:rFonts w:ascii="Times New Roman" w:hAnsi="Times New Roman" w:eastAsia="宋体" w:cs="Times New Roman"/>
                <w:b/>
                <w:color w:val="auto"/>
                <w:highlight w:val="none"/>
              </w:rPr>
            </w:pPr>
            <w:r>
              <w:rPr>
                <w:rFonts w:hint="eastAsia" w:ascii="宋体" w:hAnsi="宋体" w:eastAsia="宋体" w:cs="宋体"/>
                <w:color w:val="auto"/>
                <w:highlight w:val="none"/>
              </w:rPr>
              <w:t>数量</w:t>
            </w:r>
          </w:p>
        </w:tc>
        <w:tc>
          <w:tcPr>
            <w:tcW w:w="271" w:type="pct"/>
            <w:vAlign w:val="center"/>
          </w:tcPr>
          <w:p w14:paraId="23BCC9B6">
            <w:pPr>
              <w:pStyle w:val="7"/>
              <w:shd w:val="clear"/>
              <w:jc w:val="center"/>
              <w:rPr>
                <w:rFonts w:ascii="Times New Roman" w:hAnsi="Times New Roman" w:eastAsia="宋体" w:cs="Times New Roman"/>
                <w:b/>
                <w:color w:val="auto"/>
                <w:highlight w:val="none"/>
              </w:rPr>
            </w:pPr>
            <w:r>
              <w:rPr>
                <w:rFonts w:hint="eastAsia" w:ascii="宋体" w:hAnsi="宋体" w:eastAsia="宋体" w:cs="宋体"/>
                <w:color w:val="auto"/>
                <w:highlight w:val="none"/>
              </w:rPr>
              <w:t>单位</w:t>
            </w:r>
          </w:p>
        </w:tc>
      </w:tr>
      <w:tr w14:paraId="1B7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Align w:val="center"/>
          </w:tcPr>
          <w:p w14:paraId="6B0EBDE7">
            <w:pPr>
              <w:shd w:val="clear"/>
              <w:spacing w:line="360" w:lineRule="auto"/>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1</w:t>
            </w:r>
          </w:p>
        </w:tc>
        <w:tc>
          <w:tcPr>
            <w:tcW w:w="855" w:type="dxa"/>
            <w:vAlign w:val="center"/>
          </w:tcPr>
          <w:p w14:paraId="2F98330A">
            <w:pPr>
              <w:shd w:val="clear"/>
              <w:spacing w:line="360" w:lineRule="auto"/>
              <w:jc w:val="center"/>
              <w:rPr>
                <w:rFonts w:ascii="Times New Roman" w:hAnsi="Times New Roman" w:cs="Times New Roman"/>
                <w:bCs/>
                <w:color w:val="auto"/>
                <w:szCs w:val="24"/>
                <w:highlight w:val="none"/>
              </w:rPr>
            </w:pPr>
            <w:r>
              <w:rPr>
                <w:rFonts w:hint="eastAsia" w:asciiTheme="majorEastAsia" w:hAnsiTheme="majorEastAsia" w:eastAsiaTheme="majorEastAsia"/>
                <w:color w:val="auto"/>
                <w:szCs w:val="24"/>
                <w:highlight w:val="none"/>
              </w:rPr>
              <w:t>▲980波段可调谐激光器</w:t>
            </w:r>
            <w:r>
              <w:rPr>
                <w:rFonts w:hint="eastAsia" w:ascii="宋体" w:hAnsi="宋体"/>
                <w:bCs/>
                <w:color w:val="auto"/>
                <w:szCs w:val="18"/>
                <w:highlight w:val="none"/>
              </w:rPr>
              <w:t>（进口）</w:t>
            </w:r>
          </w:p>
        </w:tc>
        <w:tc>
          <w:tcPr>
            <w:tcW w:w="6449" w:type="dxa"/>
          </w:tcPr>
          <w:p w14:paraId="667E7814">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 工作波长覆盖920-990 nm范围；调谐范围内无跳模，绝对波长精度：小于100 pm，相对精度不低于10 pm；</w:t>
            </w:r>
          </w:p>
          <w:p w14:paraId="5389AA32">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●2. 内置不小于60 dB隔离器，单模保偏光纤输出，包含光纤耦合模块，耦合效率不小于50%@最大增益处；</w:t>
            </w:r>
          </w:p>
          <w:p w14:paraId="5D3713F6">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■3. 典型短时（5μs）线宽小于10 KHz；</w:t>
            </w:r>
          </w:p>
          <w:p w14:paraId="46D59830">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■4. 最大输出功率不小于64 mW(隔离器后),边缘输出功率大于32 mW(隔离器后)；</w:t>
            </w:r>
          </w:p>
          <w:p w14:paraId="2D8BDFE4">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■5. 最大扫描速度不小于10 nm/s；最大压电扫描范围不小于55 GHz；</w:t>
            </w:r>
          </w:p>
          <w:p w14:paraId="56828154">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●6. 配有移频可调模块2个，中心频率不低于200 MHz,可实现TTL调制；</w:t>
            </w:r>
          </w:p>
          <w:p w14:paraId="0403AA57">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■7. 配有激光相位调制模块，带宽不小于10 GHz。</w:t>
            </w:r>
          </w:p>
          <w:p w14:paraId="5E880FC9">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■8. 配有500-1630 nm范围光接收器，带宽不小于45 GHz，FC/PC单模输入，最大可转换增益不小于10 V/W；</w:t>
            </w:r>
          </w:p>
          <w:p w14:paraId="45BB86AB">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●9. 配有光放大模块，最大输出功率不小于5 W；</w:t>
            </w:r>
          </w:p>
          <w:p w14:paraId="4BADB44D">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●10. 配有偏振控制模块，电动3浆控制，最小步长不低于0.12°；</w:t>
            </w:r>
          </w:p>
          <w:p w14:paraId="62A952F7">
            <w:pPr>
              <w:widowControl/>
              <w:shd w:val="clear"/>
              <w:rPr>
                <w:rFonts w:ascii="Times New Roman" w:hAnsi="Times New Roman" w:cs="Times New Roman"/>
                <w:color w:val="auto"/>
                <w:szCs w:val="24"/>
                <w:highlight w:val="none"/>
              </w:rPr>
            </w:pPr>
            <w:r>
              <w:rPr>
                <w:rFonts w:hint="eastAsia" w:ascii="Times New Roman" w:hAnsi="Times New Roman" w:cs="Times New Roman" w:eastAsiaTheme="majorEastAsia"/>
                <w:color w:val="auto"/>
                <w:szCs w:val="24"/>
                <w:highlight w:val="none"/>
              </w:rPr>
              <w:t>■11. 配有激光强度调制模块，带宽不低于40 GHz，带有射频放大，自动补偿电压漂移功能。</w:t>
            </w:r>
          </w:p>
        </w:tc>
        <w:tc>
          <w:tcPr>
            <w:tcW w:w="305" w:type="pct"/>
            <w:vAlign w:val="center"/>
          </w:tcPr>
          <w:p w14:paraId="7BD583B1">
            <w:pPr>
              <w:shd w:val="clear"/>
              <w:spacing w:line="360" w:lineRule="auto"/>
              <w:jc w:val="center"/>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1</w:t>
            </w:r>
          </w:p>
        </w:tc>
        <w:tc>
          <w:tcPr>
            <w:tcW w:w="271" w:type="pct"/>
            <w:vAlign w:val="center"/>
          </w:tcPr>
          <w:p w14:paraId="492A10D7">
            <w:pPr>
              <w:shd w:val="clear"/>
              <w:spacing w:line="360" w:lineRule="auto"/>
              <w:jc w:val="center"/>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套</w:t>
            </w:r>
          </w:p>
        </w:tc>
      </w:tr>
    </w:tbl>
    <w:p w14:paraId="648EBF3B">
      <w:pPr>
        <w:shd w:val="clear"/>
        <w:autoSpaceDE w:val="0"/>
        <w:autoSpaceDN w:val="0"/>
        <w:adjustRightInd w:val="0"/>
        <w:spacing w:line="276" w:lineRule="auto"/>
        <w:jc w:val="left"/>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三、安装调试、培训</w:t>
      </w:r>
      <w:r>
        <w:rPr>
          <w:rFonts w:asciiTheme="majorEastAsia" w:hAnsiTheme="majorEastAsia" w:eastAsiaTheme="majorEastAsia"/>
          <w:b/>
          <w:color w:val="auto"/>
          <w:szCs w:val="24"/>
          <w:highlight w:val="none"/>
        </w:rPr>
        <w:t>、</w:t>
      </w:r>
      <w:r>
        <w:rPr>
          <w:rFonts w:hint="eastAsia" w:asciiTheme="majorEastAsia" w:hAnsiTheme="majorEastAsia" w:eastAsiaTheme="majorEastAsia"/>
          <w:b/>
          <w:color w:val="auto"/>
          <w:szCs w:val="24"/>
          <w:highlight w:val="none"/>
        </w:rPr>
        <w:t>质保及售后服务要求</w:t>
      </w:r>
    </w:p>
    <w:p w14:paraId="534B1E03">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1、安装调试：</w:t>
      </w:r>
    </w:p>
    <w:p w14:paraId="03CB424B">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（1）协助安装调试前的准备工作，提供相关要求并作相应的指导。</w:t>
      </w:r>
    </w:p>
    <w:p w14:paraId="6F3563D0">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（2）货物到达用户指定交货地点后，</w:t>
      </w:r>
      <w:r>
        <w:rPr>
          <w:rFonts w:hint="eastAsia" w:ascii="宋体" w:hAnsi="宋体" w:cs="Times New Roman"/>
          <w:bCs/>
          <w:color w:val="auto"/>
          <w:szCs w:val="18"/>
          <w:highlight w:val="none"/>
          <w:lang w:val="en-US" w:eastAsia="zh-CN"/>
        </w:rPr>
        <w:t>中标供应商</w:t>
      </w:r>
      <w:r>
        <w:rPr>
          <w:rFonts w:hint="eastAsia" w:ascii="宋体" w:hAnsi="宋体" w:cs="Times New Roman"/>
          <w:bCs/>
          <w:color w:val="auto"/>
          <w:szCs w:val="18"/>
          <w:highlight w:val="none"/>
        </w:rPr>
        <w:t xml:space="preserve">在接到用户通知后2周内进行安装调试，直至验收通过，并就货物的性能、原理、操作、保养和维护等对用户技术人员（至少2人）进行免费培训。 </w:t>
      </w:r>
    </w:p>
    <w:p w14:paraId="6E431BA5">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2、售后服务：</w:t>
      </w:r>
    </w:p>
    <w:p w14:paraId="5150413A">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w:t>
      </w:r>
      <w:r>
        <w:rPr>
          <w:rFonts w:hint="eastAsia" w:ascii="宋体" w:hAnsi="宋体" w:cs="宋体"/>
          <w:color w:val="auto"/>
          <w:highlight w:val="none"/>
        </w:rPr>
        <w:t>验收合格之日起1年</w:t>
      </w:r>
      <w:r>
        <w:rPr>
          <w:rFonts w:hint="eastAsia" w:ascii="宋体" w:hAnsi="宋体" w:cs="Times New Roman"/>
          <w:bCs/>
          <w:color w:val="auto"/>
          <w:szCs w:val="18"/>
          <w:highlight w:val="none"/>
        </w:rPr>
        <w:t>。</w:t>
      </w:r>
      <w:r>
        <w:rPr>
          <w:rFonts w:hint="eastAsia" w:ascii="宋体" w:hAnsi="宋体" w:cs="Times New Roman"/>
          <w:bCs/>
          <w:color w:val="auto"/>
          <w:szCs w:val="18"/>
          <w:highlight w:val="none"/>
          <w:lang w:val="en-US" w:eastAsia="zh-CN"/>
        </w:rPr>
        <w:t>中标供应商</w:t>
      </w:r>
      <w:r>
        <w:rPr>
          <w:rFonts w:hint="eastAsia" w:ascii="宋体" w:hAnsi="宋体" w:cs="Times New Roman"/>
          <w:bCs/>
          <w:color w:val="auto"/>
          <w:szCs w:val="18"/>
          <w:highlight w:val="none"/>
        </w:rPr>
        <w:t>应在4小时内对用户的维修要求作出响应，2个工作日内到达现场维修。</w:t>
      </w:r>
    </w:p>
    <w:p w14:paraId="1F80D59C">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（2）如遇软件升级问题，在硬件支持的前提下，提供免费升级。</w:t>
      </w:r>
    </w:p>
    <w:p w14:paraId="66A64F73">
      <w:pPr>
        <w:shd w:val="clear"/>
        <w:autoSpaceDE w:val="0"/>
        <w:autoSpaceDN w:val="0"/>
        <w:adjustRightInd w:val="0"/>
        <w:spacing w:line="276" w:lineRule="auto"/>
        <w:jc w:val="left"/>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四、报价要求</w:t>
      </w:r>
    </w:p>
    <w:p w14:paraId="25016BC5">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本项目须报投标总价，投标总价包含完成所投包别项目产生的一切费用（仪器设备安装调试所需要的人工、材料、工具等均由中标人负责提供，所需费用包含在投标总报价内），履约期间采购人不再追加任何费用，投标人自行考虑报价风险。</w:t>
      </w:r>
    </w:p>
    <w:p w14:paraId="71DD2C1D">
      <w:pPr>
        <w:shd w:val="clear"/>
        <w:spacing w:line="360" w:lineRule="auto"/>
        <w:ind w:firstLine="480" w:firstLineChars="200"/>
        <w:rPr>
          <w:rFonts w:ascii="Times New Roman" w:hAnsi="Times New Roman" w:cs="Times New Roman"/>
          <w:color w:val="auto"/>
          <w:szCs w:val="24"/>
          <w:highlight w:val="none"/>
        </w:rPr>
      </w:pPr>
      <w:r>
        <w:rPr>
          <w:rFonts w:hint="eastAsia" w:ascii="宋体" w:hAnsi="宋体" w:cs="Times New Roman"/>
          <w:bCs/>
          <w:color w:val="auto"/>
          <w:szCs w:val="18"/>
          <w:highlight w:val="none"/>
        </w:rPr>
        <w:t>2、本项目按照人民币报价，供应商在报价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p w14:paraId="06D380CC">
      <w:pPr>
        <w:pStyle w:val="2"/>
        <w:shd w:val="clear"/>
        <w:ind w:left="0" w:firstLine="0" w:firstLineChars="0"/>
        <w:rPr>
          <w:rFonts w:ascii="宋体" w:hAnsi="宋体" w:eastAsia="宋体" w:cs="宋体"/>
          <w:b/>
          <w:bCs/>
          <w:color w:val="auto"/>
          <w:sz w:val="24"/>
          <w:szCs w:val="24"/>
          <w:highlight w:val="none"/>
        </w:rPr>
      </w:pPr>
    </w:p>
    <w:p w14:paraId="5CEB6F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36A8"/>
    <w:multiLevelType w:val="singleLevel"/>
    <w:tmpl w:val="00F236A8"/>
    <w:lvl w:ilvl="0" w:tentative="0">
      <w:start w:val="4"/>
      <w:numFmt w:val="decimal"/>
      <w:suff w:val="space"/>
      <w:lvlText w:val="%1."/>
      <w:lvlJc w:val="left"/>
    </w:lvl>
  </w:abstractNum>
  <w:abstractNum w:abstractNumId="1">
    <w:nsid w:val="3451ECC7"/>
    <w:multiLevelType w:val="singleLevel"/>
    <w:tmpl w:val="3451ECC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429C5"/>
    <w:rsid w:val="6774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5">
    <w:name w:val="heading 1"/>
    <w:basedOn w:val="1"/>
    <w:next w:val="1"/>
    <w:link w:val="11"/>
    <w:qFormat/>
    <w:uiPriority w:val="9"/>
    <w:pPr>
      <w:keepNext/>
      <w:keepLines/>
      <w:spacing w:line="360" w:lineRule="auto"/>
      <w:jc w:val="center"/>
      <w:outlineLvl w:val="0"/>
    </w:pPr>
    <w:rPr>
      <w:rFonts w:eastAsia="方正小标宋_GBK"/>
      <w:bCs/>
      <w:kern w:val="44"/>
      <w:sz w:val="44"/>
      <w:szCs w:val="44"/>
    </w:rPr>
  </w:style>
  <w:style w:type="paragraph" w:styleId="6">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cs="Arial"/>
    </w:rPr>
  </w:style>
  <w:style w:type="paragraph" w:styleId="7">
    <w:name w:val="Body Text"/>
    <w:basedOn w:val="1"/>
    <w:next w:val="1"/>
    <w:qFormat/>
    <w:uiPriority w:val="0"/>
    <w:pPr>
      <w:spacing w:after="120"/>
    </w:pPr>
    <w:rPr>
      <w:rFonts w:ascii="@微软简标宋" w:hAnsi="@微软简标宋" w:eastAsia="@微软简标宋" w:cs="@微软简标宋"/>
      <w:szCs w:val="24"/>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标题 1 字符"/>
    <w:link w:val="5"/>
    <w:qFormat/>
    <w:uiPriority w:val="9"/>
    <w:rPr>
      <w:rFonts w:eastAsia="方正小标宋_GBK"/>
      <w:bCs/>
      <w:kern w:val="44"/>
      <w:sz w:val="44"/>
      <w:szCs w:val="44"/>
    </w:rPr>
  </w:style>
  <w:style w:type="paragraph" w:customStyle="1" w:styleId="12">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2025-10-27T10:30:00Z</dcterms:created>
  <dc:creator>安天</dc:creator>
  <cp:lastModifiedBy>安天</cp:lastModifiedBy>
  <dcterms:modified xsi:type="dcterms:W3CDTF">2025-10-27T10:31:15Z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A87EBBBEBB0349DC817BF73A1E0B9662_11</vt:lpwstr>
  </property>
  <property fmtid="{D5CDD505-2E9C-101B-9397-08002B2CF9AE}" pid="4" name="KSOTemplateDocerSaveRecord">
    <vt:lpwstr>eyJoZGlkIjoiZGUxNDkwOGRhYjQwY2FkYjE0ODc4ZjJiZmU0ZGQ0MDYiLCJ1c2VySWQiOiIyODkwNDAzNDUifQ==</vt:lpwstr>
  </property>
</Properties>
</file>