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9C66">
      <w:pPr>
        <w:spacing w:line="360" w:lineRule="auto"/>
        <w:jc w:val="center"/>
        <w:outlineLvl w:val="0"/>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采购需求</w:t>
      </w:r>
    </w:p>
    <w:p w14:paraId="2D642AC8">
      <w:pPr>
        <w:pStyle w:val="2"/>
        <w:rPr>
          <w:rFonts w:hint="eastAsia"/>
          <w:color w:val="000000" w:themeColor="text1"/>
          <w14:textFill>
            <w14:solidFill>
              <w14:schemeClr w14:val="tx1"/>
            </w14:solidFill>
          </w14:textFill>
        </w:rPr>
      </w:pPr>
      <w:bookmarkStart w:id="0" w:name="_Toc21798"/>
      <w:bookmarkStart w:id="1" w:name="_Toc4148"/>
      <w:bookmarkStart w:id="2" w:name="_Hlk23621890"/>
      <w:r>
        <w:rPr>
          <w:rFonts w:hint="eastAsia"/>
          <w:color w:val="000000" w:themeColor="text1"/>
          <w14:textFill>
            <w14:solidFill>
              <w14:schemeClr w14:val="tx1"/>
            </w14:solidFill>
          </w14:textFill>
        </w:rPr>
        <w:t>一、采购需求前附表</w:t>
      </w:r>
      <w:bookmarkEnd w:id="0"/>
      <w:bookmarkEnd w:id="1"/>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547"/>
        <w:gridCol w:w="6370"/>
      </w:tblGrid>
      <w:tr w14:paraId="301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353" w:type="pct"/>
            <w:vAlign w:val="center"/>
          </w:tcPr>
          <w:p w14:paraId="7E0C9C63">
            <w:pPr>
              <w:pStyle w:val="6"/>
              <w:pBdr>
                <w:bottom w:val="none" w:color="auto" w:sz="0" w:space="0"/>
              </w:pBdr>
              <w:tabs>
                <w:tab w:val="clear" w:pos="4153"/>
                <w:tab w:val="clear" w:pos="8306"/>
              </w:tabs>
              <w:adjustRightInd/>
              <w:spacing w:line="240" w:lineRule="auto"/>
              <w:textAlignment w:val="auto"/>
              <w:rPr>
                <w:rFonts w:hint="eastAsia"/>
                <w:b/>
                <w:color w:val="000000" w:themeColor="text1"/>
                <w:kern w:val="2"/>
                <w:szCs w:val="24"/>
                <w14:textFill>
                  <w14:solidFill>
                    <w14:schemeClr w14:val="tx1"/>
                  </w14:solidFill>
                </w14:textFill>
              </w:rPr>
            </w:pPr>
            <w:r>
              <w:rPr>
                <w:rFonts w:hint="eastAsia"/>
                <w:b/>
                <w:color w:val="000000" w:themeColor="text1"/>
                <w:kern w:val="2"/>
                <w:szCs w:val="24"/>
                <w14:textFill>
                  <w14:solidFill>
                    <w14:schemeClr w14:val="tx1"/>
                  </w14:solidFill>
                </w14:textFill>
              </w:rPr>
              <w:t>序号</w:t>
            </w:r>
          </w:p>
        </w:tc>
        <w:tc>
          <w:tcPr>
            <w:tcW w:w="908" w:type="pct"/>
            <w:vAlign w:val="center"/>
          </w:tcPr>
          <w:p w14:paraId="177D49DC">
            <w:pPr>
              <w:pStyle w:val="7"/>
              <w:widowControl w:val="0"/>
              <w:spacing w:before="0" w:beforeAutospacing="0" w:after="0" w:afterAutospacing="0" w:line="360" w:lineRule="auto"/>
              <w:rPr>
                <w:rFonts w:hint="eastAsia"/>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条款名称</w:t>
            </w:r>
          </w:p>
        </w:tc>
        <w:tc>
          <w:tcPr>
            <w:tcW w:w="3738" w:type="pct"/>
            <w:vAlign w:val="center"/>
          </w:tcPr>
          <w:p w14:paraId="3300DCBB">
            <w:pPr>
              <w:pStyle w:val="7"/>
              <w:widowControl w:val="0"/>
              <w:spacing w:before="0" w:beforeAutospacing="0" w:after="0" w:afterAutospacing="0" w:line="360" w:lineRule="auto"/>
              <w:rPr>
                <w:rFonts w:hint="eastAsia"/>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内容、说明与要求</w:t>
            </w:r>
          </w:p>
        </w:tc>
      </w:tr>
      <w:tr w14:paraId="22A7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1F85478A">
            <w:pPr>
              <w:pStyle w:val="6"/>
              <w:pBdr>
                <w:bottom w:val="none" w:color="auto" w:sz="0" w:space="0"/>
              </w:pBdr>
              <w:tabs>
                <w:tab w:val="clear" w:pos="4153"/>
                <w:tab w:val="clear" w:pos="8306"/>
              </w:tabs>
              <w:adjustRightInd/>
              <w:spacing w:line="240" w:lineRule="auto"/>
              <w:textAlignment w:val="auto"/>
              <w:rPr>
                <w:rFonts w:hint="eastAsia"/>
                <w:bCs/>
                <w:color w:val="000000" w:themeColor="text1"/>
                <w:kern w:val="2"/>
                <w:szCs w:val="24"/>
                <w14:textFill>
                  <w14:solidFill>
                    <w14:schemeClr w14:val="tx1"/>
                  </w14:solidFill>
                </w14:textFill>
              </w:rPr>
            </w:pPr>
            <w:r>
              <w:rPr>
                <w:rFonts w:hint="eastAsia"/>
                <w:bCs/>
                <w:color w:val="000000" w:themeColor="text1"/>
                <w:kern w:val="2"/>
                <w:szCs w:val="24"/>
                <w14:textFill>
                  <w14:solidFill>
                    <w14:schemeClr w14:val="tx1"/>
                  </w14:solidFill>
                </w14:textFill>
              </w:rPr>
              <w:t>1</w:t>
            </w:r>
          </w:p>
        </w:tc>
        <w:tc>
          <w:tcPr>
            <w:tcW w:w="908" w:type="pct"/>
            <w:shd w:val="clear" w:color="auto" w:fill="auto"/>
            <w:vAlign w:val="center"/>
          </w:tcPr>
          <w:p w14:paraId="78D4C476">
            <w:pPr>
              <w:pStyle w:val="7"/>
              <w:widowControl w:val="0"/>
              <w:spacing w:before="0" w:beforeAutospacing="0" w:after="0" w:afterAutospacing="0" w:line="360" w:lineRule="auto"/>
              <w:rPr>
                <w:rFonts w:hint="eastAsia"/>
                <w:b w:val="0"/>
                <w:color w:val="000000" w:themeColor="text1"/>
                <w:sz w:val="24"/>
                <w:szCs w:val="24"/>
                <w14:textFill>
                  <w14:solidFill>
                    <w14:schemeClr w14:val="tx1"/>
                  </w14:solidFill>
                </w14:textFill>
              </w:rPr>
            </w:pPr>
            <w:r>
              <w:rPr>
                <w:rFonts w:hint="eastAsia"/>
                <w:b w:val="0"/>
                <w:color w:val="000000" w:themeColor="text1"/>
                <w:sz w:val="24"/>
                <w:szCs w:val="24"/>
                <w14:textFill>
                  <w14:solidFill>
                    <w14:schemeClr w14:val="tx1"/>
                  </w14:solidFill>
                </w14:textFill>
              </w:rPr>
              <w:t>工期</w:t>
            </w:r>
          </w:p>
        </w:tc>
        <w:tc>
          <w:tcPr>
            <w:tcW w:w="3738" w:type="pct"/>
            <w:shd w:val="clear" w:color="auto" w:fill="auto"/>
            <w:vAlign w:val="center"/>
          </w:tcPr>
          <w:p w14:paraId="0EE082C9">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合同施工工期45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本项目消防报验时间不计入工期。每超一天（不足一天按一天计），承包人须向发包人缴纳</w:t>
            </w:r>
            <w:r>
              <w:rPr>
                <w:rFonts w:hint="eastAsia" w:cs="@仿宋_GB2312" w:asciiTheme="minorEastAsia" w:hAnsiTheme="minorEastAsia" w:eastAsiaTheme="minorEastAsia"/>
                <w:color w:val="000000" w:themeColor="text1"/>
                <w:kern w:val="2"/>
                <w:sz w:val="24"/>
                <w:szCs w:val="24"/>
                <w:lang w:eastAsia="zh-CN"/>
                <w14:textFill>
                  <w14:solidFill>
                    <w14:schemeClr w14:val="tx1"/>
                  </w14:solidFill>
                </w14:textFill>
              </w:rPr>
              <w:t>成交</w:t>
            </w:r>
            <w:r>
              <w:rPr>
                <w:rFonts w:hint="eastAsia" w:cs="@仿宋_GB2312" w:asciiTheme="minorEastAsia" w:hAnsiTheme="minorEastAsia" w:eastAsiaTheme="minorEastAsia"/>
                <w:color w:val="000000" w:themeColor="text1"/>
                <w:kern w:val="2"/>
                <w:sz w:val="24"/>
                <w:szCs w:val="24"/>
                <w14:textFill>
                  <w14:solidFill>
                    <w14:schemeClr w14:val="tx1"/>
                  </w14:solidFill>
                </w14:textFill>
              </w:rPr>
              <w:t>金额的0.1%款额的违约金。如因采购人要求增加工程量、教育教学、重大活动、极端天气等不可抗拒因素造成延期，经采购人和成交供应商书面确认后，工期予以顺延，具体以实际发生时间为依据。</w:t>
            </w:r>
          </w:p>
        </w:tc>
      </w:tr>
      <w:tr w14:paraId="7D5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4314FA09">
            <w:pPr>
              <w:pStyle w:val="6"/>
              <w:pBdr>
                <w:bottom w:val="none" w:color="auto" w:sz="0" w:space="0"/>
              </w:pBdr>
              <w:tabs>
                <w:tab w:val="clear" w:pos="4153"/>
                <w:tab w:val="clear" w:pos="8306"/>
              </w:tabs>
              <w:adjustRightInd/>
              <w:spacing w:line="240" w:lineRule="auto"/>
              <w:textAlignment w:val="auto"/>
              <w:rPr>
                <w:rFonts w:hint="eastAsia"/>
                <w:bCs/>
                <w:color w:val="000000" w:themeColor="text1"/>
                <w:kern w:val="2"/>
                <w:szCs w:val="24"/>
                <w14:textFill>
                  <w14:solidFill>
                    <w14:schemeClr w14:val="tx1"/>
                  </w14:solidFill>
                </w14:textFill>
              </w:rPr>
            </w:pPr>
            <w:r>
              <w:rPr>
                <w:rFonts w:hint="eastAsia"/>
                <w:bCs/>
                <w:color w:val="000000" w:themeColor="text1"/>
                <w:kern w:val="2"/>
                <w:szCs w:val="24"/>
                <w14:textFill>
                  <w14:solidFill>
                    <w14:schemeClr w14:val="tx1"/>
                  </w14:solidFill>
                </w14:textFill>
              </w:rPr>
              <w:t>2</w:t>
            </w:r>
          </w:p>
        </w:tc>
        <w:tc>
          <w:tcPr>
            <w:tcW w:w="908" w:type="pct"/>
            <w:shd w:val="clear" w:color="auto" w:fill="auto"/>
            <w:vAlign w:val="center"/>
          </w:tcPr>
          <w:p w14:paraId="0591215E">
            <w:pPr>
              <w:pStyle w:val="7"/>
              <w:widowControl w:val="0"/>
              <w:spacing w:before="0" w:beforeAutospacing="0" w:after="0" w:afterAutospacing="0" w:line="360" w:lineRule="auto"/>
              <w:rPr>
                <w:rFonts w:hint="eastAsia"/>
                <w:b w:val="0"/>
                <w:color w:val="000000" w:themeColor="text1"/>
                <w:sz w:val="24"/>
                <w:szCs w:val="24"/>
                <w14:textFill>
                  <w14:solidFill>
                    <w14:schemeClr w14:val="tx1"/>
                  </w14:solidFill>
                </w14:textFill>
              </w:rPr>
            </w:pPr>
            <w:r>
              <w:rPr>
                <w:rFonts w:hint="eastAsia"/>
                <w:b w:val="0"/>
                <w:color w:val="000000" w:themeColor="text1"/>
                <w:sz w:val="24"/>
                <w:szCs w:val="24"/>
                <w14:textFill>
                  <w14:solidFill>
                    <w14:schemeClr w14:val="tx1"/>
                  </w14:solidFill>
                </w14:textFill>
              </w:rPr>
              <w:t>付款方式</w:t>
            </w:r>
          </w:p>
        </w:tc>
        <w:tc>
          <w:tcPr>
            <w:tcW w:w="3738" w:type="pct"/>
            <w:shd w:val="clear" w:color="auto" w:fill="auto"/>
            <w:vAlign w:val="center"/>
          </w:tcPr>
          <w:p w14:paraId="769D0CA4">
            <w:pPr>
              <w:spacing w:line="360" w:lineRule="auto"/>
              <w:rPr>
                <w:rFonts w:hint="eastAsia" w:cs="@仿宋_GB2312" w:asciiTheme="minorEastAsia" w:hAnsiTheme="minorEastAsia" w:eastAsiaTheme="minorEastAsia"/>
                <w:color w:val="000000" w:themeColor="text1"/>
                <w:kern w:val="2"/>
                <w:sz w:val="24"/>
                <w:szCs w:val="24"/>
                <w:lang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不支付工程进度款，工程竣工验收合格，并提交完整合格的竣工验收资料，经审计结束后据实支付（超过合同价不予支付），</w:t>
            </w:r>
            <w:r>
              <w:rPr>
                <w:rFonts w:hint="eastAsia" w:cs="@仿宋_GB2312" w:asciiTheme="minorEastAsia" w:hAnsiTheme="minorEastAsia" w:eastAsiaTheme="minorEastAsia"/>
                <w:color w:val="000000" w:themeColor="text1"/>
                <w:kern w:val="2"/>
                <w:sz w:val="24"/>
                <w:szCs w:val="24"/>
                <w:lang w:eastAsia="zh-CN"/>
                <w14:textFill>
                  <w14:solidFill>
                    <w14:schemeClr w14:val="tx1"/>
                  </w14:solidFill>
                </w14:textFill>
              </w:rPr>
              <w:t>成交</w:t>
            </w:r>
            <w:r>
              <w:rPr>
                <w:rFonts w:hint="eastAsia" w:cs="@仿宋_GB2312" w:asciiTheme="minorEastAsia" w:hAnsiTheme="minorEastAsia" w:eastAsiaTheme="minorEastAsia"/>
                <w:color w:val="000000" w:themeColor="text1"/>
                <w:kern w:val="2"/>
                <w:sz w:val="24"/>
                <w:szCs w:val="24"/>
                <w:lang w:val="en-US"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2"/>
                <w:sz w:val="24"/>
                <w:szCs w:val="24"/>
                <w14:textFill>
                  <w14:solidFill>
                    <w14:schemeClr w14:val="tx1"/>
                  </w14:solidFill>
                </w14:textFill>
              </w:rPr>
              <w:t>转账支付结算审定款的3%至亳州学院（账号：34001888608053005277；开户行：中国建设银行股份有限公司亳州市分行，统一社会信用代码：123416004859573950；转账备注信息为：亳州学院汤王大道校区体育场西看台消防设施整改工程项目质保金）后，支付结算审定款的100%。缺陷责任期</w:t>
            </w:r>
            <w:r>
              <w:rPr>
                <w:rFonts w:hint="eastAsia" w:cs="@仿宋_GB2312" w:asciiTheme="minorEastAsia" w:hAnsiTheme="minorEastAsia" w:eastAsiaTheme="minorEastAsia"/>
                <w:color w:val="000000" w:themeColor="text1"/>
                <w:kern w:val="2"/>
                <w:sz w:val="24"/>
                <w:szCs w:val="24"/>
                <w:lang w:val="en-US" w:eastAsia="zh-CN"/>
                <w14:textFill>
                  <w14:solidFill>
                    <w14:schemeClr w14:val="tx1"/>
                  </w14:solidFill>
                </w14:textFill>
              </w:rPr>
              <w:t>满后</w:t>
            </w:r>
            <w:r>
              <w:rPr>
                <w:rFonts w:hint="eastAsia" w:cs="@仿宋_GB2312" w:asciiTheme="minorEastAsia" w:hAnsiTheme="minorEastAsia" w:eastAsiaTheme="minorEastAsia"/>
                <w:color w:val="000000" w:themeColor="text1"/>
                <w:kern w:val="2"/>
                <w:sz w:val="24"/>
                <w:szCs w:val="24"/>
                <w14:textFill>
                  <w14:solidFill>
                    <w14:schemeClr w14:val="tx1"/>
                  </w14:solidFill>
                </w14:textFill>
              </w:rPr>
              <w:t>，退还剩余的质量保证金</w:t>
            </w:r>
            <w:r>
              <w:rPr>
                <w:rFonts w:hint="eastAsia" w:cs="@仿宋_GB2312" w:asciiTheme="minorEastAsia" w:hAnsiTheme="minorEastAsia" w:eastAsiaTheme="minorEastAsia"/>
                <w:color w:val="000000" w:themeColor="text1"/>
                <w:kern w:val="2"/>
                <w:sz w:val="24"/>
                <w:szCs w:val="24"/>
                <w:lang w:eastAsia="zh-CN"/>
                <w14:textFill>
                  <w14:solidFill>
                    <w14:schemeClr w14:val="tx1"/>
                  </w14:solidFill>
                </w14:textFill>
              </w:rPr>
              <w:t>。</w:t>
            </w:r>
          </w:p>
          <w:p w14:paraId="6393E348">
            <w:pPr>
              <w:spacing w:line="360" w:lineRule="auto"/>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注：</w:t>
            </w:r>
          </w:p>
          <w:p w14:paraId="39FD19D0">
            <w:pPr>
              <w:numPr>
                <w:ilvl w:val="0"/>
                <w:numId w:val="0"/>
              </w:numPr>
              <w:spacing w:line="360" w:lineRule="auto"/>
              <w:rPr>
                <w:rFonts w:hint="eastAsia" w:cs="@仿宋_GB2312" w:asciiTheme="minorEastAsia" w:hAnsiTheme="minorEastAsia" w:eastAsiaTheme="minorEastAsia"/>
                <w:b/>
                <w:bCs/>
                <w:color w:val="000000" w:themeColor="text1"/>
                <w:kern w:val="2"/>
                <w:sz w:val="24"/>
                <w:szCs w:val="24"/>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lang w:eastAsia="zh-CN"/>
                <w14:textFill>
                  <w14:solidFill>
                    <w14:schemeClr w14:val="tx1"/>
                  </w14:solidFill>
                </w14:textFill>
              </w:rPr>
              <w:t>（</w:t>
            </w:r>
            <w:r>
              <w:rPr>
                <w:rFonts w:hint="eastAsia" w:cs="@仿宋_GB2312" w:asciiTheme="minorEastAsia" w:hAnsiTheme="minorEastAsia" w:eastAsiaTheme="minorEastAsia"/>
                <w:b/>
                <w:bCs/>
                <w:color w:val="000000" w:themeColor="text1"/>
                <w:kern w:val="2"/>
                <w:sz w:val="24"/>
                <w:szCs w:val="24"/>
                <w:lang w:val="en-US" w:eastAsia="zh-CN"/>
                <w14:textFill>
                  <w14:solidFill>
                    <w14:schemeClr w14:val="tx1"/>
                  </w14:solidFill>
                </w14:textFill>
              </w:rPr>
              <w:t>1</w:t>
            </w:r>
            <w:r>
              <w:rPr>
                <w:rFonts w:hint="eastAsia" w:cs="@仿宋_GB2312" w:asciiTheme="minorEastAsia" w:hAnsiTheme="minorEastAsia" w:eastAsiaTheme="minorEastAsia"/>
                <w:b/>
                <w:bCs/>
                <w:color w:val="000000" w:themeColor="text1"/>
                <w:kern w:val="2"/>
                <w:sz w:val="24"/>
                <w:szCs w:val="24"/>
                <w:lang w:eastAsia="zh-CN"/>
                <w14:textFill>
                  <w14:solidFill>
                    <w14:schemeClr w14:val="tx1"/>
                  </w14:solidFill>
                </w14:textFill>
              </w:rPr>
              <w:t>）</w:t>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质量保证金缴纳</w:t>
            </w:r>
            <w:r>
              <w:rPr>
                <w:rFonts w:hint="eastAsia" w:cs="@仿宋_GB2312" w:asciiTheme="minorEastAsia" w:hAnsiTheme="minorEastAsia" w:eastAsiaTheme="minorEastAsia"/>
                <w:b/>
                <w:bCs/>
                <w:color w:val="000000" w:themeColor="text1"/>
                <w:kern w:val="2"/>
                <w:sz w:val="24"/>
                <w:szCs w:val="24"/>
                <w:lang w:val="en-US" w:eastAsia="zh-CN"/>
                <w14:textFill>
                  <w14:solidFill>
                    <w14:schemeClr w14:val="tx1"/>
                  </w14:solidFill>
                </w14:textFill>
              </w:rPr>
              <w:t>形式：</w:t>
            </w:r>
          </w:p>
          <w:p w14:paraId="19133E14">
            <w:pPr>
              <w:numPr>
                <w:ilvl w:val="0"/>
                <w:numId w:val="0"/>
              </w:numPr>
              <w:spacing w:line="360" w:lineRule="auto"/>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sym w:font="Wingdings" w:char="00FE"/>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 xml:space="preserve">转账/电汇 </w:t>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sym w:font="Wingdings" w:char="00FE"/>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 xml:space="preserve">支票 </w:t>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sym w:font="Wingdings" w:char="00FE"/>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 xml:space="preserve">汇票 </w:t>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sym w:font="Wingdings" w:char="00FE"/>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 xml:space="preserve">本票 </w:t>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sym w:font="Wingdings" w:char="00FE"/>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 xml:space="preserve">保险 </w:t>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sym w:font="Wingdings" w:char="00FE"/>
            </w: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保函</w:t>
            </w:r>
          </w:p>
          <w:p w14:paraId="7FC759C2">
            <w:pPr>
              <w:spacing w:line="360" w:lineRule="auto"/>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（2）质量担保要求如下：</w:t>
            </w:r>
          </w:p>
          <w:p w14:paraId="318BD0EC">
            <w:pPr>
              <w:spacing w:line="360" w:lineRule="auto"/>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①如采用银行保函，应为成交供应商对公账户银行出具的不可撤销、不可转让的见索即付独立保函；</w:t>
            </w:r>
          </w:p>
          <w:p w14:paraId="3DB60DD5">
            <w:pPr>
              <w:spacing w:line="360" w:lineRule="auto"/>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②如采用担保机构担保，应为经安徽省地方金融监督管理局审查批准，依法取得融资担保业务经营许可证的融资担保机构出具的不可撤销、不可转让的见索即付独立保函；</w:t>
            </w:r>
          </w:p>
          <w:p w14:paraId="6620C011">
            <w:pPr>
              <w:spacing w:line="360" w:lineRule="auto"/>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③如采用保证保险，应为保险机构出具的不可撤销、不可转让的见索即付保证保险；</w:t>
            </w:r>
          </w:p>
          <w:p w14:paraId="7EC1A355">
            <w:pPr>
              <w:spacing w:line="360" w:lineRule="auto"/>
              <w:rPr>
                <w:rFonts w:hint="eastAsia"/>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④以上各类机构出具的以担保函、保证保险承担责任的方式均须满足无条件见索即付条件，且受益人和收取单位须为采购人。</w:t>
            </w:r>
          </w:p>
        </w:tc>
      </w:tr>
      <w:tr w14:paraId="0F38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545BDEFF">
            <w:pPr>
              <w:pStyle w:val="6"/>
              <w:pBdr>
                <w:bottom w:val="none" w:color="auto" w:sz="0" w:space="0"/>
              </w:pBdr>
              <w:tabs>
                <w:tab w:val="clear" w:pos="4153"/>
                <w:tab w:val="clear" w:pos="8306"/>
              </w:tabs>
              <w:adjustRightInd/>
              <w:spacing w:line="240" w:lineRule="auto"/>
              <w:textAlignment w:val="auto"/>
              <w:rPr>
                <w:rFonts w:hint="eastAsia"/>
                <w:bCs/>
                <w:color w:val="000000" w:themeColor="text1"/>
                <w:kern w:val="2"/>
                <w:szCs w:val="24"/>
                <w14:textFill>
                  <w14:solidFill>
                    <w14:schemeClr w14:val="tx1"/>
                  </w14:solidFill>
                </w14:textFill>
              </w:rPr>
            </w:pPr>
            <w:r>
              <w:rPr>
                <w:rFonts w:hint="eastAsia"/>
                <w:bCs/>
                <w:color w:val="000000" w:themeColor="text1"/>
                <w:kern w:val="2"/>
                <w:szCs w:val="24"/>
                <w14:textFill>
                  <w14:solidFill>
                    <w14:schemeClr w14:val="tx1"/>
                  </w14:solidFill>
                </w14:textFill>
              </w:rPr>
              <w:t>3</w:t>
            </w:r>
          </w:p>
        </w:tc>
        <w:tc>
          <w:tcPr>
            <w:tcW w:w="908" w:type="pct"/>
            <w:shd w:val="clear" w:color="auto" w:fill="auto"/>
            <w:vAlign w:val="center"/>
          </w:tcPr>
          <w:p w14:paraId="0DBE1732">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本项目采购标的名称及所属行业</w:t>
            </w:r>
          </w:p>
        </w:tc>
        <w:tc>
          <w:tcPr>
            <w:tcW w:w="3738" w:type="pct"/>
            <w:shd w:val="clear" w:color="auto" w:fill="auto"/>
            <w:vAlign w:val="center"/>
          </w:tcPr>
          <w:p w14:paraId="58C20733">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标的名称：亳州学院汤王大道校区体育场西看台消防设施整改工程项目</w:t>
            </w:r>
          </w:p>
          <w:p w14:paraId="70E80EE9">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所属行业：建筑业</w:t>
            </w:r>
          </w:p>
        </w:tc>
      </w:tr>
      <w:bookmarkEnd w:id="2"/>
    </w:tbl>
    <w:p w14:paraId="48C838EC">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二、采购需求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22"/>
        <w:gridCol w:w="6614"/>
      </w:tblGrid>
      <w:tr w14:paraId="2072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422B39CC">
            <w:pPr>
              <w:spacing w:line="360" w:lineRule="auto"/>
              <w:jc w:val="center"/>
              <w:rPr>
                <w:rFonts w:hint="eastAsia" w:cs="@仿宋_GB2312" w:asciiTheme="minorEastAsia" w:hAnsiTheme="minorEastAsia" w:eastAsiaTheme="minorEastAsia"/>
                <w:b/>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4"/>
                <w14:textFill>
                  <w14:solidFill>
                    <w14:schemeClr w14:val="tx1"/>
                  </w14:solidFill>
                </w14:textFill>
              </w:rPr>
              <w:t>序号</w:t>
            </w:r>
          </w:p>
        </w:tc>
        <w:tc>
          <w:tcPr>
            <w:tcW w:w="658" w:type="pct"/>
            <w:vAlign w:val="center"/>
          </w:tcPr>
          <w:p w14:paraId="290EADE0">
            <w:pPr>
              <w:spacing w:line="360" w:lineRule="auto"/>
              <w:rPr>
                <w:rFonts w:hint="eastAsia" w:cs="@仿宋_GB2312" w:asciiTheme="minorEastAsia" w:hAnsiTheme="minorEastAsia" w:eastAsiaTheme="minorEastAsia"/>
                <w:b/>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4"/>
                <w14:textFill>
                  <w14:solidFill>
                    <w14:schemeClr w14:val="tx1"/>
                  </w14:solidFill>
                </w14:textFill>
              </w:rPr>
              <w:t>内容</w:t>
            </w:r>
          </w:p>
        </w:tc>
        <w:tc>
          <w:tcPr>
            <w:tcW w:w="3879" w:type="pct"/>
            <w:vAlign w:val="center"/>
          </w:tcPr>
          <w:p w14:paraId="4BDE82C5">
            <w:pPr>
              <w:spacing w:line="360" w:lineRule="auto"/>
              <w:ind w:firstLine="435"/>
              <w:jc w:val="center"/>
              <w:rPr>
                <w:rFonts w:hint="eastAsia" w:cs="@仿宋_GB2312" w:asciiTheme="minorEastAsia" w:hAnsiTheme="minorEastAsia" w:eastAsiaTheme="minorEastAsia"/>
                <w:b/>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4"/>
                <w14:textFill>
                  <w14:solidFill>
                    <w14:schemeClr w14:val="tx1"/>
                  </w14:solidFill>
                </w14:textFill>
              </w:rPr>
              <w:t>说明和要求</w:t>
            </w:r>
          </w:p>
        </w:tc>
      </w:tr>
      <w:tr w14:paraId="03A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09AB83F8">
            <w:pPr>
              <w:spacing w:line="360" w:lineRule="auto"/>
              <w:jc w:val="center"/>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1</w:t>
            </w:r>
          </w:p>
        </w:tc>
        <w:tc>
          <w:tcPr>
            <w:tcW w:w="658" w:type="pct"/>
            <w:shd w:val="clear" w:color="auto" w:fill="auto"/>
            <w:vAlign w:val="center"/>
          </w:tcPr>
          <w:p w14:paraId="08E70BCC">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人员到岗及履约要求</w:t>
            </w:r>
          </w:p>
        </w:tc>
        <w:tc>
          <w:tcPr>
            <w:tcW w:w="3879" w:type="pct"/>
            <w:shd w:val="clear" w:color="auto" w:fill="auto"/>
            <w:vAlign w:val="center"/>
          </w:tcPr>
          <w:p w14:paraId="093A5DDF">
            <w:pPr>
              <w:spacing w:line="360" w:lineRule="auto"/>
              <w:rPr>
                <w:rFonts w:hint="eastAsia" w:cs="宋体"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1、</w:t>
            </w:r>
            <w:r>
              <w:rPr>
                <w:rFonts w:cs="宋体" w:eastAsiaTheme="minorEastAsia"/>
                <w:color w:val="000000" w:themeColor="text1"/>
                <w:kern w:val="2"/>
                <w:sz w:val="24"/>
                <w:szCs w:val="24"/>
                <w14:textFill>
                  <w14:solidFill>
                    <w14:schemeClr w14:val="tx1"/>
                  </w14:solidFill>
                </w14:textFill>
              </w:rPr>
              <w:t xml:space="preserve">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 </w:t>
            </w:r>
          </w:p>
          <w:p w14:paraId="4B4DB4F5">
            <w:pPr>
              <w:spacing w:line="360" w:lineRule="auto"/>
              <w:rPr>
                <w:rFonts w:hint="eastAsia" w:cs="宋体"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2、</w:t>
            </w:r>
            <w:r>
              <w:rPr>
                <w:rFonts w:cs="宋体" w:eastAsiaTheme="minorEastAsia"/>
                <w:color w:val="000000" w:themeColor="text1"/>
                <w:kern w:val="2"/>
                <w:sz w:val="24"/>
                <w:szCs w:val="24"/>
                <w14:textFill>
                  <w14:solidFill>
                    <w14:schemeClr w14:val="tx1"/>
                  </w14:solidFill>
                </w14:textFill>
              </w:rPr>
              <w:t xml:space="preserve">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 </w:t>
            </w:r>
          </w:p>
          <w:p w14:paraId="11148897">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3、</w:t>
            </w:r>
            <w:r>
              <w:rPr>
                <w:rFonts w:cs="宋体" w:eastAsiaTheme="minorEastAsia"/>
                <w:color w:val="000000" w:themeColor="text1"/>
                <w:kern w:val="2"/>
                <w:sz w:val="24"/>
                <w:szCs w:val="24"/>
                <w14:textFill>
                  <w14:solidFill>
                    <w14:schemeClr w14:val="tx1"/>
                  </w14:solidFill>
                </w14:textFill>
              </w:rPr>
              <w:t>成交供应商未能按照承诺到岗尽职的，采购人将视情 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1A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5D67D393">
            <w:pPr>
              <w:spacing w:line="360" w:lineRule="auto"/>
              <w:jc w:val="center"/>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2</w:t>
            </w:r>
          </w:p>
        </w:tc>
        <w:tc>
          <w:tcPr>
            <w:tcW w:w="658" w:type="pct"/>
            <w:shd w:val="clear" w:color="auto" w:fill="auto"/>
            <w:vAlign w:val="center"/>
          </w:tcPr>
          <w:p w14:paraId="3BF380EE">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材料要求</w:t>
            </w:r>
          </w:p>
        </w:tc>
        <w:tc>
          <w:tcPr>
            <w:tcW w:w="3879" w:type="pct"/>
            <w:shd w:val="clear" w:color="auto" w:fill="auto"/>
            <w:vAlign w:val="center"/>
          </w:tcPr>
          <w:p w14:paraId="083994E2">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cs="宋体" w:eastAsiaTheme="minorEastAsia"/>
                <w:color w:val="000000" w:themeColor="text1"/>
                <w:kern w:val="2"/>
                <w:sz w:val="24"/>
                <w:szCs w:val="24"/>
                <w14:textFill>
                  <w14:solidFill>
                    <w14:schemeClr w14:val="tx1"/>
                  </w14:solidFill>
                </w14:textFill>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02A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D199499">
            <w:pPr>
              <w:spacing w:line="360" w:lineRule="auto"/>
              <w:jc w:val="center"/>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3</w:t>
            </w:r>
          </w:p>
        </w:tc>
        <w:tc>
          <w:tcPr>
            <w:tcW w:w="658" w:type="pct"/>
            <w:shd w:val="clear" w:color="auto" w:fill="auto"/>
            <w:vAlign w:val="center"/>
          </w:tcPr>
          <w:p w14:paraId="2544F507">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工程施工重点难点</w:t>
            </w:r>
          </w:p>
        </w:tc>
        <w:tc>
          <w:tcPr>
            <w:tcW w:w="3879" w:type="pct"/>
            <w:shd w:val="clear" w:color="auto" w:fill="auto"/>
            <w:vAlign w:val="center"/>
          </w:tcPr>
          <w:p w14:paraId="40CE5166">
            <w:pPr>
              <w:numPr>
                <w:ilvl w:val="0"/>
                <w:numId w:val="1"/>
              </w:numPr>
              <w:spacing w:line="360" w:lineRule="auto"/>
              <w:rPr>
                <w:rFonts w:hint="eastAsia" w:cs="宋体" w:eastAsiaTheme="minorEastAsia"/>
                <w:color w:val="000000" w:themeColor="text1"/>
                <w:kern w:val="2"/>
                <w:sz w:val="24"/>
                <w:szCs w:val="24"/>
                <w14:textFill>
                  <w14:solidFill>
                    <w14:schemeClr w14:val="tx1"/>
                  </w14:solidFill>
                </w14:textFill>
              </w:rPr>
            </w:pPr>
            <w:r>
              <w:rPr>
                <w:rFonts w:cs="宋体" w:eastAsiaTheme="minorEastAsia"/>
                <w:color w:val="000000" w:themeColor="text1"/>
                <w:kern w:val="2"/>
                <w:sz w:val="24"/>
                <w:szCs w:val="24"/>
                <w14:textFill>
                  <w14:solidFill>
                    <w14:schemeClr w14:val="tx1"/>
                  </w14:solidFill>
                </w14:textFill>
              </w:rPr>
              <w:t xml:space="preserve">成交供应商的临时设施必须在采购人指定的区域内自行搭设，所有费用自理，并考虑在报价中。如需要另外寻找场地解决临时住宿、材料及设备堆放，由此所产生的费用应包含在报价范围内，采购人不再承担该费用。 </w:t>
            </w:r>
          </w:p>
          <w:p w14:paraId="0E7019E2">
            <w:pPr>
              <w:numPr>
                <w:ilvl w:val="0"/>
                <w:numId w:val="1"/>
              </w:numPr>
              <w:spacing w:line="360" w:lineRule="auto"/>
              <w:rPr>
                <w:rFonts w:hint="eastAsia" w:cs="宋体" w:eastAsiaTheme="minorEastAsia"/>
                <w:color w:val="000000" w:themeColor="text1"/>
                <w:kern w:val="2"/>
                <w:sz w:val="24"/>
                <w:szCs w:val="24"/>
                <w14:textFill>
                  <w14:solidFill>
                    <w14:schemeClr w14:val="tx1"/>
                  </w14:solidFill>
                </w14:textFill>
              </w:rPr>
            </w:pPr>
            <w:r>
              <w:rPr>
                <w:rFonts w:cs="宋体" w:eastAsiaTheme="minorEastAsia"/>
                <w:color w:val="000000" w:themeColor="text1"/>
                <w:kern w:val="2"/>
                <w:sz w:val="24"/>
                <w:szCs w:val="24"/>
                <w14:textFill>
                  <w14:solidFill>
                    <w14:schemeClr w14:val="tx1"/>
                  </w14:solidFill>
                </w14:textFill>
              </w:rPr>
              <w:t>施工期间必须重视环境污染、噪声控制及对原建筑物的保护工作，</w:t>
            </w:r>
            <w:r>
              <w:rPr>
                <w:rFonts w:hint="eastAsia" w:cs="宋体" w:eastAsiaTheme="minorEastAsia"/>
                <w:color w:val="000000" w:themeColor="text1"/>
                <w:kern w:val="2"/>
                <w:sz w:val="24"/>
                <w:szCs w:val="24"/>
                <w14:textFill>
                  <w14:solidFill>
                    <w14:schemeClr w14:val="tx1"/>
                  </w14:solidFill>
                </w14:textFill>
              </w:rPr>
              <w:t>重点考虑对学校教学的影响、停送电时间要求等，</w:t>
            </w:r>
            <w:r>
              <w:rPr>
                <w:rFonts w:cs="宋体" w:eastAsiaTheme="minorEastAsia"/>
                <w:color w:val="000000" w:themeColor="text1"/>
                <w:kern w:val="2"/>
                <w:sz w:val="24"/>
                <w:szCs w:val="24"/>
                <w14:textFill>
                  <w14:solidFill>
                    <w14:schemeClr w14:val="tx1"/>
                  </w14:solidFill>
                </w14:textFill>
              </w:rPr>
              <w:t xml:space="preserve">并有相应控制措施及切实可行的施工组织设计方案，工程完毕后应做到场清。 </w:t>
            </w:r>
          </w:p>
          <w:p w14:paraId="32BC68BB">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3、</w:t>
            </w:r>
            <w:r>
              <w:rPr>
                <w:rFonts w:cs="宋体" w:eastAsiaTheme="minorEastAsia"/>
                <w:color w:val="000000" w:themeColor="text1"/>
                <w:kern w:val="2"/>
                <w:sz w:val="24"/>
                <w:szCs w:val="24"/>
                <w14:textFill>
                  <w14:solidFill>
                    <w14:schemeClr w14:val="tx1"/>
                  </w14:solidFill>
                </w14:textFill>
              </w:rPr>
              <w:t>承包人应遵守工程建设安全生产有关管理规定，严格按现行安全标准组织施工，并随时接受行业安全检查人员依法实施的监督检查，采取必要的安全防护措施，消除事故隐患。承包人必须做好施工现场的安全围护栏（网）等防护性措施，并设置必要的警示牌，做到文明施工，安全施工，建立重大事故报告制，加强安全教育，采取必要的一切防护措施，消除一切不安全隐患的存在和发生。</w:t>
            </w:r>
          </w:p>
        </w:tc>
      </w:tr>
      <w:tr w14:paraId="733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1A3444A7">
            <w:pPr>
              <w:spacing w:line="360" w:lineRule="auto"/>
              <w:jc w:val="center"/>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4</w:t>
            </w:r>
          </w:p>
        </w:tc>
        <w:tc>
          <w:tcPr>
            <w:tcW w:w="658" w:type="pct"/>
            <w:shd w:val="clear" w:color="auto" w:fill="auto"/>
            <w:vAlign w:val="center"/>
          </w:tcPr>
          <w:p w14:paraId="5BD2E83C">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报价须知</w:t>
            </w:r>
          </w:p>
        </w:tc>
        <w:tc>
          <w:tcPr>
            <w:tcW w:w="3879" w:type="pct"/>
            <w:shd w:val="clear" w:color="auto" w:fill="auto"/>
            <w:vAlign w:val="center"/>
          </w:tcPr>
          <w:p w14:paraId="1BE9061A">
            <w:pPr>
              <w:spacing w:line="360" w:lineRule="auto"/>
              <w:rPr>
                <w:rFonts w:hint="eastAsia" w:eastAsia="@微软简标宋"/>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供应商最后报价均不得高于磋商文件（公告）列明的项目预算、最高投标限价，否则其响应文件将被认定为响应无效。</w:t>
            </w:r>
          </w:p>
        </w:tc>
      </w:tr>
      <w:tr w14:paraId="068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6D4FA7D">
            <w:pPr>
              <w:spacing w:line="360" w:lineRule="auto"/>
              <w:jc w:val="center"/>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5</w:t>
            </w:r>
          </w:p>
        </w:tc>
        <w:tc>
          <w:tcPr>
            <w:tcW w:w="658" w:type="pct"/>
            <w:vAlign w:val="center"/>
          </w:tcPr>
          <w:p w14:paraId="0223B118">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重要说明</w:t>
            </w:r>
          </w:p>
        </w:tc>
        <w:tc>
          <w:tcPr>
            <w:tcW w:w="3879" w:type="pct"/>
            <w:vAlign w:val="center"/>
          </w:tcPr>
          <w:p w14:paraId="7BB4EDF1">
            <w:pPr>
              <w:numPr>
                <w:ilvl w:val="0"/>
                <w:numId w:val="2"/>
              </w:numPr>
              <w:spacing w:line="360" w:lineRule="auto"/>
              <w:rPr>
                <w:rFonts w:hint="eastAsia" w:cs="宋体" w:eastAsiaTheme="minorEastAsia"/>
                <w:color w:val="000000" w:themeColor="text1"/>
                <w:kern w:val="2"/>
                <w:sz w:val="24"/>
                <w:szCs w:val="24"/>
                <w14:textFill>
                  <w14:solidFill>
                    <w14:schemeClr w14:val="tx1"/>
                  </w14:solidFill>
                </w14:textFill>
              </w:rPr>
            </w:pPr>
            <w:r>
              <w:rPr>
                <w:rFonts w:cs="宋体" w:eastAsiaTheme="minorEastAsia"/>
                <w:color w:val="000000" w:themeColor="text1"/>
                <w:kern w:val="2"/>
                <w:sz w:val="24"/>
                <w:szCs w:val="24"/>
                <w14:textFill>
                  <w14:solidFill>
                    <w14:schemeClr w14:val="tx1"/>
                  </w14:solidFill>
                </w14:textFill>
              </w:rPr>
              <w:t xml:space="preserve">本项目的磋商文件、工程量清单、澄清、修改、补充等 相关资料均通过电子服务系统发布，请供应商自行从网上下载，供应商应当及时查看有无相关澄清、修改、补充等内容。 </w:t>
            </w:r>
          </w:p>
          <w:p w14:paraId="2DD9799E">
            <w:pPr>
              <w:spacing w:line="360" w:lineRule="auto"/>
              <w:rPr>
                <w:rFonts w:hint="eastAsia" w:cs="宋体"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2、</w:t>
            </w:r>
            <w:r>
              <w:rPr>
                <w:rFonts w:cs="宋体" w:eastAsiaTheme="minorEastAsia"/>
                <w:color w:val="000000" w:themeColor="text1"/>
                <w:kern w:val="2"/>
                <w:sz w:val="24"/>
                <w:szCs w:val="24"/>
                <w14:textFill>
                  <w14:solidFill>
                    <w14:schemeClr w14:val="tx1"/>
                  </w14:solidFill>
                </w14:textFill>
              </w:rPr>
              <w:t>供应商在工程实施过程中用工行为，必须严格执行国家及地方政府的有关规定，依法签订劳动合同，并按规定及时足额支付工资。</w:t>
            </w:r>
          </w:p>
          <w:p w14:paraId="7581D85F">
            <w:pPr>
              <w:spacing w:line="360" w:lineRule="auto"/>
              <w:rPr>
                <w:rFonts w:hint="eastAsia"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3、</w:t>
            </w:r>
            <w:r>
              <w:rPr>
                <w:rFonts w:cs="宋体" w:eastAsiaTheme="minorEastAsia"/>
                <w:color w:val="000000" w:themeColor="text1"/>
                <w:kern w:val="2"/>
                <w:sz w:val="24"/>
                <w:szCs w:val="24"/>
                <w14:textFill>
                  <w14:solidFill>
                    <w14:schemeClr w14:val="tx1"/>
                  </w14:solidFill>
                </w14:textFill>
              </w:rPr>
              <w:t>政府采购政策</w:t>
            </w:r>
            <w:r>
              <w:rPr>
                <w:rFonts w:hint="eastAsia" w:eastAsiaTheme="minorEastAsia"/>
                <w:color w:val="000000" w:themeColor="text1"/>
                <w:kern w:val="2"/>
                <w:sz w:val="24"/>
                <w:szCs w:val="24"/>
                <w14:textFill>
                  <w14:solidFill>
                    <w14:schemeClr w14:val="tx1"/>
                  </w14:solidFill>
                </w14:textFill>
              </w:rPr>
              <w:t>：</w:t>
            </w:r>
          </w:p>
          <w:p w14:paraId="7F71DC9F">
            <w:pPr>
              <w:spacing w:line="360" w:lineRule="auto"/>
              <w:rPr>
                <w:rFonts w:hint="eastAsia" w:cs="宋体" w:eastAsiaTheme="minorEastAsia"/>
                <w:b/>
                <w:bCs/>
                <w:color w:val="000000" w:themeColor="text1"/>
                <w:kern w:val="2"/>
                <w:sz w:val="24"/>
                <w:szCs w:val="24"/>
                <w14:textFill>
                  <w14:solidFill>
                    <w14:schemeClr w14:val="tx1"/>
                  </w14:solidFill>
                </w14:textFill>
              </w:rPr>
            </w:pPr>
            <w:r>
              <w:rPr>
                <w:rFonts w:hint="eastAsia" w:cs="宋体" w:eastAsiaTheme="minorEastAsia"/>
                <w:b/>
                <w:bCs/>
                <w:color w:val="000000" w:themeColor="text1"/>
                <w:kern w:val="2"/>
                <w:sz w:val="24"/>
                <w:szCs w:val="24"/>
                <w14:textFill>
                  <w14:solidFill>
                    <w14:schemeClr w14:val="tx1"/>
                  </w14:solidFill>
                </w14:textFill>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03B60D4">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1AD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188B2E4">
            <w:pPr>
              <w:spacing w:line="360" w:lineRule="auto"/>
              <w:jc w:val="center"/>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14:textFill>
                  <w14:solidFill>
                    <w14:schemeClr w14:val="tx1"/>
                  </w14:solidFill>
                </w14:textFill>
              </w:rPr>
              <w:t>3</w:t>
            </w:r>
          </w:p>
        </w:tc>
        <w:tc>
          <w:tcPr>
            <w:tcW w:w="658" w:type="pct"/>
            <w:vAlign w:val="center"/>
          </w:tcPr>
          <w:p w14:paraId="199EF94F">
            <w:pPr>
              <w:spacing w:line="360" w:lineRule="auto"/>
              <w:rPr>
                <w:rFonts w:hint="eastAsia" w:cs="@仿宋_GB2312" w:asciiTheme="minorEastAsia" w:hAnsiTheme="minorEastAsia" w:eastAsiaTheme="minorEastAsia"/>
                <w:color w:val="000000" w:themeColor="text1"/>
                <w:kern w:val="2"/>
                <w:sz w:val="24"/>
                <w:szCs w:val="24"/>
                <w14:textFill>
                  <w14:solidFill>
                    <w14:schemeClr w14:val="tx1"/>
                  </w14:solidFill>
                </w14:textFill>
              </w:rPr>
            </w:pPr>
            <w:r>
              <w:rPr>
                <w:rFonts w:hint="eastAsia" w:cs="@仿宋_GB2312" w:eastAsiaTheme="minorEastAsia"/>
                <w:bCs/>
                <w:color w:val="000000" w:themeColor="text1"/>
                <w:kern w:val="2"/>
                <w:sz w:val="24"/>
                <w:szCs w:val="24"/>
                <w14:textFill>
                  <w14:solidFill>
                    <w14:schemeClr w14:val="tx1"/>
                  </w14:solidFill>
                </w14:textFill>
              </w:rPr>
              <w:t>工程量清单、图纸等</w:t>
            </w:r>
          </w:p>
        </w:tc>
        <w:tc>
          <w:tcPr>
            <w:tcW w:w="3879" w:type="pct"/>
            <w:vAlign w:val="center"/>
          </w:tcPr>
          <w:p w14:paraId="3E39C8AC">
            <w:pPr>
              <w:spacing w:line="360" w:lineRule="auto"/>
              <w:rPr>
                <w:rFonts w:hint="eastAsia" w:cs="宋体" w:eastAsiaTheme="minorEastAsia"/>
                <w:color w:val="000000" w:themeColor="text1"/>
                <w:kern w:val="2"/>
                <w:sz w:val="24"/>
                <w:szCs w:val="24"/>
                <w14:textFill>
                  <w14:solidFill>
                    <w14:schemeClr w14:val="tx1"/>
                  </w14:solidFill>
                </w14:textFill>
              </w:rPr>
            </w:pPr>
            <w:r>
              <w:rPr>
                <w:rFonts w:hint="eastAsia" w:cs="宋体" w:eastAsiaTheme="minorEastAsia"/>
                <w:color w:val="000000" w:themeColor="text1"/>
                <w:kern w:val="2"/>
                <w:sz w:val="24"/>
                <w:szCs w:val="24"/>
                <w14:textFill>
                  <w14:solidFill>
                    <w14:schemeClr w14:val="tx1"/>
                  </w14:solidFill>
                </w14:textFill>
              </w:rPr>
              <w:t>详见附件</w:t>
            </w:r>
          </w:p>
        </w:tc>
      </w:tr>
    </w:tbl>
    <w:p w14:paraId="66D2E16D">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三、项目概况</w:t>
      </w:r>
    </w:p>
    <w:p w14:paraId="08BCADA8">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该工程位于亳州学院南湖校区校园内，工程内容详见图纸、工程量清单控制价。</w:t>
      </w:r>
    </w:p>
    <w:p w14:paraId="18E2F98C">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四、控制价</w:t>
      </w:r>
    </w:p>
    <w:p w14:paraId="4B5A36D4">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该工程项目控制价（人民币）：799750.69元（大写：柒拾玖万玖仟柒佰伍拾元陆角玖分）。</w:t>
      </w:r>
      <w:r>
        <w:rPr>
          <w:rFonts w:hint="eastAsia" w:hAnsi="Calibri"/>
          <w:color w:val="000000" w:themeColor="text1"/>
          <w:sz w:val="24"/>
          <w:szCs w:val="24"/>
          <w:lang w:eastAsia="zh-CN"/>
          <w14:textFill>
            <w14:solidFill>
              <w14:schemeClr w14:val="tx1"/>
            </w14:solidFill>
          </w14:textFill>
        </w:rPr>
        <w:t>供应商</w:t>
      </w:r>
      <w:r>
        <w:rPr>
          <w:rFonts w:hint="eastAsia" w:hAnsi="Calibri"/>
          <w:color w:val="000000" w:themeColor="text1"/>
          <w:sz w:val="24"/>
          <w:szCs w:val="24"/>
          <w14:textFill>
            <w14:solidFill>
              <w14:schemeClr w14:val="tx1"/>
            </w14:solidFill>
          </w14:textFill>
        </w:rPr>
        <w:t>应自行踏勘现场，</w:t>
      </w:r>
      <w:r>
        <w:rPr>
          <w:rFonts w:hint="eastAsia" w:hAnsi="Calibri"/>
          <w:color w:val="000000" w:themeColor="text1"/>
          <w:sz w:val="24"/>
          <w:szCs w:val="24"/>
          <w:lang w:eastAsia="zh-CN"/>
          <w14:textFill>
            <w14:solidFill>
              <w14:schemeClr w14:val="tx1"/>
            </w14:solidFill>
          </w14:textFill>
        </w:rPr>
        <w:t>供应商</w:t>
      </w:r>
      <w:r>
        <w:rPr>
          <w:rFonts w:hint="eastAsia" w:hAnsi="Calibri"/>
          <w:color w:val="000000" w:themeColor="text1"/>
          <w:sz w:val="24"/>
          <w:szCs w:val="24"/>
          <w14:textFill>
            <w14:solidFill>
              <w14:schemeClr w14:val="tx1"/>
            </w14:solidFill>
          </w14:textFill>
        </w:rPr>
        <w:t>的</w:t>
      </w:r>
      <w:r>
        <w:rPr>
          <w:rFonts w:hint="eastAsia" w:hAnsi="Calibri"/>
          <w:color w:val="000000" w:themeColor="text1"/>
          <w:sz w:val="24"/>
          <w:szCs w:val="24"/>
          <w:lang w:eastAsia="zh-CN"/>
          <w14:textFill>
            <w14:solidFill>
              <w14:schemeClr w14:val="tx1"/>
            </w14:solidFill>
          </w14:textFill>
        </w:rPr>
        <w:t>响应报价</w:t>
      </w:r>
      <w:r>
        <w:rPr>
          <w:rFonts w:hint="eastAsia" w:hAnsi="Calibri"/>
          <w:color w:val="000000" w:themeColor="text1"/>
          <w:sz w:val="24"/>
          <w:szCs w:val="24"/>
          <w14:textFill>
            <w14:solidFill>
              <w14:schemeClr w14:val="tx1"/>
            </w14:solidFill>
          </w14:textFill>
        </w:rPr>
        <w:t>应是经过踏勘现场，并充分考虑风险后的报价。本工程采用工程量清单综合单价报价法。</w:t>
      </w:r>
    </w:p>
    <w:p w14:paraId="33C4C432">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五、工程质量及有关要求</w:t>
      </w:r>
    </w:p>
    <w:p w14:paraId="1DB143A3">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（一）工程质量：合格，最终通过主管部门（住房和城乡建设局）消防验收。</w:t>
      </w:r>
    </w:p>
    <w:p w14:paraId="0816268C">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（二）施工方案要求：</w:t>
      </w:r>
    </w:p>
    <w:p w14:paraId="6AC942F5">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要求</w:t>
      </w:r>
      <w:r>
        <w:rPr>
          <w:rFonts w:hint="eastAsia" w:cs="宋体"/>
          <w:color w:val="000000" w:themeColor="text1"/>
          <w:sz w:val="24"/>
          <w:szCs w:val="24"/>
          <w:lang w:eastAsia="zh-CN"/>
          <w14:textFill>
            <w14:solidFill>
              <w14:schemeClr w14:val="tx1"/>
            </w14:solidFill>
          </w14:textFill>
        </w:rPr>
        <w:t>成交供应商</w:t>
      </w:r>
      <w:r>
        <w:rPr>
          <w:rFonts w:hint="eastAsia" w:cs="宋体"/>
          <w:color w:val="000000" w:themeColor="text1"/>
          <w:sz w:val="24"/>
          <w:szCs w:val="24"/>
          <w14:textFill>
            <w14:solidFill>
              <w14:schemeClr w14:val="tx1"/>
            </w14:solidFill>
          </w14:textFill>
        </w:rPr>
        <w:t>施工前编制施工方案提交监理单位审核。【施工方案中，承包人须列出主要的施工工序要求、存在危险性的工程内容以及隐蔽工程清单。专项施工方案需要专家论证的，必须专家论证，论证费用由</w:t>
      </w:r>
      <w:r>
        <w:rPr>
          <w:rFonts w:hint="eastAsia" w:cs="宋体"/>
          <w:color w:val="000000" w:themeColor="text1"/>
          <w:sz w:val="24"/>
          <w:szCs w:val="24"/>
          <w:lang w:eastAsia="zh-CN"/>
          <w14:textFill>
            <w14:solidFill>
              <w14:schemeClr w14:val="tx1"/>
            </w14:solidFill>
          </w14:textFill>
        </w:rPr>
        <w:t>成交供应商</w:t>
      </w:r>
      <w:r>
        <w:rPr>
          <w:rFonts w:hint="eastAsia" w:cs="宋体"/>
          <w:color w:val="000000" w:themeColor="text1"/>
          <w:sz w:val="24"/>
          <w:szCs w:val="24"/>
          <w14:textFill>
            <w14:solidFill>
              <w14:schemeClr w14:val="tx1"/>
            </w14:solidFill>
          </w14:textFill>
        </w:rPr>
        <w:t>承担。】</w:t>
      </w:r>
    </w:p>
    <w:p w14:paraId="482BBFB8">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（三）施工管理要求：</w:t>
      </w:r>
    </w:p>
    <w:p w14:paraId="05E8A645">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项目经理管理要求：磋商时所报的本项目的项目经理在整个项目施工期内必须在位，否则采购人有权终止合同。由此造成的损失，成交供应商自行承担并赔偿可能给采购人造成的损失。成交供应商不得擅自更换磋商时所报项目经理，除不可抗力（重大的自然灾害，重大的社会非正常事件，政府行为），允许更换项目经理外，其他情况更换项目经理（包括项目经理不能负责履职，发包人有权要求更换项目经理），确需更换时，须报采购人同意，且缴纳10000元违约金，更换后人员不得低于成交供应商磋商时所报人员资质和技术水平。</w:t>
      </w:r>
    </w:p>
    <w:p w14:paraId="026A749D">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项目经理每月在施工现场不少于22天。项目经理每缺勤一天，须支付给发包人违约金500元；如遇特殊情况，需以书面形式征得发包人同意后方可离开。</w:t>
      </w:r>
    </w:p>
    <w:p w14:paraId="2D118A12">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项目管理其他人员要求：承包人提交项目施工现场主要管理人员任命文件不能胜任工作的，发包人有权要求更换，且承包人必须更换，更换的人员要求不变。承包人对施工现场的安全生产负责。承包人在工地现场必须按规定配备专职安全员。如发包人检查到承包人专职安全员不到位的，则发包人有权按500元/人·次计取违约金，从工程款中直接扣除。</w:t>
      </w:r>
    </w:p>
    <w:p w14:paraId="0A8ECB59">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施工主材进场管理要求：成交供应商自行采购的材料应满足设计和规范要求的质量等级，并须按有关技术规范要求对材料质量进行检验。成交供应商所提供的材料须考虑与原建筑消防设施设备的兼容性。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6C52EDB5">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34AAE055">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材料进场时，施工单位提前向监理单位申请，监理单位须依照国家相关规范规定以及合同要求履行材料进场验收，需要进行检测复试的，按照程序交由第三方单位检测出具报告。</w:t>
      </w:r>
    </w:p>
    <w:p w14:paraId="6DC10975">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4.隐蔽工程验收管理要求：承包人施工方案中须列出隐蔽工程清单，并经监理签字认可。隐蔽工程验收须提前24小时报告给监理，若不验收即隐蔽，则发包人不予认可工程量，且不退还履约保证金。</w:t>
      </w:r>
    </w:p>
    <w:p w14:paraId="0162EC64">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5.安全、文明施工管理要求：承包人负责施工现场的安全保卫工作，做好施工安全措施，为职工购买工伤保险等，确保施工安全并承担由此产生的一切费用。涉及到安全隐患的施工措施，必须做专项施工方案。承包人因安全措施不到位造成的一切风险事故（如第三人伤亡事故）和一切法律、经济责任均由承包人负责。施工过程中要文明施工，符合环保的有关要求，施工过程中产生的一切建筑垃圾等清理出场，承包人要严格执行安徽省及亳州市有关扬尘污染防治规定，采取有效扬尘治理措施。承包人违反相关规定或经检查达不到规定和要求的，承包人必须无条件整改到位，否则每次须支付给发包人违约金2000元，另外因此原因，项目政府有关部门给予的所有罚款均由承包人承担。拒不整改的，发包人有权向主管部门报告，直至单方面解除合同。安全防护文明施工措施费已包含在合同价款中，承包人应自行承担该费用。</w:t>
      </w:r>
    </w:p>
    <w:p w14:paraId="1DB5337D">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质量管理要求：施工过程中，承包人必须按规范施工。发包人或委托的监理发现工程质量问题，承包人无条件整改到位，不能按时整改的，每次须支付给发包人违约金5000元。拒不整改的，发包人有权向主管部门报告，直至单方面解除合同。</w:t>
      </w:r>
    </w:p>
    <w:p w14:paraId="1C7547D3">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7.农民工工资管理：劳动力必须满足现场施工需要，承包人按照国家规定按时发放农民工工资，不得拖欠农民工工资。否则由此产生的责任均由承包人承担。承包人须无条件服从发包人为保障农民工工资权益采取的一切管理措施。</w:t>
      </w:r>
    </w:p>
    <w:p w14:paraId="58C1419D">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8.总包及分包规定：供应商不得在成交后将工程转包给其它施工单位，不允许专业分包。</w:t>
      </w:r>
    </w:p>
    <w:p w14:paraId="2861E0E1">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9.水电计量管理：发包人提供施工用水、电力施工所必需的接驳点位，施工单位用水、用电一般应装表计量，水、电费按表记金额由施工单位直接向甲方缴纳（水费：2.55元/立方，电费：0.5703元/度）；因不具备装表计量条件而无法装表计量的，水、电费按工程总价的7‰向建设单位缴纳。</w:t>
      </w:r>
    </w:p>
    <w:p w14:paraId="44207251">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10.成品保护要求：恢复因施工造成的损坏设施、设备（若有，如设备、绿化、门窗、铺装、道路等不限于此）。施工结束后，须清场（建筑垃圾清出校园，施工现场整理干净，做好基本的保洁），然后方可验收。</w:t>
      </w:r>
    </w:p>
    <w:p w14:paraId="27D1631B">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eastAsia="zh-CN"/>
          <w14:textFill>
            <w14:solidFill>
              <w14:schemeClr w14:val="tx1"/>
            </w14:solidFill>
          </w14:textFill>
        </w:rPr>
        <w:t>成交</w:t>
      </w:r>
      <w:r>
        <w:rPr>
          <w:rFonts w:hint="eastAsia" w:cs="@仿宋_GB2312" w:asciiTheme="minorEastAsia" w:hAnsiTheme="minorEastAsia" w:eastAsiaTheme="minorEastAsia"/>
          <w:color w:val="000000" w:themeColor="text1"/>
          <w:kern w:val="2"/>
          <w:sz w:val="24"/>
          <w:szCs w:val="24"/>
          <w:lang w:val="en-US"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施工前需对拟施工路径地下管网进行勘探，所发生的费用含在投标综合报价内，</w:t>
      </w:r>
      <w:r>
        <w:rPr>
          <w:rFonts w:hint="eastAsia" w:cs="宋体"/>
          <w:color w:val="000000" w:themeColor="text1"/>
          <w:sz w:val="24"/>
          <w:szCs w:val="24"/>
          <w:lang w:eastAsia="zh-CN"/>
          <w14:textFill>
            <w14:solidFill>
              <w14:schemeClr w14:val="tx1"/>
            </w14:solidFill>
          </w14:textFill>
        </w:rPr>
        <w:t>成交</w:t>
      </w:r>
      <w:r>
        <w:rPr>
          <w:rFonts w:hint="eastAsia" w:cs="宋体"/>
          <w:color w:val="000000" w:themeColor="text1"/>
          <w:sz w:val="24"/>
          <w:szCs w:val="24"/>
          <w14:textFill>
            <w14:solidFill>
              <w14:schemeClr w14:val="tx1"/>
            </w14:solidFill>
          </w14:textFill>
        </w:rPr>
        <w:t>后不予调整。</w:t>
      </w:r>
      <w:r>
        <w:rPr>
          <w:rFonts w:hint="eastAsia" w:cs="宋体"/>
          <w:color w:val="000000" w:themeColor="text1"/>
          <w:sz w:val="24"/>
          <w:szCs w:val="24"/>
          <w:lang w:eastAsia="zh-CN"/>
          <w14:textFill>
            <w14:solidFill>
              <w14:schemeClr w14:val="tx1"/>
            </w14:solidFill>
          </w14:textFill>
        </w:rPr>
        <w:t>成交供应商</w:t>
      </w:r>
      <w:r>
        <w:rPr>
          <w:rFonts w:hint="eastAsia" w:cs="宋体"/>
          <w:color w:val="000000" w:themeColor="text1"/>
          <w:sz w:val="24"/>
          <w:szCs w:val="24"/>
          <w14:textFill>
            <w14:solidFill>
              <w14:schemeClr w14:val="tx1"/>
            </w14:solidFill>
          </w14:textFill>
        </w:rPr>
        <w:t>因施工导致地下其他管线的损失由</w:t>
      </w:r>
      <w:r>
        <w:rPr>
          <w:rFonts w:hint="eastAsia" w:cs="宋体"/>
          <w:color w:val="000000" w:themeColor="text1"/>
          <w:sz w:val="24"/>
          <w:szCs w:val="24"/>
          <w:lang w:eastAsia="zh-CN"/>
          <w14:textFill>
            <w14:solidFill>
              <w14:schemeClr w14:val="tx1"/>
            </w14:solidFill>
          </w14:textFill>
        </w:rPr>
        <w:t>成交供应商</w:t>
      </w:r>
      <w:r>
        <w:rPr>
          <w:rFonts w:hint="eastAsia" w:cs="宋体"/>
          <w:color w:val="000000" w:themeColor="text1"/>
          <w:sz w:val="24"/>
          <w:szCs w:val="24"/>
          <w14:textFill>
            <w14:solidFill>
              <w14:schemeClr w14:val="tx1"/>
            </w14:solidFill>
          </w14:textFill>
        </w:rPr>
        <w:t>自行承担。</w:t>
      </w:r>
    </w:p>
    <w:p w14:paraId="5EEC3AC1">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11.结算要求：施工结束后，发包人将委托第三方审核单位对工程进行竣工结算审核。以结算审核的审定金额作为支付工程总价款的依据。</w:t>
      </w:r>
    </w:p>
    <w:p w14:paraId="5C707C32">
      <w:pPr>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12.违约金缴纳要求：承包人接到违约通知（业主或监理单位）后应主动缴纳违约金，否则发包人从履约保证金或工程款中扣除。</w:t>
      </w:r>
    </w:p>
    <w:p w14:paraId="1B7251D4">
      <w:pPr>
        <w:pStyle w:val="2"/>
        <w:rPr>
          <w:rFonts w:hint="eastAsia"/>
          <w:color w:val="000000" w:themeColor="text1"/>
          <w14:textFill>
            <w14:solidFill>
              <w14:schemeClr w14:val="tx1"/>
            </w14:solidFill>
          </w14:textFill>
        </w:rPr>
      </w:pPr>
      <w:r>
        <w:rPr>
          <w:rFonts w:hint="eastAsia"/>
          <w:bCs/>
          <w:color w:val="000000" w:themeColor="text1"/>
          <w14:textFill>
            <w14:solidFill>
              <w14:schemeClr w14:val="tx1"/>
            </w14:solidFill>
          </w14:textFill>
        </w:rPr>
        <w:t>六、质保要求</w:t>
      </w:r>
    </w:p>
    <w:p w14:paraId="035D2C91">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工程质保期为2年。质保期从工程竣工验收合格，发包人签字盖印时起，质保期内，发现质量问题，发包人以电话或短信或微信等且不限于此的任何一种方式通知承包人，承包人拒收书面通知或电话联系不上或没按规定时间（24小时内响应，48小时内实施）进行维修，若是属于工程质量问题导致，施工方必须及时免费进行维修，并对因质量问题造成的其它损坏（如漏水泡坏墙面）也进行免费维修。发生紧急事故需抢修的，施工单位在接到事故通知后，应当立即到达事故现场抢修。发包人通知后，施工方不及时安排人员来校的，每次扣质量保证金200元，3次通知未及时维修的，除每次扣质量保证金以外，发包人将直接进行维修，维修费用从质量保证金扣除，质量保证金不够的，依法进行索赔。</w:t>
      </w:r>
    </w:p>
    <w:p w14:paraId="0C95FDB9">
      <w:pPr>
        <w:pStyle w:val="2"/>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七、违约责任约定</w:t>
      </w:r>
    </w:p>
    <w:p w14:paraId="1E783695">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（一）一般违约责任</w:t>
      </w:r>
    </w:p>
    <w:p w14:paraId="2B52798F">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1．承包人未完全履行合同，应无条件返工，由此造成的工料损失、工期延误等由承包人承担，或因承包人原因发生其它使合同无法履行的行为，承包人应承担违约责任，发包人可以单方解除合同，且不退还履约保证金。</w:t>
      </w:r>
    </w:p>
    <w:p w14:paraId="0B19F102">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2．因承包人施工、保管不善造成的自有及拆除的设备和材料的丢失、毁损，由承包人负全部责任。</w:t>
      </w:r>
    </w:p>
    <w:p w14:paraId="2214FE52">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3．承包人工程质量不达标，承包人负责重新维修，直至达标，并承担违约责任。</w:t>
      </w:r>
    </w:p>
    <w:p w14:paraId="4D9CF61F">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4．在履行合同过程中，发现承包人有转包、违法分包及挂靠等违法行为，发包人有权单方解除合同，且不退还履约保证金，并按有关规定报主管部门处理。</w:t>
      </w:r>
    </w:p>
    <w:p w14:paraId="211B0C1A">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5．在履行合同过程中，因承包人原因造成合同解除，承包人所实施的工程量不予认可，不支付工程款。</w:t>
      </w:r>
    </w:p>
    <w:p w14:paraId="100081F6">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（二）安全质量工期特殊约定</w:t>
      </w:r>
    </w:p>
    <w:p w14:paraId="58078A4A">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发包人作为高校，必须保证正常的教学秩序和发包人的合法正当权益。故对承包人在工程安全、质量和工期方面不能按约定完成或在工程实施过程中，反复出现工程安全、质量以及拖延工期问题，发包人有权采取如下措施，承包人无条件服从：</w:t>
      </w:r>
    </w:p>
    <w:p w14:paraId="1839B733">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1.发包人或委托的监理人发现安全、质量问题，承包人不能按期整改合格，累计出现两次，发包人有权切分工程量，将承包人的未完成施工内容直接委托给第三方实施，费用按承包人的报价结算给第三方，由第三方实施质保等义务；承包人已经实施的内容，在项目竣工验收合格且第三方审核单位审核后，按分部分项工程量结算金额的70%予以支付，剩余不再支付，同时承包人须履约完成工程的质保义务。另外，发包人有权将承包人的违约情况报告给业务主管部门等相关单位，对承包人实施不限于征信等方面的违约处理。</w:t>
      </w:r>
    </w:p>
    <w:p w14:paraId="0D75C0F1">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2.施工过程中，因承包人原因，不能按计划工期推进，又不能采取措施有效解决的，且不能满足发包人工期要求的，发包人有权切分工程量，将承包人的未完成施工内容直接委托给第三方实施，费用按承包人的报价结算给第三方，由第三方实施质保等义务；承包人已经实施的内容，在项目竣工验收合格且第三方审核单位审核后，按分部分项工程量结算金额的70%予以支付，剩余不再支付，同时承包人须履约完成工程的质保义务。另外，发包人有权将承包人的违约情况报告给业务主管部门等相关单位，对承包人实施不限于征信等方面的违约处理。</w:t>
      </w:r>
    </w:p>
    <w:p w14:paraId="3AF3B1C0">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3. 承包人应遵守工程建设安全生产有关管理规定，严格按安全标准组织施工，并随时接受行业安全检查人员依法实施的监督检查，采取必要的安全防护措施，消除事故隐患。一旦发生任何事故，承包人应尽快向监理工程师和发包人报告事故的详情。如安全生产事故系因承包人（包含其员工、代理人及其他一切关联方）的原因所引起的，则承包人应承担由此引起的一切法律责任及经济损失，发包人有权在承包人工程款中直接等额扣除相应损失金额，同时承包人还应按每个事故向发包人支付人民币3-50万元的违约金，这不包括有关当局由于上述事故而规定的任何罚金或采取措施的费用。如发包人因此产生对第三方赔偿、补偿等负担义务的，由承包人最终承担。如发生的安全生产事故导致人员伤亡或经济损失在10 万元以上的，则发包人有权解除与承包人的合同，承包人应承担由此引起的一切法律责任及经济损失。安全防护文明施工措施费已包含在合同价款中，承包人应自行承担该费用。</w:t>
      </w:r>
    </w:p>
    <w:p w14:paraId="4E1C9955">
      <w:pPr>
        <w:pStyle w:val="2"/>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八、工程造价的确定与控制</w:t>
      </w:r>
    </w:p>
    <w:p w14:paraId="77FEC3B1">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磋商前，供应商应认真对照施工设计图纸等文件核对采购人提供的工程量清单，发现工程量存在项目划分误差、计量单位误差、数量误差、遗漏项目的，必须在询问截止时间前向采购人提出疑问，否则采购人可不予答复。</w:t>
      </w:r>
    </w:p>
    <w:p w14:paraId="5C9C07BA">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01D08E58">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 xml:space="preserve">因工程变更引起已标价工程量清单项目或其工程数量发生变化时，按下列规定调整： </w:t>
      </w:r>
    </w:p>
    <w:p w14:paraId="4FC8360A">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(1)已标价工程量清单中有适用于变更工程项目的，采用该项目的单价；但对于</w:t>
      </w:r>
      <w:r>
        <w:rPr>
          <w:rFonts w:hint="eastAsia" w:hAnsi="Calibri"/>
          <w:color w:val="000000" w:themeColor="text1"/>
          <w:sz w:val="24"/>
          <w:szCs w:val="24"/>
          <w:lang w:eastAsia="zh-CN"/>
          <w14:textFill>
            <w14:solidFill>
              <w14:schemeClr w14:val="tx1"/>
            </w14:solidFill>
          </w14:textFill>
        </w:rPr>
        <w:t>响应报价</w:t>
      </w:r>
      <w:r>
        <w:rPr>
          <w:rFonts w:hint="eastAsia" w:hAnsi="Calibri"/>
          <w:color w:val="000000" w:themeColor="text1"/>
          <w:sz w:val="24"/>
          <w:szCs w:val="24"/>
          <w14:textFill>
            <w14:solidFill>
              <w14:schemeClr w14:val="tx1"/>
            </w14:solidFill>
          </w14:textFill>
        </w:rPr>
        <w:t>中分部分项工程项目单价高于最高投标限价相应子目单价的清单项目，工程量增加幅度超过本项目工程数量15%（不含15%）的，超过15%的增加部分工程量的单价按最高投标限价相应子目单价与投标优惠率同比下浮，确定工程变更单价，作为结算的依据；对于</w:t>
      </w:r>
      <w:r>
        <w:rPr>
          <w:rFonts w:hint="eastAsia" w:hAnsi="Calibri"/>
          <w:color w:val="000000" w:themeColor="text1"/>
          <w:sz w:val="24"/>
          <w:szCs w:val="24"/>
          <w:lang w:eastAsia="zh-CN"/>
          <w14:textFill>
            <w14:solidFill>
              <w14:schemeClr w14:val="tx1"/>
            </w14:solidFill>
          </w14:textFill>
        </w:rPr>
        <w:t>响应报价</w:t>
      </w:r>
      <w:r>
        <w:rPr>
          <w:rFonts w:hint="eastAsia" w:hAnsi="Calibri"/>
          <w:color w:val="000000" w:themeColor="text1"/>
          <w:sz w:val="24"/>
          <w:szCs w:val="24"/>
          <w14:textFill>
            <w14:solidFill>
              <w14:schemeClr w14:val="tx1"/>
            </w14:solidFill>
          </w14:textFill>
        </w:rPr>
        <w:t>中分部分项工程项目单价低于最高投标限价相应子目单价的30%（含30%）的清单项目，工程量减少幅度超过本项目工程数量15%（不含15%）的，超过15%的减少部分工程量的单价按最高投标限价相应子目单价与投标优惠率同比下浮，确定工程变更单价，作为结算的依据；</w:t>
      </w:r>
    </w:p>
    <w:p w14:paraId="2D758322">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(2)已标价工程量清单中没有适用但有类似于变更工程项目的，可在合理范围内参照类似项目的单价。</w:t>
      </w:r>
    </w:p>
    <w:p w14:paraId="61E44AA8">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 xml:space="preserve">(3)已标价工程量清单中没有适用也没有类似于变更工程项目的，由成交供应商根据变更工程资料、招标时的计量规则和计价办法、当期的工程造价管理机构发布的信息价格和成交供应商投标总价降幅同比下浮标准，提出变更工程项目的单价； </w:t>
      </w:r>
    </w:p>
    <w:p w14:paraId="3984AABC">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 xml:space="preserve">(4)已标价工程量清单中没有适用也没有类似于变更工程项目的，且工程造价管理机构发布的信息价缺价的，应由成交供应商根据变更工程资料、招标时的计量规则和计价办法和通过市场调查等取得有合法依据的市场价格和成交供应商投标总价降幅同比下浮标准，提出变更工程项目的单价，作为结算的依据。 </w:t>
      </w:r>
    </w:p>
    <w:p w14:paraId="53DA8468">
      <w:pPr>
        <w:pStyle w:val="2"/>
        <w:rPr>
          <w:rFonts w:hint="eastAsia"/>
          <w:bCs/>
          <w:color w:val="000000" w:themeColor="text1"/>
          <w14:textFill>
            <w14:solidFill>
              <w14:schemeClr w14:val="tx1"/>
            </w14:solidFill>
          </w14:textFill>
        </w:rPr>
      </w:pPr>
      <w:bookmarkStart w:id="3" w:name="_Toc40101478"/>
      <w:bookmarkStart w:id="4" w:name="_Toc267251507"/>
      <w:bookmarkStart w:id="5" w:name="_Toc267251504"/>
      <w:bookmarkStart w:id="6" w:name="_Toc267251506"/>
      <w:bookmarkStart w:id="7" w:name="_Toc267251508"/>
      <w:bookmarkStart w:id="8" w:name="_Toc267251511"/>
      <w:bookmarkStart w:id="9" w:name="_Toc267251510"/>
      <w:bookmarkStart w:id="10" w:name="_Toc267251509"/>
      <w:bookmarkStart w:id="11" w:name="_Toc267251513"/>
      <w:bookmarkStart w:id="12" w:name="_Toc267251515"/>
      <w:bookmarkStart w:id="13" w:name="_Toc267251514"/>
      <w:r>
        <w:rPr>
          <w:rFonts w:hint="eastAsia"/>
          <w:bCs/>
          <w:color w:val="000000" w:themeColor="text1"/>
          <w14:textFill>
            <w14:solidFill>
              <w14:schemeClr w14:val="tx1"/>
            </w14:solidFill>
          </w14:textFill>
        </w:rPr>
        <w:t>九、争议解决</w:t>
      </w:r>
      <w:bookmarkEnd w:id="3"/>
    </w:p>
    <w:bookmarkEnd w:id="4"/>
    <w:bookmarkEnd w:id="5"/>
    <w:bookmarkEnd w:id="6"/>
    <w:bookmarkEnd w:id="7"/>
    <w:p w14:paraId="007D7672">
      <w:pPr>
        <w:spacing w:line="360" w:lineRule="auto"/>
        <w:ind w:firstLine="480" w:firstLineChars="200"/>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因合同及合同有关事项发生的争议，按下列方式解决：向</w:t>
      </w:r>
      <w:r>
        <w:rPr>
          <w:rFonts w:hint="eastAsia" w:hAnsi="Calibri"/>
          <w:color w:val="000000" w:themeColor="text1"/>
          <w:sz w:val="24"/>
          <w:szCs w:val="24"/>
          <w:u w:val="single"/>
          <w14:textFill>
            <w14:solidFill>
              <w14:schemeClr w14:val="tx1"/>
            </w14:solidFill>
          </w14:textFill>
        </w:rPr>
        <w:t>发包人所在地</w:t>
      </w:r>
      <w:r>
        <w:rPr>
          <w:rFonts w:hint="eastAsia" w:hAnsi="Calibri"/>
          <w:color w:val="000000" w:themeColor="text1"/>
          <w:sz w:val="24"/>
          <w:szCs w:val="24"/>
          <w14:textFill>
            <w14:solidFill>
              <w14:schemeClr w14:val="tx1"/>
            </w14:solidFill>
          </w14:textFill>
        </w:rPr>
        <w:t>人民法院起诉。</w:t>
      </w:r>
      <w:bookmarkEnd w:id="8"/>
      <w:bookmarkEnd w:id="9"/>
      <w:bookmarkEnd w:id="10"/>
      <w:bookmarkEnd w:id="11"/>
      <w:bookmarkEnd w:id="12"/>
      <w:bookmarkEnd w:id="13"/>
    </w:p>
    <w:p w14:paraId="21F25011">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DC062"/>
    <w:multiLevelType w:val="singleLevel"/>
    <w:tmpl w:val="1BEDC062"/>
    <w:lvl w:ilvl="0" w:tentative="0">
      <w:start w:val="1"/>
      <w:numFmt w:val="decimal"/>
      <w:suff w:val="nothing"/>
      <w:lvlText w:val="%1、"/>
      <w:lvlJc w:val="left"/>
    </w:lvl>
  </w:abstractNum>
  <w:abstractNum w:abstractNumId="1">
    <w:nsid w:val="6ED6DBB1"/>
    <w:multiLevelType w:val="singleLevel"/>
    <w:tmpl w:val="6ED6DBB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9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2"/>
    <w:basedOn w:val="1"/>
    <w:next w:val="1"/>
    <w:unhideWhenUsed/>
    <w:qFormat/>
    <w:uiPriority w:val="0"/>
    <w:pPr>
      <w:keepNext/>
      <w:keepLines/>
      <w:spacing w:before="140" w:after="140" w:line="416" w:lineRule="auto"/>
      <w:outlineLvl w:val="1"/>
    </w:pPr>
    <w:rPr>
      <w:b/>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7">
    <w:name w:val="xl31"/>
    <w:basedOn w:val="1"/>
    <w:autoRedefine/>
    <w:qFormat/>
    <w:uiPriority w:val="0"/>
    <w:pPr>
      <w:widowControl/>
      <w:spacing w:before="100" w:beforeAutospacing="1" w:after="100" w:afterAutospacing="1"/>
      <w:jc w:val="center"/>
    </w:pPr>
    <w:rPr>
      <w:b/>
      <w:bCs/>
      <w:sz w:val="28"/>
      <w:szCs w:val="28"/>
    </w:rPr>
  </w:style>
  <w:style w:type="table" w:customStyle="1" w:styleId="8">
    <w:name w:val="网格型2"/>
    <w:basedOn w:val="4"/>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2025-07-03T10:35:55Z</dcterms:created>
  <dc:creator>123</dc:creator>
  <cp:lastModifiedBy>找不到✨</cp:lastModifiedBy>
  <dcterms:modified xsi:type="dcterms:W3CDTF">2025-07-03T10:36:27Z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eyJoZGlkIjoiN2YzNjBkOTgyNWQ1YTMxYzM3MzMwNWFiODNmOWIzYWMiLCJ1c2VySWQiOiIyOTgxMTI1OTkifQ==</vt:lpwstr>
  </property>
  <property fmtid="{D5CDD505-2E9C-101B-9397-08002B2CF9AE}" pid="4" name="ICV">
    <vt:lpwstr>733CC8A39F19454DA584F23915228D67_12</vt:lpwstr>
  </property>
</Properties>
</file>