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83C9F5">
      <w:pPr>
        <w:pStyle w:val="2"/>
        <w:jc w:val="center"/>
        <w:rPr>
          <w:rFonts w:hint="eastAsia" w:ascii="宋体" w:hAnsi="宋体"/>
        </w:rPr>
      </w:pPr>
      <w:r>
        <w:rPr>
          <w:rFonts w:hint="eastAsia" w:ascii="宋体" w:hAnsi="宋体"/>
          <w:szCs w:val="36"/>
        </w:rPr>
        <w:t>采购需求</w:t>
      </w:r>
    </w:p>
    <w:p w14:paraId="6AC0B376">
      <w:pPr>
        <w:spacing w:before="124" w:beforeLines="40" w:after="124" w:afterLines="40" w:line="400" w:lineRule="exact"/>
        <w:ind w:firstLine="420" w:firstLineChars="200"/>
        <w:jc w:val="left"/>
        <w:rPr>
          <w:rFonts w:hint="eastAsia" w:ascii="宋体" w:hAnsi="宋体"/>
          <w:szCs w:val="21"/>
        </w:rPr>
      </w:pPr>
      <w:r>
        <w:rPr>
          <w:rFonts w:hint="eastAsia" w:ascii="宋体" w:hAnsi="宋体"/>
          <w:szCs w:val="21"/>
        </w:rPr>
        <w:t>前注：</w:t>
      </w:r>
    </w:p>
    <w:p w14:paraId="6F57FE8A">
      <w:pPr>
        <w:adjustRightInd w:val="0"/>
        <w:snapToGrid w:val="0"/>
        <w:spacing w:line="360" w:lineRule="auto"/>
        <w:ind w:firstLine="420" w:firstLineChars="200"/>
        <w:jc w:val="left"/>
        <w:rPr>
          <w:rFonts w:hint="eastAsia" w:ascii="宋体" w:hAnsi="宋体"/>
          <w:szCs w:val="21"/>
        </w:rPr>
      </w:pPr>
      <w:r>
        <w:rPr>
          <w:rFonts w:hint="eastAsia" w:ascii="宋体" w:hAnsi="宋体"/>
          <w:szCs w:val="21"/>
        </w:rPr>
        <w:t>1.本采购需求中提出的技术方案仅为参考，如无明确限制，投标供应商可以进行优化，提供满足采购人实际需要的更优（或者性能实质上不低于的）技术方案或者设备配置，且此方案或配置须经评标委员会评审认可；</w:t>
      </w:r>
      <w:r>
        <w:rPr>
          <w:rFonts w:hint="eastAsia" w:ascii="宋体" w:hAnsi="宋体"/>
          <w:szCs w:val="21"/>
        </w:rPr>
        <w:cr/>
      </w:r>
      <w:r>
        <w:rPr>
          <w:rFonts w:hint="eastAsia" w:ascii="宋体" w:hAnsi="宋体"/>
          <w:szCs w:val="21"/>
        </w:rPr>
        <w:t xml:space="preserve">    2.投标供应商应当在投标文件中列出完成本项目并通过验收所需的所有各项服务等明细表及全部费用。中标供应商必须确保整体通过采购人及有关主管部门验收；投标供应商应自行踏勘项目现场，如投标供应商因未及时踏勘现场而导致的报价缺项漏项废标、或中标后无法完工，投标供应商自行承担一切后果；</w:t>
      </w:r>
    </w:p>
    <w:p w14:paraId="32A25EF4">
      <w:pPr>
        <w:adjustRightInd w:val="0"/>
        <w:snapToGrid w:val="0"/>
        <w:spacing w:line="360" w:lineRule="auto"/>
        <w:ind w:firstLine="420" w:firstLineChars="200"/>
        <w:jc w:val="left"/>
        <w:rPr>
          <w:rFonts w:hint="eastAsia" w:ascii="宋体" w:hAnsi="宋体"/>
          <w:szCs w:val="21"/>
        </w:rPr>
      </w:pPr>
      <w:r>
        <w:rPr>
          <w:rFonts w:hint="eastAsia" w:ascii="宋体" w:hAnsi="宋体"/>
          <w:szCs w:val="21"/>
        </w:rPr>
        <w:t>3.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558DE7A4">
      <w:pPr>
        <w:adjustRightInd w:val="0"/>
        <w:snapToGrid w:val="0"/>
        <w:spacing w:line="360" w:lineRule="auto"/>
        <w:ind w:firstLine="420" w:firstLineChars="200"/>
        <w:jc w:val="left"/>
        <w:rPr>
          <w:rFonts w:hint="eastAsia" w:ascii="宋体" w:hAnsi="宋体"/>
          <w:szCs w:val="21"/>
        </w:rPr>
      </w:pPr>
      <w:r>
        <w:rPr>
          <w:rFonts w:hint="eastAsia" w:ascii="宋体" w:hAnsi="宋体"/>
          <w:szCs w:val="21"/>
        </w:rPr>
        <w:t>4.本章中标注“▲”的产品为主要标的（包括核心产品）。</w:t>
      </w:r>
      <w:bookmarkStart w:id="0" w:name="_Hlk33586079"/>
      <w:r>
        <w:rPr>
          <w:rFonts w:hint="eastAsia" w:ascii="宋体" w:hAnsi="宋体"/>
          <w:szCs w:val="21"/>
        </w:rPr>
        <w:t>采购人（代理机构）在编制招标文件时必须将采购的主要标的（包括核心产品）标注“▲”</w:t>
      </w:r>
      <w:bookmarkEnd w:id="0"/>
      <w:r>
        <w:rPr>
          <w:rFonts w:hint="eastAsia" w:ascii="宋体" w:hAnsi="宋体"/>
          <w:szCs w:val="21"/>
        </w:rPr>
        <w:t>。</w:t>
      </w:r>
    </w:p>
    <w:p w14:paraId="29777428">
      <w:pPr>
        <w:adjustRightInd w:val="0"/>
        <w:snapToGrid w:val="0"/>
        <w:spacing w:before="124" w:beforeLines="40" w:after="124" w:afterLines="40" w:line="400" w:lineRule="exact"/>
        <w:ind w:firstLine="420" w:firstLineChars="200"/>
        <w:jc w:val="left"/>
        <w:rPr>
          <w:rFonts w:hint="eastAsia" w:ascii="宋体" w:hAnsi="宋体"/>
          <w:szCs w:val="21"/>
          <w:highlight w:val="yellow"/>
        </w:rPr>
      </w:pPr>
    </w:p>
    <w:p w14:paraId="5130CA10">
      <w:pPr>
        <w:pStyle w:val="7"/>
      </w:pPr>
    </w:p>
    <w:p w14:paraId="728A99F4">
      <w:pPr>
        <w:adjustRightInd w:val="0"/>
        <w:snapToGrid w:val="0"/>
        <w:spacing w:before="124" w:beforeLines="40" w:after="124" w:afterLines="40" w:line="400" w:lineRule="exact"/>
        <w:jc w:val="left"/>
        <w:rPr>
          <w:rFonts w:hint="eastAsia" w:ascii="宋体" w:hAnsi="宋体"/>
          <w:szCs w:val="21"/>
        </w:rPr>
      </w:pPr>
    </w:p>
    <w:p w14:paraId="29D34298">
      <w:pPr>
        <w:numPr>
          <w:ilvl w:val="0"/>
          <w:numId w:val="1"/>
        </w:numPr>
        <w:spacing w:line="360" w:lineRule="auto"/>
        <w:ind w:firstLine="437"/>
        <w:outlineLvl w:val="1"/>
        <w:rPr>
          <w:rFonts w:hint="eastAsia" w:ascii="宋体" w:hAnsi="宋体" w:cs="宋体"/>
          <w:b/>
          <w:szCs w:val="21"/>
        </w:rPr>
      </w:pPr>
      <w:bookmarkStart w:id="1" w:name="_Toc32151"/>
      <w:bookmarkStart w:id="2" w:name="_Toc2554"/>
      <w:r>
        <w:rPr>
          <w:rFonts w:hint="eastAsia" w:ascii="宋体" w:hAnsi="宋体" w:cs="宋体"/>
          <w:b/>
          <w:szCs w:val="21"/>
        </w:rPr>
        <w:br w:type="page"/>
      </w:r>
      <w:r>
        <w:rPr>
          <w:rFonts w:hint="eastAsia" w:ascii="宋体" w:hAnsi="宋体" w:cs="宋体"/>
          <w:b/>
          <w:szCs w:val="21"/>
        </w:rPr>
        <w:t>采购需求前附表</w:t>
      </w:r>
      <w:bookmarkEnd w:id="1"/>
      <w:bookmarkEnd w:id="2"/>
    </w:p>
    <w:tbl>
      <w:tblPr>
        <w:tblStyle w:val="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6"/>
        <w:gridCol w:w="2032"/>
        <w:gridCol w:w="5484"/>
      </w:tblGrid>
      <w:tr w14:paraId="30493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44C9C2B0">
            <w:pPr>
              <w:pStyle w:val="11"/>
              <w:pBdr>
                <w:bottom w:val="none" w:color="auto" w:sz="0" w:space="0"/>
              </w:pBdr>
              <w:tabs>
                <w:tab w:val="clear" w:pos="4153"/>
                <w:tab w:val="clear" w:pos="8306"/>
              </w:tabs>
              <w:adjustRightInd/>
              <w:spacing w:line="240" w:lineRule="auto"/>
              <w:textAlignment w:val="auto"/>
              <w:rPr>
                <w:rFonts w:ascii="宋体" w:hAnsi="宋体" w:eastAsia="宋体"/>
                <w:b/>
                <w:kern w:val="2"/>
                <w:sz w:val="21"/>
                <w:szCs w:val="21"/>
              </w:rPr>
            </w:pPr>
            <w:r>
              <w:rPr>
                <w:rFonts w:hint="eastAsia" w:ascii="宋体" w:hAnsi="宋体" w:eastAsia="宋体"/>
                <w:b/>
                <w:kern w:val="2"/>
                <w:sz w:val="21"/>
                <w:szCs w:val="21"/>
              </w:rPr>
              <w:t>序号</w:t>
            </w:r>
          </w:p>
        </w:tc>
        <w:tc>
          <w:tcPr>
            <w:tcW w:w="1192" w:type="pct"/>
            <w:noWrap w:val="0"/>
            <w:vAlign w:val="center"/>
          </w:tcPr>
          <w:p w14:paraId="2ACD1091">
            <w:pPr>
              <w:pStyle w:val="12"/>
              <w:widowControl w:val="0"/>
              <w:spacing w:before="0" w:beforeAutospacing="0" w:after="0" w:afterAutospacing="0" w:line="360" w:lineRule="auto"/>
              <w:rPr>
                <w:rFonts w:ascii="宋体" w:hAnsi="宋体" w:eastAsia="宋体"/>
                <w:bCs w:val="0"/>
                <w:sz w:val="21"/>
                <w:szCs w:val="21"/>
              </w:rPr>
            </w:pPr>
            <w:r>
              <w:rPr>
                <w:rFonts w:hint="eastAsia" w:ascii="宋体" w:hAnsi="宋体" w:eastAsia="宋体"/>
                <w:bCs w:val="0"/>
                <w:sz w:val="21"/>
                <w:szCs w:val="21"/>
              </w:rPr>
              <w:t>条款名称</w:t>
            </w:r>
          </w:p>
        </w:tc>
        <w:tc>
          <w:tcPr>
            <w:tcW w:w="3217" w:type="pct"/>
            <w:noWrap w:val="0"/>
            <w:vAlign w:val="center"/>
          </w:tcPr>
          <w:p w14:paraId="6BDC0642">
            <w:pPr>
              <w:pStyle w:val="12"/>
              <w:widowControl w:val="0"/>
              <w:spacing w:before="0" w:beforeAutospacing="0" w:after="0" w:afterAutospacing="0" w:line="360" w:lineRule="auto"/>
              <w:rPr>
                <w:rFonts w:ascii="宋体" w:hAnsi="宋体" w:eastAsia="宋体"/>
                <w:bCs w:val="0"/>
                <w:sz w:val="21"/>
                <w:szCs w:val="21"/>
              </w:rPr>
            </w:pPr>
            <w:r>
              <w:rPr>
                <w:rFonts w:hint="eastAsia" w:ascii="宋体" w:hAnsi="宋体" w:eastAsia="宋体"/>
                <w:bCs w:val="0"/>
                <w:sz w:val="21"/>
                <w:szCs w:val="21"/>
              </w:rPr>
              <w:t>内容、说明与要求</w:t>
            </w:r>
          </w:p>
        </w:tc>
      </w:tr>
      <w:tr w14:paraId="6859C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4152FE8A">
            <w:pPr>
              <w:pStyle w:val="11"/>
              <w:pBdr>
                <w:bottom w:val="none" w:color="auto" w:sz="0" w:space="0"/>
              </w:pBdr>
              <w:tabs>
                <w:tab w:val="clear" w:pos="4153"/>
                <w:tab w:val="clear" w:pos="8306"/>
              </w:tabs>
              <w:adjustRightInd/>
              <w:spacing w:line="240" w:lineRule="auto"/>
              <w:textAlignment w:val="auto"/>
              <w:rPr>
                <w:rFonts w:ascii="宋体" w:hAnsi="宋体" w:eastAsia="宋体"/>
                <w:bCs/>
                <w:kern w:val="2"/>
                <w:sz w:val="21"/>
                <w:szCs w:val="21"/>
              </w:rPr>
            </w:pPr>
            <w:r>
              <w:rPr>
                <w:rFonts w:hint="eastAsia" w:ascii="宋体" w:hAnsi="宋体" w:eastAsia="宋体"/>
                <w:bCs/>
                <w:kern w:val="2"/>
                <w:sz w:val="21"/>
                <w:szCs w:val="21"/>
              </w:rPr>
              <w:t>1</w:t>
            </w:r>
          </w:p>
        </w:tc>
        <w:tc>
          <w:tcPr>
            <w:tcW w:w="1192" w:type="pct"/>
            <w:noWrap w:val="0"/>
            <w:vAlign w:val="center"/>
          </w:tcPr>
          <w:p w14:paraId="10BA12C8">
            <w:pPr>
              <w:pStyle w:val="12"/>
              <w:widowControl w:val="0"/>
              <w:spacing w:before="0" w:beforeAutospacing="0" w:after="0" w:afterAutospacing="0" w:line="360" w:lineRule="auto"/>
              <w:rPr>
                <w:rFonts w:ascii="宋体" w:hAnsi="宋体" w:eastAsia="宋体"/>
                <w:b w:val="0"/>
                <w:sz w:val="21"/>
                <w:szCs w:val="21"/>
                <w:highlight w:val="none"/>
              </w:rPr>
            </w:pPr>
            <w:r>
              <w:rPr>
                <w:rFonts w:hint="eastAsia" w:ascii="宋体" w:hAnsi="宋体" w:eastAsia="宋体"/>
                <w:b w:val="0"/>
                <w:sz w:val="21"/>
                <w:szCs w:val="21"/>
                <w:highlight w:val="none"/>
              </w:rPr>
              <w:t>付款方式</w:t>
            </w:r>
          </w:p>
        </w:tc>
        <w:tc>
          <w:tcPr>
            <w:tcW w:w="3217" w:type="pct"/>
            <w:noWrap w:val="0"/>
            <w:vAlign w:val="center"/>
          </w:tcPr>
          <w:p w14:paraId="42C62C93">
            <w:pPr>
              <w:pStyle w:val="12"/>
              <w:widowControl w:val="0"/>
              <w:spacing w:before="0" w:beforeAutospacing="0" w:after="0" w:afterAutospacing="0" w:line="360" w:lineRule="auto"/>
              <w:jc w:val="both"/>
              <w:rPr>
                <w:rFonts w:hint="eastAsia" w:ascii="宋体" w:hAnsi="宋体" w:eastAsia="宋体"/>
                <w:b w:val="0"/>
                <w:sz w:val="21"/>
                <w:szCs w:val="21"/>
                <w:highlight w:val="none"/>
                <w:u w:val="single"/>
                <w:lang w:val="en-US" w:eastAsia="zh-CN"/>
              </w:rPr>
            </w:pPr>
            <w:r>
              <w:rPr>
                <w:rFonts w:hint="eastAsia" w:ascii="宋体" w:hAnsi="宋体" w:eastAsia="宋体"/>
                <w:b w:val="0"/>
                <w:sz w:val="21"/>
                <w:szCs w:val="21"/>
                <w:highlight w:val="none"/>
                <w:u w:val="single"/>
                <w:lang w:val="en-US" w:eastAsia="zh-CN"/>
              </w:rPr>
              <w:t>（1）中标人非政府采购中小企业扶持政策条件的：货到验收后支付货款的70%，安装后验收完成，支付全部合同款。</w:t>
            </w:r>
          </w:p>
          <w:p w14:paraId="1065E184">
            <w:pPr>
              <w:pStyle w:val="12"/>
              <w:widowControl w:val="0"/>
              <w:spacing w:before="0" w:beforeAutospacing="0" w:after="0" w:afterAutospacing="0" w:line="360" w:lineRule="auto"/>
              <w:jc w:val="both"/>
              <w:rPr>
                <w:rFonts w:hint="eastAsia" w:ascii="宋体" w:hAnsi="宋体" w:eastAsia="宋体"/>
                <w:b w:val="0"/>
                <w:sz w:val="21"/>
                <w:szCs w:val="21"/>
                <w:highlight w:val="none"/>
                <w:u w:val="single"/>
                <w:lang w:val="en-US" w:eastAsia="zh-CN"/>
              </w:rPr>
            </w:pPr>
            <w:r>
              <w:rPr>
                <w:rFonts w:hint="eastAsia" w:ascii="宋体" w:hAnsi="宋体" w:eastAsia="宋体"/>
                <w:b w:val="0"/>
                <w:sz w:val="21"/>
                <w:szCs w:val="21"/>
                <w:highlight w:val="none"/>
                <w:u w:val="single"/>
                <w:lang w:val="en-US" w:eastAsia="zh-CN"/>
              </w:rPr>
              <w:t>（2）中标人为符合政府采购中小企业扶持政策条件的：合同签订后中标人须向采购人提交银行或保险公司或担保公司等金融机构出具的金额为合同总价40%的预付款保函作为担保，采购人收到上述等额担保后，支付给中标人合同总价40%的预付款，货到安装后验收完成，支付全部合同款的60%。</w:t>
            </w:r>
          </w:p>
          <w:p w14:paraId="2173C4B1">
            <w:pPr>
              <w:pStyle w:val="12"/>
              <w:widowControl w:val="0"/>
              <w:spacing w:before="0" w:beforeAutospacing="0" w:after="0" w:afterAutospacing="0" w:line="360" w:lineRule="auto"/>
              <w:jc w:val="both"/>
              <w:rPr>
                <w:rFonts w:ascii="宋体" w:hAnsi="宋体" w:eastAsia="宋体"/>
                <w:b w:val="0"/>
                <w:sz w:val="21"/>
                <w:szCs w:val="21"/>
                <w:highlight w:val="none"/>
                <w:u w:val="single"/>
              </w:rPr>
            </w:pPr>
            <w:r>
              <w:rPr>
                <w:rFonts w:hint="eastAsia" w:ascii="宋体" w:hAnsi="宋体" w:eastAsia="宋体"/>
                <w:b/>
                <w:bCs w:val="0"/>
                <w:sz w:val="21"/>
                <w:szCs w:val="21"/>
                <w:highlight w:val="none"/>
                <w:u w:val="single"/>
              </w:rPr>
              <w:t>上述要求不允许负偏离。否则，按无效投标文件处理。</w:t>
            </w:r>
          </w:p>
        </w:tc>
      </w:tr>
      <w:tr w14:paraId="288E4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25AF7044">
            <w:pPr>
              <w:pStyle w:val="11"/>
              <w:pBdr>
                <w:bottom w:val="none" w:color="auto" w:sz="0" w:space="0"/>
              </w:pBdr>
              <w:tabs>
                <w:tab w:val="clear" w:pos="4153"/>
                <w:tab w:val="clear" w:pos="8306"/>
              </w:tabs>
              <w:adjustRightInd/>
              <w:spacing w:line="240" w:lineRule="auto"/>
              <w:textAlignment w:val="auto"/>
              <w:rPr>
                <w:rFonts w:ascii="宋体" w:hAnsi="宋体" w:eastAsia="宋体"/>
                <w:bCs/>
                <w:kern w:val="2"/>
                <w:sz w:val="21"/>
                <w:szCs w:val="21"/>
              </w:rPr>
            </w:pPr>
            <w:r>
              <w:rPr>
                <w:rFonts w:hint="eastAsia" w:ascii="宋体" w:hAnsi="宋体" w:eastAsia="宋体"/>
                <w:bCs/>
                <w:kern w:val="2"/>
                <w:sz w:val="21"/>
                <w:szCs w:val="21"/>
              </w:rPr>
              <w:t>2</w:t>
            </w:r>
          </w:p>
        </w:tc>
        <w:tc>
          <w:tcPr>
            <w:tcW w:w="1192" w:type="pct"/>
            <w:noWrap w:val="0"/>
            <w:vAlign w:val="center"/>
          </w:tcPr>
          <w:p w14:paraId="1A418A94">
            <w:pPr>
              <w:pStyle w:val="12"/>
              <w:widowControl w:val="0"/>
              <w:spacing w:before="0" w:beforeAutospacing="0" w:after="0" w:afterAutospacing="0" w:line="360" w:lineRule="auto"/>
              <w:rPr>
                <w:rFonts w:ascii="宋体" w:hAnsi="宋体" w:eastAsia="宋体"/>
                <w:b w:val="0"/>
                <w:sz w:val="21"/>
                <w:szCs w:val="21"/>
                <w:highlight w:val="none"/>
              </w:rPr>
            </w:pPr>
            <w:r>
              <w:rPr>
                <w:rFonts w:hint="eastAsia" w:ascii="宋体" w:hAnsi="宋体" w:eastAsia="宋体"/>
                <w:b w:val="0"/>
                <w:sz w:val="21"/>
                <w:szCs w:val="21"/>
                <w:highlight w:val="none"/>
              </w:rPr>
              <w:t>供货及安装地点</w:t>
            </w:r>
          </w:p>
        </w:tc>
        <w:tc>
          <w:tcPr>
            <w:tcW w:w="3217" w:type="pct"/>
            <w:noWrap w:val="0"/>
            <w:vAlign w:val="center"/>
          </w:tcPr>
          <w:p w14:paraId="3ABAE871">
            <w:pPr>
              <w:pStyle w:val="12"/>
              <w:widowControl w:val="0"/>
              <w:spacing w:before="0" w:beforeAutospacing="0" w:after="0" w:afterAutospacing="0" w:line="360" w:lineRule="auto"/>
              <w:jc w:val="both"/>
              <w:rPr>
                <w:rFonts w:ascii="宋体" w:hAnsi="宋体" w:eastAsia="宋体"/>
                <w:b w:val="0"/>
                <w:sz w:val="21"/>
                <w:szCs w:val="21"/>
                <w:highlight w:val="none"/>
              </w:rPr>
            </w:pPr>
            <w:r>
              <w:rPr>
                <w:rFonts w:hint="eastAsia" w:ascii="宋体" w:hAnsi="宋体" w:eastAsia="宋体"/>
                <w:b w:val="0"/>
                <w:color w:val="auto"/>
                <w:sz w:val="21"/>
                <w:szCs w:val="21"/>
                <w:highlight w:val="none"/>
                <w:lang w:val="en-US" w:eastAsia="zh-CN"/>
              </w:rPr>
              <w:t>安徽省女子监狱</w:t>
            </w:r>
            <w:r>
              <w:rPr>
                <w:rFonts w:hint="eastAsia" w:ascii="宋体" w:hAnsi="宋体" w:eastAsia="宋体"/>
                <w:b w:val="0"/>
                <w:color w:val="auto"/>
                <w:sz w:val="21"/>
                <w:szCs w:val="21"/>
                <w:highlight w:val="none"/>
              </w:rPr>
              <w:t>，采购人指定地点</w:t>
            </w:r>
            <w:r>
              <w:rPr>
                <w:rFonts w:hint="eastAsia" w:ascii="宋体" w:hAnsi="宋体" w:eastAsia="宋体"/>
                <w:b w:val="0"/>
                <w:color w:val="auto"/>
                <w:sz w:val="21"/>
                <w:szCs w:val="21"/>
                <w:highlight w:val="none"/>
                <w:lang w:eastAsia="zh-CN"/>
              </w:rPr>
              <w:t>。</w:t>
            </w:r>
          </w:p>
        </w:tc>
      </w:tr>
      <w:tr w14:paraId="1002F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66698891">
            <w:pPr>
              <w:pStyle w:val="11"/>
              <w:pBdr>
                <w:bottom w:val="none" w:color="auto" w:sz="0" w:space="0"/>
              </w:pBdr>
              <w:tabs>
                <w:tab w:val="clear" w:pos="4153"/>
                <w:tab w:val="clear" w:pos="8306"/>
              </w:tabs>
              <w:adjustRightInd/>
              <w:spacing w:line="240" w:lineRule="auto"/>
              <w:textAlignment w:val="auto"/>
              <w:rPr>
                <w:rFonts w:ascii="宋体" w:hAnsi="宋体" w:eastAsia="宋体"/>
                <w:bCs/>
                <w:kern w:val="2"/>
                <w:sz w:val="21"/>
                <w:szCs w:val="21"/>
              </w:rPr>
            </w:pPr>
            <w:r>
              <w:rPr>
                <w:rFonts w:hint="eastAsia" w:ascii="宋体" w:hAnsi="宋体" w:eastAsia="宋体"/>
                <w:bCs/>
                <w:kern w:val="2"/>
                <w:sz w:val="21"/>
                <w:szCs w:val="21"/>
              </w:rPr>
              <w:t>3</w:t>
            </w:r>
          </w:p>
        </w:tc>
        <w:tc>
          <w:tcPr>
            <w:tcW w:w="1192" w:type="pct"/>
            <w:noWrap w:val="0"/>
            <w:vAlign w:val="center"/>
          </w:tcPr>
          <w:p w14:paraId="2F45BA5F">
            <w:pPr>
              <w:pStyle w:val="12"/>
              <w:widowControl w:val="0"/>
              <w:spacing w:before="0" w:beforeAutospacing="0" w:after="0" w:afterAutospacing="0" w:line="360" w:lineRule="auto"/>
              <w:rPr>
                <w:rFonts w:ascii="宋体" w:hAnsi="宋体" w:eastAsia="宋体"/>
                <w:b w:val="0"/>
                <w:sz w:val="21"/>
                <w:szCs w:val="21"/>
                <w:highlight w:val="none"/>
              </w:rPr>
            </w:pPr>
            <w:r>
              <w:rPr>
                <w:rFonts w:hint="eastAsia" w:ascii="宋体" w:hAnsi="宋体" w:eastAsia="宋体"/>
                <w:b w:val="0"/>
                <w:sz w:val="21"/>
                <w:szCs w:val="21"/>
                <w:highlight w:val="none"/>
              </w:rPr>
              <w:t>供货及安装期限</w:t>
            </w:r>
          </w:p>
        </w:tc>
        <w:tc>
          <w:tcPr>
            <w:tcW w:w="3217" w:type="pct"/>
            <w:noWrap w:val="0"/>
            <w:vAlign w:val="center"/>
          </w:tcPr>
          <w:p w14:paraId="695AACF0">
            <w:pPr>
              <w:pStyle w:val="12"/>
              <w:widowControl w:val="0"/>
              <w:spacing w:before="0" w:beforeAutospacing="0" w:after="0" w:afterAutospacing="0" w:line="360" w:lineRule="auto"/>
              <w:jc w:val="both"/>
              <w:rPr>
                <w:rFonts w:ascii="宋体" w:hAnsi="宋体" w:eastAsia="宋体"/>
                <w:b w:val="0"/>
                <w:sz w:val="21"/>
                <w:szCs w:val="21"/>
                <w:highlight w:val="none"/>
              </w:rPr>
            </w:pPr>
            <w:r>
              <w:rPr>
                <w:rFonts w:hint="eastAsia" w:ascii="宋体" w:hAnsi="宋体" w:eastAsia="宋体" w:cs="宋体"/>
                <w:sz w:val="21"/>
                <w:szCs w:val="21"/>
                <w:lang w:val="en-US" w:eastAsia="zh-CN"/>
              </w:rPr>
              <w:t>合同签订后45个日历天完成供货、安装</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调试、验收工作</w:t>
            </w:r>
          </w:p>
        </w:tc>
      </w:tr>
      <w:tr w14:paraId="56DDE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19C38A03">
            <w:pPr>
              <w:pStyle w:val="11"/>
              <w:pBdr>
                <w:bottom w:val="none" w:color="auto" w:sz="0" w:space="0"/>
              </w:pBdr>
              <w:tabs>
                <w:tab w:val="clear" w:pos="4153"/>
                <w:tab w:val="clear" w:pos="8306"/>
              </w:tabs>
              <w:adjustRightInd/>
              <w:spacing w:line="240" w:lineRule="auto"/>
              <w:textAlignment w:val="auto"/>
              <w:rPr>
                <w:rFonts w:ascii="宋体" w:hAnsi="宋体" w:eastAsia="宋体"/>
                <w:bCs/>
                <w:kern w:val="2"/>
                <w:sz w:val="21"/>
                <w:szCs w:val="21"/>
              </w:rPr>
            </w:pPr>
            <w:r>
              <w:rPr>
                <w:rFonts w:hint="eastAsia" w:ascii="宋体" w:hAnsi="宋体" w:eastAsia="宋体"/>
                <w:bCs/>
                <w:kern w:val="2"/>
                <w:sz w:val="21"/>
                <w:szCs w:val="21"/>
              </w:rPr>
              <w:t>4</w:t>
            </w:r>
          </w:p>
        </w:tc>
        <w:tc>
          <w:tcPr>
            <w:tcW w:w="1192" w:type="pct"/>
            <w:noWrap w:val="0"/>
            <w:vAlign w:val="center"/>
          </w:tcPr>
          <w:p w14:paraId="31810C70">
            <w:pPr>
              <w:pStyle w:val="12"/>
              <w:widowControl w:val="0"/>
              <w:spacing w:before="0" w:beforeAutospacing="0" w:after="0" w:afterAutospacing="0" w:line="360" w:lineRule="auto"/>
              <w:rPr>
                <w:rFonts w:ascii="宋体" w:hAnsi="宋体" w:eastAsia="宋体"/>
                <w:b w:val="0"/>
                <w:sz w:val="21"/>
                <w:szCs w:val="21"/>
                <w:highlight w:val="none"/>
              </w:rPr>
            </w:pPr>
            <w:r>
              <w:rPr>
                <w:rFonts w:hint="eastAsia" w:ascii="宋体" w:hAnsi="宋体" w:eastAsia="宋体"/>
                <w:b w:val="0"/>
                <w:sz w:val="21"/>
                <w:szCs w:val="21"/>
                <w:highlight w:val="none"/>
              </w:rPr>
              <w:t>质保期</w:t>
            </w:r>
          </w:p>
        </w:tc>
        <w:tc>
          <w:tcPr>
            <w:tcW w:w="3217" w:type="pct"/>
            <w:noWrap w:val="0"/>
            <w:vAlign w:val="center"/>
          </w:tcPr>
          <w:p w14:paraId="0B7915ED">
            <w:pPr>
              <w:pStyle w:val="12"/>
              <w:widowControl w:val="0"/>
              <w:spacing w:before="0" w:beforeAutospacing="0" w:after="0" w:afterAutospacing="0" w:line="360" w:lineRule="auto"/>
              <w:jc w:val="both"/>
              <w:rPr>
                <w:rFonts w:ascii="宋体" w:hAnsi="宋体" w:eastAsia="宋体"/>
                <w:b w:val="0"/>
                <w:sz w:val="21"/>
                <w:szCs w:val="21"/>
                <w:highlight w:val="none"/>
              </w:rPr>
            </w:pPr>
            <w:r>
              <w:rPr>
                <w:rFonts w:hint="eastAsia" w:ascii="宋体" w:hAnsi="宋体" w:eastAsia="宋体"/>
                <w:b w:val="0"/>
                <w:sz w:val="21"/>
                <w:szCs w:val="21"/>
                <w:highlight w:val="none"/>
              </w:rPr>
              <w:t>验收合格之日起</w:t>
            </w:r>
            <w:r>
              <w:rPr>
                <w:rFonts w:hint="eastAsia" w:ascii="宋体" w:hAnsi="宋体" w:eastAsia="宋体"/>
                <w:b w:val="0"/>
                <w:sz w:val="21"/>
                <w:szCs w:val="21"/>
                <w:highlight w:val="none"/>
                <w:lang w:val="en-US" w:eastAsia="zh-CN"/>
              </w:rPr>
              <w:t>2</w:t>
            </w:r>
            <w:r>
              <w:rPr>
                <w:rFonts w:hint="eastAsia" w:ascii="宋体" w:hAnsi="宋体" w:eastAsia="宋体"/>
                <w:b w:val="0"/>
                <w:sz w:val="21"/>
                <w:szCs w:val="21"/>
                <w:highlight w:val="none"/>
              </w:rPr>
              <w:t>年（如技术参数中另有要求，以技术参数中的要求为准）</w:t>
            </w:r>
          </w:p>
        </w:tc>
      </w:tr>
      <w:tr w14:paraId="4E390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543E24F0">
            <w:pPr>
              <w:pStyle w:val="11"/>
              <w:pBdr>
                <w:bottom w:val="none" w:color="auto" w:sz="0" w:space="0"/>
              </w:pBdr>
              <w:tabs>
                <w:tab w:val="clear" w:pos="4153"/>
                <w:tab w:val="clear" w:pos="8306"/>
              </w:tabs>
              <w:adjustRightInd/>
              <w:spacing w:line="240" w:lineRule="auto"/>
              <w:textAlignment w:val="auto"/>
              <w:rPr>
                <w:rFonts w:ascii="宋体" w:hAnsi="宋体" w:eastAsia="宋体"/>
                <w:bCs/>
                <w:kern w:val="2"/>
                <w:sz w:val="21"/>
                <w:szCs w:val="21"/>
              </w:rPr>
            </w:pPr>
            <w:r>
              <w:rPr>
                <w:rFonts w:hint="eastAsia" w:ascii="宋体" w:hAnsi="宋体" w:eastAsia="宋体"/>
                <w:bCs/>
                <w:kern w:val="2"/>
                <w:sz w:val="21"/>
                <w:szCs w:val="21"/>
              </w:rPr>
              <w:t>5</w:t>
            </w:r>
          </w:p>
        </w:tc>
        <w:tc>
          <w:tcPr>
            <w:tcW w:w="1192" w:type="pct"/>
            <w:noWrap w:val="0"/>
            <w:vAlign w:val="center"/>
          </w:tcPr>
          <w:p w14:paraId="041B24FB">
            <w:pPr>
              <w:pStyle w:val="12"/>
              <w:widowControl w:val="0"/>
              <w:spacing w:before="0" w:beforeAutospacing="0" w:after="0" w:afterAutospacing="0" w:line="360" w:lineRule="auto"/>
              <w:rPr>
                <w:rFonts w:hint="default" w:ascii="宋体" w:hAnsi="宋体" w:eastAsia="宋体"/>
                <w:b/>
                <w:bCs w:val="0"/>
                <w:sz w:val="21"/>
                <w:szCs w:val="21"/>
                <w:lang w:val="en-US" w:eastAsia="zh-CN"/>
              </w:rPr>
            </w:pPr>
            <w:r>
              <w:rPr>
                <w:rFonts w:hint="eastAsia" w:ascii="宋体" w:hAnsi="宋体" w:eastAsia="宋体"/>
                <w:b/>
                <w:bCs w:val="0"/>
                <w:sz w:val="21"/>
                <w:szCs w:val="21"/>
                <w:lang w:val="en-US" w:eastAsia="zh-CN"/>
              </w:rPr>
              <w:t>针对“货物需求及技术参数要求”指标项的说明</w:t>
            </w:r>
          </w:p>
        </w:tc>
        <w:tc>
          <w:tcPr>
            <w:tcW w:w="3217" w:type="pct"/>
            <w:noWrap w:val="0"/>
            <w:vAlign w:val="center"/>
          </w:tcPr>
          <w:p w14:paraId="38B3EC5E">
            <w:pPr>
              <w:pStyle w:val="12"/>
              <w:widowControl w:val="0"/>
              <w:spacing w:before="0" w:beforeAutospacing="0" w:after="0" w:afterAutospacing="0" w:line="360" w:lineRule="auto"/>
              <w:jc w:val="both"/>
              <w:rPr>
                <w:rFonts w:hint="default" w:ascii="宋体" w:hAnsi="宋体" w:eastAsia="宋体"/>
                <w:b w:val="0"/>
                <w:sz w:val="21"/>
                <w:szCs w:val="21"/>
                <w:lang w:val="en-US" w:eastAsia="zh-CN"/>
              </w:rPr>
            </w:pPr>
            <w:r>
              <w:rPr>
                <w:rFonts w:hint="eastAsia" w:ascii="宋体" w:hAnsi="宋体" w:eastAsia="宋体"/>
                <w:b w:val="0"/>
                <w:sz w:val="21"/>
                <w:szCs w:val="21"/>
                <w:lang w:val="en-US" w:eastAsia="zh-CN"/>
              </w:rPr>
              <w:t>适用于01包、02包：</w:t>
            </w:r>
          </w:p>
          <w:p w14:paraId="6842D1E6">
            <w:pPr>
              <w:pStyle w:val="12"/>
              <w:widowControl w:val="0"/>
              <w:spacing w:before="0" w:beforeAutospacing="0" w:after="0" w:afterAutospacing="0" w:line="360" w:lineRule="auto"/>
              <w:jc w:val="both"/>
              <w:rPr>
                <w:rFonts w:hint="eastAsia" w:ascii="宋体" w:hAnsi="宋体" w:eastAsia="宋体"/>
                <w:b w:val="0"/>
                <w:sz w:val="21"/>
                <w:szCs w:val="21"/>
                <w:lang w:val="en-US" w:eastAsia="zh-CN"/>
              </w:rPr>
            </w:pPr>
            <w:r>
              <w:rPr>
                <w:rFonts w:hint="eastAsia" w:ascii="宋体" w:hAnsi="宋体" w:eastAsia="宋体"/>
                <w:b w:val="0"/>
                <w:sz w:val="21"/>
                <w:szCs w:val="21"/>
                <w:lang w:val="en-US" w:eastAsia="zh-CN"/>
              </w:rPr>
              <w:t>1.标注★条款为重要指标项，评分条款，具体评分细则详见第四章评标方法和标准。</w:t>
            </w:r>
          </w:p>
          <w:p w14:paraId="120EFC21">
            <w:pPr>
              <w:pStyle w:val="12"/>
              <w:widowControl w:val="0"/>
              <w:spacing w:before="0" w:beforeAutospacing="0" w:after="0" w:afterAutospacing="0" w:line="360" w:lineRule="auto"/>
              <w:jc w:val="both"/>
              <w:rPr>
                <w:rFonts w:hint="eastAsia" w:ascii="宋体" w:hAnsi="宋体" w:eastAsia="宋体"/>
                <w:b w:val="0"/>
                <w:sz w:val="21"/>
                <w:szCs w:val="21"/>
                <w:lang w:val="en-US" w:eastAsia="zh-CN"/>
              </w:rPr>
            </w:pPr>
            <w:r>
              <w:rPr>
                <w:rFonts w:hint="eastAsia" w:ascii="宋体" w:hAnsi="宋体" w:eastAsia="宋体"/>
                <w:b w:val="0"/>
                <w:sz w:val="21"/>
                <w:szCs w:val="21"/>
                <w:lang w:val="en-US" w:eastAsia="zh-CN"/>
              </w:rPr>
              <w:t>2.</w:t>
            </w:r>
            <w:r>
              <w:rPr>
                <w:rFonts w:hint="eastAsia" w:ascii="宋体" w:hAnsi="宋体" w:eastAsia="宋体"/>
                <w:b/>
                <w:bCs w:val="0"/>
                <w:sz w:val="21"/>
                <w:szCs w:val="21"/>
                <w:lang w:val="en-US" w:eastAsia="zh-CN"/>
              </w:rPr>
              <w:t>未标注★条款为无标识项，≥5项一般技术参数（非标注“★”项）不响应，投标无效</w:t>
            </w:r>
            <w:r>
              <w:rPr>
                <w:rFonts w:hint="eastAsia" w:ascii="宋体" w:hAnsi="宋体" w:eastAsia="宋体"/>
                <w:b w:val="0"/>
                <w:sz w:val="21"/>
                <w:szCs w:val="21"/>
                <w:lang w:val="en-US" w:eastAsia="zh-CN"/>
              </w:rPr>
              <w:t>，供应商须在投标文件中提供技术响应表，如履约验收期间所供产品与投标文件响应情况不符，供应商承担由此产生的一切后果及责任。</w:t>
            </w:r>
          </w:p>
          <w:p w14:paraId="3879BFD6">
            <w:pPr>
              <w:pStyle w:val="12"/>
              <w:widowControl w:val="0"/>
              <w:spacing w:before="0" w:beforeAutospacing="0" w:after="0" w:afterAutospacing="0" w:line="360" w:lineRule="auto"/>
              <w:jc w:val="both"/>
              <w:rPr>
                <w:rFonts w:hint="eastAsia" w:ascii="宋体" w:hAnsi="宋体" w:eastAsia="宋体"/>
                <w:b w:val="0"/>
                <w:sz w:val="21"/>
                <w:szCs w:val="21"/>
                <w:lang w:val="en-US" w:eastAsia="zh-CN"/>
              </w:rPr>
            </w:pPr>
            <w:r>
              <w:rPr>
                <w:rFonts w:hint="eastAsia" w:ascii="宋体" w:hAnsi="宋体" w:eastAsia="宋体"/>
                <w:b w:val="0"/>
                <w:sz w:val="21"/>
                <w:szCs w:val="21"/>
                <w:lang w:val="en-US" w:eastAsia="zh-CN"/>
              </w:rPr>
              <w:t>注：标注“★”的指标，投标文件中需提供相关证明材料扫描件，证明材料包括：医疗器械注册证、技术彩页、技术白皮书、官网截图、设备或软件功能截图等，提供其中之一即可（“技术参数及要求”中已明确证明材料要求的，以“技术参数及要求”中的要求为准），未提供或提供的证明材料不满足指标要求的视为负偏离（为便于评审，建议投标人对证明材料中的关键参数进行标注）。由评标委员会在详细评审阶段进行评分。</w:t>
            </w:r>
          </w:p>
          <w:p w14:paraId="7AC44B6F">
            <w:pPr>
              <w:pStyle w:val="12"/>
              <w:widowControl w:val="0"/>
              <w:spacing w:before="0" w:beforeAutospacing="0" w:after="0" w:afterAutospacing="0" w:line="360" w:lineRule="auto"/>
              <w:jc w:val="both"/>
              <w:rPr>
                <w:rFonts w:hint="default" w:ascii="宋体" w:hAnsi="宋体" w:eastAsia="宋体"/>
                <w:b w:val="0"/>
                <w:sz w:val="21"/>
                <w:szCs w:val="21"/>
                <w:lang w:val="en-US" w:eastAsia="zh-CN"/>
              </w:rPr>
            </w:pPr>
            <w:r>
              <w:rPr>
                <w:rFonts w:hint="eastAsia" w:ascii="宋体" w:hAnsi="宋体" w:eastAsia="宋体"/>
                <w:b w:val="0"/>
                <w:sz w:val="21"/>
                <w:szCs w:val="21"/>
                <w:lang w:val="en-US" w:eastAsia="zh-CN"/>
              </w:rPr>
              <w:t>适用于03包：</w:t>
            </w:r>
          </w:p>
          <w:p w14:paraId="4AE71AA5">
            <w:pPr>
              <w:pStyle w:val="12"/>
              <w:widowControl w:val="0"/>
              <w:spacing w:before="0" w:beforeAutospacing="0" w:after="0" w:afterAutospacing="0" w:line="360" w:lineRule="auto"/>
              <w:jc w:val="both"/>
              <w:rPr>
                <w:rFonts w:hint="eastAsia" w:ascii="宋体" w:hAnsi="宋体" w:eastAsia="宋体"/>
                <w:b w:val="0"/>
                <w:sz w:val="21"/>
                <w:szCs w:val="21"/>
                <w:lang w:val="en-US" w:eastAsia="zh-CN"/>
              </w:rPr>
            </w:pPr>
            <w:r>
              <w:rPr>
                <w:rFonts w:hint="eastAsia" w:ascii="宋体" w:hAnsi="宋体" w:eastAsia="宋体"/>
                <w:b w:val="0"/>
                <w:sz w:val="21"/>
                <w:szCs w:val="21"/>
                <w:lang w:val="en-US" w:eastAsia="zh-CN"/>
              </w:rPr>
              <w:t>无标识项为重要指标项，评分条款，具体评分细则详见第四章评标方法和标准。</w:t>
            </w:r>
          </w:p>
          <w:p w14:paraId="2B63B754">
            <w:pPr>
              <w:pStyle w:val="12"/>
              <w:widowControl w:val="0"/>
              <w:spacing w:before="0" w:beforeAutospacing="0" w:after="0" w:afterAutospacing="0" w:line="360" w:lineRule="auto"/>
              <w:jc w:val="both"/>
              <w:rPr>
                <w:rFonts w:hint="eastAsia" w:ascii="宋体" w:hAnsi="宋体" w:eastAsia="宋体"/>
                <w:b w:val="0"/>
                <w:sz w:val="21"/>
                <w:szCs w:val="21"/>
                <w:lang w:val="en-US" w:eastAsia="zh-CN"/>
              </w:rPr>
            </w:pPr>
            <w:r>
              <w:rPr>
                <w:rFonts w:hint="eastAsia" w:ascii="宋体" w:hAnsi="宋体" w:eastAsia="宋体"/>
                <w:b w:val="0"/>
                <w:sz w:val="21"/>
                <w:szCs w:val="21"/>
                <w:lang w:val="en-US" w:eastAsia="zh-CN"/>
              </w:rPr>
              <w:t>注：无标识项的指标，投标文件中需提供相关证明材料扫描件，证明材料包括：医疗器械注册证、技术彩页、技术白皮书、官网截图等，提供其中之一即可（“技术参数及要求”中已明确证明材料要求的，以“技术参数及要求”中的要求为准），未提供或提供的证明材料不满足指标要求的视为负偏离（为便于评审，建议投标人对证明材料中的关键参数进行标注）。由评标委员会在详细评审阶段进行评分。</w:t>
            </w:r>
          </w:p>
          <w:p w14:paraId="2AF90E78">
            <w:pPr>
              <w:pStyle w:val="12"/>
              <w:widowControl w:val="0"/>
              <w:spacing w:before="0" w:beforeAutospacing="0" w:after="0" w:afterAutospacing="0" w:line="360" w:lineRule="auto"/>
              <w:jc w:val="both"/>
              <w:rPr>
                <w:rFonts w:hint="eastAsia" w:ascii="宋体" w:hAnsi="宋体" w:eastAsia="宋体"/>
                <w:b w:val="0"/>
                <w:sz w:val="21"/>
                <w:szCs w:val="21"/>
                <w:lang w:val="en-US" w:eastAsia="zh-CN"/>
              </w:rPr>
            </w:pPr>
            <w:r>
              <w:rPr>
                <w:rFonts w:hint="eastAsia" w:ascii="宋体" w:hAnsi="宋体" w:eastAsia="宋体"/>
                <w:b w:val="0"/>
                <w:sz w:val="21"/>
                <w:szCs w:val="21"/>
                <w:lang w:val="en-US" w:eastAsia="zh-CN"/>
              </w:rPr>
              <w:t>所有技术参数及要求采购人验收时将逐条核对，如发现与实际情况不符、虚假响应等，采购人有权终止合同并报相关监管部门，由此产生的一切责任与后果均由中标供应商承担。</w:t>
            </w:r>
          </w:p>
        </w:tc>
      </w:tr>
    </w:tbl>
    <w:p w14:paraId="176DCE74">
      <w:pPr>
        <w:pStyle w:val="7"/>
        <w:numPr>
          <w:ilvl w:val="0"/>
          <w:numId w:val="0"/>
        </w:numPr>
        <w:rPr>
          <w:rFonts w:hint="eastAsia"/>
        </w:rPr>
      </w:pPr>
    </w:p>
    <w:p w14:paraId="25EC9A11">
      <w:pPr>
        <w:spacing w:line="360" w:lineRule="auto"/>
        <w:outlineLvl w:val="9"/>
        <w:rPr>
          <w:rFonts w:hint="eastAsia" w:ascii="宋体" w:hAnsi="宋体" w:cs="宋体"/>
          <w:b/>
          <w:bCs/>
          <w:szCs w:val="21"/>
        </w:rPr>
      </w:pPr>
      <w:bookmarkStart w:id="3" w:name="_Toc7671"/>
      <w:bookmarkStart w:id="4" w:name="_Toc5944"/>
    </w:p>
    <w:p w14:paraId="1FDECB5C">
      <w:pPr>
        <w:spacing w:line="360" w:lineRule="auto"/>
        <w:ind w:firstLine="437"/>
        <w:outlineLvl w:val="1"/>
        <w:rPr>
          <w:rFonts w:hint="eastAsia" w:ascii="宋体" w:hAnsi="宋体" w:cs="宋体"/>
          <w:b/>
          <w:bCs/>
          <w:szCs w:val="21"/>
        </w:rPr>
      </w:pPr>
      <w:r>
        <w:rPr>
          <w:rFonts w:hint="eastAsia" w:ascii="宋体" w:hAnsi="宋体" w:cs="宋体"/>
          <w:b/>
          <w:bCs/>
          <w:szCs w:val="21"/>
        </w:rPr>
        <w:t>二、</w:t>
      </w:r>
      <w:r>
        <w:rPr>
          <w:rFonts w:hint="eastAsia" w:ascii="宋体" w:hAnsi="宋体" w:cs="宋体"/>
          <w:b/>
          <w:szCs w:val="21"/>
        </w:rPr>
        <w:t>货物</w:t>
      </w:r>
      <w:r>
        <w:rPr>
          <w:rFonts w:hint="eastAsia" w:ascii="宋体" w:hAnsi="宋体" w:cs="宋体"/>
          <w:b/>
          <w:bCs/>
          <w:szCs w:val="21"/>
        </w:rPr>
        <w:t>需求</w:t>
      </w:r>
      <w:bookmarkEnd w:id="3"/>
      <w:bookmarkEnd w:id="4"/>
    </w:p>
    <w:p w14:paraId="41D60AC0">
      <w:pPr>
        <w:bidi w:val="0"/>
        <w:rPr>
          <w:rFonts w:hint="default"/>
          <w:lang w:val="en-US" w:eastAsia="zh-CN"/>
        </w:rPr>
      </w:pPr>
      <w:bookmarkStart w:id="5" w:name="_Toc4843"/>
      <w:bookmarkStart w:id="6" w:name="_Toc7421"/>
      <w:r>
        <w:rPr>
          <w:rFonts w:hint="eastAsia"/>
          <w:lang w:val="en-US" w:eastAsia="zh-CN"/>
        </w:rPr>
        <w:t>01包：</w:t>
      </w:r>
    </w:p>
    <w:tbl>
      <w:tblPr>
        <w:tblStyle w:val="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97"/>
        <w:gridCol w:w="397"/>
        <w:gridCol w:w="5667"/>
        <w:gridCol w:w="397"/>
        <w:gridCol w:w="397"/>
        <w:gridCol w:w="501"/>
        <w:gridCol w:w="763"/>
      </w:tblGrid>
      <w:tr w14:paraId="2D3A3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auto" w:sz="4" w:space="0"/>
              <w:left w:val="single" w:color="auto" w:sz="4" w:space="0"/>
              <w:bottom w:val="single" w:color="auto" w:sz="4" w:space="0"/>
              <w:right w:val="single" w:color="auto" w:sz="4" w:space="0"/>
            </w:tcBorders>
            <w:noWrap w:val="0"/>
            <w:vAlign w:val="center"/>
          </w:tcPr>
          <w:p w14:paraId="01AFA0A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序号</w:t>
            </w:r>
          </w:p>
        </w:tc>
        <w:tc>
          <w:tcPr>
            <w:tcW w:w="326" w:type="pct"/>
            <w:tcBorders>
              <w:top w:val="single" w:color="auto" w:sz="4" w:space="0"/>
              <w:left w:val="single" w:color="auto" w:sz="4" w:space="0"/>
              <w:bottom w:val="single" w:color="auto" w:sz="4" w:space="0"/>
              <w:right w:val="single" w:color="auto" w:sz="4" w:space="0"/>
            </w:tcBorders>
            <w:noWrap w:val="0"/>
            <w:vAlign w:val="center"/>
          </w:tcPr>
          <w:p w14:paraId="566459B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w:t>
            </w:r>
          </w:p>
        </w:tc>
        <w:tc>
          <w:tcPr>
            <w:tcW w:w="2562" w:type="pct"/>
            <w:tcBorders>
              <w:top w:val="single" w:color="auto" w:sz="4" w:space="0"/>
              <w:left w:val="single" w:color="auto" w:sz="4" w:space="0"/>
              <w:bottom w:val="single" w:color="auto" w:sz="4" w:space="0"/>
              <w:right w:val="single" w:color="auto" w:sz="4" w:space="0"/>
            </w:tcBorders>
            <w:noWrap w:val="0"/>
            <w:vAlign w:val="center"/>
          </w:tcPr>
          <w:p w14:paraId="42BD5E8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技术参数</w:t>
            </w:r>
          </w:p>
        </w:tc>
        <w:tc>
          <w:tcPr>
            <w:tcW w:w="321" w:type="pct"/>
            <w:tcBorders>
              <w:top w:val="single" w:color="auto" w:sz="4" w:space="0"/>
              <w:left w:val="single" w:color="auto" w:sz="4" w:space="0"/>
              <w:bottom w:val="single" w:color="auto" w:sz="4" w:space="0"/>
              <w:right w:val="single" w:color="auto" w:sz="4" w:space="0"/>
            </w:tcBorders>
            <w:noWrap w:val="0"/>
            <w:vAlign w:val="center"/>
          </w:tcPr>
          <w:p w14:paraId="4AB6F8A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321" w:type="pct"/>
            <w:tcBorders>
              <w:top w:val="single" w:color="auto" w:sz="4" w:space="0"/>
              <w:left w:val="single" w:color="auto" w:sz="4" w:space="0"/>
              <w:bottom w:val="single" w:color="auto" w:sz="4" w:space="0"/>
              <w:right w:val="single" w:color="auto" w:sz="4" w:space="0"/>
            </w:tcBorders>
            <w:noWrap w:val="0"/>
            <w:vAlign w:val="center"/>
          </w:tcPr>
          <w:p w14:paraId="3B9DCAE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574" w:type="pct"/>
            <w:tcBorders>
              <w:top w:val="single" w:color="auto" w:sz="4" w:space="0"/>
              <w:left w:val="single" w:color="auto" w:sz="4" w:space="0"/>
              <w:bottom w:val="single" w:color="auto" w:sz="4" w:space="0"/>
              <w:right w:val="single" w:color="auto" w:sz="4" w:space="0"/>
            </w:tcBorders>
            <w:noWrap w:val="0"/>
            <w:vAlign w:val="center"/>
          </w:tcPr>
          <w:p w14:paraId="778D8FB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宋体" w:hAnsi="宋体" w:eastAsia="宋体" w:cs="宋体"/>
                <w:b/>
                <w:bCs/>
                <w:i w:val="0"/>
                <w:iCs w:val="0"/>
                <w:color w:val="000000"/>
                <w:kern w:val="0"/>
                <w:sz w:val="18"/>
                <w:szCs w:val="18"/>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所属行业</w:t>
            </w:r>
          </w:p>
        </w:tc>
        <w:tc>
          <w:tcPr>
            <w:tcW w:w="574" w:type="pct"/>
            <w:tcBorders>
              <w:top w:val="single" w:color="auto" w:sz="4" w:space="0"/>
              <w:left w:val="single" w:color="auto" w:sz="4" w:space="0"/>
              <w:bottom w:val="single" w:color="auto" w:sz="4" w:space="0"/>
              <w:right w:val="single" w:color="auto" w:sz="4" w:space="0"/>
            </w:tcBorders>
            <w:noWrap w:val="0"/>
            <w:vAlign w:val="center"/>
          </w:tcPr>
          <w:p w14:paraId="09F4944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14:paraId="2BF0F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auto" w:sz="4" w:space="0"/>
              <w:left w:val="single" w:color="000000" w:sz="4" w:space="0"/>
              <w:bottom w:val="single" w:color="000000" w:sz="4" w:space="0"/>
              <w:right w:val="single" w:color="000000" w:sz="4" w:space="0"/>
            </w:tcBorders>
            <w:noWrap w:val="0"/>
            <w:vAlign w:val="center"/>
          </w:tcPr>
          <w:p w14:paraId="3E6B5DB4">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auto" w:sz="4" w:space="0"/>
              <w:left w:val="single" w:color="000000" w:sz="4" w:space="0"/>
              <w:bottom w:val="single" w:color="000000" w:sz="4" w:space="0"/>
              <w:right w:val="single" w:color="000000" w:sz="4" w:space="0"/>
            </w:tcBorders>
            <w:noWrap w:val="0"/>
            <w:vAlign w:val="center"/>
          </w:tcPr>
          <w:p w14:paraId="63B4DFD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szCs w:val="21"/>
              </w:rPr>
              <w:t>▲</w:t>
            </w:r>
            <w:r>
              <w:rPr>
                <w:rFonts w:hint="eastAsia" w:ascii="宋体" w:hAnsi="宋体" w:eastAsia="宋体" w:cs="宋体"/>
                <w:i w:val="0"/>
                <w:iCs w:val="0"/>
                <w:color w:val="000000"/>
                <w:kern w:val="0"/>
                <w:sz w:val="18"/>
                <w:szCs w:val="18"/>
                <w:u w:val="none"/>
                <w:lang w:val="en-US" w:eastAsia="zh-CN" w:bidi="ar"/>
              </w:rPr>
              <w:t>全自动生化分析仪</w:t>
            </w:r>
          </w:p>
        </w:tc>
        <w:tc>
          <w:tcPr>
            <w:tcW w:w="2562" w:type="pct"/>
            <w:tcBorders>
              <w:top w:val="single" w:color="auto" w:sz="4" w:space="0"/>
              <w:left w:val="single" w:color="000000" w:sz="4" w:space="0"/>
              <w:bottom w:val="single" w:color="000000" w:sz="4" w:space="0"/>
              <w:right w:val="single" w:color="000000" w:sz="4" w:space="0"/>
            </w:tcBorders>
            <w:noWrap w:val="0"/>
            <w:vAlign w:val="center"/>
          </w:tcPr>
          <w:p w14:paraId="3CB117A6">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★1、检测速度：生化单模块比色分析恒速：≥1000 测试/小时, 自动去盖，支持废盖紫外消毒，紫外灯智能控制，去盖和紫外消毒模块全部隐藏于机器中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2、分析方法：≥3种分析方法</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3、单机同时在线分析项目：≥120个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★4、单机/单模块试剂位: ≥200个，具备24小时2-8℃冷藏功能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5、单机样本位：≥180个，可连续进样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6、进样方式：轨道式进样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★7、单机反应杯位：≥200个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8、样本针清洗方式：机内全自动超声波清洗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★9、样本针携带污染≤0.1ppm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★10、最小反应体积：≤70ul</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11、最小样本量≤1ul</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12、光学系统：光栅后分光，波长范围：340-850nm，≥16个波长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13、吸光度线性范围: 0-3.5Abs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★14、温控方式：固体直热,控温精度要求达到37C0.1C;无需添加任何耗材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15、比色杯温水清洗，重复使用，支持单个比色杯更换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★16、拓展功能：可以和同品牌发光设备级联</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17、系统配套性要求：生产厂家具有配套试剂、校准品和质控品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18、具有前带检测、酶线性拓展、反应曲线实时监测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19、具有结果逻辑判断、反射测试功能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20、具有智能多档自动选择稀释功能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21、内置Westgard多规则质控、Twin plot质控图形及L-J图形规则、支持按照项目、瓶组进行质控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22、支持单点线性校准（K因数）、两点线性校准、多点线性校准、Logistic、exponentia、polynomial、spline、parabola等校准模式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23、支持按照项目、批次和瓶组进行校准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24、具有自动校准、批内免校准功能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25、配置清单:80升水机一台，6KVUPS电源1台，按医院要求配套（费用包含在本包投标报价中）安装试剂(质控品、校准品）</w:t>
            </w:r>
          </w:p>
        </w:tc>
        <w:tc>
          <w:tcPr>
            <w:tcW w:w="321" w:type="pct"/>
            <w:tcBorders>
              <w:top w:val="single" w:color="auto" w:sz="4" w:space="0"/>
              <w:left w:val="single" w:color="000000" w:sz="4" w:space="0"/>
              <w:bottom w:val="single" w:color="000000" w:sz="4" w:space="0"/>
              <w:right w:val="single" w:color="000000" w:sz="4" w:space="0"/>
            </w:tcBorders>
            <w:noWrap w:val="0"/>
            <w:vAlign w:val="center"/>
          </w:tcPr>
          <w:p w14:paraId="5E46799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21" w:type="pct"/>
            <w:tcBorders>
              <w:top w:val="single" w:color="auto" w:sz="4" w:space="0"/>
              <w:left w:val="single" w:color="000000" w:sz="4" w:space="0"/>
              <w:bottom w:val="single" w:color="000000" w:sz="4" w:space="0"/>
              <w:right w:val="single" w:color="000000" w:sz="4" w:space="0"/>
            </w:tcBorders>
            <w:noWrap w:val="0"/>
            <w:vAlign w:val="center"/>
          </w:tcPr>
          <w:p w14:paraId="0FBE02F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 </w:t>
            </w:r>
          </w:p>
        </w:tc>
        <w:tc>
          <w:tcPr>
            <w:tcW w:w="574" w:type="pct"/>
            <w:vMerge w:val="restart"/>
            <w:tcBorders>
              <w:top w:val="single" w:color="auto" w:sz="4" w:space="0"/>
              <w:left w:val="single" w:color="000000" w:sz="4" w:space="0"/>
              <w:right w:val="single" w:color="000000" w:sz="4" w:space="0"/>
            </w:tcBorders>
            <w:noWrap w:val="0"/>
            <w:vAlign w:val="center"/>
          </w:tcPr>
          <w:p w14:paraId="6D5CC5A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工业</w:t>
            </w:r>
          </w:p>
        </w:tc>
        <w:tc>
          <w:tcPr>
            <w:tcW w:w="574" w:type="pct"/>
            <w:tcBorders>
              <w:top w:val="single" w:color="auto" w:sz="4" w:space="0"/>
              <w:left w:val="single" w:color="000000" w:sz="4" w:space="0"/>
              <w:bottom w:val="single" w:color="000000" w:sz="4" w:space="0"/>
              <w:right w:val="single" w:color="000000" w:sz="4" w:space="0"/>
            </w:tcBorders>
            <w:noWrap w:val="0"/>
            <w:vAlign w:val="center"/>
          </w:tcPr>
          <w:p w14:paraId="614EC97E">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5F2D6B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000000" w:sz="4" w:space="0"/>
              <w:left w:val="single" w:color="000000" w:sz="4" w:space="0"/>
              <w:bottom w:val="single" w:color="000000" w:sz="4" w:space="0"/>
              <w:right w:val="single" w:color="000000" w:sz="4" w:space="0"/>
            </w:tcBorders>
            <w:noWrap w:val="0"/>
            <w:vAlign w:val="center"/>
          </w:tcPr>
          <w:p w14:paraId="1BB8239E">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7AD34C1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szCs w:val="21"/>
              </w:rPr>
              <w:t>▲</w:t>
            </w:r>
            <w:r>
              <w:rPr>
                <w:rFonts w:hint="eastAsia" w:ascii="宋体" w:hAnsi="宋体" w:eastAsia="宋体" w:cs="宋体"/>
                <w:i w:val="0"/>
                <w:iCs w:val="0"/>
                <w:color w:val="000000"/>
                <w:kern w:val="0"/>
                <w:sz w:val="18"/>
                <w:szCs w:val="18"/>
                <w:u w:val="none"/>
                <w:lang w:val="en-US" w:eastAsia="zh-CN" w:bidi="ar"/>
              </w:rPr>
              <w:t>全自动电解质分析仪</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2C1FDF18">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1、检测样品：血清、血浆（全血）、或其他体液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2、检测项目：K+、Na+、Cl-、iCa2+、pH、TCO2、nCa、Tca、AG</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3、通讯接口：RS232、USB电脑接口，可以连接相应接口的扫描枪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4、显示器：彩色触摸屏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★5、自动进样：配有30位进样系统(26个样本,2个质控,1个急诊,1个清洗)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6、测量方法：采用ISE离子选择性电极法</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★7、测量项目、测量范围、准确度和精密度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K：血样测量范围0.5-15.00mmol/L、尿样测量范围5.0-150.0mmol/L、准确度≤±3.0%、精密度CV≤1.5%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Na：血样测量范围30.0-200.0mmol/L、尿样测量范围10.0-350.0mmol/L、准确度≤±3.0%、精密度CV≤1.5%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Cl：血样测量范围30.0-200.0mmol/L、尿样测量范围10.0-300.0mmol/L、准确度≤±3.0%、精密度CV≤1.5%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Ca：血样测量范围0.1-5.00mmol/L、准确度≤±5.0%或0.05mmol/L、精密度CV≤1.5%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pH：血样测量范围4.0-9.0mmol/L、准确度≤0.15mmol/L、精密度CV≤1.0%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TCO2：血样测量范围4.0-70.0mmol/L、准确度≤3.0mmol/L、精密度CV≤3.0%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★8、所有电极采用全密封技术，有效防止电极渗漏，提高电极的稳定性及使用寿命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9、仪器采用嵌入式处理器，所有的测试、校准、电极状态监测等全部由程序控制。仪器配置智能化的检测传感器，可以检测样品、气泡、废液溢出报警，并增加了样品位置指示灯及标准液位置指示灯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10、仪器可采用原始管直接进样来简化样本的处理过程，也可以选择采用样本杯进样，满足不同临床需求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11、仪器具备质控分析数据的功能，通过质控统计及质控分析图谱简单、直观地掌握数据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12、按医院要求配套安装试剂(质控品、校准品）</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6D4E2CC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3DD55B1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574" w:type="pct"/>
            <w:vMerge w:val="continue"/>
            <w:tcBorders>
              <w:left w:val="single" w:color="000000" w:sz="4" w:space="0"/>
              <w:right w:val="single" w:color="000000" w:sz="4" w:space="0"/>
            </w:tcBorders>
            <w:noWrap w:val="0"/>
            <w:vAlign w:val="center"/>
          </w:tcPr>
          <w:p w14:paraId="7E5A3B8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6CA275D6">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1B32D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000000" w:sz="4" w:space="0"/>
              <w:left w:val="single" w:color="000000" w:sz="4" w:space="0"/>
              <w:bottom w:val="single" w:color="000000" w:sz="4" w:space="0"/>
              <w:right w:val="single" w:color="000000" w:sz="4" w:space="0"/>
            </w:tcBorders>
            <w:noWrap w:val="0"/>
            <w:vAlign w:val="center"/>
          </w:tcPr>
          <w:p w14:paraId="3697A79F">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65DDEDB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实验室离心机</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02368CB2">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1、交流变频无刷电机驱动，免维护，配备霍尔测速系统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2、微机变频控制系统，液晶显示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3、运行中可随时更改参数（rpm/rcf），无需停机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4、程序可编辑操作，≥8组程序存储，≥8档加减速度，软刹车功能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5、单旋钮设置键，方便快速参数设定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w:t>
            </w:r>
            <w:r>
              <w:rPr>
                <w:rFonts w:hint="eastAsia" w:ascii="宋体" w:hAnsi="宋体" w:eastAsia="宋体" w:cs="宋体"/>
                <w:i w:val="0"/>
                <w:iCs w:val="0"/>
                <w:color w:val="000000"/>
                <w:kern w:val="0"/>
                <w:sz w:val="18"/>
                <w:szCs w:val="18"/>
                <w:highlight w:val="red"/>
                <w:u w:val="none"/>
                <w:lang w:val="en-US" w:eastAsia="zh-CN" w:bidi="ar"/>
              </w:rPr>
              <w:t>、采用弹簧悬挂式平衡系统，不平衡量≥18克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7、定速计时功能达到设定转速后才开始倒计时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8、具有转子平衡自动测定功能，不平衡发生时自动停止运转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9、双通道空气流散热技术，安装温度异常探测器，保护样品安全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10、离心结束后离心机盖可选择自动或手动打开，便于取放样品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11、微动马达电子门锁，轻按快速关闭门盖、安全静音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12、具有故障自动诊断系统，具有故障自动诊断系统，确保仪器安全运行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13、最高转速≥5000r/min</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14、最大相对离心力≥3630×g</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15、噪音≤65dB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16、转速精度：±10 r/min</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17、外形尺寸43×33×31cm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18、配置：5ml*24支</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2B6885DD">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76C98B1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574" w:type="pct"/>
            <w:vMerge w:val="continue"/>
            <w:tcBorders>
              <w:left w:val="single" w:color="000000" w:sz="4" w:space="0"/>
              <w:right w:val="single" w:color="000000" w:sz="4" w:space="0"/>
            </w:tcBorders>
            <w:noWrap w:val="0"/>
            <w:vAlign w:val="center"/>
          </w:tcPr>
          <w:p w14:paraId="164EE03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0D012ED9">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09785D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nil"/>
              <w:left w:val="single" w:color="000000" w:sz="4" w:space="0"/>
              <w:bottom w:val="single" w:color="000000" w:sz="4" w:space="0"/>
              <w:right w:val="single" w:color="000000" w:sz="4" w:space="0"/>
            </w:tcBorders>
            <w:noWrap w:val="0"/>
            <w:vAlign w:val="center"/>
          </w:tcPr>
          <w:p w14:paraId="0E5F2459">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nil"/>
              <w:left w:val="single" w:color="000000" w:sz="4" w:space="0"/>
              <w:bottom w:val="single" w:color="000000" w:sz="4" w:space="0"/>
              <w:right w:val="single" w:color="000000" w:sz="4" w:space="0"/>
            </w:tcBorders>
            <w:noWrap w:val="0"/>
            <w:vAlign w:val="center"/>
          </w:tcPr>
          <w:p w14:paraId="5DB676E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十二道心电图机</w:t>
            </w:r>
          </w:p>
        </w:tc>
        <w:tc>
          <w:tcPr>
            <w:tcW w:w="2562" w:type="pct"/>
            <w:tcBorders>
              <w:top w:val="nil"/>
              <w:left w:val="single" w:color="000000" w:sz="4" w:space="0"/>
              <w:bottom w:val="single" w:color="000000" w:sz="4" w:space="0"/>
              <w:right w:val="single" w:color="000000" w:sz="4" w:space="0"/>
            </w:tcBorders>
            <w:noWrap w:val="0"/>
            <w:vAlign w:val="center"/>
          </w:tcPr>
          <w:p w14:paraId="29A584CE">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1、心电采集：标准12导联心电信号同步采集；支持实时采样、触发采样、周期采样模式，支持心律失常检测自动延时打印报告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2、屏幕大于7英寸彩色液晶显示屏，支持显示背景网格</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3、输入阻抗：≥100MΩ（10Hz）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★4、频率响应：0.01-450Hz ，耐极化电压：±900mV ，起搏采样率：80000Hz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5、A/D转换：24bit，内部噪声：≤12.5µVp-p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6、共模抑制比：≥139dB，设备使用年限≥9年（提供设备铭牌照片）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7、灵敏度：1.25、2.5、5、10、20、10/5mm/mV及自动（AGC）</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8、抗干扰滤波：滤波器，≥3种滤波。交流、肌电、漂移滤波。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9、自动分析功能：具有12导联同步自动分析以及RR间期、ST段分析功能，能诊断200种以上的心脏疾病，能通过软件无缝升级心电向量功能，满足一样功能扩展 ，具有2种或以上的QTc算法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10、设备内置存储器，存储病历不小于800例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11、外部接口：USB接口，网络接口功能，外部输入输出端口，SD卡接口，可以使用有线、无线方式和心电网络相连，可升级内置WiFi</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12、每台提供配套的打印纸，在所供货物备品、配件中报价</w:t>
            </w:r>
          </w:p>
        </w:tc>
        <w:tc>
          <w:tcPr>
            <w:tcW w:w="321" w:type="pct"/>
            <w:tcBorders>
              <w:top w:val="nil"/>
              <w:left w:val="single" w:color="000000" w:sz="4" w:space="0"/>
              <w:bottom w:val="single" w:color="000000" w:sz="4" w:space="0"/>
              <w:right w:val="single" w:color="000000" w:sz="4" w:space="0"/>
            </w:tcBorders>
            <w:noWrap w:val="0"/>
            <w:vAlign w:val="center"/>
          </w:tcPr>
          <w:p w14:paraId="0F811694">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21" w:type="pct"/>
            <w:tcBorders>
              <w:top w:val="nil"/>
              <w:left w:val="single" w:color="000000" w:sz="4" w:space="0"/>
              <w:bottom w:val="single" w:color="000000" w:sz="4" w:space="0"/>
              <w:right w:val="single" w:color="000000" w:sz="4" w:space="0"/>
            </w:tcBorders>
            <w:noWrap w:val="0"/>
            <w:vAlign w:val="center"/>
          </w:tcPr>
          <w:p w14:paraId="188B547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574" w:type="pct"/>
            <w:vMerge w:val="continue"/>
            <w:tcBorders>
              <w:left w:val="single" w:color="000000" w:sz="4" w:space="0"/>
              <w:right w:val="single" w:color="000000" w:sz="4" w:space="0"/>
            </w:tcBorders>
            <w:noWrap w:val="0"/>
            <w:vAlign w:val="center"/>
          </w:tcPr>
          <w:p w14:paraId="090300A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nil"/>
              <w:left w:val="single" w:color="000000" w:sz="4" w:space="0"/>
              <w:bottom w:val="single" w:color="000000" w:sz="4" w:space="0"/>
              <w:right w:val="single" w:color="000000" w:sz="4" w:space="0"/>
            </w:tcBorders>
            <w:noWrap w:val="0"/>
            <w:vAlign w:val="center"/>
          </w:tcPr>
          <w:p w14:paraId="04EDBA9B">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76C7FC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000000" w:sz="4" w:space="0"/>
              <w:left w:val="single" w:color="000000" w:sz="4" w:space="0"/>
              <w:bottom w:val="single" w:color="000000" w:sz="4" w:space="0"/>
              <w:right w:val="single" w:color="000000" w:sz="4" w:space="0"/>
            </w:tcBorders>
            <w:noWrap w:val="0"/>
            <w:vAlign w:val="center"/>
          </w:tcPr>
          <w:p w14:paraId="73C5CFC2">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40C83B4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指尖血糖仪</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2F80D762">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1、血样要求：新鲜毛细血管全血、静脉全血、动脉全血、新生儿全血（以注册证内容为准）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2、血糖仪支持对未上传的血糖数据、额温、多指标数据进行查看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3、智能血糖仪内置CGM模块，可查看在使用中及已完成监测的患者CGM数据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4、血糖仪支持自定义设置血糖异常值，如超出该设定值仪器提醒监测血酮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5、血糖仪可设置患者血糖测定时间，并弹窗和声音提醒；患者信息面可展示监测医嘱与胰岛素医嘱</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6、仪器支持自定义设置登录界面，医护人员可根据需求设置登录后首页，可直达患者列表、患者测量或者患者任务（医嘱）页面；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7、具有声音提醒功能，支持语音播报指尖血及CGM异常血糖</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3C6129C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355C992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574" w:type="pct"/>
            <w:vMerge w:val="continue"/>
            <w:tcBorders>
              <w:left w:val="single" w:color="000000" w:sz="4" w:space="0"/>
              <w:right w:val="single" w:color="000000" w:sz="4" w:space="0"/>
            </w:tcBorders>
            <w:noWrap w:val="0"/>
            <w:vAlign w:val="center"/>
          </w:tcPr>
          <w:p w14:paraId="066D080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2EDBBBE9">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1BE80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9" w:hRule="atLeast"/>
        </w:trPr>
        <w:tc>
          <w:tcPr>
            <w:tcW w:w="319" w:type="pct"/>
            <w:tcBorders>
              <w:top w:val="single" w:color="000000" w:sz="4" w:space="0"/>
              <w:left w:val="single" w:color="000000" w:sz="4" w:space="0"/>
              <w:bottom w:val="single" w:color="000000" w:sz="4" w:space="0"/>
              <w:right w:val="single" w:color="000000" w:sz="4" w:space="0"/>
            </w:tcBorders>
            <w:noWrap w:val="0"/>
            <w:vAlign w:val="center"/>
          </w:tcPr>
          <w:p w14:paraId="059F425D">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4498062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简易上肢功能评价器</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76A4A07C">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1、产品规格：</w:t>
            </w:r>
            <w:r>
              <w:rPr>
                <w:rFonts w:hint="eastAsia"/>
                <w:lang w:eastAsia="zh-CN"/>
              </w:rPr>
              <w:t>≥</w:t>
            </w:r>
            <w:r>
              <w:rPr>
                <w:rFonts w:hint="eastAsia" w:ascii="宋体" w:hAnsi="宋体" w:eastAsia="宋体" w:cs="宋体"/>
                <w:i w:val="0"/>
                <w:iCs w:val="0"/>
                <w:color w:val="000000"/>
                <w:kern w:val="0"/>
                <w:sz w:val="18"/>
                <w:szCs w:val="18"/>
                <w:u w:val="none"/>
                <w:lang w:val="en-US" w:eastAsia="zh-CN" w:bidi="ar"/>
              </w:rPr>
              <w:t>45×45×12cm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2、检测工具一套，秒表一个，配套大小木块，弹性球5个，配套小木球，配套各种小器具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3、对上肢能力、运动速度进行客观的检测，判断上肢功能受限程度</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782BA25D">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6873736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574" w:type="pct"/>
            <w:vMerge w:val="continue"/>
            <w:tcBorders>
              <w:left w:val="single" w:color="000000" w:sz="4" w:space="0"/>
              <w:right w:val="single" w:color="000000" w:sz="4" w:space="0"/>
            </w:tcBorders>
            <w:noWrap w:val="0"/>
            <w:vAlign w:val="center"/>
          </w:tcPr>
          <w:p w14:paraId="73C6405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73D42CC4">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0D1FA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000000" w:sz="4" w:space="0"/>
              <w:left w:val="single" w:color="000000" w:sz="4" w:space="0"/>
              <w:bottom w:val="single" w:color="000000" w:sz="4" w:space="0"/>
              <w:right w:val="single" w:color="000000" w:sz="4" w:space="0"/>
            </w:tcBorders>
            <w:noWrap w:val="0"/>
            <w:vAlign w:val="center"/>
          </w:tcPr>
          <w:p w14:paraId="25A9A88A">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05E40CA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多功能关节活动测量表</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57A2434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1、表盘直径≥6.5cm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2、表盘旋转角度360°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3、测量肘、手指等关节活动范围及脊柱弯曲程度</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6F1D6F6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209528D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574" w:type="pct"/>
            <w:vMerge w:val="continue"/>
            <w:tcBorders>
              <w:left w:val="single" w:color="000000" w:sz="4" w:space="0"/>
              <w:right w:val="single" w:color="000000" w:sz="4" w:space="0"/>
            </w:tcBorders>
            <w:noWrap w:val="0"/>
            <w:vAlign w:val="center"/>
          </w:tcPr>
          <w:p w14:paraId="4008616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239A5E2F">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7310A0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nil"/>
              <w:left w:val="single" w:color="000000" w:sz="4" w:space="0"/>
              <w:bottom w:val="single" w:color="000000" w:sz="4" w:space="0"/>
              <w:right w:val="single" w:color="000000" w:sz="4" w:space="0"/>
            </w:tcBorders>
            <w:noWrap w:val="0"/>
            <w:vAlign w:val="center"/>
          </w:tcPr>
          <w:p w14:paraId="2939D81F">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1F42E00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医用助行器</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12977F0D">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1、规格：双弯带轮款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2、尺寸（相近即可）：42*52*73-83.5cm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3、折叠尺寸：36*53*68-87cm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4、功能：带轮滑行、一键折叠、≥5档高度可调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5、承重：≥280斤</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7B532E8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6BC5281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574" w:type="pct"/>
            <w:vMerge w:val="continue"/>
            <w:tcBorders>
              <w:left w:val="single" w:color="000000" w:sz="4" w:space="0"/>
              <w:right w:val="single" w:color="000000" w:sz="4" w:space="0"/>
            </w:tcBorders>
            <w:noWrap w:val="0"/>
            <w:vAlign w:val="center"/>
          </w:tcPr>
          <w:p w14:paraId="32BDB10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365D439F">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0EC87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000000" w:sz="4" w:space="0"/>
              <w:left w:val="single" w:color="000000" w:sz="4" w:space="0"/>
              <w:bottom w:val="single" w:color="000000" w:sz="4" w:space="0"/>
              <w:right w:val="single" w:color="000000" w:sz="4" w:space="0"/>
            </w:tcBorders>
            <w:noWrap w:val="0"/>
            <w:vAlign w:val="center"/>
          </w:tcPr>
          <w:p w14:paraId="7A2D565F">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09B28B1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智能温热颈腰椎牵引设备</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507790D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适用范围：适用于颈椎、腰椎牵引</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1、电源电压：220V±22V  50HZ±1Hz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2、额定输入功率：480VA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3、腰椎牵引参数：0～990N任意可调、腰椎牵引行程：0～300mm；主动牵引行程：0～200mm；对抗加力牵引行程：0～100mm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4、牵引总时间：0~99min任意设定、持续牵引时间：0~9min任意设定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5、间歇牵引时间：0~9min任意设定、成角动作范围：-10~+30°可调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6、旋转动作范围：±25°连续可调、平摆动作范围：±25°连续可调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7、颈椎牵引力：0～300N、颈椎牵引行程：0～250mm、颈椎牵引角度：0~15°可调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8、具有腰部热疗功能，集中医外治的热疗法及牵引法于一体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9、该装置配有恒温传感器≤55℃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10、数码管实时显示牵引时间、牵引力度、持续牵引时间及间歇时间，完成自动牵引，具有牵引力实时监测功能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11、四维立体牵引功能，具备上成角牵引、下成角牵引，左、右旋转牵引（侧扳复位），左、右侧平摆牵引（可纠正脊椎侧弯）及纵向牵引功能，多种功能组合或单一使用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12、具有间歇式牵引、间歇式上阶梯牵引、间歇式上下阶梯牵引、反复式上阶梯牵引、反复式上阶梯牵引、反复式上下阶梯牵引、持续式牵引、持续式下阶梯牵引等，八种不同的牵引模式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13、牵引力自动补偿功能过力保护功能，配备双核处理芯片，颈椎牵引、腰椎牵引同时工作互不干扰，各自具有独立的操作系统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14、20种治疗方案存储并读取，多项安全保护设计，该设备具有紧急保护措施，在牵引治疗过程中，按下急退按键，可使牵引力松弛至初始状态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15、牵引床有两种操作系统，一种是牵引床自配有操作台，另外配有电脑接口，可以连接电脑进行操作</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14ED51D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0B5F51C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574" w:type="pct"/>
            <w:vMerge w:val="continue"/>
            <w:tcBorders>
              <w:left w:val="single" w:color="000000" w:sz="4" w:space="0"/>
              <w:right w:val="single" w:color="000000" w:sz="4" w:space="0"/>
            </w:tcBorders>
            <w:noWrap w:val="0"/>
            <w:vAlign w:val="center"/>
          </w:tcPr>
          <w:p w14:paraId="61B3C44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2024C7C4">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57801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000000" w:sz="4" w:space="0"/>
              <w:left w:val="single" w:color="000000" w:sz="4" w:space="0"/>
              <w:bottom w:val="single" w:color="000000" w:sz="4" w:space="0"/>
              <w:right w:val="single" w:color="000000" w:sz="4" w:space="0"/>
            </w:tcBorders>
            <w:noWrap w:val="0"/>
            <w:vAlign w:val="center"/>
          </w:tcPr>
          <w:p w14:paraId="3155471D">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2186DAF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视力检查表</w:t>
            </w:r>
          </w:p>
        </w:tc>
        <w:tc>
          <w:tcPr>
            <w:tcW w:w="2562" w:type="pct"/>
            <w:tcBorders>
              <w:top w:val="nil"/>
              <w:left w:val="nil"/>
              <w:bottom w:val="nil"/>
              <w:right w:val="nil"/>
            </w:tcBorders>
            <w:noWrap w:val="0"/>
            <w:vAlign w:val="center"/>
          </w:tcPr>
          <w:p w14:paraId="4308BC44">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1、用途:用于视力检测或弱视、盲视筛查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2、运行方式:连续运行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3、电源输入:AC220V，50H</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4、产品组成:由视力表(卡)和照明装置组成。照明装置为直接照明或后照明(视力表灯)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5、标配视力检查工具：遮眼板、指挥棒、无痕灯</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5209FCF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7E6FBF5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574" w:type="pct"/>
            <w:vMerge w:val="continue"/>
            <w:tcBorders>
              <w:left w:val="single" w:color="000000" w:sz="4" w:space="0"/>
              <w:right w:val="single" w:color="000000" w:sz="4" w:space="0"/>
            </w:tcBorders>
            <w:noWrap w:val="0"/>
            <w:vAlign w:val="center"/>
          </w:tcPr>
          <w:p w14:paraId="16B8E82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27DC7210">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4A103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000000" w:sz="4" w:space="0"/>
              <w:left w:val="single" w:color="000000" w:sz="4" w:space="0"/>
              <w:bottom w:val="single" w:color="000000" w:sz="4" w:space="0"/>
              <w:right w:val="single" w:color="000000" w:sz="4" w:space="0"/>
            </w:tcBorders>
            <w:noWrap w:val="0"/>
            <w:vAlign w:val="center"/>
          </w:tcPr>
          <w:p w14:paraId="737B608A">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0CA996C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动态心电图机</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32AE5B1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一、采集盒：</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1.1、外形精巧，体积小，重量≤50g，方便佩戴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★1.2、≥1.4英寸全彩LCD液晶屏幕，防水等级：采集盒支持IPX7防水，配备3键键盘，具有事件标记按钮，记录事件发生的时间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1.3、屏幕可显示波形、电池电量、记录时间、记录状态、病人信息、事件标记、起搏状态等信息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1.4、灵活的数据传输方式，同时支持microSD卡拔插方式和USB2.0高速直接数据读取方式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二、信号处理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2.1、频率响应：0.05～60Hz 、输入阻抗：≥20MΩ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2.2、极化电压：±300mV、共模抑制比（CMRR）：≥100dB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2.3、记录通道：12通道、起搏检测：多通道同时检测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2.4、采样率：25600 Hz  ，A/D转换精度：24位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三、软件要求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3.1、软件同时兼容3/12导联记录盒</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3.2、准确的QRS形态分类，可自动识别正常、房早、室早、插入性室早、起搏、伪差等心拍类型，并支持不少于20种模板分类选项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3.3、可以对AOO、VOO、AAI、VVI、DDD等十六种起搏器进行分析，具备起搏脉冲检测功能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3.4、心率变异分析：从R-R间期散点图、时域趋势图、频域趋势图、时域趋势表、频域趋势表、长时程心率变异、心率变异三维图七方面进行分析，分析全面到位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3.5、具有专门的房扑、房颤分析功能及心率震荡分析功能，可以预测心梗患者的死亡危险</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3.6、具备心率震荡、起搏、呼吸睡眠、T波电交替、心电向量、心室晚电位，瀑布图等多种自动分析功能，具备散点图和叠加图联合分析界面；直方图和叠加图联合分析界面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四、配置清单:</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2个动态心电记录器，1套动态心电工作站软件</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30EDB94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15EFD94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574" w:type="pct"/>
            <w:vMerge w:val="continue"/>
            <w:tcBorders>
              <w:left w:val="single" w:color="000000" w:sz="4" w:space="0"/>
              <w:right w:val="single" w:color="000000" w:sz="4" w:space="0"/>
            </w:tcBorders>
            <w:noWrap w:val="0"/>
            <w:vAlign w:val="center"/>
          </w:tcPr>
          <w:p w14:paraId="70A0902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75FD5E8B">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39B60E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nil"/>
              <w:left w:val="single" w:color="000000" w:sz="4" w:space="0"/>
              <w:bottom w:val="single" w:color="000000" w:sz="4" w:space="0"/>
              <w:right w:val="single" w:color="000000" w:sz="4" w:space="0"/>
            </w:tcBorders>
            <w:noWrap w:val="0"/>
            <w:vAlign w:val="center"/>
          </w:tcPr>
          <w:p w14:paraId="49B4DD06">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7199762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自动洗胃机</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36AB655A">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一、用途:洗胃迅速，干净，副作用小，对胃壁黏膜无损害。具有手控和自控两种操作功能，易于调整和控制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1、自动洗胃机由水泵、控制管路、控制电路、机箱组成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2、洗胃机采用2只水泵实现进胃与出胃，具有洗胃速度快、洗胃彻底、操作简单、方便等特点，使用时安全可靠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3、采用触摸式按键，且有手动洗胃和自动洗胃两种方式：自动洗胃时，内置时间可调，手动洗胃时时间人为掌握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4、洗胃机按防电击类型及程度分类为Ⅰ类设备B型应用部分，运行模式为连续运行，IPXO，非AP型或APG型普通设备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二、技术指标：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1、电源：AC220V±22V. 50Hz±1Hz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2、输入功率：≤140VA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3、工作噪音：≤65dB（A）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4、自控冲液量：≤350ml/次，自控洗液量：≤450ml/次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5、自控洗液量大于自控冲液量为50~150ml/次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6、流量：≥2L/min</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7、自控进出胃时间：≤30s/次</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2BC24BE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192611B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574" w:type="pct"/>
            <w:vMerge w:val="continue"/>
            <w:tcBorders>
              <w:left w:val="single" w:color="000000" w:sz="4" w:space="0"/>
              <w:right w:val="single" w:color="000000" w:sz="4" w:space="0"/>
            </w:tcBorders>
            <w:noWrap w:val="0"/>
            <w:vAlign w:val="center"/>
          </w:tcPr>
          <w:p w14:paraId="7D60091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5CD30FA9">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142EF9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000000" w:sz="4" w:space="0"/>
              <w:left w:val="single" w:color="000000" w:sz="4" w:space="0"/>
              <w:bottom w:val="single" w:color="000000" w:sz="4" w:space="0"/>
              <w:right w:val="single" w:color="000000" w:sz="4" w:space="0"/>
            </w:tcBorders>
            <w:noWrap w:val="0"/>
            <w:vAlign w:val="center"/>
          </w:tcPr>
          <w:p w14:paraId="161FA8A4">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020B044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医用冲洗车</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4F1B17B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产品规格：</w:t>
            </w:r>
            <w:r>
              <w:rPr>
                <w:rFonts w:hint="eastAsia"/>
                <w:lang w:eastAsia="zh-CN"/>
              </w:rPr>
              <w:t>≥</w:t>
            </w:r>
            <w:r>
              <w:rPr>
                <w:rFonts w:hint="eastAsia" w:ascii="宋体" w:hAnsi="宋体" w:eastAsia="宋体" w:cs="宋体"/>
                <w:i w:val="0"/>
                <w:iCs w:val="0"/>
                <w:color w:val="000000"/>
                <w:kern w:val="0"/>
                <w:sz w:val="18"/>
                <w:szCs w:val="18"/>
                <w:u w:val="none"/>
                <w:lang w:val="en-US" w:eastAsia="zh-CN" w:bidi="ar"/>
              </w:rPr>
              <w:t xml:space="preserve">600×600×890mm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1、冲洗车为双层结构，上层台面为漏斗式设计并配置有盖板一块，底层台面下配污物桶1只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2、冲洗车框架采用</w:t>
            </w:r>
            <w:r>
              <w:rPr>
                <w:rFonts w:hint="eastAsia"/>
                <w:lang w:eastAsia="zh-CN"/>
              </w:rPr>
              <w:t>≥</w:t>
            </w:r>
            <w:r>
              <w:rPr>
                <w:rFonts w:hint="eastAsia" w:ascii="宋体" w:hAnsi="宋体" w:eastAsia="宋体" w:cs="宋体"/>
                <w:i w:val="0"/>
                <w:iCs w:val="0"/>
                <w:color w:val="000000"/>
                <w:kern w:val="0"/>
                <w:sz w:val="18"/>
                <w:szCs w:val="18"/>
                <w:u w:val="none"/>
                <w:lang w:val="en-US" w:eastAsia="zh-CN" w:bidi="ar"/>
              </w:rPr>
              <w:t>25×25×1.2mm的不锈钢圆管弯曲制成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3、冲洗车台面采用δ1.0mm的不锈钢拉丝板制成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4、四只脚轮均采用天然聚安脂制成,轻便、灵活、无噪音,其中两只脚轮为刹车轮,起固定作用</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4C0ADB9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4D6B979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574" w:type="pct"/>
            <w:vMerge w:val="continue"/>
            <w:tcBorders>
              <w:left w:val="single" w:color="000000" w:sz="4" w:space="0"/>
              <w:right w:val="single" w:color="000000" w:sz="4" w:space="0"/>
            </w:tcBorders>
            <w:noWrap w:val="0"/>
            <w:vAlign w:val="center"/>
          </w:tcPr>
          <w:p w14:paraId="1B08A64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304B0858">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63F28D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tcBorders>
              <w:top w:val="single" w:color="000000" w:sz="4" w:space="0"/>
              <w:left w:val="single" w:color="000000" w:sz="4" w:space="0"/>
              <w:bottom w:val="single" w:color="000000" w:sz="4" w:space="0"/>
              <w:right w:val="single" w:color="000000" w:sz="4" w:space="0"/>
            </w:tcBorders>
            <w:noWrap w:val="0"/>
            <w:vAlign w:val="center"/>
          </w:tcPr>
          <w:p w14:paraId="73AC049C">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tcBorders>
              <w:top w:val="single" w:color="000000" w:sz="4" w:space="0"/>
              <w:left w:val="single" w:color="000000" w:sz="4" w:space="0"/>
              <w:bottom w:val="single" w:color="000000" w:sz="4" w:space="0"/>
              <w:right w:val="single" w:color="000000" w:sz="4" w:space="0"/>
            </w:tcBorders>
            <w:noWrap w:val="0"/>
            <w:vAlign w:val="center"/>
          </w:tcPr>
          <w:p w14:paraId="1311A09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制氧机</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4219714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1、功率：500VA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2、氧气流量：0.5~5L/min</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3、售后：整机保修1年,压缩机3年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4、主要原料：UOP分子筛</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5、噪音：≤60dB (A)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6、氧气浓度：0.5~5L/min时,93%士3%</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69019C3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06E6C54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574" w:type="pct"/>
            <w:vMerge w:val="continue"/>
            <w:tcBorders>
              <w:left w:val="single" w:color="000000" w:sz="4" w:space="0"/>
              <w:right w:val="single" w:color="000000" w:sz="4" w:space="0"/>
            </w:tcBorders>
            <w:noWrap w:val="0"/>
            <w:vAlign w:val="center"/>
          </w:tcPr>
          <w:p w14:paraId="73FFE1F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tcBorders>
              <w:top w:val="single" w:color="000000" w:sz="4" w:space="0"/>
              <w:left w:val="single" w:color="000000" w:sz="4" w:space="0"/>
              <w:bottom w:val="single" w:color="000000" w:sz="4" w:space="0"/>
              <w:right w:val="single" w:color="000000" w:sz="4" w:space="0"/>
            </w:tcBorders>
            <w:noWrap w:val="0"/>
            <w:vAlign w:val="center"/>
          </w:tcPr>
          <w:p w14:paraId="41717055">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031841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vMerge w:val="restart"/>
            <w:tcBorders>
              <w:top w:val="single" w:color="000000" w:sz="4" w:space="0"/>
              <w:left w:val="single" w:color="000000" w:sz="4" w:space="0"/>
              <w:bottom w:val="nil"/>
              <w:right w:val="single" w:color="000000" w:sz="4" w:space="0"/>
            </w:tcBorders>
            <w:noWrap w:val="0"/>
            <w:vAlign w:val="center"/>
          </w:tcPr>
          <w:p w14:paraId="3F9B01B8">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vMerge w:val="restart"/>
            <w:tcBorders>
              <w:top w:val="single" w:color="000000" w:sz="4" w:space="0"/>
              <w:left w:val="single" w:color="000000" w:sz="4" w:space="0"/>
              <w:bottom w:val="single" w:color="000000" w:sz="4" w:space="0"/>
              <w:right w:val="single" w:color="000000" w:sz="4" w:space="0"/>
            </w:tcBorders>
            <w:noWrap w:val="0"/>
            <w:vAlign w:val="center"/>
          </w:tcPr>
          <w:p w14:paraId="6A3C960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szCs w:val="21"/>
              </w:rPr>
              <w:t>▲</w:t>
            </w:r>
            <w:r>
              <w:rPr>
                <w:rFonts w:hint="eastAsia" w:ascii="宋体" w:hAnsi="宋体" w:eastAsia="宋体" w:cs="宋体"/>
                <w:i w:val="0"/>
                <w:iCs w:val="0"/>
                <w:color w:val="000000"/>
                <w:kern w:val="0"/>
                <w:sz w:val="18"/>
                <w:szCs w:val="18"/>
                <w:u w:val="none"/>
                <w:lang w:val="en-US" w:eastAsia="zh-CN" w:bidi="ar"/>
              </w:rPr>
              <w:t>自动体外除颤仪</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38BE991C">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1、物理规格/性能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1.1整机重量（含电池）重量≤2.6kg，且设备主机具有把手，具有较高便携性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1.2具备优异的抗冲击/跌落性能：机器六面均可承受≥1.5 m跌落冲击，并能正常工作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1.3设备支持清洁和消毒，防止交叉感染支持的清洁消毒剂需包含以下常见类型：次氯酸钠（10%洗涤用漂白粉）、双氧水（3%）、乙醇（75%）、异丙醇（70%）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1.4最高运行环境温度不低于50℃，最低运行环境温度不高于-5℃，且从室温环境下进入-20℃环境后，至少能工作60分钟；最高工作湿度不低于95%（非冷凝），最低工作湿度不高于5%（非冷凝）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1.5主机设备使用寿命：≥8年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1.6设备具有良好的防尘防水设计，防尘防水级别IP55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★1.8支持开盖开机，主机操作面板上的操作按键数量:1-3个（包括软按键和非实体按键），易操作（提供说明书或者实物图证明）</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1.9具有中英文双语语音播报，一键快速切换中英文。（提供使用说明书或实物图证明材料）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2、除颤性能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2.1采用双相波技术，双相指数截断（BTE）波形，波形参数可根据病人阻抗进行自动补偿；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2.2成人最大除颤能量可支持360J，能量精度：≤±10%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2.3设备从开始AED分析到200J放电准备就绪时间＜5s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2.4设备从开机到200J放电准备就绪用时＜7s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2.5电极片可与同品牌手动除颤器通用；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2.6可除颤节律分析算法性能应满足GB9706.8-2009要求，为保证评测结果客观，设备主机配置的心率分析算法性能测评数据库数量≥6个。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3、除颤电极片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★3.1单幅电极片有效期≥48 个月（非叠加，电极片和主机注册证保持一致）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3.2提供与机器配套的电极片，要有明显的指示粘贴部位标记，防止粘贴错误，粘贴无效时有语音提示。备用状态时电极片不可裸露，取用AED过程中不得散落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3.3在待机状态，电极片与主机预先连接，节省了开机后插入电极片步骤，提高抢救效率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3.4电极片上具有电极片粘贴方式示意图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3.5主机上有电极片粘贴位置动画提示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3.6具有电极片有效期自检功能和电极片过期语音提示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3.7设备配套电极片可监测按压频率，并在屏幕上显示实时按压频率，当按压频率不规范时，可提供反馈。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4、电池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4.1标配单块电池电量在适合条件下，至少可支持350次200J除颤治疗或200次360J除颤治疗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4.2标配单块电池待机时间可以达到5年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4.3可检测电池低电量并给出报警提示，低电量报警后至少还可持续30分钟工作时间和至少10次200J除颤充放电（适合条件下）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5、屏幕/操作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5.1设备主机具有屏幕显示功能：≥7英寸，支持动画或简明画面指导用户执行急救操作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5.2彩色显示屏，分辨率不小于800×480 像素，支持显示ECG波形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5.3设备能够根据环境光强度自动调节屏幕显示亮度，适应野外强光环境下使用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5.5设备能够根据环境噪音强度自动调节语音播放音量，适应急救现场嘈杂环境下使用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5.6提供中英文双语支持，包括界面显示和语音提示，可一键快速切换中英文，符合公共领域使用要求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5.7支持成人/小儿患者类型快速一键切换，可根据病人类型自动切换提示信息、除颤能量和CPR按压模式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5.8在CPR仅按压过程中持续提供操作指导和剩余按压次数提示</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150496E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2039E94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574" w:type="pct"/>
            <w:vMerge w:val="continue"/>
            <w:tcBorders>
              <w:left w:val="single" w:color="000000" w:sz="4" w:space="0"/>
              <w:right w:val="single" w:color="000000" w:sz="4" w:space="0"/>
            </w:tcBorders>
            <w:noWrap w:val="0"/>
            <w:vAlign w:val="center"/>
          </w:tcPr>
          <w:p w14:paraId="28C014C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vMerge w:val="restart"/>
            <w:tcBorders>
              <w:top w:val="single" w:color="000000" w:sz="4" w:space="0"/>
              <w:left w:val="single" w:color="000000" w:sz="4" w:space="0"/>
              <w:bottom w:val="single" w:color="000000" w:sz="4" w:space="0"/>
              <w:right w:val="single" w:color="000000" w:sz="4" w:space="0"/>
            </w:tcBorders>
            <w:noWrap w:val="0"/>
            <w:vAlign w:val="center"/>
          </w:tcPr>
          <w:p w14:paraId="2536233A">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000000"/>
                <w:sz w:val="18"/>
                <w:szCs w:val="18"/>
                <w:u w:val="none"/>
              </w:rPr>
            </w:pPr>
          </w:p>
        </w:tc>
      </w:tr>
      <w:tr w14:paraId="34BA75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vMerge w:val="restart"/>
            <w:tcBorders>
              <w:top w:val="single" w:color="000000" w:sz="4" w:space="0"/>
              <w:left w:val="single" w:color="000000" w:sz="4" w:space="0"/>
              <w:bottom w:val="single" w:color="000000" w:sz="4" w:space="0"/>
              <w:right w:val="single" w:color="000000" w:sz="4" w:space="0"/>
            </w:tcBorders>
            <w:noWrap w:val="0"/>
            <w:vAlign w:val="center"/>
          </w:tcPr>
          <w:p w14:paraId="4DAEE092">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000000"/>
                <w:sz w:val="18"/>
                <w:szCs w:val="18"/>
                <w:u w:val="none"/>
              </w:rPr>
            </w:pPr>
          </w:p>
        </w:tc>
        <w:tc>
          <w:tcPr>
            <w:tcW w:w="326" w:type="pct"/>
            <w:vMerge w:val="restart"/>
            <w:tcBorders>
              <w:top w:val="single" w:color="000000" w:sz="4" w:space="0"/>
              <w:left w:val="single" w:color="000000" w:sz="4" w:space="0"/>
              <w:bottom w:val="single" w:color="000000" w:sz="4" w:space="0"/>
              <w:right w:val="single" w:color="000000" w:sz="4" w:space="0"/>
            </w:tcBorders>
            <w:noWrap w:val="0"/>
            <w:vAlign w:val="center"/>
          </w:tcPr>
          <w:p w14:paraId="40144D8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对应投标的生化仪试剂</w:t>
            </w: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2D1BCCA3">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肝功类试剂:1、丙氨酸氨基转移酶（≥170ml/盒）；2、天门冬氨酸氨基转移酶（≥170ml/盒）；3、总胆红素（≥170ml/盒）；4、直接胆红素（≥170ml/盒）；5、白蛋白（≥160ml/盒）；总蛋白Ⅱ（≥190ml/盒）。</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7DC849A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盒</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0C17957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74" w:type="pct"/>
            <w:vMerge w:val="continue"/>
            <w:tcBorders>
              <w:left w:val="single" w:color="000000" w:sz="4" w:space="0"/>
              <w:right w:val="single" w:color="000000" w:sz="4" w:space="0"/>
            </w:tcBorders>
            <w:noWrap w:val="0"/>
            <w:vAlign w:val="center"/>
          </w:tcPr>
          <w:p w14:paraId="3FB7450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vMerge w:val="restart"/>
            <w:tcBorders>
              <w:top w:val="single" w:color="000000" w:sz="4" w:space="0"/>
              <w:left w:val="single" w:color="000000" w:sz="4" w:space="0"/>
              <w:bottom w:val="single" w:color="000000" w:sz="4" w:space="0"/>
              <w:right w:val="single" w:color="000000" w:sz="4" w:space="0"/>
            </w:tcBorders>
            <w:noWrap w:val="0"/>
            <w:vAlign w:val="center"/>
          </w:tcPr>
          <w:p w14:paraId="4336662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本栏试剂需对应本次投标的生化仪使用，需对每个种类中的每一小项试剂进行分项报价，每一个小项各需5盒或支、瓶。规格为“ml”</w:t>
            </w:r>
          </w:p>
        </w:tc>
      </w:tr>
      <w:tr w14:paraId="13D9B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vMerge w:val="continue"/>
            <w:tcBorders>
              <w:top w:val="single" w:color="000000" w:sz="4" w:space="0"/>
              <w:left w:val="single" w:color="000000" w:sz="4" w:space="0"/>
              <w:bottom w:val="single" w:color="000000" w:sz="4" w:space="0"/>
              <w:right w:val="single" w:color="000000" w:sz="4" w:space="0"/>
            </w:tcBorders>
            <w:noWrap w:val="0"/>
            <w:vAlign w:val="center"/>
          </w:tcPr>
          <w:p w14:paraId="0B1BEE35">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326" w:type="pct"/>
            <w:vMerge w:val="continue"/>
            <w:tcBorders>
              <w:top w:val="single" w:color="000000" w:sz="4" w:space="0"/>
              <w:left w:val="single" w:color="000000" w:sz="4" w:space="0"/>
              <w:bottom w:val="single" w:color="000000" w:sz="4" w:space="0"/>
              <w:right w:val="single" w:color="000000" w:sz="4" w:space="0"/>
            </w:tcBorders>
            <w:noWrap w:val="0"/>
            <w:vAlign w:val="center"/>
          </w:tcPr>
          <w:p w14:paraId="3B697199">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6071EEDA">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肾功类试剂；1、肌酐（≥72ml/盒）；2、尿酸（≥170ml/盒）；3、尿素（≥170ml/盒）。</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2DCF00E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盒</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4C94081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74" w:type="pct"/>
            <w:vMerge w:val="continue"/>
            <w:tcBorders>
              <w:left w:val="single" w:color="000000" w:sz="4" w:space="0"/>
              <w:right w:val="single" w:color="000000" w:sz="4" w:space="0"/>
            </w:tcBorders>
            <w:noWrap w:val="0"/>
            <w:vAlign w:val="center"/>
          </w:tcPr>
          <w:p w14:paraId="0489A28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vMerge w:val="continue"/>
            <w:tcBorders>
              <w:top w:val="single" w:color="000000" w:sz="4" w:space="0"/>
              <w:left w:val="single" w:color="000000" w:sz="4" w:space="0"/>
              <w:bottom w:val="single" w:color="000000" w:sz="4" w:space="0"/>
              <w:right w:val="single" w:color="000000" w:sz="4" w:space="0"/>
            </w:tcBorders>
            <w:noWrap w:val="0"/>
            <w:vAlign w:val="center"/>
          </w:tcPr>
          <w:p w14:paraId="0306575C">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r>
      <w:tr w14:paraId="4C7C5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vMerge w:val="continue"/>
            <w:tcBorders>
              <w:top w:val="single" w:color="000000" w:sz="4" w:space="0"/>
              <w:left w:val="single" w:color="000000" w:sz="4" w:space="0"/>
              <w:bottom w:val="single" w:color="000000" w:sz="4" w:space="0"/>
              <w:right w:val="single" w:color="000000" w:sz="4" w:space="0"/>
            </w:tcBorders>
            <w:noWrap w:val="0"/>
            <w:vAlign w:val="center"/>
          </w:tcPr>
          <w:p w14:paraId="2100A844">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326" w:type="pct"/>
            <w:vMerge w:val="continue"/>
            <w:tcBorders>
              <w:top w:val="single" w:color="000000" w:sz="4" w:space="0"/>
              <w:left w:val="single" w:color="000000" w:sz="4" w:space="0"/>
              <w:bottom w:val="single" w:color="000000" w:sz="4" w:space="0"/>
              <w:right w:val="single" w:color="000000" w:sz="4" w:space="0"/>
            </w:tcBorders>
            <w:noWrap w:val="0"/>
            <w:vAlign w:val="center"/>
          </w:tcPr>
          <w:p w14:paraId="612EF23B">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2562" w:type="pct"/>
            <w:tcBorders>
              <w:top w:val="single" w:color="000000" w:sz="4" w:space="0"/>
              <w:left w:val="single" w:color="000000" w:sz="4" w:space="0"/>
              <w:bottom w:val="single" w:color="000000" w:sz="4" w:space="0"/>
              <w:right w:val="single" w:color="000000" w:sz="4" w:space="0"/>
            </w:tcBorders>
            <w:noWrap/>
            <w:vAlign w:val="center"/>
          </w:tcPr>
          <w:p w14:paraId="350047EE">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糖代谢类</w:t>
            </w:r>
            <w:r>
              <w:rPr>
                <w:rStyle w:val="13"/>
                <w:sz w:val="18"/>
                <w:szCs w:val="18"/>
                <w:lang w:val="en-US" w:eastAsia="zh-CN" w:bidi="ar"/>
              </w:rPr>
              <w:t>：葡萄糖</w:t>
            </w:r>
            <w:r>
              <w:rPr>
                <w:rFonts w:hint="eastAsia" w:ascii="宋体" w:hAnsi="宋体" w:eastAsia="宋体" w:cs="宋体"/>
                <w:i w:val="0"/>
                <w:iCs w:val="0"/>
                <w:color w:val="000000"/>
                <w:kern w:val="0"/>
                <w:sz w:val="18"/>
                <w:szCs w:val="18"/>
                <w:u w:val="none"/>
                <w:lang w:val="en-US" w:eastAsia="zh-CN" w:bidi="ar"/>
              </w:rPr>
              <w:t>（≥170ml/盒）</w:t>
            </w:r>
            <w:r>
              <w:rPr>
                <w:rStyle w:val="13"/>
                <w:sz w:val="18"/>
                <w:szCs w:val="18"/>
                <w:lang w:val="en-US" w:eastAsia="zh-CN" w:bidi="ar"/>
              </w:rPr>
              <w:t>。</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40A9A99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盒</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50838F1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74" w:type="pct"/>
            <w:vMerge w:val="continue"/>
            <w:tcBorders>
              <w:left w:val="single" w:color="000000" w:sz="4" w:space="0"/>
              <w:right w:val="single" w:color="000000" w:sz="4" w:space="0"/>
            </w:tcBorders>
            <w:noWrap w:val="0"/>
            <w:vAlign w:val="center"/>
          </w:tcPr>
          <w:p w14:paraId="4DCB8AF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vMerge w:val="continue"/>
            <w:tcBorders>
              <w:top w:val="single" w:color="000000" w:sz="4" w:space="0"/>
              <w:left w:val="single" w:color="000000" w:sz="4" w:space="0"/>
              <w:bottom w:val="single" w:color="000000" w:sz="4" w:space="0"/>
              <w:right w:val="single" w:color="000000" w:sz="4" w:space="0"/>
            </w:tcBorders>
            <w:noWrap w:val="0"/>
            <w:vAlign w:val="center"/>
          </w:tcPr>
          <w:p w14:paraId="1BEE50B7">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r>
      <w:tr w14:paraId="41E42E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vMerge w:val="continue"/>
            <w:tcBorders>
              <w:top w:val="single" w:color="000000" w:sz="4" w:space="0"/>
              <w:left w:val="single" w:color="000000" w:sz="4" w:space="0"/>
              <w:bottom w:val="single" w:color="000000" w:sz="4" w:space="0"/>
              <w:right w:val="single" w:color="000000" w:sz="4" w:space="0"/>
            </w:tcBorders>
            <w:noWrap w:val="0"/>
            <w:vAlign w:val="center"/>
          </w:tcPr>
          <w:p w14:paraId="46988A78">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326" w:type="pct"/>
            <w:vMerge w:val="continue"/>
            <w:tcBorders>
              <w:top w:val="single" w:color="000000" w:sz="4" w:space="0"/>
              <w:left w:val="single" w:color="000000" w:sz="4" w:space="0"/>
              <w:bottom w:val="single" w:color="000000" w:sz="4" w:space="0"/>
              <w:right w:val="single" w:color="000000" w:sz="4" w:space="0"/>
            </w:tcBorders>
            <w:noWrap w:val="0"/>
            <w:vAlign w:val="center"/>
          </w:tcPr>
          <w:p w14:paraId="3609D46E">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2562" w:type="pct"/>
            <w:tcBorders>
              <w:top w:val="single" w:color="000000" w:sz="4" w:space="0"/>
              <w:left w:val="single" w:color="000000" w:sz="4" w:space="0"/>
              <w:bottom w:val="single" w:color="000000" w:sz="4" w:space="0"/>
              <w:right w:val="single" w:color="000000" w:sz="4" w:space="0"/>
            </w:tcBorders>
            <w:noWrap/>
            <w:vAlign w:val="center"/>
          </w:tcPr>
          <w:p w14:paraId="0D897F93">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血脂类</w:t>
            </w:r>
            <w:r>
              <w:rPr>
                <w:rStyle w:val="14"/>
                <w:rFonts w:eastAsia="宋体"/>
                <w:sz w:val="18"/>
                <w:szCs w:val="18"/>
                <w:lang w:val="en-US" w:eastAsia="zh-CN" w:bidi="ar"/>
              </w:rPr>
              <w:t>:1</w:t>
            </w:r>
            <w:r>
              <w:rPr>
                <w:rStyle w:val="13"/>
                <w:sz w:val="18"/>
                <w:szCs w:val="18"/>
                <w:lang w:val="en-US" w:eastAsia="zh-CN" w:bidi="ar"/>
              </w:rPr>
              <w:t>、总胆固醇</w:t>
            </w:r>
            <w:r>
              <w:rPr>
                <w:rFonts w:hint="eastAsia" w:ascii="宋体" w:hAnsi="宋体" w:eastAsia="宋体" w:cs="宋体"/>
                <w:i w:val="0"/>
                <w:iCs w:val="0"/>
                <w:color w:val="000000"/>
                <w:kern w:val="0"/>
                <w:sz w:val="18"/>
                <w:szCs w:val="18"/>
                <w:u w:val="none"/>
                <w:lang w:val="en-US" w:eastAsia="zh-CN" w:bidi="ar"/>
              </w:rPr>
              <w:t>（≥160ml/盒）</w:t>
            </w:r>
            <w:r>
              <w:rPr>
                <w:rStyle w:val="13"/>
                <w:sz w:val="18"/>
                <w:szCs w:val="18"/>
                <w:lang w:val="en-US" w:eastAsia="zh-CN" w:bidi="ar"/>
              </w:rPr>
              <w:t>；</w:t>
            </w:r>
            <w:r>
              <w:rPr>
                <w:rStyle w:val="14"/>
                <w:rFonts w:eastAsia="宋体"/>
                <w:sz w:val="18"/>
                <w:szCs w:val="18"/>
                <w:lang w:val="en-US" w:eastAsia="zh-CN" w:bidi="ar"/>
              </w:rPr>
              <w:t>2</w:t>
            </w:r>
            <w:r>
              <w:rPr>
                <w:rStyle w:val="13"/>
                <w:sz w:val="18"/>
                <w:szCs w:val="18"/>
                <w:lang w:val="en-US" w:eastAsia="zh-CN" w:bidi="ar"/>
              </w:rPr>
              <w:t>、甘油三酯</w:t>
            </w:r>
            <w:r>
              <w:rPr>
                <w:rFonts w:hint="eastAsia" w:ascii="宋体" w:hAnsi="宋体" w:eastAsia="宋体" w:cs="宋体"/>
                <w:i w:val="0"/>
                <w:iCs w:val="0"/>
                <w:color w:val="000000"/>
                <w:kern w:val="0"/>
                <w:sz w:val="18"/>
                <w:szCs w:val="18"/>
                <w:u w:val="none"/>
                <w:lang w:val="en-US" w:eastAsia="zh-CN" w:bidi="ar"/>
              </w:rPr>
              <w:t>（≥160ml/盒）</w:t>
            </w:r>
            <w:r>
              <w:rPr>
                <w:rStyle w:val="13"/>
                <w:sz w:val="18"/>
                <w:szCs w:val="18"/>
                <w:lang w:val="en-US" w:eastAsia="zh-CN" w:bidi="ar"/>
              </w:rPr>
              <w:t>。</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5708E19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盒</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5EE21B8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74" w:type="pct"/>
            <w:vMerge w:val="continue"/>
            <w:tcBorders>
              <w:left w:val="single" w:color="000000" w:sz="4" w:space="0"/>
              <w:right w:val="single" w:color="000000" w:sz="4" w:space="0"/>
            </w:tcBorders>
            <w:noWrap w:val="0"/>
            <w:vAlign w:val="center"/>
          </w:tcPr>
          <w:p w14:paraId="59589DE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vMerge w:val="continue"/>
            <w:tcBorders>
              <w:top w:val="single" w:color="000000" w:sz="4" w:space="0"/>
              <w:left w:val="single" w:color="000000" w:sz="4" w:space="0"/>
              <w:bottom w:val="single" w:color="000000" w:sz="4" w:space="0"/>
              <w:right w:val="single" w:color="000000" w:sz="4" w:space="0"/>
            </w:tcBorders>
            <w:noWrap w:val="0"/>
            <w:vAlign w:val="center"/>
          </w:tcPr>
          <w:p w14:paraId="1848DC21">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r>
      <w:tr w14:paraId="65ECFD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vMerge w:val="continue"/>
            <w:tcBorders>
              <w:top w:val="single" w:color="000000" w:sz="4" w:space="0"/>
              <w:left w:val="single" w:color="000000" w:sz="4" w:space="0"/>
              <w:bottom w:val="single" w:color="000000" w:sz="4" w:space="0"/>
              <w:right w:val="single" w:color="000000" w:sz="4" w:space="0"/>
            </w:tcBorders>
            <w:noWrap w:val="0"/>
            <w:vAlign w:val="center"/>
          </w:tcPr>
          <w:p w14:paraId="44B65920">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326" w:type="pct"/>
            <w:vMerge w:val="continue"/>
            <w:tcBorders>
              <w:top w:val="single" w:color="000000" w:sz="4" w:space="0"/>
              <w:left w:val="single" w:color="000000" w:sz="4" w:space="0"/>
              <w:bottom w:val="single" w:color="000000" w:sz="4" w:space="0"/>
              <w:right w:val="single" w:color="000000" w:sz="4" w:space="0"/>
            </w:tcBorders>
            <w:noWrap w:val="0"/>
            <w:vAlign w:val="center"/>
          </w:tcPr>
          <w:p w14:paraId="7E9C6335">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4334A6DC">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特种蛋白类：1、免疫球蛋白A（≥50ml/盒）；2、免疫球蛋白G（≥50ml/盒）。</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443696F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盒</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5E18C31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74" w:type="pct"/>
            <w:vMerge w:val="continue"/>
            <w:tcBorders>
              <w:left w:val="single" w:color="000000" w:sz="4" w:space="0"/>
              <w:right w:val="single" w:color="000000" w:sz="4" w:space="0"/>
            </w:tcBorders>
            <w:noWrap w:val="0"/>
            <w:vAlign w:val="center"/>
          </w:tcPr>
          <w:p w14:paraId="3D1A346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vMerge w:val="continue"/>
            <w:tcBorders>
              <w:top w:val="single" w:color="000000" w:sz="4" w:space="0"/>
              <w:left w:val="single" w:color="000000" w:sz="4" w:space="0"/>
              <w:bottom w:val="single" w:color="000000" w:sz="4" w:space="0"/>
              <w:right w:val="single" w:color="000000" w:sz="4" w:space="0"/>
            </w:tcBorders>
            <w:noWrap w:val="0"/>
            <w:vAlign w:val="center"/>
          </w:tcPr>
          <w:p w14:paraId="55EADABD">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r>
      <w:tr w14:paraId="6A62D2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vMerge w:val="continue"/>
            <w:tcBorders>
              <w:top w:val="single" w:color="000000" w:sz="4" w:space="0"/>
              <w:left w:val="single" w:color="000000" w:sz="4" w:space="0"/>
              <w:bottom w:val="single" w:color="000000" w:sz="4" w:space="0"/>
              <w:right w:val="single" w:color="000000" w:sz="4" w:space="0"/>
            </w:tcBorders>
            <w:noWrap w:val="0"/>
            <w:vAlign w:val="center"/>
          </w:tcPr>
          <w:p w14:paraId="0B84E437">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326" w:type="pct"/>
            <w:vMerge w:val="continue"/>
            <w:tcBorders>
              <w:top w:val="single" w:color="000000" w:sz="4" w:space="0"/>
              <w:left w:val="single" w:color="000000" w:sz="4" w:space="0"/>
              <w:bottom w:val="single" w:color="000000" w:sz="4" w:space="0"/>
              <w:right w:val="single" w:color="000000" w:sz="4" w:space="0"/>
            </w:tcBorders>
            <w:noWrap w:val="0"/>
            <w:vAlign w:val="center"/>
          </w:tcPr>
          <w:p w14:paraId="7289853B">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5B31CF96">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生化校准品(1×3 mL/支);脂类校准品(1×1 mL/支)</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3704B6B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39F4997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74" w:type="pct"/>
            <w:vMerge w:val="continue"/>
            <w:tcBorders>
              <w:left w:val="single" w:color="000000" w:sz="4" w:space="0"/>
              <w:right w:val="single" w:color="000000" w:sz="4" w:space="0"/>
            </w:tcBorders>
            <w:noWrap w:val="0"/>
            <w:vAlign w:val="center"/>
          </w:tcPr>
          <w:p w14:paraId="110F115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vMerge w:val="continue"/>
            <w:tcBorders>
              <w:top w:val="single" w:color="000000" w:sz="4" w:space="0"/>
              <w:left w:val="single" w:color="000000" w:sz="4" w:space="0"/>
              <w:bottom w:val="single" w:color="000000" w:sz="4" w:space="0"/>
              <w:right w:val="single" w:color="000000" w:sz="4" w:space="0"/>
            </w:tcBorders>
            <w:noWrap w:val="0"/>
            <w:vAlign w:val="center"/>
          </w:tcPr>
          <w:p w14:paraId="0BEC72C1">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r>
      <w:tr w14:paraId="44B4C4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19" w:type="pct"/>
            <w:vMerge w:val="continue"/>
            <w:tcBorders>
              <w:top w:val="single" w:color="000000" w:sz="4" w:space="0"/>
              <w:left w:val="single" w:color="000000" w:sz="4" w:space="0"/>
              <w:bottom w:val="single" w:color="000000" w:sz="4" w:space="0"/>
              <w:right w:val="single" w:color="000000" w:sz="4" w:space="0"/>
            </w:tcBorders>
            <w:noWrap w:val="0"/>
            <w:vAlign w:val="center"/>
          </w:tcPr>
          <w:p w14:paraId="54994963">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326" w:type="pct"/>
            <w:vMerge w:val="continue"/>
            <w:tcBorders>
              <w:top w:val="single" w:color="000000" w:sz="4" w:space="0"/>
              <w:left w:val="single" w:color="000000" w:sz="4" w:space="0"/>
              <w:bottom w:val="single" w:color="000000" w:sz="4" w:space="0"/>
              <w:right w:val="single" w:color="000000" w:sz="4" w:space="0"/>
            </w:tcBorders>
            <w:noWrap w:val="0"/>
            <w:vAlign w:val="center"/>
          </w:tcPr>
          <w:p w14:paraId="1F8B3307">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c>
          <w:tcPr>
            <w:tcW w:w="2562" w:type="pct"/>
            <w:tcBorders>
              <w:top w:val="single" w:color="000000" w:sz="4" w:space="0"/>
              <w:left w:val="single" w:color="000000" w:sz="4" w:space="0"/>
              <w:bottom w:val="single" w:color="000000" w:sz="4" w:space="0"/>
              <w:right w:val="single" w:color="000000" w:sz="4" w:space="0"/>
            </w:tcBorders>
            <w:noWrap w:val="0"/>
            <w:vAlign w:val="center"/>
          </w:tcPr>
          <w:p w14:paraId="1174529C">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生化分析仪用清洗液（≥2L/瓶）；生化免疫分析仪用清洗液（≥300ml/瓶）</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48FA084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瓶</w:t>
            </w:r>
          </w:p>
        </w:tc>
        <w:tc>
          <w:tcPr>
            <w:tcW w:w="321" w:type="pct"/>
            <w:tcBorders>
              <w:top w:val="single" w:color="000000" w:sz="4" w:space="0"/>
              <w:left w:val="single" w:color="000000" w:sz="4" w:space="0"/>
              <w:bottom w:val="single" w:color="000000" w:sz="4" w:space="0"/>
              <w:right w:val="single" w:color="000000" w:sz="4" w:space="0"/>
            </w:tcBorders>
            <w:noWrap w:val="0"/>
            <w:vAlign w:val="center"/>
          </w:tcPr>
          <w:p w14:paraId="2938582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574" w:type="pct"/>
            <w:vMerge w:val="continue"/>
            <w:tcBorders>
              <w:left w:val="single" w:color="000000" w:sz="4" w:space="0"/>
              <w:bottom w:val="single" w:color="000000" w:sz="4" w:space="0"/>
              <w:right w:val="single" w:color="000000" w:sz="4" w:space="0"/>
            </w:tcBorders>
            <w:noWrap w:val="0"/>
            <w:vAlign w:val="center"/>
          </w:tcPr>
          <w:p w14:paraId="0683C70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18"/>
                <w:szCs w:val="18"/>
                <w:u w:val="none"/>
                <w:lang w:val="en-US" w:eastAsia="zh-CN" w:bidi="ar"/>
              </w:rPr>
            </w:pPr>
          </w:p>
        </w:tc>
        <w:tc>
          <w:tcPr>
            <w:tcW w:w="574" w:type="pct"/>
            <w:vMerge w:val="continue"/>
            <w:tcBorders>
              <w:top w:val="single" w:color="000000" w:sz="4" w:space="0"/>
              <w:left w:val="single" w:color="000000" w:sz="4" w:space="0"/>
              <w:bottom w:val="single" w:color="000000" w:sz="4" w:space="0"/>
              <w:right w:val="single" w:color="000000" w:sz="4" w:space="0"/>
            </w:tcBorders>
            <w:noWrap w:val="0"/>
            <w:vAlign w:val="center"/>
          </w:tcPr>
          <w:p w14:paraId="5CAFAC34">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sz w:val="18"/>
                <w:szCs w:val="18"/>
                <w:u w:val="none"/>
              </w:rPr>
            </w:pPr>
          </w:p>
        </w:tc>
      </w:tr>
    </w:tbl>
    <w:p w14:paraId="500B8D69">
      <w:pPr>
        <w:pStyle w:val="7"/>
        <w:rPr>
          <w:rFonts w:hint="eastAsia" w:hAnsi="宋体" w:cs="宋体"/>
          <w:b/>
          <w:bCs/>
          <w:szCs w:val="21"/>
          <w:lang w:val="en-US" w:eastAsia="zh-CN"/>
        </w:rPr>
      </w:pPr>
      <w:r>
        <w:rPr>
          <w:rFonts w:hint="eastAsia" w:hAnsi="宋体" w:cs="宋体"/>
          <w:b/>
          <w:bCs/>
          <w:szCs w:val="21"/>
          <w:lang w:val="en-US" w:eastAsia="zh-CN"/>
        </w:rPr>
        <w:t>02包</w:t>
      </w:r>
    </w:p>
    <w:tbl>
      <w:tblPr>
        <w:tblStyle w:val="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397"/>
        <w:gridCol w:w="756"/>
        <w:gridCol w:w="3307"/>
        <w:gridCol w:w="549"/>
        <w:gridCol w:w="600"/>
        <w:gridCol w:w="893"/>
        <w:gridCol w:w="2017"/>
      </w:tblGrid>
      <w:tr w14:paraId="5803A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62AE3AC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shd w:val="clear" w:color="auto" w:fill="auto"/>
              </w:rPr>
            </w:pPr>
            <w:r>
              <w:rPr>
                <w:rFonts w:hint="eastAsia" w:ascii="宋体" w:hAnsi="宋体" w:eastAsia="宋体" w:cs="宋体"/>
                <w:b/>
                <w:bCs/>
                <w:i w:val="0"/>
                <w:iCs w:val="0"/>
                <w:color w:val="auto"/>
                <w:kern w:val="0"/>
                <w:sz w:val="18"/>
                <w:szCs w:val="18"/>
                <w:highlight w:val="none"/>
                <w:u w:val="none"/>
                <w:shd w:val="clear" w:color="auto" w:fill="auto"/>
                <w:lang w:val="en-US" w:eastAsia="zh-CN" w:bidi="ar"/>
              </w:rPr>
              <w:t>序号</w:t>
            </w:r>
          </w:p>
        </w:tc>
        <w:tc>
          <w:tcPr>
            <w:tcW w:w="443" w:type="pct"/>
            <w:shd w:val="clear" w:color="auto" w:fill="auto"/>
            <w:noWrap w:val="0"/>
            <w:vAlign w:val="center"/>
          </w:tcPr>
          <w:p w14:paraId="1EAE719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shd w:val="clear" w:color="auto" w:fill="auto"/>
              </w:rPr>
            </w:pPr>
            <w:r>
              <w:rPr>
                <w:rFonts w:hint="eastAsia" w:ascii="宋体" w:hAnsi="宋体" w:eastAsia="宋体" w:cs="宋体"/>
                <w:b/>
                <w:bCs/>
                <w:i w:val="0"/>
                <w:iCs w:val="0"/>
                <w:color w:val="auto"/>
                <w:kern w:val="0"/>
                <w:sz w:val="18"/>
                <w:szCs w:val="18"/>
                <w:highlight w:val="none"/>
                <w:u w:val="none"/>
                <w:shd w:val="clear" w:color="auto" w:fill="auto"/>
                <w:lang w:val="en-US" w:eastAsia="zh-CN" w:bidi="ar"/>
              </w:rPr>
              <w:t>设备名称</w:t>
            </w:r>
          </w:p>
        </w:tc>
        <w:tc>
          <w:tcPr>
            <w:tcW w:w="1940" w:type="pct"/>
            <w:shd w:val="clear" w:color="auto" w:fill="auto"/>
            <w:noWrap w:val="0"/>
            <w:vAlign w:val="center"/>
          </w:tcPr>
          <w:p w14:paraId="0310427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shd w:val="clear" w:color="auto" w:fill="auto"/>
              </w:rPr>
            </w:pPr>
            <w:r>
              <w:rPr>
                <w:rFonts w:hint="eastAsia" w:ascii="宋体" w:hAnsi="宋体" w:eastAsia="宋体" w:cs="宋体"/>
                <w:b/>
                <w:bCs/>
                <w:i w:val="0"/>
                <w:iCs w:val="0"/>
                <w:color w:val="auto"/>
                <w:kern w:val="0"/>
                <w:sz w:val="18"/>
                <w:szCs w:val="18"/>
                <w:highlight w:val="none"/>
                <w:u w:val="none"/>
                <w:shd w:val="clear" w:color="auto" w:fill="auto"/>
                <w:lang w:val="en-US" w:eastAsia="zh-CN" w:bidi="ar"/>
              </w:rPr>
              <w:t>技术参数</w:t>
            </w:r>
          </w:p>
        </w:tc>
        <w:tc>
          <w:tcPr>
            <w:tcW w:w="322" w:type="pct"/>
            <w:shd w:val="clear" w:color="auto" w:fill="auto"/>
            <w:noWrap w:val="0"/>
            <w:vAlign w:val="center"/>
          </w:tcPr>
          <w:p w14:paraId="3A1E745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shd w:val="clear" w:color="auto" w:fill="auto"/>
              </w:rPr>
            </w:pPr>
            <w:r>
              <w:rPr>
                <w:rFonts w:hint="eastAsia" w:ascii="宋体" w:hAnsi="宋体" w:eastAsia="宋体" w:cs="宋体"/>
                <w:b/>
                <w:bCs/>
                <w:i w:val="0"/>
                <w:iCs w:val="0"/>
                <w:color w:val="auto"/>
                <w:kern w:val="0"/>
                <w:sz w:val="18"/>
                <w:szCs w:val="18"/>
                <w:highlight w:val="none"/>
                <w:u w:val="none"/>
                <w:shd w:val="clear" w:color="auto" w:fill="auto"/>
                <w:lang w:val="en-US" w:eastAsia="zh-CN" w:bidi="ar"/>
              </w:rPr>
              <w:t>单位</w:t>
            </w:r>
          </w:p>
        </w:tc>
        <w:tc>
          <w:tcPr>
            <w:tcW w:w="352" w:type="pct"/>
            <w:shd w:val="clear" w:color="auto" w:fill="auto"/>
            <w:noWrap w:val="0"/>
            <w:vAlign w:val="center"/>
          </w:tcPr>
          <w:p w14:paraId="2D3A4C0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shd w:val="clear" w:color="auto" w:fill="auto"/>
              </w:rPr>
            </w:pPr>
            <w:r>
              <w:rPr>
                <w:rFonts w:hint="eastAsia" w:ascii="宋体" w:hAnsi="宋体" w:eastAsia="宋体" w:cs="宋体"/>
                <w:b/>
                <w:bCs/>
                <w:i w:val="0"/>
                <w:iCs w:val="0"/>
                <w:color w:val="auto"/>
                <w:kern w:val="0"/>
                <w:sz w:val="18"/>
                <w:szCs w:val="18"/>
                <w:highlight w:val="none"/>
                <w:u w:val="none"/>
                <w:shd w:val="clear" w:color="auto" w:fill="auto"/>
                <w:lang w:val="en-US" w:eastAsia="zh-CN" w:bidi="ar"/>
              </w:rPr>
              <w:t>数量</w:t>
            </w:r>
          </w:p>
        </w:tc>
        <w:tc>
          <w:tcPr>
            <w:tcW w:w="524" w:type="pct"/>
            <w:shd w:val="clear" w:color="auto" w:fill="auto"/>
            <w:noWrap w:val="0"/>
            <w:vAlign w:val="center"/>
          </w:tcPr>
          <w:p w14:paraId="4116B5E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宋体" w:hAnsi="宋体" w:eastAsia="宋体" w:cs="宋体"/>
                <w:b/>
                <w:bCs/>
                <w:i w:val="0"/>
                <w:iCs w:val="0"/>
                <w:color w:val="auto"/>
                <w:kern w:val="0"/>
                <w:sz w:val="18"/>
                <w:szCs w:val="18"/>
                <w:highlight w:val="none"/>
                <w:u w:val="none"/>
                <w:shd w:val="clear" w:color="auto" w:fill="auto"/>
                <w:lang w:val="en-US" w:eastAsia="zh-CN" w:bidi="ar"/>
              </w:rPr>
            </w:pPr>
            <w:r>
              <w:rPr>
                <w:rFonts w:hint="eastAsia" w:ascii="宋体" w:hAnsi="宋体" w:eastAsia="宋体" w:cs="宋体"/>
                <w:b/>
                <w:bCs/>
                <w:i w:val="0"/>
                <w:iCs w:val="0"/>
                <w:color w:val="auto"/>
                <w:kern w:val="0"/>
                <w:sz w:val="18"/>
                <w:szCs w:val="18"/>
                <w:highlight w:val="none"/>
                <w:u w:val="none"/>
                <w:shd w:val="clear" w:color="auto" w:fill="auto"/>
                <w:lang w:val="en-US" w:eastAsia="zh-CN" w:bidi="ar"/>
              </w:rPr>
              <w:t>所属行业</w:t>
            </w:r>
          </w:p>
        </w:tc>
        <w:tc>
          <w:tcPr>
            <w:tcW w:w="1183" w:type="pct"/>
            <w:shd w:val="clear" w:color="auto" w:fill="auto"/>
            <w:noWrap w:val="0"/>
            <w:vAlign w:val="center"/>
          </w:tcPr>
          <w:p w14:paraId="4A7A2BE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auto"/>
                <w:sz w:val="18"/>
                <w:szCs w:val="18"/>
                <w:highlight w:val="none"/>
                <w:u w:val="none"/>
                <w:shd w:val="clear" w:color="auto" w:fill="auto"/>
              </w:rPr>
            </w:pPr>
            <w:r>
              <w:rPr>
                <w:rFonts w:hint="eastAsia" w:ascii="宋体" w:hAnsi="宋体" w:eastAsia="宋体" w:cs="宋体"/>
                <w:b/>
                <w:bCs/>
                <w:i w:val="0"/>
                <w:iCs w:val="0"/>
                <w:color w:val="auto"/>
                <w:kern w:val="0"/>
                <w:sz w:val="18"/>
                <w:szCs w:val="18"/>
                <w:highlight w:val="none"/>
                <w:u w:val="none"/>
                <w:shd w:val="clear" w:color="auto" w:fill="auto"/>
                <w:lang w:val="en-US" w:eastAsia="zh-CN" w:bidi="ar"/>
              </w:rPr>
              <w:t>备注</w:t>
            </w:r>
          </w:p>
        </w:tc>
      </w:tr>
      <w:tr w14:paraId="3F3C8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35EFC2E3">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77483B6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color w:val="auto"/>
                <w:szCs w:val="21"/>
                <w:highlight w:val="none"/>
                <w:shd w:val="clear" w:color="auto" w:fill="auto"/>
              </w:rPr>
              <w:t>▲</w:t>
            </w:r>
            <w:r>
              <w:rPr>
                <w:rFonts w:hint="eastAsia" w:ascii="宋体" w:hAnsi="宋体" w:eastAsia="宋体" w:cs="宋体"/>
                <w:i w:val="0"/>
                <w:iCs w:val="0"/>
                <w:color w:val="auto"/>
                <w:kern w:val="0"/>
                <w:sz w:val="18"/>
                <w:szCs w:val="18"/>
                <w:highlight w:val="none"/>
                <w:u w:val="none"/>
                <w:shd w:val="clear" w:color="auto" w:fill="auto"/>
                <w:lang w:val="en-US" w:eastAsia="zh-CN" w:bidi="ar"/>
              </w:rPr>
              <w:t>医用电动妇科检查床</w:t>
            </w:r>
          </w:p>
        </w:tc>
        <w:tc>
          <w:tcPr>
            <w:tcW w:w="1940" w:type="pct"/>
            <w:shd w:val="clear" w:color="auto" w:fill="auto"/>
            <w:noWrap w:val="0"/>
            <w:vAlign w:val="center"/>
          </w:tcPr>
          <w:p w14:paraId="7E8686AA">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1、产品规格：长≥1450mm、宽≥600mm</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★2、台面升降最高≥1000mm，最低≤570mm</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3、背板上折≥85°、背板下折≥30°、臀板上折≥30°</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4、电源AC220±10%，50HZ</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★5、产品动力系统是由电动推杆提供动力驱动，其所有的电动运动位置调整功能均由手持操控器控制完成</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6、产品床架采用优质碳钢喷塑而成。床垫一次发泡成型，床面无缝设计，有利于设备的清理和防护</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7、配置清单：主体*1套、腿托*2付、把手*2付、脚踏刹车*1付、万向轮*4付、污物盆*1个、手控控制器*1个</w:t>
            </w:r>
          </w:p>
        </w:tc>
        <w:tc>
          <w:tcPr>
            <w:tcW w:w="322" w:type="pct"/>
            <w:shd w:val="clear" w:color="auto" w:fill="auto"/>
            <w:noWrap/>
            <w:vAlign w:val="center"/>
          </w:tcPr>
          <w:p w14:paraId="34A5185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台</w:t>
            </w:r>
          </w:p>
        </w:tc>
        <w:tc>
          <w:tcPr>
            <w:tcW w:w="352" w:type="pct"/>
            <w:shd w:val="clear" w:color="auto" w:fill="auto"/>
            <w:noWrap w:val="0"/>
            <w:vAlign w:val="center"/>
          </w:tcPr>
          <w:p w14:paraId="7C5ED50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restart"/>
            <w:shd w:val="clear" w:color="auto" w:fill="auto"/>
            <w:noWrap w:val="0"/>
            <w:vAlign w:val="center"/>
          </w:tcPr>
          <w:p w14:paraId="5478096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宋体" w:hAnsi="宋体" w:eastAsia="宋体" w:cs="宋体"/>
                <w:i w:val="0"/>
                <w:iCs w:val="0"/>
                <w:color w:val="auto"/>
                <w:kern w:val="0"/>
                <w:sz w:val="18"/>
                <w:szCs w:val="18"/>
                <w:highlight w:val="none"/>
                <w:u w:val="none"/>
                <w:shd w:val="clear" w:color="auto" w:fill="auto"/>
                <w:lang w:val="en-US" w:eastAsia="zh-CN" w:bidi="ar"/>
              </w:rPr>
            </w:pPr>
            <w:r>
              <w:rPr>
                <w:rFonts w:hint="eastAsia" w:ascii="宋体" w:hAnsi="宋体" w:eastAsia="宋体" w:cs="宋体"/>
                <w:i w:val="0"/>
                <w:iCs w:val="0"/>
                <w:color w:val="auto"/>
                <w:kern w:val="0"/>
                <w:sz w:val="18"/>
                <w:szCs w:val="18"/>
                <w:highlight w:val="none"/>
                <w:u w:val="none"/>
                <w:shd w:val="clear" w:color="auto" w:fill="auto"/>
                <w:lang w:val="en-US" w:eastAsia="zh-CN" w:bidi="ar"/>
              </w:rPr>
              <w:t>工业</w:t>
            </w:r>
          </w:p>
        </w:tc>
        <w:tc>
          <w:tcPr>
            <w:tcW w:w="1183" w:type="pct"/>
            <w:shd w:val="clear" w:color="auto" w:fill="auto"/>
            <w:noWrap w:val="0"/>
            <w:vAlign w:val="center"/>
          </w:tcPr>
          <w:p w14:paraId="49D62027">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668AE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33" w:type="pct"/>
            <w:shd w:val="clear" w:color="auto" w:fill="auto"/>
            <w:noWrap w:val="0"/>
            <w:vAlign w:val="center"/>
          </w:tcPr>
          <w:p w14:paraId="570573B4">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64FBB1E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电动流产吸引器</w:t>
            </w:r>
          </w:p>
        </w:tc>
        <w:tc>
          <w:tcPr>
            <w:tcW w:w="1940" w:type="pct"/>
            <w:shd w:val="clear" w:color="auto" w:fill="auto"/>
            <w:noWrap w:val="0"/>
            <w:vAlign w:val="center"/>
          </w:tcPr>
          <w:p w14:paraId="6B24443D">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1、电动吸引器由负压泵、负压调节器、负压指示器、收集容器组件、脚踏开关、机箱等组成</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2、电动吸引器可供医疗单位作手术吸引脓血等各种粘质分泌物用，本机采用二级负压装置（负压泵工作进行贮气为一级负压，内置贮气桶容量为5000ml，手术吸引压力为二级负压，特别适用于二级静音流产吸引）</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3、立式结构</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4、采用双头活塞式真空泵作为负压吸引装置，噪音小</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5、设有防溢流安全装置，保养维护工作简单，无需加油</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6、手动和脚踏开关并联任意使用，操作方便，手术安全，手术操作时无噪音，消除了病人的恐惧心理</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7、电动吸引器按防电击类型及程度分类为Ⅰ类设备B型应用部分，运行模式为间歇加载连续运行(间歇吸引)，IPX0、非AP型或APG型普通设备</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技术指标：</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1、负压极限值：≥0.09MPa</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2、负压调节范围：0.02～0.09MPa</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3、抽气速率：泵口（出气口）≥30L/min，终端≥20L/min</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4、电源：AC220V±22V，50Hz±1Hz</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5、功率：280VA</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6、噪声：≤60dB</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7、收集容器容量：1000ml×2</w:t>
            </w:r>
          </w:p>
        </w:tc>
        <w:tc>
          <w:tcPr>
            <w:tcW w:w="322" w:type="pct"/>
            <w:shd w:val="clear" w:color="auto" w:fill="auto"/>
            <w:noWrap/>
            <w:vAlign w:val="center"/>
          </w:tcPr>
          <w:p w14:paraId="053BAEC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个</w:t>
            </w:r>
          </w:p>
        </w:tc>
        <w:tc>
          <w:tcPr>
            <w:tcW w:w="352" w:type="pct"/>
            <w:shd w:val="clear" w:color="auto" w:fill="auto"/>
            <w:noWrap w:val="0"/>
            <w:vAlign w:val="center"/>
          </w:tcPr>
          <w:p w14:paraId="1DE1E2A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continue"/>
            <w:shd w:val="clear" w:color="auto" w:fill="auto"/>
            <w:noWrap w:val="0"/>
            <w:vAlign w:val="center"/>
          </w:tcPr>
          <w:p w14:paraId="6FD9C5C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08E542E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77094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4E7B0E91">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6684015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color w:val="auto"/>
                <w:szCs w:val="21"/>
                <w:highlight w:val="none"/>
                <w:shd w:val="clear" w:color="auto" w:fill="auto"/>
              </w:rPr>
              <w:t>▲</w:t>
            </w:r>
            <w:r>
              <w:rPr>
                <w:rFonts w:hint="eastAsia" w:ascii="宋体" w:hAnsi="宋体" w:eastAsia="宋体" w:cs="宋体"/>
                <w:i w:val="0"/>
                <w:iCs w:val="0"/>
                <w:color w:val="auto"/>
                <w:kern w:val="0"/>
                <w:sz w:val="18"/>
                <w:szCs w:val="18"/>
                <w:highlight w:val="none"/>
                <w:u w:val="none"/>
                <w:shd w:val="clear" w:color="auto" w:fill="auto"/>
                <w:lang w:val="en-US" w:eastAsia="zh-CN" w:bidi="ar"/>
              </w:rPr>
              <w:t>利普刀（利普刀扩张器（绝缘）、阴道支架</w:t>
            </w:r>
          </w:p>
        </w:tc>
        <w:tc>
          <w:tcPr>
            <w:tcW w:w="1940" w:type="pct"/>
            <w:shd w:val="clear" w:color="auto" w:fill="auto"/>
            <w:noWrap w:val="0"/>
            <w:vAlign w:val="top"/>
          </w:tcPr>
          <w:p w14:paraId="21CC4FB4">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top"/>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一、总体要求</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1、满足临床科室要求，主要适用于妇科宫颈LEEP手术过程中的病变组织的切割与凝固                                                                                                             二、技术参数要求 ：                                                                                                                             1、适用范围：配合单极和双极附件处理妇科宫颈组织切割和凝血</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★2、输出功率≥120W</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 xml:space="preserve">★3、输出工作频率≥400KHz </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4、工作模式：具有6种以上工作模式，</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4.1纯切：允许最大功率切割</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★4.2混切：混切是切凝混合一体的一种切割方式，既具有组织的切割功能，切割同时还带有一定的凝血效果。</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4.3单极电凝：不低于两种模式。</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4.4双极电凝：低功率双极电凝。作用范围只限于镊子两端之间，适用于对小血管(直径&lt;4mm)和输卵管的封闭。</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5、性能指标</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5.1具有自动电压调节功能</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★5.2纯切：≥1-120W（负载≥500Ω）功率连续可调，步长1W</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★5.3混切：≥1-120W（负载≥500Ω）功率连续可调，步长1W</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5.4纯切用于组织精准的切割;混切1用于切割时带有少量止血时使用;混切2用于切割时带有最好止血效果时使用。</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5.5单极凝性能：≥1-120W（负载≥500Ω）功率连续可调，具备喷凝、强凝功能。</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5.6单极模式下高频漏电流≤100mA</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★5.7双极性能：≥1～80W（负载≥100Ω）,要求功率连续可调</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5.8功率显示方式：LED数字显示</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5.9功率调节方式：防水按键方式调节</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5.10参数设置：能够断电保存上次输出功率。</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6、控制功能</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6.1支持开机自检，自检异常报警功能。</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6.2具有回路安全自动检测、控制（自动检测异常并关闭功率输出）和报警功能，并带声光报警提示， 低于有效接触面积极板报警并切断输出。</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6.3具有手控和脚控功率输出功能，输出过程中伴有声光提示，医生可根据声音状态实时了解机器的工作情况，工作音量可调。</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7.配备多种类型的手术电极</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8．整机功率≤1250VA</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9、吸烟系统技术参数：                                                                                                                                            9.1吸烟器最大输出功率≥300W</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9.2吸烟器噪音水平低功率工作时≤50db</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10.3滤芯寿命：1年</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10.4效   率:大于99.999%颗粒除净度</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10.5吸烟方式：采用专用通道吸烟方式</w:t>
            </w:r>
          </w:p>
        </w:tc>
        <w:tc>
          <w:tcPr>
            <w:tcW w:w="322" w:type="pct"/>
            <w:shd w:val="clear" w:color="auto" w:fill="auto"/>
            <w:noWrap/>
            <w:vAlign w:val="center"/>
          </w:tcPr>
          <w:p w14:paraId="101319B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件</w:t>
            </w:r>
          </w:p>
        </w:tc>
        <w:tc>
          <w:tcPr>
            <w:tcW w:w="352" w:type="pct"/>
            <w:shd w:val="clear" w:color="auto" w:fill="auto"/>
            <w:noWrap w:val="0"/>
            <w:vAlign w:val="center"/>
          </w:tcPr>
          <w:p w14:paraId="4FC35AA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continue"/>
            <w:shd w:val="clear" w:color="auto" w:fill="auto"/>
            <w:noWrap w:val="0"/>
            <w:vAlign w:val="center"/>
          </w:tcPr>
          <w:p w14:paraId="6B6C8A9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511E744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15C8D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660AD6DC">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5DB297C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color w:val="auto"/>
                <w:szCs w:val="21"/>
                <w:highlight w:val="none"/>
                <w:shd w:val="clear" w:color="auto" w:fill="auto"/>
              </w:rPr>
              <w:t>▲</w:t>
            </w:r>
            <w:r>
              <w:rPr>
                <w:rFonts w:hint="eastAsia" w:ascii="宋体" w:hAnsi="宋体" w:eastAsia="宋体" w:cs="宋体"/>
                <w:i w:val="0"/>
                <w:iCs w:val="0"/>
                <w:color w:val="auto"/>
                <w:kern w:val="0"/>
                <w:sz w:val="18"/>
                <w:szCs w:val="18"/>
                <w:highlight w:val="none"/>
                <w:u w:val="none"/>
                <w:shd w:val="clear" w:color="auto" w:fill="auto"/>
                <w:lang w:val="en-US" w:eastAsia="zh-CN" w:bidi="ar"/>
              </w:rPr>
              <w:t>阴道镜</w:t>
            </w:r>
          </w:p>
        </w:tc>
        <w:tc>
          <w:tcPr>
            <w:tcW w:w="1940" w:type="pct"/>
            <w:shd w:val="clear" w:color="auto" w:fill="auto"/>
            <w:noWrap w:val="0"/>
            <w:vAlign w:val="center"/>
          </w:tcPr>
          <w:p w14:paraId="3394A1E6">
            <w:pPr>
              <w:pStyle w:val="6"/>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一、整机要求</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1、产品镜头和工作站通过NMPA注册</w:t>
            </w:r>
            <w:r>
              <w:rPr>
                <w:rFonts w:hint="eastAsia"/>
                <w:color w:val="auto"/>
                <w:highlight w:val="none"/>
                <w:shd w:val="clear" w:color="auto" w:fill="auto"/>
                <w:lang w:eastAsia="zh-CN"/>
              </w:rPr>
              <w:t>；</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2、设备使用年限：10年，提供产品铭牌图片</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3、阴道镜工作站台面，要求无凹槽或杯槽以防藏污纳垢，以减少感染风险和清洁消毒难度；配置内嵌式键盘和鼠标托盘，节省设备空间，性能稳定</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二、技术参数</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 xml:space="preserve">1、阴道镜镜头参数 </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1.1、镜头具有连续变焦、自动聚焦和高清CMOS成像功能，输出FULL  HD 1080P信号</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1.2、高清摄像模块像素≥200万，成像系统水平分辨率≥1100TVL</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1.3、放大倍数支持：1-60倍，有效操作距离：150mm-350mm（3X）、160mm-340mm（5X）、240mm-330mm（18X），最大放大倍数260mm-330mm</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1.4、视场范围：≥Ø100mm(3X)，≥Ø30mm(5X)，≥Ø15mm(18X)，最大放大倍数时应≥Ø5mm</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1.5、景深：≥150mm(3X)，≥120mm(5X)，≥50mm(18X)，最大放大倍数时应≥30mm</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1.6、光斑直径≥Ø70mm，光斑直径内照度均匀性≥80%，显色指数Ra≥90,工作距离为20cm处光源中心温升≤1℃</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1.7、空间分辨率≥14 lp/mm；图像几何失真度≤1%，色彩还原最大误差≤30NBS，平均色彩还原误差≤20NBS</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1.8、防水按键设计，9按键扇形布局，可实现视野变换、焦距调节、白光变色温成像、电子绿色滤镜成像、计时显示、自动图像采集和图像冻结控制，支持镜头手柄控制图像采集</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1.9、可通过镜头操作按键独立控制醋酸计时显示/关闭功能，计时时长可自定义设置，并可在打印报告中显示时长标记</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1.10、镜头可以控制软件模块与功能，能控制进入病人信息、观察检查、检查分析、打印报告和编辑报告；能控制按阴道镜质控要求时序显示图像对比，支持6、9、12倍快速切换</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1.11、镜头手柄后方按键具备定位宫颈口、采集图像、按时序对比图像功能</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★1.12、设备具有两个独立的视频输出接口，与工作站集成一体，无需通过转换器可扩展显示镜头原始图像，可实现双屏实时同步显示进行操作培训或与便于医患沟通交流</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1.13、配置即插即用的脚踏开关，支持采集图像/冻结并采集图像/开启计时功能/切换界面等功能，与镜头支架独立，保证图像采集的稳定性</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2、阴道镜工作站参数</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2.1、具有自动提示患者随访管理功能，医护人员可根据患者需求转入预约</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2.2、具有病例重点关注功能，医生可以快速标记需要关注的重点患者，便于医生分级管理和快速查找患者信息</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★2.3、能将采集的图像按时间顺序同屏显示（图像数量≥12幅），并且可以通过镜头扣手按键一键控制，方便医生对比分析患者病变部位醋白变化和碘染色的关联</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2.4、提供≥2种方式开启计时功能，支持≥4种采图方式（手扣采图、软件按键采图、自动计时采图、脚踏开关采图）</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2.5、在观察检查页面具有独立的历史检查图像显示框。同一患者上一次检查图像能够自动加载，并与当前检查图像并排显示，便于医生对比分析、追溯患者检查治疗过程</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★2.6、提供R-way阴道镜诊断评估方法，具有阴道镜操作提醒及自动采图功能，量化检查流程，提供基于三种不同溶液实验结果关联“特征”的智能评估和报告系统，根据HPV/TCT 阴道镜图像特征进行自动关联，具有提示活检点和病变位置，支持再病人阴道镜检查图片上进行活检标记，自动给出处理建议</w:t>
            </w:r>
          </w:p>
        </w:tc>
        <w:tc>
          <w:tcPr>
            <w:tcW w:w="322" w:type="pct"/>
            <w:shd w:val="clear" w:color="auto" w:fill="auto"/>
            <w:noWrap/>
            <w:vAlign w:val="center"/>
          </w:tcPr>
          <w:p w14:paraId="308176E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台</w:t>
            </w:r>
          </w:p>
        </w:tc>
        <w:tc>
          <w:tcPr>
            <w:tcW w:w="352" w:type="pct"/>
            <w:shd w:val="clear" w:color="auto" w:fill="auto"/>
            <w:noWrap w:val="0"/>
            <w:vAlign w:val="center"/>
          </w:tcPr>
          <w:p w14:paraId="73E98AB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continue"/>
            <w:shd w:val="clear" w:color="auto" w:fill="auto"/>
            <w:noWrap w:val="0"/>
            <w:vAlign w:val="center"/>
          </w:tcPr>
          <w:p w14:paraId="189FE10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4455B78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3E6D0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2E9C7797">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18FDE70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无影灯</w:t>
            </w:r>
          </w:p>
        </w:tc>
        <w:tc>
          <w:tcPr>
            <w:tcW w:w="1940" w:type="pct"/>
            <w:shd w:val="clear" w:color="auto" w:fill="auto"/>
            <w:noWrap w:val="0"/>
            <w:vAlign w:val="center"/>
          </w:tcPr>
          <w:p w14:paraId="28CAD332">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1、中心照度（相距1M处LUX)：100000-130000（可调节）</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2、色温（K）：4300±500（可调节）；显色指数：Ra ≥95%</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3、光斑直径（mm）： 160—300；光斑分布直径（mm）：80--150</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4、光柱深度（mm）： ≥12007、辐照度(W/m2)：≤400</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5、辐照度(W/m2)：≤400</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6、输入功率：65VA</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7、灯泡平均寿命（h）：≥60000</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8、采用新型LED冷光源，光谱中没有紫外线和红外线，既没有热量也没有辐射，医生头部和伤口区域温升≤1℃，LED灯珠寿命可达6万小时以上</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9、照度、色温多级可调（1-100），采用LED冷光源高显色指数，LED灯头的整体设计使光束聚集为一个高亮度的均匀光柱，保证手术照明需求</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10、采用液晶显示、按键控制，可实现照明的电源开关及对照度、色温模式的调节功能。并配有一键腔镜模式、实时显示照度、色温值功能，满足医院对不同手术照明的快速转换需求。数字记忆功能，自动记忆适合的照明度，再次开启时无需进行调试，多个相同功率多组多路集中控制方法，保证单路单颗灯珠异常不影响手术照明</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11、平衡臂可上下跨90度、水平旋转340度。各关节均为轴承结构，使用弹性阻尼螺钉，一次调节可长时间使用可满足手术中的各种高度、角度和体位的需要，移动方便，定位准确。灯臂经过防锈处理，不会产生锈蚀反应</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12、操作简单轻便，实现了无级调焦功能；拆卸式无菌手柄，采用耐高温工程塑料（PPSU）制成，可做高温灭菌处理</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15、灯罩采用光学级亚克力材质，耐磨易清洁，透光率≧92.5％</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16、采用了四轮支撑、配重钢板、静音耐磨脚轮</w:t>
            </w:r>
          </w:p>
        </w:tc>
        <w:tc>
          <w:tcPr>
            <w:tcW w:w="322" w:type="pct"/>
            <w:shd w:val="clear" w:color="auto" w:fill="auto"/>
            <w:noWrap/>
            <w:vAlign w:val="center"/>
          </w:tcPr>
          <w:p w14:paraId="57F40B8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台</w:t>
            </w:r>
          </w:p>
        </w:tc>
        <w:tc>
          <w:tcPr>
            <w:tcW w:w="352" w:type="pct"/>
            <w:shd w:val="clear" w:color="auto" w:fill="auto"/>
            <w:noWrap w:val="0"/>
            <w:vAlign w:val="center"/>
          </w:tcPr>
          <w:p w14:paraId="0AE93A2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continue"/>
            <w:shd w:val="clear" w:color="auto" w:fill="auto"/>
            <w:noWrap w:val="0"/>
            <w:vAlign w:val="center"/>
          </w:tcPr>
          <w:p w14:paraId="5D4AE06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488012DA">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2782B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33" w:type="pct"/>
            <w:shd w:val="clear" w:color="auto" w:fill="auto"/>
            <w:noWrap w:val="0"/>
            <w:vAlign w:val="center"/>
          </w:tcPr>
          <w:p w14:paraId="1EFEAC11">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74188BF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子宫颈活体取样钳</w:t>
            </w:r>
          </w:p>
        </w:tc>
        <w:tc>
          <w:tcPr>
            <w:tcW w:w="1940" w:type="pct"/>
            <w:shd w:val="clear" w:color="auto" w:fill="auto"/>
            <w:noWrap w:val="0"/>
            <w:vAlign w:val="center"/>
          </w:tcPr>
          <w:p w14:paraId="0B64D5A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230管式长圆头，304不锈钢</w:t>
            </w:r>
          </w:p>
        </w:tc>
        <w:tc>
          <w:tcPr>
            <w:tcW w:w="322" w:type="pct"/>
            <w:shd w:val="clear" w:color="auto" w:fill="auto"/>
            <w:noWrap/>
            <w:vAlign w:val="center"/>
          </w:tcPr>
          <w:p w14:paraId="28FEA47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5657BFB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w:t>
            </w:r>
          </w:p>
        </w:tc>
        <w:tc>
          <w:tcPr>
            <w:tcW w:w="524" w:type="pct"/>
            <w:vMerge w:val="continue"/>
            <w:shd w:val="clear" w:color="auto" w:fill="auto"/>
            <w:noWrap w:val="0"/>
            <w:vAlign w:val="center"/>
          </w:tcPr>
          <w:p w14:paraId="19C58B0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4F84BD3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13CA8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15F8603F">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48115E1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人工流产器械包</w:t>
            </w:r>
          </w:p>
        </w:tc>
        <w:tc>
          <w:tcPr>
            <w:tcW w:w="1940" w:type="pct"/>
            <w:shd w:val="clear" w:color="auto" w:fill="auto"/>
            <w:noWrap w:val="0"/>
            <w:vAlign w:val="center"/>
          </w:tcPr>
          <w:p w14:paraId="7E7374F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海绵钳3把，组织镊1把，人流吸引管3根，子宫刮3把，子宫颈扩张器1套，子宫探针1把，子宫颈钳1把，止血钳1把</w:t>
            </w:r>
            <w:r>
              <w:rPr>
                <w:rStyle w:val="15"/>
                <w:rFonts w:hint="eastAsia" w:ascii="宋体" w:hAnsi="宋体" w:eastAsia="宋体" w:cs="宋体"/>
                <w:color w:val="auto"/>
                <w:sz w:val="18"/>
                <w:szCs w:val="18"/>
                <w:highlight w:val="none"/>
                <w:shd w:val="clear" w:color="auto" w:fill="auto"/>
                <w:lang w:val="en-US" w:eastAsia="zh-CN" w:bidi="ar"/>
              </w:rPr>
              <w:t>（宫颈钳要弯头 子宫刮匙 头宽4-8mm，304不锈钢）</w:t>
            </w:r>
          </w:p>
        </w:tc>
        <w:tc>
          <w:tcPr>
            <w:tcW w:w="322" w:type="pct"/>
            <w:shd w:val="clear" w:color="auto" w:fill="auto"/>
            <w:noWrap/>
            <w:vAlign w:val="center"/>
          </w:tcPr>
          <w:p w14:paraId="369A990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套</w:t>
            </w:r>
          </w:p>
        </w:tc>
        <w:tc>
          <w:tcPr>
            <w:tcW w:w="352" w:type="pct"/>
            <w:shd w:val="clear" w:color="auto" w:fill="auto"/>
            <w:noWrap w:val="0"/>
            <w:vAlign w:val="center"/>
          </w:tcPr>
          <w:p w14:paraId="484A571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w:t>
            </w:r>
          </w:p>
        </w:tc>
        <w:tc>
          <w:tcPr>
            <w:tcW w:w="524" w:type="pct"/>
            <w:vMerge w:val="continue"/>
            <w:shd w:val="clear" w:color="auto" w:fill="auto"/>
            <w:noWrap w:val="0"/>
            <w:vAlign w:val="center"/>
          </w:tcPr>
          <w:p w14:paraId="570D965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1FAD8F9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23687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2BF0C58E">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5522F90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医用宫内节育器取环钳</w:t>
            </w:r>
          </w:p>
        </w:tc>
        <w:tc>
          <w:tcPr>
            <w:tcW w:w="1940" w:type="pct"/>
            <w:shd w:val="clear" w:color="auto" w:fill="auto"/>
            <w:noWrap w:val="0"/>
            <w:vAlign w:val="center"/>
          </w:tcPr>
          <w:p w14:paraId="552F2623">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22cm，304不锈钢</w:t>
            </w:r>
          </w:p>
        </w:tc>
        <w:tc>
          <w:tcPr>
            <w:tcW w:w="322" w:type="pct"/>
            <w:shd w:val="clear" w:color="auto" w:fill="auto"/>
            <w:noWrap/>
            <w:vAlign w:val="center"/>
          </w:tcPr>
          <w:p w14:paraId="653F343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5F7C122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w:t>
            </w:r>
          </w:p>
        </w:tc>
        <w:tc>
          <w:tcPr>
            <w:tcW w:w="524" w:type="pct"/>
            <w:vMerge w:val="continue"/>
            <w:shd w:val="clear" w:color="auto" w:fill="auto"/>
            <w:noWrap w:val="0"/>
            <w:vAlign w:val="center"/>
          </w:tcPr>
          <w:p w14:paraId="66B78D3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7438F0C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2F522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42AFDC76">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687C951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子宫息肉钳</w:t>
            </w:r>
          </w:p>
        </w:tc>
        <w:tc>
          <w:tcPr>
            <w:tcW w:w="1940" w:type="pct"/>
            <w:shd w:val="clear" w:color="auto" w:fill="auto"/>
            <w:noWrap w:val="0"/>
            <w:vAlign w:val="center"/>
          </w:tcPr>
          <w:p w14:paraId="3D07C11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25cm弯头，304不锈钢</w:t>
            </w:r>
          </w:p>
        </w:tc>
        <w:tc>
          <w:tcPr>
            <w:tcW w:w="322" w:type="pct"/>
            <w:shd w:val="clear" w:color="auto" w:fill="auto"/>
            <w:noWrap/>
            <w:vAlign w:val="center"/>
          </w:tcPr>
          <w:p w14:paraId="28BF245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0F4438A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w:t>
            </w:r>
          </w:p>
        </w:tc>
        <w:tc>
          <w:tcPr>
            <w:tcW w:w="524" w:type="pct"/>
            <w:vMerge w:val="continue"/>
            <w:shd w:val="clear" w:color="auto" w:fill="auto"/>
            <w:noWrap w:val="0"/>
            <w:vAlign w:val="center"/>
          </w:tcPr>
          <w:p w14:paraId="6090B85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5B9E1FF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5D7CD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4345ADD7">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303DDF1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紫外线灯管及灯架</w:t>
            </w:r>
          </w:p>
        </w:tc>
        <w:tc>
          <w:tcPr>
            <w:tcW w:w="1940" w:type="pct"/>
            <w:shd w:val="clear" w:color="auto" w:fill="auto"/>
            <w:noWrap w:val="0"/>
            <w:vAlign w:val="center"/>
          </w:tcPr>
          <w:p w14:paraId="10BAB7D3">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落地式，有定时功能，灯架可重复使用</w:t>
            </w:r>
          </w:p>
        </w:tc>
        <w:tc>
          <w:tcPr>
            <w:tcW w:w="322" w:type="pct"/>
            <w:shd w:val="clear" w:color="auto" w:fill="auto"/>
            <w:noWrap/>
            <w:vAlign w:val="center"/>
          </w:tcPr>
          <w:p w14:paraId="3D6248E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台</w:t>
            </w:r>
          </w:p>
        </w:tc>
        <w:tc>
          <w:tcPr>
            <w:tcW w:w="352" w:type="pct"/>
            <w:shd w:val="clear" w:color="auto" w:fill="auto"/>
            <w:noWrap w:val="0"/>
            <w:vAlign w:val="center"/>
          </w:tcPr>
          <w:p w14:paraId="273BA94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20</w:t>
            </w:r>
          </w:p>
        </w:tc>
        <w:tc>
          <w:tcPr>
            <w:tcW w:w="524" w:type="pct"/>
            <w:vMerge w:val="continue"/>
            <w:shd w:val="clear" w:color="auto" w:fill="auto"/>
            <w:noWrap w:val="0"/>
            <w:vAlign w:val="center"/>
          </w:tcPr>
          <w:p w14:paraId="48B2CA4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6740273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69FB1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3FAC1118">
            <w:pPr>
              <w:keepNext w:val="0"/>
              <w:keepLines w:val="0"/>
              <w:pageBreakBefore w:val="0"/>
              <w:widowControl/>
              <w:numPr>
                <w:ilvl w:val="0"/>
                <w:numId w:val="2"/>
              </w:numPr>
              <w:kinsoku/>
              <w:wordWrap/>
              <w:overflowPunct/>
              <w:topLinePunct w:val="0"/>
              <w:autoSpaceDE/>
              <w:autoSpaceDN/>
              <w:bidi w:val="0"/>
              <w:adjustRightInd/>
              <w:snapToGrid/>
              <w:spacing w:line="240" w:lineRule="auto"/>
              <w:ind w:left="425" w:leftChars="0" w:hanging="425" w:firstLineChars="0"/>
              <w:jc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20D6113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卵圆钳</w:t>
            </w:r>
          </w:p>
        </w:tc>
        <w:tc>
          <w:tcPr>
            <w:tcW w:w="1940" w:type="pct"/>
            <w:shd w:val="clear" w:color="auto" w:fill="auto"/>
            <w:noWrap w:val="0"/>
            <w:vAlign w:val="center"/>
          </w:tcPr>
          <w:p w14:paraId="41E36F9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弯有齿，25cm头宽10cm，304不锈钢</w:t>
            </w:r>
          </w:p>
        </w:tc>
        <w:tc>
          <w:tcPr>
            <w:tcW w:w="322" w:type="pct"/>
            <w:shd w:val="clear" w:color="auto" w:fill="auto"/>
            <w:noWrap/>
            <w:vAlign w:val="center"/>
          </w:tcPr>
          <w:p w14:paraId="63E64A4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26767DB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continue"/>
            <w:shd w:val="clear" w:color="auto" w:fill="auto"/>
            <w:noWrap w:val="0"/>
            <w:vAlign w:val="center"/>
          </w:tcPr>
          <w:p w14:paraId="7313FCB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61E25BF6">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auto"/>
                <w:sz w:val="18"/>
                <w:szCs w:val="18"/>
                <w:highlight w:val="none"/>
                <w:u w:val="none"/>
                <w:shd w:val="clear" w:color="auto" w:fill="auto"/>
              </w:rPr>
            </w:pPr>
          </w:p>
        </w:tc>
      </w:tr>
      <w:tr w14:paraId="480C6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7A75932A">
            <w:pPr>
              <w:keepNext w:val="0"/>
              <w:keepLines w:val="0"/>
              <w:pageBreakBefore w:val="0"/>
              <w:widowControl/>
              <w:numPr>
                <w:ilvl w:val="0"/>
                <w:numId w:val="2"/>
              </w:numPr>
              <w:kinsoku/>
              <w:wordWrap/>
              <w:overflowPunct/>
              <w:topLinePunct w:val="0"/>
              <w:autoSpaceDE/>
              <w:autoSpaceDN/>
              <w:bidi w:val="0"/>
              <w:adjustRightInd/>
              <w:snapToGrid/>
              <w:spacing w:line="240" w:lineRule="auto"/>
              <w:ind w:left="425" w:leftChars="0" w:hanging="425" w:firstLineChars="0"/>
              <w:jc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68C87D3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卵圆钳</w:t>
            </w:r>
          </w:p>
        </w:tc>
        <w:tc>
          <w:tcPr>
            <w:tcW w:w="1940" w:type="pct"/>
            <w:shd w:val="clear" w:color="auto" w:fill="auto"/>
            <w:noWrap w:val="0"/>
            <w:vAlign w:val="center"/>
          </w:tcPr>
          <w:p w14:paraId="6A66440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直无齿，25cm头宽10cm，304不锈钢</w:t>
            </w:r>
          </w:p>
        </w:tc>
        <w:tc>
          <w:tcPr>
            <w:tcW w:w="322" w:type="pct"/>
            <w:shd w:val="clear" w:color="auto" w:fill="auto"/>
            <w:noWrap/>
            <w:vAlign w:val="center"/>
          </w:tcPr>
          <w:p w14:paraId="20C9D71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3B8D909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continue"/>
            <w:shd w:val="clear" w:color="auto" w:fill="auto"/>
            <w:noWrap w:val="0"/>
            <w:vAlign w:val="center"/>
          </w:tcPr>
          <w:p w14:paraId="46E8EFD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151D8945">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auto"/>
                <w:sz w:val="18"/>
                <w:szCs w:val="18"/>
                <w:highlight w:val="none"/>
                <w:u w:val="none"/>
                <w:shd w:val="clear" w:color="auto" w:fill="auto"/>
              </w:rPr>
            </w:pPr>
          </w:p>
        </w:tc>
      </w:tr>
      <w:tr w14:paraId="5B886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0E9C561B">
            <w:pPr>
              <w:keepNext w:val="0"/>
              <w:keepLines w:val="0"/>
              <w:pageBreakBefore w:val="0"/>
              <w:widowControl/>
              <w:numPr>
                <w:ilvl w:val="0"/>
                <w:numId w:val="2"/>
              </w:numPr>
              <w:kinsoku/>
              <w:wordWrap/>
              <w:overflowPunct/>
              <w:topLinePunct w:val="0"/>
              <w:autoSpaceDE/>
              <w:autoSpaceDN/>
              <w:bidi w:val="0"/>
              <w:adjustRightInd/>
              <w:snapToGrid/>
              <w:spacing w:line="240" w:lineRule="auto"/>
              <w:ind w:left="425" w:leftChars="0" w:hanging="425" w:firstLineChars="0"/>
              <w:jc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01D0815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组织钳</w:t>
            </w:r>
          </w:p>
        </w:tc>
        <w:tc>
          <w:tcPr>
            <w:tcW w:w="1940" w:type="pct"/>
            <w:shd w:val="clear" w:color="auto" w:fill="auto"/>
            <w:noWrap w:val="0"/>
            <w:vAlign w:val="center"/>
          </w:tcPr>
          <w:p w14:paraId="585CF0A2">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18cm*1，头宽5，304不锈钢</w:t>
            </w:r>
          </w:p>
        </w:tc>
        <w:tc>
          <w:tcPr>
            <w:tcW w:w="322" w:type="pct"/>
            <w:shd w:val="clear" w:color="auto" w:fill="auto"/>
            <w:noWrap/>
            <w:vAlign w:val="center"/>
          </w:tcPr>
          <w:p w14:paraId="7A51D64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39C9FAB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continue"/>
            <w:shd w:val="clear" w:color="auto" w:fill="auto"/>
            <w:noWrap w:val="0"/>
            <w:vAlign w:val="center"/>
          </w:tcPr>
          <w:p w14:paraId="1BDF384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0D843FE3">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auto"/>
                <w:sz w:val="18"/>
                <w:szCs w:val="18"/>
                <w:highlight w:val="none"/>
                <w:u w:val="none"/>
                <w:shd w:val="clear" w:color="auto" w:fill="auto"/>
              </w:rPr>
            </w:pPr>
          </w:p>
        </w:tc>
      </w:tr>
      <w:tr w14:paraId="21C95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0A76F89B">
            <w:pPr>
              <w:keepNext w:val="0"/>
              <w:keepLines w:val="0"/>
              <w:pageBreakBefore w:val="0"/>
              <w:widowControl/>
              <w:numPr>
                <w:ilvl w:val="0"/>
                <w:numId w:val="2"/>
              </w:numPr>
              <w:kinsoku/>
              <w:wordWrap/>
              <w:overflowPunct/>
              <w:topLinePunct w:val="0"/>
              <w:autoSpaceDE/>
              <w:autoSpaceDN/>
              <w:bidi w:val="0"/>
              <w:adjustRightInd/>
              <w:snapToGrid/>
              <w:spacing w:line="240" w:lineRule="auto"/>
              <w:ind w:left="425" w:leftChars="0" w:hanging="425" w:firstLineChars="0"/>
              <w:jc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409E520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鼠齿钳</w:t>
            </w:r>
          </w:p>
        </w:tc>
        <w:tc>
          <w:tcPr>
            <w:tcW w:w="1940" w:type="pct"/>
            <w:shd w:val="clear" w:color="auto" w:fill="auto"/>
            <w:noWrap w:val="0"/>
            <w:vAlign w:val="center"/>
          </w:tcPr>
          <w:p w14:paraId="62C04AC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16cm头宽5cm,304不锈钢</w:t>
            </w:r>
          </w:p>
        </w:tc>
        <w:tc>
          <w:tcPr>
            <w:tcW w:w="322" w:type="pct"/>
            <w:shd w:val="clear" w:color="auto" w:fill="auto"/>
            <w:noWrap/>
            <w:vAlign w:val="center"/>
          </w:tcPr>
          <w:p w14:paraId="4B111A3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0EF5253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4</w:t>
            </w:r>
          </w:p>
        </w:tc>
        <w:tc>
          <w:tcPr>
            <w:tcW w:w="524" w:type="pct"/>
            <w:vMerge w:val="continue"/>
            <w:shd w:val="clear" w:color="auto" w:fill="auto"/>
            <w:noWrap w:val="0"/>
            <w:vAlign w:val="center"/>
          </w:tcPr>
          <w:p w14:paraId="1F8D512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52AF30DB">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auto"/>
                <w:sz w:val="18"/>
                <w:szCs w:val="18"/>
                <w:highlight w:val="none"/>
                <w:u w:val="none"/>
                <w:shd w:val="clear" w:color="auto" w:fill="auto"/>
              </w:rPr>
            </w:pPr>
          </w:p>
        </w:tc>
      </w:tr>
      <w:tr w14:paraId="67E8A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35279B64">
            <w:pPr>
              <w:keepNext w:val="0"/>
              <w:keepLines w:val="0"/>
              <w:pageBreakBefore w:val="0"/>
              <w:widowControl/>
              <w:numPr>
                <w:ilvl w:val="0"/>
                <w:numId w:val="2"/>
              </w:numPr>
              <w:kinsoku/>
              <w:wordWrap/>
              <w:overflowPunct/>
              <w:topLinePunct w:val="0"/>
              <w:autoSpaceDE/>
              <w:autoSpaceDN/>
              <w:bidi w:val="0"/>
              <w:adjustRightInd/>
              <w:snapToGrid/>
              <w:spacing w:line="240" w:lineRule="auto"/>
              <w:ind w:left="425" w:leftChars="0" w:hanging="425" w:firstLineChars="0"/>
              <w:jc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538B8D7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巾钳</w:t>
            </w:r>
          </w:p>
        </w:tc>
        <w:tc>
          <w:tcPr>
            <w:tcW w:w="1940" w:type="pct"/>
            <w:shd w:val="clear" w:color="auto" w:fill="auto"/>
            <w:noWrap w:val="0"/>
            <w:vAlign w:val="center"/>
          </w:tcPr>
          <w:p w14:paraId="1D88C7C3">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14cm尖头,304不锈钢</w:t>
            </w:r>
          </w:p>
        </w:tc>
        <w:tc>
          <w:tcPr>
            <w:tcW w:w="322" w:type="pct"/>
            <w:shd w:val="clear" w:color="auto" w:fill="auto"/>
            <w:noWrap/>
            <w:vAlign w:val="center"/>
          </w:tcPr>
          <w:p w14:paraId="05C7BF5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1EB6F1E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4</w:t>
            </w:r>
          </w:p>
        </w:tc>
        <w:tc>
          <w:tcPr>
            <w:tcW w:w="524" w:type="pct"/>
            <w:vMerge w:val="continue"/>
            <w:shd w:val="clear" w:color="auto" w:fill="auto"/>
            <w:noWrap w:val="0"/>
            <w:vAlign w:val="center"/>
          </w:tcPr>
          <w:p w14:paraId="53CCDFA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5BDCF3A2">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iCs w:val="0"/>
                <w:color w:val="auto"/>
                <w:sz w:val="18"/>
                <w:szCs w:val="18"/>
                <w:highlight w:val="none"/>
                <w:u w:val="none"/>
                <w:shd w:val="clear" w:color="auto" w:fill="auto"/>
              </w:rPr>
            </w:pPr>
          </w:p>
        </w:tc>
      </w:tr>
      <w:tr w14:paraId="6642E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1A8A7538">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0B5D1A6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缝合针</w:t>
            </w:r>
          </w:p>
        </w:tc>
        <w:tc>
          <w:tcPr>
            <w:tcW w:w="1940" w:type="pct"/>
            <w:shd w:val="clear" w:color="auto" w:fill="auto"/>
            <w:noWrap w:val="0"/>
            <w:vAlign w:val="center"/>
          </w:tcPr>
          <w:p w14:paraId="17F00AE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圆针、三角针</w:t>
            </w:r>
          </w:p>
        </w:tc>
        <w:tc>
          <w:tcPr>
            <w:tcW w:w="322" w:type="pct"/>
            <w:shd w:val="clear" w:color="auto" w:fill="auto"/>
            <w:noWrap/>
            <w:vAlign w:val="center"/>
          </w:tcPr>
          <w:p w14:paraId="050EE95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盒</w:t>
            </w:r>
          </w:p>
        </w:tc>
        <w:tc>
          <w:tcPr>
            <w:tcW w:w="352" w:type="pct"/>
            <w:shd w:val="clear" w:color="auto" w:fill="auto"/>
            <w:noWrap w:val="0"/>
            <w:vAlign w:val="center"/>
          </w:tcPr>
          <w:p w14:paraId="2143347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20</w:t>
            </w:r>
          </w:p>
        </w:tc>
        <w:tc>
          <w:tcPr>
            <w:tcW w:w="524" w:type="pct"/>
            <w:vMerge w:val="continue"/>
            <w:shd w:val="clear" w:color="auto" w:fill="auto"/>
            <w:noWrap w:val="0"/>
            <w:vAlign w:val="center"/>
          </w:tcPr>
          <w:p w14:paraId="2603625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0EC3F76A">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shd w:val="clear" w:color="auto" w:fill="auto"/>
              </w:rPr>
            </w:pPr>
          </w:p>
        </w:tc>
      </w:tr>
      <w:tr w14:paraId="2EA80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4A2FB764">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0FE8419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尖刀片</w:t>
            </w:r>
          </w:p>
        </w:tc>
        <w:tc>
          <w:tcPr>
            <w:tcW w:w="1940" w:type="pct"/>
            <w:shd w:val="clear" w:color="auto" w:fill="auto"/>
            <w:noWrap w:val="0"/>
            <w:vAlign w:val="center"/>
          </w:tcPr>
          <w:p w14:paraId="55D7CA03">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11号，配套4个刀柄，304不锈钢</w:t>
            </w:r>
          </w:p>
        </w:tc>
        <w:tc>
          <w:tcPr>
            <w:tcW w:w="322" w:type="pct"/>
            <w:shd w:val="clear" w:color="auto" w:fill="auto"/>
            <w:noWrap/>
            <w:vAlign w:val="center"/>
          </w:tcPr>
          <w:p w14:paraId="1B224A3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个</w:t>
            </w:r>
          </w:p>
        </w:tc>
        <w:tc>
          <w:tcPr>
            <w:tcW w:w="352" w:type="pct"/>
            <w:shd w:val="clear" w:color="auto" w:fill="auto"/>
            <w:noWrap w:val="0"/>
            <w:vAlign w:val="center"/>
          </w:tcPr>
          <w:p w14:paraId="649A40D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20</w:t>
            </w:r>
          </w:p>
        </w:tc>
        <w:tc>
          <w:tcPr>
            <w:tcW w:w="524" w:type="pct"/>
            <w:vMerge w:val="continue"/>
            <w:shd w:val="clear" w:color="auto" w:fill="auto"/>
            <w:noWrap w:val="0"/>
            <w:vAlign w:val="center"/>
          </w:tcPr>
          <w:p w14:paraId="0839EC2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36DCBEEA">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shd w:val="clear" w:color="auto" w:fill="auto"/>
              </w:rPr>
            </w:pPr>
          </w:p>
        </w:tc>
      </w:tr>
      <w:tr w14:paraId="328A9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2E50F666">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31BA1ED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蚊氏钳</w:t>
            </w:r>
          </w:p>
        </w:tc>
        <w:tc>
          <w:tcPr>
            <w:tcW w:w="1940" w:type="pct"/>
            <w:shd w:val="clear" w:color="auto" w:fill="auto"/>
            <w:noWrap w:val="0"/>
            <w:vAlign w:val="center"/>
          </w:tcPr>
          <w:p w14:paraId="126DA20C">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12.5cm弯有齿，304不锈钢</w:t>
            </w:r>
          </w:p>
        </w:tc>
        <w:tc>
          <w:tcPr>
            <w:tcW w:w="322" w:type="pct"/>
            <w:shd w:val="clear" w:color="auto" w:fill="auto"/>
            <w:noWrap/>
            <w:vAlign w:val="center"/>
          </w:tcPr>
          <w:p w14:paraId="2A72EA9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237057E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4</w:t>
            </w:r>
          </w:p>
        </w:tc>
        <w:tc>
          <w:tcPr>
            <w:tcW w:w="524" w:type="pct"/>
            <w:vMerge w:val="continue"/>
            <w:shd w:val="clear" w:color="auto" w:fill="auto"/>
            <w:noWrap w:val="0"/>
            <w:vAlign w:val="center"/>
          </w:tcPr>
          <w:p w14:paraId="52C5689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37176D8E">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shd w:val="clear" w:color="auto" w:fill="auto"/>
              </w:rPr>
            </w:pPr>
          </w:p>
        </w:tc>
      </w:tr>
      <w:tr w14:paraId="22C56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2FA4D37C">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3C60537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手术剪</w:t>
            </w:r>
          </w:p>
        </w:tc>
        <w:tc>
          <w:tcPr>
            <w:tcW w:w="1940" w:type="pct"/>
            <w:shd w:val="clear" w:color="auto" w:fill="auto"/>
            <w:noWrap w:val="0"/>
            <w:vAlign w:val="center"/>
          </w:tcPr>
          <w:p w14:paraId="1709BD1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18cm弯圆，304不锈钢</w:t>
            </w:r>
          </w:p>
        </w:tc>
        <w:tc>
          <w:tcPr>
            <w:tcW w:w="322" w:type="pct"/>
            <w:shd w:val="clear" w:color="auto" w:fill="auto"/>
            <w:noWrap/>
            <w:vAlign w:val="center"/>
          </w:tcPr>
          <w:p w14:paraId="76729C4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5AAAA45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w:t>
            </w:r>
          </w:p>
        </w:tc>
        <w:tc>
          <w:tcPr>
            <w:tcW w:w="524" w:type="pct"/>
            <w:vMerge w:val="continue"/>
            <w:shd w:val="clear" w:color="auto" w:fill="auto"/>
            <w:noWrap w:val="0"/>
            <w:vAlign w:val="center"/>
          </w:tcPr>
          <w:p w14:paraId="7FFBDA7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331DEFE3">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shd w:val="clear" w:color="auto" w:fill="auto"/>
              </w:rPr>
            </w:pPr>
          </w:p>
        </w:tc>
      </w:tr>
      <w:tr w14:paraId="34AA7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01158C07">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4E22F95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持针器</w:t>
            </w:r>
          </w:p>
        </w:tc>
        <w:tc>
          <w:tcPr>
            <w:tcW w:w="1940" w:type="pct"/>
            <w:shd w:val="clear" w:color="auto" w:fill="auto"/>
            <w:noWrap w:val="0"/>
            <w:vAlign w:val="center"/>
          </w:tcPr>
          <w:p w14:paraId="230A0A24">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25cm细针，304不锈钢</w:t>
            </w:r>
          </w:p>
        </w:tc>
        <w:tc>
          <w:tcPr>
            <w:tcW w:w="322" w:type="pct"/>
            <w:shd w:val="clear" w:color="auto" w:fill="auto"/>
            <w:noWrap/>
            <w:vAlign w:val="center"/>
          </w:tcPr>
          <w:p w14:paraId="52A60D4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0B27762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continue"/>
            <w:shd w:val="clear" w:color="auto" w:fill="auto"/>
            <w:noWrap w:val="0"/>
            <w:vAlign w:val="center"/>
          </w:tcPr>
          <w:p w14:paraId="2B4B7CF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76554A49">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shd w:val="clear" w:color="auto" w:fill="auto"/>
              </w:rPr>
            </w:pPr>
          </w:p>
        </w:tc>
      </w:tr>
      <w:tr w14:paraId="79CCE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593699CE">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706DF4C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持针器</w:t>
            </w:r>
          </w:p>
        </w:tc>
        <w:tc>
          <w:tcPr>
            <w:tcW w:w="1940" w:type="pct"/>
            <w:shd w:val="clear" w:color="auto" w:fill="auto"/>
            <w:noWrap w:val="0"/>
            <w:vAlign w:val="center"/>
          </w:tcPr>
          <w:p w14:paraId="6855DDA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16cm细针,304不锈钢</w:t>
            </w:r>
          </w:p>
        </w:tc>
        <w:tc>
          <w:tcPr>
            <w:tcW w:w="322" w:type="pct"/>
            <w:shd w:val="clear" w:color="auto" w:fill="auto"/>
            <w:noWrap/>
            <w:vAlign w:val="center"/>
          </w:tcPr>
          <w:p w14:paraId="3ED9A2E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把</w:t>
            </w:r>
          </w:p>
        </w:tc>
        <w:tc>
          <w:tcPr>
            <w:tcW w:w="352" w:type="pct"/>
            <w:shd w:val="clear" w:color="auto" w:fill="auto"/>
            <w:noWrap w:val="0"/>
            <w:vAlign w:val="center"/>
          </w:tcPr>
          <w:p w14:paraId="1DB3254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continue"/>
            <w:shd w:val="clear" w:color="auto" w:fill="auto"/>
            <w:noWrap w:val="0"/>
            <w:vAlign w:val="center"/>
          </w:tcPr>
          <w:p w14:paraId="646D7E2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144A58F2">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shd w:val="clear" w:color="auto" w:fill="auto"/>
              </w:rPr>
            </w:pPr>
          </w:p>
        </w:tc>
      </w:tr>
      <w:tr w14:paraId="7D92B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2F867317">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19BDD35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药杯</w:t>
            </w:r>
          </w:p>
        </w:tc>
        <w:tc>
          <w:tcPr>
            <w:tcW w:w="1940" w:type="pct"/>
            <w:shd w:val="clear" w:color="auto" w:fill="auto"/>
            <w:noWrap w:val="0"/>
            <w:vAlign w:val="center"/>
          </w:tcPr>
          <w:p w14:paraId="229F93A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不锈钢，敞开式，供消毒用，304不锈钢</w:t>
            </w:r>
          </w:p>
        </w:tc>
        <w:tc>
          <w:tcPr>
            <w:tcW w:w="322" w:type="pct"/>
            <w:shd w:val="clear" w:color="auto" w:fill="auto"/>
            <w:noWrap/>
            <w:vAlign w:val="center"/>
          </w:tcPr>
          <w:p w14:paraId="19F646D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个</w:t>
            </w:r>
          </w:p>
        </w:tc>
        <w:tc>
          <w:tcPr>
            <w:tcW w:w="352" w:type="pct"/>
            <w:shd w:val="clear" w:color="auto" w:fill="auto"/>
            <w:noWrap w:val="0"/>
            <w:vAlign w:val="center"/>
          </w:tcPr>
          <w:p w14:paraId="230AC51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4</w:t>
            </w:r>
          </w:p>
        </w:tc>
        <w:tc>
          <w:tcPr>
            <w:tcW w:w="524" w:type="pct"/>
            <w:vMerge w:val="continue"/>
            <w:shd w:val="clear" w:color="auto" w:fill="auto"/>
            <w:noWrap w:val="0"/>
            <w:vAlign w:val="center"/>
          </w:tcPr>
          <w:p w14:paraId="4ADAE59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0A83DDC4">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shd w:val="clear" w:color="auto" w:fill="auto"/>
              </w:rPr>
            </w:pPr>
          </w:p>
        </w:tc>
      </w:tr>
      <w:tr w14:paraId="54383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37AE6ABF">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68DB81E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圆刀片</w:t>
            </w:r>
          </w:p>
        </w:tc>
        <w:tc>
          <w:tcPr>
            <w:tcW w:w="1940" w:type="pct"/>
            <w:shd w:val="clear" w:color="auto" w:fill="auto"/>
            <w:noWrap w:val="0"/>
            <w:vAlign w:val="center"/>
          </w:tcPr>
          <w:p w14:paraId="1D4625DD">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11号，配套4个刀柄，304不锈钢</w:t>
            </w:r>
          </w:p>
        </w:tc>
        <w:tc>
          <w:tcPr>
            <w:tcW w:w="322" w:type="pct"/>
            <w:shd w:val="clear" w:color="auto" w:fill="auto"/>
            <w:noWrap/>
            <w:vAlign w:val="center"/>
          </w:tcPr>
          <w:p w14:paraId="48B3994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个</w:t>
            </w:r>
          </w:p>
        </w:tc>
        <w:tc>
          <w:tcPr>
            <w:tcW w:w="352" w:type="pct"/>
            <w:shd w:val="clear" w:color="auto" w:fill="auto"/>
            <w:noWrap w:val="0"/>
            <w:vAlign w:val="center"/>
          </w:tcPr>
          <w:p w14:paraId="5AFC9AB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20</w:t>
            </w:r>
          </w:p>
        </w:tc>
        <w:tc>
          <w:tcPr>
            <w:tcW w:w="524" w:type="pct"/>
            <w:vMerge w:val="continue"/>
            <w:shd w:val="clear" w:color="auto" w:fill="auto"/>
            <w:noWrap w:val="0"/>
            <w:vAlign w:val="center"/>
          </w:tcPr>
          <w:p w14:paraId="7CC17E9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2DC69330">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iCs w:val="0"/>
                <w:color w:val="auto"/>
                <w:sz w:val="18"/>
                <w:szCs w:val="18"/>
                <w:highlight w:val="none"/>
                <w:u w:val="none"/>
                <w:shd w:val="clear" w:color="auto" w:fill="auto"/>
              </w:rPr>
            </w:pPr>
          </w:p>
        </w:tc>
      </w:tr>
      <w:tr w14:paraId="63D79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138ADA7C">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4136591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病床（双摇、配床头柜、床垫）</w:t>
            </w:r>
          </w:p>
        </w:tc>
        <w:tc>
          <w:tcPr>
            <w:tcW w:w="1940" w:type="pct"/>
            <w:shd w:val="clear" w:color="auto" w:fill="auto"/>
            <w:noWrap w:val="0"/>
            <w:vAlign w:val="center"/>
          </w:tcPr>
          <w:p w14:paraId="07D1819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双摇床规格（相近即可）：2120×900×500mm ，床头柜规格（相近即可）500×400×760，床垫:半棕半海绵</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技术参数：</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1、床头、床尾：采用ABS工程塑料注塑成型,床头床尾为可拆卸式,带锁定开关,安装拆卸方便快捷,可兼做CPR板应急使用。床尾板上设有卡片插槽,材料选用透明亚克力材料制成</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2、护栏：护栏采用折叠式6档铝合金护栏,护栏横梁材料为铝合金且表面经过电泳着色、硬化处理，厚度≥1.5mm。立柱为6根Φ19×1.0mm不锈钢管,底座采用30×30×1.2mm矩形钢管, 护栏带有锁件、防夹手装置,活动式侧放结合, 双键保险快速定位开关,可立卧定位,护栏开关按放于床尾方向并标注有红色警示,避免误操作造成安全事故；护栏折叠收起时与床面同高,便于病患上下床且不易损坏,护栏折叠收起时与床面同高,使用方便安全</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3、床面：采用厚1.2mm的冷扎钢板, 钣金冲孔工艺一次冲压成型，每片床板含有渐变大小透气圆孔，达到散湿散热功能，具有防滑和床面加强功能。每张床由10片成品床板组成, 每片床板自动卷边,增加床面的承重力，床面板表面光洁。床板加装ABS工程塑料边套。病床采用双支撑卸力结构(提供床面实物图片),增强背部板安全性能。支撑管采用30×30×1.8mm的钢管焊接，设有床垫防滑装置，防止床垫左右侧移，防止床垫前后移动</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4、床边：采用40×60×1.2mm厚的钢制矩管焊接制成,床框每边设有2个吊水架孔,2个引流袋挂钩。输液架插孔，内镶钢制套管</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5、床腿：采用50×50×1.2mm厚的钢制矩管焊接制成，“H”型设计,与床体通过螺栓连接,方便拆装</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★6、摇杆：内藏式曲柄摇手,可折叠隐藏于床尾板下面,采用高强度ABS工程塑料注塑成型工艺,内置Φ10mm钢芯。导杆与丝杠衔接部分,采用钢制的万向节联结,丝杆为 45#钢双螺纹2.5mm 梯形设计，具有双向过盈保护功能,可保护摇杆之上限及下限,即背部及腿部长至最高点及降至最低点时,摇杆处于空摇状态,避免当丝杆旋至极点时再加载造成手摇系统的损坏。丝杆承重力≥5800N</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7、表面处理：采用双重涂层处理技术,除经过去油、除锈、磷化等工艺外,再进行静电粉末喷涂,表面使用自动流水线设备进行静电粉末喷涂,涂料有抗菌作用,成品色纯泽亮,喷塑层涂着均匀,细滑如丝,固着牢固不易脱落</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8、功能：背部可调节角度：0-75°±2°、腿部可调节角度：0-45°±2°</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9、承重力≥260KG</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10、床垫：床垫总厚度为80mm（40mm海绵+40mm椰棕），椰丝机压成型,不夹带其他杂物,椰丝经高温消毒和防蛀处理,不腐朽霉变,无有害生物和寄生虫。外套为深色防水耐磨布料,床垫两侧设有透气孔,带拉链可灵活拆卸。床垫具透气抗菌、防水防霉、耐磨、防滑、免拆洗,易清洁等特点</w:t>
            </w:r>
          </w:p>
        </w:tc>
        <w:tc>
          <w:tcPr>
            <w:tcW w:w="322" w:type="pct"/>
            <w:shd w:val="clear" w:color="auto" w:fill="auto"/>
            <w:noWrap w:val="0"/>
            <w:vAlign w:val="center"/>
          </w:tcPr>
          <w:p w14:paraId="31996D4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张</w:t>
            </w:r>
          </w:p>
        </w:tc>
        <w:tc>
          <w:tcPr>
            <w:tcW w:w="352" w:type="pct"/>
            <w:shd w:val="clear" w:color="auto" w:fill="auto"/>
            <w:noWrap w:val="0"/>
            <w:vAlign w:val="center"/>
          </w:tcPr>
          <w:p w14:paraId="7BA06B0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30</w:t>
            </w:r>
          </w:p>
        </w:tc>
        <w:tc>
          <w:tcPr>
            <w:tcW w:w="524" w:type="pct"/>
            <w:vMerge w:val="continue"/>
            <w:shd w:val="clear" w:color="auto" w:fill="auto"/>
            <w:noWrap w:val="0"/>
            <w:vAlign w:val="center"/>
          </w:tcPr>
          <w:p w14:paraId="7108269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7110448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无，符合国家医疗器械标准，有相应维修售后</w:t>
            </w:r>
          </w:p>
        </w:tc>
      </w:tr>
      <w:tr w14:paraId="2E99C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2038FF59">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6C817DE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诊疗用桌椅</w:t>
            </w:r>
          </w:p>
        </w:tc>
        <w:tc>
          <w:tcPr>
            <w:tcW w:w="1940" w:type="pct"/>
            <w:shd w:val="clear" w:color="auto" w:fill="auto"/>
            <w:noWrap w:val="0"/>
            <w:vAlign w:val="center"/>
          </w:tcPr>
          <w:p w14:paraId="22CA07A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约130cm*64cm*77cm（相近即可）,每张桌子需有配套板凳</w:t>
            </w:r>
          </w:p>
        </w:tc>
        <w:tc>
          <w:tcPr>
            <w:tcW w:w="322" w:type="pct"/>
            <w:shd w:val="clear" w:color="auto" w:fill="auto"/>
            <w:noWrap/>
            <w:vAlign w:val="center"/>
          </w:tcPr>
          <w:p w14:paraId="100B595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组</w:t>
            </w:r>
          </w:p>
        </w:tc>
        <w:tc>
          <w:tcPr>
            <w:tcW w:w="352" w:type="pct"/>
            <w:shd w:val="clear" w:color="auto" w:fill="auto"/>
            <w:noWrap w:val="0"/>
            <w:vAlign w:val="center"/>
          </w:tcPr>
          <w:p w14:paraId="7D810AA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15</w:t>
            </w:r>
          </w:p>
        </w:tc>
        <w:tc>
          <w:tcPr>
            <w:tcW w:w="524" w:type="pct"/>
            <w:vMerge w:val="continue"/>
            <w:shd w:val="clear" w:color="auto" w:fill="auto"/>
            <w:noWrap w:val="0"/>
            <w:vAlign w:val="center"/>
          </w:tcPr>
          <w:p w14:paraId="2FB1C03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4E1153F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用于病案室、药房、注射室等处使用办公桌椅，配套板凳</w:t>
            </w:r>
          </w:p>
        </w:tc>
      </w:tr>
      <w:tr w14:paraId="52178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1CD55D74">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5B4C1D1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医疗废弃物收纳柜</w:t>
            </w:r>
          </w:p>
        </w:tc>
        <w:tc>
          <w:tcPr>
            <w:tcW w:w="1940" w:type="pct"/>
            <w:shd w:val="clear" w:color="auto" w:fill="auto"/>
            <w:noWrap w:val="0"/>
            <w:vAlign w:val="center"/>
          </w:tcPr>
          <w:p w14:paraId="6C3CF617">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304不锈钢材质，可消毒，可设定消毒时长完成后自动关闭，防水防潮，消毒旋转式，双门800*800*400mm（相近即可）</w:t>
            </w:r>
          </w:p>
        </w:tc>
        <w:tc>
          <w:tcPr>
            <w:tcW w:w="322" w:type="pct"/>
            <w:shd w:val="clear" w:color="auto" w:fill="auto"/>
            <w:noWrap/>
            <w:vAlign w:val="center"/>
          </w:tcPr>
          <w:p w14:paraId="3819AA3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个</w:t>
            </w:r>
          </w:p>
        </w:tc>
        <w:tc>
          <w:tcPr>
            <w:tcW w:w="352" w:type="pct"/>
            <w:shd w:val="clear" w:color="auto" w:fill="auto"/>
            <w:noWrap w:val="0"/>
            <w:vAlign w:val="center"/>
          </w:tcPr>
          <w:p w14:paraId="579FA3B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w:t>
            </w:r>
          </w:p>
        </w:tc>
        <w:tc>
          <w:tcPr>
            <w:tcW w:w="524" w:type="pct"/>
            <w:vMerge w:val="continue"/>
            <w:shd w:val="clear" w:color="auto" w:fill="auto"/>
            <w:noWrap w:val="0"/>
            <w:vAlign w:val="center"/>
          </w:tcPr>
          <w:p w14:paraId="5365C85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159B63F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w:t>
            </w:r>
          </w:p>
        </w:tc>
      </w:tr>
      <w:tr w14:paraId="55B64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5C1F4F82">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5EA49F8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诊疗室储物柜（附图片）</w:t>
            </w:r>
          </w:p>
        </w:tc>
        <w:tc>
          <w:tcPr>
            <w:tcW w:w="1940" w:type="pct"/>
            <w:shd w:val="clear" w:color="auto" w:fill="auto"/>
            <w:noWrap w:val="0"/>
            <w:vAlign w:val="center"/>
          </w:tcPr>
          <w:p w14:paraId="370DF6A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default" w:ascii="宋体" w:hAnsi="宋体" w:eastAsia="宋体" w:cs="宋体"/>
                <w:i w:val="0"/>
                <w:iCs w:val="0"/>
                <w:color w:val="auto"/>
                <w:sz w:val="18"/>
                <w:szCs w:val="18"/>
                <w:highlight w:val="none"/>
                <w:u w:val="none"/>
                <w:shd w:val="clear" w:color="auto" w:fill="auto"/>
                <w:lang w:val="en-US"/>
              </w:rPr>
            </w:pPr>
            <w:r>
              <w:rPr>
                <w:rFonts w:hint="eastAsia" w:ascii="宋体" w:hAnsi="宋体" w:eastAsia="宋体" w:cs="宋体"/>
                <w:i w:val="0"/>
                <w:iCs w:val="0"/>
                <w:color w:val="auto"/>
                <w:kern w:val="0"/>
                <w:sz w:val="18"/>
                <w:szCs w:val="18"/>
                <w:highlight w:val="none"/>
                <w:u w:val="none"/>
                <w:shd w:val="clear" w:color="auto" w:fill="auto"/>
                <w:lang w:val="en-US" w:eastAsia="zh-CN" w:bidi="ar"/>
              </w:rPr>
              <w:t>产品规格（相近即可）：900×380×1750mm</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技术参数：</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1、药品柜采用δ1.0mm的不锈钢拉丝板扎制而成，表面亚光发纹不晕目</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2、药品柜为四门式设计</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3、上层为玻璃对开门，柜内设可调式隔板二块,下层为掩门柜和二个抽屉组成,柜内设可调式隔板一块,上下层距可随意调节</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4、柜门、抽屉均配备五金配件及锁定装置。</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5、焊接部分采用高标准熔接焊,表面平整光滑,坚固、耐腐蚀、易清洁、抗污垢、防渗透、耐冲击、耐高温，具有阻燃性、无毒</w:t>
            </w:r>
          </w:p>
        </w:tc>
        <w:tc>
          <w:tcPr>
            <w:tcW w:w="322" w:type="pct"/>
            <w:shd w:val="clear" w:color="auto" w:fill="auto"/>
            <w:noWrap/>
            <w:vAlign w:val="center"/>
          </w:tcPr>
          <w:p w14:paraId="4C75E26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组</w:t>
            </w:r>
          </w:p>
        </w:tc>
        <w:tc>
          <w:tcPr>
            <w:tcW w:w="352" w:type="pct"/>
            <w:shd w:val="clear" w:color="auto" w:fill="auto"/>
            <w:noWrap w:val="0"/>
            <w:vAlign w:val="center"/>
          </w:tcPr>
          <w:p w14:paraId="3386BA9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10</w:t>
            </w:r>
          </w:p>
        </w:tc>
        <w:tc>
          <w:tcPr>
            <w:tcW w:w="524" w:type="pct"/>
            <w:vMerge w:val="continue"/>
            <w:shd w:val="clear" w:color="auto" w:fill="auto"/>
            <w:noWrap w:val="0"/>
            <w:vAlign w:val="center"/>
          </w:tcPr>
          <w:p w14:paraId="654149E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3FE48B1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上三层开放式置物、中间抽屉、下二层带橱门储物空间</w:t>
            </w:r>
          </w:p>
        </w:tc>
      </w:tr>
      <w:tr w14:paraId="6A1E6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4F1FD26E">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661763D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治疗室调配工作台（附图片）</w:t>
            </w:r>
          </w:p>
        </w:tc>
        <w:tc>
          <w:tcPr>
            <w:tcW w:w="1940" w:type="pct"/>
            <w:shd w:val="clear" w:color="auto" w:fill="auto"/>
            <w:noWrap w:val="0"/>
            <w:vAlign w:val="center"/>
          </w:tcPr>
          <w:p w14:paraId="21DE95D1">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产品规格（相近即可）：1600×700×800-1750mm</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技术参数：</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1、治疗台面板及柜体均采用δ1.0mm厚的优质不锈钢拉丝板，易清洁、抗污垢、防渗透、耐冲击、耐高温，具有阻燃性、无毒等特点</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2、治疗台为上、下结构。</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3、治疗台上柜为双开门柜，柜内设隔板一块。柜门配有锁具装置</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4、治疗台下柜高度为800mm，并配有抽屉4只和2个大容量对开门柜，柜内设隔板一块。抽屉及柜门配有锁具装置</w:t>
            </w:r>
            <w:r>
              <w:rPr>
                <w:rFonts w:hint="eastAsia" w:ascii="宋体" w:hAnsi="宋体" w:eastAsia="宋体" w:cs="宋体"/>
                <w:i w:val="0"/>
                <w:iCs w:val="0"/>
                <w:color w:val="auto"/>
                <w:kern w:val="0"/>
                <w:sz w:val="18"/>
                <w:szCs w:val="18"/>
                <w:highlight w:val="none"/>
                <w:u w:val="none"/>
                <w:shd w:val="clear" w:color="auto" w:fill="auto"/>
                <w:lang w:val="en-US" w:eastAsia="zh-CN" w:bidi="ar"/>
              </w:rPr>
              <w:br w:type="textWrapping"/>
            </w:r>
            <w:r>
              <w:rPr>
                <w:rFonts w:hint="eastAsia" w:ascii="宋体" w:hAnsi="宋体" w:eastAsia="宋体" w:cs="宋体"/>
                <w:i w:val="0"/>
                <w:iCs w:val="0"/>
                <w:color w:val="auto"/>
                <w:kern w:val="0"/>
                <w:sz w:val="18"/>
                <w:szCs w:val="18"/>
                <w:highlight w:val="none"/>
                <w:u w:val="none"/>
                <w:shd w:val="clear" w:color="auto" w:fill="auto"/>
                <w:lang w:val="en-US" w:eastAsia="zh-CN" w:bidi="ar"/>
              </w:rPr>
              <w:t>治疗台内部离地10cm存放，避免细菌及潮湿的侵害</w:t>
            </w:r>
          </w:p>
        </w:tc>
        <w:tc>
          <w:tcPr>
            <w:tcW w:w="322" w:type="pct"/>
            <w:shd w:val="clear" w:color="auto" w:fill="auto"/>
            <w:noWrap/>
            <w:vAlign w:val="center"/>
          </w:tcPr>
          <w:p w14:paraId="42182A5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组</w:t>
            </w:r>
          </w:p>
        </w:tc>
        <w:tc>
          <w:tcPr>
            <w:tcW w:w="352" w:type="pct"/>
            <w:shd w:val="clear" w:color="auto" w:fill="auto"/>
            <w:noWrap/>
            <w:vAlign w:val="center"/>
          </w:tcPr>
          <w:p w14:paraId="293A4A3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4</w:t>
            </w:r>
          </w:p>
        </w:tc>
        <w:tc>
          <w:tcPr>
            <w:tcW w:w="524" w:type="pct"/>
            <w:vMerge w:val="continue"/>
            <w:shd w:val="clear" w:color="auto" w:fill="auto"/>
            <w:noWrap w:val="0"/>
            <w:vAlign w:val="center"/>
          </w:tcPr>
          <w:p w14:paraId="4CEAEFF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3F3AD50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上层为带橱门储物层中间为水平工作台，台下为抽屉和橱柜储物空间</w:t>
            </w:r>
          </w:p>
        </w:tc>
      </w:tr>
      <w:tr w14:paraId="4EC88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0"/>
            <w:vAlign w:val="center"/>
          </w:tcPr>
          <w:p w14:paraId="1DD0C0A8">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5944705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拐杖</w:t>
            </w:r>
          </w:p>
        </w:tc>
        <w:tc>
          <w:tcPr>
            <w:tcW w:w="1940" w:type="pct"/>
            <w:shd w:val="clear" w:color="auto" w:fill="auto"/>
            <w:noWrap w:val="0"/>
            <w:vAlign w:val="center"/>
          </w:tcPr>
          <w:p w14:paraId="59DE1E8D">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腋下款，加厚不锈钢款</w:t>
            </w:r>
          </w:p>
        </w:tc>
        <w:tc>
          <w:tcPr>
            <w:tcW w:w="322" w:type="pct"/>
            <w:shd w:val="clear" w:color="auto" w:fill="auto"/>
            <w:noWrap/>
            <w:vAlign w:val="center"/>
          </w:tcPr>
          <w:p w14:paraId="73DE45C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个</w:t>
            </w:r>
          </w:p>
        </w:tc>
        <w:tc>
          <w:tcPr>
            <w:tcW w:w="352" w:type="pct"/>
            <w:shd w:val="clear" w:color="auto" w:fill="auto"/>
            <w:noWrap/>
            <w:vAlign w:val="center"/>
          </w:tcPr>
          <w:p w14:paraId="1762D63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6</w:t>
            </w:r>
          </w:p>
        </w:tc>
        <w:tc>
          <w:tcPr>
            <w:tcW w:w="524" w:type="pct"/>
            <w:vMerge w:val="continue"/>
            <w:shd w:val="clear" w:color="auto" w:fill="auto"/>
            <w:noWrap w:val="0"/>
            <w:vAlign w:val="center"/>
          </w:tcPr>
          <w:p w14:paraId="3C8C270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0"/>
            <w:vAlign w:val="center"/>
          </w:tcPr>
          <w:p w14:paraId="69E7CA36">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辅助行走</w:t>
            </w:r>
          </w:p>
        </w:tc>
      </w:tr>
      <w:tr w14:paraId="67C85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0" w:hRule="atLeast"/>
        </w:trPr>
        <w:tc>
          <w:tcPr>
            <w:tcW w:w="233" w:type="pct"/>
            <w:shd w:val="clear" w:color="auto" w:fill="auto"/>
            <w:noWrap/>
            <w:vAlign w:val="center"/>
          </w:tcPr>
          <w:p w14:paraId="6A79C2CD">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425" w:leftChars="0" w:hanging="425" w:firstLineChars="0"/>
              <w:jc w:val="center"/>
              <w:textAlignment w:val="center"/>
              <w:rPr>
                <w:rFonts w:hint="eastAsia" w:ascii="宋体" w:hAnsi="宋体" w:eastAsia="宋体" w:cs="宋体"/>
                <w:i w:val="0"/>
                <w:iCs w:val="0"/>
                <w:color w:val="auto"/>
                <w:sz w:val="18"/>
                <w:szCs w:val="18"/>
                <w:highlight w:val="none"/>
                <w:u w:val="none"/>
                <w:shd w:val="clear" w:color="auto" w:fill="auto"/>
              </w:rPr>
            </w:pPr>
          </w:p>
        </w:tc>
        <w:tc>
          <w:tcPr>
            <w:tcW w:w="443" w:type="pct"/>
            <w:shd w:val="clear" w:color="auto" w:fill="auto"/>
            <w:noWrap w:val="0"/>
            <w:vAlign w:val="center"/>
          </w:tcPr>
          <w:p w14:paraId="0B89039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医用担架车</w:t>
            </w:r>
          </w:p>
        </w:tc>
        <w:tc>
          <w:tcPr>
            <w:tcW w:w="1940" w:type="pct"/>
            <w:shd w:val="clear" w:color="auto" w:fill="auto"/>
            <w:noWrap w:val="0"/>
            <w:vAlign w:val="center"/>
          </w:tcPr>
          <w:p w14:paraId="4B69C4A1">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万向轮，带扶手，符合国家医疗器械标准</w:t>
            </w:r>
          </w:p>
        </w:tc>
        <w:tc>
          <w:tcPr>
            <w:tcW w:w="322" w:type="pct"/>
            <w:shd w:val="clear" w:color="auto" w:fill="auto"/>
            <w:noWrap/>
            <w:vAlign w:val="center"/>
          </w:tcPr>
          <w:p w14:paraId="6E81EC7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个</w:t>
            </w:r>
          </w:p>
        </w:tc>
        <w:tc>
          <w:tcPr>
            <w:tcW w:w="352" w:type="pct"/>
            <w:shd w:val="clear" w:color="auto" w:fill="auto"/>
            <w:noWrap/>
            <w:vAlign w:val="center"/>
          </w:tcPr>
          <w:p w14:paraId="5C23E8D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3</w:t>
            </w:r>
          </w:p>
        </w:tc>
        <w:tc>
          <w:tcPr>
            <w:tcW w:w="524" w:type="pct"/>
            <w:vMerge w:val="continue"/>
            <w:shd w:val="clear" w:color="auto" w:fill="auto"/>
            <w:noWrap/>
            <w:vAlign w:val="center"/>
          </w:tcPr>
          <w:p w14:paraId="0D8972F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18"/>
                <w:szCs w:val="18"/>
                <w:highlight w:val="none"/>
                <w:u w:val="none"/>
                <w:shd w:val="clear" w:color="auto" w:fill="auto"/>
                <w:lang w:val="en-US" w:eastAsia="zh-CN" w:bidi="ar"/>
              </w:rPr>
            </w:pPr>
          </w:p>
        </w:tc>
        <w:tc>
          <w:tcPr>
            <w:tcW w:w="1183" w:type="pct"/>
            <w:shd w:val="clear" w:color="auto" w:fill="auto"/>
            <w:noWrap/>
            <w:vAlign w:val="center"/>
          </w:tcPr>
          <w:p w14:paraId="2005934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auto"/>
                <w:sz w:val="18"/>
                <w:szCs w:val="18"/>
                <w:highlight w:val="none"/>
                <w:u w:val="none"/>
                <w:shd w:val="clear" w:color="auto" w:fill="auto"/>
              </w:rPr>
            </w:pPr>
            <w:r>
              <w:rPr>
                <w:rFonts w:hint="eastAsia" w:ascii="宋体" w:hAnsi="宋体" w:eastAsia="宋体" w:cs="宋体"/>
                <w:i w:val="0"/>
                <w:iCs w:val="0"/>
                <w:color w:val="auto"/>
                <w:kern w:val="0"/>
                <w:sz w:val="18"/>
                <w:szCs w:val="18"/>
                <w:highlight w:val="none"/>
                <w:u w:val="none"/>
                <w:shd w:val="clear" w:color="auto" w:fill="auto"/>
                <w:lang w:val="en-US" w:eastAsia="zh-CN" w:bidi="ar"/>
              </w:rPr>
              <w:t>可直接推上120救护车</w:t>
            </w:r>
          </w:p>
        </w:tc>
      </w:tr>
    </w:tbl>
    <w:p w14:paraId="0CE44AC5">
      <w:pPr>
        <w:pStyle w:val="7"/>
        <w:rPr>
          <w:rFonts w:hint="eastAsia" w:hAnsi="宋体" w:cs="宋体"/>
          <w:b/>
          <w:bCs/>
          <w:szCs w:val="21"/>
          <w:lang w:val="en-US" w:eastAsia="zh-CN"/>
        </w:rPr>
      </w:pPr>
      <w:r>
        <w:rPr>
          <w:rFonts w:hint="eastAsia" w:hAnsi="宋体" w:cs="宋体"/>
          <w:b/>
          <w:bCs/>
          <w:szCs w:val="21"/>
          <w:lang w:val="en-US" w:eastAsia="zh-CN"/>
        </w:rPr>
        <w:t>03包</w:t>
      </w:r>
    </w:p>
    <w:tbl>
      <w:tblPr>
        <w:tblStyle w:val="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51"/>
        <w:gridCol w:w="752"/>
        <w:gridCol w:w="4760"/>
        <w:gridCol w:w="752"/>
        <w:gridCol w:w="752"/>
        <w:gridCol w:w="752"/>
      </w:tblGrid>
      <w:tr w14:paraId="3380A9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6"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5459A21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序号</w:t>
            </w:r>
          </w:p>
        </w:tc>
        <w:tc>
          <w:tcPr>
            <w:tcW w:w="441" w:type="pct"/>
            <w:tcBorders>
              <w:top w:val="single" w:color="000000" w:sz="4" w:space="0"/>
              <w:left w:val="single" w:color="000000" w:sz="4" w:space="0"/>
              <w:bottom w:val="single" w:color="000000" w:sz="4" w:space="0"/>
              <w:right w:val="single" w:color="000000" w:sz="4" w:space="0"/>
            </w:tcBorders>
            <w:noWrap w:val="0"/>
            <w:vAlign w:val="center"/>
          </w:tcPr>
          <w:p w14:paraId="3D547A0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w:t>
            </w:r>
          </w:p>
        </w:tc>
        <w:tc>
          <w:tcPr>
            <w:tcW w:w="2793" w:type="pct"/>
            <w:tcBorders>
              <w:top w:val="single" w:color="000000" w:sz="4" w:space="0"/>
              <w:left w:val="single" w:color="000000" w:sz="4" w:space="0"/>
              <w:bottom w:val="single" w:color="000000" w:sz="4" w:space="0"/>
              <w:right w:val="single" w:color="000000" w:sz="4" w:space="0"/>
            </w:tcBorders>
            <w:noWrap w:val="0"/>
            <w:vAlign w:val="center"/>
          </w:tcPr>
          <w:p w14:paraId="0EB6D8A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主要技术参数</w:t>
            </w:r>
          </w:p>
        </w:tc>
        <w:tc>
          <w:tcPr>
            <w:tcW w:w="441" w:type="pct"/>
            <w:tcBorders>
              <w:top w:val="single" w:color="000000" w:sz="4" w:space="0"/>
              <w:left w:val="single" w:color="000000" w:sz="4" w:space="0"/>
              <w:bottom w:val="single" w:color="000000" w:sz="4" w:space="0"/>
              <w:right w:val="single" w:color="000000" w:sz="4" w:space="0"/>
            </w:tcBorders>
            <w:noWrap w:val="0"/>
            <w:vAlign w:val="center"/>
          </w:tcPr>
          <w:p w14:paraId="3A95EFA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441" w:type="pct"/>
            <w:tcBorders>
              <w:top w:val="single" w:color="000000" w:sz="4" w:space="0"/>
              <w:left w:val="single" w:color="000000" w:sz="4" w:space="0"/>
              <w:bottom w:val="single" w:color="000000" w:sz="4" w:space="0"/>
              <w:right w:val="single" w:color="000000" w:sz="4" w:space="0"/>
            </w:tcBorders>
            <w:noWrap w:val="0"/>
            <w:vAlign w:val="center"/>
          </w:tcPr>
          <w:p w14:paraId="41E15F0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441" w:type="pct"/>
            <w:tcBorders>
              <w:top w:val="single" w:color="000000" w:sz="4" w:space="0"/>
              <w:left w:val="single" w:color="000000" w:sz="4" w:space="0"/>
              <w:bottom w:val="single" w:color="000000" w:sz="4" w:space="0"/>
              <w:right w:val="single" w:color="000000" w:sz="4" w:space="0"/>
            </w:tcBorders>
            <w:noWrap w:val="0"/>
            <w:vAlign w:val="center"/>
          </w:tcPr>
          <w:p w14:paraId="4DD0530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宋体" w:hAnsi="宋体" w:eastAsia="宋体" w:cs="宋体"/>
                <w:b/>
                <w:bCs/>
                <w:i w:val="0"/>
                <w:iCs w:val="0"/>
                <w:color w:val="000000"/>
                <w:kern w:val="0"/>
                <w:sz w:val="18"/>
                <w:szCs w:val="18"/>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所属行业</w:t>
            </w:r>
          </w:p>
        </w:tc>
      </w:tr>
      <w:tr w14:paraId="5F0EF1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1" w:hRule="atLeast"/>
        </w:trPr>
        <w:tc>
          <w:tcPr>
            <w:tcW w:w="441" w:type="pct"/>
            <w:tcBorders>
              <w:top w:val="single" w:color="000000" w:sz="4" w:space="0"/>
              <w:left w:val="single" w:color="000000" w:sz="4" w:space="0"/>
              <w:bottom w:val="single" w:color="000000" w:sz="4" w:space="0"/>
              <w:right w:val="single" w:color="000000" w:sz="4" w:space="0"/>
            </w:tcBorders>
            <w:noWrap w:val="0"/>
            <w:vAlign w:val="center"/>
          </w:tcPr>
          <w:p w14:paraId="0D3503A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441" w:type="pct"/>
            <w:tcBorders>
              <w:top w:val="single" w:color="000000" w:sz="4" w:space="0"/>
              <w:left w:val="single" w:color="000000" w:sz="4" w:space="0"/>
              <w:bottom w:val="single" w:color="000000" w:sz="4" w:space="0"/>
              <w:right w:val="single" w:color="000000" w:sz="4" w:space="0"/>
            </w:tcBorders>
            <w:noWrap w:val="0"/>
            <w:vAlign w:val="center"/>
          </w:tcPr>
          <w:p w14:paraId="44636B3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监狱医院运送医疗物资用四轮平板电动车</w:t>
            </w:r>
          </w:p>
        </w:tc>
        <w:tc>
          <w:tcPr>
            <w:tcW w:w="2793" w:type="pct"/>
            <w:tcBorders>
              <w:top w:val="single" w:color="000000" w:sz="4" w:space="0"/>
              <w:left w:val="single" w:color="000000" w:sz="4" w:space="0"/>
              <w:bottom w:val="single" w:color="000000" w:sz="4" w:space="0"/>
              <w:right w:val="single" w:color="000000" w:sz="4" w:space="0"/>
            </w:tcBorders>
            <w:noWrap w:val="0"/>
            <w:vAlign w:val="center"/>
          </w:tcPr>
          <w:p w14:paraId="59D1E8FD">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1、技术参数：长*宽*高 (mm) ≥3550*1400*1800；</w:t>
            </w:r>
          </w:p>
          <w:p w14:paraId="636A6CAB">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2、三人连排矮靠背座椅（皮革面料+高回弹PU）；</w:t>
            </w:r>
          </w:p>
          <w:p w14:paraId="5ECBF13A">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3、斗： ≥  1800*1350*300（栏杆）全金属材质+框架式护栏结构+钢制顶棚 ；</w:t>
            </w:r>
          </w:p>
          <w:p w14:paraId="34AB8182">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4、大灯+转向灯+刹车灯+倒车灯+LED警示灯+喇叭+倒车影像+倒车报警器，含警灯喊话器；</w:t>
            </w:r>
          </w:p>
          <w:p w14:paraId="652165A9">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5、48V 3.5KW 交流串励电机；</w:t>
            </w:r>
          </w:p>
          <w:p w14:paraId="6E9F36E2">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6、48V 210AH h火炬免维护电池；</w:t>
            </w:r>
          </w:p>
          <w:p w14:paraId="51D1758F">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7、电控具有智能控制器自保护功能，防电磁干扰、防飞车、启动延时和倒车减速等安全保护功能；</w:t>
            </w:r>
          </w:p>
          <w:p w14:paraId="70BE6E78">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8、充电机为高频智能48/30A充电机，充电器设有断路保护装置，蓄电池充电完毕后可自动断电，有效保护蓄电池，延长蓄电池的使用寿命；</w:t>
            </w:r>
          </w:p>
          <w:p w14:paraId="4F90D92A">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9、驾驶室采用模具冲压成型金属车身半封闭式驾驶室，前挡风玻璃采用弧形双层夹胶玻璃，左右侧、后挡风玻璃采用钢化玻璃，</w:t>
            </w:r>
          </w:p>
          <w:p w14:paraId="2CBCF008">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10、收音机，仪表，雨刮器，双大灯。</w:t>
            </w:r>
          </w:p>
          <w:p w14:paraId="7E2507DC">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11、可以根据客户需要定制喷色方案；</w:t>
            </w:r>
          </w:p>
          <w:p w14:paraId="74B803AA">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12、前桥独立悬挂、螺旋弹簧；后桥整体式后桥、带主减速及差速器；车架框架式结构，主梁采用内撑加强结构；</w:t>
            </w:r>
          </w:p>
          <w:p w14:paraId="7D821179">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13、铝合金轮毂，子午线12寸真空轮胎；</w:t>
            </w:r>
          </w:p>
          <w:p w14:paraId="06358F28">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14、电动真空助力+前碟后鼓式双回路液压系统+驻车制动装置；</w:t>
            </w:r>
          </w:p>
          <w:p w14:paraId="573D7F41">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15、汽车方向盘、齿轮齿条式方向机、客车方向管柱+EPS电子助力；钢板弹簧悬挂；</w:t>
            </w:r>
          </w:p>
          <w:p w14:paraId="65619C20">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16、无级变速（电机直接驱动）；</w:t>
            </w:r>
          </w:p>
          <w:p w14:paraId="56436963">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17、防水阻燃线束+YH橡胶主电源线+汽车保险盒系统</w:t>
            </w:r>
          </w:p>
        </w:tc>
        <w:tc>
          <w:tcPr>
            <w:tcW w:w="441" w:type="pct"/>
            <w:tcBorders>
              <w:top w:val="single" w:color="000000" w:sz="4" w:space="0"/>
              <w:left w:val="single" w:color="000000" w:sz="4" w:space="0"/>
              <w:bottom w:val="single" w:color="000000" w:sz="4" w:space="0"/>
              <w:right w:val="single" w:color="000000" w:sz="4" w:space="0"/>
            </w:tcBorders>
            <w:noWrap/>
            <w:vAlign w:val="center"/>
          </w:tcPr>
          <w:p w14:paraId="5717710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441" w:type="pct"/>
            <w:tcBorders>
              <w:top w:val="single" w:color="000000" w:sz="4" w:space="0"/>
              <w:left w:val="single" w:color="000000" w:sz="4" w:space="0"/>
              <w:bottom w:val="single" w:color="000000" w:sz="4" w:space="0"/>
              <w:right w:val="single" w:color="000000" w:sz="4" w:space="0"/>
            </w:tcBorders>
            <w:noWrap/>
            <w:vAlign w:val="center"/>
          </w:tcPr>
          <w:p w14:paraId="5DE3646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441" w:type="pct"/>
            <w:tcBorders>
              <w:top w:val="single" w:color="000000" w:sz="4" w:space="0"/>
              <w:left w:val="single" w:color="000000" w:sz="4" w:space="0"/>
              <w:bottom w:val="single" w:color="000000" w:sz="4" w:space="0"/>
              <w:right w:val="single" w:color="000000" w:sz="4" w:space="0"/>
            </w:tcBorders>
            <w:noWrap/>
            <w:vAlign w:val="center"/>
          </w:tcPr>
          <w:p w14:paraId="759649F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工业</w:t>
            </w:r>
          </w:p>
        </w:tc>
      </w:tr>
    </w:tbl>
    <w:p w14:paraId="71EEB9AB">
      <w:pPr>
        <w:spacing w:line="360" w:lineRule="auto"/>
        <w:ind w:firstLine="437"/>
        <w:outlineLvl w:val="1"/>
        <w:rPr>
          <w:rFonts w:hint="eastAsia" w:ascii="宋体" w:hAnsi="宋体" w:cs="宋体"/>
          <w:b/>
          <w:bCs/>
          <w:szCs w:val="21"/>
        </w:rPr>
      </w:pPr>
      <w:r>
        <w:rPr>
          <w:rFonts w:hint="eastAsia" w:ascii="宋体" w:hAnsi="宋体" w:cs="宋体"/>
          <w:b/>
          <w:bCs/>
          <w:szCs w:val="21"/>
        </w:rPr>
        <w:t>三、报价要求</w:t>
      </w:r>
      <w:bookmarkEnd w:id="5"/>
      <w:bookmarkEnd w:id="6"/>
    </w:p>
    <w:p w14:paraId="790095A8">
      <w:pPr>
        <w:spacing w:line="360" w:lineRule="auto"/>
        <w:ind w:firstLine="437"/>
        <w:rPr>
          <w:rFonts w:hint="eastAsia" w:ascii="宋体" w:hAnsi="宋体" w:cs="宋体"/>
          <w:bCs/>
          <w:szCs w:val="21"/>
        </w:rPr>
      </w:pPr>
      <w:r>
        <w:rPr>
          <w:rFonts w:hint="eastAsia" w:ascii="宋体" w:hAnsi="宋体" w:eastAsia="宋体" w:cs="宋体"/>
          <w:spacing w:val="-2"/>
          <w:sz w:val="24"/>
          <w:szCs w:val="24"/>
          <w:highlight w:val="none"/>
        </w:rPr>
        <w:t>本项目报总价，</w:t>
      </w:r>
      <w:r>
        <w:rPr>
          <w:rFonts w:hint="eastAsia" w:ascii="宋体" w:hAnsi="宋体" w:eastAsia="宋体" w:cs="宋体"/>
          <w:spacing w:val="-2"/>
          <w:sz w:val="24"/>
          <w:szCs w:val="24"/>
          <w:highlight w:val="none"/>
          <w:lang w:val="en-US" w:eastAsia="zh-CN"/>
        </w:rPr>
        <w:t>采用总价包干，</w:t>
      </w:r>
      <w:r>
        <w:rPr>
          <w:rFonts w:hint="eastAsia" w:ascii="宋体" w:hAnsi="宋体" w:eastAsia="宋体" w:cs="宋体"/>
          <w:spacing w:val="-2"/>
          <w:sz w:val="24"/>
          <w:szCs w:val="24"/>
          <w:highlight w:val="none"/>
        </w:rPr>
        <w:t>总价包含为完成所投包别范围内所需的一切费用。所报总价不得超过所投包别对应最高限价，</w:t>
      </w:r>
      <w:r>
        <w:rPr>
          <w:rFonts w:hint="eastAsia" w:ascii="宋体" w:hAnsi="宋体" w:eastAsia="宋体" w:cs="宋体"/>
          <w:b/>
          <w:bCs/>
          <w:spacing w:val="-2"/>
          <w:sz w:val="24"/>
          <w:szCs w:val="24"/>
          <w:highlight w:val="none"/>
        </w:rPr>
        <w:t>否则投标无效</w:t>
      </w:r>
      <w:r>
        <w:rPr>
          <w:rFonts w:hint="eastAsia" w:ascii="宋体" w:hAnsi="宋体" w:eastAsia="宋体" w:cs="宋体"/>
          <w:spacing w:val="-2"/>
          <w:sz w:val="24"/>
          <w:szCs w:val="24"/>
          <w:highlight w:val="none"/>
        </w:rPr>
        <w:t>。</w:t>
      </w:r>
      <w:r>
        <w:rPr>
          <w:rFonts w:hint="eastAsia" w:ascii="宋体" w:hAnsi="宋体" w:eastAsia="宋体" w:cs="宋体"/>
          <w:spacing w:val="-1"/>
          <w:sz w:val="24"/>
          <w:szCs w:val="24"/>
          <w:highlight w:val="none"/>
        </w:rPr>
        <w:t>采购人后期不再追加任何费用，请投标人谨慎报价。</w:t>
      </w:r>
    </w:p>
    <w:p w14:paraId="08FC9CE0">
      <w:pPr>
        <w:spacing w:line="360" w:lineRule="auto"/>
        <w:ind w:firstLine="437"/>
        <w:outlineLvl w:val="1"/>
        <w:rPr>
          <w:rFonts w:hint="eastAsia" w:ascii="宋体" w:hAnsi="宋体" w:cs="宋体"/>
          <w:b/>
          <w:bCs/>
          <w:szCs w:val="21"/>
        </w:rPr>
      </w:pPr>
      <w:bookmarkStart w:id="7" w:name="_Toc14698"/>
      <w:bookmarkStart w:id="8" w:name="_Toc15293"/>
      <w:r>
        <w:rPr>
          <w:rFonts w:hint="eastAsia" w:ascii="宋体" w:hAnsi="宋体" w:cs="宋体"/>
          <w:b/>
          <w:bCs/>
          <w:szCs w:val="21"/>
        </w:rPr>
        <w:t>四、其他要求</w:t>
      </w:r>
      <w:bookmarkEnd w:id="7"/>
      <w:bookmarkEnd w:id="8"/>
    </w:p>
    <w:p w14:paraId="0B1D33C5">
      <w:r>
        <w:rPr>
          <w:rFonts w:hint="eastAsia" w:ascii="宋体" w:hAnsi="宋体" w:eastAsia="宋体" w:cs="宋体"/>
          <w:sz w:val="24"/>
          <w:szCs w:val="24"/>
          <w:lang w:val="en-US" w:eastAsia="zh-CN"/>
        </w:rPr>
        <w:t>合同签订后45个日历天完成供货、安装</w:t>
      </w:r>
      <w:r>
        <w:rPr>
          <w:rFonts w:hint="eastAsia" w:ascii="宋体" w:hAnsi="宋体" w:cs="宋体"/>
          <w:sz w:val="24"/>
          <w:szCs w:val="24"/>
          <w:lang w:val="en-US" w:eastAsia="zh-CN"/>
        </w:rPr>
        <w:t>、</w:t>
      </w:r>
      <w:r>
        <w:rPr>
          <w:rFonts w:hint="eastAsia" w:ascii="宋体" w:hAnsi="宋体" w:eastAsia="宋体" w:cs="宋体"/>
          <w:sz w:val="24"/>
          <w:szCs w:val="24"/>
          <w:lang w:val="en-US" w:eastAsia="zh-CN"/>
        </w:rPr>
        <w:t>调试、验收工作。</w:t>
      </w:r>
      <w:bookmarkStart w:id="9" w:name="_GoBack"/>
      <w:bookmarkEnd w:id="9"/>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FC409B"/>
    <w:multiLevelType w:val="singleLevel"/>
    <w:tmpl w:val="FCFC409B"/>
    <w:lvl w:ilvl="0" w:tentative="0">
      <w:start w:val="1"/>
      <w:numFmt w:val="decimal"/>
      <w:lvlText w:val="%1."/>
      <w:lvlJc w:val="left"/>
      <w:pPr>
        <w:ind w:left="425" w:hanging="425"/>
      </w:pPr>
      <w:rPr>
        <w:rFonts w:hint="default"/>
      </w:rPr>
    </w:lvl>
  </w:abstractNum>
  <w:abstractNum w:abstractNumId="1">
    <w:nsid w:val="12EC264E"/>
    <w:multiLevelType w:val="singleLevel"/>
    <w:tmpl w:val="12EC264E"/>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3B81064"/>
    <w:rsid w:val="28981F1C"/>
    <w:rsid w:val="2B6D0468"/>
    <w:rsid w:val="4CF94D1E"/>
    <w:rsid w:val="62C005B3"/>
    <w:rsid w:val="7BE1459C"/>
    <w:rsid w:val="7F546D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40" w:lineRule="exact"/>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0"/>
    <w:pPr>
      <w:keepNext/>
      <w:keepLines/>
      <w:spacing w:beforeLines="0" w:afterLines="0" w:line="640" w:lineRule="exact"/>
      <w:outlineLvl w:val="0"/>
    </w:pPr>
    <w:rPr>
      <w:rFonts w:ascii="Times New Roman" w:hAnsi="Times New Roman" w:eastAsia="黑体" w:cs="Times New Roman"/>
      <w:color w:val="000000"/>
      <w:spacing w:val="11"/>
      <w:kern w:val="21"/>
      <w:sz w:val="28"/>
      <w:szCs w:val="24"/>
    </w:rPr>
  </w:style>
  <w:style w:type="paragraph" w:styleId="3">
    <w:name w:val="heading 2"/>
    <w:basedOn w:val="1"/>
    <w:next w:val="1"/>
    <w:semiHidden/>
    <w:unhideWhenUsed/>
    <w:qFormat/>
    <w:uiPriority w:val="0"/>
    <w:pPr>
      <w:keepNext/>
      <w:keepLines/>
      <w:spacing w:line="360" w:lineRule="auto"/>
      <w:jc w:val="center"/>
      <w:outlineLvl w:val="1"/>
    </w:pPr>
    <w:rPr>
      <w:rFonts w:ascii="等线 Light" w:hAnsi="等线 Light" w:eastAsia="等线 Light"/>
      <w:b/>
      <w:bCs/>
      <w:sz w:val="32"/>
      <w:szCs w:val="32"/>
    </w:rPr>
  </w:style>
  <w:style w:type="paragraph" w:styleId="4">
    <w:name w:val="heading 3"/>
    <w:basedOn w:val="1"/>
    <w:next w:val="1"/>
    <w:semiHidden/>
    <w:unhideWhenUsed/>
    <w:qFormat/>
    <w:uiPriority w:val="0"/>
    <w:pPr>
      <w:keepNext/>
      <w:keepLines/>
      <w:spacing w:beforeLines="0" w:beforeAutospacing="0" w:afterLines="0" w:afterAutospacing="0" w:line="360" w:lineRule="auto"/>
      <w:jc w:val="center"/>
      <w:outlineLvl w:val="2"/>
    </w:pPr>
    <w:rPr>
      <w:rFonts w:asciiTheme="minorAscii" w:hAnsiTheme="minorAscii"/>
      <w:b/>
      <w:sz w:val="28"/>
    </w:rPr>
  </w:style>
  <w:style w:type="paragraph" w:styleId="5">
    <w:name w:val="heading 4"/>
    <w:basedOn w:val="1"/>
    <w:next w:val="1"/>
    <w:semiHidden/>
    <w:unhideWhenUsed/>
    <w:qFormat/>
    <w:uiPriority w:val="0"/>
    <w:pPr>
      <w:keepNext/>
      <w:keepLines/>
      <w:spacing w:beforeLines="0" w:beforeAutospacing="0" w:afterLines="0" w:afterAutospacing="0" w:line="360" w:lineRule="auto"/>
      <w:jc w:val="left"/>
      <w:outlineLvl w:val="3"/>
    </w:pPr>
    <w:rPr>
      <w:rFonts w:ascii="Arial" w:hAnsi="Arial" w:eastAsia="宋体"/>
      <w:b/>
      <w:sz w:val="24"/>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6">
    <w:name w:val="annotation text"/>
    <w:basedOn w:val="1"/>
    <w:qFormat/>
    <w:uiPriority w:val="0"/>
    <w:pPr>
      <w:jc w:val="left"/>
    </w:pPr>
    <w:rPr>
      <w:szCs w:val="20"/>
    </w:rPr>
  </w:style>
  <w:style w:type="paragraph" w:styleId="7">
    <w:name w:val="Body Text"/>
    <w:basedOn w:val="1"/>
    <w:uiPriority w:val="0"/>
    <w:rPr>
      <w:rFonts w:ascii="宋体" w:hAnsi="Arial"/>
      <w:sz w:val="28"/>
      <w:szCs w:val="20"/>
    </w:rPr>
  </w:style>
  <w:style w:type="paragraph" w:styleId="8">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customStyle="1" w:styleId="11">
    <w:name w:val="D&amp;L"/>
    <w:basedOn w:val="8"/>
    <w:qFormat/>
    <w:uiPriority w:val="99"/>
    <w:pPr>
      <w:pBdr>
        <w:bottom w:val="thinThickSmallGap" w:color="auto" w:sz="18" w:space="1"/>
      </w:pBdr>
      <w:adjustRightInd w:val="0"/>
      <w:snapToGrid/>
      <w:spacing w:line="240" w:lineRule="atLeast"/>
      <w:textAlignment w:val="baseline"/>
    </w:pPr>
    <w:rPr>
      <w:kern w:val="0"/>
      <w:sz w:val="24"/>
      <w:szCs w:val="20"/>
    </w:rPr>
  </w:style>
  <w:style w:type="paragraph" w:customStyle="1" w:styleId="12">
    <w:name w:val="xl31"/>
    <w:basedOn w:val="1"/>
    <w:qFormat/>
    <w:uiPriority w:val="0"/>
    <w:pPr>
      <w:widowControl/>
      <w:spacing w:before="100" w:beforeAutospacing="1" w:after="100" w:afterAutospacing="1"/>
      <w:jc w:val="center"/>
    </w:pPr>
    <w:rPr>
      <w:rFonts w:ascii="宋体" w:hAnsi="宋体"/>
      <w:b/>
      <w:bCs/>
      <w:kern w:val="0"/>
      <w:sz w:val="28"/>
      <w:szCs w:val="28"/>
    </w:rPr>
  </w:style>
  <w:style w:type="character" w:customStyle="1" w:styleId="13">
    <w:name w:val="font71"/>
    <w:basedOn w:val="10"/>
    <w:qFormat/>
    <w:uiPriority w:val="0"/>
    <w:rPr>
      <w:rFonts w:hint="eastAsia" w:ascii="宋体" w:hAnsi="宋体" w:eastAsia="宋体" w:cs="宋体"/>
      <w:color w:val="000000"/>
      <w:sz w:val="21"/>
      <w:szCs w:val="21"/>
      <w:u w:val="none"/>
    </w:rPr>
  </w:style>
  <w:style w:type="character" w:customStyle="1" w:styleId="14">
    <w:name w:val="font81"/>
    <w:basedOn w:val="10"/>
    <w:qFormat/>
    <w:uiPriority w:val="0"/>
    <w:rPr>
      <w:rFonts w:ascii="Calibri" w:hAnsi="Calibri" w:cs="Calibri"/>
      <w:color w:val="000000"/>
      <w:sz w:val="21"/>
      <w:szCs w:val="21"/>
      <w:u w:val="none"/>
    </w:rPr>
  </w:style>
  <w:style w:type="character" w:customStyle="1" w:styleId="15">
    <w:name w:val="font31"/>
    <w:basedOn w:val="10"/>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20</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2024-12-19T18:23:00Z</dcterms:created>
  <dc:creator>业务四部</dc:creator>
  <cp:lastModifiedBy>AT</cp:lastModifiedBy>
  <dcterms:modified xsi:type="dcterms:W3CDTF">2025-03-28T07:48:12Z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48819E26CB1B44898FE00C82A25D81FB_12</vt:lpwstr>
  </property>
  <property fmtid="{D5CDD505-2E9C-101B-9397-08002B2CF9AE}" pid="4" name="KSOTemplateDocerSaveRecord">
    <vt:lpwstr>eyJoZGlkIjoiYmQ3NjQxYmZmN2ZkODIxYWNiNTEzMzQyMTZmNzQ1MmMiLCJ1c2VySWQiOiIzMDc5OTY3MDEifQ==</vt:lpwstr>
  </property>
</Properties>
</file>