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E169B"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sz w:val="28"/>
          <w:highlight w:val="none"/>
        </w:rPr>
      </w:pPr>
      <w:bookmarkStart w:id="7" w:name="_GoBack"/>
      <w:bookmarkEnd w:id="7"/>
      <w:bookmarkStart w:id="0" w:name="_Toc5980"/>
      <w:r>
        <w:rPr>
          <w:rFonts w:hint="eastAsia" w:asciiTheme="minorEastAsia" w:hAnsiTheme="minorEastAsia" w:eastAsiaTheme="minorEastAsia"/>
          <w:b/>
          <w:sz w:val="28"/>
          <w:highlight w:val="none"/>
        </w:rPr>
        <w:t xml:space="preserve"> 采购需求</w:t>
      </w:r>
      <w:bookmarkEnd w:id="0"/>
    </w:p>
    <w:p w14:paraId="414A422B">
      <w:pPr>
        <w:spacing w:line="360" w:lineRule="auto"/>
        <w:rPr>
          <w:rFonts w:asciiTheme="minorEastAsia" w:hAnsiTheme="minorEastAsia" w:eastAsiaTheme="minorEastAsia"/>
          <w:b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sz w:val="24"/>
          <w:highlight w:val="none"/>
        </w:rPr>
        <w:t>前注：</w:t>
      </w:r>
    </w:p>
    <w:p w14:paraId="019F8686">
      <w:pPr>
        <w:spacing w:line="360" w:lineRule="auto"/>
        <w:ind w:firstLine="435"/>
        <w:rPr>
          <w:rFonts w:ascii="宋体" w:hAnsi="宋体" w:eastAsia="宋体"/>
          <w:sz w:val="24"/>
          <w:szCs w:val="18"/>
          <w:highlight w:val="none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1.</w:t>
      </w:r>
      <w:r>
        <w:rPr>
          <w:rFonts w:ascii="宋体" w:hAnsi="宋体" w:eastAsia="宋体"/>
          <w:sz w:val="24"/>
          <w:szCs w:val="18"/>
          <w:highlight w:val="none"/>
        </w:rPr>
        <w:t>根据《</w:t>
      </w:r>
      <w:r>
        <w:rPr>
          <w:rFonts w:hint="eastAsia" w:ascii="宋体" w:hAnsi="宋体" w:eastAsia="宋体"/>
          <w:sz w:val="24"/>
          <w:szCs w:val="18"/>
          <w:highlight w:val="none"/>
        </w:rPr>
        <w:t>政府采购进口产品管理办法</w:t>
      </w:r>
      <w:r>
        <w:rPr>
          <w:rFonts w:ascii="宋体" w:hAnsi="宋体" w:eastAsia="宋体"/>
          <w:sz w:val="24"/>
          <w:szCs w:val="18"/>
          <w:highlight w:val="none"/>
        </w:rPr>
        <w:t>》及政府采购管理部门的相关规定，下列采购需求中</w:t>
      </w:r>
      <w:r>
        <w:rPr>
          <w:rFonts w:hint="eastAsia" w:ascii="宋体" w:hAnsi="宋体" w:eastAsia="宋体"/>
          <w:sz w:val="24"/>
          <w:szCs w:val="18"/>
          <w:highlight w:val="none"/>
        </w:rPr>
        <w:t>标注进口产品的货物均</w:t>
      </w:r>
      <w:r>
        <w:rPr>
          <w:rFonts w:ascii="宋体" w:hAnsi="宋体" w:eastAsia="宋体"/>
          <w:sz w:val="24"/>
          <w:szCs w:val="18"/>
          <w:highlight w:val="none"/>
        </w:rPr>
        <w:t>已履行相关论证手续，经核准采购进口</w:t>
      </w:r>
      <w:r>
        <w:rPr>
          <w:rFonts w:hint="eastAsia" w:ascii="宋体" w:hAnsi="宋体" w:eastAsia="宋体"/>
          <w:sz w:val="24"/>
          <w:szCs w:val="18"/>
          <w:highlight w:val="none"/>
        </w:rPr>
        <w:t>产品</w:t>
      </w:r>
      <w:r>
        <w:rPr>
          <w:rFonts w:ascii="宋体" w:hAnsi="宋体" w:eastAsia="宋体"/>
          <w:sz w:val="24"/>
          <w:szCs w:val="18"/>
          <w:highlight w:val="none"/>
        </w:rPr>
        <w:t>，但不限制满足招标文件要求的国内产品参与竞争</w:t>
      </w:r>
      <w:r>
        <w:rPr>
          <w:rFonts w:hint="eastAsia" w:ascii="宋体" w:hAnsi="宋体" w:eastAsia="宋体"/>
          <w:sz w:val="24"/>
          <w:szCs w:val="18"/>
          <w:highlight w:val="none"/>
        </w:rPr>
        <w:t>。未标注进口产品的货物均</w:t>
      </w:r>
      <w:r>
        <w:rPr>
          <w:rFonts w:ascii="宋体" w:hAnsi="宋体" w:eastAsia="宋体"/>
          <w:sz w:val="24"/>
          <w:szCs w:val="18"/>
          <w:highlight w:val="none"/>
        </w:rPr>
        <w:t>为拒绝采购进口产品</w:t>
      </w:r>
      <w:r>
        <w:rPr>
          <w:rFonts w:hint="eastAsia" w:ascii="宋体" w:hAnsi="宋体" w:eastAsia="宋体"/>
          <w:sz w:val="24"/>
          <w:szCs w:val="18"/>
          <w:highlight w:val="none"/>
        </w:rPr>
        <w:t>。</w:t>
      </w:r>
    </w:p>
    <w:p w14:paraId="669E2E63">
      <w:pPr>
        <w:spacing w:line="360" w:lineRule="auto"/>
        <w:ind w:firstLine="435"/>
        <w:rPr>
          <w:rFonts w:ascii="宋体" w:hAnsi="宋体" w:eastAsia="宋体"/>
          <w:sz w:val="24"/>
          <w:szCs w:val="18"/>
          <w:highlight w:val="none"/>
        </w:rPr>
      </w:pPr>
      <w:r>
        <w:rPr>
          <w:rFonts w:hint="eastAsia" w:ascii="宋体" w:hAnsi="宋体" w:eastAsia="宋体"/>
          <w:sz w:val="24"/>
          <w:szCs w:val="18"/>
          <w:highlight w:val="none"/>
        </w:rPr>
        <w:t>2.</w:t>
      </w:r>
      <w:r>
        <w:rPr>
          <w:rFonts w:ascii="宋体" w:hAnsi="宋体" w:eastAsia="宋体" w:cs="宋体"/>
          <w:sz w:val="24"/>
          <w:szCs w:val="24"/>
          <w:highlight w:val="none"/>
        </w:rPr>
        <w:t>政府采购政策（包括但不限于下列具体政策要求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  <w:r>
        <w:rPr>
          <w:rFonts w:hint="eastAsia" w:ascii="宋体" w:hAnsi="宋体" w:eastAsia="宋体"/>
          <w:sz w:val="24"/>
          <w:szCs w:val="18"/>
          <w:highlight w:val="none"/>
        </w:rPr>
        <w:t>：</w:t>
      </w:r>
    </w:p>
    <w:p w14:paraId="65E030BC">
      <w:pPr>
        <w:spacing w:line="360" w:lineRule="auto"/>
        <w:ind w:firstLine="435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6E234244">
      <w:pPr>
        <w:spacing w:line="360" w:lineRule="auto"/>
        <w:ind w:firstLine="435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61D0D432">
      <w:pPr>
        <w:spacing w:line="360" w:lineRule="auto"/>
        <w:ind w:firstLine="435"/>
        <w:rPr>
          <w:rFonts w:ascii="宋体" w:hAnsi="宋体" w:eastAsia="宋体"/>
          <w:b/>
          <w:bCs/>
          <w:sz w:val="24"/>
          <w:szCs w:val="18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（3）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标注▲的产品为核心产品，投标人在投标文件《主要中标标的承诺函》中填写名称、规格、型号、数量、单价等信息，承诺函随评审结果一并公告；</w:t>
      </w:r>
    </w:p>
    <w:p w14:paraId="5FCED17B">
      <w:pPr>
        <w:spacing w:line="360" w:lineRule="auto"/>
        <w:ind w:firstLine="435"/>
        <w:rPr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</w:t>
      </w:r>
      <w:r>
        <w:rPr>
          <w:rFonts w:hint="eastAsia" w:ascii="宋体" w:hAnsi="宋体" w:eastAsia="宋体"/>
          <w:sz w:val="24"/>
          <w:szCs w:val="18"/>
          <w:highlight w:val="none"/>
        </w:rPr>
        <w:t>如采购人允许采用分包方式履行合同的，应当明确可以分包履行的相关内容。</w:t>
      </w:r>
    </w:p>
    <w:p w14:paraId="4A006E96">
      <w:pPr>
        <w:spacing w:line="360" w:lineRule="auto"/>
        <w:ind w:firstLine="437"/>
        <w:outlineLvl w:val="1"/>
        <w:rPr>
          <w:rFonts w:ascii="宋体" w:hAnsi="宋体" w:eastAsia="宋体"/>
          <w:b/>
          <w:sz w:val="24"/>
          <w:szCs w:val="18"/>
          <w:highlight w:val="none"/>
        </w:rPr>
      </w:pPr>
      <w:bookmarkStart w:id="1" w:name="_Toc2554"/>
      <w:bookmarkStart w:id="2" w:name="_Toc21076"/>
      <w:bookmarkStart w:id="3" w:name="_Toc32151"/>
      <w:r>
        <w:rPr>
          <w:rFonts w:hint="eastAsia" w:ascii="宋体" w:hAnsi="宋体" w:eastAsia="宋体"/>
          <w:b/>
          <w:sz w:val="24"/>
          <w:szCs w:val="18"/>
          <w:highlight w:val="none"/>
        </w:rPr>
        <w:t>一、采购需求前附表</w:t>
      </w:r>
      <w:bookmarkEnd w:id="1"/>
      <w:bookmarkEnd w:id="2"/>
      <w:bookmarkEnd w:id="3"/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572"/>
        <w:gridCol w:w="6223"/>
      </w:tblGrid>
      <w:tr w14:paraId="4B30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27" w:type="pct"/>
            <w:vAlign w:val="center"/>
          </w:tcPr>
          <w:p w14:paraId="09774476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/>
                <w:kern w:val="2"/>
                <w:highlight w:val="none"/>
              </w:rPr>
              <w:t>序号</w:t>
            </w:r>
          </w:p>
        </w:tc>
        <w:tc>
          <w:tcPr>
            <w:tcW w:w="922" w:type="pct"/>
            <w:vAlign w:val="center"/>
          </w:tcPr>
          <w:p w14:paraId="21A6201B"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sz w:val="24"/>
                <w:highlight w:val="none"/>
              </w:rPr>
              <w:t>条款名称</w:t>
            </w:r>
          </w:p>
        </w:tc>
        <w:tc>
          <w:tcPr>
            <w:tcW w:w="3650" w:type="pct"/>
            <w:vAlign w:val="center"/>
          </w:tcPr>
          <w:p w14:paraId="5E176687"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sz w:val="24"/>
                <w:highlight w:val="none"/>
              </w:rPr>
              <w:t>内容、说明与要求</w:t>
            </w:r>
          </w:p>
        </w:tc>
      </w:tr>
      <w:tr w14:paraId="7411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27" w:type="pct"/>
            <w:vAlign w:val="center"/>
          </w:tcPr>
          <w:p w14:paraId="0F142233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kern w:val="2"/>
                <w:highlight w:val="none"/>
              </w:rPr>
              <w:t>1</w:t>
            </w:r>
          </w:p>
        </w:tc>
        <w:tc>
          <w:tcPr>
            <w:tcW w:w="922" w:type="pct"/>
            <w:vAlign w:val="center"/>
          </w:tcPr>
          <w:p w14:paraId="68C1B97E"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</w:rPr>
              <w:t>付款方式</w:t>
            </w:r>
          </w:p>
        </w:tc>
        <w:tc>
          <w:tcPr>
            <w:tcW w:w="3650" w:type="pct"/>
            <w:vAlign w:val="center"/>
          </w:tcPr>
          <w:p w14:paraId="225F441C"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/>
                <w:b w:val="0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  <w:u w:val="single"/>
                <w:lang w:val="en-US" w:eastAsia="zh-CN"/>
              </w:rPr>
              <w:t>验收合格后一次性支付</w:t>
            </w:r>
          </w:p>
        </w:tc>
      </w:tr>
      <w:tr w14:paraId="0464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27" w:type="pct"/>
            <w:vAlign w:val="center"/>
          </w:tcPr>
          <w:p w14:paraId="1460333F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kern w:val="2"/>
                <w:highlight w:val="none"/>
              </w:rPr>
              <w:t>2</w:t>
            </w:r>
          </w:p>
        </w:tc>
        <w:tc>
          <w:tcPr>
            <w:tcW w:w="922" w:type="pct"/>
            <w:vAlign w:val="center"/>
          </w:tcPr>
          <w:p w14:paraId="12ED8004"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</w:rPr>
              <w:t>供货及安装地点</w:t>
            </w:r>
          </w:p>
        </w:tc>
        <w:tc>
          <w:tcPr>
            <w:tcW w:w="3650" w:type="pct"/>
            <w:vAlign w:val="center"/>
          </w:tcPr>
          <w:p w14:paraId="3521E540"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  <w:u w:val="single"/>
              </w:rPr>
              <w:t>淮南师范学院</w:t>
            </w:r>
          </w:p>
        </w:tc>
      </w:tr>
      <w:tr w14:paraId="2233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27" w:type="pct"/>
            <w:vAlign w:val="center"/>
          </w:tcPr>
          <w:p w14:paraId="0D15A85C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kern w:val="2"/>
                <w:highlight w:val="none"/>
              </w:rPr>
              <w:t>3</w:t>
            </w:r>
          </w:p>
        </w:tc>
        <w:tc>
          <w:tcPr>
            <w:tcW w:w="922" w:type="pct"/>
            <w:vAlign w:val="center"/>
          </w:tcPr>
          <w:p w14:paraId="633D08C0"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</w:rPr>
              <w:t>供货及安装期限</w:t>
            </w:r>
          </w:p>
        </w:tc>
        <w:tc>
          <w:tcPr>
            <w:tcW w:w="3650" w:type="pct"/>
            <w:vAlign w:val="center"/>
          </w:tcPr>
          <w:p w14:paraId="45E7C532"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  <w:u w:val="single"/>
                <w:lang w:eastAsia="zh-CN"/>
              </w:rPr>
              <w:t>合同签订后30个工作日内完成交货、安装。</w:t>
            </w:r>
          </w:p>
        </w:tc>
      </w:tr>
      <w:tr w14:paraId="6421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27" w:type="pct"/>
            <w:vAlign w:val="center"/>
          </w:tcPr>
          <w:p w14:paraId="04234FFE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kern w:val="2"/>
                <w:highlight w:val="none"/>
              </w:rPr>
              <w:t>4</w:t>
            </w:r>
          </w:p>
        </w:tc>
        <w:tc>
          <w:tcPr>
            <w:tcW w:w="922" w:type="pct"/>
            <w:vAlign w:val="center"/>
          </w:tcPr>
          <w:p w14:paraId="36F3BC36"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/>
                <w:b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  <w:lang w:eastAsia="zh-CN"/>
              </w:rPr>
              <w:t>质量保修期</w:t>
            </w:r>
          </w:p>
        </w:tc>
        <w:tc>
          <w:tcPr>
            <w:tcW w:w="3650" w:type="pct"/>
            <w:vAlign w:val="center"/>
          </w:tcPr>
          <w:p w14:paraId="38F23209"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sz w:val="24"/>
                <w:highlight w:val="none"/>
                <w:u w:val="single"/>
              </w:rPr>
              <w:t>年</w:t>
            </w:r>
          </w:p>
        </w:tc>
      </w:tr>
      <w:tr w14:paraId="1843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27" w:type="pct"/>
            <w:vAlign w:val="center"/>
          </w:tcPr>
          <w:p w14:paraId="7B30296B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/>
                <w:bCs/>
                <w:kern w:val="2"/>
                <w:highlight w:val="none"/>
                <w:lang w:val="en-US" w:eastAsia="zh-CN"/>
              </w:rPr>
            </w:pPr>
            <w:bookmarkStart w:id="4" w:name="_Toc7671"/>
            <w:bookmarkStart w:id="5" w:name="_Toc10993"/>
            <w:bookmarkStart w:id="6" w:name="_Toc5944"/>
            <w:r>
              <w:rPr>
                <w:rFonts w:hint="eastAsia" w:ascii="宋体" w:hAnsi="宋体" w:eastAsia="宋体"/>
                <w:bCs/>
                <w:kern w:val="2"/>
                <w:highlight w:val="none"/>
                <w:lang w:val="en-US" w:eastAsia="zh-CN"/>
              </w:rPr>
              <w:t>5</w:t>
            </w:r>
          </w:p>
        </w:tc>
        <w:tc>
          <w:tcPr>
            <w:tcW w:w="922" w:type="pct"/>
            <w:vAlign w:val="center"/>
          </w:tcPr>
          <w:p w14:paraId="6BC4EADC"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/>
                <w:b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  <w:lang w:eastAsia="zh-CN"/>
              </w:rPr>
              <w:t>本项目所属行业</w:t>
            </w:r>
          </w:p>
        </w:tc>
        <w:tc>
          <w:tcPr>
            <w:tcW w:w="3650" w:type="pct"/>
            <w:vAlign w:val="center"/>
          </w:tcPr>
          <w:p w14:paraId="227FF6F8">
            <w:pPr>
              <w:pStyle w:val="10"/>
              <w:widowControl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eastAsia="宋体"/>
                <w:b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  <w:u w:val="single"/>
                <w:lang w:eastAsia="zh-CN"/>
              </w:rPr>
              <w:t>所属行业：</w:t>
            </w:r>
            <w:r>
              <w:rPr>
                <w:rFonts w:hint="eastAsia" w:ascii="宋体" w:hAnsi="宋体" w:eastAsia="宋体"/>
                <w:b w:val="0"/>
                <w:sz w:val="24"/>
                <w:highlight w:val="none"/>
                <w:u w:val="single"/>
                <w:lang w:val="en-US" w:eastAsia="zh-CN"/>
              </w:rPr>
              <w:t>工业</w:t>
            </w:r>
          </w:p>
        </w:tc>
      </w:tr>
    </w:tbl>
    <w:p w14:paraId="0EA9C7BC">
      <w:pPr>
        <w:numPr>
          <w:ilvl w:val="0"/>
          <w:numId w:val="1"/>
        </w:numPr>
        <w:spacing w:line="360" w:lineRule="auto"/>
        <w:ind w:firstLine="437"/>
        <w:outlineLvl w:val="1"/>
        <w:rPr>
          <w:rFonts w:ascii="宋体" w:hAnsi="宋体" w:eastAsia="宋体"/>
          <w:b/>
          <w:bCs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sz w:val="24"/>
          <w:szCs w:val="18"/>
          <w:highlight w:val="none"/>
        </w:rPr>
        <w:t>货物</w:t>
      </w:r>
      <w:r>
        <w:rPr>
          <w:rFonts w:hint="eastAsia" w:ascii="宋体" w:hAnsi="宋体" w:eastAsia="宋体"/>
          <w:b/>
          <w:bCs/>
          <w:sz w:val="24"/>
          <w:szCs w:val="18"/>
          <w:highlight w:val="none"/>
        </w:rPr>
        <w:t>需求</w:t>
      </w:r>
      <w:bookmarkEnd w:id="4"/>
      <w:bookmarkEnd w:id="5"/>
      <w:bookmarkEnd w:id="6"/>
    </w:p>
    <w:p w14:paraId="4F3D7F3F">
      <w:pPr>
        <w:pStyle w:val="3"/>
        <w:rPr>
          <w:rFonts w:ascii="宋体" w:hAnsi="宋体" w:eastAsia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（一）货物指标重要性表述</w:t>
      </w:r>
    </w:p>
    <w:tbl>
      <w:tblPr>
        <w:tblStyle w:val="7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189"/>
        <w:gridCol w:w="5698"/>
      </w:tblGrid>
      <w:tr w14:paraId="7996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pct"/>
            <w:noWrap/>
            <w:vAlign w:val="center"/>
          </w:tcPr>
          <w:p w14:paraId="0F6C367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标识重要性</w:t>
            </w:r>
          </w:p>
        </w:tc>
        <w:tc>
          <w:tcPr>
            <w:tcW w:w="704" w:type="pct"/>
            <w:noWrap/>
            <w:vAlign w:val="center"/>
          </w:tcPr>
          <w:p w14:paraId="54AC57A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标识符号</w:t>
            </w:r>
          </w:p>
        </w:tc>
        <w:tc>
          <w:tcPr>
            <w:tcW w:w="3322" w:type="pct"/>
            <w:noWrap/>
            <w:vAlign w:val="center"/>
          </w:tcPr>
          <w:p w14:paraId="5311085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代表意思</w:t>
            </w:r>
          </w:p>
        </w:tc>
      </w:tr>
      <w:tr w14:paraId="7135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" w:type="pct"/>
            <w:noWrap/>
            <w:vAlign w:val="center"/>
          </w:tcPr>
          <w:p w14:paraId="69E6C97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核心指标项</w:t>
            </w:r>
          </w:p>
        </w:tc>
        <w:tc>
          <w:tcPr>
            <w:tcW w:w="704" w:type="pct"/>
            <w:noWrap/>
            <w:vAlign w:val="center"/>
          </w:tcPr>
          <w:p w14:paraId="65AAF82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★</w:t>
            </w:r>
          </w:p>
        </w:tc>
        <w:tc>
          <w:tcPr>
            <w:tcW w:w="3322" w:type="pct"/>
            <w:noWrap/>
            <w:vAlign w:val="center"/>
          </w:tcPr>
          <w:p w14:paraId="5F1A075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评分项，详见第四章资格审查和评标办法（综合评分法）</w:t>
            </w:r>
          </w:p>
        </w:tc>
      </w:tr>
      <w:tr w14:paraId="084B3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pct"/>
            <w:noWrap/>
            <w:vAlign w:val="center"/>
          </w:tcPr>
          <w:p w14:paraId="5893BB1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无标识项</w:t>
            </w:r>
          </w:p>
        </w:tc>
        <w:tc>
          <w:tcPr>
            <w:tcW w:w="704" w:type="pct"/>
            <w:noWrap/>
            <w:vAlign w:val="center"/>
          </w:tcPr>
          <w:p w14:paraId="7401A41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322" w:type="pct"/>
            <w:noWrap/>
            <w:vAlign w:val="center"/>
          </w:tcPr>
          <w:p w14:paraId="600C333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有5条及以上未响应或负偏离，则投标无效。</w:t>
            </w:r>
          </w:p>
        </w:tc>
      </w:tr>
      <w:tr w14:paraId="274E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"/>
            <w:noWrap/>
            <w:vAlign w:val="center"/>
          </w:tcPr>
          <w:p w14:paraId="53B297A0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凡标有最低一级序号的指标项即为一项技术条款，无论是否隶属于上一级编号。</w:t>
            </w:r>
          </w:p>
        </w:tc>
      </w:tr>
    </w:tbl>
    <w:p w14:paraId="23131B48">
      <w:pPr>
        <w:pStyle w:val="4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（二）货物指标要求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974"/>
        <w:gridCol w:w="6246"/>
        <w:gridCol w:w="426"/>
        <w:gridCol w:w="426"/>
      </w:tblGrid>
      <w:tr w14:paraId="2672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D6D54">
            <w:pPr>
              <w:spacing w:before="96" w:beforeLines="40" w:after="96" w:afterLines="40" w:line="4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B743">
            <w:pPr>
              <w:spacing w:before="96" w:beforeLines="40" w:after="96" w:afterLines="40" w:line="4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设备名称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4A93D">
            <w:pPr>
              <w:spacing w:before="96" w:beforeLines="40" w:after="96" w:afterLines="40" w:line="4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主要技术指标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B2447">
            <w:pPr>
              <w:spacing w:before="96" w:beforeLines="40" w:after="96" w:afterLines="40" w:line="4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</w:t>
            </w:r>
          </w:p>
          <w:p w14:paraId="0220C0A6">
            <w:pPr>
              <w:spacing w:before="96" w:beforeLines="40" w:after="96" w:afterLines="40" w:line="4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A1953">
            <w:pPr>
              <w:spacing w:before="96" w:beforeLines="40" w:after="96" w:afterLines="40" w:line="4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</w:t>
            </w:r>
          </w:p>
          <w:p w14:paraId="13210CBB">
            <w:pPr>
              <w:spacing w:before="96" w:beforeLines="40" w:after="96" w:afterLines="40" w:line="4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量</w:t>
            </w:r>
          </w:p>
        </w:tc>
      </w:tr>
      <w:tr w14:paraId="03E2C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6F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86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智能硅碳棒柴电窑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9F2F6">
            <w:pPr>
              <w:pStyle w:val="5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1、外形尺寸：W1070*D1142*H1680mm ±2%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2、炉膛尺寸：W580*D550*H750mm ±2%；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3、不小于0.26m³的内空，侧开门设计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4、工作电压：AC380V±10V（50HZ)，功率：≥33KW，相电流：≥50A；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5、最高工作温度：≥1350℃；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6、智能温控，采用液晶屏中文控制面板，内置一键烧成控制系统；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7、可进行多种显示模式：数字、仪表、列表、曲线等；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8、可保存实验数据，并可将保存的实验数据导出至电脑或数据采集器，采集自动报警功能；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9、可选择多种报警模式：声音报警、震动报警、荧光报警等；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10、内置逻辑处理功能，配有逻辑端口；可自动开启风扇，灯光报警等；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11、内置多种包含烤花、素烧、釉烧、紫砂等基本烧成程序，可设置自定义不少于16条升温曲线，自定义升温曲线可以输入中文名称；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12、内置测量电压、电流功能，工作时可显示实际电压、电流；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13、液晶触控温控系统自带断电自动续烧系统，安全断电功能, 窑炉如出现电炉丝断线、热电偶损坏等情况的报错功能,延迟定时烧制设置功能；                                                                                                                                                                                       14、窑炉框架、蒙板全部采用双重防锈、防腐蚀工艺处理，采用镀锌方管、镀锌板做第一层防锈，第二层防锈采用窑炉整体进入200℃烤漆箱进行烤漆处理；                                                                                                                                                                                                           ★15、炉内保温层由轻质耐火砖和节能隔热棉板组成，其中轻质耐火砖应符合国家GB/T21114-2019、YS/T509.1-2008标准，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投标文件中提供第三方检测机构出具的带有CMA或CNAS标识的检测报告；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16、发热元件采用硅碳棒为加热元件，升温快，辐射面大升温均匀；                                                                                                                                           17、内置热电偶，准确测温灵敏控温；                                                                                                                                                        18、能进行工艺品陶和瓷制品的高中温烧制，炉内上下温差均匀；                                                                                                                                                          19、炉膛底部有隧道型进气孔，可以排湿气排废气；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★20、窑炉底安装有工业用重型万向脚轮，易移动便于安装，轮子应符合国家GB/T14687-2011标准，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投标文件中提供第三方检测机构出具的带有CMA或CNAS标识的检测报告；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21、整体为柴电一体式窑炉，可以拓展多种烧窑玩法，可以烧氧化、还原、匣钵青花还原，可以烧火痕、釉吸烟窑变、裸烧落灰、志野釉烧等；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22、混合控制电源：5路任意规格（混合控电），电源输出独立控制，可以监测每一路的通断状态，具备应急强制遥控通电/断电，漏电保护、过载保护等安全措施；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★23、要求电源浪涌（冲击）抗扰度达到≥3级，电快速瞬变脉冲群抗扰度≥3级；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投标文件中提供第三方检测机构出具的带有CMA或CNAS标识的检测报告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；</w:t>
            </w:r>
          </w:p>
          <w:p w14:paraId="5C323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、配套窑具包含：棚板，规格≥48*50CM，5块；马脚，规格≥4*5*6CM，6个；马脚，规格≥10CM，9个；马脚，规格≥15CM，9个；马脚，规格≥20CM，6个；铲刀3寸2把；氧化铝粉，规格≥500克装2瓶；隔热手套2副；吊烧架2套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2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D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A07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91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92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侧开门智能电窑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0EDF5">
            <w:pPr>
              <w:pStyle w:val="5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1、外形尺寸：W1040*D1390*H1400mm±2%；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2、炉膛尺寸：W640*D700*H750mm±2%；                                                                                                                                                                              3、内容积：0.3立方米±2%；                                                                                                                                                                                                      4、开门方式：侧开门；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5、工作电压：AC380V±10V（50HZ)，功率：≥27KW；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6、最高工作温度：≥1300℃；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7、智能温控，采用液晶屏中文控制面板，内置一键烧成控制系统；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8、可进行多种显示模式：数字、仪表、列表、曲线等；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9、可保存实验数据，并可将保存的实验数据导出至电脑或数据采集器，采集自动报警功能；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10、可选择多种报警模式：声音报警、震动报警、荧光报警等；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11、内置逻辑处理功能，配有逻辑端口；可自动开启风扇，灯光报警等；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12、内置多种包含烤花、素烧、釉烧、紫砂等基本烧成程序，可设置自定义不少于16条升温曲线，自定义升温曲线可以输入中文名称；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13、内置测量电压、电流功能，工作时可显示实际电压、电流；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14、液晶触控温控系统自带断电自动续烧系统，安全断电功能, 窑炉如出现电炉丝断线、热电偶损坏等情况的报错功能,延迟定时烧制设置功能；                                                                                                                                                                                         ★15、内部框架采用国标钢材，钢材应符合国家标GB/T228.1-2021。                                                                                                                                                                                                           16、炉内保温层由轻质耐火砖和节能隔热棉板组成，其中轻质耐火砖应符合国家GB/T21114-2019、YS/T509.1-2008标准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；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17、发热方式：采用5面发热；                                                                                                                                           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★18、内置刚玉管热电偶，准确测温灵敏控温，刚玉管应符合国家GB/T22588-2008标准，导电系数（室温）≦32W/(m·K)；                                                                                                                                                         19、能进行工艺品陶和瓷制品的高中温烧制，炉内上下温差均匀；                                                                                                                                                          ★20、不锈钢炉丝接线夹应符合国家GB/T10125-2021标准，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标文件中提供第三方检测机构出具的带有CMA或CNAS标识的检测报告；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21、炉膛底部有隧道型进气孔，可以排湿气排废气；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★22、窑炉底安装有工业用重型万向脚轮，易移动便于安装，轮子应符合国家GB/T14687-2011标准，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投标文件中提供第三方检测机构出具的带有CMA或CNAS标识的检测报告；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23、配套窑具：棚板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30cm*40cm：18块（9层）；马脚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5cm：24个（3层）；马脚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8cm：48个（6层）；马脚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10cm：40个（5层）；马脚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18cm：24个（3层）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9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8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EEB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BF2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拉坯机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29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1、功率：≥560W；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2、转速：0-260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r/min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3、调速方式：手脚双控；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4、脚踏板：霍尔脚踏板；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5、噪音：≤55DB；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6、工作电压：AC220V；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7、CPU芯片控制:具有过载、过流、漏电故障自诊断等多重监测保护功能；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1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4A8F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E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1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实验电窑（烤花／描金／素烧专用）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96CF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电压:220V；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2、额定功率:≥6.6KW；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3、炉内尺寸:≥350mm*410mm*H615mm；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4、容量: ≥0.07立方；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5、最大温锥:≥10；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6、最高温度:≥1300摄氏度；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★7、配有安全防护装置：支持防雷击防浪涌功能，最大放电电流Imax(8/20μs)≧40kA，电压保护水平Up≦1.7kV，支持监测功能至少包含：电流、电压、功率、接地通断、断电、漏电监测、雷击浪涌次数、防雷器状态、防雷器温度、防雷器寿命、环境温湿度、水浸、烟雾等监测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投标文件中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提供第三方检测机构出具的带有CMA或CNAS标识的检测报告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★8、内置告警扬声器≧1个，具有系统、网络、入网、RS485状态指示灯，告警方式支持本机扬声器告警、手机微信告警、管理平台告警；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投标文件中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提供第三方检测机构出具的带有CMA或CNAS标识的检测报告；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★9、支持供电BYPASS功能，即使本机系统出现问题或者系统重启也不影响正常输出供电，以保障用电设备稳定运行；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投标文件中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提供第三方检测机构出具的带有CMA或CNAS标识的检测报告；</w:t>
            </w:r>
          </w:p>
          <w:p w14:paraId="17B178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10、其他要求:高强度绝热耐火砖，电阻丝，全自动电脑控制，配套窑具；硼板:整圆(4块)；立柱:3cm/6cm/9cm 每个尺寸6个(共18个)；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5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F33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C2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C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真空练泥机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1E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1、主电机功率：单相 200V-240V 400W 4A；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2、真空泵电机功率：单相 200V-240V 250W；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3、真空负压值：0.09Mpa(70cm/Hg)以上；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★4、输出能力：200Kg/Hr以上；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5、练泥轴转速：12.3RPM/50Hz,14.8RPM/60H；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6、练泥轴：双练泥轴；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7、练泥轴材质：不锈钢；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8、练泥轴外壳材质：不锈钢；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9、出泥口径：≥p90mm；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10、外形尺寸：≤920(含受泥板1320)*420*高750mm；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F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5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D85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7A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陶瓷激光花纸打印机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94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1、打印幅度：A3(打印面积：300*600mm)；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2、打印分辨率：不低于1200*1200dpi；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3、打印功率：≥1700W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4、烧制温度：780℃-830℃；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5、环境湿度：30%-40%（工作环境需做防潮除湿）；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B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8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A67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9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4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手工转盘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75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1、转盘直径：≥35CM；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2、底部直径：≥25CM；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3、材质：铝合金；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8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C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1F52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3A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2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压泥板机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8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1、压泥板机：用于压制泥板、泥条等；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2、外观尺寸：≥W600×L680×H210mm；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3、泥板尺寸：≥W370×L500×H3 ～ 22mm （厚度）；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D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8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8BE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3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水幕吹釉台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01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1、功率:≥150W；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2、额定电压:220V；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3、转盘尺寸:直径≥26cm；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4、转盘转速:电动控速可微调；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5、整机噪音:≤65DB；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6、转盘方向:电动；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7、控速方式:电动微调；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0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1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0E6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30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B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等离子切割机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29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1、输入电压：380V；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2、电流调节范围:20A-100A；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3、持续负载率:60%；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4、绝缘等级:F；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5、防护等级:IP215；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6、适合板材:碳钢，不锈钢，镀锌板，铜等；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7、起弧方式:非接触；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8、极限切割厚度：≥55mm；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9、配套：≥15米长度割枪；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1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E24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EC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钢筋切断机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A6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1、切断最大直径:≥25MM；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2、电压:220V；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3、输出功率:≥1250W；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4、锯片直径:≥140mm；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5、交流电频率:50HZ；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6、额定转速：3000r/min；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7、配套3套手持钢筋切断机；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D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239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36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F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电动压片机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6F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1、设备规格：≥60*19*45CM（长*宽*高）；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2、压片形状：圆形；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3、材质：40CR；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4、电机：750W/可调正反转；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0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12D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3E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A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电动压片机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FC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1、设备规格：≥620*180*500mm；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2、压片形状：压片，压方，椭圆泥鳅背；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3、滚轴尺寸：≥250mm长，直径≥70mm；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4、电机：750W/可调正反转；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7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F6B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685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电动压片机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4E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1、设备规格：≥60*19*45CM（长*宽*高）；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2、压片形状：椭圆/半圆/圆形；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3、材质：40CR；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4、电机：750W/可调正反转；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7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C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BB8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057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制氧机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2A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1、2L氧浓度：93%；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2、流量选择：1-9L/min可调；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3、雾化速率：≥0.2ML/min；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4、运行噪音：≤60dB(A)；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5、运行方式：卡式罐与氧气结合；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6、压力范围：86kpa-106kpa；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7、适用电源：220VA；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8、配套装置：熔料枪（两套）+氧焊枪（长）+熔料火枪+大氧焊枪+多方位点火器+石墨槽（10孔）+石英碗+熔金钳；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9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243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5C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电动液压机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F0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★1、压力：100吨；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2、液压机尺寸：≥32X32X57CM；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3、底座尺寸：≥37X37X60CM；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4、液压机重量：≥116.5KG；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5、底座重量：≥20KG；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6、液压泵重量：≥21KG；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7、行程柱重量：≥26.5KG；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8、配套装置：含十合一模具套装3套，压模架；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9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F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3553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46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8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金工台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E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规格：≥100*70*116CM（长宽高）、双抽屉，材质：木制；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0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6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214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F4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喷砂机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F4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1、电源电压：220V-50HZ；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2、光源设备：12WLED灯；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3、干湿类型：干湿喷砂机；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4、喷砂类型：手工喷砂；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5、机器尺寸：≥长480mm宽610mm高1150mm；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6、适用范围：铸造件、冲压件、热处理件去氧化皮除锈、旧料翻新等；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1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C6C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53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7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吉言钢印錾刻工具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46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1套共含20个工具；</w:t>
            </w:r>
          </w:p>
          <w:p w14:paraId="7F341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要求：</w:t>
            </w:r>
          </w:p>
          <w:p w14:paraId="07B767D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外观细腻耐锤耐磨耐蚀；</w:t>
            </w:r>
          </w:p>
          <w:p w14:paraId="28FC324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图案线条清晰干净利落；</w:t>
            </w:r>
          </w:p>
          <w:p w14:paraId="15026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3.精抛处理，无毛刺划痕；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B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7FF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4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平安无事牌模具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46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含双面祥云无事牌，吉言/百福/平安无事牌各一个；</w:t>
            </w:r>
          </w:p>
          <w:p w14:paraId="3C74A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要求：</w:t>
            </w:r>
          </w:p>
          <w:p w14:paraId="568BF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1.外观细腻耐锤耐磨耐蚀；</w:t>
            </w:r>
          </w:p>
          <w:p w14:paraId="40CA9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2.图案线条清晰干净利落；</w:t>
            </w:r>
          </w:p>
          <w:p w14:paraId="011E74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3.精抛处理，无毛刺划痕；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1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F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1A6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9F61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巡边刻字机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2E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1、最大进纸尺寸：1680mm；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2、最大切割尺寸：1520mm；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3、最大巡边尺寸:1500mm；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4、切割精度:≤0.025mm；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5、重复精度:≤0.02mm；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6、速度:100-1000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r/min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7、切割压力:1-500或1000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r/min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8、文件传输方式:USB/U盘/WIFI等；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9、电源:220VA；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10、输出软件功能：全自动定位巡边切割，一键提取图片轮廓，支持各种操作系统，支持多点定位超长巡边，高精度输出等；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11、管理软件功能：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★①支持对客户端内多块硬盘进行分区、系统装载、还原、还原方式设置，满足多硬盘系统还原和管理。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投标文件中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提供第三方检测机构出具的带有CMA或CNAS标识的检测报告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★②支持文件夹穿透，可在当前保护的分区下设定一个开放的文件夹,保存更新设置，重启分区还原其它数据还原，此文件夹中的数据不还原。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投标文件中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提供第三方检测机构出具的带有CMA或CNAS标识的检测报告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★③支持流量限制策略，能够设定上行流量、下行流量，并可设置流量限制生效时间。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投标文件中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提供第三方检测机构出具的带有CMA或CNAS标识的检测报告；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7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A9F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84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C1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书画扫描仪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2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1、传感器:A4彩色CIS接触式图像传感器；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2、分辨率:300X300dpi，600X600dpi，900X900dpi；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3、色彩模式:彩色|灰度；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4、文件格式:JPEG /PDF文件；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5、液晶显示:扫描状态显示；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6、扫描规格:300*300dpi；3000mm/Max；600*600dpi 1630mm/Max；900*900dpi 1480mm/Max；300dpi模式下，根据图像色彩复杂程度，一次扫描最长在2000-3000mm区间)；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7、扫描速度:300*300dpi&lt;10cm/s彩色；600*600dpi &lt;3.7cm/s 彩色；900*900dpi &lt;2.5cm/s 彩色；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8、内存容量:外置；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9、自动关机:3分钟；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10、USB 接口:USB2.0高速；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11、存储器:Micro SD-TF卡；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12、支持最大32G；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13、电源:内置锂电池3.7V，700mAh(充电电压5V，充电电流0.5-2A)；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14、软件使用环境: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主流系统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15、图像扫描长度：≥2.5米；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16、图像扫描高度：≥1.2米。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2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F4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70C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7A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A5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移动数据终端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C9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（一）移动数据终端参数：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1、移动数据终端配备5寸IPS全面显示屏；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2、800万像素(分辨率3264*2448)；</w:t>
            </w:r>
          </w:p>
          <w:p w14:paraId="495D5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3、拍摄720P视频帧速率为25帧/秒；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4、采用万向软管式设计，360度任意方向可调；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5、采用无线部署，连接方式：5G无线WiFi连接；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6、支持实时音频输入，同时给耳机输出实时音频；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7、支持系统无线调取移动数据终端的实时音视频画面，支持指法和声音同时录制存储；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8、移动数据终端内置专用操作系统，实现拍照、微课录制、回看的功能；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9、电源输入：5V/3A,Type-c插口；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（二）智慧实训教学软件参数：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1、支持笔记本、台式机、一体机、电子白板同时无线接入观看实物展示，无线传输距离可达30米；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2、支持全屏，放大，缩小，支持画面的动态即时旋转；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3、支持实时视频展示、本地图片展示、旋转、缩放、拍照等教学功能；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4、支持一体机或电脑使用本软件时，不影响一体机或电脑与外部网络连接；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5、支持电子白板讲解批注功能，支持画笔选择、一键清空、颜色、线宽，返回桌面、截图保存等功能；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6、支持在软件画面和电脑桌面进行批注，支持对批注后的画面内容进行截图存储，支持在内容管理中进行查看；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7、支持软件画面与电脑桌面的一键切换，方便老师在软件和其他使用界面之间进行快速切换；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8、支持远程调用移动数据终端上录制的视频和拍摄的照片，通过微课平台，支持分类查看、下载、删除等操作；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9、支持微课录制，录制成MP4格式的视频文件，录制的视频文件可导出；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10、微课录制支持全屏录制和局部录制，支持倒数提醒、暂停、继续录制、停止等功能；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11、支持内容分类管理，系统自动按照图片、视频、文摘等分类存档，图片及视频文件按生成的日期自动归档；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12、双软件：含智慧实训教学软件和视频编辑软件；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13、支持微课编辑功能：可以对录制的微课添加片头、片尾、水印、字幕等；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14、可以对微课任意位置的视频和音频进行剪切，且剪切后的视频、音频可恢复；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15、支持微课录制完成后，可根据微课语音中的普通话转化成声音同步的字幕；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16、支持片头、片尾、水印自定义文字大小、颜色、透明度，并可通过拖动鼠标来改变文字位置和大小；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17、系统自动按照图片、微课等分类存档，微课按生成的日期自动归档，可以对图片、微课分类查看；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18、可以对图片进行亮度、对比度、饱合度、智能裁边、剪裁、灰度、黑白、反相、浮雕、锐化等处理；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E3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D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</w:tr>
    </w:tbl>
    <w:p w14:paraId="339462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300CFB"/>
    <w:multiLevelType w:val="singleLevel"/>
    <w:tmpl w:val="CE300C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6F994F8"/>
    <w:multiLevelType w:val="singleLevel"/>
    <w:tmpl w:val="06F994F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DE6ECF0"/>
    <w:multiLevelType w:val="singleLevel"/>
    <w:tmpl w:val="7DE6ECF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C0E09"/>
    <w:rsid w:val="333C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</w:style>
  <w:style w:type="paragraph" w:styleId="5">
    <w:name w:val="annotation text"/>
    <w:basedOn w:val="1"/>
    <w:qFormat/>
    <w:uiPriority w:val="0"/>
    <w:pPr>
      <w:jc w:val="left"/>
    </w:pPr>
    <w:rPr>
      <w:rFonts w:ascii="Arial" w:hAnsi="Arial" w:eastAsia="黑体" w:cs="Arial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D&amp;L"/>
    <w:basedOn w:val="6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10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2025-06-10T08:34:00Z</dcterms:created>
  <dc:creator>Administrator</dc:creator>
  <cp:lastModifiedBy>Administrator</cp:lastModifiedBy>
  <dcterms:modified xsi:type="dcterms:W3CDTF">2025-06-10T08:34:33Z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E82430BABB184D0780E425B2BBDD59E1_11</vt:lpwstr>
  </property>
  <property fmtid="{D5CDD505-2E9C-101B-9397-08002B2CF9AE}" pid="4" name="KSOTemplateDocerSaveRecord">
    <vt:lpwstr>eyJoZGlkIjoiZmI3Nzg2MGRhMWRlZWM3MzAxOTA3Y2ZiMDQ0NjZhNTEiLCJ1c2VySWQiOiIxMjA4MzA3MjkwIn0=</vt:lpwstr>
  </property>
</Properties>
</file>