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2D87C">
      <w:pPr>
        <w:numPr>
          <w:numId w:val="0"/>
        </w:numPr>
        <w:spacing w:line="360" w:lineRule="auto"/>
        <w:jc w:val="center"/>
        <w:outlineLvl w:val="0"/>
        <w:rPr>
          <w:rFonts w:asciiTheme="minorEastAsia" w:hAnsiTheme="minorEastAsia" w:eastAsiaTheme="minorEastAsia"/>
          <w:b/>
          <w:sz w:val="28"/>
        </w:rPr>
      </w:pPr>
      <w:bookmarkStart w:id="0" w:name="_Toc2103"/>
      <w:r>
        <w:rPr>
          <w:rFonts w:hint="eastAsia" w:asciiTheme="minorEastAsia" w:hAnsiTheme="minorEastAsia" w:eastAsiaTheme="minorEastAsia"/>
          <w:b/>
          <w:sz w:val="28"/>
        </w:rPr>
        <w:t>采购需求</w:t>
      </w:r>
      <w:bookmarkEnd w:id="0"/>
    </w:p>
    <w:p w14:paraId="50FE57BF">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bookmarkStart w:id="17" w:name="_GoBack"/>
      <w:bookmarkEnd w:id="17"/>
    </w:p>
    <w:p w14:paraId="73A302A8">
      <w:pPr>
        <w:spacing w:line="360" w:lineRule="auto"/>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4D94610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6FC805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10320">
      <w:pPr>
        <w:spacing w:line="360" w:lineRule="auto"/>
        <w:ind w:firstLine="435"/>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AFA0342">
      <w:pPr>
        <w:spacing w:line="360" w:lineRule="auto"/>
        <w:ind w:firstLine="480" w:firstLineChars="200"/>
        <w:rPr>
          <w:rFonts w:ascii="宋体" w:hAnsi="宋体" w:eastAsia="宋体"/>
          <w:bCs/>
          <w:sz w:val="24"/>
          <w:szCs w:val="18"/>
        </w:rPr>
      </w:pPr>
      <w:r>
        <w:rPr>
          <w:rFonts w:hint="eastAsia" w:ascii="宋体" w:hAnsi="宋体" w:eastAsia="宋体" w:cs="宋体"/>
          <w:sz w:val="24"/>
          <w:szCs w:val="24"/>
        </w:rPr>
        <w:t>3.如采购人允许采用分包方式履行合同的，应当明确可以分包履行的相关内容。</w:t>
      </w:r>
    </w:p>
    <w:p w14:paraId="4585A698">
      <w:pPr>
        <w:spacing w:line="360" w:lineRule="auto"/>
        <w:ind w:firstLine="437"/>
        <w:outlineLvl w:val="1"/>
        <w:rPr>
          <w:rFonts w:ascii="宋体" w:hAnsi="宋体" w:eastAsia="宋体"/>
          <w:b/>
          <w:sz w:val="24"/>
          <w:szCs w:val="18"/>
        </w:rPr>
      </w:pPr>
      <w:bookmarkStart w:id="1" w:name="_Toc7821"/>
      <w:bookmarkStart w:id="2" w:name="_Toc21798"/>
      <w:bookmarkStart w:id="3" w:name="_Toc4148"/>
      <w:bookmarkStart w:id="4" w:name="_Hlk23621890"/>
      <w:r>
        <w:rPr>
          <w:rFonts w:hint="eastAsia" w:ascii="宋体" w:hAnsi="宋体" w:eastAsia="宋体"/>
          <w:b/>
          <w:sz w:val="24"/>
          <w:szCs w:val="18"/>
        </w:rPr>
        <w:t>一、采购需求前附表</w:t>
      </w:r>
      <w:bookmarkEnd w:id="1"/>
      <w:bookmarkEnd w:id="2"/>
      <w:bookmarkEnd w:id="3"/>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916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C1C2510">
            <w:pPr>
              <w:pStyle w:val="6"/>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182DB055">
            <w:pPr>
              <w:pStyle w:val="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64584F82">
            <w:pPr>
              <w:pStyle w:val="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4351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710F6C4">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530EA524">
            <w:pPr>
              <w:pStyle w:val="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7DD264A0">
            <w:pPr>
              <w:pStyle w:val="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1.保安服务费由采购人审核后按月度支付给中标人。</w:t>
            </w:r>
          </w:p>
          <w:p w14:paraId="45BA7CBA">
            <w:pPr>
              <w:pStyle w:val="7"/>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2.合同期内每月度保安服务费在下个月15日之前经采购人考核合格后，在收到中标人开具的正式发票后以转帐方式支付。</w:t>
            </w:r>
          </w:p>
        </w:tc>
      </w:tr>
      <w:tr w14:paraId="6879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A93E42">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16608FB2">
            <w:pPr>
              <w:pStyle w:val="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116DEECA">
            <w:pPr>
              <w:pStyle w:val="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安徽职业技术大学，采购人指定地点。</w:t>
            </w:r>
          </w:p>
        </w:tc>
      </w:tr>
      <w:tr w14:paraId="057E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7B3FE7C">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51128F24">
            <w:pPr>
              <w:pStyle w:val="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7" w:type="pct"/>
            <w:vAlign w:val="center"/>
          </w:tcPr>
          <w:p w14:paraId="3EF2CE14">
            <w:pPr>
              <w:pStyle w:val="7"/>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2026</w:t>
            </w:r>
            <w:r>
              <w:rPr>
                <w:rFonts w:hint="eastAsia" w:ascii="宋体" w:hAnsi="宋体" w:eastAsia="宋体"/>
                <w:b w:val="0"/>
                <w:sz w:val="24"/>
              </w:rPr>
              <w:t>年</w:t>
            </w:r>
            <w:r>
              <w:rPr>
                <w:rFonts w:ascii="宋体" w:hAnsi="宋体" w:eastAsia="宋体"/>
                <w:b w:val="0"/>
                <w:sz w:val="24"/>
              </w:rPr>
              <w:t>1</w:t>
            </w:r>
            <w:r>
              <w:rPr>
                <w:rFonts w:hint="eastAsia" w:ascii="宋体" w:hAnsi="宋体" w:eastAsia="宋体"/>
                <w:b w:val="0"/>
                <w:sz w:val="24"/>
              </w:rPr>
              <w:t>月</w:t>
            </w:r>
            <w:r>
              <w:rPr>
                <w:rFonts w:ascii="宋体" w:hAnsi="宋体" w:eastAsia="宋体"/>
                <w:b w:val="0"/>
                <w:sz w:val="24"/>
              </w:rPr>
              <w:t>1</w:t>
            </w:r>
            <w:r>
              <w:rPr>
                <w:rFonts w:hint="eastAsia" w:ascii="宋体" w:hAnsi="宋体" w:eastAsia="宋体"/>
                <w:b w:val="0"/>
                <w:sz w:val="24"/>
              </w:rPr>
              <w:t>日</w:t>
            </w:r>
            <w:r>
              <w:rPr>
                <w:rFonts w:ascii="宋体" w:hAnsi="宋体" w:eastAsia="宋体"/>
                <w:b w:val="0"/>
                <w:sz w:val="24"/>
              </w:rPr>
              <w:t>-2026</w:t>
            </w:r>
            <w:r>
              <w:rPr>
                <w:rFonts w:hint="eastAsia" w:ascii="宋体" w:hAnsi="宋体" w:eastAsia="宋体"/>
                <w:b w:val="0"/>
                <w:sz w:val="24"/>
              </w:rPr>
              <w:t>年</w:t>
            </w:r>
            <w:r>
              <w:rPr>
                <w:rFonts w:ascii="宋体" w:hAnsi="宋体" w:eastAsia="宋体"/>
                <w:b w:val="0"/>
                <w:sz w:val="24"/>
              </w:rPr>
              <w:t>12</w:t>
            </w:r>
            <w:r>
              <w:rPr>
                <w:rFonts w:hint="eastAsia" w:ascii="宋体" w:hAnsi="宋体" w:eastAsia="宋体"/>
                <w:b w:val="0"/>
                <w:sz w:val="24"/>
              </w:rPr>
              <w:t>月</w:t>
            </w:r>
            <w:r>
              <w:rPr>
                <w:rFonts w:ascii="宋体" w:hAnsi="宋体" w:eastAsia="宋体"/>
                <w:b w:val="0"/>
                <w:sz w:val="24"/>
              </w:rPr>
              <w:t>31</w:t>
            </w:r>
            <w:r>
              <w:rPr>
                <w:rFonts w:hint="eastAsia" w:ascii="宋体" w:hAnsi="宋体" w:eastAsia="宋体"/>
                <w:b w:val="0"/>
                <w:sz w:val="24"/>
              </w:rPr>
              <w:t>日，服务期满后，经甲乙双方同意，经采购人考核合格，在年度预算能够保障的前提下，可续签下一年度合同，续签不超过两次。履约期间两次月度考核不合格，不再续约。</w:t>
            </w:r>
          </w:p>
        </w:tc>
      </w:tr>
      <w:tr w14:paraId="6936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932801F">
            <w:pPr>
              <w:pStyle w:val="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396B41A2">
            <w:pPr>
              <w:pStyle w:val="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本项目采购标的名称及所属行业</w:t>
            </w:r>
          </w:p>
        </w:tc>
        <w:tc>
          <w:tcPr>
            <w:tcW w:w="3217" w:type="pct"/>
            <w:vAlign w:val="center"/>
          </w:tcPr>
          <w:p w14:paraId="145A80EE">
            <w:pPr>
              <w:spacing w:line="360" w:lineRule="auto"/>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标的名称：</w:t>
            </w:r>
            <w:r>
              <w:rPr>
                <w:rFonts w:hint="eastAsia" w:asciiTheme="minorEastAsia" w:hAnsiTheme="minorEastAsia" w:eastAsiaTheme="minorEastAsia"/>
                <w:sz w:val="24"/>
                <w:lang w:eastAsia="zh-CN"/>
              </w:rPr>
              <w:t>安徽职业技术大学2026年安保服务项目</w:t>
            </w:r>
          </w:p>
          <w:p w14:paraId="71CEDC27">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所属行业：租赁和商务服务业</w:t>
            </w:r>
          </w:p>
        </w:tc>
      </w:tr>
    </w:tbl>
    <w:p w14:paraId="277956D4">
      <w:pPr>
        <w:spacing w:line="360" w:lineRule="auto"/>
        <w:ind w:firstLine="482" w:firstLineChars="200"/>
        <w:outlineLvl w:val="1"/>
        <w:rPr>
          <w:rFonts w:ascii="宋体" w:hAnsi="宋体" w:eastAsia="宋体"/>
          <w:b/>
          <w:sz w:val="24"/>
          <w:szCs w:val="18"/>
        </w:rPr>
      </w:pPr>
      <w:bookmarkStart w:id="5" w:name="_Toc16543"/>
      <w:bookmarkStart w:id="6" w:name="_Toc27291"/>
      <w:bookmarkStart w:id="7" w:name="_Toc8753"/>
      <w:bookmarkStart w:id="8" w:name="_Hlk16461016"/>
      <w:r>
        <w:rPr>
          <w:rFonts w:hint="eastAsia" w:ascii="宋体" w:hAnsi="宋体" w:eastAsia="宋体"/>
          <w:b/>
          <w:sz w:val="24"/>
          <w:szCs w:val="18"/>
        </w:rPr>
        <w:t>二、项目概况</w:t>
      </w:r>
      <w:bookmarkEnd w:id="5"/>
      <w:bookmarkEnd w:id="6"/>
      <w:bookmarkEnd w:id="7"/>
    </w:p>
    <w:p w14:paraId="6FDFF234">
      <w:pPr>
        <w:spacing w:line="360" w:lineRule="auto"/>
        <w:ind w:firstLine="435"/>
        <w:rPr>
          <w:rFonts w:ascii="宋体" w:hAnsi="宋体" w:eastAsia="宋体" w:cs="宋体"/>
          <w:sz w:val="24"/>
          <w:szCs w:val="24"/>
        </w:rPr>
      </w:pPr>
      <w:r>
        <w:rPr>
          <w:rFonts w:hint="eastAsia" w:ascii="宋体" w:hAnsi="宋体" w:eastAsia="宋体" w:cs="宋体"/>
          <w:sz w:val="24"/>
          <w:szCs w:val="24"/>
        </w:rPr>
        <w:t>安徽职业技术大学位于合肥市新站高新技术开发区。学校占地2115亩，总建筑面积约70.65万平方米，在校生20000余人。学校安全保卫组织机构健全，保卫处全面负责学校安全保卫工作，具体有治安、交通、安全教育、综合治理等工作内容，监督检查安保服务质量，并指导保安人员对校内各类突发事件的应急处理。学校是合肥市重点反恐单位。本次招标范围为全校区招标。因各校区域投入使用时间有先后顺序，各校区岗位具体投入使用时间依据实际情况可能提前或延后，分批投入使用的岗位人次据实结算，服务期一年（可续签）。</w:t>
      </w:r>
    </w:p>
    <w:p w14:paraId="62FBFBE3">
      <w:pPr>
        <w:spacing w:line="360" w:lineRule="auto"/>
        <w:ind w:left="437"/>
        <w:outlineLvl w:val="1"/>
        <w:rPr>
          <w:rFonts w:ascii="宋体" w:hAnsi="宋体" w:eastAsia="宋体"/>
          <w:b/>
          <w:sz w:val="24"/>
          <w:szCs w:val="18"/>
        </w:rPr>
      </w:pPr>
      <w:bookmarkStart w:id="9" w:name="_Toc20525"/>
      <w:bookmarkStart w:id="10" w:name="_Toc27920"/>
      <w:bookmarkStart w:id="11" w:name="_Toc13016"/>
      <w:r>
        <w:rPr>
          <w:rFonts w:hint="eastAsia" w:ascii="宋体" w:hAnsi="宋体" w:eastAsia="宋体"/>
          <w:b/>
          <w:sz w:val="24"/>
          <w:szCs w:val="18"/>
        </w:rPr>
        <w:t>三、服务需求</w:t>
      </w:r>
      <w:bookmarkEnd w:id="9"/>
      <w:bookmarkEnd w:id="10"/>
      <w:bookmarkEnd w:id="11"/>
    </w:p>
    <w:p w14:paraId="54420EA9">
      <w:pPr>
        <w:spacing w:line="360" w:lineRule="auto"/>
        <w:ind w:firstLine="435"/>
        <w:rPr>
          <w:rFonts w:ascii="宋体" w:hAnsi="宋体" w:eastAsia="宋体" w:cs="宋体"/>
          <w:sz w:val="24"/>
          <w:szCs w:val="24"/>
        </w:rPr>
      </w:pPr>
      <w:r>
        <w:rPr>
          <w:rFonts w:hint="eastAsia" w:ascii="宋体" w:hAnsi="宋体" w:eastAsia="宋体" w:cs="宋体"/>
          <w:sz w:val="24"/>
          <w:szCs w:val="24"/>
        </w:rPr>
        <w:t>（一）安保服务工作主要任务</w:t>
      </w:r>
    </w:p>
    <w:p w14:paraId="1EB0EF56">
      <w:pPr>
        <w:spacing w:line="360" w:lineRule="auto"/>
        <w:ind w:firstLine="435"/>
        <w:rPr>
          <w:rFonts w:ascii="宋体" w:hAnsi="宋体" w:eastAsia="宋体" w:cs="宋体"/>
          <w:sz w:val="24"/>
          <w:szCs w:val="24"/>
        </w:rPr>
      </w:pPr>
      <w:r>
        <w:rPr>
          <w:rFonts w:hint="eastAsia" w:ascii="宋体" w:hAnsi="宋体" w:eastAsia="宋体" w:cs="宋体"/>
          <w:sz w:val="24"/>
          <w:szCs w:val="24"/>
        </w:rPr>
        <w:t>包括但不限于以下任务：</w:t>
      </w:r>
    </w:p>
    <w:p w14:paraId="736A6F55">
      <w:pPr>
        <w:spacing w:line="360" w:lineRule="auto"/>
        <w:ind w:firstLine="435"/>
        <w:rPr>
          <w:rFonts w:ascii="宋体" w:hAnsi="宋体" w:eastAsia="宋体" w:cs="宋体"/>
          <w:sz w:val="24"/>
          <w:szCs w:val="24"/>
        </w:rPr>
      </w:pPr>
      <w:r>
        <w:rPr>
          <w:rFonts w:hint="eastAsia" w:ascii="宋体" w:hAnsi="宋体" w:eastAsia="宋体" w:cs="宋体"/>
          <w:sz w:val="24"/>
          <w:szCs w:val="24"/>
        </w:rPr>
        <w:t>1.负责学校门卫、岗亭值班管理、治安巡逻、交通管理、应急处突、反恐防暴、大型活动保障等，维护校园安全稳定，及时发现和消除安全隐患；</w:t>
      </w:r>
    </w:p>
    <w:p w14:paraId="62DACE6C">
      <w:pPr>
        <w:spacing w:line="360" w:lineRule="auto"/>
        <w:ind w:firstLine="435"/>
        <w:rPr>
          <w:rFonts w:ascii="宋体" w:hAnsi="宋体" w:eastAsia="宋体" w:cs="宋体"/>
          <w:sz w:val="24"/>
          <w:szCs w:val="24"/>
        </w:rPr>
      </w:pPr>
      <w:r>
        <w:rPr>
          <w:rFonts w:hint="eastAsia" w:ascii="宋体" w:hAnsi="宋体" w:eastAsia="宋体" w:cs="宋体"/>
          <w:sz w:val="24"/>
          <w:szCs w:val="24"/>
        </w:rPr>
        <w:t>2.在学校保卫处的组织领导下，协同做好校园治安及综合治理工作；</w:t>
      </w:r>
    </w:p>
    <w:p w14:paraId="07D2744C">
      <w:pPr>
        <w:spacing w:line="360" w:lineRule="auto"/>
        <w:ind w:firstLine="435"/>
        <w:rPr>
          <w:rFonts w:ascii="宋体" w:hAnsi="宋体" w:eastAsia="宋体" w:cs="宋体"/>
          <w:sz w:val="24"/>
          <w:szCs w:val="24"/>
        </w:rPr>
      </w:pPr>
      <w:r>
        <w:rPr>
          <w:rFonts w:hint="eastAsia" w:ascii="宋体" w:hAnsi="宋体" w:eastAsia="宋体" w:cs="宋体"/>
          <w:sz w:val="24"/>
          <w:szCs w:val="24"/>
        </w:rPr>
        <w:t>3.配合学校保卫处，及时处理校园内发生的各类治安案件；</w:t>
      </w:r>
    </w:p>
    <w:p w14:paraId="3DAA80E8">
      <w:pPr>
        <w:spacing w:line="360" w:lineRule="auto"/>
        <w:ind w:firstLine="435"/>
        <w:rPr>
          <w:rFonts w:ascii="宋体" w:hAnsi="宋体" w:eastAsia="宋体" w:cs="宋体"/>
          <w:sz w:val="24"/>
          <w:szCs w:val="24"/>
        </w:rPr>
      </w:pPr>
      <w:r>
        <w:rPr>
          <w:rFonts w:hint="eastAsia" w:ascii="宋体" w:hAnsi="宋体" w:eastAsia="宋体" w:cs="宋体"/>
          <w:sz w:val="24"/>
          <w:szCs w:val="24"/>
        </w:rPr>
        <w:t>4.随时出勤，为师生提供紧急救助服务；</w:t>
      </w:r>
    </w:p>
    <w:p w14:paraId="45891184">
      <w:pPr>
        <w:spacing w:line="360" w:lineRule="auto"/>
        <w:ind w:firstLine="435"/>
        <w:rPr>
          <w:rFonts w:ascii="宋体" w:hAnsi="宋体" w:eastAsia="宋体" w:cs="宋体"/>
          <w:sz w:val="24"/>
          <w:szCs w:val="24"/>
        </w:rPr>
      </w:pPr>
      <w:r>
        <w:rPr>
          <w:rFonts w:hint="eastAsia" w:ascii="宋体" w:hAnsi="宋体" w:eastAsia="宋体" w:cs="宋体"/>
          <w:sz w:val="24"/>
          <w:szCs w:val="24"/>
        </w:rPr>
        <w:t>5.配合保卫处做好学校重大活动期间的安保工作；</w:t>
      </w:r>
    </w:p>
    <w:p w14:paraId="5F8B0D24">
      <w:pPr>
        <w:spacing w:line="360" w:lineRule="auto"/>
        <w:ind w:firstLine="435"/>
        <w:rPr>
          <w:rFonts w:ascii="宋体" w:hAnsi="宋体" w:eastAsia="宋体" w:cs="宋体"/>
          <w:sz w:val="24"/>
          <w:szCs w:val="24"/>
        </w:rPr>
      </w:pPr>
      <w:r>
        <w:rPr>
          <w:rFonts w:hint="eastAsia" w:ascii="宋体" w:hAnsi="宋体" w:eastAsia="宋体" w:cs="宋体"/>
          <w:sz w:val="24"/>
          <w:szCs w:val="24"/>
        </w:rPr>
        <w:t>6.按照学校规定的时间对校门、有关楼宇出入口进行开启与封闭；</w:t>
      </w:r>
    </w:p>
    <w:p w14:paraId="6EAD9D20">
      <w:pPr>
        <w:spacing w:line="360" w:lineRule="auto"/>
        <w:ind w:firstLine="435"/>
        <w:rPr>
          <w:rFonts w:ascii="宋体" w:hAnsi="宋体" w:eastAsia="宋体" w:cs="宋体"/>
          <w:sz w:val="24"/>
          <w:szCs w:val="24"/>
        </w:rPr>
      </w:pPr>
      <w:r>
        <w:rPr>
          <w:rFonts w:hint="eastAsia" w:ascii="宋体" w:hAnsi="宋体" w:eastAsia="宋体" w:cs="宋体"/>
          <w:sz w:val="24"/>
          <w:szCs w:val="24"/>
        </w:rPr>
        <w:t>7.配合公安机关，打击校园内部及责任区的违法犯罪活动。</w:t>
      </w:r>
    </w:p>
    <w:p w14:paraId="7C769D80">
      <w:pPr>
        <w:spacing w:line="360" w:lineRule="auto"/>
        <w:ind w:firstLine="435"/>
        <w:rPr>
          <w:rFonts w:ascii="宋体" w:hAnsi="宋体" w:eastAsia="宋体" w:cs="宋体"/>
          <w:sz w:val="24"/>
          <w:szCs w:val="24"/>
        </w:rPr>
      </w:pPr>
      <w:r>
        <w:rPr>
          <w:rFonts w:hint="eastAsia" w:ascii="宋体" w:hAnsi="宋体" w:eastAsia="宋体" w:cs="宋体"/>
          <w:sz w:val="24"/>
          <w:szCs w:val="24"/>
        </w:rPr>
        <w:t>（二）安保服务内容</w:t>
      </w:r>
    </w:p>
    <w:p w14:paraId="7D83AD8C">
      <w:pPr>
        <w:spacing w:line="360" w:lineRule="auto"/>
        <w:ind w:firstLine="435"/>
        <w:rPr>
          <w:rFonts w:ascii="宋体" w:hAnsi="宋体" w:eastAsia="宋体" w:cs="宋体"/>
          <w:sz w:val="24"/>
          <w:szCs w:val="24"/>
        </w:rPr>
      </w:pPr>
      <w:r>
        <w:rPr>
          <w:rFonts w:hint="eastAsia" w:ascii="宋体" w:hAnsi="宋体" w:eastAsia="宋体" w:cs="宋体"/>
          <w:sz w:val="24"/>
          <w:szCs w:val="24"/>
        </w:rPr>
        <w:t>中标人依照学校规定与管理要求，结合校园安全保卫工作实际情况，制订切实可行的校园安保服务整体方案、保安服务质量考评方案和突发事件应急处置预案，开展专业化安防业务。包括但不限于以下服务工作内容：</w:t>
      </w:r>
    </w:p>
    <w:p w14:paraId="0C3E0184">
      <w:pPr>
        <w:spacing w:line="360" w:lineRule="auto"/>
        <w:ind w:firstLine="435"/>
        <w:rPr>
          <w:rFonts w:ascii="宋体" w:hAnsi="宋体" w:eastAsia="宋体" w:cs="宋体"/>
          <w:sz w:val="24"/>
          <w:szCs w:val="24"/>
        </w:rPr>
      </w:pPr>
      <w:r>
        <w:rPr>
          <w:rFonts w:hint="eastAsia" w:ascii="宋体" w:hAnsi="宋体" w:eastAsia="宋体" w:cs="宋体"/>
          <w:sz w:val="24"/>
          <w:szCs w:val="24"/>
        </w:rPr>
        <w:t>1.安保服务时间：全年全时段执勤；</w:t>
      </w:r>
    </w:p>
    <w:p w14:paraId="5D1DA337">
      <w:pPr>
        <w:spacing w:line="360" w:lineRule="auto"/>
        <w:ind w:firstLine="435"/>
        <w:rPr>
          <w:rFonts w:ascii="宋体" w:hAnsi="宋体" w:eastAsia="宋体" w:cs="宋体"/>
          <w:sz w:val="24"/>
          <w:szCs w:val="24"/>
        </w:rPr>
      </w:pPr>
      <w:r>
        <w:rPr>
          <w:rFonts w:hint="eastAsia" w:ascii="宋体" w:hAnsi="宋体" w:eastAsia="宋体" w:cs="宋体"/>
          <w:sz w:val="24"/>
          <w:szCs w:val="24"/>
        </w:rPr>
        <w:t>2.对学校日常开放的校门实行24小时门卫管理；</w:t>
      </w:r>
    </w:p>
    <w:p w14:paraId="16F2D82B">
      <w:pPr>
        <w:spacing w:line="360" w:lineRule="auto"/>
        <w:ind w:firstLine="435"/>
        <w:rPr>
          <w:rFonts w:ascii="宋体" w:hAnsi="宋体" w:eastAsia="宋体" w:cs="宋体"/>
          <w:sz w:val="24"/>
          <w:szCs w:val="24"/>
        </w:rPr>
      </w:pPr>
      <w:r>
        <w:rPr>
          <w:rFonts w:hint="eastAsia" w:ascii="宋体" w:hAnsi="宋体" w:eastAsia="宋体" w:cs="宋体"/>
          <w:sz w:val="24"/>
          <w:szCs w:val="24"/>
        </w:rPr>
        <w:t>3.负责校区内安全重点部位的反恐防爆、防破坏、防事故、防盗、防外来人员私自进入等守护、守卫工作；</w:t>
      </w:r>
    </w:p>
    <w:p w14:paraId="6A254064">
      <w:pPr>
        <w:spacing w:line="360" w:lineRule="auto"/>
        <w:ind w:firstLine="435"/>
        <w:rPr>
          <w:rFonts w:ascii="宋体" w:hAnsi="宋体" w:eastAsia="宋体" w:cs="宋体"/>
          <w:sz w:val="24"/>
          <w:szCs w:val="24"/>
        </w:rPr>
      </w:pPr>
      <w:r>
        <w:rPr>
          <w:rFonts w:hint="eastAsia" w:ascii="宋体" w:hAnsi="宋体" w:eastAsia="宋体" w:cs="宋体"/>
          <w:sz w:val="24"/>
          <w:szCs w:val="24"/>
        </w:rPr>
        <w:t>4.负责对外来机动车辆、外来人员、出入校门物资（品）检查、登记等门卫值勤工作；</w:t>
      </w:r>
    </w:p>
    <w:p w14:paraId="1C5DCE00">
      <w:pPr>
        <w:spacing w:line="360" w:lineRule="auto"/>
        <w:ind w:firstLine="435"/>
        <w:rPr>
          <w:rFonts w:ascii="宋体" w:hAnsi="宋体" w:eastAsia="宋体" w:cs="宋体"/>
          <w:sz w:val="24"/>
          <w:szCs w:val="24"/>
        </w:rPr>
      </w:pPr>
      <w:r>
        <w:rPr>
          <w:rFonts w:hint="eastAsia" w:ascii="宋体" w:hAnsi="宋体" w:eastAsia="宋体" w:cs="宋体"/>
          <w:sz w:val="24"/>
          <w:szCs w:val="24"/>
        </w:rPr>
        <w:t>5.负责组织治安巡逻，及时发现各类安全隐患，制止校园不文明举止，发现和制止校园暴力事件，随时准备为师生提供紧急救助服务；</w:t>
      </w:r>
    </w:p>
    <w:p w14:paraId="58EC7002">
      <w:pPr>
        <w:spacing w:line="360" w:lineRule="auto"/>
        <w:ind w:firstLine="435"/>
        <w:rPr>
          <w:rFonts w:ascii="宋体" w:hAnsi="宋体" w:eastAsia="宋体" w:cs="宋体"/>
          <w:sz w:val="24"/>
          <w:szCs w:val="24"/>
        </w:rPr>
      </w:pPr>
      <w:r>
        <w:rPr>
          <w:rFonts w:hint="eastAsia" w:ascii="宋体" w:hAnsi="宋体" w:eastAsia="宋体" w:cs="宋体"/>
          <w:sz w:val="24"/>
          <w:szCs w:val="24"/>
        </w:rPr>
        <w:t>6.配合保卫处执行各项管理制度,维护校园内教学、交通、生活秩序；接受保卫处的监督检查、考核及业务指导。参与校内突发事件处置、灾害预防、大型活动安保，与消防维保单位和消控室值班人员协同联动，做好初起火灾扑救等；</w:t>
      </w:r>
    </w:p>
    <w:p w14:paraId="40105812">
      <w:pPr>
        <w:spacing w:line="360" w:lineRule="auto"/>
        <w:ind w:firstLine="435"/>
        <w:rPr>
          <w:rFonts w:ascii="宋体" w:hAnsi="宋体" w:eastAsia="宋体" w:cs="宋体"/>
          <w:sz w:val="24"/>
          <w:szCs w:val="24"/>
        </w:rPr>
      </w:pPr>
      <w:r>
        <w:rPr>
          <w:rFonts w:hint="eastAsia" w:ascii="宋体" w:hAnsi="宋体" w:eastAsia="宋体" w:cs="宋体"/>
          <w:sz w:val="24"/>
          <w:szCs w:val="24"/>
        </w:rPr>
        <w:t>7.遇各类临时性、突发性勤务工作以及重要时间段，中标方须加强和增派安保力量，包括但不限于以下工作：新生入学、军训、重要来宾访校秩序维护、英语四六级考试、毕业生离校、举办的重大活动及社会化考试等工作；</w:t>
      </w:r>
    </w:p>
    <w:p w14:paraId="35BAA213">
      <w:pPr>
        <w:spacing w:line="360" w:lineRule="auto"/>
        <w:ind w:firstLine="435"/>
        <w:rPr>
          <w:rFonts w:ascii="宋体" w:hAnsi="宋体" w:eastAsia="宋体" w:cs="宋体"/>
          <w:sz w:val="24"/>
          <w:szCs w:val="24"/>
        </w:rPr>
      </w:pPr>
      <w:r>
        <w:rPr>
          <w:rFonts w:hint="eastAsia" w:ascii="宋体" w:hAnsi="宋体" w:eastAsia="宋体" w:cs="宋体"/>
          <w:sz w:val="24"/>
          <w:szCs w:val="24"/>
        </w:rPr>
        <w:t>8.其它属于安保服务范围内的工作以及学校交办的任务。</w:t>
      </w:r>
    </w:p>
    <w:p w14:paraId="35CFE315">
      <w:pPr>
        <w:spacing w:line="360" w:lineRule="auto"/>
        <w:ind w:firstLine="435"/>
        <w:rPr>
          <w:rFonts w:ascii="宋体" w:hAnsi="宋体" w:eastAsia="宋体" w:cs="宋体"/>
          <w:sz w:val="24"/>
          <w:szCs w:val="24"/>
        </w:rPr>
      </w:pPr>
      <w:r>
        <w:rPr>
          <w:rFonts w:hint="eastAsia" w:ascii="宋体" w:hAnsi="宋体" w:eastAsia="宋体" w:cs="宋体"/>
          <w:sz w:val="24"/>
          <w:szCs w:val="24"/>
        </w:rPr>
        <w:t>（三）岗位配备要求</w:t>
      </w:r>
    </w:p>
    <w:p w14:paraId="271860B2">
      <w:pPr>
        <w:spacing w:line="360" w:lineRule="auto"/>
        <w:ind w:firstLine="435"/>
        <w:rPr>
          <w:rFonts w:ascii="宋体" w:hAnsi="宋体" w:eastAsia="宋体" w:cs="宋体"/>
          <w:sz w:val="24"/>
          <w:szCs w:val="24"/>
        </w:rPr>
      </w:pPr>
      <w:r>
        <w:rPr>
          <w:rFonts w:hint="eastAsia" w:ascii="宋体" w:hAnsi="宋体" w:eastAsia="宋体" w:cs="宋体"/>
          <w:sz w:val="24"/>
          <w:szCs w:val="24"/>
        </w:rPr>
        <w:t>安保队伍内部管理体制及规章制度健全，配备保安队长、副队长，全面负责安保队伍的规范化管理。每月安排公司管理人员至少两次到校检查、监督保安队长、副队长工作开展情况。派驻学校的保安队长和副队长须在学校驻点；所派驻人员须身心健康，相貌端正，符合保安员身心素质要求，无传染病及精神病史，知法、懂法、守法，依法办事，文明执勤，熟悉保安从业规范和学校管理制度。所有派驻人员须持保安证上岗。保安员年龄超过55周岁但业绩表现特别突出且身体状况仍能胜任工作岗位的，经本人申请，供应商签字盖章确认，报学校主管部门同意后方可继续留岗工作；中标人必须按岗位要求配备保安力量，并保证实际到岗数；必须确保保安人员的正当权益；依法规范用工，并对用工行为承担一切法律责任。</w:t>
      </w:r>
    </w:p>
    <w:p w14:paraId="16B12224">
      <w:pPr>
        <w:spacing w:line="360" w:lineRule="auto"/>
        <w:ind w:firstLine="435"/>
        <w:rPr>
          <w:rFonts w:ascii="宋体" w:hAnsi="宋体" w:eastAsia="宋体" w:cs="宋体"/>
          <w:sz w:val="24"/>
          <w:szCs w:val="24"/>
        </w:rPr>
      </w:pPr>
      <w:r>
        <w:rPr>
          <w:rFonts w:hint="eastAsia" w:ascii="宋体" w:hAnsi="宋体" w:eastAsia="宋体" w:cs="宋体"/>
          <w:sz w:val="24"/>
          <w:szCs w:val="24"/>
        </w:rPr>
        <w:t>合同有效期内，学校因工作需要增加或减少保安岗位时，依据双方签订的合同费用标准由中标人配备，服务费相应增加或减少。具体岗位配备要求如下：</w:t>
      </w:r>
    </w:p>
    <w:p w14:paraId="3B7E19AF">
      <w:pPr>
        <w:spacing w:line="360" w:lineRule="auto"/>
        <w:ind w:firstLine="435"/>
        <w:rPr>
          <w:rFonts w:ascii="宋体" w:hAnsi="宋体" w:eastAsia="宋体" w:cs="宋体"/>
          <w:sz w:val="24"/>
          <w:szCs w:val="24"/>
        </w:rPr>
      </w:pPr>
      <w:r>
        <w:rPr>
          <w:rFonts w:hint="eastAsia" w:ascii="宋体" w:hAnsi="宋体" w:eastAsia="宋体" w:cs="宋体"/>
          <w:sz w:val="24"/>
          <w:szCs w:val="24"/>
        </w:rPr>
        <w:t>1.保安队长：男性，退伍军人，专科及以上学历，年龄在45周岁及以下，从事保安行业三年以上，受过专门的保安业务培训，有较高的政治素养和业务水平，有较强的组织协调能力，具备一定的管理经验和处理突发事件的能力。</w:t>
      </w:r>
    </w:p>
    <w:p w14:paraId="7CCB55E2">
      <w:pPr>
        <w:spacing w:line="360" w:lineRule="auto"/>
        <w:ind w:firstLine="435"/>
        <w:rPr>
          <w:rFonts w:ascii="宋体" w:hAnsi="宋体" w:eastAsia="宋体" w:cs="宋体"/>
          <w:sz w:val="24"/>
          <w:szCs w:val="24"/>
        </w:rPr>
      </w:pPr>
      <w:r>
        <w:rPr>
          <w:rFonts w:hint="eastAsia" w:ascii="宋体" w:hAnsi="宋体" w:eastAsia="宋体" w:cs="宋体"/>
          <w:sz w:val="24"/>
          <w:szCs w:val="24"/>
        </w:rPr>
        <w:t>2.副队长：男性，专科及以上学历，年龄在45周岁及以下，从事保安行业两年以上，受过专门的保安业务培训，有较高的政治素养和业务水平，有较强的组织协调能力，能够协助队长做好各项应急处突，落实学校各项安保工作。</w:t>
      </w:r>
    </w:p>
    <w:p w14:paraId="78B46404">
      <w:pPr>
        <w:spacing w:line="360" w:lineRule="auto"/>
        <w:ind w:firstLine="435"/>
        <w:rPr>
          <w:rFonts w:ascii="宋体" w:hAnsi="宋体" w:eastAsia="宋体" w:cs="宋体"/>
          <w:sz w:val="24"/>
          <w:szCs w:val="24"/>
        </w:rPr>
      </w:pPr>
      <w:r>
        <w:rPr>
          <w:rFonts w:hint="eastAsia" w:ascii="宋体" w:hAnsi="宋体" w:eastAsia="宋体" w:cs="宋体"/>
          <w:sz w:val="24"/>
          <w:szCs w:val="24"/>
        </w:rPr>
        <w:t>3.门卫岗：初中及以上学历，年龄55周岁及以下。负责学校校门24小时执勤，维持大门内外秩序及环境卫生；严格人员、车辆、物资等管理；按照学校要求做好检查登记，阻止闲杂人员等进入校园，及时报告与妥善处置校门内外突发事件，文明执勤，树立良好窗口形象；保持大门内外环境整洁卫生和做好门前“三包”。必要时对进出校门的师生员工提供力所能及的帮助。</w:t>
      </w:r>
    </w:p>
    <w:p w14:paraId="0E9A2460">
      <w:pPr>
        <w:spacing w:line="360" w:lineRule="auto"/>
        <w:ind w:firstLine="435"/>
        <w:rPr>
          <w:rFonts w:ascii="宋体" w:hAnsi="宋体" w:eastAsia="宋体" w:cs="宋体"/>
          <w:sz w:val="24"/>
          <w:szCs w:val="24"/>
        </w:rPr>
      </w:pPr>
      <w:r>
        <w:rPr>
          <w:rFonts w:hint="eastAsia" w:ascii="宋体" w:hAnsi="宋体" w:eastAsia="宋体" w:cs="宋体"/>
          <w:sz w:val="24"/>
          <w:szCs w:val="24"/>
        </w:rPr>
        <w:t>4.巡逻岗（巡逻岗1、巡逻岗2和巡逻岗3）：初中及以上学历，年龄50周岁及以下；负责每日24小时治安巡逻，及时发现并处理各类安全隐患，对校园重点区域非机动车停放整理摆放；负责校园机动车违停处置；负责工作日上下班高峰期主门岗的执勤协助工作；对清水湖及周边开展治安巡查；为师生员工提供紧急求助服务，完成保卫处交办的其他临时勤务。</w:t>
      </w:r>
    </w:p>
    <w:p w14:paraId="28D09433">
      <w:pPr>
        <w:spacing w:line="360" w:lineRule="auto"/>
        <w:ind w:firstLine="435"/>
        <w:rPr>
          <w:rFonts w:ascii="宋体" w:hAnsi="宋体" w:eastAsia="宋体" w:cs="宋体"/>
          <w:sz w:val="24"/>
          <w:szCs w:val="24"/>
        </w:rPr>
      </w:pPr>
      <w:r>
        <w:rPr>
          <w:rFonts w:hint="eastAsia" w:ascii="宋体" w:hAnsi="宋体" w:eastAsia="宋体" w:cs="宋体"/>
          <w:sz w:val="24"/>
          <w:szCs w:val="24"/>
        </w:rPr>
        <w:t>5.行政楼执勤岗：专科及以上学历，年龄50周岁及以下。负责行政楼安保执勤、来访人员登记、区域车辆停放管理、突发事件上报与处置，落实学校和保安队长交办的其他安保任务。</w:t>
      </w:r>
    </w:p>
    <w:p w14:paraId="65D9F1E8">
      <w:pPr>
        <w:spacing w:line="360" w:lineRule="auto"/>
        <w:ind w:firstLine="435"/>
        <w:rPr>
          <w:rFonts w:ascii="宋体" w:hAnsi="宋体" w:eastAsia="宋体" w:cs="宋体"/>
          <w:sz w:val="24"/>
          <w:szCs w:val="24"/>
        </w:rPr>
      </w:pPr>
      <w:r>
        <w:rPr>
          <w:rFonts w:hint="eastAsia" w:ascii="宋体" w:hAnsi="宋体" w:eastAsia="宋体" w:cs="宋体"/>
          <w:sz w:val="24"/>
          <w:szCs w:val="24"/>
        </w:rPr>
        <w:t>（四）岗位设置及服务时间</w:t>
      </w:r>
    </w:p>
    <w:p w14:paraId="2D94DED3">
      <w:pPr>
        <w:spacing w:line="360" w:lineRule="auto"/>
        <w:ind w:firstLine="435"/>
        <w:rPr>
          <w:rFonts w:ascii="宋体" w:hAnsi="宋体" w:eastAsia="宋体" w:cs="宋体"/>
          <w:sz w:val="24"/>
          <w:szCs w:val="24"/>
        </w:rPr>
      </w:pPr>
      <w:r>
        <w:rPr>
          <w:rFonts w:hint="eastAsia" w:ascii="宋体" w:hAnsi="宋体" w:eastAsia="宋体" w:cs="宋体"/>
          <w:sz w:val="24"/>
          <w:szCs w:val="24"/>
        </w:rPr>
        <w:t>1、中标人必须按岗位要求配备保安力量，确保所有岗位24小时有人员在岗并保证实际到岗数；必须确保保安人员的正当权益，依法规范用工，并对用工行为承担一切法律责任；每周工作时间安排不得违反国家法律法规。岗位设置及服务时间见下表：</w:t>
      </w:r>
    </w:p>
    <w:tbl>
      <w:tblPr>
        <w:tblStyle w:val="4"/>
        <w:tblpPr w:leftFromText="180" w:rightFromText="180" w:vertAnchor="text" w:horzAnchor="page" w:tblpX="1454" w:tblpY="532"/>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61"/>
        <w:gridCol w:w="5278"/>
        <w:gridCol w:w="1514"/>
      </w:tblGrid>
      <w:tr w14:paraId="2FD4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59" w:type="dxa"/>
            <w:vAlign w:val="center"/>
          </w:tcPr>
          <w:p w14:paraId="3C7BDB5C">
            <w:pPr>
              <w:spacing w:line="360" w:lineRule="auto"/>
              <w:jc w:val="center"/>
              <w:rPr>
                <w:rFonts w:ascii="宋体" w:hAnsi="宋体" w:eastAsia="宋体" w:cs="宋体"/>
                <w:sz w:val="24"/>
                <w:szCs w:val="24"/>
              </w:rPr>
            </w:pPr>
            <w:bookmarkStart w:id="12" w:name="2、岗位设置"/>
            <w:bookmarkEnd w:id="12"/>
            <w:r>
              <w:rPr>
                <w:rFonts w:hint="eastAsia" w:ascii="宋体" w:hAnsi="宋体" w:eastAsia="宋体" w:cs="宋体"/>
                <w:sz w:val="24"/>
                <w:szCs w:val="24"/>
              </w:rPr>
              <w:t>校区</w:t>
            </w:r>
          </w:p>
        </w:tc>
        <w:tc>
          <w:tcPr>
            <w:tcW w:w="1561" w:type="dxa"/>
            <w:vAlign w:val="center"/>
          </w:tcPr>
          <w:p w14:paraId="5DCF0FF9">
            <w:pPr>
              <w:spacing w:line="360" w:lineRule="auto"/>
              <w:jc w:val="center"/>
              <w:rPr>
                <w:rFonts w:ascii="宋体" w:hAnsi="宋体" w:eastAsia="宋体" w:cs="宋体"/>
                <w:sz w:val="24"/>
                <w:szCs w:val="24"/>
              </w:rPr>
            </w:pPr>
            <w:r>
              <w:rPr>
                <w:rFonts w:hint="eastAsia" w:ascii="宋体" w:hAnsi="宋体" w:eastAsia="宋体" w:cs="宋体"/>
                <w:sz w:val="24"/>
                <w:szCs w:val="24"/>
              </w:rPr>
              <w:t>岗 位</w:t>
            </w:r>
          </w:p>
        </w:tc>
        <w:tc>
          <w:tcPr>
            <w:tcW w:w="5278" w:type="dxa"/>
            <w:vAlign w:val="center"/>
          </w:tcPr>
          <w:p w14:paraId="40280D82">
            <w:pPr>
              <w:spacing w:line="360" w:lineRule="auto"/>
              <w:jc w:val="center"/>
              <w:rPr>
                <w:rFonts w:ascii="宋体" w:hAnsi="宋体" w:eastAsia="宋体" w:cs="宋体"/>
                <w:sz w:val="24"/>
                <w:szCs w:val="24"/>
              </w:rPr>
            </w:pPr>
            <w:r>
              <w:rPr>
                <w:rFonts w:hint="eastAsia" w:ascii="宋体" w:hAnsi="宋体" w:eastAsia="宋体" w:cs="宋体"/>
                <w:sz w:val="24"/>
                <w:szCs w:val="24"/>
              </w:rPr>
              <w:t>要 求</w:t>
            </w:r>
          </w:p>
        </w:tc>
        <w:tc>
          <w:tcPr>
            <w:tcW w:w="1514" w:type="dxa"/>
            <w:vAlign w:val="center"/>
          </w:tcPr>
          <w:p w14:paraId="0E76B29F">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p w14:paraId="78E66C4C">
            <w:pPr>
              <w:spacing w:line="360" w:lineRule="auto"/>
              <w:jc w:val="center"/>
              <w:rPr>
                <w:rFonts w:ascii="宋体" w:hAnsi="宋体" w:eastAsia="宋体" w:cs="宋体"/>
                <w:sz w:val="24"/>
                <w:szCs w:val="24"/>
              </w:rPr>
            </w:pPr>
            <w:r>
              <w:rPr>
                <w:rFonts w:hint="eastAsia" w:ascii="宋体" w:hAnsi="宋体" w:eastAsia="宋体" w:cs="宋体"/>
                <w:sz w:val="24"/>
                <w:szCs w:val="24"/>
              </w:rPr>
              <w:t>（岗位投入使用时间）</w:t>
            </w:r>
          </w:p>
        </w:tc>
      </w:tr>
      <w:tr w14:paraId="58F6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59" w:type="dxa"/>
            <w:vAlign w:val="center"/>
          </w:tcPr>
          <w:p w14:paraId="00F957CD">
            <w:pPr>
              <w:spacing w:line="360" w:lineRule="auto"/>
              <w:jc w:val="center"/>
              <w:rPr>
                <w:rFonts w:ascii="宋体" w:hAnsi="宋体" w:eastAsia="宋体" w:cs="宋体"/>
                <w:sz w:val="24"/>
                <w:szCs w:val="24"/>
              </w:rPr>
            </w:pPr>
            <w:r>
              <w:rPr>
                <w:rFonts w:hint="eastAsia" w:ascii="宋体" w:hAnsi="宋体" w:eastAsia="宋体" w:cs="宋体"/>
                <w:sz w:val="24"/>
                <w:szCs w:val="24"/>
              </w:rPr>
              <w:t>全校区</w:t>
            </w:r>
          </w:p>
        </w:tc>
        <w:tc>
          <w:tcPr>
            <w:tcW w:w="1561" w:type="dxa"/>
            <w:vAlign w:val="center"/>
          </w:tcPr>
          <w:p w14:paraId="4636A166">
            <w:pPr>
              <w:spacing w:line="360" w:lineRule="auto"/>
              <w:jc w:val="center"/>
              <w:rPr>
                <w:rFonts w:ascii="宋体" w:hAnsi="宋体" w:eastAsia="宋体" w:cs="宋体"/>
                <w:sz w:val="24"/>
                <w:szCs w:val="24"/>
              </w:rPr>
            </w:pPr>
            <w:r>
              <w:rPr>
                <w:rFonts w:hint="eastAsia" w:ascii="宋体" w:hAnsi="宋体" w:eastAsia="宋体" w:cs="宋体"/>
                <w:sz w:val="24"/>
                <w:szCs w:val="24"/>
              </w:rPr>
              <w:t>项目经理</w:t>
            </w:r>
          </w:p>
          <w:p w14:paraId="2E0A69F1">
            <w:pPr>
              <w:spacing w:line="360" w:lineRule="auto"/>
              <w:jc w:val="center"/>
              <w:rPr>
                <w:rFonts w:ascii="宋体" w:hAnsi="宋体" w:eastAsia="宋体" w:cs="宋体"/>
                <w:sz w:val="24"/>
                <w:szCs w:val="24"/>
              </w:rPr>
            </w:pPr>
            <w:r>
              <w:rPr>
                <w:rFonts w:hint="eastAsia" w:ascii="宋体" w:hAnsi="宋体" w:eastAsia="宋体" w:cs="宋体"/>
                <w:sz w:val="24"/>
                <w:szCs w:val="24"/>
              </w:rPr>
              <w:t>（保安队长、副队长）</w:t>
            </w:r>
          </w:p>
        </w:tc>
        <w:tc>
          <w:tcPr>
            <w:tcW w:w="5278" w:type="dxa"/>
            <w:vAlign w:val="center"/>
          </w:tcPr>
          <w:p w14:paraId="6EAEF4EA">
            <w:pPr>
              <w:spacing w:line="360" w:lineRule="auto"/>
              <w:rPr>
                <w:rFonts w:ascii="宋体" w:hAnsi="宋体" w:eastAsia="宋体" w:cs="宋体"/>
                <w:sz w:val="24"/>
                <w:szCs w:val="24"/>
              </w:rPr>
            </w:pPr>
            <w:r>
              <w:rPr>
                <w:rFonts w:hint="eastAsia" w:ascii="宋体" w:hAnsi="宋体" w:eastAsia="宋体" w:cs="宋体"/>
                <w:sz w:val="24"/>
                <w:szCs w:val="24"/>
              </w:rPr>
              <w:t>保安队长：男性，退伍军人，专科及以上学历，年龄 45 周岁及以下，从事保安行业三年以上，受过专门的保安业务培训，有较高的政治素养和业务水平，有较强的组织协调能力，具备一定的管理经验和处理突发事件的能力；不少于1人。</w:t>
            </w:r>
          </w:p>
          <w:p w14:paraId="56091E43">
            <w:pPr>
              <w:spacing w:line="360" w:lineRule="auto"/>
              <w:rPr>
                <w:rFonts w:ascii="宋体" w:hAnsi="宋体" w:eastAsia="宋体" w:cs="宋体"/>
                <w:sz w:val="24"/>
                <w:szCs w:val="24"/>
              </w:rPr>
            </w:pPr>
            <w:r>
              <w:rPr>
                <w:rFonts w:hint="eastAsia" w:ascii="宋体" w:hAnsi="宋体" w:eastAsia="宋体" w:cs="宋体"/>
                <w:sz w:val="24"/>
                <w:szCs w:val="24"/>
              </w:rPr>
              <w:t>副队长：男性，专科及以上学历，年龄在45周岁及以下，从事保安行业两年以上；受过专门的保安业务培训，有较高的政治素养和业务水平，有较强的组织协调能力，能够协助队长做好各项应急处突，落实学校各项安保工作；不少于1人。</w:t>
            </w:r>
          </w:p>
        </w:tc>
        <w:tc>
          <w:tcPr>
            <w:tcW w:w="1514" w:type="dxa"/>
            <w:vAlign w:val="center"/>
          </w:tcPr>
          <w:p w14:paraId="77B0FF19">
            <w:pPr>
              <w:spacing w:line="360" w:lineRule="auto"/>
              <w:jc w:val="center"/>
              <w:rPr>
                <w:rFonts w:ascii="宋体" w:hAnsi="宋体" w:eastAsia="宋体" w:cs="宋体"/>
                <w:sz w:val="24"/>
                <w:szCs w:val="24"/>
              </w:rPr>
            </w:pPr>
            <w:r>
              <w:rPr>
                <w:rFonts w:hint="eastAsia" w:ascii="宋体" w:hAnsi="宋体" w:eastAsia="宋体" w:cs="宋体"/>
                <w:sz w:val="24"/>
                <w:szCs w:val="24"/>
              </w:rPr>
              <w:t>2026年1月1日</w:t>
            </w:r>
          </w:p>
        </w:tc>
      </w:tr>
      <w:tr w14:paraId="0351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959" w:type="dxa"/>
            <w:vMerge w:val="restart"/>
            <w:vAlign w:val="center"/>
          </w:tcPr>
          <w:p w14:paraId="37F50D68">
            <w:pPr>
              <w:spacing w:line="360" w:lineRule="auto"/>
              <w:jc w:val="center"/>
              <w:rPr>
                <w:rFonts w:ascii="宋体" w:hAnsi="宋体" w:eastAsia="宋体" w:cs="宋体"/>
                <w:sz w:val="24"/>
                <w:szCs w:val="24"/>
              </w:rPr>
            </w:pPr>
            <w:r>
              <w:rPr>
                <w:rFonts w:hint="eastAsia" w:ascii="宋体" w:hAnsi="宋体" w:eastAsia="宋体" w:cs="宋体"/>
                <w:sz w:val="24"/>
                <w:szCs w:val="24"/>
              </w:rPr>
              <w:t>北园校区</w:t>
            </w:r>
          </w:p>
        </w:tc>
        <w:tc>
          <w:tcPr>
            <w:tcW w:w="1561" w:type="dxa"/>
            <w:vAlign w:val="center"/>
          </w:tcPr>
          <w:p w14:paraId="4AC9D49C">
            <w:pPr>
              <w:spacing w:line="360" w:lineRule="auto"/>
              <w:jc w:val="center"/>
              <w:rPr>
                <w:rFonts w:ascii="宋体" w:hAnsi="宋体" w:eastAsia="宋体" w:cs="宋体"/>
                <w:sz w:val="24"/>
                <w:szCs w:val="24"/>
              </w:rPr>
            </w:pPr>
            <w:r>
              <w:rPr>
                <w:rFonts w:hint="eastAsia" w:ascii="宋体" w:hAnsi="宋体" w:eastAsia="宋体" w:cs="宋体"/>
                <w:sz w:val="24"/>
                <w:szCs w:val="24"/>
              </w:rPr>
              <w:t>大门管理岗</w:t>
            </w:r>
          </w:p>
        </w:tc>
        <w:tc>
          <w:tcPr>
            <w:tcW w:w="5278" w:type="dxa"/>
            <w:vAlign w:val="center"/>
          </w:tcPr>
          <w:p w14:paraId="7C31916C">
            <w:pPr>
              <w:spacing w:line="360" w:lineRule="auto"/>
              <w:rPr>
                <w:rFonts w:ascii="宋体" w:hAnsi="宋体" w:eastAsia="宋体" w:cs="宋体"/>
                <w:sz w:val="24"/>
                <w:szCs w:val="24"/>
              </w:rPr>
            </w:pPr>
            <w:r>
              <w:rPr>
                <w:rFonts w:hint="eastAsia" w:ascii="宋体" w:hAnsi="宋体" w:eastAsia="宋体" w:cs="宋体"/>
                <w:sz w:val="24"/>
                <w:szCs w:val="24"/>
              </w:rPr>
              <w:t>东大门：年龄55周岁及以下,形象好，能力强，素质高；24小时执勤，每班不少于2人。</w:t>
            </w:r>
          </w:p>
          <w:p w14:paraId="4E6285F7">
            <w:pPr>
              <w:spacing w:line="360" w:lineRule="auto"/>
              <w:rPr>
                <w:rFonts w:ascii="宋体" w:hAnsi="宋体" w:eastAsia="宋体" w:cs="宋体"/>
                <w:sz w:val="24"/>
                <w:szCs w:val="24"/>
              </w:rPr>
            </w:pPr>
            <w:r>
              <w:rPr>
                <w:rFonts w:hint="eastAsia" w:ascii="宋体" w:hAnsi="宋体" w:eastAsia="宋体" w:cs="宋体"/>
                <w:sz w:val="24"/>
                <w:szCs w:val="24"/>
              </w:rPr>
              <w:t>西大门：年龄55周岁及以下,形象好，能力强，素质高；24小时执勤，每班不少于2人。</w:t>
            </w:r>
          </w:p>
          <w:p w14:paraId="50B3113F">
            <w:pPr>
              <w:spacing w:line="360" w:lineRule="auto"/>
              <w:rPr>
                <w:rFonts w:ascii="宋体" w:hAnsi="宋体" w:eastAsia="宋体" w:cs="宋体"/>
                <w:sz w:val="24"/>
                <w:szCs w:val="24"/>
                <w:highlight w:val="none"/>
              </w:rPr>
            </w:pPr>
            <w:r>
              <w:rPr>
                <w:rFonts w:hint="eastAsia" w:ascii="宋体" w:hAnsi="宋体" w:eastAsia="宋体" w:cs="宋体"/>
                <w:sz w:val="24"/>
                <w:szCs w:val="24"/>
              </w:rPr>
              <w:t>南大门：年龄55周岁及以下,形象好，能力强，素质高；</w:t>
            </w:r>
            <w:r>
              <w:rPr>
                <w:rFonts w:hint="eastAsia" w:ascii="宋体" w:hAnsi="宋体" w:eastAsia="宋体" w:cs="宋体"/>
                <w:sz w:val="24"/>
                <w:szCs w:val="24"/>
                <w:highlight w:val="none"/>
              </w:rPr>
              <w:t>24小时执勤，每班不少于2人。</w:t>
            </w:r>
          </w:p>
          <w:p w14:paraId="709E4345">
            <w:pPr>
              <w:spacing w:line="360" w:lineRule="auto"/>
              <w:rPr>
                <w:rFonts w:ascii="宋体" w:hAnsi="宋体" w:eastAsia="宋体" w:cs="宋体"/>
                <w:sz w:val="24"/>
                <w:szCs w:val="24"/>
              </w:rPr>
            </w:pPr>
            <w:r>
              <w:rPr>
                <w:rFonts w:hint="eastAsia" w:ascii="宋体" w:hAnsi="宋体" w:eastAsia="宋体" w:cs="宋体"/>
                <w:sz w:val="24"/>
                <w:szCs w:val="24"/>
                <w:highlight w:val="none"/>
              </w:rPr>
              <w:t>北大门：年龄55周岁及以下,形象好，能力强，素质高；24小时执勤，</w:t>
            </w:r>
            <w:r>
              <w:rPr>
                <w:rFonts w:hint="eastAsia" w:ascii="宋体" w:hAnsi="宋体" w:eastAsia="宋体" w:cs="宋体"/>
                <w:sz w:val="24"/>
                <w:szCs w:val="24"/>
              </w:rPr>
              <w:t>每班不少于3人。</w:t>
            </w:r>
          </w:p>
        </w:tc>
        <w:tc>
          <w:tcPr>
            <w:tcW w:w="1514" w:type="dxa"/>
            <w:vAlign w:val="center"/>
          </w:tcPr>
          <w:p w14:paraId="476E640E">
            <w:pPr>
              <w:spacing w:line="360" w:lineRule="auto"/>
              <w:jc w:val="center"/>
              <w:rPr>
                <w:rFonts w:ascii="宋体" w:hAnsi="宋体" w:eastAsia="宋体" w:cs="宋体"/>
                <w:sz w:val="24"/>
                <w:szCs w:val="24"/>
              </w:rPr>
            </w:pPr>
            <w:r>
              <w:rPr>
                <w:rFonts w:hint="eastAsia" w:ascii="宋体" w:hAnsi="宋体" w:eastAsia="宋体" w:cs="宋体"/>
                <w:sz w:val="24"/>
                <w:szCs w:val="24"/>
              </w:rPr>
              <w:t>2026年1月1日</w:t>
            </w:r>
          </w:p>
        </w:tc>
      </w:tr>
      <w:tr w14:paraId="1D47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959" w:type="dxa"/>
            <w:vMerge w:val="continue"/>
          </w:tcPr>
          <w:p w14:paraId="31D27BB0">
            <w:pPr>
              <w:spacing w:line="360" w:lineRule="auto"/>
              <w:ind w:firstLine="435"/>
              <w:rPr>
                <w:rFonts w:ascii="宋体" w:hAnsi="宋体" w:eastAsia="宋体" w:cs="宋体"/>
                <w:sz w:val="24"/>
                <w:szCs w:val="24"/>
              </w:rPr>
            </w:pPr>
          </w:p>
        </w:tc>
        <w:tc>
          <w:tcPr>
            <w:tcW w:w="1561" w:type="dxa"/>
            <w:vAlign w:val="center"/>
          </w:tcPr>
          <w:p w14:paraId="0AA6645C">
            <w:pPr>
              <w:spacing w:line="360" w:lineRule="auto"/>
              <w:jc w:val="center"/>
              <w:rPr>
                <w:rFonts w:ascii="宋体" w:hAnsi="宋体" w:eastAsia="宋体" w:cs="宋体"/>
                <w:sz w:val="24"/>
                <w:szCs w:val="24"/>
              </w:rPr>
            </w:pPr>
            <w:r>
              <w:rPr>
                <w:rFonts w:hint="eastAsia" w:ascii="宋体" w:hAnsi="宋体" w:eastAsia="宋体" w:cs="宋体"/>
                <w:sz w:val="24"/>
                <w:szCs w:val="24"/>
              </w:rPr>
              <w:t>巡逻岗</w:t>
            </w:r>
          </w:p>
        </w:tc>
        <w:tc>
          <w:tcPr>
            <w:tcW w:w="5278" w:type="dxa"/>
            <w:vAlign w:val="center"/>
          </w:tcPr>
          <w:p w14:paraId="1F39E571">
            <w:pPr>
              <w:spacing w:line="360" w:lineRule="auto"/>
              <w:rPr>
                <w:rFonts w:ascii="宋体" w:hAnsi="宋体" w:eastAsia="宋体" w:cs="宋体"/>
                <w:sz w:val="24"/>
                <w:szCs w:val="24"/>
              </w:rPr>
            </w:pPr>
            <w:r>
              <w:rPr>
                <w:rFonts w:hint="eastAsia" w:ascii="宋体" w:hAnsi="宋体" w:eastAsia="宋体" w:cs="宋体"/>
                <w:sz w:val="24"/>
                <w:szCs w:val="24"/>
              </w:rPr>
              <w:t>巡逻岗1：年龄50周岁及以下，负责校区日、夜巡防，重点巡查校园公共区域；管理校园车辆；发现并处理各类安全隐患和案件；24小时执勤，每班不少于2人。</w:t>
            </w:r>
          </w:p>
          <w:p w14:paraId="2B27EBB4">
            <w:pPr>
              <w:spacing w:line="360" w:lineRule="auto"/>
              <w:rPr>
                <w:rFonts w:ascii="宋体" w:hAnsi="宋体" w:eastAsia="宋体" w:cs="宋体"/>
                <w:sz w:val="24"/>
                <w:szCs w:val="24"/>
              </w:rPr>
            </w:pPr>
            <w:r>
              <w:rPr>
                <w:rFonts w:hint="eastAsia" w:ascii="宋体" w:hAnsi="宋体" w:eastAsia="宋体" w:cs="宋体"/>
                <w:sz w:val="24"/>
                <w:szCs w:val="24"/>
              </w:rPr>
              <w:t>巡逻岗2：年龄50周岁及以下，负责校区日、夜巡防，重点巡查校园围墙环道等公共区域；做好应急处突响应，随时为师生提供各类求助服务；发现并处理各类安全隐患和案件；24小时执勤，每班不少于2人。</w:t>
            </w:r>
          </w:p>
        </w:tc>
        <w:tc>
          <w:tcPr>
            <w:tcW w:w="1514" w:type="dxa"/>
            <w:vAlign w:val="center"/>
          </w:tcPr>
          <w:p w14:paraId="23B90B20">
            <w:pPr>
              <w:spacing w:line="360" w:lineRule="auto"/>
              <w:jc w:val="center"/>
              <w:rPr>
                <w:rFonts w:ascii="宋体" w:hAnsi="宋体" w:eastAsia="宋体" w:cs="宋体"/>
                <w:sz w:val="24"/>
                <w:szCs w:val="24"/>
              </w:rPr>
            </w:pPr>
            <w:r>
              <w:rPr>
                <w:rFonts w:hint="eastAsia" w:ascii="宋体" w:hAnsi="宋体" w:eastAsia="宋体" w:cs="宋体"/>
                <w:sz w:val="24"/>
                <w:szCs w:val="24"/>
              </w:rPr>
              <w:t>2026年1月1日</w:t>
            </w:r>
          </w:p>
        </w:tc>
      </w:tr>
      <w:tr w14:paraId="5F98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9" w:type="dxa"/>
            <w:vMerge w:val="continue"/>
          </w:tcPr>
          <w:p w14:paraId="49B6F26F">
            <w:pPr>
              <w:spacing w:line="360" w:lineRule="auto"/>
              <w:ind w:firstLine="435"/>
              <w:rPr>
                <w:rFonts w:ascii="宋体" w:hAnsi="宋体" w:eastAsia="宋体" w:cs="宋体"/>
                <w:sz w:val="24"/>
                <w:szCs w:val="24"/>
              </w:rPr>
            </w:pPr>
          </w:p>
        </w:tc>
        <w:tc>
          <w:tcPr>
            <w:tcW w:w="1561" w:type="dxa"/>
            <w:vAlign w:val="center"/>
          </w:tcPr>
          <w:p w14:paraId="779717FB">
            <w:pPr>
              <w:spacing w:line="360" w:lineRule="auto"/>
              <w:jc w:val="center"/>
              <w:rPr>
                <w:rFonts w:ascii="宋体" w:hAnsi="宋体" w:eastAsia="宋体" w:cs="宋体"/>
                <w:sz w:val="24"/>
                <w:szCs w:val="24"/>
              </w:rPr>
            </w:pPr>
            <w:r>
              <w:rPr>
                <w:rFonts w:hint="eastAsia" w:ascii="宋体" w:hAnsi="宋体" w:eastAsia="宋体" w:cs="宋体"/>
                <w:sz w:val="24"/>
                <w:szCs w:val="24"/>
              </w:rPr>
              <w:t>至公楼执勤岗</w:t>
            </w:r>
          </w:p>
        </w:tc>
        <w:tc>
          <w:tcPr>
            <w:tcW w:w="5278" w:type="dxa"/>
            <w:vAlign w:val="center"/>
          </w:tcPr>
          <w:p w14:paraId="1A8B44A6">
            <w:pPr>
              <w:spacing w:line="360" w:lineRule="auto"/>
              <w:rPr>
                <w:rFonts w:ascii="宋体" w:hAnsi="宋体" w:eastAsia="宋体" w:cs="宋体"/>
                <w:sz w:val="24"/>
                <w:szCs w:val="24"/>
              </w:rPr>
            </w:pPr>
            <w:r>
              <w:rPr>
                <w:rFonts w:hint="eastAsia" w:ascii="宋体" w:hAnsi="宋体" w:eastAsia="宋体" w:cs="宋体"/>
                <w:sz w:val="24"/>
                <w:szCs w:val="24"/>
              </w:rPr>
              <w:t>年龄50周岁以下。负责至公楼安保执勤、来访人员登记、区域车辆停放管理等。24小时执勤，每班不少于1人。</w:t>
            </w:r>
          </w:p>
        </w:tc>
        <w:tc>
          <w:tcPr>
            <w:tcW w:w="1514" w:type="dxa"/>
            <w:vAlign w:val="center"/>
          </w:tcPr>
          <w:p w14:paraId="2BCBF506">
            <w:pPr>
              <w:spacing w:line="360" w:lineRule="auto"/>
              <w:jc w:val="center"/>
              <w:rPr>
                <w:rFonts w:ascii="宋体" w:hAnsi="宋体" w:eastAsia="宋体" w:cs="宋体"/>
                <w:sz w:val="24"/>
                <w:szCs w:val="24"/>
              </w:rPr>
            </w:pPr>
            <w:r>
              <w:rPr>
                <w:rFonts w:hint="eastAsia" w:ascii="宋体" w:hAnsi="宋体" w:eastAsia="宋体" w:cs="宋体"/>
                <w:sz w:val="24"/>
                <w:szCs w:val="24"/>
              </w:rPr>
              <w:t>2026年1月1日</w:t>
            </w:r>
          </w:p>
        </w:tc>
      </w:tr>
      <w:tr w14:paraId="5B41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959" w:type="dxa"/>
            <w:vAlign w:val="center"/>
          </w:tcPr>
          <w:p w14:paraId="7507F3AA">
            <w:pPr>
              <w:spacing w:line="360" w:lineRule="auto"/>
              <w:jc w:val="center"/>
              <w:rPr>
                <w:rFonts w:ascii="宋体" w:hAnsi="宋体" w:eastAsia="宋体" w:cs="宋体"/>
                <w:sz w:val="24"/>
                <w:szCs w:val="24"/>
              </w:rPr>
            </w:pPr>
            <w:r>
              <w:rPr>
                <w:rFonts w:hint="eastAsia" w:ascii="宋体" w:hAnsi="宋体" w:eastAsia="宋体" w:cs="宋体"/>
                <w:sz w:val="24"/>
                <w:szCs w:val="24"/>
              </w:rPr>
              <w:t>东园校区</w:t>
            </w:r>
          </w:p>
        </w:tc>
        <w:tc>
          <w:tcPr>
            <w:tcW w:w="1561" w:type="dxa"/>
            <w:vAlign w:val="center"/>
          </w:tcPr>
          <w:p w14:paraId="120DDE0F">
            <w:pPr>
              <w:spacing w:line="360" w:lineRule="auto"/>
              <w:jc w:val="center"/>
              <w:rPr>
                <w:rFonts w:ascii="宋体" w:hAnsi="宋体" w:eastAsia="宋体" w:cs="宋体"/>
                <w:sz w:val="24"/>
                <w:szCs w:val="24"/>
              </w:rPr>
            </w:pPr>
            <w:r>
              <w:rPr>
                <w:rFonts w:hint="eastAsia" w:ascii="宋体" w:hAnsi="宋体" w:eastAsia="宋体" w:cs="宋体"/>
                <w:sz w:val="24"/>
                <w:szCs w:val="24"/>
              </w:rPr>
              <w:t>大门管理岗</w:t>
            </w:r>
          </w:p>
        </w:tc>
        <w:tc>
          <w:tcPr>
            <w:tcW w:w="5278" w:type="dxa"/>
            <w:vAlign w:val="center"/>
          </w:tcPr>
          <w:p w14:paraId="5DC4C9EF">
            <w:pPr>
              <w:spacing w:line="360" w:lineRule="auto"/>
              <w:rPr>
                <w:rFonts w:ascii="宋体" w:hAnsi="宋体" w:eastAsia="宋体" w:cs="宋体"/>
                <w:sz w:val="24"/>
                <w:szCs w:val="24"/>
              </w:rPr>
            </w:pPr>
            <w:r>
              <w:rPr>
                <w:rFonts w:hint="eastAsia" w:ascii="宋体" w:hAnsi="宋体" w:eastAsia="宋体" w:cs="宋体"/>
                <w:sz w:val="24"/>
                <w:szCs w:val="24"/>
              </w:rPr>
              <w:t>南大门：年龄55周岁及以下,形象好，能力强，素质高；24小时执勤，每班不少于1人。</w:t>
            </w:r>
          </w:p>
          <w:p w14:paraId="6145AF35">
            <w:pPr>
              <w:spacing w:line="360" w:lineRule="auto"/>
              <w:rPr>
                <w:rFonts w:ascii="宋体" w:hAnsi="宋体" w:eastAsia="宋体" w:cs="宋体"/>
                <w:sz w:val="24"/>
                <w:szCs w:val="24"/>
              </w:rPr>
            </w:pPr>
            <w:r>
              <w:rPr>
                <w:rFonts w:hint="eastAsia" w:ascii="宋体" w:hAnsi="宋体" w:eastAsia="宋体" w:cs="宋体"/>
                <w:sz w:val="24"/>
                <w:szCs w:val="24"/>
              </w:rPr>
              <w:t>北大门：年龄55周岁及以下,形象好，能力强，素质高；24小时执勤，每班不少于2人。</w:t>
            </w:r>
          </w:p>
        </w:tc>
        <w:tc>
          <w:tcPr>
            <w:tcW w:w="1514" w:type="dxa"/>
            <w:vAlign w:val="center"/>
          </w:tcPr>
          <w:p w14:paraId="0AACC533">
            <w:pPr>
              <w:spacing w:line="360" w:lineRule="auto"/>
              <w:jc w:val="center"/>
              <w:rPr>
                <w:rFonts w:ascii="宋体" w:hAnsi="宋体" w:eastAsia="宋体" w:cs="宋体"/>
                <w:sz w:val="24"/>
                <w:szCs w:val="24"/>
              </w:rPr>
            </w:pPr>
            <w:r>
              <w:rPr>
                <w:rFonts w:hint="eastAsia" w:ascii="宋体" w:hAnsi="宋体" w:eastAsia="宋体" w:cs="宋体"/>
                <w:sz w:val="24"/>
                <w:szCs w:val="24"/>
              </w:rPr>
              <w:t>2026年1月1日</w:t>
            </w:r>
          </w:p>
        </w:tc>
      </w:tr>
      <w:tr w14:paraId="4B8C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3663D201">
            <w:pPr>
              <w:spacing w:line="360" w:lineRule="auto"/>
              <w:jc w:val="center"/>
              <w:rPr>
                <w:rFonts w:ascii="宋体" w:hAnsi="宋体" w:eastAsia="宋体" w:cs="宋体"/>
                <w:sz w:val="24"/>
                <w:szCs w:val="24"/>
              </w:rPr>
            </w:pPr>
            <w:r>
              <w:rPr>
                <w:rFonts w:hint="eastAsia" w:ascii="宋体" w:hAnsi="宋体" w:eastAsia="宋体" w:cs="宋体"/>
                <w:sz w:val="24"/>
                <w:szCs w:val="24"/>
              </w:rPr>
              <w:t>西园校区</w:t>
            </w:r>
          </w:p>
        </w:tc>
        <w:tc>
          <w:tcPr>
            <w:tcW w:w="1561" w:type="dxa"/>
            <w:vAlign w:val="center"/>
          </w:tcPr>
          <w:p w14:paraId="7EE9B6A6">
            <w:pPr>
              <w:spacing w:line="360" w:lineRule="auto"/>
              <w:jc w:val="center"/>
              <w:rPr>
                <w:rFonts w:ascii="宋体" w:hAnsi="宋体" w:eastAsia="宋体" w:cs="宋体"/>
                <w:sz w:val="24"/>
                <w:szCs w:val="24"/>
              </w:rPr>
            </w:pPr>
            <w:r>
              <w:rPr>
                <w:rFonts w:hint="eastAsia" w:ascii="宋体" w:hAnsi="宋体" w:eastAsia="宋体" w:cs="宋体"/>
                <w:sz w:val="24"/>
                <w:szCs w:val="24"/>
              </w:rPr>
              <w:t>大门管理岗</w:t>
            </w:r>
          </w:p>
        </w:tc>
        <w:tc>
          <w:tcPr>
            <w:tcW w:w="5278" w:type="dxa"/>
            <w:vAlign w:val="center"/>
          </w:tcPr>
          <w:p w14:paraId="6EDEB9CB">
            <w:pPr>
              <w:spacing w:line="360" w:lineRule="auto"/>
              <w:rPr>
                <w:rFonts w:ascii="宋体" w:hAnsi="宋体" w:eastAsia="宋体" w:cs="宋体"/>
                <w:sz w:val="24"/>
                <w:szCs w:val="24"/>
              </w:rPr>
            </w:pPr>
            <w:r>
              <w:rPr>
                <w:rFonts w:hint="eastAsia" w:ascii="宋体" w:hAnsi="宋体" w:eastAsia="宋体" w:cs="宋体"/>
                <w:sz w:val="24"/>
                <w:szCs w:val="24"/>
              </w:rPr>
              <w:t>南大门：年龄55周岁及以下,形象好，能力强，素质高；24小时执勤，每班不少于2人。</w:t>
            </w:r>
          </w:p>
          <w:p w14:paraId="076D8F2A">
            <w:pPr>
              <w:spacing w:line="360" w:lineRule="auto"/>
              <w:rPr>
                <w:rFonts w:ascii="宋体" w:hAnsi="宋体" w:eastAsia="宋体" w:cs="宋体"/>
                <w:sz w:val="24"/>
                <w:szCs w:val="24"/>
              </w:rPr>
            </w:pPr>
            <w:r>
              <w:rPr>
                <w:rFonts w:hint="eastAsia" w:ascii="宋体" w:hAnsi="宋体" w:eastAsia="宋体" w:cs="宋体"/>
                <w:sz w:val="24"/>
                <w:szCs w:val="24"/>
              </w:rPr>
              <w:t>北大门：年龄55周岁及以下,形象好，能力强，素质高；24小时执勤，每班不少于2人。</w:t>
            </w:r>
          </w:p>
        </w:tc>
        <w:tc>
          <w:tcPr>
            <w:tcW w:w="1514" w:type="dxa"/>
            <w:vAlign w:val="center"/>
          </w:tcPr>
          <w:p w14:paraId="3BFB57C5">
            <w:pPr>
              <w:spacing w:line="360" w:lineRule="auto"/>
              <w:jc w:val="center"/>
              <w:rPr>
                <w:rFonts w:ascii="宋体" w:hAnsi="宋体" w:eastAsia="宋体" w:cs="宋体"/>
                <w:sz w:val="24"/>
                <w:szCs w:val="24"/>
              </w:rPr>
            </w:pPr>
            <w:r>
              <w:rPr>
                <w:rFonts w:hint="eastAsia" w:ascii="宋体" w:hAnsi="宋体" w:eastAsia="宋体" w:cs="宋体"/>
                <w:sz w:val="24"/>
                <w:szCs w:val="24"/>
              </w:rPr>
              <w:t>2027年1月1日</w:t>
            </w:r>
          </w:p>
        </w:tc>
      </w:tr>
      <w:tr w14:paraId="68F0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trPr>
        <w:tc>
          <w:tcPr>
            <w:tcW w:w="959" w:type="dxa"/>
            <w:textDirection w:val="tbRlV"/>
            <w:vAlign w:val="center"/>
          </w:tcPr>
          <w:p w14:paraId="6F9284B8">
            <w:pPr>
              <w:spacing w:line="360" w:lineRule="auto"/>
              <w:jc w:val="center"/>
              <w:rPr>
                <w:rFonts w:ascii="宋体" w:hAnsi="宋体" w:eastAsia="宋体" w:cs="宋体"/>
                <w:sz w:val="24"/>
                <w:szCs w:val="24"/>
              </w:rPr>
            </w:pPr>
            <w:r>
              <w:rPr>
                <w:rFonts w:hint="eastAsia" w:ascii="宋体" w:hAnsi="宋体" w:eastAsia="宋体" w:cs="宋体"/>
                <w:sz w:val="24"/>
                <w:szCs w:val="24"/>
              </w:rPr>
              <w:t>东园校区</w:t>
            </w:r>
          </w:p>
          <w:p w14:paraId="08257569">
            <w:pPr>
              <w:spacing w:line="360" w:lineRule="auto"/>
              <w:jc w:val="center"/>
              <w:rPr>
                <w:rFonts w:ascii="宋体" w:hAnsi="宋体" w:eastAsia="宋体" w:cs="宋体"/>
                <w:sz w:val="24"/>
                <w:szCs w:val="24"/>
              </w:rPr>
            </w:pPr>
            <w:r>
              <w:rPr>
                <w:rFonts w:hint="eastAsia" w:ascii="宋体" w:hAnsi="宋体" w:eastAsia="宋体" w:cs="宋体"/>
                <w:sz w:val="24"/>
                <w:szCs w:val="24"/>
              </w:rPr>
              <w:t>西园校区</w:t>
            </w:r>
          </w:p>
        </w:tc>
        <w:tc>
          <w:tcPr>
            <w:tcW w:w="1561" w:type="dxa"/>
            <w:vAlign w:val="center"/>
          </w:tcPr>
          <w:p w14:paraId="0869ABDD">
            <w:pPr>
              <w:spacing w:line="360" w:lineRule="auto"/>
              <w:jc w:val="center"/>
              <w:rPr>
                <w:rFonts w:ascii="宋体" w:hAnsi="宋体" w:eastAsia="宋体" w:cs="宋体"/>
                <w:sz w:val="24"/>
                <w:szCs w:val="24"/>
              </w:rPr>
            </w:pPr>
            <w:r>
              <w:rPr>
                <w:rFonts w:hint="eastAsia" w:ascii="宋体" w:hAnsi="宋体" w:eastAsia="宋体" w:cs="宋体"/>
                <w:sz w:val="24"/>
                <w:szCs w:val="24"/>
              </w:rPr>
              <w:t>巡逻岗</w:t>
            </w:r>
          </w:p>
        </w:tc>
        <w:tc>
          <w:tcPr>
            <w:tcW w:w="5278" w:type="dxa"/>
            <w:vAlign w:val="center"/>
          </w:tcPr>
          <w:p w14:paraId="29A509A1">
            <w:pPr>
              <w:spacing w:line="360" w:lineRule="auto"/>
              <w:rPr>
                <w:rFonts w:ascii="宋体" w:hAnsi="宋体" w:eastAsia="宋体" w:cs="宋体"/>
                <w:sz w:val="24"/>
                <w:szCs w:val="24"/>
              </w:rPr>
            </w:pPr>
            <w:r>
              <w:rPr>
                <w:rFonts w:hint="eastAsia" w:ascii="宋体" w:hAnsi="宋体" w:eastAsia="宋体" w:cs="宋体"/>
                <w:sz w:val="24"/>
                <w:szCs w:val="24"/>
              </w:rPr>
              <w:t>巡逻岗3：年龄50周岁及以下，负责校区日、夜巡防，重点巡查校园公共区域；管理校园车辆；发现并处理各类安全隐患和案件；24小时执勤，每班不少于1人。</w:t>
            </w:r>
          </w:p>
        </w:tc>
        <w:tc>
          <w:tcPr>
            <w:tcW w:w="1514" w:type="dxa"/>
            <w:vAlign w:val="center"/>
          </w:tcPr>
          <w:p w14:paraId="17E878D7">
            <w:pPr>
              <w:spacing w:line="360" w:lineRule="auto"/>
              <w:jc w:val="center"/>
              <w:rPr>
                <w:rFonts w:ascii="宋体" w:hAnsi="宋体" w:eastAsia="宋体" w:cs="宋体"/>
                <w:sz w:val="24"/>
                <w:szCs w:val="24"/>
              </w:rPr>
            </w:pPr>
            <w:r>
              <w:rPr>
                <w:rFonts w:hint="eastAsia" w:ascii="宋体" w:hAnsi="宋体" w:eastAsia="宋体" w:cs="宋体"/>
                <w:sz w:val="24"/>
                <w:szCs w:val="24"/>
              </w:rPr>
              <w:t>2026年1月1日</w:t>
            </w:r>
          </w:p>
        </w:tc>
      </w:tr>
    </w:tbl>
    <w:p w14:paraId="4B06928B">
      <w:pPr>
        <w:spacing w:line="360" w:lineRule="auto"/>
        <w:ind w:firstLine="435"/>
        <w:rPr>
          <w:rFonts w:ascii="宋体" w:hAnsi="宋体" w:eastAsia="宋体" w:cs="宋体"/>
          <w:sz w:val="24"/>
          <w:szCs w:val="24"/>
        </w:rPr>
      </w:pPr>
      <w:r>
        <w:rPr>
          <w:rFonts w:hint="eastAsia" w:ascii="宋体" w:hAnsi="宋体" w:eastAsia="宋体" w:cs="宋体"/>
          <w:sz w:val="24"/>
          <w:szCs w:val="24"/>
        </w:rPr>
        <w:t>注：</w:t>
      </w:r>
    </w:p>
    <w:p w14:paraId="65053DC4">
      <w:pPr>
        <w:spacing w:line="360" w:lineRule="auto"/>
        <w:ind w:firstLine="435"/>
        <w:rPr>
          <w:rFonts w:ascii="宋体" w:hAnsi="宋体" w:eastAsia="宋体" w:cs="宋体"/>
          <w:sz w:val="24"/>
          <w:szCs w:val="24"/>
        </w:rPr>
      </w:pPr>
      <w:r>
        <w:rPr>
          <w:rFonts w:hint="eastAsia" w:ascii="宋体" w:hAnsi="宋体" w:eastAsia="宋体" w:cs="宋体"/>
          <w:sz w:val="24"/>
          <w:szCs w:val="24"/>
        </w:rPr>
        <w:t>1.岗位需要根据采购人要求设定，保安队长、副队长须在学校驻点；学校有权根据实际工作需要调整以上岗位人员安排。</w:t>
      </w:r>
    </w:p>
    <w:p w14:paraId="0FD6C588">
      <w:pPr>
        <w:spacing w:line="360" w:lineRule="auto"/>
        <w:ind w:firstLine="435"/>
        <w:rPr>
          <w:rFonts w:ascii="宋体" w:hAnsi="宋体" w:eastAsia="宋体" w:cs="宋体"/>
          <w:sz w:val="24"/>
          <w:szCs w:val="24"/>
        </w:rPr>
      </w:pPr>
      <w:r>
        <w:rPr>
          <w:rFonts w:hint="eastAsia" w:ascii="宋体" w:hAnsi="宋体" w:eastAsia="宋体" w:cs="宋体"/>
          <w:sz w:val="24"/>
          <w:szCs w:val="24"/>
        </w:rPr>
        <w:t>2.上述岗位设置为最基本的岗位设置要求，必须满足岗位数，不得缺岗。供应商可以增加岗位设置，由投标供应商根据工作量自行安排人员，但必须满足招标文件要求。</w:t>
      </w:r>
    </w:p>
    <w:p w14:paraId="6101AFAA">
      <w:pPr>
        <w:spacing w:line="360" w:lineRule="auto"/>
        <w:ind w:firstLine="435"/>
        <w:rPr>
          <w:rFonts w:ascii="宋体" w:hAnsi="宋体" w:eastAsia="宋体" w:cs="宋体"/>
          <w:sz w:val="24"/>
          <w:szCs w:val="24"/>
        </w:rPr>
      </w:pPr>
      <w:r>
        <w:rPr>
          <w:rFonts w:hint="eastAsia" w:ascii="宋体" w:hAnsi="宋体" w:eastAsia="宋体" w:cs="宋体"/>
          <w:sz w:val="24"/>
          <w:szCs w:val="24"/>
        </w:rPr>
        <w:t>3.岗位投入使用时间依据采购人实际情况可能提前或延后，分批投入使用的岗位人次据实结算。</w:t>
      </w:r>
    </w:p>
    <w:p w14:paraId="1C94F460">
      <w:pPr>
        <w:spacing w:line="360" w:lineRule="auto"/>
        <w:ind w:firstLine="435"/>
        <w:rPr>
          <w:rFonts w:ascii="宋体" w:hAnsi="宋体" w:eastAsia="宋体" w:cs="宋体"/>
          <w:sz w:val="24"/>
          <w:szCs w:val="24"/>
        </w:rPr>
      </w:pPr>
      <w:r>
        <w:rPr>
          <w:rFonts w:hint="eastAsia" w:ascii="宋体" w:hAnsi="宋体" w:eastAsia="宋体" w:cs="宋体"/>
          <w:sz w:val="24"/>
          <w:szCs w:val="24"/>
        </w:rPr>
        <w:t>4.除评分标准中要求提供的相关人员证明材料作为评分条件外，投标人在投标文件中无须提供人员其他相关证明材料，由采购人在合同签订后中标人进场服务前核查人员配备情况，人员须按照要求配备到位，否则采购人有权解除合同并报监管部门按规定处理。</w:t>
      </w:r>
    </w:p>
    <w:p w14:paraId="53272062">
      <w:pPr>
        <w:spacing w:line="360" w:lineRule="auto"/>
        <w:ind w:firstLine="435"/>
        <w:rPr>
          <w:rFonts w:ascii="宋体" w:hAnsi="宋体" w:eastAsia="宋体" w:cs="宋体"/>
          <w:sz w:val="24"/>
          <w:szCs w:val="24"/>
        </w:rPr>
      </w:pPr>
      <w:r>
        <w:rPr>
          <w:rFonts w:hint="eastAsia" w:ascii="宋体" w:hAnsi="宋体" w:eastAsia="宋体" w:cs="宋体"/>
          <w:sz w:val="24"/>
          <w:szCs w:val="24"/>
        </w:rPr>
        <w:t>（五）业务管理要求</w:t>
      </w:r>
    </w:p>
    <w:p w14:paraId="425970DD">
      <w:pPr>
        <w:spacing w:line="360" w:lineRule="auto"/>
        <w:ind w:firstLine="435"/>
        <w:rPr>
          <w:rFonts w:ascii="宋体" w:hAnsi="宋体" w:eastAsia="宋体" w:cs="宋体"/>
          <w:sz w:val="24"/>
          <w:szCs w:val="24"/>
        </w:rPr>
      </w:pPr>
      <w:r>
        <w:rPr>
          <w:rFonts w:hint="eastAsia" w:ascii="宋体" w:hAnsi="宋体" w:eastAsia="宋体" w:cs="宋体"/>
          <w:sz w:val="24"/>
          <w:szCs w:val="24"/>
        </w:rPr>
        <w:t>1.保持保安队伍的稳定，如有必要需更换保安人员的，应提前向保卫处申请，批准后方可更换，确保服务质量不受影响。</w:t>
      </w:r>
    </w:p>
    <w:p w14:paraId="069A8A26">
      <w:pPr>
        <w:spacing w:line="360" w:lineRule="auto"/>
        <w:ind w:firstLine="435"/>
        <w:rPr>
          <w:rFonts w:ascii="宋体" w:hAnsi="宋体" w:eastAsia="宋体" w:cs="宋体"/>
          <w:sz w:val="24"/>
          <w:szCs w:val="24"/>
        </w:rPr>
      </w:pPr>
      <w:r>
        <w:rPr>
          <w:rFonts w:hint="eastAsia" w:ascii="宋体" w:hAnsi="宋体" w:eastAsia="宋体" w:cs="宋体"/>
          <w:sz w:val="24"/>
          <w:szCs w:val="24"/>
        </w:rPr>
        <w:t>2.从学校安全实际出发，每月开展不少于一次的业务培训。</w:t>
      </w:r>
    </w:p>
    <w:p w14:paraId="37FDCA4B">
      <w:pPr>
        <w:spacing w:line="360" w:lineRule="auto"/>
        <w:ind w:firstLine="435"/>
        <w:rPr>
          <w:rFonts w:ascii="宋体" w:hAnsi="宋体" w:eastAsia="宋体" w:cs="宋体"/>
          <w:sz w:val="24"/>
          <w:szCs w:val="24"/>
        </w:rPr>
      </w:pPr>
      <w:r>
        <w:rPr>
          <w:rFonts w:hint="eastAsia" w:ascii="宋体" w:hAnsi="宋体" w:eastAsia="宋体" w:cs="宋体"/>
          <w:sz w:val="24"/>
          <w:szCs w:val="24"/>
        </w:rPr>
        <w:t>3.健全内部管理体制，处理好保安队伍内部事务。</w:t>
      </w:r>
    </w:p>
    <w:p w14:paraId="4539ACE3">
      <w:pPr>
        <w:spacing w:line="360" w:lineRule="auto"/>
        <w:ind w:firstLine="435"/>
        <w:rPr>
          <w:rFonts w:ascii="宋体" w:hAnsi="宋体" w:eastAsia="宋体" w:cs="宋体"/>
          <w:sz w:val="24"/>
          <w:szCs w:val="24"/>
        </w:rPr>
      </w:pPr>
      <w:r>
        <w:rPr>
          <w:rFonts w:hint="eastAsia" w:ascii="宋体" w:hAnsi="宋体" w:eastAsia="宋体" w:cs="宋体"/>
          <w:sz w:val="24"/>
          <w:szCs w:val="24"/>
        </w:rPr>
        <w:t>4.规范保安人员应聘、录用、离职等档案，并报保卫处备案。</w:t>
      </w:r>
    </w:p>
    <w:p w14:paraId="4BFF803C">
      <w:pPr>
        <w:spacing w:line="360" w:lineRule="auto"/>
        <w:ind w:firstLine="435"/>
        <w:rPr>
          <w:rFonts w:ascii="宋体" w:hAnsi="宋体" w:eastAsia="宋体" w:cs="宋体"/>
          <w:sz w:val="24"/>
          <w:szCs w:val="24"/>
        </w:rPr>
      </w:pPr>
      <w:r>
        <w:rPr>
          <w:rFonts w:hint="eastAsia" w:ascii="宋体" w:hAnsi="宋体" w:eastAsia="宋体" w:cs="宋体"/>
          <w:sz w:val="24"/>
          <w:szCs w:val="24"/>
        </w:rPr>
        <w:t>5.中标人在组织、安排保安工作时，应符合国家相关法规，维护保安人员的正当权益。中标人对其用工行为承担一切法律责任。</w:t>
      </w:r>
    </w:p>
    <w:p w14:paraId="2E3B9FFE">
      <w:pPr>
        <w:spacing w:line="360" w:lineRule="auto"/>
        <w:ind w:left="437"/>
        <w:outlineLvl w:val="1"/>
        <w:rPr>
          <w:rFonts w:ascii="宋体" w:hAnsi="宋体" w:eastAsia="宋体"/>
          <w:b/>
          <w:sz w:val="24"/>
          <w:szCs w:val="18"/>
        </w:rPr>
      </w:pPr>
      <w:bookmarkStart w:id="13" w:name="_Toc7536"/>
      <w:r>
        <w:rPr>
          <w:rFonts w:hint="eastAsia" w:ascii="宋体" w:hAnsi="宋体" w:eastAsia="宋体"/>
          <w:b/>
          <w:sz w:val="24"/>
          <w:szCs w:val="18"/>
        </w:rPr>
        <w:t>四、报价要求</w:t>
      </w:r>
      <w:bookmarkEnd w:id="13"/>
    </w:p>
    <w:p w14:paraId="05BD1797">
      <w:pPr>
        <w:spacing w:line="360" w:lineRule="auto"/>
        <w:ind w:firstLine="435"/>
        <w:rPr>
          <w:rFonts w:ascii="宋体" w:hAnsi="宋体" w:eastAsia="宋体" w:cs="宋体"/>
          <w:sz w:val="24"/>
          <w:szCs w:val="24"/>
        </w:rPr>
      </w:pPr>
      <w:r>
        <w:rPr>
          <w:rFonts w:hint="eastAsia" w:ascii="宋体" w:hAnsi="宋体" w:eastAsia="宋体" w:cs="宋体"/>
          <w:sz w:val="24"/>
          <w:szCs w:val="24"/>
        </w:rPr>
        <w:t>1.本项目投标时报一年服务总价，总价包含为完成本项目服务内容的全部费用，包括但不限于人员工资、管理费、设备器材、服装费、办公费、通讯费、培训费、税金、利润、社会保险费等为完成本次项目所发生的一切费用，投标人自行考虑相关投标风险和费用。中标人自行解决员工养老、失业、医疗、工伤、生育、纳税等保险及劳保、工资、福利、食宿、员工上下班交通等有关问题。</w:t>
      </w:r>
    </w:p>
    <w:p w14:paraId="58F51A8F">
      <w:pPr>
        <w:spacing w:line="360" w:lineRule="auto"/>
        <w:ind w:firstLine="435"/>
        <w:rPr>
          <w:rFonts w:ascii="宋体" w:hAnsi="宋体" w:eastAsia="宋体" w:cs="宋体"/>
          <w:sz w:val="24"/>
          <w:szCs w:val="24"/>
        </w:rPr>
      </w:pPr>
      <w:r>
        <w:rPr>
          <w:rFonts w:hint="eastAsia" w:ascii="宋体" w:hAnsi="宋体" w:eastAsia="宋体" w:cs="宋体"/>
          <w:sz w:val="24"/>
          <w:szCs w:val="24"/>
        </w:rPr>
        <w:t>2.</w:t>
      </w:r>
      <w:bookmarkStart w:id="14" w:name="_Hlk211244939"/>
      <w:r>
        <w:rPr>
          <w:rFonts w:hint="eastAsia" w:ascii="宋体" w:hAnsi="宋体" w:eastAsia="宋体" w:cs="宋体"/>
          <w:sz w:val="24"/>
          <w:szCs w:val="24"/>
        </w:rPr>
        <w:t>本项目安保服务费用按照各校区实际派驻时间、投入使用的岗位人次和双方签订的合同服务费标准据实结算。</w:t>
      </w:r>
      <w:bookmarkEnd w:id="14"/>
    </w:p>
    <w:p w14:paraId="6F67A643">
      <w:pPr>
        <w:spacing w:line="360" w:lineRule="auto"/>
        <w:ind w:firstLine="435"/>
        <w:rPr>
          <w:rFonts w:ascii="宋体" w:hAnsi="宋体" w:eastAsia="宋体" w:cs="宋体"/>
          <w:sz w:val="24"/>
          <w:szCs w:val="24"/>
        </w:rPr>
      </w:pPr>
      <w:r>
        <w:rPr>
          <w:rFonts w:hint="eastAsia" w:ascii="宋体" w:hAnsi="宋体" w:eastAsia="宋体" w:cs="宋体"/>
          <w:sz w:val="24"/>
          <w:szCs w:val="24"/>
        </w:rPr>
        <w:t>3.人员工资不低于政府现行相关工资标准，社会保险（五险）按国家相关规定执行。成本核算时所有配备的人员都应计算保险。</w:t>
      </w:r>
    </w:p>
    <w:p w14:paraId="62763279">
      <w:pPr>
        <w:spacing w:line="360" w:lineRule="auto"/>
        <w:ind w:firstLine="435"/>
        <w:rPr>
          <w:rFonts w:ascii="宋体" w:hAnsi="宋体" w:eastAsia="宋体" w:cs="宋体"/>
          <w:sz w:val="24"/>
          <w:szCs w:val="24"/>
        </w:rPr>
      </w:pPr>
      <w:r>
        <w:rPr>
          <w:rFonts w:hint="eastAsia" w:ascii="宋体" w:hAnsi="宋体" w:eastAsia="宋体" w:cs="宋体"/>
          <w:sz w:val="24"/>
          <w:szCs w:val="24"/>
        </w:rPr>
        <w:t>4.中标人须配合学校保卫处免费完成新生入学、运动会、校庆、考试等重大临时活动的勤务保障工作。</w:t>
      </w:r>
    </w:p>
    <w:p w14:paraId="356B1A28">
      <w:pPr>
        <w:spacing w:line="360" w:lineRule="auto"/>
        <w:ind w:firstLine="435"/>
        <w:rPr>
          <w:rFonts w:ascii="宋体" w:hAnsi="宋体" w:eastAsia="宋体" w:cs="宋体"/>
          <w:sz w:val="24"/>
          <w:szCs w:val="24"/>
        </w:rPr>
      </w:pPr>
      <w:r>
        <w:rPr>
          <w:rFonts w:hint="eastAsia" w:ascii="宋体" w:hAnsi="宋体" w:eastAsia="宋体" w:cs="宋体"/>
          <w:sz w:val="24"/>
          <w:szCs w:val="24"/>
        </w:rPr>
        <w:t>5.投标报价在合同执行期间不因市场变化因素及市劳动人员最低工资标准和社保标准调整提高而变动，投标供应商在计算报价时需考虑风险因素，编制报价。</w:t>
      </w:r>
    </w:p>
    <w:p w14:paraId="5796C263">
      <w:pPr>
        <w:spacing w:line="360" w:lineRule="auto"/>
        <w:ind w:firstLine="435"/>
        <w:rPr>
          <w:rFonts w:ascii="宋体" w:hAnsi="宋体" w:eastAsia="宋体" w:cs="宋体"/>
          <w:sz w:val="24"/>
          <w:szCs w:val="24"/>
        </w:rPr>
      </w:pPr>
      <w:r>
        <w:rPr>
          <w:rFonts w:hint="eastAsia" w:ascii="宋体" w:hAnsi="宋体" w:eastAsia="宋体" w:cs="宋体"/>
          <w:sz w:val="24"/>
          <w:szCs w:val="24"/>
        </w:rPr>
        <w:t>6.政策性费用测算如下：</w:t>
      </w:r>
    </w:p>
    <w:tbl>
      <w:tblPr>
        <w:tblStyle w:val="4"/>
        <w:tblW w:w="8316" w:type="dxa"/>
        <w:jc w:val="center"/>
        <w:tblLayout w:type="fixed"/>
        <w:tblCellMar>
          <w:top w:w="0" w:type="dxa"/>
          <w:left w:w="0" w:type="dxa"/>
          <w:bottom w:w="0" w:type="dxa"/>
          <w:right w:w="0" w:type="dxa"/>
        </w:tblCellMar>
      </w:tblPr>
      <w:tblGrid>
        <w:gridCol w:w="580"/>
        <w:gridCol w:w="1916"/>
        <w:gridCol w:w="876"/>
        <w:gridCol w:w="1559"/>
        <w:gridCol w:w="2018"/>
        <w:gridCol w:w="1367"/>
      </w:tblGrid>
      <w:tr w14:paraId="1CF64563">
        <w:tblPrEx>
          <w:tblCellMar>
            <w:top w:w="0" w:type="dxa"/>
            <w:left w:w="0" w:type="dxa"/>
            <w:bottom w:w="0" w:type="dxa"/>
            <w:right w:w="0" w:type="dxa"/>
          </w:tblCellMar>
        </w:tblPrEx>
        <w:trPr>
          <w:trHeight w:val="410" w:hRule="exact"/>
          <w:jc w:val="center"/>
        </w:trPr>
        <w:tc>
          <w:tcPr>
            <w:tcW w:w="8316" w:type="dxa"/>
            <w:gridSpan w:val="6"/>
            <w:tcBorders>
              <w:top w:val="single" w:color="000000" w:sz="4" w:space="0"/>
              <w:left w:val="single" w:color="000000" w:sz="4" w:space="0"/>
              <w:bottom w:val="single" w:color="000000" w:sz="4" w:space="0"/>
              <w:right w:val="single" w:color="000000" w:sz="4" w:space="0"/>
            </w:tcBorders>
            <w:vAlign w:val="center"/>
          </w:tcPr>
          <w:p w14:paraId="3646E728">
            <w:pPr>
              <w:spacing w:line="360" w:lineRule="auto"/>
              <w:jc w:val="center"/>
              <w:rPr>
                <w:rFonts w:ascii="宋体" w:hAnsi="宋体" w:eastAsia="宋体" w:cs="宋体"/>
                <w:sz w:val="24"/>
                <w:szCs w:val="24"/>
              </w:rPr>
            </w:pPr>
            <w:bookmarkStart w:id="15" w:name="_Hlk211244977"/>
            <w:r>
              <w:rPr>
                <w:rFonts w:hint="eastAsia" w:ascii="宋体" w:hAnsi="宋体" w:eastAsia="宋体" w:cs="宋体"/>
                <w:sz w:val="24"/>
                <w:szCs w:val="24"/>
              </w:rPr>
              <w:t>一般纳税人人均费用</w:t>
            </w:r>
          </w:p>
        </w:tc>
      </w:tr>
      <w:tr w14:paraId="04A6382B">
        <w:tblPrEx>
          <w:tblCellMar>
            <w:top w:w="0" w:type="dxa"/>
            <w:left w:w="0" w:type="dxa"/>
            <w:bottom w:w="0" w:type="dxa"/>
            <w:right w:w="0" w:type="dxa"/>
          </w:tblCellMar>
        </w:tblPrEx>
        <w:trPr>
          <w:trHeight w:val="482"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7C4DE4D8">
            <w:pPr>
              <w:spacing w:line="360" w:lineRule="auto"/>
              <w:jc w:val="center"/>
              <w:rPr>
                <w:rFonts w:ascii="宋体" w:hAnsi="宋体" w:eastAsia="宋体" w:cs="宋体"/>
                <w:sz w:val="24"/>
                <w:szCs w:val="24"/>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34F77862">
            <w:pPr>
              <w:spacing w:line="360" w:lineRule="auto"/>
              <w:jc w:val="center"/>
              <w:rPr>
                <w:rFonts w:ascii="宋体" w:hAnsi="宋体" w:eastAsia="宋体" w:cs="宋体"/>
                <w:sz w:val="24"/>
                <w:szCs w:val="24"/>
              </w:rPr>
            </w:pPr>
            <w:r>
              <w:rPr>
                <w:rFonts w:hint="eastAsia" w:ascii="宋体" w:hAnsi="宋体" w:eastAsia="宋体" w:cs="宋体"/>
                <w:sz w:val="24"/>
                <w:szCs w:val="24"/>
              </w:rPr>
              <w:t>缴费项目</w:t>
            </w:r>
          </w:p>
        </w:tc>
        <w:tc>
          <w:tcPr>
            <w:tcW w:w="876" w:type="dxa"/>
            <w:tcBorders>
              <w:top w:val="single" w:color="000000" w:sz="4" w:space="0"/>
              <w:left w:val="single" w:color="000000" w:sz="4" w:space="0"/>
              <w:bottom w:val="single" w:color="000000" w:sz="4" w:space="0"/>
              <w:right w:val="single" w:color="000000" w:sz="4" w:space="0"/>
            </w:tcBorders>
            <w:vAlign w:val="center"/>
          </w:tcPr>
          <w:p w14:paraId="1D4984AB">
            <w:pPr>
              <w:spacing w:line="360" w:lineRule="auto"/>
              <w:jc w:val="center"/>
              <w:rPr>
                <w:rFonts w:ascii="宋体" w:hAnsi="宋体" w:eastAsia="宋体" w:cs="宋体"/>
                <w:sz w:val="24"/>
                <w:szCs w:val="24"/>
              </w:rPr>
            </w:pPr>
            <w:r>
              <w:rPr>
                <w:rFonts w:hint="eastAsia" w:ascii="宋体" w:hAnsi="宋体" w:eastAsia="宋体" w:cs="宋体"/>
                <w:sz w:val="24"/>
                <w:szCs w:val="24"/>
              </w:rPr>
              <w:t>人数</w:t>
            </w:r>
          </w:p>
        </w:tc>
        <w:tc>
          <w:tcPr>
            <w:tcW w:w="1559" w:type="dxa"/>
            <w:tcBorders>
              <w:top w:val="single" w:color="000000" w:sz="4" w:space="0"/>
              <w:left w:val="single" w:color="000000" w:sz="4" w:space="0"/>
              <w:bottom w:val="single" w:color="000000" w:sz="4" w:space="0"/>
              <w:right w:val="single" w:color="000000" w:sz="4" w:space="0"/>
            </w:tcBorders>
            <w:vAlign w:val="center"/>
          </w:tcPr>
          <w:p w14:paraId="2065F535">
            <w:pPr>
              <w:spacing w:line="360" w:lineRule="auto"/>
              <w:jc w:val="center"/>
              <w:rPr>
                <w:rFonts w:ascii="宋体" w:hAnsi="宋体" w:eastAsia="宋体" w:cs="宋体"/>
                <w:sz w:val="24"/>
                <w:szCs w:val="24"/>
              </w:rPr>
            </w:pPr>
            <w:r>
              <w:rPr>
                <w:rFonts w:hint="eastAsia" w:ascii="宋体" w:hAnsi="宋体" w:eastAsia="宋体" w:cs="宋体"/>
                <w:sz w:val="24"/>
                <w:szCs w:val="24"/>
              </w:rPr>
              <w:t>费用</w:t>
            </w:r>
          </w:p>
        </w:tc>
        <w:tc>
          <w:tcPr>
            <w:tcW w:w="2018" w:type="dxa"/>
            <w:tcBorders>
              <w:top w:val="single" w:color="000000" w:sz="4" w:space="0"/>
              <w:left w:val="single" w:color="000000" w:sz="4" w:space="0"/>
              <w:bottom w:val="single" w:color="000000" w:sz="4" w:space="0"/>
              <w:right w:val="single" w:color="000000" w:sz="4" w:space="0"/>
            </w:tcBorders>
            <w:vAlign w:val="center"/>
          </w:tcPr>
          <w:p w14:paraId="7AA18D85">
            <w:pPr>
              <w:spacing w:line="360" w:lineRule="auto"/>
              <w:jc w:val="center"/>
              <w:rPr>
                <w:rFonts w:ascii="宋体" w:hAnsi="宋体" w:eastAsia="宋体" w:cs="宋体"/>
                <w:sz w:val="24"/>
                <w:szCs w:val="24"/>
              </w:rPr>
            </w:pPr>
            <w:r>
              <w:rPr>
                <w:rFonts w:hint="eastAsia" w:ascii="宋体" w:hAnsi="宋体" w:eastAsia="宋体" w:cs="宋体"/>
                <w:sz w:val="24"/>
                <w:szCs w:val="24"/>
              </w:rPr>
              <w:t>月</w:t>
            </w:r>
          </w:p>
        </w:tc>
        <w:tc>
          <w:tcPr>
            <w:tcW w:w="1367" w:type="dxa"/>
            <w:tcBorders>
              <w:top w:val="single" w:color="000000" w:sz="4" w:space="0"/>
              <w:left w:val="single" w:color="000000" w:sz="4" w:space="0"/>
              <w:bottom w:val="single" w:color="000000" w:sz="4" w:space="0"/>
              <w:right w:val="single" w:color="000000" w:sz="4" w:space="0"/>
            </w:tcBorders>
            <w:vAlign w:val="center"/>
          </w:tcPr>
          <w:p w14:paraId="09F76EED">
            <w:pPr>
              <w:spacing w:line="360" w:lineRule="auto"/>
              <w:jc w:val="center"/>
              <w:rPr>
                <w:rFonts w:ascii="宋体" w:hAnsi="宋体" w:eastAsia="宋体" w:cs="宋体"/>
                <w:sz w:val="24"/>
                <w:szCs w:val="24"/>
              </w:rPr>
            </w:pPr>
            <w:r>
              <w:rPr>
                <w:rFonts w:hint="eastAsia" w:ascii="宋体" w:hAnsi="宋体" w:eastAsia="宋体" w:cs="宋体"/>
                <w:sz w:val="24"/>
                <w:szCs w:val="24"/>
              </w:rPr>
              <w:t>小计（元）</w:t>
            </w:r>
          </w:p>
        </w:tc>
      </w:tr>
      <w:tr w14:paraId="6C969AAA">
        <w:tblPrEx>
          <w:tblCellMar>
            <w:top w:w="0" w:type="dxa"/>
            <w:left w:w="0" w:type="dxa"/>
            <w:bottom w:w="0" w:type="dxa"/>
            <w:right w:w="0" w:type="dxa"/>
          </w:tblCellMar>
        </w:tblPrEx>
        <w:trPr>
          <w:trHeight w:val="574"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07D49E3C">
            <w:pPr>
              <w:spacing w:line="360" w:lineRule="auto"/>
              <w:jc w:val="center"/>
              <w:rPr>
                <w:rFonts w:ascii="宋体" w:hAnsi="宋体" w:eastAsia="宋体" w:cs="宋体"/>
                <w:sz w:val="24"/>
                <w:szCs w:val="24"/>
              </w:rPr>
            </w:pPr>
            <w:r>
              <w:rPr>
                <w:rFonts w:hint="eastAsia" w:ascii="宋体" w:hAnsi="宋体" w:eastAsia="宋体" w:cs="宋体"/>
                <w:sz w:val="24"/>
                <w:szCs w:val="24"/>
              </w:rPr>
              <w:t>A</w:t>
            </w:r>
          </w:p>
        </w:tc>
        <w:tc>
          <w:tcPr>
            <w:tcW w:w="1916" w:type="dxa"/>
            <w:tcBorders>
              <w:top w:val="single" w:color="000000" w:sz="4" w:space="0"/>
              <w:left w:val="single" w:color="000000" w:sz="4" w:space="0"/>
              <w:bottom w:val="single" w:color="000000" w:sz="4" w:space="0"/>
              <w:right w:val="single" w:color="000000" w:sz="4" w:space="0"/>
            </w:tcBorders>
            <w:vAlign w:val="center"/>
          </w:tcPr>
          <w:p w14:paraId="1633431D">
            <w:pPr>
              <w:spacing w:line="360" w:lineRule="auto"/>
              <w:jc w:val="center"/>
              <w:rPr>
                <w:rFonts w:ascii="宋体" w:hAnsi="宋体" w:eastAsia="宋体" w:cs="宋体"/>
                <w:sz w:val="24"/>
                <w:szCs w:val="24"/>
              </w:rPr>
            </w:pPr>
            <w:r>
              <w:rPr>
                <w:rFonts w:hint="eastAsia" w:ascii="宋体" w:hAnsi="宋体" w:eastAsia="宋体" w:cs="宋体"/>
                <w:sz w:val="24"/>
                <w:szCs w:val="24"/>
              </w:rPr>
              <w:t>最低人员工资</w:t>
            </w:r>
          </w:p>
        </w:tc>
        <w:tc>
          <w:tcPr>
            <w:tcW w:w="876" w:type="dxa"/>
            <w:tcBorders>
              <w:top w:val="single" w:color="000000" w:sz="4" w:space="0"/>
              <w:left w:val="single" w:color="000000" w:sz="4" w:space="0"/>
              <w:bottom w:val="single" w:color="000000" w:sz="4" w:space="0"/>
              <w:right w:val="single" w:color="000000" w:sz="4" w:space="0"/>
            </w:tcBorders>
            <w:vAlign w:val="center"/>
          </w:tcPr>
          <w:p w14:paraId="1916853C">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0E544BA7">
            <w:pPr>
              <w:spacing w:line="360" w:lineRule="auto"/>
              <w:jc w:val="center"/>
              <w:rPr>
                <w:rFonts w:ascii="宋体" w:hAnsi="宋体" w:eastAsia="宋体" w:cs="宋体"/>
                <w:sz w:val="24"/>
                <w:szCs w:val="24"/>
              </w:rPr>
            </w:pPr>
            <w:r>
              <w:rPr>
                <w:rFonts w:hint="eastAsia" w:ascii="宋体" w:hAnsi="宋体" w:eastAsia="宋体" w:cs="宋体"/>
                <w:sz w:val="24"/>
                <w:szCs w:val="24"/>
              </w:rPr>
              <w:t>2320</w:t>
            </w:r>
          </w:p>
        </w:tc>
        <w:tc>
          <w:tcPr>
            <w:tcW w:w="2018" w:type="dxa"/>
            <w:tcBorders>
              <w:top w:val="single" w:color="000000" w:sz="4" w:space="0"/>
              <w:left w:val="single" w:color="000000" w:sz="4" w:space="0"/>
              <w:bottom w:val="single" w:color="000000" w:sz="4" w:space="0"/>
              <w:right w:val="single" w:color="000000" w:sz="4" w:space="0"/>
            </w:tcBorders>
            <w:vAlign w:val="center"/>
          </w:tcPr>
          <w:p w14:paraId="28981566">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367" w:type="dxa"/>
            <w:tcBorders>
              <w:top w:val="single" w:color="000000" w:sz="4" w:space="0"/>
              <w:left w:val="single" w:color="000000" w:sz="4" w:space="0"/>
              <w:bottom w:val="single" w:color="000000" w:sz="4" w:space="0"/>
              <w:right w:val="single" w:color="000000" w:sz="4" w:space="0"/>
            </w:tcBorders>
            <w:vAlign w:val="center"/>
          </w:tcPr>
          <w:p w14:paraId="5F2B430B">
            <w:pPr>
              <w:spacing w:line="360" w:lineRule="auto"/>
              <w:jc w:val="center"/>
              <w:rPr>
                <w:rFonts w:ascii="宋体" w:hAnsi="宋体" w:eastAsia="宋体" w:cs="宋体"/>
                <w:sz w:val="24"/>
                <w:szCs w:val="24"/>
              </w:rPr>
            </w:pPr>
          </w:p>
        </w:tc>
      </w:tr>
      <w:tr w14:paraId="018A43D2">
        <w:tblPrEx>
          <w:tblCellMar>
            <w:top w:w="0" w:type="dxa"/>
            <w:left w:w="0" w:type="dxa"/>
            <w:bottom w:w="0" w:type="dxa"/>
            <w:right w:w="0" w:type="dxa"/>
          </w:tblCellMar>
        </w:tblPrEx>
        <w:trPr>
          <w:trHeight w:val="568"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12D71ED3">
            <w:pPr>
              <w:spacing w:line="360" w:lineRule="auto"/>
              <w:jc w:val="center"/>
              <w:rPr>
                <w:rFonts w:ascii="宋体" w:hAnsi="宋体" w:eastAsia="宋体" w:cs="宋体"/>
                <w:sz w:val="24"/>
                <w:szCs w:val="24"/>
              </w:rPr>
            </w:pPr>
            <w:r>
              <w:rPr>
                <w:rFonts w:hint="eastAsia" w:ascii="宋体" w:hAnsi="宋体" w:eastAsia="宋体" w:cs="宋体"/>
                <w:sz w:val="24"/>
                <w:szCs w:val="24"/>
              </w:rPr>
              <w:t>B</w:t>
            </w:r>
          </w:p>
        </w:tc>
        <w:tc>
          <w:tcPr>
            <w:tcW w:w="1916" w:type="dxa"/>
            <w:tcBorders>
              <w:top w:val="single" w:color="000000" w:sz="4" w:space="0"/>
              <w:left w:val="single" w:color="000000" w:sz="4" w:space="0"/>
              <w:bottom w:val="single" w:color="000000" w:sz="4" w:space="0"/>
              <w:right w:val="single" w:color="000000" w:sz="4" w:space="0"/>
            </w:tcBorders>
            <w:vAlign w:val="center"/>
          </w:tcPr>
          <w:p w14:paraId="32D6D7C3">
            <w:pPr>
              <w:spacing w:line="360" w:lineRule="auto"/>
              <w:jc w:val="center"/>
              <w:rPr>
                <w:rFonts w:ascii="宋体" w:hAnsi="宋体" w:eastAsia="宋体" w:cs="宋体"/>
                <w:sz w:val="24"/>
                <w:szCs w:val="24"/>
              </w:rPr>
            </w:pPr>
            <w:r>
              <w:rPr>
                <w:rFonts w:hint="eastAsia" w:ascii="宋体" w:hAnsi="宋体" w:eastAsia="宋体" w:cs="宋体"/>
                <w:sz w:val="24"/>
                <w:szCs w:val="24"/>
              </w:rPr>
              <w:t>社会保险</w:t>
            </w:r>
          </w:p>
        </w:tc>
        <w:tc>
          <w:tcPr>
            <w:tcW w:w="876" w:type="dxa"/>
            <w:tcBorders>
              <w:top w:val="single" w:color="000000" w:sz="4" w:space="0"/>
              <w:left w:val="single" w:color="000000" w:sz="4" w:space="0"/>
              <w:bottom w:val="single" w:color="000000" w:sz="4" w:space="0"/>
              <w:right w:val="single" w:color="000000" w:sz="4" w:space="0"/>
            </w:tcBorders>
            <w:vAlign w:val="center"/>
          </w:tcPr>
          <w:p w14:paraId="042A4708">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07835103">
            <w:pPr>
              <w:spacing w:line="360" w:lineRule="auto"/>
              <w:jc w:val="center"/>
              <w:rPr>
                <w:rFonts w:ascii="宋体" w:hAnsi="宋体" w:eastAsia="宋体" w:cs="宋体"/>
                <w:sz w:val="24"/>
                <w:szCs w:val="24"/>
              </w:rPr>
            </w:pPr>
            <w:r>
              <w:rPr>
                <w:rFonts w:hint="eastAsia" w:ascii="宋体" w:hAnsi="宋体" w:eastAsia="宋体" w:cs="宋体"/>
                <w:sz w:val="24"/>
                <w:szCs w:val="24"/>
              </w:rPr>
              <w:t>1001.46</w:t>
            </w:r>
          </w:p>
        </w:tc>
        <w:tc>
          <w:tcPr>
            <w:tcW w:w="2018" w:type="dxa"/>
            <w:tcBorders>
              <w:top w:val="single" w:color="000000" w:sz="4" w:space="0"/>
              <w:left w:val="single" w:color="000000" w:sz="4" w:space="0"/>
              <w:bottom w:val="single" w:color="000000" w:sz="4" w:space="0"/>
              <w:right w:val="single" w:color="000000" w:sz="4" w:space="0"/>
            </w:tcBorders>
            <w:vAlign w:val="center"/>
          </w:tcPr>
          <w:p w14:paraId="05B62B60">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367" w:type="dxa"/>
            <w:tcBorders>
              <w:top w:val="single" w:color="000000" w:sz="4" w:space="0"/>
              <w:left w:val="single" w:color="000000" w:sz="4" w:space="0"/>
              <w:bottom w:val="single" w:color="000000" w:sz="4" w:space="0"/>
              <w:right w:val="single" w:color="000000" w:sz="4" w:space="0"/>
            </w:tcBorders>
            <w:vAlign w:val="center"/>
          </w:tcPr>
          <w:p w14:paraId="29B318AF">
            <w:pPr>
              <w:spacing w:line="360" w:lineRule="auto"/>
              <w:jc w:val="center"/>
              <w:rPr>
                <w:rFonts w:ascii="宋体" w:hAnsi="宋体" w:eastAsia="宋体" w:cs="宋体"/>
                <w:sz w:val="24"/>
                <w:szCs w:val="24"/>
              </w:rPr>
            </w:pPr>
          </w:p>
        </w:tc>
      </w:tr>
      <w:tr w14:paraId="559E7EEB">
        <w:tblPrEx>
          <w:tblCellMar>
            <w:top w:w="0" w:type="dxa"/>
            <w:left w:w="0" w:type="dxa"/>
            <w:bottom w:w="0" w:type="dxa"/>
            <w:right w:w="0" w:type="dxa"/>
          </w:tblCellMar>
        </w:tblPrEx>
        <w:trPr>
          <w:trHeight w:val="606"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09C670CC">
            <w:pPr>
              <w:spacing w:line="360" w:lineRule="auto"/>
              <w:jc w:val="center"/>
              <w:rPr>
                <w:rFonts w:ascii="宋体" w:hAnsi="宋体" w:eastAsia="宋体" w:cs="宋体"/>
                <w:sz w:val="24"/>
                <w:szCs w:val="24"/>
              </w:rPr>
            </w:pPr>
            <w:r>
              <w:rPr>
                <w:rFonts w:hint="eastAsia" w:ascii="宋体" w:hAnsi="宋体" w:eastAsia="宋体" w:cs="宋体"/>
                <w:sz w:val="24"/>
                <w:szCs w:val="24"/>
              </w:rPr>
              <w:t>C</w:t>
            </w:r>
          </w:p>
        </w:tc>
        <w:tc>
          <w:tcPr>
            <w:tcW w:w="6369" w:type="dxa"/>
            <w:gridSpan w:val="4"/>
            <w:tcBorders>
              <w:top w:val="single" w:color="000000" w:sz="4" w:space="0"/>
              <w:left w:val="single" w:color="000000" w:sz="4" w:space="0"/>
              <w:bottom w:val="single" w:color="000000" w:sz="4" w:space="0"/>
              <w:right w:val="single" w:color="000000" w:sz="4" w:space="0"/>
            </w:tcBorders>
            <w:vAlign w:val="center"/>
          </w:tcPr>
          <w:p w14:paraId="17AC8269">
            <w:pPr>
              <w:spacing w:line="360" w:lineRule="auto"/>
              <w:jc w:val="center"/>
              <w:rPr>
                <w:rFonts w:ascii="宋体" w:hAnsi="宋体" w:eastAsia="宋体" w:cs="宋体"/>
                <w:sz w:val="24"/>
                <w:szCs w:val="24"/>
              </w:rPr>
            </w:pPr>
            <w:r>
              <w:rPr>
                <w:rFonts w:hint="eastAsia" w:ascii="宋体" w:hAnsi="宋体" w:eastAsia="宋体" w:cs="宋体"/>
                <w:sz w:val="24"/>
                <w:szCs w:val="24"/>
              </w:rPr>
              <w:t>工会教育经费=A*3.5%=A*0.035=81.20</w:t>
            </w:r>
          </w:p>
        </w:tc>
        <w:tc>
          <w:tcPr>
            <w:tcW w:w="1367" w:type="dxa"/>
            <w:tcBorders>
              <w:top w:val="single" w:color="000000" w:sz="4" w:space="0"/>
              <w:left w:val="single" w:color="000000" w:sz="4" w:space="0"/>
              <w:bottom w:val="single" w:color="000000" w:sz="4" w:space="0"/>
              <w:right w:val="single" w:color="000000" w:sz="4" w:space="0"/>
            </w:tcBorders>
            <w:vAlign w:val="center"/>
          </w:tcPr>
          <w:p w14:paraId="3C2E37ED">
            <w:pPr>
              <w:spacing w:line="360" w:lineRule="auto"/>
              <w:ind w:firstLine="435"/>
              <w:rPr>
                <w:rFonts w:ascii="宋体" w:hAnsi="宋体" w:eastAsia="宋体" w:cs="宋体"/>
                <w:sz w:val="24"/>
                <w:szCs w:val="24"/>
              </w:rPr>
            </w:pPr>
          </w:p>
        </w:tc>
      </w:tr>
      <w:tr w14:paraId="713F6F05">
        <w:tblPrEx>
          <w:tblCellMar>
            <w:top w:w="0" w:type="dxa"/>
            <w:left w:w="0" w:type="dxa"/>
            <w:bottom w:w="0" w:type="dxa"/>
            <w:right w:w="0" w:type="dxa"/>
          </w:tblCellMar>
        </w:tblPrEx>
        <w:trPr>
          <w:trHeight w:val="572"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1629C9D4">
            <w:pPr>
              <w:spacing w:line="360" w:lineRule="auto"/>
              <w:ind w:firstLine="435"/>
              <w:jc w:val="center"/>
              <w:rPr>
                <w:rFonts w:ascii="宋体" w:hAnsi="宋体" w:eastAsia="宋体" w:cs="宋体"/>
                <w:sz w:val="24"/>
                <w:szCs w:val="24"/>
              </w:rPr>
            </w:pPr>
          </w:p>
        </w:tc>
        <w:tc>
          <w:tcPr>
            <w:tcW w:w="6369" w:type="dxa"/>
            <w:gridSpan w:val="4"/>
            <w:tcBorders>
              <w:top w:val="single" w:color="000000" w:sz="4" w:space="0"/>
              <w:left w:val="single" w:color="000000" w:sz="4" w:space="0"/>
              <w:bottom w:val="single" w:color="000000" w:sz="4" w:space="0"/>
              <w:right w:val="single" w:color="000000" w:sz="4" w:space="0"/>
            </w:tcBorders>
            <w:vAlign w:val="center"/>
          </w:tcPr>
          <w:p w14:paraId="6032317E">
            <w:pPr>
              <w:spacing w:line="360" w:lineRule="auto"/>
              <w:jc w:val="center"/>
              <w:rPr>
                <w:rFonts w:ascii="宋体" w:hAnsi="宋体" w:eastAsia="宋体" w:cs="宋体"/>
                <w:sz w:val="24"/>
                <w:szCs w:val="24"/>
              </w:rPr>
            </w:pPr>
            <w:r>
              <w:rPr>
                <w:rFonts w:hint="eastAsia" w:ascii="宋体" w:hAnsi="宋体" w:eastAsia="宋体" w:cs="宋体"/>
                <w:sz w:val="24"/>
                <w:szCs w:val="24"/>
              </w:rPr>
              <w:t>小计（A+B+C）</w:t>
            </w:r>
          </w:p>
        </w:tc>
        <w:tc>
          <w:tcPr>
            <w:tcW w:w="1367" w:type="dxa"/>
            <w:tcBorders>
              <w:top w:val="single" w:color="000000" w:sz="4" w:space="0"/>
              <w:left w:val="single" w:color="000000" w:sz="4" w:space="0"/>
              <w:bottom w:val="single" w:color="000000" w:sz="4" w:space="0"/>
              <w:right w:val="single" w:color="000000" w:sz="4" w:space="0"/>
            </w:tcBorders>
            <w:vAlign w:val="center"/>
          </w:tcPr>
          <w:p w14:paraId="75F276CB">
            <w:pPr>
              <w:spacing w:line="360" w:lineRule="auto"/>
              <w:ind w:firstLine="435"/>
              <w:rPr>
                <w:rFonts w:ascii="宋体" w:hAnsi="宋体" w:eastAsia="宋体" w:cs="宋体"/>
                <w:sz w:val="24"/>
                <w:szCs w:val="24"/>
              </w:rPr>
            </w:pPr>
          </w:p>
        </w:tc>
      </w:tr>
      <w:tr w14:paraId="05081120">
        <w:tblPrEx>
          <w:tblCellMar>
            <w:top w:w="0" w:type="dxa"/>
            <w:left w:w="0" w:type="dxa"/>
            <w:bottom w:w="0" w:type="dxa"/>
            <w:right w:w="0" w:type="dxa"/>
          </w:tblCellMar>
        </w:tblPrEx>
        <w:trPr>
          <w:trHeight w:val="882"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4D77C27D">
            <w:pPr>
              <w:spacing w:line="360" w:lineRule="auto"/>
              <w:jc w:val="center"/>
              <w:rPr>
                <w:rFonts w:ascii="宋体" w:hAnsi="宋体" w:eastAsia="宋体" w:cs="宋体"/>
                <w:sz w:val="24"/>
                <w:szCs w:val="24"/>
              </w:rPr>
            </w:pPr>
            <w:r>
              <w:rPr>
                <w:rFonts w:hint="eastAsia" w:ascii="宋体" w:hAnsi="宋体" w:eastAsia="宋体" w:cs="宋体"/>
                <w:sz w:val="24"/>
                <w:szCs w:val="24"/>
              </w:rPr>
              <w:t>D</w:t>
            </w:r>
          </w:p>
        </w:tc>
        <w:tc>
          <w:tcPr>
            <w:tcW w:w="6369" w:type="dxa"/>
            <w:gridSpan w:val="4"/>
            <w:tcBorders>
              <w:top w:val="single" w:color="000000" w:sz="4" w:space="0"/>
              <w:left w:val="single" w:color="000000" w:sz="4" w:space="0"/>
              <w:bottom w:val="single" w:color="000000" w:sz="4" w:space="0"/>
              <w:right w:val="single" w:color="000000" w:sz="4" w:space="0"/>
            </w:tcBorders>
            <w:vAlign w:val="center"/>
          </w:tcPr>
          <w:p w14:paraId="76B4F453">
            <w:pPr>
              <w:spacing w:line="360" w:lineRule="auto"/>
              <w:jc w:val="center"/>
              <w:rPr>
                <w:rFonts w:ascii="宋体" w:hAnsi="宋体" w:eastAsia="宋体" w:cs="宋体"/>
                <w:sz w:val="24"/>
                <w:szCs w:val="24"/>
              </w:rPr>
            </w:pPr>
            <w:r>
              <w:rPr>
                <w:rFonts w:hint="eastAsia" w:ascii="宋体" w:hAnsi="宋体" w:eastAsia="宋体" w:cs="宋体"/>
                <w:sz w:val="24"/>
                <w:szCs w:val="24"/>
              </w:rPr>
              <w:t>一般纳税人税金=（A+B+C）</w:t>
            </w:r>
            <w:r>
              <w:rPr>
                <w:rFonts w:hint="eastAsia" w:ascii="宋体" w:hAnsi="宋体" w:eastAsia="宋体" w:cs="宋体"/>
                <w:sz w:val="24"/>
                <w:szCs w:val="24"/>
              </w:rPr>
              <w:br w:type="textWrapping"/>
            </w:r>
            <w:r>
              <w:rPr>
                <w:rFonts w:hint="eastAsia" w:ascii="宋体" w:hAnsi="宋体" w:eastAsia="宋体" w:cs="宋体"/>
                <w:sz w:val="24"/>
                <w:szCs w:val="24"/>
              </w:rPr>
              <w:t>*6.72%=(A+B+C)*0.0672=227.55</w:t>
            </w:r>
          </w:p>
        </w:tc>
        <w:tc>
          <w:tcPr>
            <w:tcW w:w="1367" w:type="dxa"/>
            <w:tcBorders>
              <w:top w:val="single" w:color="000000" w:sz="4" w:space="0"/>
              <w:left w:val="single" w:color="000000" w:sz="4" w:space="0"/>
              <w:bottom w:val="single" w:color="000000" w:sz="4" w:space="0"/>
              <w:right w:val="single" w:color="000000" w:sz="4" w:space="0"/>
            </w:tcBorders>
            <w:vAlign w:val="center"/>
          </w:tcPr>
          <w:p w14:paraId="76CE679C">
            <w:pPr>
              <w:spacing w:line="360" w:lineRule="auto"/>
              <w:ind w:firstLine="435"/>
              <w:rPr>
                <w:rFonts w:ascii="宋体" w:hAnsi="宋体" w:eastAsia="宋体" w:cs="宋体"/>
                <w:sz w:val="24"/>
                <w:szCs w:val="24"/>
              </w:rPr>
            </w:pPr>
          </w:p>
        </w:tc>
      </w:tr>
      <w:tr w14:paraId="19B8CD60">
        <w:tblPrEx>
          <w:tblCellMar>
            <w:top w:w="0" w:type="dxa"/>
            <w:left w:w="0" w:type="dxa"/>
            <w:bottom w:w="0" w:type="dxa"/>
            <w:right w:w="0" w:type="dxa"/>
          </w:tblCellMar>
        </w:tblPrEx>
        <w:trPr>
          <w:trHeight w:val="572" w:hRule="exact"/>
          <w:jc w:val="center"/>
        </w:trPr>
        <w:tc>
          <w:tcPr>
            <w:tcW w:w="6949" w:type="dxa"/>
            <w:gridSpan w:val="5"/>
            <w:tcBorders>
              <w:top w:val="single" w:color="000000" w:sz="4" w:space="0"/>
              <w:left w:val="single" w:color="000000" w:sz="4" w:space="0"/>
              <w:bottom w:val="single" w:color="000000" w:sz="4" w:space="0"/>
              <w:right w:val="single" w:color="000000" w:sz="4" w:space="0"/>
            </w:tcBorders>
            <w:vAlign w:val="center"/>
          </w:tcPr>
          <w:p w14:paraId="7F15C6A4">
            <w:pPr>
              <w:spacing w:line="360" w:lineRule="auto"/>
              <w:jc w:val="center"/>
              <w:rPr>
                <w:rFonts w:ascii="宋体" w:hAnsi="宋体" w:eastAsia="宋体" w:cs="宋体"/>
                <w:sz w:val="24"/>
                <w:szCs w:val="24"/>
              </w:rPr>
            </w:pPr>
            <w:r>
              <w:rPr>
                <w:rFonts w:hint="eastAsia" w:ascii="宋体" w:hAnsi="宋体" w:eastAsia="宋体" w:cs="宋体"/>
                <w:sz w:val="24"/>
                <w:szCs w:val="24"/>
              </w:rPr>
              <w:t>总计（A+B+C+D）保留到小数点后两位</w:t>
            </w:r>
          </w:p>
        </w:tc>
        <w:tc>
          <w:tcPr>
            <w:tcW w:w="1367" w:type="dxa"/>
            <w:tcBorders>
              <w:top w:val="single" w:color="000000" w:sz="4" w:space="0"/>
              <w:left w:val="single" w:color="000000" w:sz="4" w:space="0"/>
              <w:bottom w:val="single" w:color="000000" w:sz="4" w:space="0"/>
              <w:right w:val="single" w:color="000000" w:sz="4" w:space="0"/>
            </w:tcBorders>
            <w:vAlign w:val="center"/>
          </w:tcPr>
          <w:p w14:paraId="6AE1E654">
            <w:pPr>
              <w:spacing w:line="360" w:lineRule="auto"/>
              <w:jc w:val="center"/>
              <w:rPr>
                <w:rFonts w:ascii="宋体" w:hAnsi="宋体" w:eastAsia="宋体" w:cs="宋体"/>
                <w:sz w:val="24"/>
                <w:szCs w:val="24"/>
              </w:rPr>
            </w:pPr>
            <w:r>
              <w:rPr>
                <w:rFonts w:hint="eastAsia" w:ascii="宋体" w:hAnsi="宋体" w:eastAsia="宋体" w:cs="宋体"/>
                <w:sz w:val="24"/>
                <w:szCs w:val="24"/>
              </w:rPr>
              <w:t>3631.32</w:t>
            </w:r>
          </w:p>
        </w:tc>
      </w:tr>
      <w:tr w14:paraId="5ACC1A0A">
        <w:tblPrEx>
          <w:tblCellMar>
            <w:top w:w="0" w:type="dxa"/>
            <w:left w:w="0" w:type="dxa"/>
            <w:bottom w:w="0" w:type="dxa"/>
            <w:right w:w="0" w:type="dxa"/>
          </w:tblCellMar>
        </w:tblPrEx>
        <w:trPr>
          <w:trHeight w:val="580" w:hRule="exact"/>
          <w:jc w:val="center"/>
        </w:trPr>
        <w:tc>
          <w:tcPr>
            <w:tcW w:w="8316" w:type="dxa"/>
            <w:gridSpan w:val="6"/>
            <w:tcBorders>
              <w:top w:val="single" w:color="000000" w:sz="4" w:space="0"/>
              <w:left w:val="single" w:color="000000" w:sz="4" w:space="0"/>
              <w:bottom w:val="single" w:color="000000" w:sz="4" w:space="0"/>
              <w:right w:val="single" w:color="000000" w:sz="4" w:space="0"/>
            </w:tcBorders>
            <w:vAlign w:val="center"/>
          </w:tcPr>
          <w:p w14:paraId="31CE2A6F">
            <w:pPr>
              <w:spacing w:line="360" w:lineRule="auto"/>
              <w:rPr>
                <w:rFonts w:ascii="宋体" w:hAnsi="宋体" w:eastAsia="宋体" w:cs="宋体"/>
                <w:sz w:val="24"/>
                <w:szCs w:val="24"/>
              </w:rPr>
            </w:pPr>
            <w:r>
              <w:rPr>
                <w:rFonts w:hint="eastAsia" w:ascii="宋体" w:hAnsi="宋体" w:eastAsia="宋体" w:cs="宋体"/>
                <w:sz w:val="24"/>
                <w:szCs w:val="24"/>
              </w:rPr>
              <w:t>小规模纳税人人均费用</w:t>
            </w:r>
          </w:p>
        </w:tc>
      </w:tr>
      <w:tr w14:paraId="0587E05E">
        <w:tblPrEx>
          <w:tblCellMar>
            <w:top w:w="0" w:type="dxa"/>
            <w:left w:w="0" w:type="dxa"/>
            <w:bottom w:w="0" w:type="dxa"/>
            <w:right w:w="0" w:type="dxa"/>
          </w:tblCellMar>
        </w:tblPrEx>
        <w:trPr>
          <w:trHeight w:val="410"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5F1CA2C2">
            <w:pPr>
              <w:spacing w:line="360" w:lineRule="auto"/>
              <w:ind w:firstLine="435"/>
              <w:rPr>
                <w:rFonts w:ascii="宋体" w:hAnsi="宋体" w:eastAsia="宋体" w:cs="宋体"/>
                <w:sz w:val="24"/>
                <w:szCs w:val="24"/>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3A49BD73">
            <w:pPr>
              <w:spacing w:line="360" w:lineRule="auto"/>
              <w:jc w:val="center"/>
              <w:rPr>
                <w:rFonts w:ascii="宋体" w:hAnsi="宋体" w:eastAsia="宋体" w:cs="宋体"/>
                <w:sz w:val="24"/>
                <w:szCs w:val="24"/>
              </w:rPr>
            </w:pPr>
            <w:r>
              <w:rPr>
                <w:rFonts w:hint="eastAsia" w:ascii="宋体" w:hAnsi="宋体" w:eastAsia="宋体" w:cs="宋体"/>
                <w:sz w:val="24"/>
                <w:szCs w:val="24"/>
              </w:rPr>
              <w:t>缴费项目</w:t>
            </w:r>
          </w:p>
        </w:tc>
        <w:tc>
          <w:tcPr>
            <w:tcW w:w="876" w:type="dxa"/>
            <w:tcBorders>
              <w:top w:val="single" w:color="000000" w:sz="4" w:space="0"/>
              <w:left w:val="single" w:color="000000" w:sz="4" w:space="0"/>
              <w:bottom w:val="single" w:color="000000" w:sz="4" w:space="0"/>
              <w:right w:val="single" w:color="000000" w:sz="4" w:space="0"/>
            </w:tcBorders>
            <w:vAlign w:val="center"/>
          </w:tcPr>
          <w:p w14:paraId="7F321AED">
            <w:pPr>
              <w:spacing w:line="360" w:lineRule="auto"/>
              <w:jc w:val="center"/>
              <w:rPr>
                <w:rFonts w:ascii="宋体" w:hAnsi="宋体" w:eastAsia="宋体" w:cs="宋体"/>
                <w:sz w:val="24"/>
                <w:szCs w:val="24"/>
              </w:rPr>
            </w:pPr>
            <w:r>
              <w:rPr>
                <w:rFonts w:hint="eastAsia" w:ascii="宋体" w:hAnsi="宋体" w:eastAsia="宋体" w:cs="宋体"/>
                <w:sz w:val="24"/>
                <w:szCs w:val="24"/>
              </w:rPr>
              <w:t>人数</w:t>
            </w:r>
          </w:p>
        </w:tc>
        <w:tc>
          <w:tcPr>
            <w:tcW w:w="1559" w:type="dxa"/>
            <w:tcBorders>
              <w:top w:val="single" w:color="000000" w:sz="4" w:space="0"/>
              <w:left w:val="single" w:color="000000" w:sz="4" w:space="0"/>
              <w:bottom w:val="single" w:color="000000" w:sz="4" w:space="0"/>
              <w:right w:val="single" w:color="000000" w:sz="4" w:space="0"/>
            </w:tcBorders>
            <w:vAlign w:val="center"/>
          </w:tcPr>
          <w:p w14:paraId="0D966C77">
            <w:pPr>
              <w:spacing w:line="360" w:lineRule="auto"/>
              <w:jc w:val="center"/>
              <w:rPr>
                <w:rFonts w:ascii="宋体" w:hAnsi="宋体" w:eastAsia="宋体" w:cs="宋体"/>
                <w:sz w:val="24"/>
                <w:szCs w:val="24"/>
              </w:rPr>
            </w:pPr>
            <w:r>
              <w:rPr>
                <w:rFonts w:hint="eastAsia" w:ascii="宋体" w:hAnsi="宋体" w:eastAsia="宋体" w:cs="宋体"/>
                <w:sz w:val="24"/>
                <w:szCs w:val="24"/>
              </w:rPr>
              <w:t>费用</w:t>
            </w:r>
          </w:p>
        </w:tc>
        <w:tc>
          <w:tcPr>
            <w:tcW w:w="2018" w:type="dxa"/>
            <w:tcBorders>
              <w:top w:val="single" w:color="000000" w:sz="4" w:space="0"/>
              <w:left w:val="single" w:color="000000" w:sz="4" w:space="0"/>
              <w:bottom w:val="single" w:color="000000" w:sz="4" w:space="0"/>
              <w:right w:val="single" w:color="000000" w:sz="4" w:space="0"/>
            </w:tcBorders>
            <w:vAlign w:val="center"/>
          </w:tcPr>
          <w:p w14:paraId="5274EAE0">
            <w:pPr>
              <w:spacing w:line="360" w:lineRule="auto"/>
              <w:jc w:val="center"/>
              <w:rPr>
                <w:rFonts w:ascii="宋体" w:hAnsi="宋体" w:eastAsia="宋体" w:cs="宋体"/>
                <w:sz w:val="24"/>
                <w:szCs w:val="24"/>
              </w:rPr>
            </w:pPr>
            <w:r>
              <w:rPr>
                <w:rFonts w:hint="eastAsia" w:ascii="宋体" w:hAnsi="宋体" w:eastAsia="宋体" w:cs="宋体"/>
                <w:sz w:val="24"/>
                <w:szCs w:val="24"/>
              </w:rPr>
              <w:t>月</w:t>
            </w:r>
          </w:p>
        </w:tc>
        <w:tc>
          <w:tcPr>
            <w:tcW w:w="1367" w:type="dxa"/>
            <w:tcBorders>
              <w:top w:val="single" w:color="000000" w:sz="4" w:space="0"/>
              <w:left w:val="single" w:color="000000" w:sz="4" w:space="0"/>
              <w:bottom w:val="single" w:color="000000" w:sz="4" w:space="0"/>
              <w:right w:val="single" w:color="000000" w:sz="4" w:space="0"/>
            </w:tcBorders>
            <w:vAlign w:val="center"/>
          </w:tcPr>
          <w:p w14:paraId="6DDC598B">
            <w:pPr>
              <w:spacing w:line="360" w:lineRule="auto"/>
              <w:jc w:val="center"/>
              <w:rPr>
                <w:rFonts w:ascii="宋体" w:hAnsi="宋体" w:eastAsia="宋体" w:cs="宋体"/>
                <w:sz w:val="24"/>
                <w:szCs w:val="24"/>
              </w:rPr>
            </w:pPr>
            <w:r>
              <w:rPr>
                <w:rFonts w:hint="eastAsia" w:ascii="宋体" w:hAnsi="宋体" w:eastAsia="宋体" w:cs="宋体"/>
                <w:sz w:val="24"/>
                <w:szCs w:val="24"/>
              </w:rPr>
              <w:t>小计（元）</w:t>
            </w:r>
          </w:p>
        </w:tc>
      </w:tr>
      <w:tr w14:paraId="1CD6E5B1">
        <w:tblPrEx>
          <w:tblCellMar>
            <w:top w:w="0" w:type="dxa"/>
            <w:left w:w="0" w:type="dxa"/>
            <w:bottom w:w="0" w:type="dxa"/>
            <w:right w:w="0" w:type="dxa"/>
          </w:tblCellMar>
        </w:tblPrEx>
        <w:trPr>
          <w:trHeight w:val="578"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2DDCB3D0">
            <w:pPr>
              <w:spacing w:line="360" w:lineRule="auto"/>
              <w:jc w:val="center"/>
              <w:rPr>
                <w:rFonts w:ascii="宋体" w:hAnsi="宋体" w:eastAsia="宋体" w:cs="宋体"/>
                <w:sz w:val="24"/>
                <w:szCs w:val="24"/>
              </w:rPr>
            </w:pPr>
            <w:r>
              <w:rPr>
                <w:rFonts w:hint="eastAsia" w:ascii="宋体" w:hAnsi="宋体" w:eastAsia="宋体" w:cs="宋体"/>
                <w:sz w:val="24"/>
                <w:szCs w:val="24"/>
              </w:rPr>
              <w:t>A</w:t>
            </w:r>
          </w:p>
        </w:tc>
        <w:tc>
          <w:tcPr>
            <w:tcW w:w="1916" w:type="dxa"/>
            <w:tcBorders>
              <w:top w:val="single" w:color="000000" w:sz="4" w:space="0"/>
              <w:left w:val="single" w:color="000000" w:sz="4" w:space="0"/>
              <w:bottom w:val="single" w:color="000000" w:sz="4" w:space="0"/>
              <w:right w:val="single" w:color="000000" w:sz="4" w:space="0"/>
            </w:tcBorders>
            <w:vAlign w:val="center"/>
          </w:tcPr>
          <w:p w14:paraId="206C78DD">
            <w:pPr>
              <w:spacing w:line="360" w:lineRule="auto"/>
              <w:jc w:val="center"/>
              <w:rPr>
                <w:rFonts w:ascii="宋体" w:hAnsi="宋体" w:eastAsia="宋体" w:cs="宋体"/>
                <w:sz w:val="24"/>
                <w:szCs w:val="24"/>
              </w:rPr>
            </w:pPr>
            <w:r>
              <w:rPr>
                <w:rFonts w:hint="eastAsia" w:ascii="宋体" w:hAnsi="宋体" w:eastAsia="宋体" w:cs="宋体"/>
                <w:sz w:val="24"/>
                <w:szCs w:val="24"/>
              </w:rPr>
              <w:t>最低人员工资</w:t>
            </w:r>
          </w:p>
        </w:tc>
        <w:tc>
          <w:tcPr>
            <w:tcW w:w="876" w:type="dxa"/>
            <w:tcBorders>
              <w:top w:val="single" w:color="000000" w:sz="4" w:space="0"/>
              <w:left w:val="single" w:color="000000" w:sz="4" w:space="0"/>
              <w:bottom w:val="single" w:color="000000" w:sz="4" w:space="0"/>
              <w:right w:val="single" w:color="000000" w:sz="4" w:space="0"/>
            </w:tcBorders>
            <w:vAlign w:val="center"/>
          </w:tcPr>
          <w:p w14:paraId="5E4B45D0">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6E13B2DA">
            <w:pPr>
              <w:spacing w:line="360" w:lineRule="auto"/>
              <w:jc w:val="center"/>
              <w:rPr>
                <w:rFonts w:ascii="宋体" w:hAnsi="宋体" w:eastAsia="宋体" w:cs="宋体"/>
                <w:sz w:val="24"/>
                <w:szCs w:val="24"/>
              </w:rPr>
            </w:pPr>
            <w:r>
              <w:rPr>
                <w:rFonts w:hint="eastAsia" w:ascii="宋体" w:hAnsi="宋体" w:eastAsia="宋体" w:cs="宋体"/>
                <w:sz w:val="24"/>
                <w:szCs w:val="24"/>
              </w:rPr>
              <w:t>2320</w:t>
            </w:r>
          </w:p>
        </w:tc>
        <w:tc>
          <w:tcPr>
            <w:tcW w:w="2018" w:type="dxa"/>
            <w:tcBorders>
              <w:top w:val="single" w:color="000000" w:sz="4" w:space="0"/>
              <w:left w:val="single" w:color="000000" w:sz="4" w:space="0"/>
              <w:bottom w:val="single" w:color="000000" w:sz="4" w:space="0"/>
              <w:right w:val="single" w:color="000000" w:sz="4" w:space="0"/>
            </w:tcBorders>
            <w:vAlign w:val="center"/>
          </w:tcPr>
          <w:p w14:paraId="128FF581">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367" w:type="dxa"/>
            <w:tcBorders>
              <w:top w:val="single" w:color="000000" w:sz="4" w:space="0"/>
              <w:left w:val="single" w:color="000000" w:sz="4" w:space="0"/>
              <w:bottom w:val="single" w:color="000000" w:sz="4" w:space="0"/>
              <w:right w:val="single" w:color="000000" w:sz="4" w:space="0"/>
            </w:tcBorders>
            <w:vAlign w:val="center"/>
          </w:tcPr>
          <w:p w14:paraId="6BC97665">
            <w:pPr>
              <w:spacing w:line="360" w:lineRule="auto"/>
              <w:ind w:firstLine="435"/>
              <w:jc w:val="center"/>
              <w:rPr>
                <w:rFonts w:ascii="宋体" w:hAnsi="宋体" w:eastAsia="宋体" w:cs="宋体"/>
                <w:sz w:val="24"/>
                <w:szCs w:val="24"/>
              </w:rPr>
            </w:pPr>
          </w:p>
        </w:tc>
      </w:tr>
      <w:tr w14:paraId="445388C9">
        <w:tblPrEx>
          <w:tblCellMar>
            <w:top w:w="0" w:type="dxa"/>
            <w:left w:w="0" w:type="dxa"/>
            <w:bottom w:w="0" w:type="dxa"/>
            <w:right w:w="0" w:type="dxa"/>
          </w:tblCellMar>
        </w:tblPrEx>
        <w:trPr>
          <w:trHeight w:val="571"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64354EAD">
            <w:pPr>
              <w:spacing w:line="360" w:lineRule="auto"/>
              <w:jc w:val="center"/>
              <w:rPr>
                <w:rFonts w:ascii="宋体" w:hAnsi="宋体" w:eastAsia="宋体" w:cs="宋体"/>
                <w:sz w:val="24"/>
                <w:szCs w:val="24"/>
              </w:rPr>
            </w:pPr>
            <w:r>
              <w:rPr>
                <w:rFonts w:hint="eastAsia" w:ascii="宋体" w:hAnsi="宋体" w:eastAsia="宋体" w:cs="宋体"/>
                <w:sz w:val="24"/>
                <w:szCs w:val="24"/>
              </w:rPr>
              <w:t>B</w:t>
            </w:r>
          </w:p>
        </w:tc>
        <w:tc>
          <w:tcPr>
            <w:tcW w:w="1916" w:type="dxa"/>
            <w:tcBorders>
              <w:top w:val="single" w:color="000000" w:sz="4" w:space="0"/>
              <w:left w:val="single" w:color="000000" w:sz="4" w:space="0"/>
              <w:bottom w:val="single" w:color="000000" w:sz="4" w:space="0"/>
              <w:right w:val="single" w:color="000000" w:sz="4" w:space="0"/>
            </w:tcBorders>
            <w:vAlign w:val="center"/>
          </w:tcPr>
          <w:p w14:paraId="5CF3C247">
            <w:pPr>
              <w:spacing w:line="360" w:lineRule="auto"/>
              <w:jc w:val="center"/>
              <w:rPr>
                <w:rFonts w:ascii="宋体" w:hAnsi="宋体" w:eastAsia="宋体" w:cs="宋体"/>
                <w:sz w:val="24"/>
                <w:szCs w:val="24"/>
              </w:rPr>
            </w:pPr>
            <w:r>
              <w:rPr>
                <w:rFonts w:hint="eastAsia" w:ascii="宋体" w:hAnsi="宋体" w:eastAsia="宋体" w:cs="宋体"/>
                <w:sz w:val="24"/>
                <w:szCs w:val="24"/>
              </w:rPr>
              <w:t>社会保险</w:t>
            </w:r>
          </w:p>
        </w:tc>
        <w:tc>
          <w:tcPr>
            <w:tcW w:w="876" w:type="dxa"/>
            <w:tcBorders>
              <w:top w:val="single" w:color="000000" w:sz="4" w:space="0"/>
              <w:left w:val="single" w:color="000000" w:sz="4" w:space="0"/>
              <w:bottom w:val="single" w:color="000000" w:sz="4" w:space="0"/>
              <w:right w:val="single" w:color="000000" w:sz="4" w:space="0"/>
            </w:tcBorders>
            <w:vAlign w:val="center"/>
          </w:tcPr>
          <w:p w14:paraId="71B244E5">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35751D5C">
            <w:pPr>
              <w:spacing w:line="360" w:lineRule="auto"/>
              <w:jc w:val="center"/>
              <w:rPr>
                <w:rFonts w:ascii="宋体" w:hAnsi="宋体" w:eastAsia="宋体" w:cs="宋体"/>
                <w:sz w:val="24"/>
                <w:szCs w:val="24"/>
              </w:rPr>
            </w:pPr>
            <w:r>
              <w:rPr>
                <w:rFonts w:hint="eastAsia" w:ascii="宋体" w:hAnsi="宋体" w:eastAsia="宋体" w:cs="宋体"/>
                <w:sz w:val="24"/>
                <w:szCs w:val="24"/>
              </w:rPr>
              <w:t>1001.46</w:t>
            </w:r>
          </w:p>
        </w:tc>
        <w:tc>
          <w:tcPr>
            <w:tcW w:w="2018" w:type="dxa"/>
            <w:tcBorders>
              <w:top w:val="single" w:color="000000" w:sz="4" w:space="0"/>
              <w:left w:val="single" w:color="000000" w:sz="4" w:space="0"/>
              <w:bottom w:val="single" w:color="000000" w:sz="4" w:space="0"/>
              <w:right w:val="single" w:color="000000" w:sz="4" w:space="0"/>
            </w:tcBorders>
            <w:vAlign w:val="center"/>
          </w:tcPr>
          <w:p w14:paraId="4A092849">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367" w:type="dxa"/>
            <w:tcBorders>
              <w:top w:val="single" w:color="000000" w:sz="4" w:space="0"/>
              <w:left w:val="single" w:color="000000" w:sz="4" w:space="0"/>
              <w:bottom w:val="single" w:color="000000" w:sz="4" w:space="0"/>
              <w:right w:val="single" w:color="000000" w:sz="4" w:space="0"/>
            </w:tcBorders>
            <w:vAlign w:val="center"/>
          </w:tcPr>
          <w:p w14:paraId="56004D1C">
            <w:pPr>
              <w:spacing w:line="360" w:lineRule="auto"/>
              <w:ind w:firstLine="435"/>
              <w:jc w:val="center"/>
              <w:rPr>
                <w:rFonts w:ascii="宋体" w:hAnsi="宋体" w:eastAsia="宋体" w:cs="宋体"/>
                <w:sz w:val="24"/>
                <w:szCs w:val="24"/>
              </w:rPr>
            </w:pPr>
          </w:p>
        </w:tc>
      </w:tr>
      <w:tr w14:paraId="144C3390">
        <w:tblPrEx>
          <w:tblCellMar>
            <w:top w:w="0" w:type="dxa"/>
            <w:left w:w="0" w:type="dxa"/>
            <w:bottom w:w="0" w:type="dxa"/>
            <w:right w:w="0" w:type="dxa"/>
          </w:tblCellMar>
        </w:tblPrEx>
        <w:trPr>
          <w:trHeight w:val="564"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1C108692">
            <w:pPr>
              <w:spacing w:line="360" w:lineRule="auto"/>
              <w:jc w:val="center"/>
              <w:rPr>
                <w:rFonts w:ascii="宋体" w:hAnsi="宋体" w:eastAsia="宋体" w:cs="宋体"/>
                <w:sz w:val="24"/>
                <w:szCs w:val="24"/>
              </w:rPr>
            </w:pPr>
            <w:r>
              <w:rPr>
                <w:rFonts w:hint="eastAsia" w:ascii="宋体" w:hAnsi="宋体" w:eastAsia="宋体" w:cs="宋体"/>
                <w:sz w:val="24"/>
                <w:szCs w:val="24"/>
              </w:rPr>
              <w:t>C</w:t>
            </w:r>
          </w:p>
        </w:tc>
        <w:tc>
          <w:tcPr>
            <w:tcW w:w="6369" w:type="dxa"/>
            <w:gridSpan w:val="4"/>
            <w:tcBorders>
              <w:top w:val="single" w:color="000000" w:sz="4" w:space="0"/>
              <w:left w:val="single" w:color="000000" w:sz="4" w:space="0"/>
              <w:bottom w:val="single" w:color="000000" w:sz="4" w:space="0"/>
              <w:right w:val="single" w:color="000000" w:sz="4" w:space="0"/>
            </w:tcBorders>
            <w:vAlign w:val="center"/>
          </w:tcPr>
          <w:p w14:paraId="1E8BABAC">
            <w:pPr>
              <w:spacing w:line="360" w:lineRule="auto"/>
              <w:jc w:val="center"/>
              <w:rPr>
                <w:rFonts w:ascii="宋体" w:hAnsi="宋体" w:eastAsia="宋体" w:cs="宋体"/>
                <w:sz w:val="24"/>
                <w:szCs w:val="24"/>
              </w:rPr>
            </w:pPr>
            <w:r>
              <w:rPr>
                <w:rFonts w:hint="eastAsia" w:ascii="宋体" w:hAnsi="宋体" w:eastAsia="宋体" w:cs="宋体"/>
                <w:sz w:val="24"/>
                <w:szCs w:val="24"/>
              </w:rPr>
              <w:t>工会教育经费=A*3.5%=A*0.035=81.2</w:t>
            </w:r>
          </w:p>
        </w:tc>
        <w:tc>
          <w:tcPr>
            <w:tcW w:w="1367" w:type="dxa"/>
            <w:tcBorders>
              <w:top w:val="single" w:color="000000" w:sz="4" w:space="0"/>
              <w:left w:val="single" w:color="000000" w:sz="4" w:space="0"/>
              <w:bottom w:val="single" w:color="000000" w:sz="4" w:space="0"/>
              <w:right w:val="single" w:color="000000" w:sz="4" w:space="0"/>
            </w:tcBorders>
            <w:vAlign w:val="center"/>
          </w:tcPr>
          <w:p w14:paraId="7CF96814">
            <w:pPr>
              <w:spacing w:line="360" w:lineRule="auto"/>
              <w:ind w:firstLine="435"/>
              <w:jc w:val="center"/>
              <w:rPr>
                <w:rFonts w:ascii="宋体" w:hAnsi="宋体" w:eastAsia="宋体" w:cs="宋体"/>
                <w:sz w:val="24"/>
                <w:szCs w:val="24"/>
              </w:rPr>
            </w:pPr>
          </w:p>
        </w:tc>
      </w:tr>
      <w:tr w14:paraId="78C525D6">
        <w:tblPrEx>
          <w:tblCellMar>
            <w:top w:w="0" w:type="dxa"/>
            <w:left w:w="0" w:type="dxa"/>
            <w:bottom w:w="0" w:type="dxa"/>
            <w:right w:w="0" w:type="dxa"/>
          </w:tblCellMar>
        </w:tblPrEx>
        <w:trPr>
          <w:trHeight w:val="559"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45A6DB9A">
            <w:pPr>
              <w:spacing w:line="360" w:lineRule="auto"/>
              <w:jc w:val="center"/>
              <w:rPr>
                <w:rFonts w:ascii="宋体" w:hAnsi="宋体" w:eastAsia="宋体" w:cs="宋体"/>
                <w:sz w:val="24"/>
                <w:szCs w:val="24"/>
              </w:rPr>
            </w:pPr>
          </w:p>
        </w:tc>
        <w:tc>
          <w:tcPr>
            <w:tcW w:w="6369" w:type="dxa"/>
            <w:gridSpan w:val="4"/>
            <w:tcBorders>
              <w:top w:val="single" w:color="000000" w:sz="4" w:space="0"/>
              <w:left w:val="single" w:color="000000" w:sz="4" w:space="0"/>
              <w:bottom w:val="single" w:color="000000" w:sz="4" w:space="0"/>
              <w:right w:val="single" w:color="000000" w:sz="4" w:space="0"/>
            </w:tcBorders>
            <w:vAlign w:val="center"/>
          </w:tcPr>
          <w:p w14:paraId="1B1BBE30">
            <w:pPr>
              <w:spacing w:line="360" w:lineRule="auto"/>
              <w:jc w:val="center"/>
              <w:rPr>
                <w:rFonts w:ascii="宋体" w:hAnsi="宋体" w:eastAsia="宋体" w:cs="宋体"/>
                <w:sz w:val="24"/>
                <w:szCs w:val="24"/>
              </w:rPr>
            </w:pPr>
            <w:r>
              <w:rPr>
                <w:rFonts w:hint="eastAsia" w:ascii="宋体" w:hAnsi="宋体" w:eastAsia="宋体" w:cs="宋体"/>
                <w:sz w:val="24"/>
                <w:szCs w:val="24"/>
              </w:rPr>
              <w:t>小计（A+B+C）</w:t>
            </w:r>
          </w:p>
        </w:tc>
        <w:tc>
          <w:tcPr>
            <w:tcW w:w="1367" w:type="dxa"/>
            <w:tcBorders>
              <w:top w:val="single" w:color="000000" w:sz="4" w:space="0"/>
              <w:left w:val="single" w:color="000000" w:sz="4" w:space="0"/>
              <w:bottom w:val="single" w:color="000000" w:sz="4" w:space="0"/>
              <w:right w:val="single" w:color="000000" w:sz="4" w:space="0"/>
            </w:tcBorders>
            <w:vAlign w:val="center"/>
          </w:tcPr>
          <w:p w14:paraId="7089E84E">
            <w:pPr>
              <w:spacing w:line="360" w:lineRule="auto"/>
              <w:ind w:firstLine="435"/>
              <w:jc w:val="center"/>
              <w:rPr>
                <w:rFonts w:ascii="宋体" w:hAnsi="宋体" w:eastAsia="宋体" w:cs="宋体"/>
                <w:sz w:val="24"/>
                <w:szCs w:val="24"/>
              </w:rPr>
            </w:pPr>
          </w:p>
        </w:tc>
      </w:tr>
      <w:tr w14:paraId="6E6DEADD">
        <w:tblPrEx>
          <w:tblCellMar>
            <w:top w:w="0" w:type="dxa"/>
            <w:left w:w="0" w:type="dxa"/>
            <w:bottom w:w="0" w:type="dxa"/>
            <w:right w:w="0" w:type="dxa"/>
          </w:tblCellMar>
        </w:tblPrEx>
        <w:trPr>
          <w:trHeight w:val="825" w:hRule="exact"/>
          <w:jc w:val="center"/>
        </w:trPr>
        <w:tc>
          <w:tcPr>
            <w:tcW w:w="580" w:type="dxa"/>
            <w:tcBorders>
              <w:top w:val="single" w:color="000000" w:sz="4" w:space="0"/>
              <w:left w:val="single" w:color="000000" w:sz="4" w:space="0"/>
              <w:bottom w:val="single" w:color="000000" w:sz="4" w:space="0"/>
              <w:right w:val="single" w:color="000000" w:sz="4" w:space="0"/>
            </w:tcBorders>
            <w:vAlign w:val="center"/>
          </w:tcPr>
          <w:p w14:paraId="7B2CF8CD">
            <w:pPr>
              <w:spacing w:line="360" w:lineRule="auto"/>
              <w:jc w:val="center"/>
              <w:rPr>
                <w:rFonts w:ascii="宋体" w:hAnsi="宋体" w:eastAsia="宋体" w:cs="宋体"/>
                <w:sz w:val="24"/>
                <w:szCs w:val="24"/>
              </w:rPr>
            </w:pPr>
            <w:r>
              <w:rPr>
                <w:rFonts w:hint="eastAsia" w:ascii="宋体" w:hAnsi="宋体" w:eastAsia="宋体" w:cs="宋体"/>
                <w:sz w:val="24"/>
                <w:szCs w:val="24"/>
              </w:rPr>
              <w:t>D</w:t>
            </w:r>
          </w:p>
        </w:tc>
        <w:tc>
          <w:tcPr>
            <w:tcW w:w="6369" w:type="dxa"/>
            <w:gridSpan w:val="4"/>
            <w:tcBorders>
              <w:top w:val="single" w:color="000000" w:sz="4" w:space="0"/>
              <w:left w:val="single" w:color="000000" w:sz="4" w:space="0"/>
              <w:bottom w:val="single" w:color="000000" w:sz="4" w:space="0"/>
              <w:right w:val="single" w:color="000000" w:sz="4" w:space="0"/>
            </w:tcBorders>
            <w:vAlign w:val="center"/>
          </w:tcPr>
          <w:p w14:paraId="6A856AC7">
            <w:pPr>
              <w:spacing w:line="360" w:lineRule="auto"/>
              <w:jc w:val="center"/>
              <w:rPr>
                <w:rFonts w:ascii="宋体" w:hAnsi="宋体" w:eastAsia="宋体" w:cs="宋体"/>
                <w:sz w:val="24"/>
                <w:szCs w:val="24"/>
              </w:rPr>
            </w:pPr>
            <w:r>
              <w:rPr>
                <w:rFonts w:hint="eastAsia" w:ascii="宋体" w:hAnsi="宋体" w:eastAsia="宋体" w:cs="宋体"/>
                <w:sz w:val="24"/>
                <w:szCs w:val="24"/>
              </w:rPr>
              <w:t>小规模纳税人税金=（A+B+C）</w:t>
            </w:r>
            <w:r>
              <w:rPr>
                <w:rFonts w:hint="eastAsia" w:ascii="宋体" w:hAnsi="宋体" w:eastAsia="宋体" w:cs="宋体"/>
                <w:sz w:val="24"/>
                <w:szCs w:val="24"/>
              </w:rPr>
              <w:br w:type="textWrapping"/>
            </w:r>
            <w:r>
              <w:rPr>
                <w:rFonts w:hint="eastAsia" w:ascii="宋体" w:hAnsi="宋体" w:eastAsia="宋体" w:cs="宋体"/>
                <w:sz w:val="24"/>
                <w:szCs w:val="24"/>
              </w:rPr>
              <w:t>*3.36%=(A+B+C)*0.0336=114.33</w:t>
            </w:r>
          </w:p>
        </w:tc>
        <w:tc>
          <w:tcPr>
            <w:tcW w:w="1367" w:type="dxa"/>
            <w:tcBorders>
              <w:top w:val="single" w:color="000000" w:sz="4" w:space="0"/>
              <w:left w:val="single" w:color="000000" w:sz="4" w:space="0"/>
              <w:bottom w:val="single" w:color="000000" w:sz="4" w:space="0"/>
              <w:right w:val="single" w:color="000000" w:sz="4" w:space="0"/>
            </w:tcBorders>
            <w:vAlign w:val="center"/>
          </w:tcPr>
          <w:p w14:paraId="154FEE65">
            <w:pPr>
              <w:spacing w:line="360" w:lineRule="auto"/>
              <w:ind w:firstLine="435"/>
              <w:jc w:val="center"/>
              <w:rPr>
                <w:rFonts w:ascii="宋体" w:hAnsi="宋体" w:eastAsia="宋体" w:cs="宋体"/>
                <w:sz w:val="24"/>
                <w:szCs w:val="24"/>
              </w:rPr>
            </w:pPr>
          </w:p>
        </w:tc>
      </w:tr>
      <w:tr w14:paraId="470FD7CB">
        <w:tblPrEx>
          <w:tblCellMar>
            <w:top w:w="0" w:type="dxa"/>
            <w:left w:w="0" w:type="dxa"/>
            <w:bottom w:w="0" w:type="dxa"/>
            <w:right w:w="0" w:type="dxa"/>
          </w:tblCellMar>
        </w:tblPrEx>
        <w:trPr>
          <w:trHeight w:val="560" w:hRule="exact"/>
          <w:jc w:val="center"/>
        </w:trPr>
        <w:tc>
          <w:tcPr>
            <w:tcW w:w="6949" w:type="dxa"/>
            <w:gridSpan w:val="5"/>
            <w:tcBorders>
              <w:top w:val="single" w:color="000000" w:sz="4" w:space="0"/>
              <w:left w:val="single" w:color="000000" w:sz="4" w:space="0"/>
              <w:bottom w:val="single" w:color="000000" w:sz="4" w:space="0"/>
              <w:right w:val="single" w:color="000000" w:sz="4" w:space="0"/>
            </w:tcBorders>
            <w:vAlign w:val="center"/>
          </w:tcPr>
          <w:p w14:paraId="5B315C48">
            <w:pPr>
              <w:spacing w:line="360" w:lineRule="auto"/>
              <w:jc w:val="center"/>
              <w:rPr>
                <w:rFonts w:ascii="宋体" w:hAnsi="宋体" w:eastAsia="宋体" w:cs="宋体"/>
                <w:sz w:val="24"/>
                <w:szCs w:val="24"/>
              </w:rPr>
            </w:pPr>
            <w:r>
              <w:rPr>
                <w:rFonts w:hint="eastAsia" w:ascii="宋体" w:hAnsi="宋体" w:eastAsia="宋体" w:cs="宋体"/>
                <w:sz w:val="24"/>
                <w:szCs w:val="24"/>
              </w:rPr>
              <w:t>总计（A+B+C+D）保留到小数点后两位</w:t>
            </w:r>
          </w:p>
        </w:tc>
        <w:tc>
          <w:tcPr>
            <w:tcW w:w="1367" w:type="dxa"/>
            <w:tcBorders>
              <w:top w:val="single" w:color="000000" w:sz="4" w:space="0"/>
              <w:left w:val="single" w:color="000000" w:sz="4" w:space="0"/>
              <w:bottom w:val="single" w:color="000000" w:sz="4" w:space="0"/>
              <w:right w:val="single" w:color="000000" w:sz="4" w:space="0"/>
            </w:tcBorders>
            <w:vAlign w:val="center"/>
          </w:tcPr>
          <w:p w14:paraId="332AA46B">
            <w:pPr>
              <w:spacing w:line="360" w:lineRule="auto"/>
              <w:jc w:val="center"/>
              <w:rPr>
                <w:rFonts w:ascii="宋体" w:hAnsi="宋体" w:eastAsia="宋体" w:cs="宋体"/>
                <w:sz w:val="24"/>
                <w:szCs w:val="24"/>
              </w:rPr>
            </w:pPr>
            <w:r>
              <w:rPr>
                <w:rFonts w:hint="eastAsia" w:ascii="宋体" w:hAnsi="宋体" w:eastAsia="宋体" w:cs="宋体"/>
                <w:sz w:val="24"/>
                <w:szCs w:val="24"/>
              </w:rPr>
              <w:t>3516.99</w:t>
            </w:r>
          </w:p>
        </w:tc>
      </w:tr>
      <w:bookmarkEnd w:id="15"/>
    </w:tbl>
    <w:p w14:paraId="1B7DBE9B">
      <w:pPr>
        <w:spacing w:line="360" w:lineRule="auto"/>
        <w:ind w:firstLine="435"/>
        <w:rPr>
          <w:rFonts w:ascii="宋体" w:hAnsi="宋体" w:eastAsia="宋体" w:cs="宋体"/>
          <w:sz w:val="24"/>
          <w:szCs w:val="24"/>
        </w:rPr>
      </w:pPr>
      <w:r>
        <w:rPr>
          <w:rFonts w:hint="eastAsia" w:ascii="宋体" w:hAnsi="宋体" w:eastAsia="宋体" w:cs="宋体"/>
          <w:sz w:val="24"/>
          <w:szCs w:val="24"/>
        </w:rPr>
        <w:t>注：</w:t>
      </w:r>
    </w:p>
    <w:p w14:paraId="7EDF445A">
      <w:pPr>
        <w:spacing w:line="360" w:lineRule="auto"/>
        <w:ind w:firstLine="435"/>
        <w:rPr>
          <w:rFonts w:ascii="宋体" w:hAnsi="宋体" w:eastAsia="宋体" w:cs="宋体"/>
          <w:sz w:val="24"/>
          <w:szCs w:val="24"/>
        </w:rPr>
      </w:pPr>
      <w:r>
        <w:rPr>
          <w:rFonts w:hint="eastAsia" w:ascii="宋体" w:hAnsi="宋体" w:eastAsia="宋体" w:cs="宋体"/>
          <w:sz w:val="24"/>
          <w:szCs w:val="24"/>
        </w:rPr>
        <w:t>（1）人员工资不低于合肥市市区最低工资标准（2320元/人/月），社会保险个人缴纳费用含在最低工资标准中。</w:t>
      </w:r>
    </w:p>
    <w:p w14:paraId="5DDE112F">
      <w:pPr>
        <w:spacing w:line="360" w:lineRule="auto"/>
        <w:ind w:firstLine="435"/>
        <w:rPr>
          <w:rFonts w:ascii="宋体" w:hAnsi="宋体" w:eastAsia="宋体" w:cs="宋体"/>
          <w:sz w:val="24"/>
          <w:szCs w:val="24"/>
        </w:rPr>
      </w:pPr>
      <w:r>
        <w:rPr>
          <w:rFonts w:hint="eastAsia" w:ascii="宋体" w:hAnsi="宋体" w:eastAsia="宋体" w:cs="宋体"/>
          <w:sz w:val="24"/>
          <w:szCs w:val="24"/>
        </w:rPr>
        <w:t>（2）社会保险（五险）缴费基数最低为4311元，计算缴费金额以每人每月为基数，社会保险（五险）企业缴纳费用（缴费费率：23.3%）组成为：养老保险16%、工伤保险0.4%、失业保险0.5%、医疗保险6.4%。</w:t>
      </w:r>
    </w:p>
    <w:p w14:paraId="5966F8C7">
      <w:pPr>
        <w:spacing w:line="360" w:lineRule="auto"/>
        <w:ind w:firstLine="435"/>
        <w:rPr>
          <w:rFonts w:ascii="宋体" w:hAnsi="宋体" w:eastAsia="宋体" w:cs="宋体"/>
          <w:sz w:val="24"/>
          <w:szCs w:val="24"/>
        </w:rPr>
      </w:pPr>
      <w:r>
        <w:rPr>
          <w:rFonts w:hint="eastAsia" w:ascii="宋体" w:hAnsi="宋体" w:eastAsia="宋体" w:cs="宋体"/>
          <w:sz w:val="24"/>
          <w:szCs w:val="24"/>
        </w:rPr>
        <w:t>（3）一般纳税人税金费率6.72%，小规模纳税人税金费率3.36%，如投标人以小规模纳税人税金费率报价，投标文件中须提供税务部门出具的小规模纳税人证明材料（如：企业税种核定材料等），否则将导致投标无效。</w:t>
      </w:r>
    </w:p>
    <w:p w14:paraId="07F49AB2">
      <w:pPr>
        <w:spacing w:line="360" w:lineRule="auto"/>
        <w:ind w:firstLine="435"/>
        <w:rPr>
          <w:rFonts w:ascii="宋体" w:hAnsi="宋体" w:eastAsia="宋体" w:cs="宋体"/>
          <w:sz w:val="24"/>
          <w:szCs w:val="24"/>
        </w:rPr>
      </w:pPr>
      <w:r>
        <w:rPr>
          <w:rFonts w:hint="eastAsia" w:ascii="宋体" w:hAnsi="宋体" w:eastAsia="宋体" w:cs="宋体"/>
          <w:sz w:val="24"/>
          <w:szCs w:val="24"/>
        </w:rPr>
        <w:t>（4）请投标人自行核算以上政策性费用，如投标人对以上费用有疑问，请在本项目网上询问截止时间前提出。如无疑问，报价应不低于上述政策性费用价格，否则将导致投标无效。</w:t>
      </w:r>
    </w:p>
    <w:p w14:paraId="5244C2C8">
      <w:pPr>
        <w:spacing w:line="360" w:lineRule="auto"/>
        <w:ind w:firstLine="435"/>
        <w:rPr>
          <w:rFonts w:ascii="宋体" w:hAnsi="宋体" w:eastAsia="宋体" w:cs="宋体"/>
          <w:sz w:val="24"/>
          <w:szCs w:val="24"/>
        </w:rPr>
      </w:pPr>
      <w:r>
        <w:rPr>
          <w:rFonts w:hint="eastAsia" w:ascii="宋体" w:hAnsi="宋体" w:eastAsia="宋体" w:cs="宋体"/>
          <w:sz w:val="24"/>
          <w:szCs w:val="24"/>
        </w:rPr>
        <w:t>（5）政策性费用不接受赠送及优惠，其他费用为可竞争性费用，由投标人自行考虑报价。</w:t>
      </w:r>
    </w:p>
    <w:p w14:paraId="76040401">
      <w:pPr>
        <w:spacing w:line="360" w:lineRule="auto"/>
        <w:ind w:firstLine="435"/>
        <w:rPr>
          <w:rFonts w:ascii="宋体" w:hAnsi="宋体" w:eastAsia="宋体" w:cs="宋体"/>
          <w:sz w:val="24"/>
          <w:szCs w:val="24"/>
        </w:rPr>
      </w:pPr>
      <w:r>
        <w:rPr>
          <w:rFonts w:hint="eastAsia" w:ascii="宋体" w:hAnsi="宋体" w:eastAsia="宋体" w:cs="宋体"/>
          <w:sz w:val="24"/>
          <w:szCs w:val="24"/>
        </w:rPr>
        <w:t>（6）投标人应自行踏勘服务现场，如投标人因未及时踏勘现场而导致的报价缺项漏项或中标后无法兑现服务，供应商自行承担一切后果。</w:t>
      </w:r>
    </w:p>
    <w:p w14:paraId="0FCF947B">
      <w:pPr>
        <w:spacing w:line="360" w:lineRule="auto"/>
        <w:ind w:firstLine="435"/>
        <w:rPr>
          <w:rFonts w:ascii="宋体" w:hAnsi="宋体" w:eastAsia="宋体" w:cs="宋体"/>
          <w:sz w:val="24"/>
          <w:szCs w:val="24"/>
        </w:rPr>
      </w:pPr>
      <w:r>
        <w:rPr>
          <w:rFonts w:hint="eastAsia" w:ascii="宋体" w:hAnsi="宋体" w:eastAsia="宋体" w:cs="宋体"/>
          <w:sz w:val="24"/>
          <w:szCs w:val="24"/>
        </w:rPr>
        <w:t>（7）投标人应考虑合同期内政策性费用调整的风险。报价应考虑合肥市最低工资标准上调等风险，履约期限内不得以最低工资标准上调以及物价指数上涨等理由要求增加物业管理费用。</w:t>
      </w:r>
    </w:p>
    <w:p w14:paraId="499C54A4">
      <w:pPr>
        <w:spacing w:line="360" w:lineRule="auto"/>
        <w:ind w:firstLine="435"/>
        <w:rPr>
          <w:rFonts w:ascii="宋体" w:hAnsi="宋体" w:eastAsia="宋体" w:cs="宋体"/>
          <w:sz w:val="24"/>
          <w:szCs w:val="24"/>
        </w:rPr>
      </w:pPr>
      <w:r>
        <w:rPr>
          <w:rFonts w:hint="eastAsia" w:ascii="宋体" w:hAnsi="宋体" w:eastAsia="宋体" w:cs="宋体"/>
          <w:sz w:val="24"/>
          <w:szCs w:val="24"/>
        </w:rPr>
        <w:t>（8）其他未尽事宜，双方协商解决，经协商不成的，按相关规定执行。</w:t>
      </w:r>
    </w:p>
    <w:p w14:paraId="7B1FC432">
      <w:pPr>
        <w:spacing w:line="360" w:lineRule="auto"/>
        <w:ind w:left="437"/>
        <w:outlineLvl w:val="1"/>
        <w:rPr>
          <w:rFonts w:ascii="宋体" w:hAnsi="宋体" w:eastAsia="宋体"/>
          <w:b/>
          <w:sz w:val="24"/>
          <w:szCs w:val="18"/>
        </w:rPr>
      </w:pPr>
      <w:bookmarkStart w:id="16" w:name="_Toc27182"/>
      <w:r>
        <w:rPr>
          <w:rFonts w:hint="eastAsia" w:ascii="宋体" w:hAnsi="宋体" w:eastAsia="宋体"/>
          <w:b/>
          <w:sz w:val="24"/>
          <w:szCs w:val="18"/>
        </w:rPr>
        <w:t>五、其他要求</w:t>
      </w:r>
      <w:bookmarkEnd w:id="16"/>
    </w:p>
    <w:p w14:paraId="550EDD51">
      <w:pPr>
        <w:spacing w:line="360" w:lineRule="auto"/>
        <w:ind w:firstLine="435"/>
        <w:rPr>
          <w:rFonts w:ascii="宋体" w:hAnsi="宋体" w:eastAsia="宋体" w:cs="宋体"/>
          <w:sz w:val="24"/>
          <w:szCs w:val="24"/>
        </w:rPr>
      </w:pPr>
      <w:r>
        <w:rPr>
          <w:rFonts w:hint="eastAsia" w:ascii="宋体" w:hAnsi="宋体" w:eastAsia="宋体" w:cs="宋体"/>
          <w:sz w:val="24"/>
          <w:szCs w:val="24"/>
        </w:rPr>
        <w:t>1.本项目禁止投标人挂靠或转包，一经查明投标人所提供的业绩证明或其他资料为挂靠信息或中标后转包项目，采购人有权终止合同，并立即上报上级有关部门依规处理。</w:t>
      </w:r>
    </w:p>
    <w:p w14:paraId="1357EA97">
      <w:pPr>
        <w:spacing w:line="360" w:lineRule="auto"/>
        <w:ind w:firstLine="435"/>
        <w:rPr>
          <w:rFonts w:ascii="宋体" w:hAnsi="宋体" w:eastAsia="宋体" w:cs="宋体"/>
          <w:sz w:val="24"/>
          <w:szCs w:val="24"/>
        </w:rPr>
      </w:pPr>
      <w:r>
        <w:rPr>
          <w:rFonts w:hint="eastAsia" w:ascii="宋体" w:hAnsi="宋体" w:eastAsia="宋体" w:cs="宋体"/>
          <w:sz w:val="24"/>
          <w:szCs w:val="24"/>
        </w:rPr>
        <w:t>2.中标人须符合《安徽省保安服务管理办法》〔安徽省人民政府令第236号〕及《安徽省人民政府关于修改部分规章的决定》〔安徽省人民政府令第 285 号〕相关条款和资质要求。具备良好的从业信誉和安保工作经验，有完善的管理体系和健全的内部管理规章。</w:t>
      </w:r>
    </w:p>
    <w:p w14:paraId="36E9EC82">
      <w:pPr>
        <w:spacing w:line="360" w:lineRule="auto"/>
        <w:ind w:firstLine="435"/>
        <w:rPr>
          <w:rFonts w:ascii="宋体" w:hAnsi="宋体" w:eastAsia="宋体" w:cs="宋体"/>
          <w:sz w:val="24"/>
          <w:szCs w:val="24"/>
        </w:rPr>
      </w:pPr>
      <w:r>
        <w:rPr>
          <w:rFonts w:hint="eastAsia" w:ascii="宋体" w:hAnsi="宋体" w:eastAsia="宋体" w:cs="宋体"/>
          <w:sz w:val="24"/>
          <w:szCs w:val="24"/>
        </w:rPr>
        <w:t>3.中标人须按月按时足额发放项目人员工资。</w:t>
      </w:r>
    </w:p>
    <w:p w14:paraId="22F5C6D0">
      <w:pPr>
        <w:spacing w:line="360" w:lineRule="auto"/>
        <w:ind w:firstLine="435"/>
        <w:rPr>
          <w:rFonts w:ascii="宋体" w:hAnsi="宋体" w:eastAsia="宋体" w:cs="宋体"/>
          <w:sz w:val="24"/>
          <w:szCs w:val="24"/>
        </w:rPr>
      </w:pPr>
      <w:r>
        <w:rPr>
          <w:rFonts w:hint="eastAsia" w:ascii="宋体" w:hAnsi="宋体" w:eastAsia="宋体" w:cs="宋体"/>
          <w:sz w:val="24"/>
          <w:szCs w:val="24"/>
        </w:rPr>
        <w:t>4.中标人有义务对保安人员进行安全教育、纪律约束，并采取必要的安全措施。保安人员发生自身的人身伤害、伤亡，均由中标人负责处理并承担经济和道义上的责任，学校不承担任何责任。</w:t>
      </w:r>
    </w:p>
    <w:p w14:paraId="769D4406">
      <w:pPr>
        <w:spacing w:line="360" w:lineRule="auto"/>
        <w:ind w:firstLine="435"/>
        <w:rPr>
          <w:rFonts w:ascii="宋体" w:hAnsi="宋体" w:eastAsia="宋体" w:cs="宋体"/>
          <w:sz w:val="24"/>
          <w:szCs w:val="24"/>
        </w:rPr>
      </w:pPr>
      <w:r>
        <w:rPr>
          <w:rFonts w:hint="eastAsia" w:ascii="宋体" w:hAnsi="宋体" w:eastAsia="宋体" w:cs="宋体"/>
          <w:sz w:val="24"/>
          <w:szCs w:val="24"/>
        </w:rPr>
        <w:t>5.中标人与聘用人员发生劳动纠纷，均由中标人负责调解与处理，学校不承担责任。</w:t>
      </w:r>
    </w:p>
    <w:p w14:paraId="04E2FEF7">
      <w:pPr>
        <w:spacing w:line="360" w:lineRule="auto"/>
        <w:ind w:firstLine="435"/>
        <w:rPr>
          <w:rFonts w:ascii="宋体" w:hAnsi="宋体" w:eastAsia="宋体" w:cs="宋体"/>
          <w:sz w:val="24"/>
          <w:szCs w:val="24"/>
        </w:rPr>
      </w:pPr>
      <w:r>
        <w:rPr>
          <w:rFonts w:hint="eastAsia" w:ascii="宋体" w:hAnsi="宋体" w:eastAsia="宋体" w:cs="宋体"/>
          <w:sz w:val="24"/>
          <w:szCs w:val="24"/>
        </w:rPr>
        <w:t>6.中标人在安保服务中因过错造成他人财产损失或人身伤亡的，均由中标人负责处理并承担法律责任和道义责任，学校不承担任何责任。</w:t>
      </w:r>
    </w:p>
    <w:p w14:paraId="15792BAF">
      <w:pPr>
        <w:spacing w:line="360" w:lineRule="auto"/>
        <w:ind w:firstLine="435"/>
        <w:rPr>
          <w:rFonts w:ascii="宋体" w:hAnsi="宋体" w:eastAsia="宋体" w:cs="宋体"/>
          <w:sz w:val="24"/>
          <w:szCs w:val="24"/>
        </w:rPr>
      </w:pPr>
      <w:r>
        <w:rPr>
          <w:rFonts w:hint="eastAsia" w:ascii="宋体" w:hAnsi="宋体" w:eastAsia="宋体" w:cs="宋体"/>
          <w:sz w:val="24"/>
          <w:szCs w:val="24"/>
        </w:rPr>
        <w:t>7.根据工作岗位需求，中标人须自行配备校园安保服务所需的服装、劳保以及必要的执勤车辆和常规安保器械用品。其中，包括但不限于封闭式四轮电动巡逻车2辆（不低于4座）；两轮电动巡逻车10辆；高清夜视执法记录仪10部；防暴装备不少于10套；配套办公桌椅10套，桌椅规格型号须与学校办公桌椅相统一；并负责对巡逻车辆等配备设备的维修保养工作，保证服务期内所有设备运行良好，将所需费用计入投标总报价内（无需单独列项，以承诺函响应）。</w:t>
      </w:r>
    </w:p>
    <w:p w14:paraId="13021BC2">
      <w:pPr>
        <w:spacing w:line="360" w:lineRule="auto"/>
        <w:ind w:firstLine="435"/>
        <w:rPr>
          <w:rFonts w:ascii="宋体" w:hAnsi="宋体" w:eastAsia="宋体" w:cs="宋体"/>
          <w:sz w:val="24"/>
          <w:szCs w:val="24"/>
        </w:rPr>
      </w:pPr>
      <w:r>
        <w:rPr>
          <w:rFonts w:hint="eastAsia" w:ascii="宋体" w:hAnsi="宋体" w:eastAsia="宋体" w:cs="宋体"/>
          <w:sz w:val="24"/>
          <w:szCs w:val="24"/>
        </w:rPr>
        <w:t>8.除非依照法律规定或者采购人的书面同意，中标方均应承诺保证不向任何第三方提供或披露有关合同的或者履行合同过程中知悉的采购人任何未公开的信息和资料，包括但不限于技术情报、技术资料、秘密信息等，并采取一切合理和必要措施和方式防止任何第三方接触到采购人的上述保密信息和资料</w:t>
      </w:r>
      <w:r>
        <w:rPr>
          <w:rFonts w:hint="eastAsia" w:ascii="宋体" w:hAnsi="宋体" w:eastAsia="宋体" w:cs="宋体"/>
          <w:b/>
          <w:bCs/>
          <w:sz w:val="24"/>
          <w:szCs w:val="24"/>
        </w:rPr>
        <w:t>（以承诺函响应）</w:t>
      </w:r>
      <w:r>
        <w:rPr>
          <w:rFonts w:hint="eastAsia" w:ascii="宋体" w:hAnsi="宋体" w:eastAsia="宋体" w:cs="宋体"/>
          <w:sz w:val="24"/>
          <w:szCs w:val="24"/>
        </w:rPr>
        <w:t>。</w:t>
      </w:r>
    </w:p>
    <w:p w14:paraId="391D3638">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9.投标文件中的拟派的保安队长、副队长在中标后不得随意更换，如确需更换的，须经招标人书面同意，更换后的人员资质、资历、学历、职称、业绩、实际工作能力不低于被更换人员。否则，每次更换需向采购人支付违约金：保安队长2万元/人次，副队长1万元/人次。</w:t>
      </w:r>
    </w:p>
    <w:p w14:paraId="3AD9AD87">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未经保卫处同意，一次性更换2名以上保安队员，发现一次扣1000元；擅自外调、外借队员的。发现一人次扣500元。</w:t>
      </w:r>
    </w:p>
    <w:p w14:paraId="6416B1DE">
      <w:pPr>
        <w:spacing w:line="360" w:lineRule="auto"/>
        <w:ind w:left="437"/>
        <w:outlineLvl w:val="1"/>
        <w:rPr>
          <w:rFonts w:ascii="宋体" w:hAnsi="宋体" w:eastAsia="宋体"/>
          <w:b/>
          <w:sz w:val="24"/>
          <w:szCs w:val="18"/>
        </w:rPr>
      </w:pPr>
      <w:r>
        <w:rPr>
          <w:rFonts w:hint="eastAsia" w:ascii="宋体" w:hAnsi="宋体" w:eastAsia="宋体"/>
          <w:b/>
          <w:sz w:val="24"/>
          <w:szCs w:val="18"/>
        </w:rPr>
        <w:t>六、考核管理</w:t>
      </w:r>
    </w:p>
    <w:p w14:paraId="1800AEFF">
      <w:pPr>
        <w:spacing w:line="360" w:lineRule="auto"/>
        <w:ind w:firstLine="435"/>
        <w:rPr>
          <w:rFonts w:asciiTheme="minorEastAsia" w:hAnsiTheme="minorEastAsia" w:eastAsiaTheme="minorEastAsia"/>
          <w:b/>
          <w:sz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rPr>
        <w:t>对中标人的考核按校内考核细则执行。中标人与保卫处每月就校园安保服务情况进行汇报交流，形成书面文件《XX保安公司安徽职业技术大学保安队XXXX年X月保安服务情况》，并签字盖章存档，作为保安服务质量考评方案的重要组成部分。保卫处组织校内相关部门和二级学院师生按月度对保安服务质量进行综合考核，综合考核必须达到良好即80分以上，综合考核每低一分，扣除本月度保安服务费的0.1%，同时中标人必须进行整改；综合考核为差即低于70分视为不合格，履约期间两次月度不合格，不再续约，采购人有权追究其违约责任，中标人承担一切责任并按合同金额的1%支付违约金。</w:t>
      </w:r>
      <w:bookmarkEnd w:id="4"/>
      <w:bookmarkEnd w:id="8"/>
    </w:p>
    <w:p w14:paraId="76AE68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2162">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61C29">
                          <w:pPr>
                            <w:pStyle w:val="2"/>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B361C29">
                    <w:pPr>
                      <w:pStyle w:val="2"/>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8BF6">
    <w:pPr>
      <w:pStyle w:val="3"/>
      <w:jc w:val="left"/>
    </w:pPr>
    <w:r>
      <w:rPr>
        <w:rFonts w:hint="eastAsia" w:asciiTheme="minorEastAsia" w:hAnsiTheme="minorEastAsia" w:eastAsiaTheme="minorEastAsia"/>
      </w:rPr>
      <w:t>安徽省政府采购项目公开招标文件示范文本（服务类）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4817"/>
    <w:rsid w:val="153D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2025-11-07T08:06:00Z</dcterms:created>
  <dc:creator>安天</dc:creator>
  <cp:lastModifiedBy>安天</cp:lastModifiedBy>
  <dcterms:modified xsi:type="dcterms:W3CDTF">2025-11-07T08:06:47Z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59C787FA8BA947CBB3A1043F373F20E9_11</vt:lpwstr>
  </property>
  <property fmtid="{D5CDD505-2E9C-101B-9397-08002B2CF9AE}" pid="4" name="KSOTemplateDocerSaveRecord">
    <vt:lpwstr>eyJoZGlkIjoiZGUxNDkwOGRhYjQwY2FkYjE0ODc4ZjJiZmU0ZGQ0MDYiLCJ1c2VySWQiOiIyODkwNDAzNDUifQ==</vt:lpwstr>
  </property>
</Properties>
</file>