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9D67C">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43982FDA">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68F10689">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val="en-US" w:eastAsia="zh-CN"/>
        </w:rPr>
      </w:pPr>
      <w:bookmarkStart w:id="0" w:name="_Hlk9544796"/>
      <w:r>
        <w:rPr>
          <w:rFonts w:hint="eastAsia" w:ascii="宋体" w:hAnsi="宋体" w:eastAsia="宋体"/>
          <w:b/>
          <w:bCs/>
          <w:color w:val="auto"/>
          <w:sz w:val="52"/>
          <w:szCs w:val="52"/>
          <w:highlight w:val="none"/>
          <w:lang w:val="en-US" w:eastAsia="zh-CN"/>
        </w:rPr>
        <w:t>安徽省</w:t>
      </w:r>
      <w:r>
        <w:rPr>
          <w:rFonts w:hint="eastAsia" w:ascii="宋体" w:hAnsi="宋体" w:eastAsia="宋体"/>
          <w:b/>
          <w:bCs/>
          <w:color w:val="auto"/>
          <w:sz w:val="52"/>
          <w:szCs w:val="52"/>
          <w:highlight w:val="none"/>
        </w:rPr>
        <w:t>政府采购</w:t>
      </w:r>
      <w:r>
        <w:rPr>
          <w:rFonts w:hint="eastAsia" w:ascii="宋体" w:hAnsi="宋体" w:eastAsia="宋体"/>
          <w:b/>
          <w:bCs/>
          <w:color w:val="auto"/>
          <w:sz w:val="52"/>
          <w:szCs w:val="52"/>
          <w:highlight w:val="none"/>
          <w:lang w:eastAsia="zh-CN"/>
        </w:rPr>
        <w:t>项目</w:t>
      </w:r>
    </w:p>
    <w:p w14:paraId="2F49BA19">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rPr>
        <w:t>公开招标文件示范文本</w:t>
      </w:r>
      <w:bookmarkEnd w:id="0"/>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服务类</w:t>
      </w:r>
      <w:r>
        <w:rPr>
          <w:rFonts w:hint="eastAsia" w:ascii="宋体" w:hAnsi="宋体" w:eastAsia="宋体"/>
          <w:b/>
          <w:bCs/>
          <w:color w:val="auto"/>
          <w:sz w:val="52"/>
          <w:szCs w:val="52"/>
          <w:highlight w:val="none"/>
          <w:lang w:eastAsia="zh-CN"/>
        </w:rPr>
        <w:t>）</w:t>
      </w:r>
    </w:p>
    <w:p w14:paraId="42D000E0">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32A5CFAB">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487902DD">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50E0467B">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385FC6F5">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57E2A4CC">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lang w:val="en-US" w:eastAsia="zh-CN"/>
        </w:rPr>
        <w:t>2025年“加快培育外贸新动能 促进外贸高质量发展”专题培训项目</w:t>
      </w:r>
    </w:p>
    <w:p w14:paraId="1AE64886">
      <w:pPr>
        <w:tabs>
          <w:tab w:val="left" w:pos="2410"/>
        </w:tabs>
        <w:autoSpaceDE w:val="0"/>
        <w:autoSpaceDN w:val="0"/>
        <w:adjustRightInd w:val="0"/>
        <w:snapToGrid w:val="0"/>
        <w:spacing w:line="360" w:lineRule="auto"/>
        <w:ind w:firstLine="723" w:firstLineChars="200"/>
        <w:rPr>
          <w:rFonts w:ascii="宋体" w:hAnsi="宋体" w:eastAsia="宋体"/>
          <w:b/>
          <w:color w:val="auto"/>
          <w:spacing w:val="20"/>
          <w:kern w:val="0"/>
          <w:sz w:val="32"/>
          <w:szCs w:val="32"/>
          <w:highlight w:val="none"/>
        </w:rPr>
      </w:pPr>
      <w:r>
        <w:rPr>
          <w:rFonts w:hint="eastAsia" w:ascii="宋体" w:hAnsi="宋体" w:eastAsia="宋体"/>
          <w:b/>
          <w:color w:val="auto"/>
          <w:spacing w:val="20"/>
          <w:kern w:val="0"/>
          <w:sz w:val="32"/>
          <w:szCs w:val="32"/>
          <w:highlight w:val="none"/>
        </w:rPr>
        <w:t>项目编号：</w:t>
      </w:r>
      <w:r>
        <w:rPr>
          <w:rFonts w:hint="eastAsia" w:ascii="宋体" w:hAnsi="宋体" w:eastAsia="宋体"/>
          <w:b/>
          <w:color w:val="auto"/>
          <w:spacing w:val="20"/>
          <w:kern w:val="0"/>
          <w:sz w:val="32"/>
          <w:szCs w:val="32"/>
          <w:highlight w:val="none"/>
          <w:lang w:eastAsia="zh-CN"/>
        </w:rPr>
        <w:t>25AT186051603614</w:t>
      </w:r>
    </w:p>
    <w:p w14:paraId="7AE7A301">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lang w:eastAsia="zh-CN"/>
        </w:rPr>
      </w:pPr>
      <w:r>
        <w:rPr>
          <w:rFonts w:hint="eastAsia" w:ascii="宋体" w:hAnsi="宋体" w:eastAsia="宋体"/>
          <w:b/>
          <w:color w:val="auto"/>
          <w:spacing w:val="20"/>
          <w:kern w:val="0"/>
          <w:sz w:val="32"/>
          <w:szCs w:val="32"/>
          <w:highlight w:val="none"/>
        </w:rPr>
        <w:t>采 购 人：</w:t>
      </w:r>
      <w:r>
        <w:rPr>
          <w:rFonts w:hint="eastAsia" w:ascii="宋体" w:hAnsi="宋体" w:eastAsia="宋体" w:cs="宋体"/>
          <w:b/>
          <w:color w:val="auto"/>
          <w:spacing w:val="20"/>
          <w:kern w:val="0"/>
          <w:sz w:val="32"/>
          <w:szCs w:val="32"/>
          <w:highlight w:val="none"/>
          <w:lang w:eastAsia="zh-CN"/>
        </w:rPr>
        <w:t>安徽省商务厅</w:t>
      </w:r>
    </w:p>
    <w:p w14:paraId="54531513">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采购代理机构：</w:t>
      </w:r>
      <w:r>
        <w:rPr>
          <w:rFonts w:hint="eastAsia" w:ascii="宋体" w:hAnsi="宋体" w:eastAsia="宋体" w:cs="宋体"/>
          <w:b/>
          <w:color w:val="auto"/>
          <w:spacing w:val="20"/>
          <w:kern w:val="0"/>
          <w:sz w:val="32"/>
          <w:szCs w:val="32"/>
          <w:highlight w:val="none"/>
        </w:rPr>
        <w:t>安徽安天利信工程管理股份有限公司</w:t>
      </w:r>
    </w:p>
    <w:p w14:paraId="2545D4FA">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444290E7">
      <w:pPr>
        <w:tabs>
          <w:tab w:val="left" w:pos="2410"/>
        </w:tabs>
        <w:autoSpaceDE w:val="0"/>
        <w:autoSpaceDN w:val="0"/>
        <w:adjustRightInd w:val="0"/>
        <w:snapToGrid w:val="0"/>
        <w:spacing w:line="360" w:lineRule="auto"/>
        <w:jc w:val="center"/>
        <w:rPr>
          <w:rFonts w:hint="eastAsia" w:ascii="宋体" w:hAnsi="宋体" w:eastAsia="宋体"/>
          <w:b/>
          <w:color w:val="auto"/>
          <w:sz w:val="36"/>
          <w:highlight w:val="none"/>
        </w:rPr>
      </w:pPr>
      <w:r>
        <w:rPr>
          <w:rFonts w:hint="eastAsia" w:ascii="宋体" w:hAnsi="宋体" w:eastAsia="宋体"/>
          <w:b/>
          <w:color w:val="auto"/>
          <w:sz w:val="36"/>
          <w:highlight w:val="none"/>
          <w:u w:val="none"/>
          <w:lang w:val="en-US" w:eastAsia="zh-CN"/>
        </w:rPr>
        <w:t>2025</w:t>
      </w:r>
      <w:r>
        <w:rPr>
          <w:rFonts w:hint="eastAsia" w:ascii="宋体" w:hAnsi="宋体" w:eastAsia="宋体"/>
          <w:b/>
          <w:color w:val="auto"/>
          <w:sz w:val="36"/>
          <w:highlight w:val="none"/>
        </w:rPr>
        <w:t>年</w:t>
      </w:r>
      <w:r>
        <w:rPr>
          <w:rFonts w:hint="eastAsia" w:ascii="宋体" w:hAnsi="宋体" w:eastAsia="宋体"/>
          <w:b/>
          <w:color w:val="auto"/>
          <w:sz w:val="36"/>
          <w:highlight w:val="none"/>
          <w:lang w:val="en-US" w:eastAsia="zh-CN"/>
        </w:rPr>
        <w:t>5</w:t>
      </w:r>
      <w:r>
        <w:rPr>
          <w:rFonts w:hint="eastAsia" w:ascii="宋体" w:hAnsi="宋体" w:eastAsia="宋体"/>
          <w:b/>
          <w:color w:val="auto"/>
          <w:sz w:val="36"/>
          <w:highlight w:val="none"/>
        </w:rPr>
        <w:t>月</w:t>
      </w:r>
    </w:p>
    <w:p w14:paraId="63B408CD">
      <w:pPr>
        <w:tabs>
          <w:tab w:val="left" w:pos="2410"/>
        </w:tabs>
        <w:autoSpaceDE w:val="0"/>
        <w:autoSpaceDN w:val="0"/>
        <w:adjustRightInd w:val="0"/>
        <w:snapToGrid w:val="0"/>
        <w:spacing w:line="360" w:lineRule="auto"/>
        <w:jc w:val="center"/>
        <w:rPr>
          <w:rFonts w:ascii="宋体" w:hAnsi="宋体" w:eastAsia="宋体"/>
          <w:b/>
          <w:color w:val="auto"/>
          <w:sz w:val="36"/>
          <w:highlight w:val="none"/>
        </w:rPr>
      </w:pPr>
      <w:r>
        <w:rPr>
          <w:rFonts w:ascii="宋体" w:hAnsi="宋体" w:eastAsia="宋体"/>
          <w:b/>
          <w:color w:val="auto"/>
          <w:sz w:val="36"/>
          <w:highlight w:val="none"/>
        </w:rPr>
        <w:br w:type="page"/>
      </w:r>
    </w:p>
    <w:p w14:paraId="4FD2B114">
      <w:pPr>
        <w:rPr>
          <w:rFonts w:hint="eastAsia" w:ascii="宋体" w:hAnsi="宋体" w:eastAsia="宋体"/>
          <w:b/>
          <w:color w:val="auto"/>
          <w:sz w:val="28"/>
          <w:highlight w:val="none"/>
        </w:rPr>
      </w:pPr>
    </w:p>
    <w:p w14:paraId="5318F7B4">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6F44DD3B">
      <w:pPr>
        <w:pStyle w:val="16"/>
        <w:tabs>
          <w:tab w:val="right" w:leader="dot" w:pos="8306"/>
        </w:tabs>
      </w:pPr>
      <w:r>
        <w:rPr>
          <w:rFonts w:asciiTheme="minorEastAsia" w:hAnsiTheme="minorEastAsia"/>
          <w:b/>
          <w:color w:val="auto"/>
          <w:sz w:val="24"/>
          <w:szCs w:val="24"/>
          <w:highlight w:val="none"/>
        </w:rPr>
        <w:fldChar w:fldCharType="begin"/>
      </w:r>
      <w:r>
        <w:rPr>
          <w:rFonts w:asciiTheme="minorEastAsia" w:hAnsiTheme="minorEastAsia"/>
          <w:b/>
          <w:color w:val="auto"/>
          <w:sz w:val="24"/>
          <w:szCs w:val="24"/>
          <w:highlight w:val="none"/>
        </w:rPr>
        <w:instrText xml:space="preserve"> </w:instrText>
      </w:r>
      <w:r>
        <w:rPr>
          <w:rFonts w:hint="eastAsia" w:asciiTheme="minorEastAsia" w:hAnsiTheme="minorEastAsia"/>
          <w:b/>
          <w:color w:val="auto"/>
          <w:sz w:val="24"/>
          <w:szCs w:val="24"/>
          <w:highlight w:val="none"/>
        </w:rPr>
        <w:instrText xml:space="preserve">TOC \o "1-2" \h \z \u</w:instrText>
      </w:r>
      <w:r>
        <w:rPr>
          <w:rFonts w:asciiTheme="minorEastAsia" w:hAnsiTheme="minorEastAsia"/>
          <w:b/>
          <w:color w:val="auto"/>
          <w:sz w:val="24"/>
          <w:szCs w:val="24"/>
          <w:highlight w:val="none"/>
        </w:rPr>
        <w:instrText xml:space="preserve"> </w:instrText>
      </w:r>
      <w:r>
        <w:rPr>
          <w:rFonts w:asciiTheme="minorEastAsia" w:hAnsiTheme="minorEastAsia"/>
          <w:b/>
          <w:color w:val="auto"/>
          <w:sz w:val="24"/>
          <w:szCs w:val="24"/>
          <w:highlight w:val="none"/>
        </w:rPr>
        <w:fldChar w:fldCharType="separate"/>
      </w:r>
      <w:r>
        <w:rPr>
          <w:rFonts w:asciiTheme="minorEastAsia" w:hAnsiTheme="minorEastAsia"/>
          <w:color w:val="auto"/>
          <w:szCs w:val="24"/>
          <w:highlight w:val="none"/>
        </w:rPr>
        <w:fldChar w:fldCharType="begin"/>
      </w:r>
      <w:r>
        <w:rPr>
          <w:rFonts w:asciiTheme="minorEastAsia" w:hAnsiTheme="minorEastAsia"/>
          <w:szCs w:val="24"/>
          <w:highlight w:val="none"/>
        </w:rPr>
        <w:instrText xml:space="preserve"> HYPERLINK \l _Toc11562 </w:instrText>
      </w:r>
      <w:r>
        <w:rPr>
          <w:rFonts w:asciiTheme="minorEastAsia" w:hAnsiTheme="minorEastAsia"/>
          <w:szCs w:val="24"/>
          <w:highlight w:val="none"/>
        </w:rPr>
        <w:fldChar w:fldCharType="separate"/>
      </w:r>
      <w:r>
        <w:rPr>
          <w:rFonts w:hint="eastAsia" w:asciiTheme="minorEastAsia" w:hAnsiTheme="minorEastAsia" w:eastAsiaTheme="minorEastAsia"/>
          <w:highlight w:val="none"/>
        </w:rPr>
        <w:t xml:space="preserve">第一章 </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lang w:val="en-US" w:eastAsia="zh-CN"/>
        </w:rPr>
        <w:t>公开招标公告</w:t>
      </w:r>
      <w:r>
        <w:tab/>
      </w:r>
      <w:r>
        <w:fldChar w:fldCharType="begin"/>
      </w:r>
      <w:r>
        <w:instrText xml:space="preserve"> PAGEREF _Toc11562 \h </w:instrText>
      </w:r>
      <w:r>
        <w:fldChar w:fldCharType="separate"/>
      </w:r>
      <w:r>
        <w:t>3</w:t>
      </w:r>
      <w:r>
        <w:fldChar w:fldCharType="end"/>
      </w:r>
      <w:r>
        <w:rPr>
          <w:rFonts w:asciiTheme="minorEastAsia" w:hAnsiTheme="minorEastAsia"/>
          <w:color w:val="auto"/>
          <w:szCs w:val="24"/>
          <w:highlight w:val="none"/>
        </w:rPr>
        <w:fldChar w:fldCharType="end"/>
      </w:r>
    </w:p>
    <w:p w14:paraId="0490FCC5">
      <w:pPr>
        <w:pStyle w:val="16"/>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_Toc19600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第二章</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 xml:space="preserve"> </w:t>
      </w:r>
      <w:r>
        <w:rPr>
          <w:rFonts w:asciiTheme="minorEastAsia" w:hAnsiTheme="minorEastAsia" w:eastAsiaTheme="minorEastAsia"/>
          <w:highlight w:val="none"/>
        </w:rPr>
        <w:t>投标人须知</w:t>
      </w:r>
      <w:r>
        <w:tab/>
      </w:r>
      <w:r>
        <w:fldChar w:fldCharType="begin"/>
      </w:r>
      <w:r>
        <w:instrText xml:space="preserve"> PAGEREF _Toc19600 \h </w:instrText>
      </w:r>
      <w:r>
        <w:fldChar w:fldCharType="separate"/>
      </w:r>
      <w:r>
        <w:t>5</w:t>
      </w:r>
      <w:r>
        <w:fldChar w:fldCharType="end"/>
      </w:r>
      <w:r>
        <w:rPr>
          <w:rFonts w:asciiTheme="minorEastAsia" w:hAnsiTheme="minorEastAsia" w:eastAsiaTheme="minorEastAsia"/>
          <w:color w:val="auto"/>
          <w:szCs w:val="24"/>
          <w:highlight w:val="none"/>
        </w:rPr>
        <w:fldChar w:fldCharType="end"/>
      </w:r>
    </w:p>
    <w:p w14:paraId="40E7B558">
      <w:pPr>
        <w:pStyle w:val="16"/>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_Toc7672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lang w:eastAsia="zh-CN"/>
        </w:rPr>
        <w:t xml:space="preserve">第三章 </w:t>
      </w:r>
      <w:r>
        <w:rPr>
          <w:rFonts w:hint="eastAsia" w:asciiTheme="minorEastAsia" w:hAnsiTheme="minorEastAsia" w:eastAsiaTheme="minorEastAsia"/>
          <w:highlight w:val="none"/>
        </w:rPr>
        <w:t>采购需求</w:t>
      </w:r>
      <w:r>
        <w:tab/>
      </w:r>
      <w:r>
        <w:fldChar w:fldCharType="begin"/>
      </w:r>
      <w:r>
        <w:instrText xml:space="preserve"> PAGEREF _Toc7672 \h </w:instrText>
      </w:r>
      <w:r>
        <w:fldChar w:fldCharType="separate"/>
      </w:r>
      <w:r>
        <w:t>21</w:t>
      </w:r>
      <w:r>
        <w:fldChar w:fldCharType="end"/>
      </w:r>
      <w:r>
        <w:rPr>
          <w:rFonts w:asciiTheme="minorEastAsia" w:hAnsiTheme="minorEastAsia" w:eastAsiaTheme="minorEastAsia"/>
          <w:color w:val="auto"/>
          <w:szCs w:val="24"/>
          <w:highlight w:val="none"/>
        </w:rPr>
        <w:fldChar w:fldCharType="end"/>
      </w:r>
    </w:p>
    <w:p w14:paraId="2B32AA7D">
      <w:pPr>
        <w:pStyle w:val="16"/>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_Toc24436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第四章  评标方法和标准（综合评分法）</w:t>
      </w:r>
      <w:r>
        <w:tab/>
      </w:r>
      <w:r>
        <w:fldChar w:fldCharType="begin"/>
      </w:r>
      <w:r>
        <w:instrText xml:space="preserve"> PAGEREF _Toc24436 \h </w:instrText>
      </w:r>
      <w:r>
        <w:fldChar w:fldCharType="separate"/>
      </w:r>
      <w:r>
        <w:t>27</w:t>
      </w:r>
      <w:r>
        <w:fldChar w:fldCharType="end"/>
      </w:r>
      <w:r>
        <w:rPr>
          <w:rFonts w:asciiTheme="minorEastAsia" w:hAnsiTheme="minorEastAsia" w:eastAsiaTheme="minorEastAsia"/>
          <w:color w:val="auto"/>
          <w:szCs w:val="24"/>
          <w:highlight w:val="none"/>
        </w:rPr>
        <w:fldChar w:fldCharType="end"/>
      </w:r>
    </w:p>
    <w:p w14:paraId="5DB12F7B">
      <w:pPr>
        <w:pStyle w:val="16"/>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_Toc25840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 xml:space="preserve">第五章  </w:t>
      </w:r>
      <w:r>
        <w:rPr>
          <w:rFonts w:asciiTheme="minorEastAsia" w:hAnsiTheme="minorEastAsia" w:eastAsiaTheme="minorEastAsia"/>
          <w:highlight w:val="none"/>
        </w:rPr>
        <w:t>政府采购合同</w:t>
      </w:r>
      <w:r>
        <w:tab/>
      </w:r>
      <w:r>
        <w:fldChar w:fldCharType="begin"/>
      </w:r>
      <w:r>
        <w:instrText xml:space="preserve"> PAGEREF _Toc25840 \h </w:instrText>
      </w:r>
      <w:r>
        <w:fldChar w:fldCharType="separate"/>
      </w:r>
      <w:r>
        <w:t>35</w:t>
      </w:r>
      <w:r>
        <w:fldChar w:fldCharType="end"/>
      </w:r>
      <w:r>
        <w:rPr>
          <w:rFonts w:asciiTheme="minorEastAsia" w:hAnsiTheme="minorEastAsia" w:eastAsiaTheme="minorEastAsia"/>
          <w:color w:val="auto"/>
          <w:szCs w:val="24"/>
          <w:highlight w:val="none"/>
        </w:rPr>
        <w:fldChar w:fldCharType="end"/>
      </w:r>
    </w:p>
    <w:p w14:paraId="3B750D91">
      <w:pPr>
        <w:pStyle w:val="16"/>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_Toc1406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第六章  投标文件格式</w:t>
      </w:r>
      <w:r>
        <w:tab/>
      </w:r>
      <w:r>
        <w:fldChar w:fldCharType="begin"/>
      </w:r>
      <w:r>
        <w:instrText xml:space="preserve"> PAGEREF _Toc1406 \h </w:instrText>
      </w:r>
      <w:r>
        <w:fldChar w:fldCharType="separate"/>
      </w:r>
      <w:r>
        <w:t>48</w:t>
      </w:r>
      <w:r>
        <w:fldChar w:fldCharType="end"/>
      </w:r>
      <w:r>
        <w:rPr>
          <w:rFonts w:asciiTheme="minorEastAsia" w:hAnsiTheme="minorEastAsia" w:eastAsiaTheme="minorEastAsia"/>
          <w:color w:val="auto"/>
          <w:szCs w:val="24"/>
          <w:highlight w:val="none"/>
        </w:rPr>
        <w:fldChar w:fldCharType="end"/>
      </w:r>
    </w:p>
    <w:p w14:paraId="0F1A47D1">
      <w:pPr>
        <w:pStyle w:val="16"/>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_Toc10737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第</w:t>
      </w:r>
      <w:r>
        <w:rPr>
          <w:rFonts w:hint="eastAsia" w:asciiTheme="minorEastAsia" w:hAnsiTheme="minorEastAsia" w:eastAsiaTheme="minorEastAsia"/>
          <w:highlight w:val="none"/>
          <w:lang w:val="en-US" w:eastAsia="zh-CN"/>
        </w:rPr>
        <w:t>七</w:t>
      </w:r>
      <w:r>
        <w:rPr>
          <w:rFonts w:hint="eastAsia" w:asciiTheme="minorEastAsia" w:hAnsiTheme="minorEastAsia" w:eastAsiaTheme="minorEastAsia"/>
          <w:highlight w:val="none"/>
        </w:rPr>
        <w:t>章</w:t>
      </w:r>
      <w:r>
        <w:rPr>
          <w:rFonts w:hint="eastAsia" w:ascii="宋体" w:hAnsi="宋体" w:eastAsia="宋体"/>
          <w:bCs/>
          <w:highlight w:val="none"/>
        </w:rPr>
        <w:t xml:space="preserve">  政府采购</w:t>
      </w:r>
      <w:r>
        <w:rPr>
          <w:rFonts w:hint="eastAsia" w:asciiTheme="minorEastAsia" w:hAnsiTheme="minorEastAsia" w:eastAsiaTheme="minorEastAsia"/>
          <w:highlight w:val="none"/>
        </w:rPr>
        <w:t>供应</w:t>
      </w:r>
      <w:r>
        <w:rPr>
          <w:rFonts w:hint="eastAsia" w:ascii="宋体" w:hAnsi="宋体" w:eastAsia="宋体"/>
          <w:bCs/>
          <w:highlight w:val="none"/>
        </w:rPr>
        <w:t>商询问函和质疑函范本</w:t>
      </w:r>
      <w:r>
        <w:tab/>
      </w:r>
      <w:r>
        <w:fldChar w:fldCharType="begin"/>
      </w:r>
      <w:r>
        <w:instrText xml:space="preserve"> PAGEREF _Toc10737 \h </w:instrText>
      </w:r>
      <w:r>
        <w:fldChar w:fldCharType="separate"/>
      </w:r>
      <w:r>
        <w:t>61</w:t>
      </w:r>
      <w:r>
        <w:fldChar w:fldCharType="end"/>
      </w:r>
      <w:r>
        <w:rPr>
          <w:rFonts w:asciiTheme="minorEastAsia" w:hAnsiTheme="minorEastAsia" w:eastAsiaTheme="minorEastAsia"/>
          <w:color w:val="auto"/>
          <w:szCs w:val="24"/>
          <w:highlight w:val="none"/>
        </w:rPr>
        <w:fldChar w:fldCharType="end"/>
      </w:r>
    </w:p>
    <w:p w14:paraId="35CF1DD1">
      <w:pPr>
        <w:pStyle w:val="16"/>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_Toc21596 </w:instrText>
      </w:r>
      <w:r>
        <w:rPr>
          <w:rFonts w:asciiTheme="minorEastAsia" w:hAnsiTheme="minorEastAsia" w:eastAsiaTheme="minorEastAsia"/>
          <w:szCs w:val="24"/>
          <w:highlight w:val="none"/>
        </w:rPr>
        <w:fldChar w:fldCharType="separate"/>
      </w:r>
      <w:r>
        <w:rPr>
          <w:rFonts w:hint="eastAsia" w:ascii="宋体" w:hAnsi="宋体" w:eastAsia="宋体"/>
          <w:bCs/>
          <w:highlight w:val="none"/>
          <w:lang w:val="en-US" w:eastAsia="zh-CN"/>
        </w:rPr>
        <w:t>第八章  安天智采全流程电子招投标注意事项</w:t>
      </w:r>
      <w:r>
        <w:tab/>
      </w:r>
      <w:r>
        <w:fldChar w:fldCharType="begin"/>
      </w:r>
      <w:r>
        <w:instrText xml:space="preserve"> PAGEREF _Toc21596 \h </w:instrText>
      </w:r>
      <w:r>
        <w:fldChar w:fldCharType="separate"/>
      </w:r>
      <w:r>
        <w:t>64</w:t>
      </w:r>
      <w:r>
        <w:fldChar w:fldCharType="end"/>
      </w:r>
      <w:r>
        <w:rPr>
          <w:rFonts w:asciiTheme="minorEastAsia" w:hAnsiTheme="minorEastAsia" w:eastAsiaTheme="minorEastAsia"/>
          <w:color w:val="auto"/>
          <w:szCs w:val="24"/>
          <w:highlight w:val="none"/>
        </w:rPr>
        <w:fldChar w:fldCharType="end"/>
      </w:r>
    </w:p>
    <w:p w14:paraId="3DD49EB9">
      <w:pPr>
        <w:pStyle w:val="17"/>
        <w:tabs>
          <w:tab w:val="right" w:leader="dot" w:pos="8306"/>
        </w:tabs>
      </w:pPr>
    </w:p>
    <w:p w14:paraId="6956DAC1">
      <w:pPr>
        <w:spacing w:line="360" w:lineRule="auto"/>
        <w:rPr>
          <w:rFonts w:asciiTheme="minorEastAsia" w:hAnsiTheme="minorEastAsia" w:eastAsiaTheme="minorEastAsia"/>
          <w:b/>
          <w:color w:val="auto"/>
          <w:sz w:val="32"/>
          <w:highlight w:val="none"/>
        </w:rPr>
      </w:pPr>
      <w:r>
        <w:rPr>
          <w:rFonts w:asciiTheme="minorEastAsia" w:hAnsiTheme="minorEastAsia" w:eastAsiaTheme="minorEastAsia"/>
          <w:color w:val="auto"/>
          <w:szCs w:val="24"/>
          <w:highlight w:val="none"/>
        </w:rPr>
        <w:fldChar w:fldCharType="end"/>
      </w:r>
    </w:p>
    <w:p w14:paraId="22519B7D">
      <w:pPr>
        <w:spacing w:line="360" w:lineRule="auto"/>
        <w:jc w:val="center"/>
        <w:outlineLvl w:val="1"/>
        <w:rPr>
          <w:rFonts w:asciiTheme="minorEastAsia" w:hAnsiTheme="minorEastAsia" w:eastAsiaTheme="minorEastAsia"/>
          <w:b/>
          <w:color w:val="auto"/>
          <w:sz w:val="28"/>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247D8CD7">
      <w:pPr>
        <w:spacing w:line="360" w:lineRule="auto"/>
        <w:jc w:val="center"/>
        <w:outlineLvl w:val="0"/>
        <w:rPr>
          <w:rFonts w:hint="default" w:asciiTheme="minorEastAsia" w:hAnsiTheme="minorEastAsia" w:eastAsiaTheme="minorEastAsia"/>
          <w:b/>
          <w:color w:val="auto"/>
          <w:sz w:val="28"/>
          <w:highlight w:val="none"/>
          <w:lang w:val="en-US" w:eastAsia="zh-CN"/>
        </w:rPr>
      </w:pPr>
      <w:bookmarkStart w:id="1" w:name="_Toc11562"/>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lang w:val="en-US" w:eastAsia="zh-CN"/>
        </w:rPr>
        <w:t>公开招标公告</w:t>
      </w:r>
      <w:bookmarkEnd w:id="1"/>
    </w:p>
    <w:p w14:paraId="527A935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6652479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2025年“加快培育外贸新动能 促进外贸高质量发展”专题培训项目</w:t>
      </w:r>
      <w:r>
        <w:rPr>
          <w:rFonts w:hint="eastAsia" w:ascii="宋体" w:hAnsi="宋体" w:eastAsia="宋体" w:cs="宋体"/>
          <w:color w:val="auto"/>
          <w:sz w:val="24"/>
          <w:szCs w:val="24"/>
          <w:highlight w:val="none"/>
        </w:rPr>
        <w:t>的潜在供应商应在</w:t>
      </w:r>
      <w:r>
        <w:rPr>
          <w:rFonts w:hint="eastAsia" w:ascii="宋体" w:hAnsi="宋体" w:eastAsia="宋体" w:cs="宋体"/>
          <w:color w:val="auto"/>
          <w:sz w:val="24"/>
          <w:szCs w:val="24"/>
          <w:highlight w:val="none"/>
          <w:lang w:eastAsia="zh-CN"/>
        </w:rPr>
        <w:t>安天智采招标采购电子交易系统</w:t>
      </w:r>
      <w:r>
        <w:rPr>
          <w:rFonts w:hint="eastAsia" w:ascii="宋体" w:hAnsi="宋体" w:eastAsia="宋体" w:cs="宋体"/>
          <w:color w:val="auto"/>
          <w:sz w:val="24"/>
          <w:szCs w:val="24"/>
          <w:highlight w:val="none"/>
        </w:rPr>
        <w:t>（www.xinecai.com）获取采购文件，并于</w:t>
      </w:r>
      <w:r>
        <w:rPr>
          <w:rFonts w:hint="eastAsia" w:ascii="宋体" w:hAnsi="宋体" w:eastAsia="宋体" w:cs="宋体"/>
          <w:color w:val="auto"/>
          <w:sz w:val="24"/>
          <w:szCs w:val="24"/>
          <w:highlight w:val="none"/>
          <w:u w:val="single"/>
          <w:lang w:val="en-US" w:eastAsia="zh-CN"/>
        </w:rPr>
        <w:t>2025年6月20日09点30分</w:t>
      </w:r>
      <w:r>
        <w:rPr>
          <w:rFonts w:hint="eastAsia" w:ascii="宋体" w:hAnsi="宋体" w:eastAsia="宋体" w:cs="宋体"/>
          <w:bCs/>
          <w:color w:val="auto"/>
          <w:sz w:val="24"/>
          <w:szCs w:val="24"/>
          <w:highlight w:val="none"/>
        </w:rPr>
        <w:t>（北京时间）前提交</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color w:val="auto"/>
          <w:sz w:val="24"/>
          <w:szCs w:val="24"/>
          <w:highlight w:val="none"/>
        </w:rPr>
        <w:t>。</w:t>
      </w:r>
    </w:p>
    <w:p w14:paraId="07C79F59">
      <w:pPr>
        <w:pStyle w:val="4"/>
        <w:pageBreakBefore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val="0"/>
          <w:color w:val="auto"/>
          <w:sz w:val="24"/>
          <w:szCs w:val="24"/>
          <w:highlight w:val="none"/>
        </w:rPr>
      </w:pPr>
      <w:bookmarkStart w:id="2" w:name="_Toc28077"/>
      <w:bookmarkStart w:id="3" w:name="_Toc24714"/>
      <w:r>
        <w:rPr>
          <w:rFonts w:hint="eastAsia" w:ascii="宋体" w:hAnsi="宋体" w:eastAsia="宋体" w:cs="宋体"/>
          <w:b w:val="0"/>
          <w:color w:val="auto"/>
          <w:sz w:val="24"/>
          <w:szCs w:val="24"/>
          <w:highlight w:val="none"/>
        </w:rPr>
        <w:t>一、项目基本情况</w:t>
      </w:r>
      <w:bookmarkEnd w:id="2"/>
      <w:bookmarkEnd w:id="3"/>
    </w:p>
    <w:p w14:paraId="1A95AC83">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25AT186051603614</w:t>
      </w:r>
    </w:p>
    <w:p w14:paraId="17AB80A9">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2025年“加快培育外贸新动能 促进外贸高质量发展”专题培训项目</w:t>
      </w:r>
    </w:p>
    <w:p w14:paraId="459AF5F0">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采购方式：</w:t>
      </w:r>
      <w:r>
        <w:rPr>
          <w:rFonts w:hint="eastAsia" w:ascii="宋体" w:hAnsi="宋体" w:eastAsia="宋体" w:cs="宋体"/>
          <w:b w:val="0"/>
          <w:bCs w:val="0"/>
          <w:color w:val="auto"/>
          <w:sz w:val="24"/>
          <w:szCs w:val="24"/>
          <w:highlight w:val="none"/>
          <w:lang w:val="en-US" w:eastAsia="zh-CN"/>
        </w:rPr>
        <w:t>公开招标</w:t>
      </w:r>
    </w:p>
    <w:p w14:paraId="01D3020C">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920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900</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元</w:t>
      </w:r>
    </w:p>
    <w:p w14:paraId="4E8CB967">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最高限价（如有）：1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920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900</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元</w:t>
      </w:r>
    </w:p>
    <w:p w14:paraId="07CA017F">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楷体_GB2312" w:cs="宋体"/>
          <w:color w:val="auto"/>
          <w:sz w:val="24"/>
          <w:szCs w:val="24"/>
          <w:highlight w:val="none"/>
          <w:lang w:val="en-US" w:eastAsia="zh-CN"/>
        </w:rPr>
      </w:pPr>
      <w:r>
        <w:rPr>
          <w:rFonts w:hint="eastAsia" w:ascii="宋体" w:hAnsi="宋体" w:eastAsia="宋体" w:cs="宋体"/>
          <w:color w:val="auto"/>
          <w:sz w:val="24"/>
          <w:szCs w:val="24"/>
          <w:highlight w:val="none"/>
        </w:rPr>
        <w:t>采购需求：为全面落实省委、省政府关于推进外贸高质量发展部署，支持企业开拓多元化国际化市场，打造高素质外贸人才队伍，提升外贸发展新动能，拟针对中小外贸企业和意向从事进出口的其他企业，组织开展2025年“加快培育外贸新动能 促进外贸高质量发展”专题培训,具体详见采购需求。</w:t>
      </w:r>
    </w:p>
    <w:p w14:paraId="66880FB2">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合同履行期限：合同签订之日起至2025年1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月底，详见采购需求。</w:t>
      </w:r>
    </w:p>
    <w:p w14:paraId="2D9CF139">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接受联合体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否</w:t>
      </w:r>
      <w:r>
        <w:rPr>
          <w:rFonts w:hint="eastAsia" w:ascii="宋体" w:hAnsi="宋体" w:eastAsia="宋体" w:cs="宋体"/>
          <w:color w:val="auto"/>
          <w:sz w:val="24"/>
          <w:szCs w:val="24"/>
          <w:highlight w:val="none"/>
        </w:rPr>
        <w:t>。</w:t>
      </w:r>
    </w:p>
    <w:p w14:paraId="1593E1D7">
      <w:pPr>
        <w:pStyle w:val="4"/>
        <w:pageBreakBefore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val="0"/>
          <w:color w:val="auto"/>
          <w:sz w:val="24"/>
          <w:szCs w:val="24"/>
          <w:highlight w:val="none"/>
        </w:rPr>
      </w:pPr>
      <w:bookmarkStart w:id="4" w:name="_Toc7781"/>
      <w:bookmarkStart w:id="5" w:name="_Toc7764"/>
      <w:r>
        <w:rPr>
          <w:rFonts w:hint="eastAsia" w:ascii="宋体" w:hAnsi="宋体" w:eastAsia="宋体" w:cs="宋体"/>
          <w:b w:val="0"/>
          <w:color w:val="auto"/>
          <w:sz w:val="24"/>
          <w:szCs w:val="24"/>
          <w:highlight w:val="none"/>
        </w:rPr>
        <w:t>二、申请人的资格要求</w:t>
      </w:r>
      <w:bookmarkEnd w:id="4"/>
      <w:bookmarkEnd w:id="5"/>
    </w:p>
    <w:p w14:paraId="66EC0930">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3AB7E4FF">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2.落实政府采购政策需满足的资格要求：本项目为专门面向中小企业采购的项目，服务由中小微企业承接；</w:t>
      </w:r>
    </w:p>
    <w:p w14:paraId="09899719">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iCs/>
          <w:color w:val="auto"/>
          <w:sz w:val="24"/>
          <w:szCs w:val="24"/>
          <w:highlight w:val="none"/>
          <w:u w:val="single"/>
          <w:lang w:eastAsia="zh-CN"/>
        </w:rPr>
      </w:pPr>
      <w:r>
        <w:rPr>
          <w:rFonts w:hint="eastAsia" w:ascii="宋体" w:hAnsi="宋体" w:eastAsia="宋体" w:cs="宋体"/>
          <w:color w:val="auto"/>
          <w:sz w:val="24"/>
          <w:szCs w:val="24"/>
          <w:highlight w:val="none"/>
        </w:rPr>
        <w:t>3.本项目的特定资格要求：</w:t>
      </w:r>
      <w:r>
        <w:rPr>
          <w:rFonts w:hint="eastAsia" w:asciiTheme="minorEastAsia" w:hAnsiTheme="minorEastAsia" w:eastAsiaTheme="minorEastAsia"/>
          <w:color w:val="auto"/>
          <w:sz w:val="24"/>
          <w:highlight w:val="none"/>
          <w:u w:val="single"/>
          <w:lang w:val="en-US" w:eastAsia="zh-CN"/>
        </w:rPr>
        <w:t>无</w:t>
      </w:r>
    </w:p>
    <w:p w14:paraId="7FDFCD55">
      <w:pPr>
        <w:pStyle w:val="4"/>
        <w:pageBreakBefore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val="0"/>
          <w:color w:val="auto"/>
          <w:sz w:val="24"/>
          <w:szCs w:val="24"/>
          <w:highlight w:val="none"/>
        </w:rPr>
      </w:pPr>
      <w:bookmarkStart w:id="6" w:name="_Toc25443"/>
      <w:bookmarkStart w:id="7" w:name="_Toc2950"/>
      <w:r>
        <w:rPr>
          <w:rFonts w:hint="eastAsia" w:ascii="宋体" w:hAnsi="宋体" w:eastAsia="宋体" w:cs="宋体"/>
          <w:b w:val="0"/>
          <w:color w:val="auto"/>
          <w:sz w:val="24"/>
          <w:szCs w:val="24"/>
          <w:highlight w:val="none"/>
        </w:rPr>
        <w:t>三、获取采购文件</w:t>
      </w:r>
      <w:bookmarkEnd w:id="6"/>
      <w:bookmarkEnd w:id="7"/>
    </w:p>
    <w:p w14:paraId="42D08451">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val="en-US" w:eastAsia="zh-CN"/>
        </w:rPr>
        <w:t>2025年5月30日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val="en-US" w:eastAsia="zh-CN"/>
        </w:rPr>
        <w:t>2025年6月9日</w:t>
      </w:r>
      <w:r>
        <w:rPr>
          <w:rFonts w:hint="eastAsia" w:ascii="宋体" w:hAnsi="宋体" w:eastAsia="宋体" w:cs="宋体"/>
          <w:color w:val="auto"/>
          <w:sz w:val="24"/>
          <w:szCs w:val="24"/>
          <w:highlight w:val="none"/>
        </w:rPr>
        <w:t>，每天上午</w:t>
      </w:r>
      <w:r>
        <w:rPr>
          <w:rFonts w:hint="eastAsia" w:ascii="宋体" w:hAnsi="宋体" w:eastAsia="宋体" w:cs="宋体"/>
          <w:color w:val="auto"/>
          <w:sz w:val="24"/>
          <w:szCs w:val="24"/>
          <w:highlight w:val="none"/>
          <w:u w:val="single"/>
        </w:rPr>
        <w:t>09：00</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val="en-US" w:eastAsia="zh-CN"/>
        </w:rPr>
        <w:t>12:00</w:t>
      </w:r>
      <w:r>
        <w:rPr>
          <w:rFonts w:hint="eastAsia" w:ascii="宋体" w:hAnsi="宋体" w:eastAsia="宋体" w:cs="宋体"/>
          <w:color w:val="auto"/>
          <w:sz w:val="24"/>
          <w:szCs w:val="24"/>
          <w:highlight w:val="none"/>
        </w:rPr>
        <w:t>，下午</w:t>
      </w:r>
      <w:r>
        <w:rPr>
          <w:rFonts w:hint="eastAsia" w:ascii="宋体" w:hAnsi="宋体" w:eastAsia="宋体" w:cs="宋体"/>
          <w:color w:val="auto"/>
          <w:sz w:val="24"/>
          <w:szCs w:val="24"/>
          <w:highlight w:val="none"/>
          <w:u w:val="single"/>
          <w:lang w:val="en-US" w:eastAsia="zh-CN"/>
        </w:rPr>
        <w:t>12:00</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val="en-US" w:eastAsia="zh-CN"/>
        </w:rPr>
        <w:t>17:00</w:t>
      </w:r>
      <w:r>
        <w:rPr>
          <w:rFonts w:hint="eastAsia" w:ascii="宋体" w:hAnsi="宋体" w:eastAsia="宋体" w:cs="宋体"/>
          <w:color w:val="auto"/>
          <w:sz w:val="24"/>
          <w:szCs w:val="24"/>
          <w:highlight w:val="none"/>
        </w:rPr>
        <w:t>（北京时间，法定节假日除外 ）</w:t>
      </w:r>
    </w:p>
    <w:p w14:paraId="75086F57">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安天智采招标采购电子交易系统</w:t>
      </w:r>
      <w:r>
        <w:rPr>
          <w:rFonts w:hint="eastAsia" w:ascii="宋体" w:hAnsi="宋体" w:eastAsia="宋体" w:cs="宋体"/>
          <w:color w:val="auto"/>
          <w:sz w:val="24"/>
          <w:szCs w:val="24"/>
          <w:highlight w:val="none"/>
        </w:rPr>
        <w:t>（www.xinecai.com）</w:t>
      </w:r>
    </w:p>
    <w:p w14:paraId="01AEFB5B">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方式：网上获取。具体操作参见</w:t>
      </w:r>
      <w:r>
        <w:rPr>
          <w:rFonts w:hint="eastAsia" w:ascii="宋体" w:hAnsi="宋体" w:eastAsia="宋体" w:cs="宋体"/>
          <w:color w:val="auto"/>
          <w:sz w:val="24"/>
          <w:szCs w:val="24"/>
          <w:highlight w:val="none"/>
          <w:lang w:eastAsia="zh-CN"/>
        </w:rPr>
        <w:t>安天智采</w:t>
      </w:r>
      <w:r>
        <w:rPr>
          <w:rFonts w:hint="eastAsia" w:ascii="宋体" w:hAnsi="宋体" w:eastAsia="宋体" w:cs="宋体"/>
          <w:color w:val="auto"/>
          <w:sz w:val="24"/>
          <w:szCs w:val="24"/>
          <w:highlight w:val="none"/>
        </w:rPr>
        <w:t>操作手册，</w:t>
      </w:r>
      <w:r>
        <w:rPr>
          <w:rFonts w:hint="eastAsia" w:ascii="宋体" w:hAnsi="宋体" w:eastAsia="宋体" w:cs="宋体"/>
          <w:color w:val="auto"/>
          <w:sz w:val="24"/>
          <w:szCs w:val="24"/>
          <w:highlight w:val="none"/>
          <w:lang w:val="en-US" w:eastAsia="zh-CN"/>
        </w:rPr>
        <w:t>安天智采服务热线</w:t>
      </w:r>
      <w:r>
        <w:rPr>
          <w:rFonts w:hint="eastAsia" w:ascii="宋体" w:hAnsi="宋体" w:eastAsia="宋体" w:cs="宋体"/>
          <w:color w:val="auto"/>
          <w:sz w:val="24"/>
          <w:szCs w:val="24"/>
          <w:highlight w:val="none"/>
        </w:rPr>
        <w:t>：400-050-9988</w:t>
      </w:r>
    </w:p>
    <w:p w14:paraId="023A7E9B">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w:t>
      </w:r>
      <w:r>
        <w:rPr>
          <w:rFonts w:hint="eastAsia" w:ascii="宋体" w:hAnsi="宋体" w:eastAsia="宋体" w:cs="宋体"/>
          <w:color w:val="auto"/>
          <w:sz w:val="24"/>
          <w:szCs w:val="24"/>
          <w:highlight w:val="none"/>
          <w:lang w:eastAsia="zh-CN"/>
        </w:rPr>
        <w:t>免费</w:t>
      </w:r>
    </w:p>
    <w:p w14:paraId="01DB33FE">
      <w:pPr>
        <w:pStyle w:val="4"/>
        <w:pageBreakBefore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val="0"/>
          <w:color w:val="auto"/>
          <w:sz w:val="24"/>
          <w:szCs w:val="24"/>
          <w:highlight w:val="none"/>
        </w:rPr>
      </w:pPr>
      <w:bookmarkStart w:id="8" w:name="_Toc30901"/>
      <w:bookmarkStart w:id="9" w:name="_Toc18018"/>
      <w:r>
        <w:rPr>
          <w:rFonts w:hint="eastAsia" w:ascii="宋体" w:hAnsi="宋体" w:eastAsia="宋体" w:cs="宋体"/>
          <w:b w:val="0"/>
          <w:color w:val="auto"/>
          <w:sz w:val="24"/>
          <w:szCs w:val="24"/>
          <w:highlight w:val="none"/>
        </w:rPr>
        <w:t>四、</w:t>
      </w:r>
      <w:r>
        <w:rPr>
          <w:rFonts w:hint="eastAsia" w:ascii="宋体" w:hAnsi="宋体" w:eastAsia="宋体" w:cs="宋体"/>
          <w:b w:val="0"/>
          <w:color w:val="auto"/>
          <w:sz w:val="24"/>
          <w:szCs w:val="24"/>
          <w:highlight w:val="none"/>
          <w:lang w:eastAsia="zh-CN"/>
        </w:rPr>
        <w:t>投标文件</w:t>
      </w:r>
      <w:r>
        <w:rPr>
          <w:rFonts w:hint="eastAsia" w:ascii="宋体" w:hAnsi="宋体" w:eastAsia="宋体" w:cs="宋体"/>
          <w:b w:val="0"/>
          <w:color w:val="auto"/>
          <w:sz w:val="24"/>
          <w:szCs w:val="24"/>
          <w:highlight w:val="none"/>
        </w:rPr>
        <w:t>提交</w:t>
      </w:r>
      <w:bookmarkEnd w:id="8"/>
      <w:bookmarkEnd w:id="9"/>
    </w:p>
    <w:p w14:paraId="3EF6BDDE">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single"/>
          <w:lang w:val="en-US" w:eastAsia="zh-CN"/>
        </w:rPr>
        <w:t>2025年6月20日09点30分</w:t>
      </w:r>
      <w:r>
        <w:rPr>
          <w:rFonts w:hint="eastAsia" w:ascii="宋体" w:hAnsi="宋体" w:eastAsia="宋体" w:cs="宋体"/>
          <w:bCs/>
          <w:color w:val="auto"/>
          <w:sz w:val="24"/>
          <w:szCs w:val="24"/>
          <w:highlight w:val="none"/>
        </w:rPr>
        <w:t>（北京时间）</w:t>
      </w:r>
    </w:p>
    <w:p w14:paraId="10DA0F65">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安天智采招标采购电子交易系统</w:t>
      </w:r>
      <w:r>
        <w:rPr>
          <w:rFonts w:hint="eastAsia" w:ascii="宋体" w:hAnsi="宋体" w:eastAsia="宋体" w:cs="宋体"/>
          <w:color w:val="auto"/>
          <w:sz w:val="24"/>
          <w:szCs w:val="24"/>
          <w:highlight w:val="none"/>
        </w:rPr>
        <w:t>（www.xinecai.com）</w:t>
      </w:r>
    </w:p>
    <w:p w14:paraId="11DE0A00">
      <w:pPr>
        <w:pStyle w:val="4"/>
        <w:pageBreakBefore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val="0"/>
          <w:color w:val="auto"/>
          <w:sz w:val="24"/>
          <w:szCs w:val="24"/>
          <w:highlight w:val="none"/>
        </w:rPr>
      </w:pPr>
      <w:bookmarkStart w:id="10" w:name="_Toc15394"/>
      <w:bookmarkStart w:id="11" w:name="_Toc16021"/>
      <w:r>
        <w:rPr>
          <w:rFonts w:hint="eastAsia" w:ascii="宋体" w:hAnsi="宋体" w:eastAsia="宋体" w:cs="宋体"/>
          <w:b w:val="0"/>
          <w:color w:val="auto"/>
          <w:sz w:val="24"/>
          <w:szCs w:val="24"/>
          <w:highlight w:val="none"/>
        </w:rPr>
        <w:t>五、开启</w:t>
      </w:r>
      <w:bookmarkEnd w:id="10"/>
      <w:bookmarkEnd w:id="11"/>
    </w:p>
    <w:p w14:paraId="480142DC">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val="en-US" w:eastAsia="zh-CN"/>
        </w:rPr>
        <w:t>2025年6月20日09点30分</w:t>
      </w:r>
      <w:r>
        <w:rPr>
          <w:rFonts w:hint="eastAsia" w:ascii="宋体" w:hAnsi="宋体" w:eastAsia="宋体" w:cs="宋体"/>
          <w:bCs/>
          <w:color w:val="auto"/>
          <w:sz w:val="24"/>
          <w:szCs w:val="24"/>
          <w:highlight w:val="none"/>
        </w:rPr>
        <w:t>（北京时间）</w:t>
      </w:r>
    </w:p>
    <w:p w14:paraId="4B1936B9">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安天智采招标采购电子交易系统</w:t>
      </w:r>
      <w:r>
        <w:rPr>
          <w:rFonts w:hint="eastAsia" w:ascii="宋体" w:hAnsi="宋体" w:eastAsia="宋体" w:cs="宋体"/>
          <w:color w:val="auto"/>
          <w:sz w:val="24"/>
          <w:szCs w:val="24"/>
          <w:highlight w:val="none"/>
        </w:rPr>
        <w:t>（www.xinecai.com）</w:t>
      </w:r>
    </w:p>
    <w:p w14:paraId="15437BA1">
      <w:pPr>
        <w:pStyle w:val="4"/>
        <w:pageBreakBefore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val="0"/>
          <w:color w:val="auto"/>
          <w:sz w:val="24"/>
          <w:szCs w:val="24"/>
          <w:highlight w:val="none"/>
        </w:rPr>
      </w:pPr>
      <w:bookmarkStart w:id="12" w:name="_Toc2902"/>
      <w:bookmarkStart w:id="13" w:name="_Toc5857"/>
      <w:r>
        <w:rPr>
          <w:rFonts w:hint="eastAsia" w:ascii="宋体" w:hAnsi="宋体" w:eastAsia="宋体" w:cs="宋体"/>
          <w:b w:val="0"/>
          <w:color w:val="auto"/>
          <w:sz w:val="24"/>
          <w:szCs w:val="24"/>
          <w:highlight w:val="none"/>
        </w:rPr>
        <w:t>六、公告期限</w:t>
      </w:r>
      <w:bookmarkEnd w:id="12"/>
      <w:bookmarkEnd w:id="13"/>
    </w:p>
    <w:p w14:paraId="2F4A5B0A">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个工作日。</w:t>
      </w:r>
    </w:p>
    <w:p w14:paraId="3E8B7009">
      <w:pPr>
        <w:pStyle w:val="4"/>
        <w:pageBreakBefore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val="0"/>
          <w:color w:val="auto"/>
          <w:sz w:val="24"/>
          <w:szCs w:val="24"/>
          <w:highlight w:val="none"/>
        </w:rPr>
      </w:pPr>
      <w:bookmarkStart w:id="14" w:name="_Toc1475"/>
      <w:bookmarkStart w:id="15" w:name="_Toc31282"/>
      <w:r>
        <w:rPr>
          <w:rFonts w:hint="eastAsia" w:ascii="宋体" w:hAnsi="宋体" w:eastAsia="宋体" w:cs="宋体"/>
          <w:b w:val="0"/>
          <w:color w:val="auto"/>
          <w:sz w:val="24"/>
          <w:szCs w:val="24"/>
          <w:highlight w:val="none"/>
        </w:rPr>
        <w:t>七、其他补充事宜</w:t>
      </w:r>
      <w:bookmarkEnd w:id="14"/>
      <w:bookmarkEnd w:id="15"/>
    </w:p>
    <w:p w14:paraId="5C286EB3">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.申请人应合理安排</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标文件获取</w:t>
      </w:r>
      <w:r>
        <w:rPr>
          <w:rFonts w:hint="eastAsia" w:ascii="宋体" w:hAnsi="宋体" w:eastAsia="宋体" w:cs="宋体"/>
          <w:color w:val="auto"/>
          <w:kern w:val="0"/>
          <w:sz w:val="24"/>
          <w:szCs w:val="24"/>
          <w:highlight w:val="none"/>
          <w:lang w:val="en-US" w:eastAsia="zh-CN"/>
        </w:rPr>
        <w:t>及投标文件上传</w:t>
      </w:r>
      <w:r>
        <w:rPr>
          <w:rFonts w:hint="eastAsia" w:ascii="宋体" w:hAnsi="宋体" w:eastAsia="宋体" w:cs="宋体"/>
          <w:color w:val="auto"/>
          <w:kern w:val="0"/>
          <w:sz w:val="24"/>
          <w:szCs w:val="24"/>
          <w:highlight w:val="none"/>
        </w:rPr>
        <w:t>时间，特别是网络速度慢的地区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防止在系统关闭前网络拥堵无法操作。如因计算机及网络故障造成无法完成</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文件获取</w:t>
      </w:r>
      <w:r>
        <w:rPr>
          <w:rFonts w:hint="eastAsia" w:ascii="宋体" w:hAnsi="宋体" w:eastAsia="宋体" w:cs="宋体"/>
          <w:color w:val="auto"/>
          <w:kern w:val="0"/>
          <w:sz w:val="24"/>
          <w:szCs w:val="24"/>
          <w:highlight w:val="none"/>
          <w:lang w:val="en-US" w:eastAsia="zh-CN"/>
        </w:rPr>
        <w:t>及投标文件上传的</w:t>
      </w:r>
      <w:r>
        <w:rPr>
          <w:rFonts w:hint="eastAsia" w:ascii="宋体" w:hAnsi="宋体" w:eastAsia="宋体" w:cs="宋体"/>
          <w:color w:val="auto"/>
          <w:kern w:val="0"/>
          <w:sz w:val="24"/>
          <w:szCs w:val="24"/>
          <w:highlight w:val="none"/>
        </w:rPr>
        <w:t>，责任自负。</w:t>
      </w:r>
    </w:p>
    <w:p w14:paraId="3C7AA017">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ascii="宋体" w:hAnsi="宋体" w:eastAsia="宋体" w:cs="宋体"/>
          <w:sz w:val="24"/>
          <w:szCs w:val="24"/>
          <w:highlight w:val="none"/>
        </w:rPr>
        <w:t>2.按照财政部、工业和信息化部制定的《政府采购促进中小企业发展管理 办法》，本项目为专门面向中小企业采购项目。企业划型标准按照《关于印发 中小企业划型标准规定的通知》工信部联企业〔2011〕300号）规定执行。</w:t>
      </w:r>
    </w:p>
    <w:p w14:paraId="1EE29A6B">
      <w:pPr>
        <w:pStyle w:val="4"/>
        <w:pageBreakBefore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val="0"/>
          <w:color w:val="auto"/>
          <w:sz w:val="24"/>
          <w:szCs w:val="24"/>
          <w:highlight w:val="none"/>
        </w:rPr>
      </w:pPr>
      <w:bookmarkStart w:id="16" w:name="_Toc9823"/>
      <w:bookmarkStart w:id="17" w:name="_Toc3767"/>
      <w:r>
        <w:rPr>
          <w:rFonts w:hint="eastAsia" w:ascii="宋体" w:hAnsi="宋体" w:eastAsia="宋体" w:cs="宋体"/>
          <w:b w:val="0"/>
          <w:color w:val="auto"/>
          <w:sz w:val="24"/>
          <w:szCs w:val="24"/>
          <w:highlight w:val="none"/>
        </w:rPr>
        <w:t>八、凡对本次采购提出询问，请按以下方式联系</w:t>
      </w:r>
      <w:bookmarkEnd w:id="16"/>
      <w:bookmarkEnd w:id="17"/>
    </w:p>
    <w:p w14:paraId="0256694B">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color w:val="auto"/>
          <w:sz w:val="24"/>
          <w:szCs w:val="24"/>
          <w:highlight w:val="none"/>
        </w:rPr>
      </w:pPr>
      <w:bookmarkStart w:id="18" w:name="_Toc28359019"/>
      <w:bookmarkStart w:id="19" w:name="_Toc35393637"/>
      <w:bookmarkStart w:id="20" w:name="_Toc28359096"/>
      <w:bookmarkStart w:id="21" w:name="_Toc35393806"/>
      <w:r>
        <w:rPr>
          <w:rFonts w:hint="eastAsia" w:ascii="宋体" w:hAnsi="宋体" w:eastAsia="宋体" w:cs="宋体"/>
          <w:color w:val="auto"/>
          <w:sz w:val="24"/>
          <w:szCs w:val="24"/>
          <w:highlight w:val="none"/>
        </w:rPr>
        <w:t>1.采购人信息</w:t>
      </w:r>
      <w:bookmarkEnd w:id="18"/>
      <w:bookmarkEnd w:id="19"/>
      <w:bookmarkEnd w:id="20"/>
      <w:bookmarkEnd w:id="21"/>
    </w:p>
    <w:p w14:paraId="0EAF3F41">
      <w:pPr>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安徽省商务厅</w:t>
      </w:r>
    </w:p>
    <w:p w14:paraId="62F75748">
      <w:pPr>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址：安徽省合肥市祁门路1569号</w:t>
      </w:r>
    </w:p>
    <w:p w14:paraId="3FC71E28">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bookmarkStart w:id="22" w:name="_Toc35393638"/>
      <w:bookmarkStart w:id="23" w:name="_Toc35393807"/>
      <w:bookmarkStart w:id="24" w:name="_Toc28359020"/>
      <w:bookmarkStart w:id="25" w:name="_Toc28359097"/>
      <w:r>
        <w:rPr>
          <w:rFonts w:hint="eastAsia" w:ascii="宋体" w:hAnsi="宋体" w:eastAsia="宋体" w:cs="宋体"/>
          <w:color w:val="auto"/>
          <w:sz w:val="24"/>
          <w:szCs w:val="24"/>
          <w:highlight w:val="none"/>
          <w:lang w:val="en-US" w:eastAsia="zh-CN"/>
        </w:rPr>
        <w:t xml:space="preserve">    联系方式：徐先生，0551-63540253</w:t>
      </w:r>
    </w:p>
    <w:p w14:paraId="32223DAF">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2.采购代理机构信息（如有）</w:t>
      </w:r>
      <w:bookmarkEnd w:id="22"/>
      <w:bookmarkEnd w:id="23"/>
      <w:bookmarkEnd w:id="24"/>
      <w:bookmarkEnd w:id="25"/>
    </w:p>
    <w:p w14:paraId="2EAF5360">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称：安徽安天利信工程管理股份有限公司</w:t>
      </w:r>
    </w:p>
    <w:p w14:paraId="20071051">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合肥市蜀山区蜀鑫路69号（创业大道与蜀鑫路西南角）</w:t>
      </w:r>
    </w:p>
    <w:p w14:paraId="25042FEB">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联系方式：0551-63736299</w:t>
      </w:r>
    </w:p>
    <w:p w14:paraId="6965A276">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color w:val="auto"/>
          <w:sz w:val="24"/>
          <w:szCs w:val="24"/>
          <w:highlight w:val="none"/>
        </w:rPr>
      </w:pPr>
      <w:bookmarkStart w:id="26" w:name="_Toc28359098"/>
      <w:bookmarkStart w:id="27" w:name="_Toc35393639"/>
      <w:bookmarkStart w:id="28" w:name="_Toc35393808"/>
      <w:bookmarkStart w:id="29" w:name="_Toc28359021"/>
      <w:r>
        <w:rPr>
          <w:rFonts w:hint="eastAsia" w:ascii="宋体" w:hAnsi="宋体" w:eastAsia="宋体" w:cs="宋体"/>
          <w:color w:val="auto"/>
          <w:sz w:val="24"/>
          <w:szCs w:val="24"/>
          <w:highlight w:val="none"/>
        </w:rPr>
        <w:t>3.项目联系方式</w:t>
      </w:r>
      <w:bookmarkEnd w:id="26"/>
      <w:bookmarkEnd w:id="27"/>
      <w:bookmarkEnd w:id="28"/>
      <w:bookmarkEnd w:id="29"/>
    </w:p>
    <w:p w14:paraId="07421D3B">
      <w:pPr>
        <w:pStyle w:val="11"/>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u w:val="single"/>
          <w:lang w:val="en-US" w:eastAsia="zh-CN"/>
        </w:rPr>
        <w:t>李女士/顾女士</w:t>
      </w:r>
    </w:p>
    <w:p w14:paraId="373F1F02">
      <w:pPr>
        <w:spacing w:line="360" w:lineRule="auto"/>
        <w:ind w:firstLine="435"/>
        <w:rPr>
          <w:rFonts w:ascii="宋体" w:hAnsi="宋体" w:eastAsia="宋体"/>
          <w:color w:val="auto"/>
          <w:sz w:val="24"/>
          <w:szCs w:val="18"/>
          <w:highlight w:val="none"/>
          <w:u w:val="single"/>
        </w:rPr>
      </w:pPr>
      <w:r>
        <w:rPr>
          <w:rFonts w:hint="eastAsia" w:ascii="宋体" w:hAnsi="宋体" w:eastAsia="宋体" w:cs="宋体"/>
          <w:color w:val="auto"/>
          <w:sz w:val="24"/>
          <w:szCs w:val="24"/>
          <w:highlight w:val="none"/>
        </w:rPr>
        <w:t>电　　 话：0551-63736299</w:t>
      </w:r>
      <w:r>
        <w:rPr>
          <w:rFonts w:hint="eastAsia" w:ascii="宋体" w:hAnsi="宋体" w:eastAsia="宋体" w:cs="宋体"/>
          <w:color w:val="auto"/>
          <w:sz w:val="24"/>
          <w:szCs w:val="24"/>
          <w:highlight w:val="none"/>
          <w:lang w:val="en-US" w:eastAsia="zh-CN"/>
        </w:rPr>
        <w:t>/18655196512</w:t>
      </w:r>
    </w:p>
    <w:p w14:paraId="7FD119E7">
      <w:pPr>
        <w:widowControl/>
        <w:jc w:val="left"/>
        <w:rPr>
          <w:rFonts w:ascii="宋体" w:hAnsi="宋体" w:eastAsia="宋体"/>
          <w:color w:val="auto"/>
          <w:sz w:val="24"/>
          <w:szCs w:val="18"/>
          <w:highlight w:val="none"/>
        </w:rPr>
      </w:pPr>
      <w:r>
        <w:rPr>
          <w:rFonts w:ascii="宋体" w:hAnsi="宋体" w:eastAsia="宋体"/>
          <w:color w:val="auto"/>
          <w:sz w:val="24"/>
          <w:szCs w:val="18"/>
          <w:highlight w:val="none"/>
        </w:rPr>
        <w:br w:type="page"/>
      </w:r>
    </w:p>
    <w:p w14:paraId="4B59C192">
      <w:pPr>
        <w:spacing w:line="360" w:lineRule="auto"/>
        <w:jc w:val="center"/>
        <w:outlineLvl w:val="0"/>
        <w:rPr>
          <w:rFonts w:asciiTheme="minorEastAsia" w:hAnsiTheme="minorEastAsia" w:eastAsiaTheme="minorEastAsia"/>
          <w:b/>
          <w:color w:val="auto"/>
          <w:sz w:val="28"/>
          <w:highlight w:val="none"/>
        </w:rPr>
      </w:pPr>
      <w:bookmarkStart w:id="30" w:name="_Toc19600"/>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w:t>
      </w:r>
      <w:r>
        <w:rPr>
          <w:rFonts w:asciiTheme="minorEastAsia" w:hAnsiTheme="minorEastAsia" w:eastAsiaTheme="minorEastAsia"/>
          <w:b/>
          <w:color w:val="auto"/>
          <w:sz w:val="28"/>
          <w:highlight w:val="none"/>
        </w:rPr>
        <w:t>投标人须知</w:t>
      </w:r>
      <w:bookmarkEnd w:id="30"/>
    </w:p>
    <w:p w14:paraId="536BFDC9">
      <w:pPr>
        <w:spacing w:line="360" w:lineRule="auto"/>
        <w:jc w:val="center"/>
        <w:outlineLvl w:val="1"/>
        <w:rPr>
          <w:rFonts w:asciiTheme="minorEastAsia" w:hAnsiTheme="minorEastAsia" w:eastAsiaTheme="minorEastAsia"/>
          <w:b/>
          <w:color w:val="auto"/>
          <w:sz w:val="24"/>
          <w:highlight w:val="none"/>
        </w:rPr>
      </w:pPr>
      <w:bookmarkStart w:id="31" w:name="_Toc1211"/>
      <w:bookmarkStart w:id="32" w:name="_Toc7178"/>
      <w:bookmarkStart w:id="33" w:name="_Toc13589"/>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投标人须知前附表</w:t>
      </w:r>
      <w:bookmarkEnd w:id="31"/>
      <w:bookmarkEnd w:id="32"/>
      <w:bookmarkEnd w:id="33"/>
    </w:p>
    <w:p w14:paraId="0158480B">
      <w:pPr>
        <w:spacing w:line="360" w:lineRule="auto"/>
        <w:ind w:firstLine="435"/>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本表是本项目的具体要求，是对投标人须知的具体补充和修改，如有不一致，以本表为准。</w:t>
      </w:r>
    </w:p>
    <w:tbl>
      <w:tblPr>
        <w:tblStyle w:val="23"/>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1394"/>
        <w:gridCol w:w="6260"/>
      </w:tblGrid>
      <w:tr w14:paraId="34A3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7706156A">
            <w:pPr>
              <w:pStyle w:val="31"/>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805" w:type="pct"/>
            <w:vAlign w:val="center"/>
          </w:tcPr>
          <w:p w14:paraId="6BCB0E4F">
            <w:pPr>
              <w:pStyle w:val="31"/>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614" w:type="pct"/>
            <w:vAlign w:val="center"/>
          </w:tcPr>
          <w:p w14:paraId="4ECF219B">
            <w:pPr>
              <w:pStyle w:val="31"/>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57C1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1863C105">
            <w:pPr>
              <w:pStyle w:val="32"/>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lang w:val="en-US" w:eastAsia="zh-CN"/>
              </w:rPr>
              <w:t>5</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805" w:type="pct"/>
            <w:vAlign w:val="center"/>
          </w:tcPr>
          <w:p w14:paraId="790CDBC0">
            <w:pPr>
              <w:pStyle w:val="3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b w:val="0"/>
                <w:color w:val="auto"/>
                <w:sz w:val="24"/>
                <w:highlight w:val="none"/>
                <w:lang w:eastAsia="zh-CN"/>
              </w:rPr>
            </w:pPr>
            <w:r>
              <w:rPr>
                <w:rFonts w:hint="eastAsia" w:ascii="宋体" w:hAnsi="宋体" w:eastAsia="宋体" w:cs="@仿宋_GB2312"/>
                <w:b w:val="0"/>
                <w:bCs/>
                <w:color w:val="auto"/>
                <w:kern w:val="2"/>
                <w:sz w:val="24"/>
                <w:szCs w:val="22"/>
                <w:highlight w:val="none"/>
                <w:lang w:val="en-US" w:eastAsia="zh-CN" w:bidi="ar-SA"/>
              </w:rPr>
              <w:t>现场考察或标前答疑会</w:t>
            </w:r>
          </w:p>
        </w:tc>
        <w:tc>
          <w:tcPr>
            <w:tcW w:w="3614" w:type="pct"/>
            <w:vAlign w:val="center"/>
          </w:tcPr>
          <w:p w14:paraId="5F9C2DE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bCs/>
                <w:color w:val="auto"/>
                <w:sz w:val="24"/>
                <w:highlight w:val="none"/>
                <w:lang w:val="en-US" w:eastAsia="zh-CN"/>
              </w:rPr>
            </w:pPr>
            <w:r>
              <w:rPr>
                <w:rFonts w:hint="eastAsia" w:ascii="宋体" w:hAnsi="宋体" w:eastAsia="宋体"/>
                <w:bCs/>
                <w:color w:val="auto"/>
                <w:sz w:val="24"/>
                <w:szCs w:val="24"/>
                <w:highlight w:val="none"/>
                <w:lang w:eastAsia="zh-CN"/>
              </w:rPr>
              <w:t>☑</w:t>
            </w: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7404291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bCs/>
                <w:color w:val="auto"/>
                <w:sz w:val="24"/>
                <w:highlight w:val="none"/>
                <w:lang w:val="en-US" w:eastAsia="zh-CN"/>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r>
              <w:rPr>
                <w:rFonts w:hint="eastAsia" w:ascii="宋体" w:hAnsi="宋体" w:eastAsia="宋体"/>
                <w:bCs/>
                <w:color w:val="auto"/>
                <w:sz w:val="24"/>
                <w:highlight w:val="none"/>
                <w:lang w:val="en-US" w:eastAsia="zh-CN"/>
              </w:rPr>
              <w:t>或统一召开</w:t>
            </w:r>
          </w:p>
          <w:p w14:paraId="1CAA2275">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05513F3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53BF9153">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1F7CC7EC">
            <w:pPr>
              <w:pStyle w:val="3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如投标人未参加采购人统一组织的现场考察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，由此引起的一切责任由投标人自行承担。</w:t>
            </w:r>
          </w:p>
        </w:tc>
      </w:tr>
      <w:tr w14:paraId="051CE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1854D752">
            <w:pPr>
              <w:pStyle w:val="32"/>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6</w:t>
            </w:r>
            <w:r>
              <w:rPr>
                <w:rFonts w:ascii="宋体" w:hAnsi="宋体" w:eastAsia="宋体"/>
                <w:bCs/>
                <w:color w:val="auto"/>
                <w:kern w:val="2"/>
                <w:highlight w:val="none"/>
              </w:rPr>
              <w:t>.1</w:t>
            </w:r>
          </w:p>
        </w:tc>
        <w:tc>
          <w:tcPr>
            <w:tcW w:w="805" w:type="pct"/>
            <w:vAlign w:val="center"/>
          </w:tcPr>
          <w:p w14:paraId="4E4AECB3">
            <w:pPr>
              <w:pStyle w:val="31"/>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614" w:type="pct"/>
            <w:vAlign w:val="center"/>
          </w:tcPr>
          <w:p w14:paraId="09BE7A4B">
            <w:pPr>
              <w:pStyle w:val="31"/>
              <w:widowControl w:val="0"/>
              <w:spacing w:before="0" w:beforeAutospacing="0" w:after="0" w:afterAutospacing="0"/>
              <w:jc w:val="both"/>
              <w:rPr>
                <w:rFonts w:ascii="宋体" w:hAnsi="宋体" w:eastAsia="宋体"/>
                <w:b w:val="0"/>
                <w:color w:val="auto"/>
                <w:sz w:val="24"/>
                <w:highlight w:val="none"/>
              </w:rPr>
            </w:pPr>
            <w:r>
              <w:rPr>
                <w:rFonts w:hint="eastAsia" w:ascii="宋体" w:hAnsi="宋体" w:eastAsia="宋体"/>
                <w:b w:val="0"/>
                <w:color w:val="auto"/>
                <w:sz w:val="24"/>
                <w:highlight w:val="none"/>
                <w:lang w:val="en-US" w:eastAsia="zh-CN"/>
              </w:rPr>
              <w:t>同响应截止时间</w:t>
            </w:r>
          </w:p>
        </w:tc>
      </w:tr>
      <w:tr w14:paraId="5D078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51FAACBC">
            <w:pPr>
              <w:pStyle w:val="32"/>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7</w:t>
            </w:r>
            <w:r>
              <w:rPr>
                <w:rFonts w:ascii="宋体" w:hAnsi="宋体" w:eastAsia="宋体"/>
                <w:bCs/>
                <w:color w:val="auto"/>
                <w:kern w:val="2"/>
                <w:highlight w:val="none"/>
              </w:rPr>
              <w:t>.1</w:t>
            </w:r>
          </w:p>
        </w:tc>
        <w:tc>
          <w:tcPr>
            <w:tcW w:w="805" w:type="pct"/>
            <w:vAlign w:val="center"/>
          </w:tcPr>
          <w:p w14:paraId="1E3A3491">
            <w:pPr>
              <w:pStyle w:val="31"/>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614" w:type="pct"/>
            <w:vAlign w:val="center"/>
          </w:tcPr>
          <w:p w14:paraId="25AF31F0">
            <w:pPr>
              <w:pStyle w:val="3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lang w:eastAsia="zh-CN"/>
              </w:rPr>
              <w:t>☑</w:t>
            </w:r>
            <w:r>
              <w:rPr>
                <w:rFonts w:ascii="宋体" w:hAnsi="宋体" w:eastAsia="宋体"/>
                <w:b w:val="0"/>
                <w:color w:val="auto"/>
                <w:sz w:val="24"/>
                <w:highlight w:val="none"/>
              </w:rPr>
              <w:t>不分包     □分为</w:t>
            </w:r>
            <w:r>
              <w:rPr>
                <w:rFonts w:ascii="宋体" w:hAnsi="宋体" w:eastAsia="宋体"/>
                <w:b w:val="0"/>
                <w:bCs w:val="0"/>
                <w:color w:val="auto"/>
                <w:sz w:val="24"/>
                <w:szCs w:val="18"/>
                <w:highlight w:val="none"/>
                <w:u w:val="single"/>
              </w:rPr>
              <w:t xml:space="preserve"> </w:t>
            </w:r>
            <w:r>
              <w:rPr>
                <w:rFonts w:hint="eastAsia" w:ascii="宋体" w:hAnsi="宋体" w:eastAsia="宋体"/>
                <w:b w:val="0"/>
                <w:bCs w:val="0"/>
                <w:color w:val="auto"/>
                <w:sz w:val="24"/>
                <w:szCs w:val="18"/>
                <w:highlight w:val="none"/>
                <w:u w:val="single"/>
                <w:lang w:val="en-US" w:eastAsia="zh-CN"/>
              </w:rPr>
              <w:t>/</w:t>
            </w:r>
            <w:r>
              <w:rPr>
                <w:rFonts w:ascii="宋体" w:hAnsi="宋体" w:eastAsia="宋体"/>
                <w:b w:val="0"/>
                <w:bCs w:val="0"/>
                <w:color w:val="auto"/>
                <w:sz w:val="24"/>
                <w:szCs w:val="18"/>
                <w:highlight w:val="none"/>
                <w:u w:val="single"/>
              </w:rPr>
              <w:t xml:space="preserve"> </w:t>
            </w:r>
            <w:r>
              <w:rPr>
                <w:rFonts w:ascii="宋体" w:hAnsi="宋体" w:eastAsia="宋体"/>
                <w:b w:val="0"/>
                <w:color w:val="auto"/>
                <w:sz w:val="24"/>
                <w:highlight w:val="none"/>
              </w:rPr>
              <w:t>个包</w:t>
            </w:r>
          </w:p>
          <w:p w14:paraId="30F8E653">
            <w:pPr>
              <w:pStyle w:val="31"/>
              <w:widowControl w:val="0"/>
              <w:spacing w:before="0" w:beforeAutospacing="0" w:after="0" w:afterAutospacing="0"/>
              <w:jc w:val="both"/>
              <w:rPr>
                <w:rFonts w:ascii="宋体" w:hAnsi="宋体" w:eastAsia="宋体"/>
                <w:b w:val="0"/>
                <w:color w:val="auto"/>
                <w:sz w:val="24"/>
                <w:highlight w:val="none"/>
                <w:u w:val="single"/>
              </w:rPr>
            </w:pPr>
            <w:r>
              <w:rPr>
                <w:rFonts w:hint="eastAsia" w:ascii="宋体" w:hAnsi="宋体" w:eastAsia="宋体"/>
                <w:b w:val="0"/>
                <w:color w:val="auto"/>
                <w:sz w:val="24"/>
                <w:highlight w:val="none"/>
              </w:rPr>
              <w:t>投标人对多个包进行投标的中标</w:t>
            </w:r>
            <w:r>
              <w:rPr>
                <w:rFonts w:ascii="宋体" w:hAnsi="宋体" w:eastAsia="宋体"/>
                <w:b w:val="0"/>
                <w:color w:val="auto"/>
                <w:sz w:val="24"/>
                <w:highlight w:val="none"/>
              </w:rPr>
              <w:t>包</w:t>
            </w:r>
            <w:r>
              <w:rPr>
                <w:rFonts w:hint="eastAsia" w:ascii="宋体" w:hAnsi="宋体" w:eastAsia="宋体"/>
                <w:b w:val="0"/>
                <w:color w:val="auto"/>
                <w:sz w:val="24"/>
                <w:highlight w:val="none"/>
              </w:rPr>
              <w:t>数规定：</w:t>
            </w:r>
            <w:r>
              <w:rPr>
                <w:rFonts w:hint="eastAsia" w:ascii="宋体" w:hAnsi="宋体" w:eastAsia="宋体"/>
                <w:b w:val="0"/>
                <w:bCs w:val="0"/>
                <w:color w:val="auto"/>
                <w:sz w:val="24"/>
                <w:szCs w:val="18"/>
                <w:highlight w:val="none"/>
                <w:u w:val="single"/>
              </w:rPr>
              <w:t xml:space="preserve"> </w:t>
            </w:r>
            <w:r>
              <w:rPr>
                <w:rFonts w:ascii="宋体" w:hAnsi="宋体" w:eastAsia="宋体"/>
                <w:b w:val="0"/>
                <w:bCs w:val="0"/>
                <w:color w:val="auto"/>
                <w:sz w:val="24"/>
                <w:szCs w:val="18"/>
                <w:highlight w:val="none"/>
                <w:u w:val="single"/>
              </w:rPr>
              <w:t xml:space="preserve">       </w:t>
            </w:r>
          </w:p>
        </w:tc>
      </w:tr>
      <w:tr w14:paraId="2C82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79" w:type="pct"/>
            <w:vAlign w:val="center"/>
          </w:tcPr>
          <w:p w14:paraId="7DED5C95">
            <w:pPr>
              <w:pStyle w:val="32"/>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0</w:t>
            </w:r>
            <w:r>
              <w:rPr>
                <w:rFonts w:ascii="宋体" w:hAnsi="宋体" w:eastAsia="宋体"/>
                <w:bCs/>
                <w:color w:val="auto"/>
                <w:kern w:val="2"/>
                <w:highlight w:val="none"/>
              </w:rPr>
              <w:t>.1</w:t>
            </w:r>
          </w:p>
        </w:tc>
        <w:tc>
          <w:tcPr>
            <w:tcW w:w="805" w:type="pct"/>
            <w:vAlign w:val="center"/>
          </w:tcPr>
          <w:p w14:paraId="559A7FCE">
            <w:pPr>
              <w:pStyle w:val="31"/>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投标保证金</w:t>
            </w:r>
          </w:p>
        </w:tc>
        <w:tc>
          <w:tcPr>
            <w:tcW w:w="3614" w:type="pct"/>
            <w:vAlign w:val="center"/>
          </w:tcPr>
          <w:p w14:paraId="74B4DB6C">
            <w:pPr>
              <w:spacing w:line="360" w:lineRule="auto"/>
              <w:rPr>
                <w:color w:val="auto"/>
                <w:highlight w:val="none"/>
              </w:rPr>
            </w:pPr>
            <w:r>
              <w:rPr>
                <w:rFonts w:hint="eastAsia" w:ascii="宋体" w:hAnsi="宋体" w:eastAsia="宋体"/>
                <w:bCs/>
                <w:color w:val="auto"/>
                <w:kern w:val="0"/>
                <w:sz w:val="24"/>
                <w:szCs w:val="28"/>
                <w:highlight w:val="none"/>
              </w:rPr>
              <w:t>不收取</w:t>
            </w:r>
          </w:p>
        </w:tc>
      </w:tr>
      <w:tr w14:paraId="1E6C6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75FF497C">
            <w:pPr>
              <w:pStyle w:val="32"/>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.1</w:t>
            </w:r>
          </w:p>
        </w:tc>
        <w:tc>
          <w:tcPr>
            <w:tcW w:w="805" w:type="pct"/>
            <w:vAlign w:val="center"/>
          </w:tcPr>
          <w:p w14:paraId="12664687">
            <w:pPr>
              <w:pStyle w:val="3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投标有效期</w:t>
            </w:r>
          </w:p>
        </w:tc>
        <w:tc>
          <w:tcPr>
            <w:tcW w:w="3614" w:type="pct"/>
            <w:vAlign w:val="center"/>
          </w:tcPr>
          <w:p w14:paraId="18120AE4">
            <w:pPr>
              <w:pStyle w:val="3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90</w:t>
            </w:r>
            <w:r>
              <w:rPr>
                <w:rFonts w:hint="eastAsia"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 xml:space="preserve"> </w:t>
            </w:r>
            <w:r>
              <w:rPr>
                <w:rFonts w:hint="eastAsia" w:ascii="宋体" w:hAnsi="宋体" w:eastAsia="宋体"/>
                <w:b w:val="0"/>
                <w:color w:val="auto"/>
                <w:sz w:val="24"/>
                <w:highlight w:val="none"/>
              </w:rPr>
              <w:t>日历日</w:t>
            </w:r>
          </w:p>
        </w:tc>
      </w:tr>
      <w:tr w14:paraId="039A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1248EA63">
            <w:pPr>
              <w:pStyle w:val="32"/>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3</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1</w:t>
            </w:r>
          </w:p>
        </w:tc>
        <w:tc>
          <w:tcPr>
            <w:tcW w:w="805" w:type="pct"/>
            <w:vAlign w:val="center"/>
          </w:tcPr>
          <w:p w14:paraId="2D51D962">
            <w:pPr>
              <w:pStyle w:val="3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投标文件解密时间</w:t>
            </w:r>
          </w:p>
        </w:tc>
        <w:tc>
          <w:tcPr>
            <w:tcW w:w="3614" w:type="pct"/>
            <w:vAlign w:val="center"/>
          </w:tcPr>
          <w:p w14:paraId="6F46AFC8">
            <w:pPr>
              <w:pStyle w:val="31"/>
              <w:widowControl w:val="0"/>
              <w:spacing w:before="0" w:beforeAutospacing="0" w:after="0" w:afterAutospacing="0" w:line="360" w:lineRule="auto"/>
              <w:jc w:val="both"/>
              <w:rPr>
                <w:rFonts w:hint="eastAsia" w:ascii="宋体" w:hAnsi="宋体" w:eastAsia="宋体"/>
                <w:b w:val="0"/>
                <w:color w:val="auto"/>
                <w:sz w:val="24"/>
                <w:highlight w:val="none"/>
                <w:u w:val="single"/>
                <w:lang w:val="en-US" w:eastAsia="zh-CN"/>
              </w:rPr>
            </w:pPr>
            <w:r>
              <w:rPr>
                <w:rFonts w:hint="eastAsia" w:ascii="宋体" w:hAnsi="宋体" w:eastAsia="宋体"/>
                <w:b w:val="0"/>
                <w:color w:val="auto"/>
                <w:sz w:val="24"/>
                <w:highlight w:val="none"/>
                <w:u w:val="none"/>
              </w:rPr>
              <w:t>投标截止时间后</w:t>
            </w:r>
            <w:r>
              <w:rPr>
                <w:rFonts w:hint="eastAsia" w:ascii="宋体" w:hAnsi="宋体" w:eastAsia="宋体"/>
                <w:b w:val="0"/>
                <w:color w:val="auto"/>
                <w:sz w:val="24"/>
                <w:highlight w:val="none"/>
                <w:u w:val="single"/>
                <w:lang w:val="en-US" w:eastAsia="zh-CN"/>
              </w:rPr>
              <w:t xml:space="preserve">   30   </w:t>
            </w:r>
            <w:r>
              <w:rPr>
                <w:rFonts w:hint="eastAsia" w:ascii="宋体" w:hAnsi="宋体" w:eastAsia="宋体"/>
                <w:b w:val="0"/>
                <w:color w:val="auto"/>
                <w:sz w:val="24"/>
                <w:highlight w:val="none"/>
                <w:u w:val="none"/>
              </w:rPr>
              <w:t>分钟内</w:t>
            </w:r>
          </w:p>
        </w:tc>
      </w:tr>
      <w:tr w14:paraId="025C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3B6D1943">
            <w:pPr>
              <w:pStyle w:val="32"/>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4</w:t>
            </w:r>
            <w:r>
              <w:rPr>
                <w:rFonts w:hint="eastAsia" w:ascii="宋体" w:hAnsi="宋体" w:eastAsia="宋体"/>
                <w:bCs/>
                <w:color w:val="auto"/>
                <w:kern w:val="2"/>
                <w:highlight w:val="none"/>
              </w:rPr>
              <w:t>.1</w:t>
            </w:r>
          </w:p>
        </w:tc>
        <w:tc>
          <w:tcPr>
            <w:tcW w:w="805" w:type="pct"/>
            <w:vAlign w:val="center"/>
          </w:tcPr>
          <w:p w14:paraId="74D0BC15">
            <w:pPr>
              <w:pStyle w:val="3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资格审查</w:t>
            </w:r>
          </w:p>
        </w:tc>
        <w:tc>
          <w:tcPr>
            <w:tcW w:w="3614" w:type="pct"/>
            <w:vAlign w:val="center"/>
          </w:tcPr>
          <w:p w14:paraId="530E7B27">
            <w:pPr>
              <w:pStyle w:val="31"/>
              <w:widowControl w:val="0"/>
              <w:spacing w:before="0" w:beforeAutospacing="0" w:after="0" w:afterAutospacing="0" w:line="360" w:lineRule="auto"/>
              <w:jc w:val="both"/>
              <w:rPr>
                <w:rFonts w:hint="eastAsia" w:ascii="宋体" w:hAnsi="宋体" w:eastAsia="宋体"/>
                <w:b w:val="0"/>
                <w:bCs w:val="0"/>
                <w:color w:val="auto"/>
                <w:sz w:val="24"/>
                <w:highlight w:val="none"/>
              </w:rPr>
            </w:pPr>
            <w:r>
              <w:rPr>
                <w:rFonts w:hint="eastAsia" w:ascii="宋体" w:hAnsi="宋体" w:eastAsia="宋体"/>
                <w:b w:val="0"/>
                <w:bCs w:val="0"/>
                <w:color w:val="auto"/>
                <w:sz w:val="24"/>
                <w:szCs w:val="24"/>
                <w:highlight w:val="none"/>
                <w:lang w:eastAsia="zh-CN"/>
              </w:rPr>
              <w:t>☑</w:t>
            </w:r>
            <w:r>
              <w:rPr>
                <w:rFonts w:hint="eastAsia" w:ascii="宋体" w:hAnsi="宋体" w:eastAsia="宋体"/>
                <w:b w:val="0"/>
                <w:bCs w:val="0"/>
                <w:color w:val="auto"/>
                <w:sz w:val="24"/>
                <w:highlight w:val="none"/>
              </w:rPr>
              <w:t>采购人审查</w:t>
            </w:r>
          </w:p>
          <w:p w14:paraId="69E57479">
            <w:pPr>
              <w:pStyle w:val="31"/>
              <w:widowControl w:val="0"/>
              <w:spacing w:before="0" w:beforeAutospacing="0" w:after="0" w:afterAutospacing="0" w:line="360" w:lineRule="auto"/>
              <w:jc w:val="both"/>
              <w:rPr>
                <w:rFonts w:ascii="宋体" w:hAnsi="宋体" w:eastAsia="宋体"/>
                <w:b w:val="0"/>
                <w:color w:val="auto"/>
                <w:sz w:val="24"/>
                <w:highlight w:val="none"/>
                <w:u w:val="single"/>
              </w:rPr>
            </w:pPr>
            <w:r>
              <w:rPr>
                <w:rFonts w:ascii="宋体" w:hAnsi="宋体" w:eastAsia="宋体"/>
                <w:b w:val="0"/>
                <w:bCs w:val="0"/>
                <w:color w:val="auto"/>
                <w:sz w:val="24"/>
                <w:szCs w:val="24"/>
                <w:highlight w:val="none"/>
              </w:rPr>
              <w:t>□</w:t>
            </w:r>
            <w:r>
              <w:rPr>
                <w:rFonts w:hint="eastAsia" w:ascii="宋体" w:hAnsi="宋体" w:eastAsia="宋体"/>
                <w:b w:val="0"/>
                <w:bCs w:val="0"/>
                <w:color w:val="auto"/>
                <w:sz w:val="24"/>
                <w:highlight w:val="none"/>
              </w:rPr>
              <w:t>采购人出具委托函委托采购代理机构进行审查</w:t>
            </w:r>
          </w:p>
        </w:tc>
      </w:tr>
      <w:tr w14:paraId="185C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281AA35C">
            <w:pPr>
              <w:pStyle w:val="32"/>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17</w:t>
            </w:r>
            <w:r>
              <w:rPr>
                <w:rFonts w:ascii="宋体" w:hAnsi="宋体" w:eastAsia="宋体"/>
                <w:bCs/>
                <w:color w:val="auto"/>
                <w:kern w:val="2"/>
                <w:highlight w:val="none"/>
              </w:rPr>
              <w:t>.2</w:t>
            </w:r>
          </w:p>
        </w:tc>
        <w:tc>
          <w:tcPr>
            <w:tcW w:w="805" w:type="pct"/>
            <w:vAlign w:val="center"/>
          </w:tcPr>
          <w:p w14:paraId="3BFB4042">
            <w:pPr>
              <w:pStyle w:val="3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评标方法</w:t>
            </w:r>
          </w:p>
        </w:tc>
        <w:tc>
          <w:tcPr>
            <w:tcW w:w="3614" w:type="pct"/>
            <w:vAlign w:val="center"/>
          </w:tcPr>
          <w:p w14:paraId="6DA6CB62">
            <w:pPr>
              <w:pStyle w:val="31"/>
              <w:widowControl w:val="0"/>
              <w:spacing w:before="0" w:beforeAutospacing="0" w:after="0" w:afterAutospacing="0" w:line="360" w:lineRule="auto"/>
              <w:jc w:val="both"/>
              <w:rPr>
                <w:rFonts w:ascii="宋体" w:hAnsi="宋体" w:eastAsia="宋体"/>
                <w:b w:val="0"/>
                <w:color w:val="auto"/>
                <w:sz w:val="24"/>
                <w:highlight w:val="none"/>
                <w:u w:val="single"/>
              </w:rPr>
            </w:pPr>
            <w:r>
              <w:rPr>
                <w:rFonts w:ascii="宋体" w:hAnsi="宋体" w:eastAsia="宋体"/>
                <w:b w:val="0"/>
                <w:bCs w:val="0"/>
                <w:color w:val="auto"/>
                <w:sz w:val="24"/>
                <w:szCs w:val="24"/>
                <w:highlight w:val="none"/>
              </w:rPr>
              <w:t>□</w:t>
            </w:r>
            <w:r>
              <w:rPr>
                <w:rFonts w:hint="eastAsia" w:ascii="宋体" w:hAnsi="宋体" w:eastAsia="宋体"/>
                <w:b w:val="0"/>
                <w:color w:val="auto"/>
                <w:sz w:val="24"/>
                <w:highlight w:val="none"/>
                <w:u w:val="none"/>
              </w:rPr>
              <w:t>最低评标价法</w:t>
            </w:r>
          </w:p>
          <w:p w14:paraId="02A1F8AA">
            <w:pPr>
              <w:pStyle w:val="3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lang w:eastAsia="zh-CN"/>
              </w:rPr>
              <w:t>☑</w:t>
            </w:r>
            <w:r>
              <w:rPr>
                <w:rFonts w:hint="eastAsia" w:ascii="宋体" w:hAnsi="宋体" w:eastAsia="宋体"/>
                <w:b w:val="0"/>
                <w:color w:val="auto"/>
                <w:sz w:val="24"/>
                <w:highlight w:val="none"/>
                <w:u w:val="none"/>
              </w:rPr>
              <w:t>综合评分法</w:t>
            </w:r>
          </w:p>
        </w:tc>
      </w:tr>
      <w:tr w14:paraId="50AA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54BE81A8">
            <w:pPr>
              <w:pStyle w:val="32"/>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17</w:t>
            </w:r>
            <w:r>
              <w:rPr>
                <w:rFonts w:ascii="宋体" w:hAnsi="宋体" w:eastAsia="宋体"/>
                <w:bCs/>
                <w:color w:val="auto"/>
                <w:kern w:val="2"/>
                <w:highlight w:val="none"/>
              </w:rPr>
              <w:t>.3</w:t>
            </w:r>
          </w:p>
        </w:tc>
        <w:tc>
          <w:tcPr>
            <w:tcW w:w="805" w:type="pct"/>
            <w:vAlign w:val="center"/>
          </w:tcPr>
          <w:p w14:paraId="04404358">
            <w:pPr>
              <w:pStyle w:val="3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报价扣除</w:t>
            </w:r>
          </w:p>
          <w:p w14:paraId="72B4FBC4">
            <w:pPr>
              <w:pStyle w:val="31"/>
              <w:widowControl w:val="0"/>
              <w:spacing w:before="0" w:beforeAutospacing="0" w:after="0" w:afterAutospacing="0" w:line="360" w:lineRule="auto"/>
              <w:jc w:val="both"/>
              <w:rPr>
                <w:rFonts w:ascii="宋体" w:hAnsi="宋体" w:eastAsia="宋体"/>
                <w:b w:val="0"/>
                <w:i/>
                <w:color w:val="auto"/>
                <w:sz w:val="24"/>
                <w:highlight w:val="none"/>
              </w:rPr>
            </w:pPr>
            <w:r>
              <w:rPr>
                <w:rFonts w:hint="eastAsia" w:ascii="宋体" w:hAnsi="宋体" w:eastAsia="宋体"/>
                <w:b w:val="0"/>
                <w:i/>
                <w:color w:val="auto"/>
                <w:sz w:val="24"/>
                <w:highlight w:val="none"/>
              </w:rPr>
              <w:t>（非专门面向中小企业采购项目适用）</w:t>
            </w:r>
          </w:p>
        </w:tc>
        <w:tc>
          <w:tcPr>
            <w:tcW w:w="3614" w:type="pct"/>
            <w:vAlign w:val="center"/>
          </w:tcPr>
          <w:p w14:paraId="019D9EF9">
            <w:pPr>
              <w:pStyle w:val="3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（1）</w:t>
            </w:r>
            <w:r>
              <w:rPr>
                <w:rFonts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lang w:val="en-US" w:eastAsia="zh-CN"/>
              </w:rPr>
              <w:t xml:space="preserve">    /    </w:t>
            </w:r>
            <w:r>
              <w:rPr>
                <w:rFonts w:hint="eastAsia" w:ascii="宋体" w:hAnsi="宋体" w:eastAsia="宋体"/>
                <w:b w:val="0"/>
                <w:color w:val="auto"/>
                <w:sz w:val="24"/>
                <w:highlight w:val="none"/>
              </w:rPr>
              <w:t>。</w:t>
            </w:r>
          </w:p>
          <w:p w14:paraId="205D953E">
            <w:pPr>
              <w:pStyle w:val="3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（2）监狱企业价格扣除：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64B2BDD4">
            <w:pPr>
              <w:pStyle w:val="3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233D6E56">
            <w:pPr>
              <w:pStyle w:val="3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lang w:val="en-US" w:eastAsia="zh-CN"/>
              </w:rPr>
              <w:t xml:space="preserve">    /    </w:t>
            </w:r>
            <w:r>
              <w:rPr>
                <w:rFonts w:hint="eastAsia" w:ascii="宋体" w:hAnsi="宋体" w:eastAsia="宋体"/>
                <w:b w:val="0"/>
                <w:color w:val="auto"/>
                <w:sz w:val="24"/>
                <w:highlight w:val="none"/>
              </w:rPr>
              <w:t>。</w:t>
            </w:r>
          </w:p>
          <w:p w14:paraId="2ED0C5B4">
            <w:pPr>
              <w:pStyle w:val="3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lang w:val="en-US" w:eastAsia="zh-CN"/>
              </w:rPr>
              <w:t xml:space="preserve">    /    </w:t>
            </w:r>
            <w:r>
              <w:rPr>
                <w:rFonts w:hint="eastAsia" w:ascii="宋体" w:hAnsi="宋体" w:eastAsia="宋体"/>
                <w:b w:val="0"/>
                <w:color w:val="auto"/>
                <w:sz w:val="24"/>
                <w:highlight w:val="none"/>
              </w:rPr>
              <w:t>。</w:t>
            </w:r>
            <w:r>
              <w:rPr>
                <w:rFonts w:hint="eastAsia" w:ascii="宋体" w:hAnsi="宋体" w:eastAsia="宋体"/>
                <w:b w:val="0"/>
                <w:i/>
                <w:color w:val="auto"/>
                <w:sz w:val="24"/>
                <w:highlight w:val="none"/>
              </w:rPr>
              <w:t>（允许大中型企业向小微企业分包的项目适用）</w:t>
            </w:r>
          </w:p>
        </w:tc>
      </w:tr>
      <w:tr w14:paraId="1CC15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0DA01B35">
            <w:pPr>
              <w:pStyle w:val="32"/>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rPr>
              <w:t>1</w:t>
            </w:r>
          </w:p>
        </w:tc>
        <w:tc>
          <w:tcPr>
            <w:tcW w:w="805" w:type="pct"/>
            <w:vAlign w:val="center"/>
          </w:tcPr>
          <w:p w14:paraId="3F398D71">
            <w:pPr>
              <w:pStyle w:val="3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评标委员会推荐</w:t>
            </w:r>
            <w:r>
              <w:rPr>
                <w:rFonts w:ascii="宋体" w:hAnsi="宋体" w:eastAsia="宋体"/>
                <w:b w:val="0"/>
                <w:color w:val="auto"/>
                <w:sz w:val="24"/>
                <w:highlight w:val="none"/>
              </w:rPr>
              <w:t>中标候选</w:t>
            </w:r>
            <w:r>
              <w:rPr>
                <w:rFonts w:hint="eastAsia" w:ascii="宋体" w:hAnsi="宋体" w:eastAsia="宋体"/>
                <w:b w:val="0"/>
                <w:color w:val="auto"/>
                <w:sz w:val="24"/>
                <w:highlight w:val="none"/>
              </w:rPr>
              <w:t>人的</w:t>
            </w:r>
            <w:r>
              <w:rPr>
                <w:rFonts w:ascii="宋体" w:hAnsi="宋体" w:eastAsia="宋体"/>
                <w:b w:val="0"/>
                <w:color w:val="auto"/>
                <w:sz w:val="24"/>
                <w:highlight w:val="none"/>
              </w:rPr>
              <w:t>数量</w:t>
            </w:r>
          </w:p>
        </w:tc>
        <w:tc>
          <w:tcPr>
            <w:tcW w:w="3614" w:type="pct"/>
            <w:vAlign w:val="center"/>
          </w:tcPr>
          <w:p w14:paraId="6AE84B81">
            <w:pPr>
              <w:pStyle w:val="31"/>
              <w:widowControl w:val="0"/>
              <w:spacing w:before="0" w:beforeAutospacing="0" w:after="0" w:afterAutospacing="0" w:line="360" w:lineRule="auto"/>
              <w:jc w:val="both"/>
              <w:rPr>
                <w:rFonts w:ascii="宋体" w:hAnsi="宋体" w:eastAsia="宋体"/>
                <w:b w:val="0"/>
                <w:color w:val="auto"/>
                <w:sz w:val="24"/>
                <w:highlight w:val="none"/>
                <w:u w:val="single"/>
              </w:rPr>
            </w:pPr>
            <w:r>
              <w:rPr>
                <w:rFonts w:hint="eastAsia" w:ascii="宋体" w:hAnsi="宋体" w:eastAsia="宋体"/>
                <w:b w:val="0"/>
                <w:color w:val="auto"/>
                <w:sz w:val="24"/>
                <w:highlight w:val="none"/>
              </w:rPr>
              <w:t>3家</w:t>
            </w:r>
          </w:p>
        </w:tc>
      </w:tr>
      <w:tr w14:paraId="1A30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2612D4C6">
            <w:pPr>
              <w:pStyle w:val="32"/>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805" w:type="pct"/>
            <w:vAlign w:val="center"/>
          </w:tcPr>
          <w:p w14:paraId="41169BA3">
            <w:pPr>
              <w:pStyle w:val="3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确定中标人</w:t>
            </w:r>
          </w:p>
        </w:tc>
        <w:tc>
          <w:tcPr>
            <w:tcW w:w="3614" w:type="pct"/>
            <w:vAlign w:val="center"/>
          </w:tcPr>
          <w:p w14:paraId="48D8D9E0">
            <w:pPr>
              <w:spacing w:line="360" w:lineRule="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sym w:font="Wingdings" w:char="00FE"/>
            </w:r>
            <w:r>
              <w:rPr>
                <w:rFonts w:hint="eastAsia" w:asciiTheme="minorEastAsia" w:hAnsiTheme="minorEastAsia" w:eastAsiaTheme="minorEastAsia"/>
                <w:color w:val="auto"/>
                <w:kern w:val="0"/>
                <w:sz w:val="24"/>
                <w:szCs w:val="24"/>
                <w:highlight w:val="none"/>
              </w:rPr>
              <w:t>采购人委托评标委员会确定</w:t>
            </w:r>
          </w:p>
          <w:p w14:paraId="60B5481C">
            <w:pPr>
              <w:pStyle w:val="3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Theme="minorEastAsia" w:hAnsiTheme="minorEastAsia" w:eastAsiaTheme="minorEastAsia"/>
                <w:b w:val="0"/>
                <w:bCs w:val="0"/>
                <w:color w:val="auto"/>
                <w:kern w:val="2"/>
                <w:sz w:val="24"/>
                <w:szCs w:val="24"/>
                <w:highlight w:val="none"/>
              </w:rPr>
              <w:t>□采购人确定</w:t>
            </w:r>
          </w:p>
        </w:tc>
      </w:tr>
      <w:tr w14:paraId="70DE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060C699F">
            <w:pPr>
              <w:pStyle w:val="32"/>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ascii="宋体" w:hAnsi="宋体" w:eastAsia="宋体"/>
                <w:bCs/>
                <w:color w:val="auto"/>
                <w:kern w:val="2"/>
                <w:highlight w:val="none"/>
              </w:rPr>
              <w:t>2</w:t>
            </w:r>
            <w:r>
              <w:rPr>
                <w:rFonts w:hint="eastAsia" w:ascii="宋体" w:hAnsi="宋体" w:eastAsia="宋体"/>
                <w:bCs/>
                <w:color w:val="auto"/>
                <w:kern w:val="2"/>
                <w:highlight w:val="none"/>
                <w:lang w:val="en-US" w:eastAsia="zh-CN"/>
              </w:rPr>
              <w:t>3</w:t>
            </w:r>
            <w:r>
              <w:rPr>
                <w:rFonts w:ascii="宋体" w:hAnsi="宋体" w:eastAsia="宋体"/>
                <w:bCs/>
                <w:color w:val="auto"/>
                <w:kern w:val="2"/>
                <w:highlight w:val="none"/>
              </w:rPr>
              <w:t>.3</w:t>
            </w:r>
          </w:p>
        </w:tc>
        <w:tc>
          <w:tcPr>
            <w:tcW w:w="805" w:type="pct"/>
            <w:vAlign w:val="center"/>
          </w:tcPr>
          <w:p w14:paraId="7736B9AD">
            <w:pPr>
              <w:pStyle w:val="3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随中标结果公告同时</w:t>
            </w:r>
            <w:r>
              <w:rPr>
                <w:rFonts w:hint="eastAsia" w:ascii="宋体" w:hAnsi="宋体" w:eastAsia="宋体"/>
                <w:b w:val="0"/>
                <w:color w:val="auto"/>
                <w:sz w:val="24"/>
                <w:highlight w:val="none"/>
                <w:lang w:val="en-US" w:eastAsia="zh-CN"/>
              </w:rPr>
              <w:t>公告</w:t>
            </w:r>
            <w:r>
              <w:rPr>
                <w:rFonts w:hint="eastAsia" w:ascii="宋体" w:hAnsi="宋体" w:eastAsia="宋体"/>
                <w:b w:val="0"/>
                <w:color w:val="auto"/>
                <w:sz w:val="24"/>
                <w:highlight w:val="none"/>
              </w:rPr>
              <w:t>的内容</w:t>
            </w:r>
          </w:p>
        </w:tc>
        <w:tc>
          <w:tcPr>
            <w:tcW w:w="3614" w:type="pct"/>
            <w:vAlign w:val="center"/>
          </w:tcPr>
          <w:p w14:paraId="4FEB0623">
            <w:pPr>
              <w:pStyle w:val="31"/>
              <w:widowControl w:val="0"/>
              <w:spacing w:before="0" w:beforeAutospacing="0" w:after="0" w:afterAutospacing="0" w:line="360" w:lineRule="auto"/>
              <w:jc w:val="both"/>
              <w:rPr>
                <w:rFonts w:ascii="宋体" w:hAnsi="宋体" w:eastAsia="宋体"/>
                <w:b w:val="0"/>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1</w:t>
            </w:r>
            <w:r>
              <w:rPr>
                <w:rFonts w:hint="eastAsia" w:ascii="宋体" w:hAnsi="宋体" w:eastAsia="宋体"/>
                <w:b w:val="0"/>
                <w:color w:val="auto"/>
                <w:sz w:val="24"/>
                <w:highlight w:val="none"/>
                <w:u w:val="none"/>
              </w:rPr>
              <w:t>）中小企业声明函；</w:t>
            </w:r>
            <w:r>
              <w:rPr>
                <w:rFonts w:hint="eastAsia" w:ascii="宋体" w:hAnsi="宋体" w:eastAsia="宋体"/>
                <w:b w:val="0"/>
                <w:i/>
                <w:iCs/>
                <w:color w:val="auto"/>
                <w:sz w:val="24"/>
                <w:highlight w:val="none"/>
                <w:u w:val="none"/>
              </w:rPr>
              <w:t>（如有）</w:t>
            </w:r>
          </w:p>
          <w:p w14:paraId="11182EB2">
            <w:pPr>
              <w:pStyle w:val="31"/>
              <w:widowControl w:val="0"/>
              <w:spacing w:before="0" w:beforeAutospacing="0" w:after="0" w:afterAutospacing="0" w:line="360" w:lineRule="auto"/>
              <w:jc w:val="both"/>
              <w:rPr>
                <w:rFonts w:ascii="宋体" w:hAnsi="宋体" w:eastAsia="宋体"/>
                <w:b w:val="0"/>
                <w:i/>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2</w:t>
            </w:r>
            <w:r>
              <w:rPr>
                <w:rFonts w:hint="eastAsia" w:ascii="宋体" w:hAnsi="宋体" w:eastAsia="宋体"/>
                <w:b w:val="0"/>
                <w:color w:val="auto"/>
                <w:sz w:val="24"/>
                <w:highlight w:val="none"/>
                <w:u w:val="none"/>
              </w:rPr>
              <w:t>）残疾人福利性单位声明函；</w:t>
            </w:r>
            <w:r>
              <w:rPr>
                <w:rFonts w:hint="eastAsia" w:ascii="宋体" w:hAnsi="宋体" w:eastAsia="宋体"/>
                <w:b w:val="0"/>
                <w:i/>
                <w:iCs/>
                <w:color w:val="auto"/>
                <w:sz w:val="24"/>
                <w:highlight w:val="none"/>
                <w:u w:val="none"/>
              </w:rPr>
              <w:t>（如有）</w:t>
            </w:r>
          </w:p>
          <w:p w14:paraId="339BBED9">
            <w:pPr>
              <w:pStyle w:val="31"/>
              <w:widowControl w:val="0"/>
              <w:spacing w:before="0" w:beforeAutospacing="0" w:after="0" w:afterAutospacing="0" w:line="360" w:lineRule="auto"/>
              <w:jc w:val="both"/>
              <w:rPr>
                <w:rFonts w:ascii="宋体" w:hAnsi="宋体" w:eastAsia="宋体"/>
                <w:b w:val="0"/>
                <w:bCs w:val="0"/>
                <w:color w:val="auto"/>
                <w:sz w:val="24"/>
                <w:szCs w:val="24"/>
                <w:highlight w:val="none"/>
              </w:rPr>
            </w:pP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lang w:val="en-US" w:eastAsia="zh-CN"/>
              </w:rPr>
              <w:t>3</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中标</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成交</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供应商的评审总得分</w:t>
            </w:r>
            <w:r>
              <w:rPr>
                <w:rFonts w:hint="eastAsia" w:ascii="宋体" w:hAnsi="宋体" w:eastAsia="宋体"/>
                <w:b w:val="0"/>
                <w:i/>
                <w:iCs/>
                <w:color w:val="auto"/>
                <w:sz w:val="24"/>
                <w:highlight w:val="none"/>
                <w:u w:val="none"/>
                <w:lang w:eastAsia="zh-CN"/>
              </w:rPr>
              <w:t>（</w:t>
            </w:r>
            <w:r>
              <w:rPr>
                <w:rFonts w:hint="eastAsia" w:ascii="宋体" w:hAnsi="宋体" w:eastAsia="宋体"/>
                <w:b w:val="0"/>
                <w:i/>
                <w:iCs/>
                <w:color w:val="auto"/>
                <w:sz w:val="24"/>
                <w:highlight w:val="none"/>
                <w:u w:val="none"/>
                <w:lang w:val="en-US" w:eastAsia="zh-CN"/>
              </w:rPr>
              <w:t>适用综合评分法</w:t>
            </w:r>
            <w:r>
              <w:rPr>
                <w:rFonts w:hint="eastAsia" w:ascii="宋体" w:hAnsi="宋体" w:eastAsia="宋体"/>
                <w:b w:val="0"/>
                <w:i/>
                <w:iCs/>
                <w:color w:val="auto"/>
                <w:sz w:val="24"/>
                <w:highlight w:val="none"/>
                <w:u w:val="none"/>
                <w:lang w:eastAsia="zh-CN"/>
              </w:rPr>
              <w:t>）</w:t>
            </w:r>
          </w:p>
        </w:tc>
      </w:tr>
      <w:tr w14:paraId="06F0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571A383A">
            <w:pPr>
              <w:pStyle w:val="32"/>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4</w:t>
            </w:r>
            <w:r>
              <w:rPr>
                <w:rFonts w:ascii="宋体" w:hAnsi="宋体" w:eastAsia="宋体"/>
                <w:bCs/>
                <w:color w:val="auto"/>
                <w:kern w:val="2"/>
                <w:highlight w:val="none"/>
              </w:rPr>
              <w:t>.1</w:t>
            </w:r>
          </w:p>
        </w:tc>
        <w:tc>
          <w:tcPr>
            <w:tcW w:w="805" w:type="pct"/>
            <w:vAlign w:val="center"/>
          </w:tcPr>
          <w:p w14:paraId="5150AC2B">
            <w:pPr>
              <w:pStyle w:val="3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中标通知书发出的形式</w:t>
            </w:r>
          </w:p>
        </w:tc>
        <w:tc>
          <w:tcPr>
            <w:tcW w:w="3614" w:type="pct"/>
            <w:vAlign w:val="center"/>
          </w:tcPr>
          <w:p w14:paraId="1335760F">
            <w:pPr>
              <w:pStyle w:val="31"/>
              <w:widowControl w:val="0"/>
              <w:spacing w:before="0" w:beforeAutospacing="0" w:after="0" w:afterAutospacing="0" w:line="360" w:lineRule="auto"/>
              <w:jc w:val="both"/>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 xml:space="preserve">□书面 </w:t>
            </w:r>
            <w:r>
              <w:rPr>
                <w:rFonts w:ascii="宋体" w:hAnsi="宋体" w:eastAsia="宋体"/>
                <w:b w:val="0"/>
                <w:bCs w:val="0"/>
                <w:color w:val="auto"/>
                <w:sz w:val="24"/>
                <w:szCs w:val="24"/>
                <w:highlight w:val="none"/>
              </w:rPr>
              <w:t xml:space="preserve">    </w:t>
            </w:r>
            <w:r>
              <w:rPr>
                <w:rFonts w:hint="eastAsia" w:ascii="宋体" w:hAnsi="宋体" w:eastAsia="宋体"/>
                <w:b w:val="0"/>
                <w:bCs w:val="0"/>
                <w:color w:val="auto"/>
                <w:sz w:val="24"/>
                <w:szCs w:val="24"/>
                <w:highlight w:val="none"/>
              </w:rPr>
              <w:sym w:font="Wingdings" w:char="00FE"/>
            </w:r>
            <w:r>
              <w:rPr>
                <w:rFonts w:hint="eastAsia" w:ascii="宋体" w:hAnsi="宋体" w:eastAsia="宋体"/>
                <w:b w:val="0"/>
                <w:bCs w:val="0"/>
                <w:color w:val="auto"/>
                <w:sz w:val="24"/>
                <w:szCs w:val="24"/>
                <w:highlight w:val="none"/>
              </w:rPr>
              <w:t>数据电文</w:t>
            </w:r>
          </w:p>
        </w:tc>
      </w:tr>
      <w:tr w14:paraId="2295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4439DE4D">
            <w:pPr>
              <w:pStyle w:val="32"/>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25</w:t>
            </w:r>
            <w:r>
              <w:rPr>
                <w:rFonts w:ascii="宋体" w:hAnsi="宋体" w:eastAsia="宋体"/>
                <w:bCs/>
                <w:color w:val="auto"/>
                <w:kern w:val="2"/>
                <w:highlight w:val="none"/>
              </w:rPr>
              <w:t>.1</w:t>
            </w:r>
          </w:p>
        </w:tc>
        <w:tc>
          <w:tcPr>
            <w:tcW w:w="805" w:type="pct"/>
            <w:vAlign w:val="center"/>
          </w:tcPr>
          <w:p w14:paraId="0AB2107F">
            <w:pPr>
              <w:pStyle w:val="3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告知招标结果的形式</w:t>
            </w:r>
          </w:p>
        </w:tc>
        <w:tc>
          <w:tcPr>
            <w:tcW w:w="3614" w:type="pct"/>
            <w:vAlign w:val="center"/>
          </w:tcPr>
          <w:p w14:paraId="1AEB87A7">
            <w:pPr>
              <w:spacing w:line="360" w:lineRule="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val="0"/>
                <w:bCs w:val="0"/>
                <w:color w:val="auto"/>
                <w:kern w:val="0"/>
                <w:sz w:val="24"/>
                <w:szCs w:val="24"/>
                <w:highlight w:val="none"/>
              </w:rPr>
              <w:sym w:font="Wingdings" w:char="00FE"/>
            </w:r>
            <w:r>
              <w:rPr>
                <w:rFonts w:hint="eastAsia" w:asciiTheme="minorEastAsia" w:hAnsiTheme="minorEastAsia" w:eastAsiaTheme="minorEastAsia"/>
                <w:color w:val="auto"/>
                <w:kern w:val="0"/>
                <w:sz w:val="24"/>
                <w:szCs w:val="24"/>
                <w:highlight w:val="none"/>
              </w:rPr>
              <w:t>投标人自行登录电子</w:t>
            </w:r>
            <w:r>
              <w:rPr>
                <w:rFonts w:hint="eastAsia" w:ascii="宋体" w:hAnsi="宋体" w:eastAsia="宋体" w:cs="宋体"/>
                <w:b w:val="0"/>
                <w:bCs w:val="0"/>
                <w:color w:val="auto"/>
                <w:sz w:val="24"/>
                <w:szCs w:val="24"/>
                <w:highlight w:val="none"/>
                <w:lang w:val="en-US" w:eastAsia="zh-CN"/>
              </w:rPr>
              <w:t>交易</w:t>
            </w:r>
            <w:r>
              <w:rPr>
                <w:rFonts w:hint="eastAsia" w:asciiTheme="minorEastAsia" w:hAnsiTheme="minorEastAsia" w:eastAsiaTheme="minorEastAsia"/>
                <w:color w:val="auto"/>
                <w:kern w:val="0"/>
                <w:sz w:val="24"/>
                <w:szCs w:val="24"/>
                <w:highlight w:val="none"/>
              </w:rPr>
              <w:t>系统查看</w:t>
            </w:r>
          </w:p>
          <w:p w14:paraId="7714620C">
            <w:pPr>
              <w:pStyle w:val="31"/>
              <w:widowControl w:val="0"/>
              <w:spacing w:before="0" w:beforeAutospacing="0" w:after="0" w:afterAutospacing="0" w:line="360" w:lineRule="auto"/>
              <w:jc w:val="both"/>
              <w:rPr>
                <w:rFonts w:hint="default" w:asciiTheme="minorEastAsia" w:hAnsiTheme="minorEastAsia" w:eastAsiaTheme="minorEastAsia"/>
                <w:b w:val="0"/>
                <w:bCs w:val="0"/>
                <w:color w:val="auto"/>
                <w:kern w:val="2"/>
                <w:sz w:val="24"/>
                <w:szCs w:val="24"/>
                <w:highlight w:val="none"/>
                <w:lang w:val="en-US" w:eastAsia="zh-CN"/>
              </w:rPr>
            </w:pPr>
            <w:r>
              <w:rPr>
                <w:rFonts w:hint="eastAsia" w:asciiTheme="minorEastAsia" w:hAnsiTheme="minorEastAsia" w:eastAsiaTheme="minorEastAsia"/>
                <w:b w:val="0"/>
                <w:bCs w:val="0"/>
                <w:color w:val="auto"/>
                <w:kern w:val="2"/>
                <w:sz w:val="24"/>
                <w:szCs w:val="24"/>
                <w:highlight w:val="none"/>
              </w:rPr>
              <w:t>□评标现场告知</w:t>
            </w:r>
          </w:p>
        </w:tc>
      </w:tr>
      <w:tr w14:paraId="0B2FB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9" w:type="pct"/>
            <w:vAlign w:val="center"/>
          </w:tcPr>
          <w:p w14:paraId="6F820DF1">
            <w:pPr>
              <w:pStyle w:val="32"/>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26</w:t>
            </w:r>
            <w:r>
              <w:rPr>
                <w:rFonts w:ascii="宋体" w:hAnsi="宋体" w:eastAsia="宋体"/>
                <w:bCs/>
                <w:color w:val="auto"/>
                <w:kern w:val="2"/>
                <w:highlight w:val="none"/>
              </w:rPr>
              <w:t>.1</w:t>
            </w:r>
          </w:p>
        </w:tc>
        <w:tc>
          <w:tcPr>
            <w:tcW w:w="805" w:type="pct"/>
            <w:vAlign w:val="center"/>
          </w:tcPr>
          <w:p w14:paraId="0A249D63">
            <w:pPr>
              <w:pStyle w:val="3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614" w:type="pct"/>
            <w:vAlign w:val="top"/>
          </w:tcPr>
          <w:p w14:paraId="3C6244EA">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08267494">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免收</w:t>
            </w:r>
          </w:p>
          <w:p w14:paraId="0D3BB4B3">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合同价的</w:t>
            </w:r>
            <w:r>
              <w:rPr>
                <w:rFonts w:ascii="宋体" w:hAnsi="宋体" w:eastAsia="宋体"/>
                <w:bCs/>
                <w:color w:val="auto"/>
                <w:kern w:val="0"/>
                <w:sz w:val="24"/>
                <w:szCs w:val="28"/>
                <w:highlight w:val="none"/>
                <w:u w:val="single"/>
              </w:rPr>
              <w:t xml:space="preserve">   </w:t>
            </w:r>
            <w:r>
              <w:rPr>
                <w:rFonts w:ascii="宋体" w:hAnsi="宋体" w:eastAsia="宋体"/>
                <w:bCs/>
                <w:color w:val="auto"/>
                <w:kern w:val="0"/>
                <w:sz w:val="24"/>
                <w:szCs w:val="28"/>
                <w:highlight w:val="none"/>
              </w:rPr>
              <w:t>%</w:t>
            </w:r>
          </w:p>
          <w:p w14:paraId="769CD0D0">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元</w:t>
            </w:r>
          </w:p>
          <w:p w14:paraId="3FAA3FB5">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254D060E">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FE"/>
            </w:r>
            <w:r>
              <w:rPr>
                <w:rFonts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FE"/>
            </w:r>
            <w:r>
              <w:rPr>
                <w:rFonts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FE"/>
            </w:r>
            <w:r>
              <w:rPr>
                <w:rFonts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FE"/>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FE"/>
            </w:r>
            <w:r>
              <w:rPr>
                <w:rFonts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FE"/>
            </w:r>
            <w:r>
              <w:rPr>
                <w:rFonts w:hint="eastAsia" w:ascii="宋体" w:hAnsi="宋体" w:eastAsia="宋体"/>
                <w:bCs/>
                <w:color w:val="auto"/>
                <w:kern w:val="0"/>
                <w:sz w:val="24"/>
                <w:szCs w:val="28"/>
                <w:highlight w:val="none"/>
              </w:rPr>
              <w:t>保</w:t>
            </w:r>
            <w:r>
              <w:rPr>
                <w:rFonts w:ascii="宋体" w:hAnsi="宋体" w:eastAsia="宋体"/>
                <w:bCs/>
                <w:color w:val="auto"/>
                <w:kern w:val="0"/>
                <w:sz w:val="24"/>
                <w:szCs w:val="28"/>
                <w:highlight w:val="none"/>
              </w:rPr>
              <w:t>函</w:t>
            </w:r>
          </w:p>
          <w:p w14:paraId="60AED4C8">
            <w:pPr>
              <w:numPr>
                <w:ilvl w:val="0"/>
                <w:numId w:val="0"/>
              </w:num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3</w:t>
            </w: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收取单位：</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 xml:space="preserve">              </w:t>
            </w:r>
          </w:p>
          <w:p w14:paraId="7142C919">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val="en-US" w:eastAsia="zh-CN"/>
              </w:rPr>
              <w:t>（4）收取账号：</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w:t>
            </w:r>
            <w:r>
              <w:rPr>
                <w:rFonts w:hint="eastAsia" w:ascii="宋体" w:hAnsi="宋体" w:eastAsia="宋体"/>
                <w:bCs/>
                <w:color w:val="auto"/>
                <w:kern w:val="0"/>
                <w:sz w:val="24"/>
                <w:szCs w:val="28"/>
                <w:highlight w:val="none"/>
                <w:u w:val="single"/>
              </w:rPr>
              <w:t xml:space="preserve">         </w:t>
            </w:r>
          </w:p>
          <w:p w14:paraId="2049055E">
            <w:pPr>
              <w:spacing w:line="360" w:lineRule="auto"/>
              <w:rPr>
                <w:rFonts w:ascii="宋体" w:hAnsi="宋体" w:eastAsia="宋体"/>
                <w:color w:val="auto"/>
                <w:sz w:val="24"/>
                <w:highlight w:val="none"/>
              </w:rPr>
            </w:pPr>
            <w:r>
              <w:rPr>
                <w:rFonts w:hint="eastAsia"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lang w:val="en-US" w:eastAsia="zh-CN"/>
              </w:rPr>
              <w:t>5</w:t>
            </w:r>
            <w:r>
              <w:rPr>
                <w:rFonts w:hint="eastAsia" w:ascii="宋体" w:hAnsi="宋体" w:eastAsia="宋体"/>
                <w:bCs/>
                <w:color w:val="auto"/>
                <w:kern w:val="0"/>
                <w:sz w:val="24"/>
                <w:szCs w:val="28"/>
                <w:highlight w:val="none"/>
              </w:rPr>
              <w:t>）</w:t>
            </w:r>
            <w:r>
              <w:rPr>
                <w:rFonts w:hint="eastAsia" w:ascii="宋体" w:hAnsi="宋体" w:eastAsia="宋体"/>
                <w:color w:val="auto"/>
                <w:sz w:val="24"/>
                <w:highlight w:val="none"/>
              </w:rPr>
              <w:t>退还时间：</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w:t>
            </w:r>
            <w:r>
              <w:rPr>
                <w:rFonts w:hint="eastAsia" w:ascii="宋体" w:hAnsi="宋体" w:eastAsia="宋体"/>
                <w:bCs/>
                <w:color w:val="auto"/>
                <w:kern w:val="0"/>
                <w:sz w:val="24"/>
                <w:szCs w:val="28"/>
                <w:highlight w:val="none"/>
                <w:u w:val="single"/>
              </w:rPr>
              <w:t xml:space="preserve">         </w:t>
            </w:r>
          </w:p>
          <w:p w14:paraId="38474A14">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41A46031">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78D3904A">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（2）以担保函、保证保险形式缴纳履约保证金的，受益人和收取单位须为采购人。</w:t>
            </w:r>
          </w:p>
        </w:tc>
      </w:tr>
      <w:tr w14:paraId="4C4B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79" w:type="pct"/>
            <w:vAlign w:val="center"/>
          </w:tcPr>
          <w:p w14:paraId="33D01A88">
            <w:pPr>
              <w:pStyle w:val="32"/>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27</w:t>
            </w:r>
            <w:r>
              <w:rPr>
                <w:rFonts w:ascii="宋体" w:hAnsi="宋体" w:eastAsia="宋体"/>
                <w:bCs/>
                <w:color w:val="auto"/>
                <w:kern w:val="2"/>
                <w:highlight w:val="none"/>
              </w:rPr>
              <w:t>.1</w:t>
            </w:r>
          </w:p>
        </w:tc>
        <w:tc>
          <w:tcPr>
            <w:tcW w:w="805" w:type="pct"/>
            <w:vAlign w:val="center"/>
          </w:tcPr>
          <w:p w14:paraId="666BCA9C">
            <w:pPr>
              <w:pStyle w:val="31"/>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lang w:val="en-US" w:eastAsia="zh-CN"/>
              </w:rPr>
              <w:t>签订合同和合同公告时间</w:t>
            </w:r>
          </w:p>
        </w:tc>
        <w:tc>
          <w:tcPr>
            <w:tcW w:w="3614" w:type="pct"/>
          </w:tcPr>
          <w:p w14:paraId="3C901820">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ascii="宋体" w:hAnsi="宋体" w:eastAsia="宋体" w:cs="宋体"/>
                <w:sz w:val="24"/>
                <w:szCs w:val="24"/>
              </w:rPr>
            </w:pPr>
            <w:r>
              <w:rPr>
                <w:rFonts w:ascii="宋体" w:hAnsi="宋体" w:eastAsia="宋体" w:cs="宋体"/>
                <w:sz w:val="24"/>
                <w:szCs w:val="24"/>
              </w:rPr>
              <w:t>（1）采购人与中标人应当自发出中标通知书之日起7个工作日内签订合同，采购合同签订之日起2个工作日内完成政府采购合同公开。</w:t>
            </w:r>
          </w:p>
          <w:p w14:paraId="63FD87B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b/>
                <w:bCs/>
                <w:color w:val="auto"/>
                <w:kern w:val="0"/>
                <w:sz w:val="24"/>
                <w:szCs w:val="24"/>
                <w:highlight w:val="none"/>
                <w:lang w:val="en-US"/>
              </w:rPr>
            </w:pPr>
            <w:r>
              <w:rPr>
                <w:rFonts w:ascii="宋体" w:hAnsi="宋体" w:eastAsia="宋体" w:cs="宋体"/>
                <w:sz w:val="24"/>
                <w:szCs w:val="24"/>
              </w:rPr>
              <w:t>（2）采购人与中标人不得擅自变更合同，依照政府采购法确需变更政府采购合同内容的，采购人应当自合同变更之日起2个工作日内在安徽省政府采购网发布政府采购合同变更公告，但涉及国家秘密、商业秘密的信息和其他依法不得公开的信息除外。</w:t>
            </w:r>
          </w:p>
        </w:tc>
      </w:tr>
      <w:tr w14:paraId="22378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3FC76C1F">
            <w:pPr>
              <w:pStyle w:val="32"/>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28</w:t>
            </w:r>
            <w:r>
              <w:rPr>
                <w:rFonts w:ascii="宋体" w:hAnsi="宋体" w:eastAsia="宋体"/>
                <w:bCs/>
                <w:color w:val="auto"/>
                <w:kern w:val="2"/>
                <w:highlight w:val="none"/>
              </w:rPr>
              <w:t>.1</w:t>
            </w:r>
          </w:p>
        </w:tc>
        <w:tc>
          <w:tcPr>
            <w:tcW w:w="805" w:type="pct"/>
            <w:vAlign w:val="center"/>
          </w:tcPr>
          <w:p w14:paraId="01794C5E">
            <w:pPr>
              <w:pStyle w:val="31"/>
              <w:widowControl w:val="0"/>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lang w:val="en-US" w:eastAsia="zh-CN"/>
              </w:rPr>
              <w:t>代理费用</w:t>
            </w:r>
          </w:p>
        </w:tc>
        <w:tc>
          <w:tcPr>
            <w:tcW w:w="3614" w:type="pct"/>
            <w:vAlign w:val="center"/>
          </w:tcPr>
          <w:p w14:paraId="62060918">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color w:val="auto"/>
                <w:spacing w:val="-12"/>
                <w:sz w:val="24"/>
                <w:szCs w:val="24"/>
                <w:highlight w:val="none"/>
              </w:rPr>
              <w:t>：</w:t>
            </w:r>
            <w:r>
              <w:rPr>
                <w:rFonts w:hint="eastAsia" w:ascii="宋体" w:hAnsi="宋体" w:eastAsia="宋体"/>
                <w:bCs/>
                <w:color w:val="auto"/>
                <w:kern w:val="0"/>
                <w:sz w:val="24"/>
                <w:szCs w:val="28"/>
                <w:highlight w:val="none"/>
              </w:rPr>
              <w:sym w:font="Wingdings" w:char="00A8"/>
            </w:r>
            <w:r>
              <w:rPr>
                <w:rFonts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lang w:val="en-US" w:eastAsia="zh-CN"/>
              </w:rPr>
              <w:t xml:space="preserve">   </w:t>
            </w:r>
            <w:r>
              <w:rPr>
                <w:rFonts w:hint="eastAsia" w:ascii="宋体" w:hAnsi="宋体" w:eastAsia="宋体"/>
                <w:bCs/>
                <w:color w:val="auto"/>
                <w:kern w:val="0"/>
                <w:sz w:val="24"/>
                <w:szCs w:val="28"/>
                <w:highlight w:val="none"/>
              </w:rPr>
              <w:sym w:font="Wingdings" w:char="00FE"/>
            </w:r>
            <w:r>
              <w:rPr>
                <w:rFonts w:hint="eastAsia" w:ascii="宋体" w:hAnsi="宋体" w:eastAsia="宋体" w:cs="宋体"/>
                <w:color w:val="auto"/>
                <w:spacing w:val="14"/>
                <w:sz w:val="24"/>
                <w:szCs w:val="24"/>
                <w:highlight w:val="none"/>
                <w:lang w:val="en-US" w:eastAsia="zh-CN"/>
              </w:rPr>
              <w:t>中标人</w:t>
            </w:r>
          </w:p>
          <w:p w14:paraId="1FF9C5C5">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rPr>
              <w:t>转账/电汇</w:t>
            </w:r>
            <w:r>
              <w:rPr>
                <w:rFonts w:ascii="宋体" w:hAnsi="宋体" w:eastAsia="宋体" w:cs="宋体"/>
                <w:color w:val="auto"/>
                <w:sz w:val="24"/>
                <w:szCs w:val="24"/>
                <w:highlight w:val="none"/>
                <w:u w:val="single" w:color="auto"/>
              </w:rPr>
              <w:t xml:space="preserve"> </w:t>
            </w:r>
          </w:p>
          <w:p w14:paraId="53F59AA2">
            <w:pPr>
              <w:widowControl/>
              <w:adjustRightInd w:val="0"/>
              <w:snapToGrid w:val="0"/>
              <w:spacing w:before="96" w:beforeLines="40" w:after="96" w:afterLines="40" w:line="360" w:lineRule="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hint="eastAsia" w:ascii="宋体" w:hAnsi="宋体" w:eastAsia="宋体" w:cs="@仿宋_GB2312"/>
                <w:b w:val="0"/>
                <w:bCs/>
                <w:color w:val="auto"/>
                <w:kern w:val="0"/>
                <w:sz w:val="24"/>
                <w:szCs w:val="28"/>
                <w:highlight w:val="none"/>
                <w:lang w:val="en-US" w:eastAsia="zh-CN" w:bidi="ar-SA"/>
              </w:rPr>
              <w:t>代理服务费由中标人领取中标通知书时支付。</w:t>
            </w:r>
          </w:p>
          <w:p w14:paraId="6C42770B">
            <w:pPr>
              <w:widowControl/>
              <w:adjustRightInd w:val="0"/>
              <w:snapToGrid w:val="0"/>
              <w:spacing w:before="96" w:beforeLines="40" w:after="96" w:afterLines="40" w:line="360" w:lineRule="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以中标金额为基数，中标服务费的收取采用差额定率累进计费方式，具体收费标准按原国计委《招标代理服务收费管理暂行办法》【2002】1980号文件收费标准向中标人收取,不足贰仟伍佰元的按贰仟伍佰元收取。</w:t>
            </w:r>
          </w:p>
          <w:p w14:paraId="4F5510DD">
            <w:pPr>
              <w:widowControl/>
              <w:adjustRightInd w:val="0"/>
              <w:snapToGrid w:val="0"/>
              <w:spacing w:before="96" w:beforeLines="40" w:after="96" w:afterLines="40" w:line="360" w:lineRule="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 xml:space="preserve">原国计委《招标代理服务收费管理暂行办法》【2002】1980号文件收费标准 </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08"/>
              <w:gridCol w:w="1475"/>
              <w:gridCol w:w="1475"/>
              <w:gridCol w:w="1476"/>
            </w:tblGrid>
            <w:tr w14:paraId="084BE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 w:hRule="atLeast"/>
                <w:jc w:val="center"/>
              </w:trPr>
              <w:tc>
                <w:tcPr>
                  <w:tcW w:w="1652" w:type="dxa"/>
                  <w:noWrap w:val="0"/>
                  <w:vAlign w:val="top"/>
                </w:tcPr>
                <w:p w14:paraId="228B76B3">
                  <w:pPr>
                    <w:widowControl/>
                    <w:adjustRightInd w:val="0"/>
                    <w:snapToGrid w:val="0"/>
                    <w:spacing w:before="96" w:beforeLines="40" w:after="96" w:afterLines="40" w:line="360" w:lineRule="auto"/>
                    <w:jc w:val="center"/>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中标金额（万元）</w:t>
                  </w:r>
                </w:p>
              </w:tc>
              <w:tc>
                <w:tcPr>
                  <w:tcW w:w="1678" w:type="dxa"/>
                  <w:noWrap w:val="0"/>
                  <w:vAlign w:val="center"/>
                </w:tcPr>
                <w:p w14:paraId="37B4357D">
                  <w:pPr>
                    <w:widowControl/>
                    <w:adjustRightInd w:val="0"/>
                    <w:snapToGrid w:val="0"/>
                    <w:spacing w:before="96" w:beforeLines="40" w:after="96" w:afterLines="40" w:line="360" w:lineRule="auto"/>
                    <w:jc w:val="center"/>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货物</w:t>
                  </w:r>
                </w:p>
              </w:tc>
              <w:tc>
                <w:tcPr>
                  <w:tcW w:w="1678" w:type="dxa"/>
                  <w:noWrap w:val="0"/>
                  <w:vAlign w:val="center"/>
                </w:tcPr>
                <w:p w14:paraId="70338BCC">
                  <w:pPr>
                    <w:widowControl/>
                    <w:adjustRightInd w:val="0"/>
                    <w:snapToGrid w:val="0"/>
                    <w:spacing w:before="96" w:beforeLines="40" w:after="96" w:afterLines="40" w:line="360" w:lineRule="auto"/>
                    <w:jc w:val="center"/>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服务</w:t>
                  </w:r>
                </w:p>
              </w:tc>
              <w:tc>
                <w:tcPr>
                  <w:tcW w:w="1680" w:type="dxa"/>
                  <w:noWrap w:val="0"/>
                  <w:vAlign w:val="center"/>
                </w:tcPr>
                <w:p w14:paraId="07E3B559">
                  <w:pPr>
                    <w:widowControl/>
                    <w:adjustRightInd w:val="0"/>
                    <w:snapToGrid w:val="0"/>
                    <w:spacing w:before="96" w:beforeLines="40" w:after="96" w:afterLines="40" w:line="360" w:lineRule="auto"/>
                    <w:jc w:val="center"/>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工程</w:t>
                  </w:r>
                </w:p>
              </w:tc>
            </w:tr>
            <w:tr w14:paraId="5447D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jc w:val="center"/>
              </w:trPr>
              <w:tc>
                <w:tcPr>
                  <w:tcW w:w="1652" w:type="dxa"/>
                  <w:noWrap w:val="0"/>
                  <w:vAlign w:val="center"/>
                </w:tcPr>
                <w:p w14:paraId="059190BD">
                  <w:pPr>
                    <w:pStyle w:val="59"/>
                    <w:autoSpaceDE/>
                    <w:autoSpaceDN/>
                    <w:spacing w:line="360" w:lineRule="auto"/>
                    <w:ind w:left="224" w:right="102"/>
                    <w:jc w:val="center"/>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100 以下</w:t>
                  </w:r>
                </w:p>
              </w:tc>
              <w:tc>
                <w:tcPr>
                  <w:tcW w:w="1678" w:type="dxa"/>
                  <w:noWrap w:val="0"/>
                  <w:vAlign w:val="center"/>
                </w:tcPr>
                <w:p w14:paraId="13CF4353">
                  <w:pPr>
                    <w:pStyle w:val="59"/>
                    <w:autoSpaceDE/>
                    <w:autoSpaceDN/>
                    <w:spacing w:line="360" w:lineRule="auto"/>
                    <w:ind w:right="599"/>
                    <w:jc w:val="center"/>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1.5%</w:t>
                  </w:r>
                </w:p>
              </w:tc>
              <w:tc>
                <w:tcPr>
                  <w:tcW w:w="1678" w:type="dxa"/>
                  <w:noWrap w:val="0"/>
                  <w:vAlign w:val="center"/>
                </w:tcPr>
                <w:p w14:paraId="2A43DBA2">
                  <w:pPr>
                    <w:pStyle w:val="59"/>
                    <w:autoSpaceDE/>
                    <w:autoSpaceDN/>
                    <w:spacing w:line="360" w:lineRule="auto"/>
                    <w:ind w:right="599"/>
                    <w:jc w:val="center"/>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1.5%</w:t>
                  </w:r>
                </w:p>
              </w:tc>
              <w:tc>
                <w:tcPr>
                  <w:tcW w:w="1680" w:type="dxa"/>
                  <w:noWrap w:val="0"/>
                  <w:vAlign w:val="center"/>
                </w:tcPr>
                <w:p w14:paraId="66E4295D">
                  <w:pPr>
                    <w:pStyle w:val="59"/>
                    <w:autoSpaceDE/>
                    <w:autoSpaceDN/>
                    <w:spacing w:line="360" w:lineRule="auto"/>
                    <w:ind w:right="599"/>
                    <w:jc w:val="center"/>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1.0%</w:t>
                  </w:r>
                </w:p>
              </w:tc>
            </w:tr>
            <w:tr w14:paraId="0C01D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jc w:val="center"/>
              </w:trPr>
              <w:tc>
                <w:tcPr>
                  <w:tcW w:w="1652" w:type="dxa"/>
                  <w:noWrap w:val="0"/>
                  <w:vAlign w:val="center"/>
                </w:tcPr>
                <w:p w14:paraId="2E68E6FD">
                  <w:pPr>
                    <w:pStyle w:val="59"/>
                    <w:autoSpaceDE/>
                    <w:autoSpaceDN/>
                    <w:spacing w:line="360" w:lineRule="auto"/>
                    <w:ind w:left="226" w:right="102"/>
                    <w:jc w:val="center"/>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100-500</w:t>
                  </w:r>
                </w:p>
              </w:tc>
              <w:tc>
                <w:tcPr>
                  <w:tcW w:w="1678" w:type="dxa"/>
                  <w:noWrap w:val="0"/>
                  <w:vAlign w:val="center"/>
                </w:tcPr>
                <w:p w14:paraId="5D428E5C">
                  <w:pPr>
                    <w:pStyle w:val="59"/>
                    <w:autoSpaceDE/>
                    <w:autoSpaceDN/>
                    <w:spacing w:line="360" w:lineRule="auto"/>
                    <w:ind w:right="599"/>
                    <w:jc w:val="center"/>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1.1%</w:t>
                  </w:r>
                </w:p>
              </w:tc>
              <w:tc>
                <w:tcPr>
                  <w:tcW w:w="1678" w:type="dxa"/>
                  <w:noWrap w:val="0"/>
                  <w:vAlign w:val="center"/>
                </w:tcPr>
                <w:p w14:paraId="6E2FAB63">
                  <w:pPr>
                    <w:pStyle w:val="59"/>
                    <w:autoSpaceDE/>
                    <w:autoSpaceDN/>
                    <w:spacing w:line="360" w:lineRule="auto"/>
                    <w:ind w:right="599"/>
                    <w:jc w:val="center"/>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0.8%</w:t>
                  </w:r>
                </w:p>
              </w:tc>
              <w:tc>
                <w:tcPr>
                  <w:tcW w:w="1680" w:type="dxa"/>
                  <w:noWrap w:val="0"/>
                  <w:vAlign w:val="center"/>
                </w:tcPr>
                <w:p w14:paraId="59F1E5CE">
                  <w:pPr>
                    <w:pStyle w:val="59"/>
                    <w:autoSpaceDE/>
                    <w:autoSpaceDN/>
                    <w:spacing w:line="360" w:lineRule="auto"/>
                    <w:ind w:right="599"/>
                    <w:jc w:val="center"/>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0.7%</w:t>
                  </w:r>
                </w:p>
              </w:tc>
            </w:tr>
            <w:tr w14:paraId="197FB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jc w:val="center"/>
              </w:trPr>
              <w:tc>
                <w:tcPr>
                  <w:tcW w:w="1652" w:type="dxa"/>
                  <w:noWrap w:val="0"/>
                  <w:vAlign w:val="center"/>
                </w:tcPr>
                <w:p w14:paraId="22FAB7F8">
                  <w:pPr>
                    <w:pStyle w:val="59"/>
                    <w:autoSpaceDE/>
                    <w:autoSpaceDN/>
                    <w:spacing w:line="360" w:lineRule="auto"/>
                    <w:ind w:left="226" w:right="102"/>
                    <w:jc w:val="center"/>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500-1000</w:t>
                  </w:r>
                </w:p>
              </w:tc>
              <w:tc>
                <w:tcPr>
                  <w:tcW w:w="1678" w:type="dxa"/>
                  <w:noWrap w:val="0"/>
                  <w:vAlign w:val="center"/>
                </w:tcPr>
                <w:p w14:paraId="2AF335D5">
                  <w:pPr>
                    <w:pStyle w:val="59"/>
                    <w:autoSpaceDE/>
                    <w:autoSpaceDN/>
                    <w:spacing w:line="360" w:lineRule="auto"/>
                    <w:ind w:right="599"/>
                    <w:jc w:val="center"/>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0.8%</w:t>
                  </w:r>
                </w:p>
              </w:tc>
              <w:tc>
                <w:tcPr>
                  <w:tcW w:w="1678" w:type="dxa"/>
                  <w:noWrap w:val="0"/>
                  <w:vAlign w:val="center"/>
                </w:tcPr>
                <w:p w14:paraId="690E9EED">
                  <w:pPr>
                    <w:pStyle w:val="59"/>
                    <w:autoSpaceDE/>
                    <w:autoSpaceDN/>
                    <w:spacing w:line="360" w:lineRule="auto"/>
                    <w:ind w:right="599"/>
                    <w:jc w:val="center"/>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0.45%</w:t>
                  </w:r>
                </w:p>
              </w:tc>
              <w:tc>
                <w:tcPr>
                  <w:tcW w:w="1680" w:type="dxa"/>
                  <w:noWrap w:val="0"/>
                  <w:vAlign w:val="center"/>
                </w:tcPr>
                <w:p w14:paraId="017805D8">
                  <w:pPr>
                    <w:pStyle w:val="59"/>
                    <w:autoSpaceDE/>
                    <w:autoSpaceDN/>
                    <w:spacing w:line="360" w:lineRule="auto"/>
                    <w:ind w:right="599"/>
                    <w:jc w:val="center"/>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0.55%</w:t>
                  </w:r>
                </w:p>
              </w:tc>
            </w:tr>
            <w:tr w14:paraId="548B2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jc w:val="center"/>
              </w:trPr>
              <w:tc>
                <w:tcPr>
                  <w:tcW w:w="1652" w:type="dxa"/>
                  <w:noWrap w:val="0"/>
                  <w:vAlign w:val="center"/>
                </w:tcPr>
                <w:p w14:paraId="30122D63">
                  <w:pPr>
                    <w:pStyle w:val="59"/>
                    <w:autoSpaceDE/>
                    <w:autoSpaceDN/>
                    <w:spacing w:line="360" w:lineRule="auto"/>
                    <w:ind w:left="226" w:right="102"/>
                    <w:jc w:val="center"/>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1000-5000</w:t>
                  </w:r>
                </w:p>
              </w:tc>
              <w:tc>
                <w:tcPr>
                  <w:tcW w:w="1678" w:type="dxa"/>
                  <w:noWrap w:val="0"/>
                  <w:vAlign w:val="center"/>
                </w:tcPr>
                <w:p w14:paraId="362B77D3">
                  <w:pPr>
                    <w:pStyle w:val="59"/>
                    <w:autoSpaceDE/>
                    <w:autoSpaceDN/>
                    <w:spacing w:line="360" w:lineRule="auto"/>
                    <w:ind w:right="599"/>
                    <w:jc w:val="center"/>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0.5%</w:t>
                  </w:r>
                </w:p>
              </w:tc>
              <w:tc>
                <w:tcPr>
                  <w:tcW w:w="1678" w:type="dxa"/>
                  <w:noWrap w:val="0"/>
                  <w:vAlign w:val="center"/>
                </w:tcPr>
                <w:p w14:paraId="2EA4D6B8">
                  <w:pPr>
                    <w:pStyle w:val="59"/>
                    <w:autoSpaceDE/>
                    <w:autoSpaceDN/>
                    <w:spacing w:line="360" w:lineRule="auto"/>
                    <w:ind w:right="599"/>
                    <w:jc w:val="center"/>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0.25%</w:t>
                  </w:r>
                </w:p>
              </w:tc>
              <w:tc>
                <w:tcPr>
                  <w:tcW w:w="1680" w:type="dxa"/>
                  <w:noWrap w:val="0"/>
                  <w:vAlign w:val="center"/>
                </w:tcPr>
                <w:p w14:paraId="69CB24D5">
                  <w:pPr>
                    <w:pStyle w:val="59"/>
                    <w:autoSpaceDE/>
                    <w:autoSpaceDN/>
                    <w:spacing w:line="360" w:lineRule="auto"/>
                    <w:ind w:right="599"/>
                    <w:jc w:val="center"/>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0.35%</w:t>
                  </w:r>
                </w:p>
              </w:tc>
            </w:tr>
            <w:tr w14:paraId="2F138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jc w:val="center"/>
              </w:trPr>
              <w:tc>
                <w:tcPr>
                  <w:tcW w:w="1652" w:type="dxa"/>
                  <w:noWrap w:val="0"/>
                  <w:vAlign w:val="center"/>
                </w:tcPr>
                <w:p w14:paraId="681FF391">
                  <w:pPr>
                    <w:pStyle w:val="59"/>
                    <w:autoSpaceDE/>
                    <w:autoSpaceDN/>
                    <w:spacing w:line="360" w:lineRule="auto"/>
                    <w:ind w:left="226" w:right="102"/>
                    <w:jc w:val="center"/>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5000-10000</w:t>
                  </w:r>
                </w:p>
              </w:tc>
              <w:tc>
                <w:tcPr>
                  <w:tcW w:w="1678" w:type="dxa"/>
                  <w:noWrap w:val="0"/>
                  <w:vAlign w:val="center"/>
                </w:tcPr>
                <w:p w14:paraId="1C0EBE64">
                  <w:pPr>
                    <w:pStyle w:val="59"/>
                    <w:autoSpaceDE/>
                    <w:autoSpaceDN/>
                    <w:spacing w:line="360" w:lineRule="auto"/>
                    <w:ind w:right="599"/>
                    <w:jc w:val="center"/>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0.25%</w:t>
                  </w:r>
                </w:p>
              </w:tc>
              <w:tc>
                <w:tcPr>
                  <w:tcW w:w="1678" w:type="dxa"/>
                  <w:noWrap w:val="0"/>
                  <w:vAlign w:val="center"/>
                </w:tcPr>
                <w:p w14:paraId="50D9D61E">
                  <w:pPr>
                    <w:pStyle w:val="59"/>
                    <w:autoSpaceDE/>
                    <w:autoSpaceDN/>
                    <w:spacing w:line="360" w:lineRule="auto"/>
                    <w:ind w:right="599"/>
                    <w:jc w:val="center"/>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0.1%</w:t>
                  </w:r>
                </w:p>
              </w:tc>
              <w:tc>
                <w:tcPr>
                  <w:tcW w:w="1680" w:type="dxa"/>
                  <w:noWrap w:val="0"/>
                  <w:vAlign w:val="center"/>
                </w:tcPr>
                <w:p w14:paraId="096A81DB">
                  <w:pPr>
                    <w:pStyle w:val="59"/>
                    <w:autoSpaceDE/>
                    <w:autoSpaceDN/>
                    <w:spacing w:line="360" w:lineRule="auto"/>
                    <w:ind w:right="599"/>
                    <w:jc w:val="center"/>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0.2%</w:t>
                  </w:r>
                </w:p>
              </w:tc>
            </w:tr>
            <w:tr w14:paraId="476FD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652" w:type="dxa"/>
                  <w:noWrap w:val="0"/>
                  <w:vAlign w:val="center"/>
                </w:tcPr>
                <w:p w14:paraId="7CCF013D">
                  <w:pPr>
                    <w:pStyle w:val="59"/>
                    <w:autoSpaceDE/>
                    <w:autoSpaceDN/>
                    <w:spacing w:line="360" w:lineRule="auto"/>
                    <w:ind w:right="102"/>
                    <w:jc w:val="center"/>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10000-100000</w:t>
                  </w:r>
                </w:p>
              </w:tc>
              <w:tc>
                <w:tcPr>
                  <w:tcW w:w="1678" w:type="dxa"/>
                  <w:noWrap w:val="0"/>
                  <w:vAlign w:val="center"/>
                </w:tcPr>
                <w:p w14:paraId="6557E2D2">
                  <w:pPr>
                    <w:pStyle w:val="59"/>
                    <w:autoSpaceDE/>
                    <w:autoSpaceDN/>
                    <w:spacing w:line="360" w:lineRule="auto"/>
                    <w:ind w:right="599"/>
                    <w:jc w:val="center"/>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0.05%</w:t>
                  </w:r>
                </w:p>
              </w:tc>
              <w:tc>
                <w:tcPr>
                  <w:tcW w:w="1678" w:type="dxa"/>
                  <w:noWrap w:val="0"/>
                  <w:vAlign w:val="center"/>
                </w:tcPr>
                <w:p w14:paraId="60613DBA">
                  <w:pPr>
                    <w:pStyle w:val="59"/>
                    <w:autoSpaceDE/>
                    <w:autoSpaceDN/>
                    <w:spacing w:line="360" w:lineRule="auto"/>
                    <w:ind w:right="599"/>
                    <w:jc w:val="center"/>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0.05%</w:t>
                  </w:r>
                </w:p>
              </w:tc>
              <w:tc>
                <w:tcPr>
                  <w:tcW w:w="1680" w:type="dxa"/>
                  <w:noWrap w:val="0"/>
                  <w:vAlign w:val="center"/>
                </w:tcPr>
                <w:p w14:paraId="7B4116B4">
                  <w:pPr>
                    <w:pStyle w:val="59"/>
                    <w:autoSpaceDE/>
                    <w:autoSpaceDN/>
                    <w:spacing w:line="360" w:lineRule="auto"/>
                    <w:ind w:right="599"/>
                    <w:jc w:val="center"/>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0.05%</w:t>
                  </w:r>
                </w:p>
              </w:tc>
            </w:tr>
            <w:tr w14:paraId="599FE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 w:hRule="atLeast"/>
                <w:jc w:val="center"/>
              </w:trPr>
              <w:tc>
                <w:tcPr>
                  <w:tcW w:w="1652" w:type="dxa"/>
                  <w:noWrap w:val="0"/>
                  <w:vAlign w:val="center"/>
                </w:tcPr>
                <w:p w14:paraId="49759E1A">
                  <w:pPr>
                    <w:pStyle w:val="59"/>
                    <w:autoSpaceDE/>
                    <w:autoSpaceDN/>
                    <w:spacing w:line="360" w:lineRule="auto"/>
                    <w:ind w:right="102"/>
                    <w:jc w:val="center"/>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100000 以上</w:t>
                  </w:r>
                </w:p>
              </w:tc>
              <w:tc>
                <w:tcPr>
                  <w:tcW w:w="1678" w:type="dxa"/>
                  <w:noWrap w:val="0"/>
                  <w:vAlign w:val="center"/>
                </w:tcPr>
                <w:p w14:paraId="2D37A64D">
                  <w:pPr>
                    <w:pStyle w:val="59"/>
                    <w:autoSpaceDE/>
                    <w:autoSpaceDN/>
                    <w:spacing w:line="360" w:lineRule="auto"/>
                    <w:ind w:right="599"/>
                    <w:jc w:val="center"/>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0.01%</w:t>
                  </w:r>
                </w:p>
              </w:tc>
              <w:tc>
                <w:tcPr>
                  <w:tcW w:w="1678" w:type="dxa"/>
                  <w:noWrap w:val="0"/>
                  <w:vAlign w:val="center"/>
                </w:tcPr>
                <w:p w14:paraId="4EBD356A">
                  <w:pPr>
                    <w:pStyle w:val="59"/>
                    <w:autoSpaceDE/>
                    <w:autoSpaceDN/>
                    <w:spacing w:line="360" w:lineRule="auto"/>
                    <w:ind w:right="599"/>
                    <w:jc w:val="center"/>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0.01%</w:t>
                  </w:r>
                </w:p>
              </w:tc>
              <w:tc>
                <w:tcPr>
                  <w:tcW w:w="1680" w:type="dxa"/>
                  <w:noWrap w:val="0"/>
                  <w:vAlign w:val="center"/>
                </w:tcPr>
                <w:p w14:paraId="0323BFB3">
                  <w:pPr>
                    <w:pStyle w:val="59"/>
                    <w:autoSpaceDE/>
                    <w:autoSpaceDN/>
                    <w:spacing w:line="360" w:lineRule="auto"/>
                    <w:ind w:right="599"/>
                    <w:jc w:val="center"/>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0.01%</w:t>
                  </w:r>
                </w:p>
              </w:tc>
            </w:tr>
          </w:tbl>
          <w:p w14:paraId="01459D6B">
            <w:pPr>
              <w:pStyle w:val="31"/>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注:供应商投标前应综合考虑代理服务费，并计入响应报价中。</w:t>
            </w:r>
          </w:p>
          <w:p w14:paraId="49F3148C">
            <w:pPr>
              <w:pStyle w:val="31"/>
              <w:widowControl w:val="0"/>
              <w:spacing w:before="0" w:beforeAutospacing="0" w:after="0" w:afterAutospacing="0" w:line="360" w:lineRule="auto"/>
              <w:jc w:val="both"/>
              <w:rPr>
                <w:rFonts w:hint="default" w:ascii="宋体" w:hAnsi="宋体" w:eastAsia="宋体" w:cs="@仿宋_GB2312"/>
                <w:b w:val="0"/>
                <w:bCs/>
                <w:color w:val="auto"/>
                <w:kern w:val="0"/>
                <w:sz w:val="24"/>
                <w:szCs w:val="28"/>
                <w:highlight w:val="none"/>
                <w:lang w:val="en-US" w:eastAsia="zh-CN" w:bidi="ar-SA"/>
              </w:rPr>
            </w:pPr>
            <w:r>
              <w:rPr>
                <w:rFonts w:hint="default" w:ascii="宋体" w:hAnsi="宋体" w:eastAsia="宋体" w:cs="@仿宋_GB2312"/>
                <w:b w:val="0"/>
                <w:bCs/>
                <w:color w:val="auto"/>
                <w:kern w:val="0"/>
                <w:sz w:val="24"/>
                <w:szCs w:val="28"/>
                <w:highlight w:val="none"/>
                <w:lang w:val="en-US" w:eastAsia="zh-CN" w:bidi="ar-SA"/>
              </w:rPr>
              <w:t>（4）收取账号：</w:t>
            </w:r>
          </w:p>
          <w:p w14:paraId="41044D39">
            <w:pPr>
              <w:pStyle w:val="31"/>
              <w:widowControl w:val="0"/>
              <w:spacing w:before="0" w:beforeAutospacing="0" w:after="0" w:afterAutospacing="0" w:line="360" w:lineRule="auto"/>
              <w:jc w:val="both"/>
              <w:rPr>
                <w:rFonts w:hint="default" w:ascii="宋体" w:hAnsi="宋体" w:eastAsia="宋体" w:cs="@仿宋_GB2312"/>
                <w:b w:val="0"/>
                <w:bCs/>
                <w:color w:val="auto"/>
                <w:kern w:val="0"/>
                <w:sz w:val="24"/>
                <w:szCs w:val="28"/>
                <w:highlight w:val="none"/>
                <w:lang w:val="en-US" w:eastAsia="zh-CN" w:bidi="ar-SA"/>
              </w:rPr>
            </w:pPr>
            <w:r>
              <w:rPr>
                <w:rFonts w:hint="default" w:ascii="宋体" w:hAnsi="宋体" w:eastAsia="宋体" w:cs="@仿宋_GB2312"/>
                <w:b w:val="0"/>
                <w:bCs/>
                <w:color w:val="auto"/>
                <w:kern w:val="0"/>
                <w:sz w:val="24"/>
                <w:szCs w:val="28"/>
                <w:highlight w:val="none"/>
                <w:lang w:val="en-US" w:eastAsia="zh-CN" w:bidi="ar-SA"/>
              </w:rPr>
              <w:t>开户名称：安徽安天利信工程管理股份有限公司</w:t>
            </w:r>
          </w:p>
          <w:p w14:paraId="379055C4">
            <w:pPr>
              <w:pStyle w:val="31"/>
              <w:widowControl w:val="0"/>
              <w:spacing w:before="0" w:beforeAutospacing="0" w:after="0" w:afterAutospacing="0" w:line="360" w:lineRule="auto"/>
              <w:jc w:val="both"/>
              <w:rPr>
                <w:rFonts w:hint="default" w:ascii="宋体" w:hAnsi="宋体" w:eastAsia="宋体" w:cs="@仿宋_GB2312"/>
                <w:b w:val="0"/>
                <w:bCs/>
                <w:color w:val="auto"/>
                <w:kern w:val="0"/>
                <w:sz w:val="24"/>
                <w:szCs w:val="28"/>
                <w:highlight w:val="none"/>
                <w:lang w:val="en-US" w:eastAsia="zh-CN" w:bidi="ar-SA"/>
              </w:rPr>
            </w:pPr>
            <w:r>
              <w:rPr>
                <w:rFonts w:hint="default" w:ascii="宋体" w:hAnsi="宋体" w:eastAsia="宋体" w:cs="@仿宋_GB2312"/>
                <w:b w:val="0"/>
                <w:bCs/>
                <w:color w:val="auto"/>
                <w:kern w:val="0"/>
                <w:sz w:val="24"/>
                <w:szCs w:val="28"/>
                <w:highlight w:val="none"/>
                <w:lang w:val="en-US" w:eastAsia="zh-CN" w:bidi="ar-SA"/>
              </w:rPr>
              <w:t>开户银行：招行合肥高新区支行</w:t>
            </w:r>
          </w:p>
          <w:p w14:paraId="1BEEE799">
            <w:pPr>
              <w:pStyle w:val="31"/>
              <w:widowControl w:val="0"/>
              <w:spacing w:before="0" w:beforeAutospacing="0" w:after="0" w:afterAutospacing="0" w:line="360" w:lineRule="auto"/>
              <w:jc w:val="both"/>
              <w:rPr>
                <w:rFonts w:hint="default" w:ascii="宋体" w:hAnsi="宋体" w:eastAsia="宋体" w:cs="@仿宋_GB2312"/>
                <w:b w:val="0"/>
                <w:bCs/>
                <w:color w:val="auto"/>
                <w:kern w:val="0"/>
                <w:sz w:val="24"/>
                <w:szCs w:val="28"/>
                <w:highlight w:val="none"/>
                <w:lang w:val="en-US" w:eastAsia="zh-CN" w:bidi="ar-SA"/>
              </w:rPr>
            </w:pPr>
            <w:r>
              <w:rPr>
                <w:rFonts w:hint="default" w:ascii="宋体" w:hAnsi="宋体" w:eastAsia="宋体" w:cs="@仿宋_GB2312"/>
                <w:b w:val="0"/>
                <w:bCs/>
                <w:color w:val="auto"/>
                <w:kern w:val="0"/>
                <w:sz w:val="24"/>
                <w:szCs w:val="28"/>
                <w:highlight w:val="none"/>
                <w:lang w:val="en-US" w:eastAsia="zh-CN" w:bidi="ar-SA"/>
              </w:rPr>
              <w:t>帐    号：5519 0430 8510 501</w:t>
            </w:r>
          </w:p>
          <w:p w14:paraId="6D9FE941">
            <w:pPr>
              <w:pStyle w:val="3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yellow"/>
              </w:rPr>
            </w:pPr>
            <w:r>
              <w:rPr>
                <w:rFonts w:hint="default" w:ascii="宋体" w:hAnsi="宋体" w:eastAsia="宋体" w:cs="@仿宋_GB2312"/>
                <w:b w:val="0"/>
                <w:bCs/>
                <w:color w:val="auto"/>
                <w:kern w:val="0"/>
                <w:sz w:val="24"/>
                <w:szCs w:val="28"/>
                <w:highlight w:val="none"/>
                <w:lang w:val="en-US" w:eastAsia="zh-CN" w:bidi="ar-SA"/>
              </w:rPr>
              <w:t>注:供应商投标前应综合考虑代理服务费，并计入投标报价中但不得单列。</w:t>
            </w:r>
          </w:p>
        </w:tc>
      </w:tr>
      <w:tr w14:paraId="0022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64A9B5C4">
            <w:pPr>
              <w:pStyle w:val="32"/>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rPr>
              <w:t>3</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3</w:t>
            </w:r>
          </w:p>
        </w:tc>
        <w:tc>
          <w:tcPr>
            <w:tcW w:w="805" w:type="pct"/>
            <w:vAlign w:val="center"/>
          </w:tcPr>
          <w:p w14:paraId="3A912C5B">
            <w:pPr>
              <w:pStyle w:val="3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614" w:type="pct"/>
            <w:vAlign w:val="center"/>
          </w:tcPr>
          <w:p w14:paraId="05B78273">
            <w:pPr>
              <w:pStyle w:val="3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递交方式：</w:t>
            </w:r>
            <w:r>
              <w:rPr>
                <w:rFonts w:hint="eastAsia" w:ascii="宋体" w:hAnsi="宋体" w:eastAsia="宋体" w:cs="宋体"/>
                <w:b w:val="0"/>
                <w:color w:val="auto"/>
                <w:sz w:val="24"/>
                <w:highlight w:val="none"/>
              </w:rPr>
              <w:t>以电子邮件形式（电子邮箱</w:t>
            </w:r>
            <w:r>
              <w:rPr>
                <w:rFonts w:hint="eastAsia" w:ascii="宋体" w:hAnsi="宋体" w:eastAsia="宋体" w:cs="宋体"/>
                <w:b w:val="0"/>
                <w:color w:val="auto"/>
                <w:sz w:val="24"/>
                <w:highlight w:val="none"/>
                <w:lang w:val="en-US" w:eastAsia="zh-CN"/>
              </w:rPr>
              <w:t>qli@ahbidding.com</w:t>
            </w:r>
            <w:r>
              <w:rPr>
                <w:rFonts w:hint="eastAsia" w:ascii="宋体" w:hAnsi="宋体" w:eastAsia="宋体" w:cs="宋体"/>
                <w:b w:val="0"/>
                <w:color w:val="auto"/>
                <w:sz w:val="24"/>
                <w:highlight w:val="none"/>
              </w:rPr>
              <w:t>）或在</w:t>
            </w:r>
            <w:r>
              <w:rPr>
                <w:rFonts w:hint="eastAsia" w:ascii="宋体" w:hAnsi="宋体" w:eastAsia="宋体" w:cs="宋体"/>
                <w:b w:val="0"/>
                <w:color w:val="auto"/>
                <w:sz w:val="24"/>
                <w:highlight w:val="none"/>
                <w:lang w:val="en-US" w:eastAsia="zh-CN"/>
              </w:rPr>
              <w:t>采购</w:t>
            </w:r>
            <w:r>
              <w:rPr>
                <w:rFonts w:hint="eastAsia" w:ascii="宋体" w:hAnsi="宋体" w:eastAsia="宋体" w:cs="宋体"/>
                <w:b w:val="0"/>
                <w:color w:val="auto"/>
                <w:sz w:val="24"/>
                <w:highlight w:val="none"/>
              </w:rPr>
              <w:t>文件规定的时间内</w:t>
            </w:r>
            <w:r>
              <w:rPr>
                <w:rFonts w:hint="eastAsia" w:ascii="宋体" w:hAnsi="宋体" w:eastAsia="宋体" w:cs="宋体"/>
                <w:b w:val="0"/>
                <w:color w:val="auto"/>
                <w:sz w:val="24"/>
                <w:highlight w:val="none"/>
                <w:lang w:eastAsia="zh-CN"/>
              </w:rPr>
              <w:t>登录</w:t>
            </w:r>
            <w:r>
              <w:rPr>
                <w:rFonts w:hint="eastAsia" w:ascii="宋体" w:hAnsi="宋体" w:eastAsia="宋体" w:cs="宋体"/>
                <w:b w:val="0"/>
                <w:color w:val="auto"/>
                <w:sz w:val="24"/>
                <w:highlight w:val="none"/>
              </w:rPr>
              <w:t>交易系统选择异议模块，查找选择本项目按规定进行填写疑问或异议内容，并上传相应附件。</w:t>
            </w:r>
          </w:p>
        </w:tc>
      </w:tr>
      <w:tr w14:paraId="364A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5FCA80A1">
            <w:pPr>
              <w:pStyle w:val="32"/>
              <w:pBdr>
                <w:bottom w:val="none" w:color="auto" w:sz="0" w:space="0"/>
              </w:pBdr>
              <w:tabs>
                <w:tab w:val="clear" w:pos="4153"/>
                <w:tab w:val="clear" w:pos="8306"/>
              </w:tabs>
              <w:adjustRightInd/>
              <w:spacing w:line="240" w:lineRule="auto"/>
              <w:textAlignment w:val="auto"/>
              <w:rPr>
                <w:rFonts w:hint="default"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32</w:t>
            </w:r>
          </w:p>
        </w:tc>
        <w:tc>
          <w:tcPr>
            <w:tcW w:w="805" w:type="pct"/>
            <w:vAlign w:val="center"/>
          </w:tcPr>
          <w:p w14:paraId="7510CEBC">
            <w:pPr>
              <w:pStyle w:val="31"/>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其他内容</w:t>
            </w:r>
          </w:p>
        </w:tc>
        <w:tc>
          <w:tcPr>
            <w:tcW w:w="3614" w:type="pct"/>
            <w:vAlign w:val="center"/>
          </w:tcPr>
          <w:p w14:paraId="32E34CF2">
            <w:pPr>
              <w:pStyle w:val="31"/>
              <w:widowControl w:val="0"/>
              <w:numPr>
                <w:ilvl w:val="0"/>
                <w:numId w:val="0"/>
              </w:numPr>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1、解释权：</w:t>
            </w:r>
          </w:p>
          <w:p w14:paraId="70932E87">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构成本招标文件的各个组成文件应互为解释，互为说明；</w:t>
            </w:r>
          </w:p>
          <w:p w14:paraId="35C9A01D">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同一组成文件中就同一事项的规定或约定不一致的，以编排顺序在后者为准；</w:t>
            </w:r>
          </w:p>
          <w:p w14:paraId="2CB18269">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0E3B8916">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除招标文件中有特别规定外，仅适用于招标投标阶段的规定，按招标公告、</w:t>
            </w:r>
            <w:r>
              <w:rPr>
                <w:rFonts w:hint="eastAsia" w:asciiTheme="minorEastAsia" w:hAnsiTheme="minorEastAsia" w:eastAsiaTheme="minorEastAsia"/>
                <w:bCs/>
                <w:color w:val="auto"/>
                <w:sz w:val="24"/>
                <w:szCs w:val="24"/>
                <w:highlight w:val="none"/>
              </w:rPr>
              <w:t>投标邀请、</w:t>
            </w:r>
            <w:r>
              <w:rPr>
                <w:rFonts w:asciiTheme="minorEastAsia" w:hAnsiTheme="minorEastAsia" w:eastAsiaTheme="minorEastAsia"/>
                <w:bCs/>
                <w:color w:val="auto"/>
                <w:sz w:val="24"/>
                <w:szCs w:val="24"/>
                <w:highlight w:val="none"/>
              </w:rPr>
              <w:t>投标人须知、评标</w:t>
            </w:r>
            <w:r>
              <w:rPr>
                <w:rFonts w:hint="eastAsia" w:asciiTheme="minorEastAsia" w:hAnsiTheme="minorEastAsia" w:eastAsiaTheme="minorEastAsia"/>
                <w:bCs/>
                <w:color w:val="auto"/>
                <w:sz w:val="24"/>
                <w:szCs w:val="24"/>
                <w:highlight w:val="none"/>
              </w:rPr>
              <w:t>方</w:t>
            </w:r>
            <w:r>
              <w:rPr>
                <w:rFonts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asciiTheme="minorEastAsia" w:hAnsiTheme="minorEastAsia" w:eastAsiaTheme="minorEastAsia"/>
                <w:bCs/>
                <w:color w:val="auto"/>
                <w:sz w:val="24"/>
                <w:szCs w:val="24"/>
                <w:highlight w:val="none"/>
              </w:rPr>
              <w:t>、投标文件格式的先后顺序解释；</w:t>
            </w:r>
          </w:p>
          <w:p w14:paraId="1267B700">
            <w:pPr>
              <w:pStyle w:val="31"/>
              <w:widowControl w:val="0"/>
              <w:numPr>
                <w:ilvl w:val="0"/>
                <w:numId w:val="0"/>
              </w:numPr>
              <w:spacing w:before="0" w:beforeAutospacing="0" w:after="0" w:afterAutospacing="0" w:line="360" w:lineRule="auto"/>
              <w:jc w:val="both"/>
              <w:rPr>
                <w:rFonts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（5）</w:t>
            </w:r>
            <w:r>
              <w:rPr>
                <w:rFonts w:cs="@仿宋_GB2312" w:asciiTheme="minorEastAsia" w:hAnsiTheme="minorEastAsia" w:eastAsiaTheme="minorEastAsia"/>
                <w:b w:val="0"/>
                <w:bCs/>
                <w:color w:val="auto"/>
                <w:kern w:val="2"/>
                <w:sz w:val="24"/>
                <w:szCs w:val="24"/>
                <w:highlight w:val="none"/>
                <w:lang w:val="en-US" w:eastAsia="zh-CN" w:bidi="ar-SA"/>
              </w:rPr>
              <w:t>按本款前述规定仍不能形成结论的，由</w:t>
            </w:r>
            <w:r>
              <w:rPr>
                <w:rFonts w:hint="eastAsia" w:cs="@仿宋_GB2312" w:asciiTheme="minorEastAsia" w:hAnsiTheme="minorEastAsia" w:eastAsiaTheme="minorEastAsia"/>
                <w:b w:val="0"/>
                <w:bCs/>
                <w:color w:val="auto"/>
                <w:kern w:val="2"/>
                <w:sz w:val="24"/>
                <w:szCs w:val="24"/>
                <w:highlight w:val="none"/>
                <w:lang w:val="en-US" w:eastAsia="zh-CN" w:bidi="ar-SA"/>
              </w:rPr>
              <w:t>采购</w:t>
            </w:r>
            <w:r>
              <w:rPr>
                <w:rFonts w:cs="@仿宋_GB2312" w:asciiTheme="minorEastAsia" w:hAnsiTheme="minorEastAsia" w:eastAsiaTheme="minorEastAsia"/>
                <w:b w:val="0"/>
                <w:bCs/>
                <w:color w:val="auto"/>
                <w:kern w:val="2"/>
                <w:sz w:val="24"/>
                <w:szCs w:val="24"/>
                <w:highlight w:val="none"/>
                <w:lang w:val="en-US" w:eastAsia="zh-CN" w:bidi="ar-SA"/>
              </w:rPr>
              <w:t>人负责解释。</w:t>
            </w:r>
          </w:p>
          <w:p w14:paraId="11BC0233">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lang w:val="en-US" w:eastAsia="zh-CN"/>
              </w:rPr>
              <w:t>2、</w:t>
            </w:r>
            <w:r>
              <w:rPr>
                <w:rFonts w:hint="eastAsia" w:asciiTheme="minorEastAsia" w:hAnsiTheme="minorEastAsia" w:eastAsiaTheme="minorEastAsia"/>
                <w:bCs/>
                <w:color w:val="auto"/>
                <w:sz w:val="24"/>
                <w:szCs w:val="24"/>
                <w:highlight w:val="none"/>
              </w:rPr>
              <w:t>“政采贷”融资指引：有融资需求的</w:t>
            </w:r>
            <w:r>
              <w:rPr>
                <w:rFonts w:hint="eastAsia" w:ascii="宋体" w:hAnsi="宋体" w:eastAsia="宋体" w:cs="宋体"/>
                <w:color w:val="auto"/>
                <w:sz w:val="24"/>
                <w:szCs w:val="24"/>
                <w:highlight w:val="none"/>
              </w:rPr>
              <w:t>中</w:t>
            </w:r>
            <w:r>
              <w:rPr>
                <w:rFonts w:ascii="宋体" w:hAnsi="宋体" w:eastAsia="宋体" w:cs="宋体"/>
                <w:color w:val="auto"/>
                <w:sz w:val="24"/>
                <w:szCs w:val="24"/>
                <w:highlight w:val="none"/>
              </w:rPr>
              <w:t>标人</w:t>
            </w:r>
            <w:r>
              <w:rPr>
                <w:rFonts w:hint="eastAsia" w:asciiTheme="minorEastAsia" w:hAnsiTheme="minorEastAsia" w:eastAsiaTheme="minorEastAsia"/>
                <w:bCs/>
                <w:color w:val="auto"/>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auto"/>
                <w:sz w:val="24"/>
                <w:szCs w:val="24"/>
                <w:highlight w:val="none"/>
              </w:rPr>
              <w:t>中</w:t>
            </w:r>
            <w:r>
              <w:rPr>
                <w:rFonts w:ascii="宋体" w:hAnsi="宋体" w:eastAsia="宋体" w:cs="宋体"/>
                <w:color w:val="auto"/>
                <w:sz w:val="24"/>
                <w:szCs w:val="24"/>
                <w:highlight w:val="none"/>
              </w:rPr>
              <w:t>标人</w:t>
            </w:r>
            <w:r>
              <w:rPr>
                <w:rFonts w:hint="eastAsia" w:asciiTheme="minorEastAsia" w:hAnsiTheme="minorEastAsia" w:eastAsiaTheme="minorEastAsia"/>
                <w:bCs/>
                <w:color w:val="auto"/>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highlight w:val="none"/>
              </w:rPr>
              <w:t>中</w:t>
            </w:r>
            <w:r>
              <w:rPr>
                <w:rFonts w:ascii="宋体" w:hAnsi="宋体" w:eastAsia="宋体" w:cs="宋体"/>
                <w:color w:val="auto"/>
                <w:sz w:val="24"/>
                <w:szCs w:val="24"/>
                <w:highlight w:val="none"/>
              </w:rPr>
              <w:t>标人</w:t>
            </w:r>
            <w:r>
              <w:rPr>
                <w:rFonts w:hint="eastAsia" w:asciiTheme="minorEastAsia" w:hAnsiTheme="minorEastAsia" w:eastAsiaTheme="minorEastAsia"/>
                <w:bCs/>
                <w:color w:val="auto"/>
                <w:sz w:val="24"/>
                <w:szCs w:val="24"/>
                <w:highlight w:val="none"/>
              </w:rPr>
              <w:t>融资申请信息推送第三方平台、意向金融机构。</w:t>
            </w:r>
          </w:p>
          <w:p w14:paraId="1E9DEF69">
            <w:pPr>
              <w:pStyle w:val="31"/>
              <w:widowControl w:val="0"/>
              <w:numPr>
                <w:ilvl w:val="0"/>
                <w:numId w:val="0"/>
              </w:numPr>
              <w:spacing w:before="0" w:beforeAutospacing="0" w:after="0" w:afterAutospacing="0" w:line="360" w:lineRule="auto"/>
              <w:jc w:val="both"/>
              <w:rPr>
                <w:rFonts w:hint="default"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3、电子保函指引：中标人可访问安徽省政府采购网“融资/保函”栏目，申请办理电子保函（包括：履约保函、预付款保函）。</w:t>
            </w:r>
          </w:p>
        </w:tc>
      </w:tr>
      <w:tr w14:paraId="1A84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5EA1657E">
            <w:pPr>
              <w:pStyle w:val="32"/>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31</w:t>
            </w:r>
          </w:p>
        </w:tc>
        <w:tc>
          <w:tcPr>
            <w:tcW w:w="805" w:type="pct"/>
            <w:shd w:val="clear" w:color="auto" w:fill="auto"/>
            <w:vAlign w:val="center"/>
          </w:tcPr>
          <w:p w14:paraId="1D65742A">
            <w:pPr>
              <w:pStyle w:val="22"/>
              <w:spacing w:after="0"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社保证明材料</w:t>
            </w:r>
          </w:p>
        </w:tc>
        <w:tc>
          <w:tcPr>
            <w:tcW w:w="3614" w:type="pct"/>
            <w:shd w:val="clear" w:color="auto" w:fill="auto"/>
            <w:vAlign w:val="center"/>
          </w:tcPr>
          <w:p w14:paraId="2A7C32AC">
            <w:pPr>
              <w:pStyle w:val="22"/>
              <w:spacing w:after="0"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社保时间：投标文件递交截止日向前推算近三个月连续的社保证明（开具时间距离递交投标文件截止时间不得超过30日）</w:t>
            </w:r>
          </w:p>
          <w:p w14:paraId="57E78783">
            <w:pPr>
              <w:pStyle w:val="22"/>
              <w:spacing w:after="0"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本项目招标文件中要求提供的社保证明材料为下述形式之一（投标文件中须提供扫描件）：</w:t>
            </w:r>
          </w:p>
          <w:p w14:paraId="1B6758AE">
            <w:pPr>
              <w:pStyle w:val="22"/>
              <w:spacing w:after="0"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（1）社保局官方网站查询的缴费记录截图；</w:t>
            </w:r>
          </w:p>
          <w:p w14:paraId="4F6B9F28">
            <w:pPr>
              <w:pStyle w:val="22"/>
              <w:spacing w:after="0"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（2）社保局的书面证明材料；</w:t>
            </w:r>
          </w:p>
          <w:p w14:paraId="2734561E">
            <w:pPr>
              <w:pStyle w:val="22"/>
              <w:spacing w:after="0"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（3）经供应商委托的第三方人力资源服务机构或与供应商有直接隶属关系的机构可以代缴社保，但须提供有关证明材料并经评标委员会确认。</w:t>
            </w:r>
          </w:p>
          <w:p w14:paraId="7894E3EE">
            <w:pPr>
              <w:pStyle w:val="22"/>
              <w:spacing w:after="0"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（4）参与招标的院校，社保证明可以用以下任意一种：</w:t>
            </w:r>
          </w:p>
          <w:p w14:paraId="242C9DFB">
            <w:pPr>
              <w:pStyle w:val="22"/>
              <w:spacing w:after="0"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①加盖供应商公章的教师证（须为本单位人员）； </w:t>
            </w:r>
          </w:p>
          <w:p w14:paraId="349AAFDC">
            <w:pPr>
              <w:pStyle w:val="22"/>
              <w:spacing w:after="0"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②医保证明材料。 </w:t>
            </w:r>
          </w:p>
          <w:p w14:paraId="5208E56C">
            <w:pPr>
              <w:pStyle w:val="22"/>
              <w:spacing w:after="0"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（5）其他经评标委员会认可的证明材料。</w:t>
            </w:r>
          </w:p>
          <w:p w14:paraId="2771A417">
            <w:pPr>
              <w:pStyle w:val="22"/>
              <w:spacing w:after="0" w:line="360" w:lineRule="auto"/>
              <w:ind w:left="0" w:leftChars="0" w:firstLine="0" w:firstLine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（6）法定代表人参与项目的，无需提供社保证明材料，提供身份证明材料即可。</w:t>
            </w:r>
          </w:p>
        </w:tc>
      </w:tr>
    </w:tbl>
    <w:p w14:paraId="50BE2EFB">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34" w:name="_Toc9427"/>
      <w:bookmarkStart w:id="35" w:name="_Toc24882"/>
      <w:bookmarkStart w:id="36" w:name="_Toc6981"/>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投标人须知</w:t>
      </w:r>
      <w:r>
        <w:rPr>
          <w:rFonts w:hint="eastAsia" w:asciiTheme="minorEastAsia" w:hAnsiTheme="minorEastAsia" w:eastAsiaTheme="minorEastAsia"/>
          <w:b/>
          <w:color w:val="auto"/>
          <w:sz w:val="24"/>
          <w:highlight w:val="none"/>
        </w:rPr>
        <w:t>正文</w:t>
      </w:r>
      <w:bookmarkEnd w:id="34"/>
      <w:bookmarkEnd w:id="35"/>
      <w:bookmarkEnd w:id="36"/>
    </w:p>
    <w:p w14:paraId="1BE7A61E">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1.采购人、采购代理机构及投标人</w:t>
      </w:r>
    </w:p>
    <w:p w14:paraId="6B21EC1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.1采购人：是指依法开展政府采购活动的国家机关、事业单位、团体组织。</w:t>
      </w:r>
    </w:p>
    <w:p w14:paraId="441C9A0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.2采购代理机构：是指集中采购机构或从事采购代理业务的社会中介机构。</w:t>
      </w:r>
    </w:p>
    <w:p w14:paraId="3C5E595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p>
    <w:p w14:paraId="2CC0D66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.4投标人：是指向采购人提供货物、工程或者服务的法人、</w:t>
      </w:r>
      <w:r>
        <w:rPr>
          <w:rFonts w:hint="eastAsia" w:ascii="宋体" w:hAnsi="宋体" w:eastAsia="宋体"/>
          <w:color w:val="auto"/>
          <w:sz w:val="24"/>
          <w:highlight w:val="none"/>
          <w:lang w:val="en-US" w:eastAsia="zh-CN"/>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本项目的投标人须满足以下条件：</w:t>
      </w:r>
    </w:p>
    <w:p w14:paraId="4EC774A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4AD8E5B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以采购代理机构认可的方式获得了本项目的招标文件。</w:t>
      </w:r>
    </w:p>
    <w:p w14:paraId="4A9C66B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ascii="宋体" w:hAnsi="宋体" w:eastAsia="宋体"/>
          <w:color w:val="auto"/>
          <w:sz w:val="24"/>
          <w:highlight w:val="none"/>
        </w:rPr>
        <w:t>中写明允许采购进口产品，投标人应保证所投产品可履行合法报通关手续进入中国关境内。</w:t>
      </w:r>
    </w:p>
    <w:p w14:paraId="746D126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hint="eastAsia" w:ascii="宋体" w:hAnsi="宋体" w:eastAsia="宋体"/>
          <w:color w:val="auto"/>
          <w:sz w:val="24"/>
          <w:highlight w:val="none"/>
        </w:rPr>
        <w:t>中未写明允许采购进口产品，如投标人所投产品为进口产品，其投标将被认定为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38E53C7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w:t>
      </w:r>
      <w:r>
        <w:rPr>
          <w:rFonts w:hint="eastAsia" w:ascii="宋体" w:hAnsi="宋体" w:eastAsia="宋体"/>
          <w:color w:val="auto"/>
          <w:sz w:val="24"/>
          <w:highlight w:val="none"/>
        </w:rPr>
        <w:t>若招标公告</w:t>
      </w:r>
      <w:r>
        <w:rPr>
          <w:rFonts w:ascii="宋体" w:hAnsi="宋体" w:eastAsia="宋体"/>
          <w:color w:val="auto"/>
          <w:sz w:val="24"/>
          <w:highlight w:val="none"/>
        </w:rPr>
        <w:t>中允许联合体投标，对联合体规定如下：</w:t>
      </w:r>
    </w:p>
    <w:p w14:paraId="3099D710">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5.1两个以上供应商可以组成一个投标联合体，以一个投标人的身份投标。</w:t>
      </w:r>
      <w:r>
        <w:rPr>
          <w:rFonts w:ascii="宋体" w:hAnsi="宋体" w:eastAsia="宋体"/>
          <w:b w:val="0"/>
          <w:color w:val="auto"/>
          <w:sz w:val="24"/>
          <w:highlight w:val="none"/>
        </w:rPr>
        <w:t>联合体投标的，</w:t>
      </w:r>
      <w:r>
        <w:rPr>
          <w:rFonts w:hint="eastAsia" w:ascii="宋体" w:hAnsi="宋体" w:eastAsia="宋体"/>
          <w:b w:val="0"/>
          <w:color w:val="auto"/>
          <w:sz w:val="24"/>
          <w:highlight w:val="none"/>
        </w:rPr>
        <w:t>招标文件获取</w:t>
      </w:r>
      <w:r>
        <w:rPr>
          <w:rFonts w:ascii="宋体" w:hAnsi="宋体" w:eastAsia="宋体"/>
          <w:b w:val="0"/>
          <w:color w:val="auto"/>
          <w:sz w:val="24"/>
          <w:highlight w:val="none"/>
        </w:rPr>
        <w:t>手续由联合体</w:t>
      </w:r>
      <w:r>
        <w:rPr>
          <w:rFonts w:hint="eastAsia" w:ascii="宋体" w:hAnsi="宋体" w:eastAsia="宋体"/>
          <w:b w:val="0"/>
          <w:color w:val="auto"/>
          <w:sz w:val="24"/>
          <w:highlight w:val="none"/>
        </w:rPr>
        <w:t>中</w:t>
      </w:r>
      <w:r>
        <w:rPr>
          <w:rFonts w:ascii="宋体" w:hAnsi="宋体" w:eastAsia="宋体"/>
          <w:b w:val="0"/>
          <w:color w:val="auto"/>
          <w:sz w:val="24"/>
          <w:highlight w:val="none"/>
        </w:rPr>
        <w:t>任</w:t>
      </w:r>
      <w:r>
        <w:rPr>
          <w:rFonts w:hint="eastAsia" w:ascii="宋体" w:hAnsi="宋体" w:eastAsia="宋体"/>
          <w:b w:val="0"/>
          <w:color w:val="auto"/>
          <w:sz w:val="24"/>
          <w:highlight w:val="none"/>
        </w:rPr>
        <w:t>一成员单位</w:t>
      </w:r>
      <w:r>
        <w:rPr>
          <w:rFonts w:ascii="宋体" w:hAnsi="宋体" w:eastAsia="宋体"/>
          <w:b w:val="0"/>
          <w:color w:val="auto"/>
          <w:sz w:val="24"/>
          <w:highlight w:val="none"/>
        </w:rPr>
        <w:t>办理均可。</w:t>
      </w:r>
    </w:p>
    <w:p w14:paraId="235F0A4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5.2联合体各方均应符合《中华人民共和国政府采购法》第二十二条规定的条件。</w:t>
      </w:r>
    </w:p>
    <w:p w14:paraId="5590C92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5.3采购人根据采购项目对投标人的特殊要求，联合体中至少应当有一方符合相关规定。</w:t>
      </w:r>
    </w:p>
    <w:p w14:paraId="16F35E3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5.4联合体各方应签订</w:t>
      </w:r>
      <w:r>
        <w:rPr>
          <w:rFonts w:hint="eastAsia" w:ascii="宋体" w:hAnsi="宋体" w:eastAsia="宋体"/>
          <w:color w:val="auto"/>
          <w:sz w:val="24"/>
          <w:highlight w:val="none"/>
        </w:rPr>
        <w:t>联合协议</w:t>
      </w:r>
      <w:r>
        <w:rPr>
          <w:rFonts w:ascii="宋体" w:hAnsi="宋体" w:eastAsia="宋体"/>
          <w:color w:val="auto"/>
          <w:sz w:val="24"/>
          <w:highlight w:val="none"/>
        </w:rPr>
        <w:t>，明确约定联合体各方承担的工作和相应的责任，并将</w:t>
      </w:r>
      <w:r>
        <w:rPr>
          <w:rFonts w:hint="eastAsia" w:ascii="宋体" w:hAnsi="宋体" w:eastAsia="宋体"/>
          <w:color w:val="auto"/>
          <w:sz w:val="24"/>
          <w:highlight w:val="none"/>
        </w:rPr>
        <w:t>联合协议</w:t>
      </w:r>
      <w:r>
        <w:rPr>
          <w:rFonts w:ascii="宋体" w:hAnsi="宋体" w:eastAsia="宋体"/>
          <w:color w:val="auto"/>
          <w:sz w:val="24"/>
          <w:highlight w:val="none"/>
        </w:rPr>
        <w:t>作为投标文件</w:t>
      </w:r>
      <w:r>
        <w:rPr>
          <w:rFonts w:hint="eastAsia" w:ascii="宋体" w:hAnsi="宋体" w:eastAsia="宋体"/>
          <w:color w:val="auto"/>
          <w:sz w:val="24"/>
          <w:highlight w:val="none"/>
        </w:rPr>
        <w:t>的</w:t>
      </w:r>
      <w:r>
        <w:rPr>
          <w:rFonts w:ascii="宋体" w:hAnsi="宋体" w:eastAsia="宋体"/>
          <w:color w:val="auto"/>
          <w:sz w:val="24"/>
          <w:highlight w:val="none"/>
        </w:rPr>
        <w:t>一部分提交。</w:t>
      </w:r>
    </w:p>
    <w:p w14:paraId="1BCE5EC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5.5大中型企业、其他自然人、法人或者非法人组织与小型、微型企业组成联合体共同参加投标，</w:t>
      </w:r>
      <w:r>
        <w:rPr>
          <w:rFonts w:hint="eastAsia" w:ascii="宋体" w:hAnsi="宋体" w:eastAsia="宋体"/>
          <w:color w:val="auto"/>
          <w:sz w:val="24"/>
          <w:highlight w:val="none"/>
        </w:rPr>
        <w:t>联合协议中</w:t>
      </w:r>
      <w:r>
        <w:rPr>
          <w:rFonts w:ascii="宋体" w:hAnsi="宋体" w:eastAsia="宋体"/>
          <w:color w:val="auto"/>
          <w:sz w:val="24"/>
          <w:highlight w:val="none"/>
        </w:rPr>
        <w:t>应写明小型、微型企业的协议合同金额占到</w:t>
      </w:r>
      <w:r>
        <w:rPr>
          <w:rFonts w:hint="eastAsia" w:ascii="宋体" w:hAnsi="宋体" w:eastAsia="宋体"/>
          <w:color w:val="auto"/>
          <w:sz w:val="24"/>
          <w:highlight w:val="none"/>
        </w:rPr>
        <w:t>联合协议</w:t>
      </w:r>
      <w:r>
        <w:rPr>
          <w:rFonts w:ascii="宋体" w:hAnsi="宋体" w:eastAsia="宋体"/>
          <w:color w:val="auto"/>
          <w:sz w:val="24"/>
          <w:highlight w:val="none"/>
        </w:rPr>
        <w:t>投标总金额的比例。</w:t>
      </w:r>
    </w:p>
    <w:p w14:paraId="1D1F4CC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5.6</w:t>
      </w:r>
      <w:r>
        <w:rPr>
          <w:rFonts w:hint="eastAsia" w:ascii="宋体" w:hAnsi="宋体" w:eastAsia="宋体"/>
          <w:color w:val="auto"/>
          <w:sz w:val="24"/>
          <w:highlight w:val="none"/>
        </w:rPr>
        <w:t>联合体中有同类资质的供应商按照联合体分工承担相同工作的，</w:t>
      </w:r>
      <w:r>
        <w:rPr>
          <w:rFonts w:ascii="宋体" w:hAnsi="宋体" w:eastAsia="宋体"/>
          <w:color w:val="auto"/>
          <w:sz w:val="24"/>
          <w:highlight w:val="none"/>
        </w:rPr>
        <w:t>应当按照</w:t>
      </w:r>
      <w:r>
        <w:rPr>
          <w:rFonts w:hint="eastAsia" w:ascii="宋体" w:hAnsi="宋体" w:eastAsia="宋体"/>
          <w:color w:val="auto"/>
          <w:sz w:val="24"/>
          <w:highlight w:val="none"/>
        </w:rPr>
        <w:t>资质等级较低的供应商确定资质等级。</w:t>
      </w:r>
    </w:p>
    <w:p w14:paraId="788D990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5.7以联合体形式参加政府采购活动的，联合体各方不得再单独参加或者与其他供应商另外组成联合体参加本项目投标，否则相关投标将被认定为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4A821E1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5.8对联合体投标的其他资格要求见</w:t>
      </w:r>
      <w:r>
        <w:rPr>
          <w:rFonts w:hint="eastAsia" w:ascii="宋体" w:hAnsi="宋体" w:eastAsia="宋体"/>
          <w:color w:val="auto"/>
          <w:sz w:val="24"/>
          <w:highlight w:val="none"/>
          <w:lang w:val="en-US" w:eastAsia="zh-CN"/>
        </w:rPr>
        <w:t>申请人的</w:t>
      </w:r>
      <w:r>
        <w:rPr>
          <w:rFonts w:hint="eastAsia" w:ascii="宋体" w:hAnsi="宋体" w:eastAsia="宋体"/>
          <w:color w:val="auto"/>
          <w:sz w:val="24"/>
          <w:highlight w:val="none"/>
        </w:rPr>
        <w:t>资格</w:t>
      </w:r>
      <w:r>
        <w:rPr>
          <w:rFonts w:hint="eastAsia" w:ascii="宋体" w:hAnsi="宋体" w:eastAsia="宋体"/>
          <w:color w:val="auto"/>
          <w:sz w:val="24"/>
          <w:highlight w:val="none"/>
          <w:lang w:val="en-US" w:eastAsia="zh-CN"/>
        </w:rPr>
        <w:t>要求</w:t>
      </w:r>
      <w:r>
        <w:rPr>
          <w:rFonts w:ascii="宋体" w:hAnsi="宋体" w:eastAsia="宋体"/>
          <w:color w:val="auto"/>
          <w:sz w:val="24"/>
          <w:highlight w:val="none"/>
        </w:rPr>
        <w:t>。</w:t>
      </w:r>
    </w:p>
    <w:p w14:paraId="0037C2AE">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2.资金落实情况</w:t>
      </w:r>
    </w:p>
    <w:p w14:paraId="1BC9FFF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w:t>
      </w:r>
      <w:r>
        <w:rPr>
          <w:rFonts w:hint="eastAsia" w:ascii="宋体" w:hAnsi="宋体" w:eastAsia="宋体"/>
          <w:color w:val="auto"/>
          <w:sz w:val="24"/>
          <w:highlight w:val="none"/>
        </w:rPr>
        <w:t>项目</w:t>
      </w:r>
      <w:r>
        <w:rPr>
          <w:rFonts w:hint="eastAsia" w:asciiTheme="minorEastAsia" w:hAnsiTheme="minorEastAsia" w:eastAsiaTheme="minorEastAsia"/>
          <w:color w:val="auto"/>
          <w:sz w:val="24"/>
          <w:highlight w:val="none"/>
        </w:rPr>
        <w:t>的采购人已获得足以支付本次招标后所签订的合同项下的资金。</w:t>
      </w:r>
    </w:p>
    <w:p w14:paraId="7CA32A51">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3.投标费用</w:t>
      </w:r>
    </w:p>
    <w:p w14:paraId="26C00AC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不论投标的结果如何，投标人应承担所有与准备和参加投标有关的费用。</w:t>
      </w:r>
    </w:p>
    <w:p w14:paraId="37C7AAA6">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4.适用法律</w:t>
      </w:r>
    </w:p>
    <w:p w14:paraId="34B48F13">
      <w:pPr>
        <w:spacing w:line="360" w:lineRule="auto"/>
        <w:ind w:firstLine="435"/>
        <w:rPr>
          <w:rFonts w:asciiTheme="minorEastAsia" w:hAnsiTheme="minorEastAsia" w:eastAsiaTheme="minorEastAsia"/>
          <w:color w:val="auto"/>
          <w:sz w:val="24"/>
          <w:highlight w:val="none"/>
        </w:rPr>
      </w:pPr>
      <w:r>
        <w:rPr>
          <w:rFonts w:hint="eastAsia" w:ascii="宋体" w:hAnsi="宋体" w:eastAsia="宋体"/>
          <w:color w:val="auto"/>
          <w:sz w:val="24"/>
          <w:highlight w:val="none"/>
        </w:rPr>
        <w:t>本项目采购人、采购代理机构、投标人、评标委员会的相关行为均受《中华人民共和国政府采购法》、《中</w:t>
      </w:r>
      <w:r>
        <w:rPr>
          <w:rFonts w:hint="eastAsia" w:ascii="宋体" w:hAnsi="宋体" w:eastAsia="宋体"/>
          <w:color w:val="auto"/>
          <w:sz w:val="24"/>
          <w:szCs w:val="22"/>
          <w:highlight w:val="none"/>
        </w:rPr>
        <w:t>华人民共和国政府采购法实施条例》</w:t>
      </w:r>
      <w:r>
        <w:rPr>
          <w:rFonts w:hint="eastAsia" w:ascii="宋体" w:hAnsi="宋体" w:eastAsia="宋体"/>
          <w:color w:val="auto"/>
          <w:sz w:val="24"/>
          <w:szCs w:val="22"/>
          <w:highlight w:val="none"/>
          <w:lang w:val="en-US" w:eastAsia="zh-CN"/>
        </w:rPr>
        <w:t>及</w:t>
      </w:r>
      <w:r>
        <w:rPr>
          <w:rFonts w:hint="eastAsia" w:ascii="宋体" w:hAnsi="宋体" w:eastAsia="宋体"/>
          <w:color w:val="auto"/>
          <w:sz w:val="24"/>
          <w:szCs w:val="22"/>
          <w:highlight w:val="none"/>
        </w:rPr>
        <w:t>本项目本级和上级财政部门、政府采购监督管理部门的政府采购有关规定的约束，其权利受到上述法律法规的保护。</w:t>
      </w:r>
    </w:p>
    <w:p w14:paraId="27065504">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5</w:t>
      </w:r>
      <w:r>
        <w:rPr>
          <w:rFonts w:hint="eastAsia" w:asciiTheme="minorEastAsia" w:hAnsiTheme="minorEastAsia" w:eastAsiaTheme="minorEastAsia"/>
          <w:b/>
          <w:color w:val="auto"/>
          <w:sz w:val="24"/>
          <w:highlight w:val="none"/>
        </w:rPr>
        <w:t>.招标文件构成</w:t>
      </w:r>
    </w:p>
    <w:p w14:paraId="5CC6703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.1招标文件包括下列内容：</w:t>
      </w:r>
    </w:p>
    <w:p w14:paraId="0A33A62D">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投标邀请</w:t>
      </w:r>
    </w:p>
    <w:p w14:paraId="6B84F462">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投标人须知</w:t>
      </w:r>
    </w:p>
    <w:p w14:paraId="24CCFAA7">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1A1C5503">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评标</w:t>
      </w:r>
      <w:r>
        <w:rPr>
          <w:rFonts w:hint="eastAsia" w:asciiTheme="minorEastAsia" w:hAnsiTheme="minorEastAsia" w:eastAsiaTheme="minorEastAsia"/>
          <w:color w:val="auto"/>
          <w:sz w:val="24"/>
          <w:highlight w:val="none"/>
        </w:rPr>
        <w:t>方法</w:t>
      </w:r>
      <w:r>
        <w:rPr>
          <w:rFonts w:asciiTheme="minorEastAsia" w:hAnsiTheme="minorEastAsia" w:eastAsiaTheme="minorEastAsia"/>
          <w:color w:val="auto"/>
          <w:sz w:val="24"/>
          <w:highlight w:val="none"/>
        </w:rPr>
        <w:t>和标准</w:t>
      </w:r>
    </w:p>
    <w:p w14:paraId="58D1D946">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04AA679F">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投标文件格式</w:t>
      </w:r>
    </w:p>
    <w:p w14:paraId="05E68802">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lang w:val="en-US" w:eastAsia="zh-CN"/>
        </w:rPr>
        <w:t>七</w:t>
      </w:r>
      <w:r>
        <w:rPr>
          <w:rFonts w:hint="eastAsia" w:asciiTheme="minorEastAsia" w:hAnsiTheme="minorEastAsia" w:eastAsiaTheme="minorEastAsia"/>
          <w:color w:val="auto"/>
          <w:sz w:val="24"/>
          <w:highlight w:val="none"/>
        </w:rPr>
        <w:t>章</w:t>
      </w:r>
      <w:r>
        <w:rPr>
          <w:rFonts w:asciiTheme="minorEastAsia" w:hAnsiTheme="minorEastAsia" w:eastAsiaTheme="minorEastAsia"/>
          <w:color w:val="auto"/>
          <w:sz w:val="24"/>
          <w:highlight w:val="none"/>
        </w:rPr>
        <w:t xml:space="preserve">  政府采购</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4B62218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w:t>
      </w:r>
      <w:r>
        <w:rPr>
          <w:rFonts w:hint="eastAsia" w:asciiTheme="minorEastAsia" w:hAnsiTheme="minorEastAsia" w:eastAsiaTheme="minorEastAsia"/>
          <w:color w:val="auto"/>
          <w:sz w:val="24"/>
          <w:highlight w:val="none"/>
          <w:lang w:eastAsia="zh-CN"/>
        </w:rPr>
        <w:t>（</w:t>
      </w:r>
      <w:r>
        <w:rPr>
          <w:rFonts w:hint="eastAsia" w:ascii="宋体" w:hAnsi="宋体" w:eastAsia="宋体" w:cs="@仿宋_GB2312"/>
          <w:b w:val="0"/>
          <w:bCs/>
          <w:color w:val="auto"/>
          <w:kern w:val="2"/>
          <w:sz w:val="24"/>
          <w:szCs w:val="22"/>
          <w:highlight w:val="none"/>
          <w:lang w:val="en-US" w:eastAsia="zh-CN" w:bidi="ar-SA"/>
        </w:rPr>
        <w:t>标前答疑会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w:t>
      </w:r>
    </w:p>
    <w:p w14:paraId="4761E34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投标人应认真阅读招标文件所有的事项、格式、条款和技术规范等。</w:t>
      </w:r>
    </w:p>
    <w:p w14:paraId="5EC8EE1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招标文件的澄清与修改</w:t>
      </w:r>
    </w:p>
    <w:p w14:paraId="331AB5C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投标人如对招标文件内容有疑问，必须在</w:t>
      </w:r>
      <w:r>
        <w:rPr>
          <w:rFonts w:ascii="宋体" w:hAnsi="宋体" w:eastAsia="宋体"/>
          <w:color w:val="auto"/>
          <w:sz w:val="24"/>
          <w:highlight w:val="none"/>
          <w:u w:val="single"/>
        </w:rPr>
        <w:t>投标人须知前附表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截止时间前以网上提问形式</w:t>
      </w:r>
      <w:r>
        <w:rPr>
          <w:rFonts w:hint="eastAsia" w:asciiTheme="minorEastAsia" w:hAnsiTheme="minorEastAsia" w:eastAsiaTheme="minorEastAsia"/>
          <w:color w:val="auto"/>
          <w:sz w:val="24"/>
          <w:highlight w:val="none"/>
        </w:rPr>
        <w:t>（电子交易系统）</w:t>
      </w:r>
      <w:r>
        <w:rPr>
          <w:rFonts w:asciiTheme="minorEastAsia" w:hAnsiTheme="minorEastAsia" w:eastAsiaTheme="minorEastAsia"/>
          <w:color w:val="auto"/>
          <w:sz w:val="24"/>
          <w:highlight w:val="none"/>
        </w:rPr>
        <w:t>提交给采购代理机构。</w:t>
      </w:r>
    </w:p>
    <w:p w14:paraId="0B0506F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w:t>
      </w:r>
      <w:r>
        <w:rPr>
          <w:rFonts w:hint="eastAsia" w:asciiTheme="minorEastAsia" w:hAnsiTheme="minorEastAsia" w:eastAsiaTheme="minorEastAsia"/>
          <w:color w:val="auto"/>
          <w:sz w:val="24"/>
          <w:highlight w:val="none"/>
        </w:rPr>
        <w:t>投标人提出的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时对招标文件进行澄清与修改。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在安徽省政府采购网以发布更正公告的方式</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澄清或修改招标文件，更正公告的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为招标文件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组成部分，对投标人起约束作用</w:t>
      </w:r>
      <w:r>
        <w:rPr>
          <w:rFonts w:hint="eastAsia" w:asciiTheme="minorEastAsia" w:hAnsiTheme="minorEastAsia" w:eastAsiaTheme="minorEastAsia"/>
          <w:color w:val="auto"/>
          <w:sz w:val="24"/>
          <w:highlight w:val="none"/>
        </w:rPr>
        <w:t>。投标人应主动上网查询。采购代理机构不承担投标人未及时关注相关信息引发的相关责任。</w:t>
      </w:r>
    </w:p>
    <w:p w14:paraId="074A5BE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0B37B6B7">
      <w:pPr>
        <w:spacing w:line="360" w:lineRule="auto"/>
        <w:ind w:firstLine="435"/>
        <w:rPr>
          <w:rFonts w:asciiTheme="minorEastAsia" w:hAnsiTheme="minorEastAsia" w:eastAsiaTheme="minorEastAsia"/>
          <w:i/>
          <w:iCs/>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rFonts w:ascii="宋体" w:hAnsi="宋体" w:eastAsia="宋体"/>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疑问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项目投标的</w:t>
      </w:r>
      <w:r>
        <w:rPr>
          <w:rFonts w:hint="eastAsia" w:asciiTheme="minorEastAsia" w:hAnsiTheme="minorEastAsia" w:eastAsiaTheme="minorEastAsia"/>
          <w:color w:val="auto"/>
          <w:sz w:val="24"/>
          <w:highlight w:val="none"/>
        </w:rPr>
        <w:t>投标人</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招标文件（含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14:paraId="0EB60DE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投标范围及投标文件中标准和计量单位的使用</w:t>
      </w:r>
    </w:p>
    <w:p w14:paraId="32FDABE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w:t>
      </w:r>
      <w:r>
        <w:rPr>
          <w:rFonts w:ascii="宋体" w:hAnsi="宋体" w:eastAsia="宋体"/>
          <w:color w:val="auto"/>
          <w:sz w:val="24"/>
          <w:highlight w:val="none"/>
        </w:rPr>
        <w:t>项目</w:t>
      </w:r>
      <w:r>
        <w:rPr>
          <w:rFonts w:asciiTheme="minorEastAsia" w:hAnsiTheme="minorEastAsia" w:eastAsiaTheme="minorEastAsia"/>
          <w:color w:val="auto"/>
          <w:sz w:val="24"/>
          <w:highlight w:val="none"/>
        </w:rPr>
        <w:t>有分包的，投标人可对招标文件其中某一个或几个分包进行投标，除非在</w:t>
      </w:r>
      <w:r>
        <w:rPr>
          <w:rFonts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中另有规定。</w:t>
      </w:r>
    </w:p>
    <w:p w14:paraId="6EF28E2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.2投标人应当对所投分包招标文件中“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需求”所列的所有内容进行投标，如仅响应</w:t>
      </w:r>
      <w:r>
        <w:rPr>
          <w:rFonts w:hint="eastAsia" w:asciiTheme="minorEastAsia" w:hAnsiTheme="minorEastAsia" w:eastAsiaTheme="minorEastAsia"/>
          <w:color w:val="auto"/>
          <w:sz w:val="24"/>
          <w:highlight w:val="none"/>
        </w:rPr>
        <w:t>所投包别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所投包别的</w:t>
      </w:r>
      <w:r>
        <w:rPr>
          <w:rFonts w:asciiTheme="minorEastAsia" w:hAnsiTheme="minorEastAsia" w:eastAsiaTheme="minorEastAsia"/>
          <w:color w:val="auto"/>
          <w:sz w:val="24"/>
          <w:highlight w:val="none"/>
        </w:rPr>
        <w:t>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60E258A1">
      <w:pPr>
        <w:spacing w:line="360" w:lineRule="auto"/>
        <w:ind w:firstLine="435"/>
        <w:rPr>
          <w:rFonts w:asciiTheme="minorEastAsia" w:hAnsiTheme="minorEastAsia" w:eastAsiaTheme="minorEastAsia"/>
          <w:color w:val="auto"/>
          <w:sz w:val="24"/>
          <w:highlight w:val="none"/>
        </w:rPr>
      </w:pPr>
      <w:bookmarkStart w:id="37" w:name="_Hlk16458980"/>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.3无论招标文件中是否要求，</w:t>
      </w:r>
      <w:r>
        <w:rPr>
          <w:rFonts w:hint="eastAsia" w:asciiTheme="minorEastAsia" w:hAnsiTheme="minorEastAsia" w:eastAsiaTheme="minorEastAsia"/>
          <w:color w:val="auto"/>
          <w:sz w:val="24"/>
          <w:highlight w:val="none"/>
        </w:rPr>
        <w:t>投标人所投货物</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服务</w:t>
      </w:r>
      <w:r>
        <w:rPr>
          <w:rFonts w:hint="eastAsia" w:asciiTheme="minorEastAsia" w:hAnsiTheme="minorEastAsia" w:eastAsiaTheme="minorEastAsia"/>
          <w:color w:val="auto"/>
          <w:sz w:val="24"/>
          <w:highlight w:val="none"/>
          <w:lang w:val="en-US" w:eastAsia="zh-CN"/>
        </w:rPr>
        <w:t>及</w:t>
      </w:r>
      <w:r>
        <w:rPr>
          <w:rFonts w:hint="eastAsia" w:asciiTheme="minorEastAsia" w:hAnsiTheme="minorEastAsia" w:eastAsiaTheme="minorEastAsia"/>
          <w:color w:val="auto"/>
          <w:sz w:val="24"/>
          <w:highlight w:val="none"/>
        </w:rPr>
        <w:t>工程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i w:val="0"/>
          <w:iCs w:val="0"/>
          <w:color w:val="auto"/>
          <w:sz w:val="24"/>
          <w:highlight w:val="none"/>
          <w:u w:val="none"/>
          <w:lang w:val="en-US" w:eastAsia="zh-CN"/>
        </w:rPr>
        <w:t>如有</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均应符合国家强制性标准。</w:t>
      </w:r>
    </w:p>
    <w:bookmarkEnd w:id="37"/>
    <w:p w14:paraId="41E504B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投标人与采购</w:t>
      </w:r>
      <w:r>
        <w:rPr>
          <w:rFonts w:hint="eastAsia" w:asciiTheme="minorEastAsia" w:hAnsiTheme="minorEastAsia" w:eastAsiaTheme="minorEastAsia"/>
          <w:color w:val="auto"/>
          <w:sz w:val="24"/>
          <w:highlight w:val="none"/>
        </w:rPr>
        <w:t>代理</w:t>
      </w:r>
      <w:r>
        <w:rPr>
          <w:rFonts w:asciiTheme="minorEastAsia" w:hAnsiTheme="minorEastAsia" w:eastAsiaTheme="minorEastAsia"/>
          <w:color w:val="auto"/>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3EB23BC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除</w:t>
      </w:r>
      <w:r>
        <w:rPr>
          <w:rFonts w:ascii="宋体" w:hAnsi="宋体" w:eastAsia="宋体"/>
          <w:color w:val="auto"/>
          <w:sz w:val="24"/>
          <w:highlight w:val="none"/>
        </w:rPr>
        <w:t>招标文件</w:t>
      </w:r>
      <w:r>
        <w:rPr>
          <w:rFonts w:asciiTheme="minorEastAsia" w:hAnsiTheme="minorEastAsia" w:eastAsiaTheme="minorEastAsia"/>
          <w:color w:val="auto"/>
          <w:sz w:val="24"/>
          <w:highlight w:val="none"/>
        </w:rPr>
        <w:t>中有特殊要求外，投标文件中所使用的计量单位，应采用中华人民共和国法定计量单位。</w:t>
      </w:r>
    </w:p>
    <w:p w14:paraId="743B191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投标文件构成</w:t>
      </w:r>
    </w:p>
    <w:p w14:paraId="5B862A8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应完整地按招标文件提供的投标文件格式及要求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写投标文件，</w:t>
      </w:r>
      <w:r>
        <w:rPr>
          <w:rFonts w:hint="eastAsia" w:asciiTheme="minorEastAsia" w:hAnsiTheme="minorEastAsia" w:eastAsiaTheme="minorEastAsia"/>
          <w:color w:val="auto"/>
          <w:sz w:val="24"/>
          <w:highlight w:val="none"/>
        </w:rPr>
        <w:t>具体内容详见本项目投标文件格式的相关内容。</w:t>
      </w:r>
    </w:p>
    <w:p w14:paraId="64D12801">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8.2</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应提交</w:t>
      </w:r>
      <w:r>
        <w:rPr>
          <w:rFonts w:hint="eastAsia" w:asciiTheme="minorEastAsia" w:hAnsiTheme="minorEastAsia" w:eastAsiaTheme="minorEastAsia"/>
          <w:color w:val="auto"/>
          <w:sz w:val="24"/>
          <w:highlight w:val="none"/>
        </w:rPr>
        <w:t>招标文件要求的</w:t>
      </w:r>
      <w:r>
        <w:rPr>
          <w:rFonts w:asciiTheme="minorEastAsia" w:hAnsiTheme="minorEastAsia" w:eastAsiaTheme="minorEastAsia"/>
          <w:color w:val="auto"/>
          <w:sz w:val="24"/>
          <w:highlight w:val="none"/>
        </w:rPr>
        <w:t>证明文件，证明其投标内容符合招标文件规定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该证明文件是投标文件的一部分</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bookmarkStart w:id="38" w:name="_Hlk11703583"/>
      <w:r>
        <w:rPr>
          <w:rFonts w:hint="eastAsia" w:asciiTheme="minorEastAsia" w:hAnsiTheme="minorEastAsia" w:eastAsiaTheme="minorEastAsia"/>
          <w:color w:val="auto"/>
          <w:sz w:val="24"/>
          <w:highlight w:val="none"/>
          <w:lang w:val="en-US" w:eastAsia="zh-CN"/>
        </w:rPr>
        <w:t>等。</w:t>
      </w:r>
    </w:p>
    <w:bookmarkEnd w:id="38"/>
    <w:p w14:paraId="6F2FC32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8.3</w:t>
      </w:r>
      <w:r>
        <w:rPr>
          <w:rFonts w:asciiTheme="minorEastAsia" w:hAnsiTheme="minorEastAsia" w:eastAsiaTheme="minorEastAsia"/>
          <w:color w:val="auto"/>
          <w:sz w:val="24"/>
          <w:highlight w:val="none"/>
        </w:rPr>
        <w:t>为保证</w:t>
      </w:r>
      <w:r>
        <w:rPr>
          <w:rFonts w:ascii="宋体" w:hAnsi="宋体" w:eastAsia="宋体"/>
          <w:color w:val="auto"/>
          <w:sz w:val="24"/>
          <w:highlight w:val="none"/>
        </w:rPr>
        <w:t>公平</w:t>
      </w:r>
      <w:r>
        <w:rPr>
          <w:rFonts w:asciiTheme="minorEastAsia" w:hAnsiTheme="minorEastAsia" w:eastAsiaTheme="minorEastAsia"/>
          <w:color w:val="auto"/>
          <w:sz w:val="24"/>
          <w:highlight w:val="none"/>
        </w:rPr>
        <w:t>公正，除非另有规定或说明，投标人对同一项目投标时，不得同时提供</w:t>
      </w:r>
      <w:r>
        <w:rPr>
          <w:rFonts w:hint="eastAsia" w:asciiTheme="minorEastAsia" w:hAnsiTheme="minorEastAsia" w:eastAsiaTheme="minorEastAsia"/>
          <w:color w:val="auto"/>
          <w:sz w:val="24"/>
          <w:highlight w:val="none"/>
        </w:rPr>
        <w:t>备选</w:t>
      </w:r>
      <w:r>
        <w:rPr>
          <w:rFonts w:asciiTheme="minorEastAsia" w:hAnsiTheme="minorEastAsia" w:eastAsiaTheme="minorEastAsia"/>
          <w:color w:val="auto"/>
          <w:sz w:val="24"/>
          <w:highlight w:val="none"/>
        </w:rPr>
        <w:t>投标方案。</w:t>
      </w:r>
    </w:p>
    <w:p w14:paraId="2D5253F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投标报价</w:t>
      </w:r>
    </w:p>
    <w:p w14:paraId="43BB3DE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2.1投标人的报价应当包括满足本次招标全部采购需求</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除招标文件另有规定外，</w:t>
      </w:r>
      <w:r>
        <w:rPr>
          <w:rFonts w:hint="eastAsia" w:asciiTheme="minorEastAsia" w:hAnsiTheme="minorEastAsia" w:eastAsiaTheme="minorEastAsia"/>
          <w:color w:val="auto"/>
          <w:sz w:val="24"/>
          <w:highlight w:val="none"/>
        </w:rPr>
        <w:t>所有投标均应以人民币报价。投标人的投标报价应遵守《中华人民共和国价格法》。</w:t>
      </w:r>
    </w:p>
    <w:p w14:paraId="0A68A4F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.2投标人报价超过招标文件规定的预算金额或者分项、分包最高限价，其投标将被认定为</w:t>
      </w:r>
      <w:r>
        <w:rPr>
          <w:rFonts w:asciiTheme="minorEastAsia" w:hAnsiTheme="minorEastAsia" w:eastAsiaTheme="minorEastAsia"/>
          <w:b/>
          <w:bCs/>
          <w:color w:val="auto"/>
          <w:sz w:val="24"/>
          <w:highlight w:val="none"/>
        </w:rPr>
        <w:t>投标无效</w:t>
      </w:r>
      <w:r>
        <w:rPr>
          <w:rFonts w:asciiTheme="minorEastAsia" w:hAnsiTheme="minorEastAsia" w:eastAsiaTheme="minorEastAsia"/>
          <w:color w:val="auto"/>
          <w:sz w:val="24"/>
          <w:highlight w:val="none"/>
        </w:rPr>
        <w:t>。</w:t>
      </w:r>
    </w:p>
    <w:p w14:paraId="0CF500D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投标报价</w:t>
      </w:r>
      <w:r>
        <w:rPr>
          <w:rFonts w:asciiTheme="minorEastAsia" w:hAnsiTheme="minorEastAsia" w:eastAsiaTheme="minorEastAsia"/>
          <w:color w:val="auto"/>
          <w:sz w:val="24"/>
          <w:highlight w:val="none"/>
        </w:rPr>
        <w:t>在合同履行过程中是固定不变的，不得以任何理由予以变更。任何包含价格调整要求的投标，其投标将被认定为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7C68ECE4">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color w:val="auto"/>
          <w:sz w:val="24"/>
          <w:highlight w:val="none"/>
        </w:rPr>
        <w:t>必要时提交相关证明材料；投标人不能证明其报价合理性的，其投标将被认定为</w:t>
      </w:r>
      <w:r>
        <w:rPr>
          <w:rFonts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413F46C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采购人不接受具有附加条件的报价。</w:t>
      </w:r>
    </w:p>
    <w:p w14:paraId="032A06CA">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投标保证金</w:t>
      </w:r>
    </w:p>
    <w:p w14:paraId="2674319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.1本项目不收取投标保证金。</w:t>
      </w:r>
    </w:p>
    <w:p w14:paraId="67C5537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投标有效期</w:t>
      </w:r>
    </w:p>
    <w:p w14:paraId="1276E68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.1投标有效期为从投标截止之日算起的日历天数，投标有效期详见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72829FF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0DC7252E">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6A3E126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投标文件的递交、修改与撤回</w:t>
      </w:r>
    </w:p>
    <w:p w14:paraId="2319DE4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.1投标人应当在</w:t>
      </w:r>
      <w:r>
        <w:rPr>
          <w:rFonts w:hint="eastAsia" w:asciiTheme="minorEastAsia" w:hAnsiTheme="minorEastAsia" w:eastAsiaTheme="minorEastAsia"/>
          <w:color w:val="auto"/>
          <w:sz w:val="24"/>
          <w:highlight w:val="none"/>
          <w:lang w:val="en-US" w:eastAsia="zh-CN"/>
        </w:rPr>
        <w:t>招标公告</w:t>
      </w:r>
      <w:r>
        <w:rPr>
          <w:rFonts w:hint="eastAsia" w:asciiTheme="minorEastAsia" w:hAnsiTheme="minorEastAsia" w:eastAsiaTheme="minorEastAsia"/>
          <w:color w:val="auto"/>
          <w:sz w:val="24"/>
          <w:highlight w:val="none"/>
        </w:rPr>
        <w:t>规定的投标截止时间前</w:t>
      </w:r>
      <w:r>
        <w:rPr>
          <w:rFonts w:asciiTheme="minorEastAsia" w:hAnsiTheme="minorEastAsia" w:eastAsiaTheme="minorEastAsia"/>
          <w:color w:val="auto"/>
          <w:sz w:val="24"/>
          <w:highlight w:val="none"/>
        </w:rPr>
        <w:t>，将加密的投标文件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02957640">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6527705A">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开标</w:t>
      </w:r>
    </w:p>
    <w:p w14:paraId="488219B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开标时，</w:t>
      </w:r>
      <w:r>
        <w:rPr>
          <w:rFonts w:ascii="宋体" w:hAnsi="宋体" w:eastAsia="宋体" w:cs="宋体"/>
          <w:sz w:val="24"/>
          <w:szCs w:val="24"/>
        </w:rPr>
        <w:t>各投标人应在</w:t>
      </w:r>
      <w:r>
        <w:rPr>
          <w:rFonts w:ascii="宋体" w:hAnsi="宋体" w:eastAsia="宋体" w:cs="宋体"/>
          <w:sz w:val="24"/>
          <w:szCs w:val="24"/>
          <w:u w:val="single"/>
        </w:rPr>
        <w:t>投标人须知前附表</w:t>
      </w:r>
      <w:r>
        <w:rPr>
          <w:rFonts w:ascii="宋体" w:hAnsi="宋体" w:eastAsia="宋体" w:cs="宋体"/>
          <w:sz w:val="24"/>
          <w:szCs w:val="24"/>
        </w:rPr>
        <w:t>规定的解密时间前</w:t>
      </w:r>
      <w:r>
        <w:rPr>
          <w:rFonts w:asciiTheme="minorEastAsia" w:hAnsiTheme="minorEastAsia" w:eastAsiaTheme="minorEastAsia"/>
          <w:color w:val="auto"/>
          <w:sz w:val="24"/>
          <w:highlight w:val="none"/>
        </w:rPr>
        <w:t>对</w:t>
      </w:r>
      <w:r>
        <w:rPr>
          <w:rFonts w:hint="eastAsia" w:ascii="宋体" w:hAnsi="宋体" w:eastAsia="宋体" w:cs="宋体"/>
          <w:color w:val="auto"/>
          <w:sz w:val="24"/>
          <w:szCs w:val="24"/>
          <w:highlight w:val="none"/>
          <w:lang w:val="en-US" w:eastAsia="zh-CN"/>
        </w:rPr>
        <w:t>其</w:t>
      </w:r>
      <w:r>
        <w:rPr>
          <w:rFonts w:asciiTheme="minorEastAsia" w:hAnsiTheme="minorEastAsia" w:eastAsiaTheme="minorEastAsia"/>
          <w:color w:val="auto"/>
          <w:sz w:val="24"/>
          <w:highlight w:val="none"/>
        </w:rPr>
        <w:t>投标文件</w:t>
      </w:r>
      <w:r>
        <w:rPr>
          <w:rFonts w:hint="eastAsia" w:asciiTheme="minorEastAsia" w:hAnsiTheme="minorEastAsia" w:eastAsiaTheme="minorEastAsia"/>
          <w:color w:val="auto"/>
          <w:sz w:val="24"/>
          <w:highlight w:val="none"/>
        </w:rPr>
        <w:t>进行</w:t>
      </w:r>
      <w:r>
        <w:rPr>
          <w:rFonts w:asciiTheme="minorEastAsia" w:hAnsiTheme="minorEastAsia" w:eastAsiaTheme="minorEastAsia"/>
          <w:color w:val="auto"/>
          <w:sz w:val="24"/>
          <w:highlight w:val="none"/>
        </w:rPr>
        <w:t>解密。</w:t>
      </w:r>
    </w:p>
    <w:p w14:paraId="056CD25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开标时，采购代理机构将通过网上开标系统公布</w:t>
      </w:r>
      <w:r>
        <w:rPr>
          <w:rFonts w:hint="eastAsia" w:asciiTheme="minorEastAsia" w:hAnsiTheme="minorEastAsia" w:eastAsiaTheme="minorEastAsia"/>
          <w:color w:val="auto"/>
          <w:sz w:val="24"/>
          <w:highlight w:val="none"/>
        </w:rPr>
        <w:t>开标结果，公布内容包括投标人名称、投标价格及招标文件规定的内容。</w:t>
      </w:r>
    </w:p>
    <w:p w14:paraId="60A8030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采购人或采购代理机构将对开标过程进行记录，由参加开标的各投标人代表和相关工作人员签字确认，并存档备查。</w:t>
      </w:r>
    </w:p>
    <w:p w14:paraId="4900273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投标人未派代表参加开标的，视同投标人认可开标结果。</w:t>
      </w:r>
    </w:p>
    <w:p w14:paraId="131B68D0">
      <w:pPr>
        <w:spacing w:line="360" w:lineRule="auto"/>
        <w:ind w:firstLine="435"/>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投标人代表对开标过程和开标记录有疑义，以及认为采购人、采购代理机构相关工作人员有需要回避的情形的，应当场提出询问或者回避申请。</w:t>
      </w:r>
    </w:p>
    <w:p w14:paraId="6D23F21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资格审查及组建评标委员会</w:t>
      </w:r>
    </w:p>
    <w:p w14:paraId="20D5E27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.1采购人或采购代理机构依据法律法规和招标文件中规定的内</w:t>
      </w:r>
      <w:r>
        <w:rPr>
          <w:rFonts w:asciiTheme="minorEastAsia" w:hAnsiTheme="minorEastAsia" w:eastAsiaTheme="minorEastAsia"/>
          <w:color w:val="auto"/>
          <w:sz w:val="24"/>
          <w:highlight w:val="none"/>
        </w:rPr>
        <w:t>容</w:t>
      </w:r>
      <w:r>
        <w:rPr>
          <w:rFonts w:hint="eastAsia" w:asciiTheme="minorEastAsia" w:hAnsiTheme="minorEastAsia" w:eastAsiaTheme="minorEastAsia"/>
          <w:color w:val="auto"/>
          <w:sz w:val="24"/>
          <w:highlight w:val="none"/>
        </w:rPr>
        <w:t>，对投标人资格进行审查，未</w:t>
      </w:r>
      <w:r>
        <w:rPr>
          <w:rFonts w:asciiTheme="minorEastAsia" w:hAnsiTheme="minorEastAsia" w:eastAsiaTheme="minorEastAsia"/>
          <w:color w:val="auto"/>
          <w:sz w:val="24"/>
          <w:highlight w:val="none"/>
        </w:rPr>
        <w:t>通过资格审查的投标人</w:t>
      </w:r>
      <w:r>
        <w:rPr>
          <w:rFonts w:hint="eastAsia" w:asciiTheme="minorEastAsia" w:hAnsiTheme="minorEastAsia" w:eastAsiaTheme="minorEastAsia"/>
          <w:color w:val="auto"/>
          <w:sz w:val="24"/>
          <w:highlight w:val="none"/>
        </w:rPr>
        <w:t>不</w:t>
      </w:r>
      <w:r>
        <w:rPr>
          <w:rFonts w:asciiTheme="minorEastAsia" w:hAnsiTheme="minorEastAsia" w:eastAsiaTheme="minorEastAsia"/>
          <w:color w:val="auto"/>
          <w:sz w:val="24"/>
          <w:highlight w:val="none"/>
        </w:rPr>
        <w:t>进入评标</w:t>
      </w:r>
      <w:r>
        <w:rPr>
          <w:rFonts w:hint="eastAsia" w:asciiTheme="minorEastAsia" w:hAnsiTheme="minorEastAsia" w:eastAsiaTheme="minorEastAsia"/>
          <w:color w:val="auto"/>
          <w:sz w:val="24"/>
          <w:highlight w:val="none"/>
        </w:rPr>
        <w:t>。</w:t>
      </w:r>
    </w:p>
    <w:p w14:paraId="03536AFD">
      <w:pPr>
        <w:spacing w:line="360" w:lineRule="auto"/>
        <w:ind w:firstLine="435"/>
        <w:rPr>
          <w:rFonts w:hint="eastAsia" w:ascii="宋体" w:hAnsi="宋体" w:eastAsia="宋体" w:cs="宋体"/>
          <w:color w:val="auto"/>
          <w:sz w:val="24"/>
          <w:szCs w:val="24"/>
          <w:highlight w:val="none"/>
        </w:rPr>
      </w:pPr>
      <w:bookmarkStart w:id="39" w:name="_Hlk24663244"/>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.2采购人或采购代理机构将在投标截止时间后至评审结束前通过“信用中国”网站(www.creditchina.gov.cn)、中国政府采购网(www.ccgp.gov.cn)查询相关投标人信用记录，并对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512C6CCB">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5F6D9E88">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39"/>
    <w:p w14:paraId="5294AF85">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.3按照</w:t>
      </w:r>
      <w:r>
        <w:rPr>
          <w:rFonts w:hint="eastAsia" w:ascii="宋体" w:hAnsi="宋体" w:eastAsia="宋体"/>
          <w:color w:val="auto"/>
          <w:sz w:val="24"/>
          <w:highlight w:val="none"/>
        </w:rPr>
        <w:t>《</w:t>
      </w:r>
      <w:r>
        <w:rPr>
          <w:rFonts w:ascii="宋体" w:hAnsi="宋体" w:eastAsia="宋体"/>
          <w:color w:val="auto"/>
          <w:sz w:val="24"/>
          <w:highlight w:val="none"/>
        </w:rPr>
        <w:t>中华人民共和国政府采购法》</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《中华人民共和国政府采购</w:t>
      </w:r>
      <w:r>
        <w:rPr>
          <w:rFonts w:hint="eastAsia" w:asciiTheme="minorEastAsia" w:hAnsiTheme="minorEastAsia" w:eastAsiaTheme="minorEastAsia"/>
          <w:color w:val="auto"/>
          <w:sz w:val="24"/>
          <w:highlight w:val="none"/>
        </w:rPr>
        <w:t>法</w:t>
      </w:r>
      <w:r>
        <w:rPr>
          <w:rFonts w:asciiTheme="minorEastAsia" w:hAnsiTheme="minorEastAsia" w:eastAsiaTheme="minorEastAsia"/>
          <w:color w:val="auto"/>
          <w:sz w:val="24"/>
          <w:highlight w:val="none"/>
        </w:rPr>
        <w:t>实施条例》</w:t>
      </w:r>
      <w:r>
        <w:rPr>
          <w:rFonts w:hint="eastAsia" w:asciiTheme="minorEastAsia" w:hAnsiTheme="minorEastAsia" w:eastAsiaTheme="minorEastAsia"/>
          <w:color w:val="auto"/>
          <w:sz w:val="24"/>
          <w:highlight w:val="none"/>
        </w:rPr>
        <w:t>及本项目本级</w:t>
      </w:r>
      <w:r>
        <w:rPr>
          <w:rFonts w:asciiTheme="minorEastAsia" w:hAnsiTheme="minorEastAsia" w:eastAsiaTheme="minorEastAsia"/>
          <w:color w:val="auto"/>
          <w:sz w:val="24"/>
          <w:highlight w:val="none"/>
        </w:rPr>
        <w:t>和上级财政部门</w:t>
      </w:r>
      <w:r>
        <w:rPr>
          <w:rFonts w:hint="eastAsia" w:asciiTheme="minorEastAsia" w:hAnsiTheme="minorEastAsia" w:eastAsiaTheme="minorEastAsia"/>
          <w:color w:val="auto"/>
          <w:sz w:val="24"/>
          <w:highlight w:val="none"/>
        </w:rPr>
        <w:t>、政府采购监督管理部门的有关规定依法组建的</w:t>
      </w:r>
      <w:r>
        <w:rPr>
          <w:rFonts w:asciiTheme="minorEastAsia" w:hAnsiTheme="minorEastAsia" w:eastAsiaTheme="minorEastAsia"/>
          <w:color w:val="auto"/>
          <w:sz w:val="24"/>
          <w:highlight w:val="none"/>
        </w:rPr>
        <w:t>评标委员会</w:t>
      </w:r>
      <w:r>
        <w:rPr>
          <w:rFonts w:hint="eastAsia" w:asciiTheme="minorEastAsia" w:hAnsiTheme="minorEastAsia" w:eastAsiaTheme="minorEastAsia"/>
          <w:color w:val="auto"/>
          <w:sz w:val="24"/>
          <w:highlight w:val="none"/>
        </w:rPr>
        <w:t>，负责本项目评标工作。</w:t>
      </w:r>
    </w:p>
    <w:p w14:paraId="66B5BF1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投标文件符合性审查与澄清</w:t>
      </w:r>
    </w:p>
    <w:p w14:paraId="5D8339A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asciiTheme="minorEastAsia" w:hAnsiTheme="minorEastAsia" w:eastAsiaTheme="minorEastAsia"/>
          <w:color w:val="auto"/>
          <w:sz w:val="24"/>
          <w:highlight w:val="none"/>
        </w:rPr>
        <w:t>.1符合性审查是指依据招标文件的规定，从投标文件的有效性和完整性对招标文件的响应程度</w:t>
      </w:r>
      <w:r>
        <w:rPr>
          <w:rFonts w:ascii="宋体" w:hAnsi="宋体" w:eastAsia="宋体"/>
          <w:color w:val="auto"/>
          <w:sz w:val="24"/>
          <w:highlight w:val="none"/>
        </w:rPr>
        <w:t>进行</w:t>
      </w:r>
      <w:r>
        <w:rPr>
          <w:rFonts w:asciiTheme="minorEastAsia" w:hAnsiTheme="minorEastAsia" w:eastAsiaTheme="minorEastAsia"/>
          <w:color w:val="auto"/>
          <w:sz w:val="24"/>
          <w:highlight w:val="none"/>
        </w:rPr>
        <w:t>审查，以确定是否对招标文件的实质性要求做出响应。</w:t>
      </w:r>
    </w:p>
    <w:p w14:paraId="2CFA104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投标文件的澄清</w:t>
      </w:r>
    </w:p>
    <w:p w14:paraId="76886B6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.1为有助于投标</w:t>
      </w:r>
      <w:r>
        <w:rPr>
          <w:rFonts w:hint="eastAsia" w:ascii="宋体" w:hAnsi="宋体" w:eastAsia="宋体"/>
          <w:color w:val="auto"/>
          <w:sz w:val="24"/>
          <w:highlight w:val="none"/>
        </w:rPr>
        <w:t>文件</w:t>
      </w:r>
      <w:r>
        <w:rPr>
          <w:rFonts w:ascii="宋体" w:hAnsi="宋体" w:eastAsia="宋体"/>
          <w:color w:val="auto"/>
          <w:sz w:val="24"/>
          <w:highlight w:val="none"/>
        </w:rPr>
        <w:t>的审查、评价和比较，在评标期间，评标委员会将以书面</w:t>
      </w:r>
      <w:r>
        <w:rPr>
          <w:rFonts w:hint="eastAsia" w:ascii="宋体" w:hAnsi="宋体" w:eastAsia="宋体"/>
          <w:color w:val="auto"/>
          <w:sz w:val="24"/>
          <w:highlight w:val="none"/>
        </w:rPr>
        <w:t>方式（询标）</w:t>
      </w:r>
      <w:r>
        <w:rPr>
          <w:rFonts w:ascii="宋体" w:hAnsi="宋体" w:eastAsia="宋体"/>
          <w:color w:val="auto"/>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auto"/>
          <w:sz w:val="24"/>
          <w:highlight w:val="none"/>
        </w:rPr>
        <w:t>审</w:t>
      </w:r>
      <w:r>
        <w:rPr>
          <w:rFonts w:ascii="宋体" w:hAnsi="宋体" w:eastAsia="宋体"/>
          <w:color w:val="auto"/>
          <w:sz w:val="24"/>
          <w:highlight w:val="none"/>
        </w:rPr>
        <w:t>查投标人的报价，有可能影响履约的情况作必要的澄清、说明或补正。投标人的澄清、说明或补正应在评标委员会规定的时间内以书面</w:t>
      </w:r>
      <w:r>
        <w:rPr>
          <w:rFonts w:hint="eastAsia" w:ascii="宋体" w:hAnsi="宋体" w:eastAsia="宋体"/>
          <w:color w:val="auto"/>
          <w:sz w:val="24"/>
          <w:highlight w:val="none"/>
        </w:rPr>
        <w:t>方式</w:t>
      </w:r>
      <w:r>
        <w:rPr>
          <w:rFonts w:ascii="宋体" w:hAnsi="宋体" w:eastAsia="宋体"/>
          <w:color w:val="auto"/>
          <w:sz w:val="24"/>
          <w:highlight w:val="none"/>
        </w:rPr>
        <w:t>进行，并不得超出投标文件范围或者改变投标文件的实质性内容。</w:t>
      </w:r>
    </w:p>
    <w:p w14:paraId="5F92343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14:paraId="5B50F5E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15.</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投标人的澄清、说明或补正将作为投标文件的一部分。</w:t>
      </w:r>
    </w:p>
    <w:p w14:paraId="3DFC04F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.3评标委员会对投标人提交的澄清、说明或补正有疑问的，可以要求投标人进一步澄清、说明或补正，直至满足评标委员会的要求。</w:t>
      </w:r>
    </w:p>
    <w:p w14:paraId="0D43688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投标文件报价出现前后不一致的，按照下列规定修正：</w:t>
      </w:r>
    </w:p>
    <w:p w14:paraId="3451C9EE">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）投标文件中开标一览表内容与投标文件中相应内容不一致的，以开标一览表为准；</w:t>
      </w:r>
    </w:p>
    <w:p w14:paraId="1311F294">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）大写金额和小写金额不一致的，以大写金额为准；</w:t>
      </w:r>
    </w:p>
    <w:p w14:paraId="2A1CA444">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）单价金额小数点或者百分比有明显错位的，以开标一览表的总价为准，并修改单价；</w:t>
      </w:r>
    </w:p>
    <w:p w14:paraId="23E18BFC">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）总价金额与按单价汇总金额不一致的，以单价金额计算结果为准。</w:t>
      </w:r>
    </w:p>
    <w:p w14:paraId="10D92DE6">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同时出现两种以上不一致的，按照前款规定的顺序修正。修正后的报价按照第</w:t>
      </w:r>
      <w:r>
        <w:rPr>
          <w:rFonts w:hint="eastAsia" w:ascii="宋体" w:hAnsi="宋体" w:eastAsia="宋体"/>
          <w:color w:val="auto"/>
          <w:sz w:val="24"/>
          <w:highlight w:val="none"/>
          <w:lang w:eastAsia="zh-CN"/>
        </w:rPr>
        <w:t>15.</w:t>
      </w:r>
      <w:r>
        <w:rPr>
          <w:rFonts w:ascii="宋体" w:hAnsi="宋体" w:eastAsia="宋体"/>
          <w:color w:val="auto"/>
          <w:sz w:val="24"/>
          <w:highlight w:val="none"/>
        </w:rPr>
        <w:t>4条的规定经投标人确认后产生约束力，投标人不确认的，其投标将被认定为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7F0015CD">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对不同文字文本投标文件的解释发生异议的，以中文文本为准。</w:t>
      </w:r>
    </w:p>
    <w:p w14:paraId="2487E13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16.</w:t>
      </w:r>
      <w:r>
        <w:rPr>
          <w:rFonts w:hint="eastAsia" w:asciiTheme="minorEastAsia" w:hAnsiTheme="minorEastAsia" w:eastAsiaTheme="minorEastAsia"/>
          <w:b/>
          <w:color w:val="auto"/>
          <w:sz w:val="24"/>
          <w:highlight w:val="none"/>
        </w:rPr>
        <w:t>投标无效</w:t>
      </w:r>
    </w:p>
    <w:p w14:paraId="78EFD71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16.</w:t>
      </w:r>
      <w:r>
        <w:rPr>
          <w:rFonts w:asciiTheme="minorEastAsia" w:hAnsiTheme="minorEastAsia" w:eastAsiaTheme="minorEastAsia"/>
          <w:color w:val="auto"/>
          <w:sz w:val="24"/>
          <w:highlight w:val="none"/>
        </w:rPr>
        <w:t>1根据本</w:t>
      </w:r>
      <w:r>
        <w:rPr>
          <w:rFonts w:hint="eastAsia" w:asciiTheme="minorEastAsia" w:hAnsiTheme="minorEastAsia" w:eastAsiaTheme="minorEastAsia"/>
          <w:color w:val="auto"/>
          <w:sz w:val="24"/>
          <w:highlight w:val="none"/>
        </w:rPr>
        <w:t>招标文件</w:t>
      </w:r>
      <w:r>
        <w:rPr>
          <w:rFonts w:asciiTheme="minorEastAsia" w:hAnsiTheme="minorEastAsia" w:eastAsiaTheme="minorEastAsia"/>
          <w:color w:val="auto"/>
          <w:sz w:val="24"/>
          <w:highlight w:val="none"/>
        </w:rPr>
        <w:t>的规定，评标委员会要审查每份投标文件是否实质上响应了招标文件的要求。投标人不得通过修正或撤销不符合要求的偏离，从而使其投标成为实质上响应的投标。</w:t>
      </w:r>
    </w:p>
    <w:p w14:paraId="7F1B659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评标委员会决定投标的响应性只根据招标文件要求和投标文件内容。</w:t>
      </w:r>
    </w:p>
    <w:p w14:paraId="717404B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无论何种原因，即使投标人投标时携带了证书材料的原件，但投标文件中未提供与之内容完全一致的扫描件的，评标委员会视同其未提供。</w:t>
      </w:r>
    </w:p>
    <w:p w14:paraId="1D9ADF7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16.</w:t>
      </w:r>
      <w:r>
        <w:rPr>
          <w:rFonts w:asciiTheme="minorEastAsia" w:hAnsiTheme="minorEastAsia" w:eastAsiaTheme="minorEastAsia"/>
          <w:color w:val="auto"/>
          <w:sz w:val="24"/>
          <w:highlight w:val="none"/>
        </w:rPr>
        <w:t>2如发现下列情况之一的，其投标将被认定为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2B77600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1）投标文件未按照招标文件规定要求签署、盖章的；</w:t>
      </w:r>
    </w:p>
    <w:p w14:paraId="0F5CACA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2）不具备招标文件中规定的资格要求的；</w:t>
      </w:r>
    </w:p>
    <w:p w14:paraId="7AE8D5E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3）报价超过招标文件中规定的预算金额或者最高限价的；</w:t>
      </w:r>
    </w:p>
    <w:p w14:paraId="0B9C787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4）投标文件含有采购人不能接受的附加条件的；</w:t>
      </w:r>
    </w:p>
    <w:p w14:paraId="3E39FE81">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5）法律、法规和招标文件规定的其他无效情形。</w:t>
      </w:r>
    </w:p>
    <w:p w14:paraId="7005BFF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17.</w:t>
      </w:r>
      <w:r>
        <w:rPr>
          <w:rFonts w:hint="eastAsia" w:asciiTheme="minorEastAsia" w:hAnsiTheme="minorEastAsia" w:eastAsiaTheme="minorEastAsia"/>
          <w:b/>
          <w:color w:val="auto"/>
          <w:sz w:val="24"/>
          <w:highlight w:val="none"/>
        </w:rPr>
        <w:t>比较与评价</w:t>
      </w:r>
    </w:p>
    <w:p w14:paraId="6187885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1经符合性审查合格的投标文件，评标委员会将根据招标文件确定的评标方法和标准，对其投标文件作进一步的比较与评价。</w:t>
      </w:r>
    </w:p>
    <w:p w14:paraId="6A26C19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2评标严格按照</w:t>
      </w:r>
      <w:r>
        <w:rPr>
          <w:rFonts w:hint="eastAsia" w:ascii="宋体" w:hAnsi="宋体" w:eastAsia="宋体"/>
          <w:color w:val="auto"/>
          <w:sz w:val="24"/>
          <w:highlight w:val="none"/>
        </w:rPr>
        <w:t>招标文件</w:t>
      </w:r>
      <w:r>
        <w:rPr>
          <w:rFonts w:hint="eastAsia" w:asciiTheme="minorEastAsia" w:hAnsiTheme="minorEastAsia" w:eastAsiaTheme="minorEastAsia"/>
          <w:color w:val="auto"/>
          <w:sz w:val="24"/>
          <w:highlight w:val="none"/>
        </w:rPr>
        <w:t>的要求和条件进行。根据实际情况，在</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中规定采用下列一种评标方法，详细评标方法和标准见招标文件第四章：</w:t>
      </w:r>
    </w:p>
    <w:p w14:paraId="19390B25">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1）最低评标价法，是指</w:t>
      </w:r>
      <w:r>
        <w:rPr>
          <w:rFonts w:ascii="宋体" w:hAnsi="宋体" w:eastAsia="宋体"/>
          <w:color w:val="auto"/>
          <w:sz w:val="24"/>
          <w:highlight w:val="none"/>
        </w:rPr>
        <w:t>投标文件满足招标文件全部实质性要求</w:t>
      </w:r>
      <w:r>
        <w:rPr>
          <w:rFonts w:hint="eastAsia" w:ascii="宋体" w:hAnsi="宋体" w:eastAsia="宋体"/>
          <w:color w:val="auto"/>
          <w:sz w:val="24"/>
          <w:highlight w:val="none"/>
        </w:rPr>
        <w:t>，</w:t>
      </w:r>
      <w:r>
        <w:rPr>
          <w:rFonts w:ascii="宋体" w:hAnsi="宋体" w:eastAsia="宋体"/>
          <w:color w:val="auto"/>
          <w:sz w:val="24"/>
          <w:highlight w:val="none"/>
        </w:rPr>
        <w:t>且投标报价最低的</w:t>
      </w:r>
      <w:r>
        <w:rPr>
          <w:rFonts w:hint="eastAsia" w:ascii="宋体" w:hAnsi="宋体" w:eastAsia="宋体"/>
          <w:color w:val="auto"/>
          <w:sz w:val="24"/>
          <w:highlight w:val="none"/>
        </w:rPr>
        <w:t>投标人</w:t>
      </w:r>
      <w:r>
        <w:rPr>
          <w:rFonts w:ascii="宋体" w:hAnsi="宋体" w:eastAsia="宋体"/>
          <w:color w:val="auto"/>
          <w:sz w:val="24"/>
          <w:highlight w:val="none"/>
        </w:rPr>
        <w:t>为中标</w:t>
      </w:r>
      <w:r>
        <w:rPr>
          <w:rFonts w:hint="eastAsia" w:ascii="宋体" w:hAnsi="宋体" w:eastAsia="宋体"/>
          <w:color w:val="auto"/>
          <w:sz w:val="24"/>
          <w:highlight w:val="none"/>
        </w:rPr>
        <w:t>候选</w:t>
      </w:r>
      <w:r>
        <w:rPr>
          <w:rFonts w:ascii="宋体" w:hAnsi="宋体" w:eastAsia="宋体"/>
          <w:color w:val="auto"/>
          <w:sz w:val="24"/>
          <w:highlight w:val="none"/>
        </w:rPr>
        <w:t>人的评标方法</w:t>
      </w:r>
      <w:r>
        <w:rPr>
          <w:rFonts w:hint="eastAsia" w:ascii="宋体" w:hAnsi="宋体" w:eastAsia="宋体"/>
          <w:color w:val="auto"/>
          <w:sz w:val="24"/>
          <w:highlight w:val="none"/>
        </w:rPr>
        <w:t>。</w:t>
      </w:r>
    </w:p>
    <w:p w14:paraId="73BF81B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（2）综合评分法，是</w:t>
      </w:r>
      <w:r>
        <w:rPr>
          <w:rFonts w:ascii="宋体" w:hAnsi="宋体" w:eastAsia="宋体"/>
          <w:color w:val="auto"/>
          <w:sz w:val="24"/>
          <w:highlight w:val="none"/>
        </w:rPr>
        <w:t>指投标文件满足招标</w:t>
      </w:r>
      <w:r>
        <w:rPr>
          <w:rFonts w:hint="eastAsia" w:ascii="宋体" w:hAnsi="宋体" w:eastAsia="宋体"/>
          <w:color w:val="auto"/>
          <w:sz w:val="24"/>
          <w:highlight w:val="none"/>
        </w:rPr>
        <w:t>文件</w:t>
      </w:r>
      <w:r>
        <w:rPr>
          <w:rFonts w:ascii="宋体" w:hAnsi="宋体" w:eastAsia="宋体"/>
          <w:color w:val="auto"/>
          <w:sz w:val="24"/>
          <w:highlight w:val="none"/>
        </w:rPr>
        <w:t>全部实质性要求</w:t>
      </w:r>
      <w:r>
        <w:rPr>
          <w:rFonts w:hint="eastAsia" w:ascii="宋体" w:hAnsi="宋体" w:eastAsia="宋体"/>
          <w:color w:val="auto"/>
          <w:sz w:val="24"/>
          <w:highlight w:val="none"/>
        </w:rPr>
        <w:t>，</w:t>
      </w:r>
      <w:r>
        <w:rPr>
          <w:rFonts w:ascii="宋体" w:hAnsi="宋体" w:eastAsia="宋体"/>
          <w:color w:val="auto"/>
          <w:sz w:val="24"/>
          <w:highlight w:val="none"/>
        </w:rPr>
        <w:t>且按照评审因素的</w:t>
      </w:r>
      <w:r>
        <w:rPr>
          <w:rFonts w:hint="eastAsia" w:ascii="宋体" w:hAnsi="宋体" w:eastAsia="宋体"/>
          <w:color w:val="auto"/>
          <w:sz w:val="24"/>
          <w:highlight w:val="none"/>
        </w:rPr>
        <w:t>量化</w:t>
      </w:r>
      <w:r>
        <w:rPr>
          <w:rFonts w:ascii="宋体" w:hAnsi="宋体" w:eastAsia="宋体"/>
          <w:color w:val="auto"/>
          <w:sz w:val="24"/>
          <w:highlight w:val="none"/>
        </w:rPr>
        <w:t>指标评审得分最高的</w:t>
      </w:r>
      <w:r>
        <w:rPr>
          <w:rFonts w:hint="eastAsia" w:ascii="宋体" w:hAnsi="宋体" w:eastAsia="宋体"/>
          <w:color w:val="auto"/>
          <w:sz w:val="24"/>
          <w:highlight w:val="none"/>
        </w:rPr>
        <w:t>投标人</w:t>
      </w:r>
      <w:r>
        <w:rPr>
          <w:rFonts w:ascii="宋体" w:hAnsi="宋体" w:eastAsia="宋体"/>
          <w:color w:val="auto"/>
          <w:sz w:val="24"/>
          <w:highlight w:val="none"/>
        </w:rPr>
        <w:t>为中标候选人的评标方法。</w:t>
      </w:r>
    </w:p>
    <w:p w14:paraId="4FE5181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17.</w:t>
      </w:r>
      <w:r>
        <w:rPr>
          <w:rFonts w:ascii="宋体" w:hAnsi="宋体" w:eastAsia="宋体"/>
          <w:color w:val="auto"/>
          <w:sz w:val="24"/>
          <w:highlight w:val="none"/>
        </w:rPr>
        <w:t>3根据《政府采购促进中小企业发展管理办法》（财库〔2020〕46号）、《三部门联合发布关于促进残疾人就业政府采购政策的通知》（财库〔2017〕141号）</w:t>
      </w:r>
      <w:r>
        <w:rPr>
          <w:rFonts w:hint="eastAsia" w:ascii="宋体" w:hAnsi="宋体" w:eastAsia="宋体"/>
          <w:color w:val="auto"/>
          <w:sz w:val="24"/>
          <w:highlight w:val="none"/>
          <w:lang w:val="en-US" w:eastAsia="zh-CN"/>
        </w:rPr>
        <w:t>和</w:t>
      </w:r>
      <w:r>
        <w:rPr>
          <w:rFonts w:ascii="宋体" w:hAnsi="宋体" w:eastAsia="宋体"/>
          <w:color w:val="auto"/>
          <w:sz w:val="24"/>
          <w:highlight w:val="none"/>
        </w:rPr>
        <w:t>《财政部 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color w:val="auto"/>
          <w:sz w:val="24"/>
          <w:highlight w:val="none"/>
          <w:u w:val="single"/>
        </w:rPr>
        <w:t>投标人须知前附表</w:t>
      </w:r>
      <w:r>
        <w:rPr>
          <w:rFonts w:ascii="宋体" w:hAnsi="宋体" w:eastAsia="宋体"/>
          <w:color w:val="auto"/>
          <w:sz w:val="24"/>
          <w:highlight w:val="none"/>
        </w:rPr>
        <w:t>中规定的标准扣除后的价格参与评审。对于同时属于小微企</w:t>
      </w:r>
      <w:r>
        <w:rPr>
          <w:rFonts w:hint="eastAsia" w:ascii="宋体" w:hAnsi="宋体" w:eastAsia="宋体"/>
          <w:color w:val="auto"/>
          <w:sz w:val="24"/>
          <w:highlight w:val="none"/>
        </w:rPr>
        <w:t>业、监狱企业或残疾人福利性单位的，不重复进行投标报价扣除。</w:t>
      </w:r>
    </w:p>
    <w:p w14:paraId="5972A28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color w:val="auto"/>
          <w:sz w:val="24"/>
          <w:highlight w:val="none"/>
        </w:rPr>
        <w:t>30%以上的，可给予联合体或者大中型企业的投标报价按照</w:t>
      </w:r>
      <w:r>
        <w:rPr>
          <w:rFonts w:ascii="宋体" w:hAnsi="宋体" w:eastAsia="宋体"/>
          <w:color w:val="auto"/>
          <w:sz w:val="24"/>
          <w:highlight w:val="none"/>
          <w:u w:val="single"/>
        </w:rPr>
        <w:t>投标人须知前附表</w:t>
      </w:r>
      <w:r>
        <w:rPr>
          <w:rFonts w:ascii="宋体" w:hAnsi="宋体" w:eastAsia="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48C54FF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以联合体形式参加政府采购活动，联合体各方均为中小企业的，联合体视同中小企业。其中，联合体各方均为小微企业的，联合体视同小微企业。</w:t>
      </w:r>
    </w:p>
    <w:p w14:paraId="11DB525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废标、重新招标与变更采购方式</w:t>
      </w:r>
    </w:p>
    <w:p w14:paraId="5872DFD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.1出现下列情形之一，将导致项目废标：</w:t>
      </w:r>
    </w:p>
    <w:p w14:paraId="0FFB91D0">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1）符合专业条件的供应商或者对招标文件做实质性响应的供应商不足规定数量的；</w:t>
      </w:r>
    </w:p>
    <w:p w14:paraId="018EE38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14:paraId="646C1AA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（3）投标人的报价均超过了采购预算，采购人不能支付的；</w:t>
      </w:r>
    </w:p>
    <w:p w14:paraId="6D72155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（4）因重大变故，采购任务取消的。</w:t>
      </w:r>
    </w:p>
    <w:p w14:paraId="3A476B0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.2公开招标数额标准以上的采购项目，投标截止后投标人不足</w:t>
      </w:r>
      <w:r>
        <w:rPr>
          <w:rFonts w:asciiTheme="minorEastAsia" w:hAnsiTheme="minorEastAsia" w:eastAsiaTheme="minorEastAsia"/>
          <w:color w:val="auto"/>
          <w:sz w:val="24"/>
          <w:highlight w:val="none"/>
        </w:rPr>
        <w:t>3家或者通过</w:t>
      </w:r>
      <w:r>
        <w:rPr>
          <w:rFonts w:hint="eastAsia" w:asciiTheme="minorEastAsia" w:hAnsiTheme="minorEastAsia" w:eastAsiaTheme="minorEastAsia"/>
          <w:color w:val="auto"/>
          <w:sz w:val="24"/>
          <w:highlight w:val="none"/>
        </w:rPr>
        <w:t>资格审查或符合性审查的投标人不足</w:t>
      </w:r>
      <w:r>
        <w:rPr>
          <w:rFonts w:asciiTheme="minorEastAsia" w:hAnsiTheme="minorEastAsia" w:eastAsiaTheme="minorEastAsia"/>
          <w:color w:val="auto"/>
          <w:sz w:val="24"/>
          <w:highlight w:val="none"/>
        </w:rPr>
        <w:t>3家的，除采购任务取消情形外，按照以下方式处理：</w:t>
      </w:r>
    </w:p>
    <w:p w14:paraId="3A40C46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（1）招标文件存在不合理条款或者招标程序不符合规定的，采购人、采购代理机构改正后依法重新招标；</w:t>
      </w:r>
    </w:p>
    <w:p w14:paraId="156B492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（2）招标文件没有不合理条款、招标程序符合规定，需要采用其他采购方式采购的，采购人应当依法报</w:t>
      </w:r>
      <w:r>
        <w:rPr>
          <w:rFonts w:hint="eastAsia" w:ascii="宋体" w:hAnsi="宋体" w:eastAsia="宋体" w:cs="宋体"/>
          <w:b w:val="0"/>
          <w:bCs w:val="0"/>
          <w:color w:val="000000"/>
          <w:kern w:val="2"/>
          <w:sz w:val="24"/>
          <w:szCs w:val="24"/>
          <w:highlight w:val="none"/>
          <w:u w:val="none"/>
          <w:lang w:val="en-US" w:eastAsia="zh-CN" w:bidi="ar-SA"/>
        </w:rPr>
        <w:t>政府采购监督管理部门</w:t>
      </w:r>
      <w:r>
        <w:rPr>
          <w:rFonts w:hint="eastAsia" w:asciiTheme="minorEastAsia" w:hAnsiTheme="minorEastAsia" w:eastAsiaTheme="minorEastAsia"/>
          <w:color w:val="auto"/>
          <w:sz w:val="24"/>
          <w:highlight w:val="none"/>
        </w:rPr>
        <w:t>批准。</w:t>
      </w:r>
    </w:p>
    <w:p w14:paraId="0A8BDC2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34C2C1C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.1评标将在严格保密的情况下进行。</w:t>
      </w:r>
    </w:p>
    <w:p w14:paraId="5BD8CDD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守评</w:t>
      </w:r>
      <w:r>
        <w:rPr>
          <w:rFonts w:hint="eastAsia" w:ascii="宋体" w:hAnsi="宋体" w:eastAsia="宋体"/>
          <w:color w:val="auto"/>
          <w:sz w:val="24"/>
          <w:highlight w:val="none"/>
        </w:rPr>
        <w:t>标</w:t>
      </w:r>
      <w:r>
        <w:rPr>
          <w:rFonts w:ascii="宋体" w:hAnsi="宋体" w:eastAsia="宋体"/>
          <w:color w:val="auto"/>
          <w:sz w:val="24"/>
          <w:highlight w:val="none"/>
        </w:rPr>
        <w:t>工作纪律，不得</w:t>
      </w:r>
      <w:r>
        <w:rPr>
          <w:rFonts w:hint="eastAsia" w:ascii="宋体" w:hAnsi="宋体" w:eastAsia="宋体"/>
          <w:color w:val="auto"/>
          <w:sz w:val="24"/>
          <w:highlight w:val="none"/>
        </w:rPr>
        <w:t>泄露</w:t>
      </w:r>
      <w:r>
        <w:rPr>
          <w:rFonts w:ascii="宋体" w:hAnsi="宋体" w:eastAsia="宋体"/>
          <w:color w:val="auto"/>
          <w:sz w:val="24"/>
          <w:highlight w:val="none"/>
        </w:rPr>
        <w:t>评</w:t>
      </w:r>
      <w:r>
        <w:rPr>
          <w:rFonts w:hint="eastAsia" w:ascii="宋体" w:hAnsi="宋体" w:eastAsia="宋体"/>
          <w:color w:val="auto"/>
          <w:sz w:val="24"/>
          <w:highlight w:val="none"/>
        </w:rPr>
        <w:t>标文件</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情况和评</w:t>
      </w:r>
      <w:r>
        <w:rPr>
          <w:rFonts w:hint="eastAsia" w:ascii="宋体" w:hAnsi="宋体" w:eastAsia="宋体"/>
          <w:color w:val="auto"/>
          <w:sz w:val="24"/>
          <w:highlight w:val="none"/>
        </w:rPr>
        <w:t>标</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2C84DE5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中标候选人的确定原则及标准</w:t>
      </w:r>
    </w:p>
    <w:p w14:paraId="3BDC745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20.1</w:t>
      </w:r>
      <w:r>
        <w:rPr>
          <w:rFonts w:asciiTheme="minorEastAsia" w:hAnsiTheme="minorEastAsia" w:eastAsiaTheme="minorEastAsia"/>
          <w:color w:val="auto"/>
          <w:sz w:val="24"/>
          <w:highlight w:val="none"/>
        </w:rPr>
        <w:t>评</w:t>
      </w:r>
      <w:r>
        <w:rPr>
          <w:rFonts w:hint="eastAsia" w:asciiTheme="minorEastAsia" w:hAnsiTheme="minorEastAsia" w:eastAsiaTheme="minorEastAsia"/>
          <w:color w:val="auto"/>
          <w:sz w:val="24"/>
          <w:highlight w:val="none"/>
        </w:rPr>
        <w:t>标</w:t>
      </w:r>
      <w:r>
        <w:rPr>
          <w:rFonts w:asciiTheme="minorEastAsia" w:hAnsiTheme="minorEastAsia" w:eastAsiaTheme="minorEastAsia"/>
          <w:color w:val="auto"/>
          <w:sz w:val="24"/>
          <w:highlight w:val="none"/>
        </w:rPr>
        <w:t>委员会依据本项目招标文件所约定的评标方法，对实质上响应招标文件的投标人按下列方法进行排序</w:t>
      </w:r>
      <w:r>
        <w:rPr>
          <w:rFonts w:hint="eastAsia" w:asciiTheme="minorEastAsia" w:hAnsiTheme="minorEastAsia" w:eastAsiaTheme="minorEastAsia"/>
          <w:color w:val="auto"/>
          <w:sz w:val="24"/>
          <w:highlight w:val="none"/>
        </w:rPr>
        <w:t>，确定中标候选人</w:t>
      </w:r>
      <w:r>
        <w:rPr>
          <w:rFonts w:asciiTheme="minorEastAsia" w:hAnsiTheme="minorEastAsia" w:eastAsiaTheme="minorEastAsia"/>
          <w:color w:val="auto"/>
          <w:sz w:val="24"/>
          <w:highlight w:val="none"/>
        </w:rPr>
        <w:t>：</w:t>
      </w:r>
    </w:p>
    <w:p w14:paraId="7146163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color w:val="auto"/>
          <w:sz w:val="24"/>
          <w:highlight w:val="none"/>
        </w:rPr>
        <w:t>出现两家或两家以上相同者，采取评标委员会随机抽取的方式确定中标候选顺序。</w:t>
      </w:r>
    </w:p>
    <w:p w14:paraId="5194CC49">
      <w:pPr>
        <w:spacing w:line="360" w:lineRule="auto"/>
        <w:ind w:firstLine="435"/>
        <w:rPr>
          <w:rFonts w:hint="default" w:eastAsiaTheme="minorEastAsia"/>
          <w:lang w:val="en-US" w:eastAsia="zh-CN"/>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2）采用综合评分法的，评标结果按评审后得分由高到低顺序排列。得分相同的，</w:t>
      </w:r>
      <w:r>
        <w:rPr>
          <w:rFonts w:hint="eastAsia" w:asciiTheme="minorEastAsia" w:hAnsiTheme="minorEastAsia" w:eastAsiaTheme="minorEastAsia"/>
          <w:color w:val="auto"/>
          <w:sz w:val="24"/>
          <w:highlight w:val="none"/>
        </w:rPr>
        <w:t>按投标报价由低到高顺序排列。</w:t>
      </w:r>
      <w:r>
        <w:rPr>
          <w:rFonts w:asciiTheme="minorEastAsia" w:hAnsiTheme="minorEastAsia" w:eastAsiaTheme="minorEastAsia"/>
          <w:color w:val="auto"/>
          <w:sz w:val="24"/>
          <w:highlight w:val="none"/>
        </w:rPr>
        <w:t>得分与投标报价均相同的</w:t>
      </w:r>
      <w:r>
        <w:rPr>
          <w:rFonts w:hint="eastAsia" w:asciiTheme="minorEastAsia" w:hAnsiTheme="minorEastAsia" w:eastAsiaTheme="minorEastAsia"/>
          <w:color w:val="auto"/>
          <w:sz w:val="24"/>
          <w:highlight w:val="none"/>
        </w:rPr>
        <w:t>，则采取评标委员会随机抽取的方式确定中标候选顺序。</w:t>
      </w:r>
    </w:p>
    <w:p w14:paraId="40A7F73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确定中标候选人和中标人</w:t>
      </w:r>
    </w:p>
    <w:p w14:paraId="50E982BE">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.1评标委员会将根据评标标准，按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中规定数量推荐中标候选人。</w:t>
      </w:r>
    </w:p>
    <w:p w14:paraId="495747B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由评标委员会或采购人确定中标人。</w:t>
      </w:r>
    </w:p>
    <w:p w14:paraId="681F994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因重大变故采购任务取消时，采购人有权拒绝任何投标人中标，且对受影响的投标人不承担任何责任。</w:t>
      </w:r>
    </w:p>
    <w:p w14:paraId="71BD68CA">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编写评标报告</w:t>
      </w:r>
    </w:p>
    <w:p w14:paraId="075251C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0F676B6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中标结果公告</w:t>
      </w:r>
    </w:p>
    <w:p w14:paraId="686C393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除</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规定由评标委员会直接确定中标</w:t>
      </w:r>
      <w:r>
        <w:rPr>
          <w:rFonts w:hint="eastAsia" w:asciiTheme="minorEastAsia" w:hAnsiTheme="minorEastAsia" w:eastAsiaTheme="minorEastAsia"/>
          <w:color w:val="auto"/>
          <w:sz w:val="24"/>
          <w:highlight w:val="none"/>
        </w:rPr>
        <w:t>人外，</w:t>
      </w:r>
      <w:r>
        <w:rPr>
          <w:rFonts w:asciiTheme="minorEastAsia" w:hAnsiTheme="minorEastAsia" w:eastAsiaTheme="minorEastAsia"/>
          <w:color w:val="auto"/>
          <w:sz w:val="24"/>
          <w:highlight w:val="none"/>
        </w:rPr>
        <w:t>在评标结束后2个工作日内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采购代理机构将评标报告送采购人。采购人应当自收到评标报告之日起</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2FD6D21A">
      <w:pPr>
        <w:spacing w:line="360" w:lineRule="auto"/>
        <w:ind w:firstLine="435"/>
        <w:rPr>
          <w:rFonts w:ascii="宋体" w:hAnsi="宋体" w:eastAsia="宋体"/>
          <w:color w:val="auto"/>
          <w:sz w:val="24"/>
          <w:szCs w:val="18"/>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.2</w:t>
      </w:r>
      <w:r>
        <w:rPr>
          <w:rFonts w:hint="eastAsia" w:ascii="宋体" w:hAnsi="宋体" w:eastAsia="宋体"/>
          <w:color w:val="auto"/>
          <w:sz w:val="24"/>
          <w:szCs w:val="18"/>
          <w:highlight w:val="none"/>
        </w:rPr>
        <w:t>自中标人确定之日起2个工作日内，采购代理机构将在安徽省政府采购网（www.ccgp-anhui.gov.cn）上发布中标结果公告。</w:t>
      </w:r>
    </w:p>
    <w:p w14:paraId="34643F7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评审专家名单以及</w:t>
      </w:r>
      <w:r>
        <w:rPr>
          <w:rFonts w:hint="eastAsia"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中约定进行公告的内容。中标公告期限为1个工作日。</w:t>
      </w:r>
    </w:p>
    <w:p w14:paraId="7AC011C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中标通知书</w:t>
      </w:r>
    </w:p>
    <w:p w14:paraId="651EB16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.1采购代理机构</w:t>
      </w:r>
      <w:r>
        <w:rPr>
          <w:rFonts w:ascii="宋体" w:hAnsi="宋体" w:eastAsia="宋体"/>
          <w:color w:val="auto"/>
          <w:sz w:val="24"/>
          <w:highlight w:val="none"/>
        </w:rPr>
        <w:t>发布</w:t>
      </w:r>
      <w:r>
        <w:rPr>
          <w:rFonts w:asciiTheme="minorEastAsia" w:hAnsiTheme="minorEastAsia" w:eastAsiaTheme="minorEastAsia"/>
          <w:color w:val="auto"/>
          <w:sz w:val="24"/>
          <w:highlight w:val="none"/>
        </w:rPr>
        <w:t>中标结果公告</w:t>
      </w:r>
      <w:r>
        <w:rPr>
          <w:rFonts w:hint="eastAsia" w:asciiTheme="minorEastAsia" w:hAnsiTheme="minorEastAsia" w:eastAsiaTheme="minorEastAsia"/>
          <w:iCs/>
          <w:color w:val="auto"/>
          <w:sz w:val="24"/>
          <w:highlight w:val="none"/>
        </w:rPr>
        <w:t>的</w:t>
      </w:r>
      <w:r>
        <w:rPr>
          <w:rFonts w:asciiTheme="minorEastAsia" w:hAnsiTheme="minorEastAsia" w:eastAsiaTheme="minorEastAsia"/>
          <w:color w:val="auto"/>
          <w:sz w:val="24"/>
          <w:highlight w:val="none"/>
        </w:rPr>
        <w:t>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形式向中标人发出中标通知书。</w:t>
      </w:r>
    </w:p>
    <w:p w14:paraId="7234628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.2中标通知书对采购人和中标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具有同等法律效力。中标通知书发出以后，采购人改变中标结果或者中标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放弃中标，应当承担相应的法律责任。</w:t>
      </w:r>
    </w:p>
    <w:p w14:paraId="48C51C34">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.3中标通知书是</w:t>
      </w:r>
      <w:r>
        <w:rPr>
          <w:rFonts w:ascii="宋体" w:hAnsi="宋体" w:eastAsia="宋体"/>
          <w:color w:val="auto"/>
          <w:sz w:val="24"/>
          <w:highlight w:val="none"/>
        </w:rPr>
        <w:t>合同</w:t>
      </w:r>
      <w:r>
        <w:rPr>
          <w:rFonts w:asciiTheme="minorEastAsia" w:hAnsiTheme="minorEastAsia" w:eastAsiaTheme="minorEastAsia"/>
          <w:color w:val="auto"/>
          <w:sz w:val="24"/>
          <w:highlight w:val="none"/>
        </w:rPr>
        <w:t>的组成部分。</w:t>
      </w:r>
    </w:p>
    <w:p w14:paraId="414BEEF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告知招标结果</w:t>
      </w:r>
    </w:p>
    <w:p w14:paraId="3A17023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在公告</w:t>
      </w:r>
      <w:r>
        <w:rPr>
          <w:rFonts w:asciiTheme="minorEastAsia" w:hAnsiTheme="minorEastAsia" w:eastAsiaTheme="minorEastAsia"/>
          <w:color w:val="auto"/>
          <w:sz w:val="24"/>
          <w:highlight w:val="none"/>
        </w:rPr>
        <w:t>中标结果的同时，采购代理机构同时以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rFonts w:hint="eastAsia" w:asciiTheme="minorEastAsia" w:hAnsiTheme="minorEastAsia" w:eastAsiaTheme="minorEastAsia"/>
          <w:color w:val="auto"/>
          <w:sz w:val="24"/>
          <w:highlight w:val="none"/>
        </w:rPr>
        <w:t>告知未通过资格审查的投标人未通过的原因；采用综合评分法评审的，还将告知未中标人本人的评审得分和排序。</w:t>
      </w:r>
    </w:p>
    <w:p w14:paraId="6E40677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履约保证金</w:t>
      </w:r>
    </w:p>
    <w:p w14:paraId="2B2E703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26</w:t>
      </w:r>
      <w:r>
        <w:rPr>
          <w:rFonts w:hint="eastAsia" w:asciiTheme="minorEastAsia" w:hAnsiTheme="minorEastAsia" w:eastAsiaTheme="minorEastAsia"/>
          <w:color w:val="auto"/>
          <w:sz w:val="24"/>
          <w:highlight w:val="none"/>
        </w:rPr>
        <w:t>.1中标人应按照</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规定缴纳履约保证金。</w:t>
      </w:r>
    </w:p>
    <w:p w14:paraId="23087798">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lang w:val="en-US" w:eastAsia="zh-CN"/>
        </w:rPr>
        <w:t>26</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w:t>
      </w:r>
      <w:r>
        <w:rPr>
          <w:rFonts w:hint="eastAsia" w:ascii="宋体" w:hAnsi="宋体" w:eastAsia="宋体"/>
          <w:color w:val="auto"/>
          <w:sz w:val="24"/>
          <w:highlight w:val="none"/>
        </w:rPr>
        <w:t>如果</w:t>
      </w:r>
      <w:r>
        <w:rPr>
          <w:rFonts w:hint="eastAsia" w:asciiTheme="minorEastAsia" w:hAnsiTheme="minorEastAsia" w:eastAsiaTheme="minorEastAsia"/>
          <w:color w:val="auto"/>
          <w:sz w:val="24"/>
          <w:highlight w:val="none"/>
        </w:rPr>
        <w:t>中标人没有按照上述履约保证金的规定执行，将视为放弃中标资格。在此情况下，采购人可</w:t>
      </w:r>
      <w:r>
        <w:rPr>
          <w:rFonts w:asciiTheme="minorEastAsia" w:hAnsiTheme="minorEastAsia" w:eastAsiaTheme="minorEastAsia"/>
          <w:color w:val="auto"/>
          <w:sz w:val="24"/>
          <w:highlight w:val="none"/>
        </w:rPr>
        <w:t>确定下一</w:t>
      </w:r>
      <w:r>
        <w:rPr>
          <w:rFonts w:hint="eastAsia" w:ascii="宋体" w:hAnsi="宋体" w:eastAsia="宋体"/>
          <w:color w:val="auto"/>
          <w:sz w:val="24"/>
          <w:highlight w:val="none"/>
        </w:rPr>
        <w:t>中标</w:t>
      </w:r>
      <w:r>
        <w:rPr>
          <w:rFonts w:hint="eastAsia" w:asciiTheme="minorEastAsia" w:hAnsiTheme="minorEastAsia" w:eastAsiaTheme="minorEastAsia"/>
          <w:color w:val="auto"/>
          <w:sz w:val="24"/>
          <w:highlight w:val="none"/>
        </w:rPr>
        <w:t>候选</w:t>
      </w:r>
      <w:r>
        <w:rPr>
          <w:rFonts w:asciiTheme="minorEastAsia" w:hAnsiTheme="minorEastAsia" w:eastAsiaTheme="minorEastAsia"/>
          <w:color w:val="auto"/>
          <w:sz w:val="24"/>
          <w:highlight w:val="none"/>
        </w:rPr>
        <w:t>人为中标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，也可以重新开展采购活动。</w:t>
      </w:r>
    </w:p>
    <w:p w14:paraId="1C2104AA">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签订合同</w:t>
      </w:r>
    </w:p>
    <w:p w14:paraId="2F5AE5E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.1</w:t>
      </w:r>
      <w:r>
        <w:rPr>
          <w:rFonts w:hint="eastAsia" w:ascii="宋体" w:hAnsi="宋体" w:eastAsia="宋体" w:cs="宋体"/>
          <w:color w:val="auto"/>
          <w:sz w:val="24"/>
          <w:szCs w:val="24"/>
          <w:highlight w:val="none"/>
          <w:u w:val="none"/>
          <w:lang w:val="en-US" w:eastAsia="zh-CN"/>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5B4C3A2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.2招标文件、中标人的投标文件及其澄清文件等，均为签订合同的依据。</w:t>
      </w:r>
    </w:p>
    <w:p w14:paraId="082F9D7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w:t>
      </w: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3中</w:t>
      </w:r>
      <w:r>
        <w:rPr>
          <w:rFonts w:ascii="宋体" w:hAnsi="宋体" w:eastAsia="宋体"/>
          <w:color w:val="auto"/>
          <w:sz w:val="24"/>
          <w:highlight w:val="none"/>
        </w:rPr>
        <w:t>标</w:t>
      </w:r>
      <w:r>
        <w:rPr>
          <w:rFonts w:hint="eastAsia" w:ascii="宋体" w:hAnsi="宋体" w:eastAsia="宋体"/>
          <w:color w:val="auto"/>
          <w:sz w:val="24"/>
          <w:highlight w:val="none"/>
        </w:rPr>
        <w:t>人</w:t>
      </w:r>
      <w:r>
        <w:rPr>
          <w:rFonts w:ascii="宋体" w:hAnsi="宋体" w:eastAsia="宋体"/>
          <w:color w:val="auto"/>
          <w:sz w:val="24"/>
          <w:highlight w:val="none"/>
        </w:rPr>
        <w:t>拒绝与采购人签订合同的，采购人可以按照评审报告推荐的中标候选人</w:t>
      </w:r>
      <w:r>
        <w:rPr>
          <w:rFonts w:hint="eastAsia" w:ascii="宋体" w:hAnsi="宋体" w:eastAsia="宋体"/>
          <w:color w:val="auto"/>
          <w:sz w:val="24"/>
          <w:highlight w:val="none"/>
        </w:rPr>
        <w:t>名单</w:t>
      </w:r>
      <w:r>
        <w:rPr>
          <w:rFonts w:ascii="宋体" w:hAnsi="宋体" w:eastAsia="宋体"/>
          <w:color w:val="auto"/>
          <w:sz w:val="24"/>
          <w:highlight w:val="none"/>
        </w:rPr>
        <w:t>排序</w:t>
      </w:r>
      <w:r>
        <w:rPr>
          <w:rFonts w:hint="eastAsia" w:ascii="宋体" w:hAnsi="宋体" w:eastAsia="宋体"/>
          <w:color w:val="auto"/>
          <w:sz w:val="24"/>
          <w:highlight w:val="none"/>
        </w:rPr>
        <w:t>，</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，也可以重新开展政府采购活动。</w:t>
      </w:r>
    </w:p>
    <w:p w14:paraId="1D0CB95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w:t>
      </w: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依据《政府采购促进中小企业发展管理办法》（财库〔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）规定享受扶持政策获得政府采购合同的，小微企业不得将合同分包给大中型企业，中型企业不得将合同分包给大型企业。</w:t>
      </w:r>
    </w:p>
    <w:p w14:paraId="3D635AAD">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代理费用</w:t>
      </w:r>
    </w:p>
    <w:p w14:paraId="05A6C03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.1</w:t>
      </w:r>
      <w:r>
        <w:rPr>
          <w:rFonts w:hint="eastAsia" w:ascii="宋体" w:hAnsi="宋体" w:eastAsia="宋体"/>
          <w:color w:val="auto"/>
          <w:sz w:val="24"/>
          <w:highlight w:val="none"/>
        </w:rPr>
        <w:t>本项目</w:t>
      </w:r>
      <w:r>
        <w:rPr>
          <w:rFonts w:hint="eastAsia" w:ascii="宋体" w:hAnsi="宋体" w:eastAsia="宋体"/>
          <w:color w:val="auto"/>
          <w:sz w:val="24"/>
          <w:highlight w:val="none"/>
          <w:lang w:val="en-US" w:eastAsia="zh-CN"/>
        </w:rPr>
        <w:t>代理费用</w:t>
      </w:r>
      <w:r>
        <w:rPr>
          <w:rFonts w:hint="eastAsia" w:ascii="宋体" w:hAnsi="宋体" w:eastAsia="宋体"/>
          <w:color w:val="auto"/>
          <w:sz w:val="24"/>
          <w:highlight w:val="none"/>
        </w:rPr>
        <w:t>的收取按</w:t>
      </w:r>
      <w:r>
        <w:rPr>
          <w:rFonts w:hint="eastAsia" w:asciiTheme="minorEastAsia" w:hAnsiTheme="minorEastAsia" w:eastAsiaTheme="minorEastAsia"/>
          <w:color w:val="auto"/>
          <w:sz w:val="24"/>
          <w:highlight w:val="none"/>
          <w:u w:val="single"/>
        </w:rPr>
        <w:t>投标人须知前附表的</w:t>
      </w:r>
      <w:r>
        <w:rPr>
          <w:rFonts w:hint="eastAsia" w:ascii="宋体" w:hAnsi="宋体" w:eastAsia="宋体"/>
          <w:color w:val="auto"/>
          <w:sz w:val="24"/>
          <w:highlight w:val="none"/>
        </w:rPr>
        <w:t>规定执行</w:t>
      </w:r>
      <w:r>
        <w:rPr>
          <w:rFonts w:hint="eastAsia" w:asciiTheme="minorEastAsia" w:hAnsiTheme="minorEastAsia" w:eastAsiaTheme="minorEastAsia"/>
          <w:color w:val="auto"/>
          <w:sz w:val="24"/>
          <w:highlight w:val="none"/>
        </w:rPr>
        <w:t>。</w:t>
      </w:r>
    </w:p>
    <w:p w14:paraId="401A122C">
      <w:pPr>
        <w:spacing w:line="360" w:lineRule="auto"/>
        <w:ind w:firstLine="437"/>
        <w:outlineLvl w:val="2"/>
        <w:rPr>
          <w:rFonts w:asciiTheme="minorEastAsia" w:hAnsiTheme="minorEastAsia" w:eastAsiaTheme="minorEastAsia"/>
          <w:b/>
          <w:color w:val="auto"/>
          <w:sz w:val="24"/>
          <w:highlight w:val="none"/>
        </w:rPr>
      </w:pPr>
      <w:bookmarkStart w:id="40" w:name="_Toc518923100"/>
      <w:bookmarkStart w:id="41" w:name="_Toc2583661"/>
      <w:r>
        <w:rPr>
          <w:rFonts w:hint="eastAsia" w:asciiTheme="minorEastAsia" w:hAnsiTheme="minorEastAsia" w:eastAsiaTheme="minorEastAsia"/>
          <w:b/>
          <w:color w:val="auto"/>
          <w:sz w:val="24"/>
          <w:highlight w:val="none"/>
          <w:lang w:eastAsia="zh-CN"/>
        </w:rPr>
        <w:t>29.</w:t>
      </w:r>
      <w:r>
        <w:rPr>
          <w:rFonts w:hint="eastAsia" w:asciiTheme="minorEastAsia" w:hAnsiTheme="minorEastAsia" w:eastAsiaTheme="minorEastAsia"/>
          <w:b/>
          <w:color w:val="auto"/>
          <w:sz w:val="24"/>
          <w:highlight w:val="none"/>
        </w:rPr>
        <w:t>廉洁自律</w:t>
      </w:r>
      <w:r>
        <w:rPr>
          <w:rFonts w:asciiTheme="minorEastAsia" w:hAnsiTheme="minorEastAsia" w:eastAsiaTheme="minorEastAsia"/>
          <w:b/>
          <w:color w:val="auto"/>
          <w:sz w:val="24"/>
          <w:highlight w:val="none"/>
        </w:rPr>
        <w:t>规定</w:t>
      </w:r>
      <w:bookmarkEnd w:id="40"/>
      <w:bookmarkEnd w:id="41"/>
    </w:p>
    <w:p w14:paraId="37F1B8C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hint="eastAsia" w:ascii="宋体" w:hAnsi="宋体" w:eastAsia="宋体"/>
          <w:color w:val="auto"/>
          <w:sz w:val="24"/>
          <w:highlight w:val="none"/>
        </w:rPr>
        <w:t>1采购代理机构</w:t>
      </w:r>
      <w:r>
        <w:rPr>
          <w:rFonts w:ascii="宋体" w:hAnsi="宋体" w:eastAsia="宋体"/>
          <w:color w:val="auto"/>
          <w:sz w:val="24"/>
          <w:highlight w:val="none"/>
        </w:rPr>
        <w:t>工作人员</w:t>
      </w:r>
      <w:r>
        <w:rPr>
          <w:rFonts w:hint="eastAsia" w:ascii="宋体" w:hAnsi="宋体" w:eastAsia="宋体"/>
          <w:color w:val="auto"/>
          <w:sz w:val="24"/>
          <w:highlight w:val="none"/>
        </w:rPr>
        <w:t>不得以不正当手段获取政府采购代理业务，不得与采购人、供应商恶意串通。</w:t>
      </w:r>
    </w:p>
    <w:p w14:paraId="0B10D09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ascii="宋体" w:hAnsi="宋体" w:eastAsia="宋体"/>
          <w:color w:val="auto"/>
          <w:sz w:val="24"/>
          <w:highlight w:val="none"/>
        </w:rPr>
        <w:t>2</w:t>
      </w:r>
      <w:r>
        <w:rPr>
          <w:rFonts w:hint="eastAsia" w:ascii="宋体" w:hAnsi="宋体" w:eastAsia="宋体"/>
          <w:color w:val="auto"/>
          <w:sz w:val="24"/>
          <w:highlight w:val="none"/>
        </w:rPr>
        <w:t>采购代理机构工作人员不得接受采购人或者供应商组织的宴请、旅游、娱乐，不得收受礼品、现金、有价证券等，不得向采购人或者供应商报销应当由个人承担的费用。</w:t>
      </w:r>
    </w:p>
    <w:p w14:paraId="54841336">
      <w:pPr>
        <w:spacing w:line="360" w:lineRule="auto"/>
        <w:ind w:firstLine="437"/>
        <w:outlineLvl w:val="2"/>
        <w:rPr>
          <w:rFonts w:asciiTheme="minorEastAsia" w:hAnsiTheme="minorEastAsia" w:eastAsiaTheme="minorEastAsia"/>
          <w:b/>
          <w:color w:val="auto"/>
          <w:sz w:val="24"/>
          <w:highlight w:val="none"/>
        </w:rPr>
      </w:pPr>
      <w:bookmarkStart w:id="42" w:name="_Toc518923101"/>
      <w:bookmarkStart w:id="43" w:name="_Toc2583662"/>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0</w:t>
      </w:r>
      <w:r>
        <w:rPr>
          <w:rFonts w:hint="eastAsia" w:asciiTheme="minorEastAsia" w:hAnsiTheme="minorEastAsia" w:eastAsiaTheme="minorEastAsia"/>
          <w:b/>
          <w:color w:val="auto"/>
          <w:sz w:val="24"/>
          <w:highlight w:val="none"/>
        </w:rPr>
        <w:t>.人员回避</w:t>
      </w:r>
      <w:bookmarkEnd w:id="42"/>
      <w:bookmarkEnd w:id="43"/>
    </w:p>
    <w:p w14:paraId="41C146D7">
      <w:pPr>
        <w:spacing w:line="360" w:lineRule="auto"/>
        <w:ind w:firstLine="435"/>
        <w:rPr>
          <w:rFonts w:ascii="仿宋_GB2312" w:hAnsi="宋体" w:eastAsia="仿宋_GB2312"/>
          <w:color w:val="auto"/>
          <w:sz w:val="24"/>
          <w:highlight w:val="none"/>
        </w:rPr>
      </w:pPr>
      <w:r>
        <w:rPr>
          <w:rFonts w:hint="eastAsia" w:ascii="宋体" w:hAnsi="宋体" w:eastAsia="宋体"/>
          <w:color w:val="auto"/>
          <w:sz w:val="24"/>
          <w:highlight w:val="none"/>
        </w:rPr>
        <w:t>投标人</w:t>
      </w:r>
      <w:r>
        <w:rPr>
          <w:rFonts w:ascii="宋体" w:hAnsi="宋体" w:eastAsia="宋体"/>
          <w:color w:val="auto"/>
          <w:sz w:val="24"/>
          <w:highlight w:val="none"/>
        </w:rPr>
        <w:t>认为采购人员</w:t>
      </w:r>
      <w:r>
        <w:rPr>
          <w:rFonts w:hint="eastAsia" w:ascii="宋体" w:hAnsi="宋体" w:eastAsia="宋体"/>
          <w:color w:val="auto"/>
          <w:sz w:val="24"/>
          <w:highlight w:val="none"/>
        </w:rPr>
        <w:t>及其</w:t>
      </w:r>
      <w:r>
        <w:rPr>
          <w:rFonts w:ascii="宋体" w:hAnsi="宋体" w:eastAsia="宋体"/>
          <w:color w:val="auto"/>
          <w:sz w:val="24"/>
          <w:highlight w:val="none"/>
        </w:rPr>
        <w:t>相关人员有</w:t>
      </w:r>
      <w:r>
        <w:rPr>
          <w:rFonts w:hint="eastAsia" w:ascii="宋体" w:hAnsi="宋体" w:eastAsia="宋体"/>
          <w:color w:val="auto"/>
          <w:sz w:val="24"/>
          <w:highlight w:val="none"/>
        </w:rPr>
        <w:t>法律</w:t>
      </w:r>
      <w:r>
        <w:rPr>
          <w:rFonts w:ascii="宋体" w:hAnsi="宋体" w:eastAsia="宋体"/>
          <w:color w:val="auto"/>
          <w:sz w:val="24"/>
          <w:highlight w:val="none"/>
        </w:rPr>
        <w:t>法规所列与其他供应商</w:t>
      </w:r>
      <w:r>
        <w:rPr>
          <w:rFonts w:hint="eastAsia" w:ascii="宋体" w:hAnsi="宋体" w:eastAsia="宋体"/>
          <w:color w:val="auto"/>
          <w:sz w:val="24"/>
          <w:highlight w:val="none"/>
        </w:rPr>
        <w:t>有</w:t>
      </w:r>
      <w:r>
        <w:rPr>
          <w:rFonts w:ascii="宋体" w:hAnsi="宋体" w:eastAsia="宋体"/>
          <w:color w:val="auto"/>
          <w:sz w:val="24"/>
          <w:highlight w:val="none"/>
        </w:rPr>
        <w:t>利害关系的，可以向</w:t>
      </w:r>
      <w:r>
        <w:rPr>
          <w:rFonts w:hint="eastAsia" w:ascii="宋体" w:hAnsi="宋体" w:eastAsia="宋体"/>
          <w:color w:val="auto"/>
          <w:sz w:val="24"/>
          <w:highlight w:val="none"/>
        </w:rPr>
        <w:t>采购人或</w:t>
      </w:r>
      <w:r>
        <w:rPr>
          <w:rFonts w:ascii="宋体" w:hAnsi="宋体" w:eastAsia="宋体"/>
          <w:color w:val="auto"/>
          <w:sz w:val="24"/>
          <w:highlight w:val="none"/>
        </w:rPr>
        <w:t>采购代理机构书面提出回避申请，并说明理由。</w:t>
      </w:r>
    </w:p>
    <w:p w14:paraId="69833E6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质疑的提出与接收</w:t>
      </w:r>
    </w:p>
    <w:p w14:paraId="7887489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.1投标人认为招标文件、招标过程和中标结果使自己的权益受到损害的，可以在知道或者应知其权益受到损害之日起七个工作日内，以书面形式向采购人或其委托的采购代理机构提出质疑。</w:t>
      </w:r>
    </w:p>
    <w:p w14:paraId="35EDDB4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5A7DEB7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采购代理机构质疑函接收部门、联系电话和通讯地址，见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4326BED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注：上述条款中所要求的书面形式包含通过电子交易系统递交方式。</w:t>
      </w:r>
    </w:p>
    <w:p w14:paraId="519B8F2A">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需要补充的其他内容</w:t>
      </w:r>
    </w:p>
    <w:p w14:paraId="67192DA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需要补充的其他内容，见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1FAD6A38">
      <w:pPr>
        <w:widowControl/>
        <w:jc w:val="left"/>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12320AF4">
      <w:pPr>
        <w:numPr>
          <w:ilvl w:val="0"/>
          <w:numId w:val="1"/>
        </w:numPr>
        <w:spacing w:line="360" w:lineRule="auto"/>
        <w:jc w:val="center"/>
        <w:outlineLvl w:val="0"/>
        <w:rPr>
          <w:rFonts w:hint="eastAsia" w:asciiTheme="minorEastAsia" w:hAnsiTheme="minorEastAsia" w:eastAsiaTheme="minorEastAsia"/>
          <w:b/>
          <w:color w:val="auto"/>
          <w:sz w:val="28"/>
          <w:highlight w:val="none"/>
          <w:lang w:eastAsia="zh-CN"/>
        </w:rPr>
      </w:pPr>
      <w:bookmarkStart w:id="261" w:name="_GoBack"/>
      <w:r>
        <w:rPr>
          <w:rFonts w:hint="eastAsia" w:asciiTheme="minorEastAsia" w:hAnsiTheme="minorEastAsia" w:eastAsiaTheme="minorEastAsia"/>
          <w:b/>
          <w:color w:val="auto"/>
          <w:sz w:val="28"/>
          <w:highlight w:val="none"/>
        </w:rPr>
        <w:t xml:space="preserve"> </w:t>
      </w:r>
      <w:bookmarkStart w:id="44" w:name="_Toc7672"/>
      <w:r>
        <w:rPr>
          <w:rFonts w:hint="eastAsia" w:asciiTheme="minorEastAsia" w:hAnsiTheme="minorEastAsia" w:eastAsiaTheme="minorEastAsia"/>
          <w:b/>
          <w:color w:val="auto"/>
          <w:sz w:val="28"/>
          <w:highlight w:val="none"/>
        </w:rPr>
        <w:t>采购需求</w:t>
      </w:r>
      <w:bookmarkEnd w:id="44"/>
    </w:p>
    <w:p w14:paraId="09AA8F25">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30B0DD5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本采购需求中提出的服务方案仅为参考，如无明确限制，投标人可以进行优化，提供满足采购人实际需要的更优（或者性能实质上不低于的）服务方案，且此方案须经评标委员会评审认可。</w:t>
      </w:r>
    </w:p>
    <w:p w14:paraId="784932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ascii="宋体" w:hAnsi="宋体" w:eastAsia="宋体" w:cs="宋体"/>
          <w:sz w:val="24"/>
          <w:szCs w:val="24"/>
          <w:highlight w:val="none"/>
        </w:rPr>
        <w:t>政府采购政策（包括但不限于下列具体政策要求</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w:t>
      </w:r>
    </w:p>
    <w:p w14:paraId="5AB0A8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3B39D5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3DB1E7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bCs/>
          <w:color w:val="auto"/>
          <w:sz w:val="24"/>
          <w:szCs w:val="18"/>
          <w:highlight w:val="none"/>
        </w:rPr>
      </w:pPr>
      <w:r>
        <w:rPr>
          <w:rFonts w:hint="eastAsia" w:ascii="宋体" w:hAnsi="宋体" w:eastAsia="宋体" w:cs="宋体"/>
          <w:color w:val="auto"/>
          <w:sz w:val="24"/>
          <w:szCs w:val="24"/>
          <w:highlight w:val="none"/>
        </w:rPr>
        <w:t>3.如采购人允许采用分包方式履行合同的，应当明确可以分包履行的相关内容。</w:t>
      </w:r>
    </w:p>
    <w:p w14:paraId="5FB7140E">
      <w:pPr>
        <w:spacing w:line="360" w:lineRule="auto"/>
        <w:ind w:firstLine="437"/>
        <w:outlineLvl w:val="2"/>
        <w:rPr>
          <w:rFonts w:ascii="宋体" w:hAnsi="宋体" w:eastAsia="宋体"/>
          <w:b/>
          <w:color w:val="auto"/>
          <w:sz w:val="24"/>
          <w:szCs w:val="18"/>
          <w:highlight w:val="none"/>
        </w:rPr>
      </w:pPr>
      <w:bookmarkStart w:id="45" w:name="_Toc4148"/>
      <w:bookmarkStart w:id="46" w:name="_Toc21798"/>
      <w:bookmarkStart w:id="47" w:name="_Hlk23621890"/>
      <w:r>
        <w:rPr>
          <w:rFonts w:hint="eastAsia" w:ascii="宋体" w:hAnsi="宋体" w:eastAsia="宋体"/>
          <w:b/>
          <w:color w:val="auto"/>
          <w:sz w:val="24"/>
          <w:szCs w:val="18"/>
          <w:highlight w:val="none"/>
        </w:rPr>
        <w:t>一、采购需求前附表</w:t>
      </w:r>
      <w:bookmarkEnd w:id="45"/>
      <w:bookmarkEnd w:id="46"/>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633"/>
        <w:gridCol w:w="6125"/>
      </w:tblGrid>
      <w:tr w14:paraId="4C960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48" w:type="pct"/>
            <w:vAlign w:val="center"/>
          </w:tcPr>
          <w:p w14:paraId="041A60BB">
            <w:pPr>
              <w:pStyle w:val="32"/>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r>
              <w:rPr>
                <w:rFonts w:hint="eastAsia" w:ascii="宋体" w:hAnsi="宋体" w:eastAsia="宋体"/>
                <w:b/>
                <w:color w:val="auto"/>
                <w:kern w:val="2"/>
                <w:highlight w:val="none"/>
              </w:rPr>
              <w:t>序号</w:t>
            </w:r>
          </w:p>
        </w:tc>
        <w:tc>
          <w:tcPr>
            <w:tcW w:w="958" w:type="pct"/>
            <w:vAlign w:val="center"/>
          </w:tcPr>
          <w:p w14:paraId="3EB5EB26">
            <w:pPr>
              <w:pStyle w:val="31"/>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593" w:type="pct"/>
            <w:vAlign w:val="center"/>
          </w:tcPr>
          <w:p w14:paraId="36E4B264">
            <w:pPr>
              <w:pStyle w:val="31"/>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28DF0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48" w:type="pct"/>
            <w:vAlign w:val="center"/>
          </w:tcPr>
          <w:p w14:paraId="3D6DF856">
            <w:pPr>
              <w:pStyle w:val="32"/>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958" w:type="pct"/>
            <w:vAlign w:val="center"/>
          </w:tcPr>
          <w:p w14:paraId="779FADAB">
            <w:pPr>
              <w:pStyle w:val="31"/>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593" w:type="pct"/>
            <w:vAlign w:val="center"/>
          </w:tcPr>
          <w:p w14:paraId="6AADEC77">
            <w:pPr>
              <w:pStyle w:val="31"/>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eastAsia="zh-CN"/>
              </w:rPr>
              <w:t>合同签订后，支付合同总价款的40%;培训8期后支付合同总价款</w:t>
            </w:r>
            <w:r>
              <w:rPr>
                <w:rFonts w:hint="eastAsia" w:ascii="宋体" w:hAnsi="宋体" w:eastAsia="宋体"/>
                <w:b w:val="0"/>
                <w:color w:val="auto"/>
                <w:sz w:val="24"/>
                <w:highlight w:val="none"/>
                <w:lang w:val="en-US" w:eastAsia="zh-CN"/>
              </w:rPr>
              <w:t>的</w:t>
            </w:r>
            <w:r>
              <w:rPr>
                <w:rFonts w:hint="eastAsia" w:ascii="宋体" w:hAnsi="宋体" w:eastAsia="宋体"/>
                <w:b w:val="0"/>
                <w:color w:val="auto"/>
                <w:sz w:val="24"/>
                <w:highlight w:val="none"/>
                <w:lang w:eastAsia="zh-CN"/>
              </w:rPr>
              <w:t>40%;培训结束验收合格后--次性支付20%尾款。每次付款前供应商都应当提供付款金额对应的合法发票。</w:t>
            </w:r>
          </w:p>
          <w:p w14:paraId="745AE3FC">
            <w:pPr>
              <w:pStyle w:val="31"/>
              <w:widowControl w:val="0"/>
              <w:spacing w:before="0" w:beforeAutospacing="0" w:after="0" w:afterAutospacing="0" w:line="360" w:lineRule="auto"/>
              <w:jc w:val="both"/>
              <w:rPr>
                <w:rFonts w:ascii="宋体" w:hAnsi="宋体" w:eastAsia="宋体"/>
                <w:b w:val="0"/>
                <w:color w:val="auto"/>
                <w:sz w:val="24"/>
                <w:highlight w:val="none"/>
                <w:u w:val="none"/>
              </w:rPr>
            </w:pPr>
            <w:r>
              <w:rPr>
                <w:rFonts w:hint="eastAsia" w:ascii="宋体" w:hAnsi="宋体" w:eastAsia="宋体"/>
                <w:b/>
                <w:bCs w:val="0"/>
                <w:color w:val="auto"/>
                <w:sz w:val="24"/>
                <w:highlight w:val="none"/>
                <w:u w:val="none"/>
              </w:rPr>
              <w:t>上述要求不允许负偏离。否则，按无效</w:t>
            </w:r>
            <w:r>
              <w:rPr>
                <w:rFonts w:hint="eastAsia" w:ascii="宋体" w:hAnsi="宋体" w:eastAsia="宋体"/>
                <w:b/>
                <w:bCs w:val="0"/>
                <w:color w:val="auto"/>
                <w:sz w:val="24"/>
                <w:highlight w:val="none"/>
                <w:u w:val="none"/>
                <w:lang w:eastAsia="zh-CN"/>
              </w:rPr>
              <w:t>投标文件</w:t>
            </w:r>
            <w:r>
              <w:rPr>
                <w:rFonts w:hint="eastAsia" w:ascii="宋体" w:hAnsi="宋体" w:eastAsia="宋体"/>
                <w:b/>
                <w:bCs w:val="0"/>
                <w:color w:val="auto"/>
                <w:sz w:val="24"/>
                <w:highlight w:val="none"/>
                <w:u w:val="none"/>
              </w:rPr>
              <w:t>处理。</w:t>
            </w:r>
          </w:p>
        </w:tc>
      </w:tr>
      <w:tr w14:paraId="1A0A0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48" w:type="pct"/>
            <w:vAlign w:val="center"/>
          </w:tcPr>
          <w:p w14:paraId="416801E4">
            <w:pPr>
              <w:pStyle w:val="32"/>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958" w:type="pct"/>
            <w:vAlign w:val="center"/>
          </w:tcPr>
          <w:p w14:paraId="69DCC408">
            <w:pPr>
              <w:pStyle w:val="31"/>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服务地点</w:t>
            </w:r>
          </w:p>
        </w:tc>
        <w:tc>
          <w:tcPr>
            <w:tcW w:w="3593" w:type="pct"/>
            <w:vAlign w:val="center"/>
          </w:tcPr>
          <w:p w14:paraId="6A9602DA">
            <w:pPr>
              <w:pStyle w:val="31"/>
              <w:widowControl w:val="0"/>
              <w:spacing w:before="0" w:beforeAutospacing="0" w:after="0" w:afterAutospacing="0" w:line="360" w:lineRule="auto"/>
              <w:jc w:val="both"/>
              <w:rPr>
                <w:rFonts w:hint="eastAsia" w:ascii="宋体" w:hAnsi="宋体" w:eastAsia="宋体"/>
                <w:b w:val="0"/>
                <w:color w:val="auto"/>
                <w:sz w:val="24"/>
                <w:highlight w:val="none"/>
                <w:u w:val="none"/>
                <w:lang w:eastAsia="zh-CN"/>
              </w:rPr>
            </w:pPr>
            <w:r>
              <w:rPr>
                <w:rFonts w:hint="eastAsia" w:ascii="宋体" w:hAnsi="宋体" w:eastAsia="宋体"/>
                <w:b w:val="0"/>
                <w:color w:val="auto"/>
                <w:sz w:val="24"/>
                <w:highlight w:val="none"/>
                <w:u w:val="none"/>
                <w:lang w:eastAsia="zh-CN"/>
              </w:rPr>
              <w:t>安徽省商务厅</w:t>
            </w:r>
          </w:p>
          <w:p w14:paraId="255FDA13">
            <w:pPr>
              <w:pStyle w:val="31"/>
              <w:widowControl w:val="0"/>
              <w:spacing w:before="0" w:beforeAutospacing="0" w:after="0" w:afterAutospacing="0" w:line="360" w:lineRule="auto"/>
              <w:jc w:val="both"/>
              <w:rPr>
                <w:rFonts w:hint="eastAsia" w:ascii="宋体" w:hAnsi="宋体" w:eastAsia="宋体"/>
                <w:b w:val="0"/>
                <w:color w:val="auto"/>
                <w:sz w:val="24"/>
                <w:highlight w:val="none"/>
                <w:u w:val="none"/>
                <w:lang w:eastAsia="zh-CN"/>
              </w:rPr>
            </w:pPr>
            <w:r>
              <w:rPr>
                <w:rFonts w:hint="eastAsia" w:ascii="宋体" w:hAnsi="宋体" w:eastAsia="宋体"/>
                <w:b/>
                <w:bCs w:val="0"/>
                <w:color w:val="auto"/>
                <w:sz w:val="24"/>
                <w:highlight w:val="none"/>
                <w:u w:val="none"/>
              </w:rPr>
              <w:t>上述要求不允许负偏离。否则，按无效</w:t>
            </w:r>
            <w:r>
              <w:rPr>
                <w:rFonts w:hint="eastAsia" w:ascii="宋体" w:hAnsi="宋体" w:eastAsia="宋体"/>
                <w:b/>
                <w:bCs w:val="0"/>
                <w:color w:val="auto"/>
                <w:sz w:val="24"/>
                <w:highlight w:val="none"/>
                <w:u w:val="none"/>
                <w:lang w:eastAsia="zh-CN"/>
              </w:rPr>
              <w:t>投标文件</w:t>
            </w:r>
            <w:r>
              <w:rPr>
                <w:rFonts w:hint="eastAsia" w:ascii="宋体" w:hAnsi="宋体" w:eastAsia="宋体"/>
                <w:b/>
                <w:bCs w:val="0"/>
                <w:color w:val="auto"/>
                <w:sz w:val="24"/>
                <w:highlight w:val="none"/>
                <w:u w:val="none"/>
              </w:rPr>
              <w:t>处理。</w:t>
            </w:r>
          </w:p>
        </w:tc>
      </w:tr>
      <w:tr w14:paraId="32FC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48" w:type="pct"/>
            <w:vAlign w:val="center"/>
          </w:tcPr>
          <w:p w14:paraId="120E84F7">
            <w:pPr>
              <w:pStyle w:val="32"/>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958" w:type="pct"/>
            <w:vAlign w:val="center"/>
          </w:tcPr>
          <w:p w14:paraId="1833E8DF">
            <w:pPr>
              <w:pStyle w:val="31"/>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服务期限</w:t>
            </w:r>
          </w:p>
        </w:tc>
        <w:tc>
          <w:tcPr>
            <w:tcW w:w="3593" w:type="pct"/>
            <w:vAlign w:val="center"/>
          </w:tcPr>
          <w:p w14:paraId="2278A6B4">
            <w:pPr>
              <w:pStyle w:val="31"/>
              <w:widowControl w:val="0"/>
              <w:spacing w:before="0" w:beforeAutospacing="0" w:after="0" w:afterAutospacing="0" w:line="360" w:lineRule="auto"/>
              <w:jc w:val="both"/>
              <w:rPr>
                <w:rFonts w:hint="eastAsia" w:ascii="宋体" w:hAnsi="宋体" w:eastAsia="宋体"/>
                <w:b w:val="0"/>
                <w:color w:val="auto"/>
                <w:sz w:val="24"/>
                <w:highlight w:val="yellow"/>
              </w:rPr>
            </w:pPr>
            <w:r>
              <w:rPr>
                <w:rFonts w:hint="eastAsia" w:ascii="宋体" w:hAnsi="宋体" w:eastAsia="宋体"/>
                <w:b w:val="0"/>
                <w:color w:val="auto"/>
                <w:sz w:val="24"/>
                <w:highlight w:val="yellow"/>
              </w:rPr>
              <w:t>合同签订之日起至2025年1</w:t>
            </w:r>
            <w:r>
              <w:rPr>
                <w:rFonts w:hint="eastAsia" w:ascii="宋体" w:hAnsi="宋体" w:eastAsia="宋体"/>
                <w:b w:val="0"/>
                <w:color w:val="auto"/>
                <w:sz w:val="24"/>
                <w:highlight w:val="yellow"/>
                <w:lang w:val="en-US" w:eastAsia="zh-CN"/>
              </w:rPr>
              <w:t>1</w:t>
            </w:r>
            <w:r>
              <w:rPr>
                <w:rFonts w:hint="eastAsia" w:ascii="宋体" w:hAnsi="宋体" w:eastAsia="宋体"/>
                <w:b w:val="0"/>
                <w:color w:val="auto"/>
                <w:sz w:val="24"/>
                <w:highlight w:val="yellow"/>
              </w:rPr>
              <w:t>月底，详见采购需求。</w:t>
            </w:r>
          </w:p>
          <w:p w14:paraId="4588BC04">
            <w:pPr>
              <w:pStyle w:val="31"/>
              <w:widowControl w:val="0"/>
              <w:spacing w:before="0" w:beforeAutospacing="0" w:after="0" w:afterAutospacing="0" w:line="360" w:lineRule="auto"/>
              <w:jc w:val="both"/>
              <w:rPr>
                <w:rFonts w:hint="eastAsia" w:ascii="宋体" w:hAnsi="宋体" w:eastAsia="宋体"/>
                <w:b w:val="0"/>
                <w:color w:val="auto"/>
                <w:sz w:val="24"/>
                <w:highlight w:val="yellow"/>
              </w:rPr>
            </w:pPr>
            <w:r>
              <w:rPr>
                <w:rFonts w:hint="eastAsia" w:ascii="宋体" w:hAnsi="宋体" w:eastAsia="宋体"/>
                <w:b/>
                <w:bCs w:val="0"/>
                <w:color w:val="auto"/>
                <w:sz w:val="24"/>
                <w:highlight w:val="none"/>
                <w:u w:val="none"/>
              </w:rPr>
              <w:t>上述要求不允许负偏离。否则，按无效</w:t>
            </w:r>
            <w:r>
              <w:rPr>
                <w:rFonts w:hint="eastAsia" w:ascii="宋体" w:hAnsi="宋体" w:eastAsia="宋体"/>
                <w:b/>
                <w:bCs w:val="0"/>
                <w:color w:val="auto"/>
                <w:sz w:val="24"/>
                <w:highlight w:val="none"/>
                <w:u w:val="none"/>
                <w:lang w:eastAsia="zh-CN"/>
              </w:rPr>
              <w:t>投标文件</w:t>
            </w:r>
            <w:r>
              <w:rPr>
                <w:rFonts w:hint="eastAsia" w:ascii="宋体" w:hAnsi="宋体" w:eastAsia="宋体"/>
                <w:b/>
                <w:bCs w:val="0"/>
                <w:color w:val="auto"/>
                <w:sz w:val="24"/>
                <w:highlight w:val="none"/>
                <w:u w:val="none"/>
              </w:rPr>
              <w:t>处理。</w:t>
            </w:r>
          </w:p>
        </w:tc>
      </w:tr>
      <w:tr w14:paraId="3DFF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48" w:type="pct"/>
            <w:vAlign w:val="center"/>
          </w:tcPr>
          <w:p w14:paraId="51752E8B">
            <w:pPr>
              <w:pStyle w:val="32"/>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4</w:t>
            </w:r>
          </w:p>
        </w:tc>
        <w:tc>
          <w:tcPr>
            <w:tcW w:w="958" w:type="pct"/>
            <w:vAlign w:val="center"/>
          </w:tcPr>
          <w:p w14:paraId="3D66FD96">
            <w:pPr>
              <w:pStyle w:val="31"/>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本项目采购标的名称及所属行业</w:t>
            </w:r>
          </w:p>
        </w:tc>
        <w:tc>
          <w:tcPr>
            <w:tcW w:w="3593" w:type="pct"/>
            <w:vAlign w:val="center"/>
          </w:tcPr>
          <w:p w14:paraId="2A0A50D7">
            <w:pPr>
              <w:spacing w:line="360" w:lineRule="auto"/>
              <w:jc w:val="left"/>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标的名称：</w:t>
            </w:r>
            <w:r>
              <w:rPr>
                <w:rFonts w:hint="eastAsia" w:asciiTheme="minorEastAsia" w:hAnsiTheme="minorEastAsia" w:eastAsiaTheme="minorEastAsia"/>
                <w:color w:val="auto"/>
                <w:sz w:val="24"/>
                <w:highlight w:val="none"/>
                <w:lang w:eastAsia="zh-CN"/>
              </w:rPr>
              <w:t>2025年“加快培育外贸新动能促进外贸高质量发展”专题培训项目</w:t>
            </w:r>
          </w:p>
          <w:p w14:paraId="54D5EE1F">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所属行业：其他未列明行业</w:t>
            </w:r>
          </w:p>
        </w:tc>
      </w:tr>
    </w:tbl>
    <w:p w14:paraId="7FCB5D84">
      <w:pPr>
        <w:numPr>
          <w:ilvl w:val="0"/>
          <w:numId w:val="0"/>
        </w:numPr>
        <w:spacing w:line="360" w:lineRule="auto"/>
        <w:ind w:firstLine="482" w:firstLineChars="200"/>
        <w:outlineLvl w:val="2"/>
        <w:rPr>
          <w:rFonts w:hint="eastAsia" w:ascii="宋体" w:hAnsi="宋体" w:eastAsia="宋体"/>
          <w:b/>
          <w:color w:val="auto"/>
          <w:sz w:val="24"/>
          <w:szCs w:val="18"/>
          <w:highlight w:val="none"/>
        </w:rPr>
      </w:pPr>
      <w:bookmarkStart w:id="48" w:name="_Toc8753"/>
      <w:bookmarkStart w:id="49" w:name="_Toc16543"/>
      <w:bookmarkStart w:id="50" w:name="_Hlk16461016"/>
      <w:r>
        <w:rPr>
          <w:rFonts w:hint="eastAsia" w:ascii="宋体" w:hAnsi="宋体" w:eastAsia="宋体"/>
          <w:b/>
          <w:color w:val="auto"/>
          <w:sz w:val="24"/>
          <w:szCs w:val="18"/>
          <w:highlight w:val="none"/>
          <w:lang w:val="en-US" w:eastAsia="zh-CN"/>
        </w:rPr>
        <w:t>二、</w:t>
      </w:r>
      <w:bookmarkEnd w:id="48"/>
      <w:bookmarkEnd w:id="49"/>
      <w:r>
        <w:rPr>
          <w:rFonts w:hint="eastAsia" w:ascii="宋体" w:hAnsi="宋体" w:eastAsia="宋体"/>
          <w:b/>
          <w:color w:val="auto"/>
          <w:sz w:val="24"/>
          <w:szCs w:val="18"/>
          <w:highlight w:val="none"/>
          <w:lang w:val="en-US" w:eastAsia="zh-CN"/>
        </w:rPr>
        <w:t>总体目标</w:t>
      </w:r>
    </w:p>
    <w:bookmarkEnd w:id="47"/>
    <w:bookmarkEnd w:id="50"/>
    <w:p w14:paraId="2E25F756">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sz w:val="24"/>
          <w:szCs w:val="24"/>
          <w:lang w:val="en-US" w:eastAsia="zh-CN" w:bidi="ar"/>
        </w:rPr>
        <w:t>全年拟线下培训企业数不少于1500家、人数不少于1700人；线上学习不少于50000人次。通过开展专题培训，落实落细稳外贸支持政策；引导有潜力和意愿从事进出口的企业，帮助中小外贸企业主动应对国际贸易形势的变化</w:t>
      </w:r>
      <w:r>
        <w:rPr>
          <w:rFonts w:hint="eastAsia" w:ascii="宋体" w:hAnsi="宋体" w:eastAsia="宋体" w:cs="宋体"/>
          <w:color w:val="auto"/>
          <w:sz w:val="24"/>
          <w:szCs w:val="24"/>
          <w:shd w:val="clear" w:color="auto" w:fill="FFFFFF"/>
          <w:lang w:val="en-US" w:eastAsia="zh-CN"/>
        </w:rPr>
        <w:t>，积极参与“徽动全球”出海行动，为安徽外贸大省涵养外贸主体资源。</w:t>
      </w:r>
    </w:p>
    <w:p w14:paraId="52F74D6F">
      <w:pPr>
        <w:numPr>
          <w:ilvl w:val="0"/>
          <w:numId w:val="0"/>
        </w:numPr>
        <w:spacing w:line="360" w:lineRule="auto"/>
        <w:ind w:firstLine="482" w:firstLineChars="200"/>
        <w:outlineLvl w:val="2"/>
        <w:rPr>
          <w:rFonts w:hint="eastAsia" w:ascii="宋体" w:hAnsi="宋体" w:eastAsia="宋体"/>
          <w:b/>
          <w:color w:val="auto"/>
          <w:sz w:val="24"/>
          <w:szCs w:val="18"/>
          <w:highlight w:val="none"/>
        </w:rPr>
      </w:pPr>
      <w:r>
        <w:rPr>
          <w:rFonts w:hint="eastAsia" w:ascii="宋体" w:hAnsi="宋体" w:eastAsia="宋体"/>
          <w:b/>
          <w:color w:val="auto"/>
          <w:sz w:val="24"/>
          <w:szCs w:val="18"/>
          <w:highlight w:val="none"/>
          <w:lang w:val="en-US" w:eastAsia="zh-CN"/>
        </w:rPr>
        <w:t>三、</w:t>
      </w:r>
      <w:r>
        <w:rPr>
          <w:rFonts w:hint="eastAsia" w:ascii="宋体" w:hAnsi="宋体" w:eastAsia="宋体"/>
          <w:b/>
          <w:color w:val="auto"/>
          <w:sz w:val="24"/>
          <w:szCs w:val="18"/>
          <w:highlight w:val="none"/>
        </w:rPr>
        <w:t>培训安排</w:t>
      </w:r>
    </w:p>
    <w:p w14:paraId="5D942C49">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（一）线下培训（</w:t>
      </w:r>
      <w:r>
        <w:rPr>
          <w:rFonts w:hint="eastAsia" w:ascii="宋体" w:hAnsi="宋体" w:eastAsia="宋体" w:cs="宋体"/>
          <w:b/>
          <w:color w:val="000000"/>
          <w:sz w:val="24"/>
          <w:szCs w:val="24"/>
          <w:lang w:val="en-US" w:eastAsia="zh-CN"/>
        </w:rPr>
        <w:t>12期</w:t>
      </w:r>
      <w:r>
        <w:rPr>
          <w:rFonts w:hint="eastAsia" w:ascii="宋体" w:hAnsi="宋体" w:eastAsia="宋体" w:cs="宋体"/>
          <w:b/>
          <w:color w:val="000000"/>
          <w:sz w:val="24"/>
          <w:szCs w:val="24"/>
        </w:rPr>
        <w:t>）</w:t>
      </w:r>
    </w:p>
    <w:p w14:paraId="24193379">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Cs/>
          <w:color w:val="000000"/>
          <w:sz w:val="24"/>
          <w:szCs w:val="24"/>
        </w:rPr>
      </w:pPr>
      <w:r>
        <w:rPr>
          <w:rFonts w:hint="eastAsia" w:ascii="宋体" w:hAnsi="宋体" w:eastAsia="宋体" w:cs="宋体"/>
          <w:b/>
          <w:bCs w:val="0"/>
          <w:color w:val="000000"/>
          <w:kern w:val="2"/>
          <w:sz w:val="24"/>
          <w:szCs w:val="24"/>
          <w:lang w:val="en-US" w:eastAsia="zh-CN" w:bidi="ar-SA"/>
        </w:rPr>
        <w:t>1.RCEP等国际经贸新规则专题培训班。</w:t>
      </w:r>
      <w:r>
        <w:rPr>
          <w:rFonts w:hint="eastAsia" w:ascii="宋体" w:hAnsi="宋体" w:eastAsia="宋体" w:cs="宋体"/>
          <w:bCs/>
          <w:color w:val="000000"/>
          <w:sz w:val="24"/>
          <w:szCs w:val="24"/>
        </w:rPr>
        <w:t>拟安排</w:t>
      </w:r>
      <w:r>
        <w:rPr>
          <w:rFonts w:hint="eastAsia" w:ascii="宋体" w:hAnsi="宋体" w:eastAsia="宋体" w:cs="宋体"/>
          <w:bCs/>
          <w:color w:val="000000"/>
          <w:sz w:val="24"/>
          <w:szCs w:val="24"/>
          <w:lang w:val="en-US" w:eastAsia="zh-CN"/>
        </w:rPr>
        <w:t>2期</w:t>
      </w:r>
      <w:r>
        <w:rPr>
          <w:rFonts w:hint="eastAsia" w:ascii="宋体" w:hAnsi="宋体" w:eastAsia="宋体" w:cs="宋体"/>
          <w:bCs/>
          <w:color w:val="000000"/>
          <w:sz w:val="24"/>
          <w:szCs w:val="24"/>
        </w:rPr>
        <w:t>，</w:t>
      </w:r>
      <w:r>
        <w:rPr>
          <w:rFonts w:hint="eastAsia" w:ascii="宋体" w:hAnsi="宋体" w:eastAsia="宋体" w:cs="宋体"/>
          <w:bCs/>
          <w:color w:val="000000"/>
          <w:sz w:val="24"/>
          <w:szCs w:val="24"/>
          <w:lang w:eastAsia="zh-CN"/>
        </w:rPr>
        <w:t>地点：合肥、</w:t>
      </w:r>
      <w:r>
        <w:rPr>
          <w:rFonts w:hint="eastAsia" w:ascii="宋体" w:hAnsi="宋体" w:eastAsia="宋体" w:cs="宋体"/>
          <w:bCs/>
          <w:color w:val="000000"/>
          <w:sz w:val="24"/>
          <w:szCs w:val="24"/>
          <w:lang w:val="en-US" w:eastAsia="zh-CN"/>
        </w:rPr>
        <w:t>滁州</w:t>
      </w:r>
      <w:r>
        <w:rPr>
          <w:rFonts w:hint="eastAsia" w:ascii="宋体" w:hAnsi="宋体" w:eastAsia="宋体" w:cs="宋体"/>
          <w:bCs/>
          <w:color w:val="000000"/>
          <w:sz w:val="24"/>
          <w:szCs w:val="24"/>
          <w:lang w:eastAsia="zh-CN"/>
        </w:rPr>
        <w:t>市，每</w:t>
      </w:r>
      <w:r>
        <w:rPr>
          <w:rFonts w:hint="eastAsia" w:ascii="宋体" w:hAnsi="宋体" w:eastAsia="宋体" w:cs="宋体"/>
          <w:bCs/>
          <w:color w:val="000000"/>
          <w:sz w:val="24"/>
          <w:szCs w:val="24"/>
          <w:lang w:val="en-US" w:eastAsia="zh-CN"/>
        </w:rPr>
        <w:t>期</w:t>
      </w:r>
      <w:r>
        <w:rPr>
          <w:rFonts w:hint="eastAsia" w:ascii="宋体" w:hAnsi="宋体" w:eastAsia="宋体" w:cs="宋体"/>
          <w:bCs/>
          <w:color w:val="000000"/>
          <w:sz w:val="24"/>
          <w:szCs w:val="24"/>
        </w:rPr>
        <w:t>培训时间2.5天</w:t>
      </w:r>
      <w:r>
        <w:rPr>
          <w:rFonts w:hint="eastAsia" w:ascii="宋体" w:hAnsi="宋体" w:eastAsia="宋体" w:cs="宋体"/>
          <w:sz w:val="24"/>
          <w:szCs w:val="24"/>
        </w:rPr>
        <w:t>（第</w:t>
      </w:r>
      <w:r>
        <w:rPr>
          <w:rFonts w:hint="eastAsia" w:ascii="宋体" w:hAnsi="宋体" w:eastAsia="宋体" w:cs="宋体"/>
          <w:sz w:val="24"/>
          <w:szCs w:val="24"/>
          <w:lang w:val="en-US" w:eastAsia="zh-CN"/>
        </w:rPr>
        <w:t>1</w:t>
      </w:r>
      <w:r>
        <w:rPr>
          <w:rFonts w:hint="eastAsia" w:ascii="宋体" w:hAnsi="宋体" w:eastAsia="宋体" w:cs="宋体"/>
          <w:sz w:val="24"/>
          <w:szCs w:val="24"/>
        </w:rPr>
        <w:t>天上午报到，第3天午餐后结束）</w:t>
      </w:r>
      <w:r>
        <w:rPr>
          <w:rFonts w:hint="eastAsia" w:ascii="宋体" w:hAnsi="宋体" w:eastAsia="宋体" w:cs="宋体"/>
          <w:bCs/>
          <w:color w:val="000000"/>
          <w:sz w:val="24"/>
          <w:szCs w:val="24"/>
          <w:lang w:eastAsia="zh-CN"/>
        </w:rPr>
        <w:t>；线下</w:t>
      </w:r>
      <w:r>
        <w:rPr>
          <w:rFonts w:hint="eastAsia" w:ascii="宋体" w:hAnsi="宋体" w:eastAsia="宋体" w:cs="宋体"/>
          <w:bCs/>
          <w:color w:val="000000"/>
          <w:sz w:val="24"/>
          <w:szCs w:val="24"/>
        </w:rPr>
        <w:t>培训企业数</w:t>
      </w:r>
      <w:r>
        <w:rPr>
          <w:rFonts w:hint="eastAsia" w:ascii="宋体" w:hAnsi="宋体" w:eastAsia="宋体" w:cs="宋体"/>
          <w:bCs/>
          <w:color w:val="000000"/>
          <w:sz w:val="24"/>
          <w:szCs w:val="24"/>
          <w:lang w:eastAsia="zh-CN"/>
        </w:rPr>
        <w:t>不少于</w:t>
      </w:r>
      <w:r>
        <w:rPr>
          <w:rFonts w:hint="eastAsia" w:ascii="宋体" w:hAnsi="宋体" w:eastAsia="宋体" w:cs="宋体"/>
          <w:bCs/>
          <w:color w:val="000000"/>
          <w:sz w:val="24"/>
          <w:szCs w:val="24"/>
        </w:rPr>
        <w:t>1</w:t>
      </w: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rPr>
        <w:t>0家，人数不</w:t>
      </w:r>
      <w:r>
        <w:rPr>
          <w:rFonts w:hint="eastAsia" w:ascii="宋体" w:hAnsi="宋体" w:eastAsia="宋体" w:cs="宋体"/>
          <w:bCs/>
          <w:color w:val="000000"/>
          <w:sz w:val="24"/>
          <w:szCs w:val="24"/>
          <w:lang w:eastAsia="zh-CN"/>
        </w:rPr>
        <w:t>少于</w:t>
      </w:r>
      <w:r>
        <w:rPr>
          <w:rFonts w:hint="eastAsia" w:ascii="宋体" w:hAnsi="宋体" w:eastAsia="宋体" w:cs="宋体"/>
          <w:bCs/>
          <w:color w:val="000000"/>
          <w:sz w:val="24"/>
          <w:szCs w:val="24"/>
        </w:rPr>
        <w:t>1</w:t>
      </w:r>
      <w:r>
        <w:rPr>
          <w:rFonts w:hint="eastAsia" w:ascii="宋体" w:hAnsi="宋体" w:eastAsia="宋体" w:cs="宋体"/>
          <w:bCs/>
          <w:color w:val="000000"/>
          <w:sz w:val="24"/>
          <w:szCs w:val="24"/>
          <w:lang w:val="en-US" w:eastAsia="zh-CN"/>
        </w:rPr>
        <w:t>45</w:t>
      </w:r>
      <w:r>
        <w:rPr>
          <w:rFonts w:hint="eastAsia" w:ascii="宋体" w:hAnsi="宋体" w:eastAsia="宋体" w:cs="宋体"/>
          <w:bCs/>
          <w:color w:val="000000"/>
          <w:sz w:val="24"/>
          <w:szCs w:val="24"/>
        </w:rPr>
        <w:t>人</w:t>
      </w:r>
      <w:r>
        <w:rPr>
          <w:rFonts w:hint="eastAsia" w:ascii="宋体" w:hAnsi="宋体" w:eastAsia="宋体" w:cs="宋体"/>
          <w:bCs/>
          <w:color w:val="000000"/>
          <w:sz w:val="24"/>
          <w:szCs w:val="24"/>
          <w:lang w:eastAsia="zh-CN"/>
        </w:rPr>
        <w:t>，合计培训企业不少于</w:t>
      </w:r>
      <w:r>
        <w:rPr>
          <w:rFonts w:hint="eastAsia" w:ascii="宋体" w:hAnsi="宋体" w:eastAsia="宋体" w:cs="宋体"/>
          <w:bCs/>
          <w:color w:val="000000"/>
          <w:sz w:val="24"/>
          <w:szCs w:val="24"/>
          <w:lang w:val="en-US" w:eastAsia="zh-CN"/>
        </w:rPr>
        <w:t>280家、人数不少于290人</w:t>
      </w:r>
      <w:r>
        <w:rPr>
          <w:rFonts w:hint="eastAsia" w:ascii="宋体" w:hAnsi="宋体" w:eastAsia="宋体" w:cs="宋体"/>
          <w:bCs/>
          <w:color w:val="000000"/>
          <w:sz w:val="24"/>
          <w:szCs w:val="24"/>
        </w:rPr>
        <w:t>。</w:t>
      </w:r>
    </w:p>
    <w:p w14:paraId="18C6A8B8">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sz w:val="24"/>
          <w:szCs w:val="24"/>
          <w:lang w:eastAsia="zh-CN" w:bidi="ar"/>
        </w:rPr>
      </w:pPr>
      <w:r>
        <w:rPr>
          <w:rFonts w:hint="eastAsia" w:ascii="宋体" w:hAnsi="宋体" w:eastAsia="宋体" w:cs="宋体"/>
          <w:b/>
          <w:bCs w:val="0"/>
          <w:color w:val="000000"/>
          <w:sz w:val="24"/>
          <w:szCs w:val="24"/>
        </w:rPr>
        <w:t>培训对象：</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1</w:t>
      </w:r>
      <w:r>
        <w:rPr>
          <w:rFonts w:hint="eastAsia" w:ascii="宋体" w:hAnsi="宋体" w:eastAsia="宋体" w:cs="宋体"/>
          <w:sz w:val="24"/>
          <w:szCs w:val="24"/>
          <w:lang w:eastAsia="zh-CN" w:bidi="ar"/>
        </w:rPr>
        <w:t>）我省RCEP</w:t>
      </w:r>
      <w:r>
        <w:rPr>
          <w:rFonts w:hint="eastAsia" w:ascii="宋体" w:hAnsi="宋体" w:eastAsia="宋体" w:cs="宋体"/>
          <w:sz w:val="24"/>
          <w:szCs w:val="24"/>
          <w:lang w:val="en-US" w:eastAsia="zh-CN" w:bidi="ar"/>
        </w:rPr>
        <w:t>重点</w:t>
      </w:r>
      <w:r>
        <w:rPr>
          <w:rFonts w:hint="eastAsia" w:ascii="宋体" w:hAnsi="宋体" w:eastAsia="宋体" w:cs="宋体"/>
          <w:sz w:val="24"/>
          <w:szCs w:val="24"/>
          <w:lang w:eastAsia="zh-CN" w:bidi="ar"/>
        </w:rPr>
        <w:t>进出口企业；（</w:t>
      </w:r>
      <w:r>
        <w:rPr>
          <w:rFonts w:hint="eastAsia" w:ascii="宋体" w:hAnsi="宋体" w:eastAsia="宋体" w:cs="宋体"/>
          <w:sz w:val="24"/>
          <w:szCs w:val="24"/>
          <w:lang w:val="en-US" w:eastAsia="zh-CN" w:bidi="ar"/>
        </w:rPr>
        <w:t>2</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已进行海关备案登记未发生进出口实绩的企业；（3）有潜力和</w:t>
      </w:r>
      <w:r>
        <w:rPr>
          <w:rFonts w:hint="eastAsia" w:ascii="宋体" w:hAnsi="宋体" w:eastAsia="宋体" w:cs="宋体"/>
          <w:sz w:val="24"/>
          <w:szCs w:val="24"/>
          <w:lang w:eastAsia="zh-CN" w:bidi="ar"/>
        </w:rPr>
        <w:t>意</w:t>
      </w:r>
      <w:r>
        <w:rPr>
          <w:rFonts w:hint="eastAsia" w:ascii="宋体" w:hAnsi="宋体" w:eastAsia="宋体" w:cs="宋体"/>
          <w:sz w:val="24"/>
          <w:szCs w:val="24"/>
          <w:lang w:val="en-US" w:eastAsia="zh-CN" w:bidi="ar"/>
        </w:rPr>
        <w:t>愿</w:t>
      </w:r>
      <w:r>
        <w:rPr>
          <w:rFonts w:hint="eastAsia" w:ascii="宋体" w:hAnsi="宋体" w:eastAsia="宋体" w:cs="宋体"/>
          <w:sz w:val="24"/>
          <w:szCs w:val="24"/>
          <w:lang w:eastAsia="zh-CN" w:bidi="ar"/>
        </w:rPr>
        <w:t>从事RCEP进出口的其他企业；（</w:t>
      </w:r>
      <w:r>
        <w:rPr>
          <w:rFonts w:hint="eastAsia" w:ascii="宋体" w:hAnsi="宋体" w:eastAsia="宋体" w:cs="宋体"/>
          <w:sz w:val="24"/>
          <w:szCs w:val="24"/>
          <w:lang w:val="en-US" w:eastAsia="zh-CN" w:bidi="ar"/>
        </w:rPr>
        <w:t>4</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市、县（市、区）商务部门外贸工作人员。</w:t>
      </w:r>
    </w:p>
    <w:p w14:paraId="5FCF2B3C">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sz w:val="24"/>
          <w:szCs w:val="24"/>
          <w:lang w:val="en-US" w:eastAsia="zh-CN" w:bidi="ar"/>
        </w:rPr>
      </w:pPr>
      <w:r>
        <w:rPr>
          <w:rFonts w:hint="eastAsia" w:ascii="宋体" w:hAnsi="宋体" w:eastAsia="宋体" w:cs="宋体"/>
          <w:b/>
          <w:bCs/>
          <w:sz w:val="24"/>
          <w:szCs w:val="24"/>
          <w:lang w:eastAsia="zh-CN"/>
        </w:rPr>
        <w:t>培训内容：</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1</w:t>
      </w:r>
      <w:r>
        <w:rPr>
          <w:rFonts w:hint="eastAsia" w:ascii="宋体" w:hAnsi="宋体" w:eastAsia="宋体" w:cs="宋体"/>
          <w:sz w:val="24"/>
          <w:szCs w:val="24"/>
          <w:lang w:eastAsia="zh-CN" w:bidi="ar"/>
        </w:rPr>
        <w:t>）2025年</w:t>
      </w:r>
      <w:r>
        <w:rPr>
          <w:rFonts w:hint="eastAsia" w:ascii="宋体" w:hAnsi="宋体" w:eastAsia="宋体" w:cs="宋体"/>
          <w:sz w:val="24"/>
          <w:szCs w:val="24"/>
          <w:lang w:val="en-US" w:eastAsia="zh-CN" w:bidi="ar"/>
        </w:rPr>
        <w:t>外贸形势</w:t>
      </w:r>
      <w:r>
        <w:rPr>
          <w:rFonts w:hint="eastAsia" w:ascii="宋体" w:hAnsi="宋体" w:eastAsia="宋体" w:cs="宋体"/>
          <w:sz w:val="24"/>
          <w:szCs w:val="24"/>
          <w:lang w:eastAsia="zh-CN" w:bidi="ar"/>
        </w:rPr>
        <w:t>分析与预测</w:t>
      </w:r>
      <w:r>
        <w:rPr>
          <w:rFonts w:hint="eastAsia" w:ascii="宋体" w:hAnsi="宋体" w:eastAsia="宋体" w:cs="宋体"/>
          <w:sz w:val="24"/>
          <w:szCs w:val="24"/>
          <w:lang w:val="en-US" w:eastAsia="zh-CN" w:bidi="ar"/>
        </w:rPr>
        <w:t>；（2）RCEP重点国别（泰国、越南、柬埔寨、印度尼西亚等）贸易情况、市场准入、重点产品税费、纠纷应对等介绍；（3）</w:t>
      </w:r>
      <w:r>
        <w:rPr>
          <w:rFonts w:hint="eastAsia" w:ascii="宋体" w:hAnsi="宋体" w:eastAsia="宋体" w:cs="宋体"/>
          <w:sz w:val="24"/>
          <w:szCs w:val="24"/>
          <w:lang w:eastAsia="zh-CN" w:bidi="ar"/>
        </w:rPr>
        <w:t>RCEP对</w:t>
      </w:r>
      <w:r>
        <w:rPr>
          <w:rFonts w:hint="eastAsia" w:ascii="宋体" w:hAnsi="宋体" w:eastAsia="宋体" w:cs="宋体"/>
          <w:sz w:val="24"/>
          <w:szCs w:val="24"/>
          <w:lang w:val="en-US" w:eastAsia="zh-CN" w:bidi="ar"/>
        </w:rPr>
        <w:t>我省外贸重点行业</w:t>
      </w:r>
      <w:r>
        <w:rPr>
          <w:rFonts w:hint="eastAsia" w:ascii="宋体" w:hAnsi="宋体" w:eastAsia="宋体" w:cs="宋体"/>
          <w:sz w:val="24"/>
          <w:szCs w:val="24"/>
          <w:lang w:eastAsia="zh-CN" w:bidi="ar"/>
        </w:rPr>
        <w:t>的影响与机遇；（</w:t>
      </w:r>
      <w:r>
        <w:rPr>
          <w:rFonts w:hint="eastAsia" w:ascii="宋体" w:hAnsi="宋体" w:eastAsia="宋体" w:cs="宋体"/>
          <w:sz w:val="24"/>
          <w:szCs w:val="24"/>
          <w:lang w:val="en-US" w:eastAsia="zh-CN" w:bidi="ar"/>
        </w:rPr>
        <w:t>4</w:t>
      </w:r>
      <w:r>
        <w:rPr>
          <w:rFonts w:hint="eastAsia" w:ascii="宋体" w:hAnsi="宋体" w:eastAsia="宋体" w:cs="宋体"/>
          <w:sz w:val="24"/>
          <w:szCs w:val="24"/>
          <w:lang w:eastAsia="zh-CN" w:bidi="ar"/>
        </w:rPr>
        <w:t>）RCEP</w:t>
      </w:r>
      <w:r>
        <w:rPr>
          <w:rFonts w:hint="eastAsia" w:ascii="宋体" w:hAnsi="宋体" w:eastAsia="宋体" w:cs="宋体"/>
          <w:sz w:val="24"/>
          <w:szCs w:val="24"/>
          <w:lang w:val="en-US" w:eastAsia="zh-CN" w:bidi="ar"/>
        </w:rPr>
        <w:t>原产地累积规则及政策介绍</w:t>
      </w:r>
      <w:r>
        <w:rPr>
          <w:rFonts w:hint="eastAsia" w:ascii="宋体" w:hAnsi="宋体" w:eastAsia="宋体" w:cs="宋体"/>
          <w:b w:val="0"/>
          <w:bCs w:val="0"/>
          <w:kern w:val="2"/>
          <w:sz w:val="24"/>
          <w:szCs w:val="24"/>
          <w:lang w:val="en-US" w:eastAsia="zh-CN" w:bidi="ar"/>
        </w:rPr>
        <w:t>；</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5</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中泰“两国双园”介绍推介</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6</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企业产业链供应链合作经验分享；</w:t>
      </w:r>
      <w:r>
        <w:rPr>
          <w:rFonts w:hint="eastAsia" w:ascii="宋体" w:hAnsi="宋体" w:eastAsia="宋体" w:cs="宋体"/>
          <w:b w:val="0"/>
          <w:bCs w:val="0"/>
          <w:kern w:val="2"/>
          <w:sz w:val="24"/>
          <w:szCs w:val="24"/>
          <w:lang w:val="en-US" w:eastAsia="zh-CN" w:bidi="ar"/>
        </w:rPr>
        <w:t>（7）</w:t>
      </w:r>
      <w:r>
        <w:rPr>
          <w:rFonts w:hint="eastAsia" w:ascii="宋体" w:hAnsi="宋体" w:eastAsia="宋体" w:cs="宋体"/>
          <w:sz w:val="24"/>
          <w:szCs w:val="24"/>
          <w:lang w:val="en-US" w:eastAsia="zh-CN" w:bidi="ar"/>
        </w:rPr>
        <w:t>全面与进步跨太平洋伙伴关系协定（CPTPP）和</w:t>
      </w:r>
      <w:r>
        <w:rPr>
          <w:rFonts w:hint="eastAsia" w:ascii="宋体" w:hAnsi="宋体" w:eastAsia="宋体" w:cs="宋体"/>
          <w:sz w:val="24"/>
          <w:szCs w:val="24"/>
          <w:lang w:val="en-US" w:eastAsia="zh-CN" w:bidi="ar"/>
        </w:rPr>
        <w:fldChar w:fldCharType="begin"/>
      </w:r>
      <w:r>
        <w:rPr>
          <w:rFonts w:hint="eastAsia" w:ascii="宋体" w:hAnsi="宋体" w:eastAsia="宋体" w:cs="宋体"/>
          <w:sz w:val="24"/>
          <w:szCs w:val="24"/>
          <w:lang w:val="en-US" w:eastAsia="zh-CN" w:bidi="ar"/>
        </w:rPr>
        <w:instrText xml:space="preserve"> HYPERLINK "https://www.baidu.com/s?wd=%E6%95%B0%E5%AD%97%E7%BB%8F%E6%B5%8E%E4%BC%99%E4%BC%B4%E5%85%B3%E7%B3%BB%E5%8D%8F%E5%AE%9A&amp;rsv_idx=2&amp;tn=baiduhome_pg&amp;usm=2&amp;ie=utf-8&amp;rsv_pq=9dfbf5ec00b8fbc5&amp;oq=depa%E6%98%AF%E4%BB%80%E4%B9%88%E7%BB%84%E7%BB%87&amp;rsv_t=8917lQ3G3S8x7gB6Q7zRCUF+hosDheGh66uV5MY2LYp45ZlVjAjoNZezZ+hUAdJmGvRH&amp;rsv_dl=re_dqa_generate&amp;sa=re_dqa_generate" \t "https://www.baidu.com/_self" </w:instrText>
      </w:r>
      <w:r>
        <w:rPr>
          <w:rFonts w:hint="eastAsia" w:ascii="宋体" w:hAnsi="宋体" w:eastAsia="宋体" w:cs="宋体"/>
          <w:sz w:val="24"/>
          <w:szCs w:val="24"/>
          <w:lang w:val="en-US" w:eastAsia="zh-CN" w:bidi="ar"/>
        </w:rPr>
        <w:fldChar w:fldCharType="separate"/>
      </w:r>
      <w:r>
        <w:rPr>
          <w:rFonts w:hint="eastAsia" w:ascii="宋体" w:hAnsi="宋体" w:eastAsia="宋体" w:cs="宋体"/>
          <w:sz w:val="24"/>
          <w:szCs w:val="24"/>
          <w:lang w:val="en-US" w:eastAsia="zh-CN" w:bidi="ar"/>
        </w:rPr>
        <w:t>数字经济伙伴关系协定</w:t>
      </w:r>
      <w:r>
        <w:rPr>
          <w:rFonts w:hint="eastAsia" w:ascii="宋体" w:hAnsi="宋体" w:eastAsia="宋体" w:cs="宋体"/>
          <w:sz w:val="24"/>
          <w:szCs w:val="24"/>
          <w:lang w:val="en-US" w:eastAsia="zh-CN" w:bidi="ar"/>
        </w:rPr>
        <w:fldChar w:fldCharType="end"/>
      </w:r>
      <w:r>
        <w:rPr>
          <w:rFonts w:hint="eastAsia" w:ascii="宋体" w:hAnsi="宋体" w:eastAsia="宋体" w:cs="宋体"/>
          <w:sz w:val="24"/>
          <w:szCs w:val="24"/>
          <w:lang w:val="en-US" w:eastAsia="zh-CN" w:bidi="ar"/>
        </w:rPr>
        <w:t>（‌</w:t>
      </w:r>
      <w:r>
        <w:rPr>
          <w:rFonts w:hint="eastAsia" w:ascii="宋体" w:hAnsi="宋体" w:eastAsia="宋体" w:cs="宋体"/>
          <w:sz w:val="24"/>
          <w:szCs w:val="24"/>
          <w:lang w:val="en-US" w:eastAsia="zh-CN" w:bidi="ar"/>
        </w:rPr>
        <w:fldChar w:fldCharType="begin"/>
      </w:r>
      <w:r>
        <w:rPr>
          <w:rFonts w:hint="eastAsia" w:ascii="宋体" w:hAnsi="宋体" w:eastAsia="宋体" w:cs="宋体"/>
          <w:sz w:val="24"/>
          <w:szCs w:val="24"/>
          <w:lang w:val="en-US" w:eastAsia="zh-CN" w:bidi="ar"/>
        </w:rPr>
        <w:instrText xml:space="preserve"> HYPERLINK "https://www.baidu.com/s?wd=DEPA&amp;rsv_idx=2&amp;tn=baiduhome_pg&amp;usm=2&amp;ie=utf-8&amp;rsv_pq=9dfbf5ec00b8fbc5&amp;oq=depa%E6%98%AF%E4%BB%80%E4%B9%88%E7%BB%84%E7%BB%87&amp;rsv_t=f575Hrxk2HdolYvjX61Cmioq2IBrFVm8KLylFP0FAaF//9J/ydiAhQOqPL79X5+hnynA&amp;rsv_dl=re_dqa_generate&amp;sa=re_dqa_generate" \t "https://www.baidu.com/_self" </w:instrText>
      </w:r>
      <w:r>
        <w:rPr>
          <w:rFonts w:hint="eastAsia" w:ascii="宋体" w:hAnsi="宋体" w:eastAsia="宋体" w:cs="宋体"/>
          <w:sz w:val="24"/>
          <w:szCs w:val="24"/>
          <w:lang w:val="en-US" w:eastAsia="zh-CN" w:bidi="ar"/>
        </w:rPr>
        <w:fldChar w:fldCharType="separate"/>
      </w:r>
      <w:r>
        <w:rPr>
          <w:rFonts w:hint="eastAsia" w:ascii="宋体" w:hAnsi="宋体" w:eastAsia="宋体" w:cs="宋体"/>
          <w:sz w:val="24"/>
          <w:szCs w:val="24"/>
          <w:lang w:val="en-US" w:eastAsia="zh-CN" w:bidi="ar"/>
        </w:rPr>
        <w:t>DEPA</w:t>
      </w:r>
      <w:r>
        <w:rPr>
          <w:rFonts w:hint="eastAsia" w:ascii="宋体" w:hAnsi="宋体" w:eastAsia="宋体" w:cs="宋体"/>
          <w:sz w:val="24"/>
          <w:szCs w:val="24"/>
          <w:lang w:val="en-US" w:eastAsia="zh-CN" w:bidi="ar"/>
        </w:rPr>
        <w:fldChar w:fldCharType="end"/>
      </w:r>
      <w:r>
        <w:rPr>
          <w:rFonts w:hint="eastAsia" w:ascii="宋体" w:hAnsi="宋体" w:eastAsia="宋体" w:cs="宋体"/>
          <w:sz w:val="24"/>
          <w:szCs w:val="24"/>
          <w:lang w:val="en-US" w:eastAsia="zh-CN" w:bidi="ar"/>
        </w:rPr>
        <w:t>）对</w:t>
      </w:r>
      <w:r>
        <w:rPr>
          <w:rFonts w:hint="eastAsia" w:ascii="宋体" w:hAnsi="宋体" w:eastAsia="宋体" w:cs="宋体"/>
          <w:b w:val="0"/>
          <w:bCs w:val="0"/>
          <w:kern w:val="2"/>
          <w:sz w:val="24"/>
          <w:szCs w:val="24"/>
          <w:lang w:val="en-US" w:eastAsia="zh-CN" w:bidi="ar"/>
        </w:rPr>
        <w:t>我省经贸发展影响；（8）汇率风险管理与金融工具的应用；（9）开展“外综服平台服务地方”系列活动；（10）新形势下的海外参展模式与企业出海布局服务指引。</w:t>
      </w:r>
    </w:p>
    <w:p w14:paraId="659A499B">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Cs/>
          <w:color w:val="000000"/>
          <w:sz w:val="24"/>
          <w:szCs w:val="24"/>
        </w:rPr>
      </w:pPr>
      <w:r>
        <w:rPr>
          <w:rFonts w:hint="eastAsia" w:ascii="宋体" w:hAnsi="宋体" w:eastAsia="宋体" w:cs="宋体"/>
          <w:b/>
          <w:bCs w:val="0"/>
          <w:color w:val="000000"/>
          <w:sz w:val="24"/>
          <w:szCs w:val="24"/>
        </w:rPr>
        <w:t>师资安排：</w:t>
      </w:r>
      <w:r>
        <w:rPr>
          <w:rFonts w:hint="eastAsia" w:ascii="宋体" w:hAnsi="宋体" w:eastAsia="宋体" w:cs="宋体"/>
          <w:bCs/>
          <w:color w:val="000000"/>
          <w:sz w:val="24"/>
          <w:szCs w:val="24"/>
        </w:rPr>
        <w:t>邀请国</w:t>
      </w:r>
      <w:r>
        <w:rPr>
          <w:rFonts w:hint="eastAsia" w:ascii="宋体" w:hAnsi="宋体" w:eastAsia="宋体" w:cs="宋体"/>
          <w:bCs/>
          <w:color w:val="000000"/>
          <w:sz w:val="24"/>
          <w:szCs w:val="24"/>
          <w:lang w:eastAsia="zh-CN"/>
        </w:rPr>
        <w:t>家</w:t>
      </w:r>
      <w:r>
        <w:rPr>
          <w:rFonts w:hint="eastAsia" w:ascii="宋体" w:hAnsi="宋体" w:eastAsia="宋体" w:cs="宋体"/>
          <w:bCs/>
          <w:color w:val="000000"/>
          <w:sz w:val="24"/>
          <w:szCs w:val="24"/>
        </w:rPr>
        <w:t>部委</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国家相关</w:t>
      </w:r>
      <w:r>
        <w:rPr>
          <w:rFonts w:hint="eastAsia" w:ascii="宋体" w:hAnsi="宋体" w:eastAsia="宋体" w:cs="宋体"/>
          <w:bCs/>
          <w:color w:val="000000"/>
          <w:sz w:val="24"/>
          <w:szCs w:val="24"/>
          <w:lang w:eastAsia="zh-CN"/>
        </w:rPr>
        <w:t>商协会、</w:t>
      </w:r>
      <w:r>
        <w:rPr>
          <w:rFonts w:hint="eastAsia" w:ascii="宋体" w:hAnsi="宋体" w:eastAsia="宋体" w:cs="宋体"/>
          <w:bCs/>
          <w:color w:val="000000"/>
          <w:sz w:val="24"/>
          <w:szCs w:val="24"/>
          <w:lang w:val="en-US" w:eastAsia="zh-CN"/>
        </w:rPr>
        <w:t>长三角</w:t>
      </w:r>
      <w:r>
        <w:rPr>
          <w:rFonts w:hint="eastAsia" w:ascii="宋体" w:hAnsi="宋体" w:eastAsia="宋体" w:cs="宋体"/>
          <w:bCs/>
          <w:color w:val="000000"/>
          <w:sz w:val="24"/>
          <w:szCs w:val="24"/>
        </w:rPr>
        <w:t>外贸领域</w:t>
      </w:r>
      <w:r>
        <w:rPr>
          <w:rFonts w:hint="eastAsia" w:ascii="宋体" w:hAnsi="宋体" w:eastAsia="宋体" w:cs="宋体"/>
          <w:bCs/>
          <w:color w:val="000000"/>
          <w:sz w:val="24"/>
          <w:szCs w:val="24"/>
          <w:lang w:eastAsia="zh-CN"/>
        </w:rPr>
        <w:t>、知名高校、</w:t>
      </w:r>
      <w:r>
        <w:rPr>
          <w:rFonts w:hint="eastAsia" w:ascii="宋体" w:hAnsi="宋体" w:eastAsia="宋体" w:cs="宋体"/>
          <w:bCs/>
          <w:color w:val="000000"/>
          <w:sz w:val="24"/>
          <w:szCs w:val="24"/>
          <w:lang w:val="en-US" w:eastAsia="zh-CN"/>
        </w:rPr>
        <w:t>金融机构</w:t>
      </w:r>
      <w:r>
        <w:rPr>
          <w:rFonts w:hint="eastAsia" w:ascii="宋体" w:hAnsi="宋体" w:eastAsia="宋体" w:cs="宋体"/>
          <w:bCs/>
          <w:color w:val="000000"/>
          <w:sz w:val="24"/>
          <w:szCs w:val="24"/>
        </w:rPr>
        <w:t>相关</w:t>
      </w:r>
      <w:r>
        <w:rPr>
          <w:rFonts w:hint="eastAsia" w:ascii="宋体" w:hAnsi="宋体" w:eastAsia="宋体" w:cs="宋体"/>
          <w:bCs/>
          <w:color w:val="000000"/>
          <w:sz w:val="24"/>
          <w:szCs w:val="24"/>
          <w:lang w:val="en-US" w:eastAsia="zh-CN"/>
        </w:rPr>
        <w:t>领导、</w:t>
      </w:r>
      <w:r>
        <w:rPr>
          <w:rFonts w:hint="eastAsia" w:ascii="宋体" w:hAnsi="宋体" w:eastAsia="宋体" w:cs="宋体"/>
          <w:bCs/>
          <w:color w:val="000000"/>
          <w:sz w:val="24"/>
          <w:szCs w:val="24"/>
        </w:rPr>
        <w:t>专家学者</w:t>
      </w:r>
      <w:r>
        <w:rPr>
          <w:rFonts w:hint="eastAsia" w:ascii="宋体" w:hAnsi="宋体" w:eastAsia="宋体" w:cs="宋体"/>
          <w:bCs/>
          <w:color w:val="000000"/>
          <w:sz w:val="24"/>
          <w:szCs w:val="24"/>
          <w:lang w:eastAsia="zh-CN"/>
        </w:rPr>
        <w:t>，以及</w:t>
      </w:r>
      <w:r>
        <w:rPr>
          <w:rFonts w:hint="eastAsia" w:ascii="宋体" w:hAnsi="宋体" w:eastAsia="宋体" w:cs="宋体"/>
          <w:bCs/>
          <w:color w:val="000000"/>
          <w:sz w:val="24"/>
          <w:szCs w:val="24"/>
        </w:rPr>
        <w:t>外贸平台</w:t>
      </w:r>
      <w:r>
        <w:rPr>
          <w:rFonts w:hint="eastAsia" w:ascii="宋体" w:hAnsi="宋体" w:eastAsia="宋体" w:cs="宋体"/>
          <w:bCs/>
          <w:color w:val="000000"/>
          <w:sz w:val="24"/>
          <w:szCs w:val="24"/>
          <w:lang w:eastAsia="zh-CN"/>
        </w:rPr>
        <w:t>、大型</w:t>
      </w:r>
      <w:r>
        <w:rPr>
          <w:rFonts w:hint="eastAsia" w:ascii="宋体" w:hAnsi="宋体" w:eastAsia="宋体" w:cs="宋体"/>
          <w:bCs/>
          <w:color w:val="000000"/>
          <w:sz w:val="24"/>
          <w:szCs w:val="24"/>
        </w:rPr>
        <w:t>企业</w:t>
      </w:r>
      <w:r>
        <w:rPr>
          <w:rFonts w:hint="eastAsia" w:ascii="宋体" w:hAnsi="宋体" w:eastAsia="宋体" w:cs="宋体"/>
          <w:bCs/>
          <w:color w:val="000000"/>
          <w:sz w:val="24"/>
          <w:szCs w:val="24"/>
          <w:lang w:eastAsia="zh-CN"/>
        </w:rPr>
        <w:t>集团与知名展览公司</w:t>
      </w:r>
      <w:r>
        <w:rPr>
          <w:rFonts w:hint="eastAsia" w:ascii="宋体" w:hAnsi="宋体" w:eastAsia="宋体" w:cs="宋体"/>
          <w:bCs/>
          <w:color w:val="000000"/>
          <w:sz w:val="24"/>
          <w:szCs w:val="24"/>
        </w:rPr>
        <w:t>负责人</w:t>
      </w:r>
      <w:r>
        <w:rPr>
          <w:rFonts w:hint="eastAsia" w:ascii="宋体" w:hAnsi="宋体" w:eastAsia="宋体" w:cs="宋体"/>
          <w:bCs/>
          <w:color w:val="000000"/>
          <w:sz w:val="24"/>
          <w:szCs w:val="24"/>
          <w:lang w:eastAsia="zh-CN"/>
        </w:rPr>
        <w:t>等</w:t>
      </w:r>
      <w:r>
        <w:rPr>
          <w:rFonts w:hint="eastAsia" w:ascii="宋体" w:hAnsi="宋体" w:eastAsia="宋体" w:cs="宋体"/>
          <w:bCs/>
          <w:color w:val="000000"/>
          <w:sz w:val="24"/>
          <w:szCs w:val="24"/>
        </w:rPr>
        <w:t>授课。</w:t>
      </w:r>
    </w:p>
    <w:p w14:paraId="54F86FC1">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Cs/>
          <w:color w:val="000000"/>
          <w:sz w:val="24"/>
          <w:szCs w:val="24"/>
        </w:rPr>
      </w:pPr>
      <w:r>
        <w:rPr>
          <w:rFonts w:hint="eastAsia" w:ascii="宋体" w:hAnsi="宋体" w:eastAsia="宋体" w:cs="宋体"/>
          <w:b/>
          <w:color w:val="000000"/>
          <w:sz w:val="24"/>
          <w:szCs w:val="24"/>
        </w:rPr>
        <w:t>2.</w:t>
      </w:r>
      <w:r>
        <w:rPr>
          <w:rFonts w:hint="eastAsia" w:ascii="宋体" w:hAnsi="宋体" w:eastAsia="宋体" w:cs="宋体"/>
          <w:b/>
          <w:color w:val="000000"/>
          <w:sz w:val="24"/>
          <w:szCs w:val="24"/>
          <w:lang w:val="en-US" w:eastAsia="zh-CN"/>
        </w:rPr>
        <w:t>绿色贸易与外贸新动能培育专题培训班</w:t>
      </w:r>
      <w:r>
        <w:rPr>
          <w:rFonts w:hint="eastAsia" w:ascii="宋体" w:hAnsi="宋体" w:eastAsia="宋体" w:cs="宋体"/>
          <w:b/>
          <w:color w:val="000000"/>
          <w:sz w:val="24"/>
          <w:szCs w:val="24"/>
        </w:rPr>
        <w:t>。</w:t>
      </w:r>
      <w:r>
        <w:rPr>
          <w:rFonts w:hint="eastAsia" w:ascii="宋体" w:hAnsi="宋体" w:eastAsia="宋体" w:cs="宋体"/>
          <w:bCs/>
          <w:color w:val="000000"/>
          <w:sz w:val="24"/>
          <w:szCs w:val="24"/>
        </w:rPr>
        <w:t>拟安排</w:t>
      </w:r>
      <w:r>
        <w:rPr>
          <w:rFonts w:hint="eastAsia" w:ascii="宋体" w:hAnsi="宋体" w:eastAsia="宋体" w:cs="宋体"/>
          <w:bCs/>
          <w:color w:val="000000"/>
          <w:sz w:val="24"/>
          <w:szCs w:val="24"/>
          <w:lang w:val="en-US" w:eastAsia="zh-CN"/>
        </w:rPr>
        <w:t>4期</w:t>
      </w:r>
      <w:r>
        <w:rPr>
          <w:rFonts w:hint="eastAsia" w:ascii="宋体" w:hAnsi="宋体" w:eastAsia="宋体" w:cs="宋体"/>
          <w:bCs/>
          <w:color w:val="000000"/>
          <w:sz w:val="24"/>
          <w:szCs w:val="24"/>
          <w:lang w:eastAsia="zh-CN"/>
        </w:rPr>
        <w:t>，地点：</w:t>
      </w:r>
      <w:r>
        <w:rPr>
          <w:rFonts w:hint="eastAsia" w:ascii="宋体" w:hAnsi="宋体" w:eastAsia="宋体" w:cs="宋体"/>
          <w:bCs/>
          <w:color w:val="000000"/>
          <w:sz w:val="24"/>
          <w:szCs w:val="24"/>
          <w:lang w:val="en-US" w:eastAsia="zh-CN"/>
        </w:rPr>
        <w:t>芜湖、安庆、马鞍山、</w:t>
      </w:r>
      <w:r>
        <w:rPr>
          <w:rFonts w:hint="eastAsia" w:ascii="宋体" w:hAnsi="宋体" w:eastAsia="宋体" w:cs="宋体"/>
          <w:sz w:val="24"/>
          <w:szCs w:val="24"/>
          <w:lang w:val="en-US" w:eastAsia="zh-CN" w:bidi="ar"/>
        </w:rPr>
        <w:t>铜陵（池州）</w:t>
      </w:r>
      <w:r>
        <w:rPr>
          <w:rFonts w:hint="eastAsia" w:ascii="宋体" w:hAnsi="宋体" w:eastAsia="宋体" w:cs="宋体"/>
          <w:bCs/>
          <w:color w:val="000000"/>
          <w:sz w:val="24"/>
          <w:szCs w:val="24"/>
          <w:lang w:val="en-US" w:eastAsia="zh-CN"/>
        </w:rPr>
        <w:t>市</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每</w:t>
      </w:r>
      <w:r>
        <w:rPr>
          <w:rFonts w:hint="eastAsia" w:ascii="宋体" w:hAnsi="宋体" w:eastAsia="宋体" w:cs="宋体"/>
          <w:bCs/>
          <w:color w:val="000000"/>
          <w:sz w:val="24"/>
          <w:szCs w:val="24"/>
          <w:lang w:val="en-US" w:eastAsia="zh-CN"/>
        </w:rPr>
        <w:t>期</w:t>
      </w:r>
      <w:r>
        <w:rPr>
          <w:rFonts w:hint="eastAsia" w:ascii="宋体" w:hAnsi="宋体" w:eastAsia="宋体" w:cs="宋体"/>
          <w:bCs/>
          <w:color w:val="000000"/>
          <w:sz w:val="24"/>
          <w:szCs w:val="24"/>
        </w:rPr>
        <w:t>培训时间2.5天（第</w:t>
      </w: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rPr>
        <w:t>天</w:t>
      </w:r>
      <w:r>
        <w:rPr>
          <w:rFonts w:hint="eastAsia" w:ascii="宋体" w:hAnsi="宋体" w:eastAsia="宋体" w:cs="宋体"/>
          <w:bCs/>
          <w:color w:val="000000"/>
          <w:sz w:val="24"/>
          <w:szCs w:val="24"/>
          <w:lang w:eastAsia="zh-CN"/>
        </w:rPr>
        <w:t>上</w:t>
      </w:r>
      <w:r>
        <w:rPr>
          <w:rFonts w:hint="eastAsia" w:ascii="宋体" w:hAnsi="宋体" w:eastAsia="宋体" w:cs="宋体"/>
          <w:bCs/>
          <w:color w:val="000000"/>
          <w:sz w:val="24"/>
          <w:szCs w:val="24"/>
        </w:rPr>
        <w:t>午报到，第</w:t>
      </w: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天午餐后结束）</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培训企业数</w:t>
      </w:r>
      <w:r>
        <w:rPr>
          <w:rFonts w:hint="eastAsia" w:ascii="宋体" w:hAnsi="宋体" w:eastAsia="宋体" w:cs="宋体"/>
          <w:bCs/>
          <w:color w:val="000000"/>
          <w:sz w:val="24"/>
          <w:szCs w:val="24"/>
          <w:lang w:eastAsia="zh-CN"/>
        </w:rPr>
        <w:t>不少于</w:t>
      </w:r>
      <w:r>
        <w:rPr>
          <w:rFonts w:hint="eastAsia" w:ascii="宋体" w:hAnsi="宋体" w:eastAsia="宋体" w:cs="宋体"/>
          <w:bCs/>
          <w:color w:val="000000"/>
          <w:sz w:val="24"/>
          <w:szCs w:val="24"/>
        </w:rPr>
        <w:t>1</w:t>
      </w:r>
      <w:r>
        <w:rPr>
          <w:rFonts w:hint="eastAsia" w:ascii="宋体" w:hAnsi="宋体" w:eastAsia="宋体" w:cs="宋体"/>
          <w:bCs/>
          <w:color w:val="000000"/>
          <w:sz w:val="24"/>
          <w:szCs w:val="24"/>
          <w:lang w:val="en-US" w:eastAsia="zh-CN"/>
        </w:rPr>
        <w:t>20</w:t>
      </w:r>
      <w:r>
        <w:rPr>
          <w:rFonts w:hint="eastAsia" w:ascii="宋体" w:hAnsi="宋体" w:eastAsia="宋体" w:cs="宋体"/>
          <w:bCs/>
          <w:color w:val="000000"/>
          <w:sz w:val="24"/>
          <w:szCs w:val="24"/>
        </w:rPr>
        <w:t>家，人数不</w:t>
      </w:r>
      <w:r>
        <w:rPr>
          <w:rFonts w:hint="eastAsia" w:ascii="宋体" w:hAnsi="宋体" w:eastAsia="宋体" w:cs="宋体"/>
          <w:bCs/>
          <w:color w:val="000000"/>
          <w:sz w:val="24"/>
          <w:szCs w:val="24"/>
          <w:lang w:eastAsia="zh-CN"/>
        </w:rPr>
        <w:t>少于</w:t>
      </w:r>
      <w:r>
        <w:rPr>
          <w:rFonts w:hint="eastAsia" w:ascii="宋体" w:hAnsi="宋体" w:eastAsia="宋体" w:cs="宋体"/>
          <w:bCs/>
          <w:color w:val="000000"/>
          <w:sz w:val="24"/>
          <w:szCs w:val="24"/>
        </w:rPr>
        <w:t>1</w:t>
      </w: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rPr>
        <w:t>0人</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合计培训企业数</w:t>
      </w:r>
      <w:r>
        <w:rPr>
          <w:rFonts w:hint="eastAsia" w:ascii="宋体" w:hAnsi="宋体" w:eastAsia="宋体" w:cs="宋体"/>
          <w:bCs/>
          <w:color w:val="000000"/>
          <w:sz w:val="24"/>
          <w:szCs w:val="24"/>
          <w:lang w:eastAsia="zh-CN"/>
        </w:rPr>
        <w:t>不少于</w:t>
      </w:r>
      <w:r>
        <w:rPr>
          <w:rFonts w:hint="eastAsia" w:ascii="宋体" w:hAnsi="宋体" w:eastAsia="宋体" w:cs="宋体"/>
          <w:bCs/>
          <w:color w:val="000000"/>
          <w:sz w:val="24"/>
          <w:szCs w:val="24"/>
          <w:lang w:val="en-US" w:eastAsia="zh-CN"/>
        </w:rPr>
        <w:t>480</w:t>
      </w:r>
      <w:r>
        <w:rPr>
          <w:rFonts w:hint="eastAsia" w:ascii="宋体" w:hAnsi="宋体" w:eastAsia="宋体" w:cs="宋体"/>
          <w:bCs/>
          <w:color w:val="000000"/>
          <w:sz w:val="24"/>
          <w:szCs w:val="24"/>
        </w:rPr>
        <w:t>家、人数</w:t>
      </w:r>
      <w:r>
        <w:rPr>
          <w:rFonts w:hint="eastAsia" w:ascii="宋体" w:hAnsi="宋体" w:eastAsia="宋体" w:cs="宋体"/>
          <w:bCs/>
          <w:color w:val="000000"/>
          <w:sz w:val="24"/>
          <w:szCs w:val="24"/>
          <w:lang w:eastAsia="zh-CN"/>
        </w:rPr>
        <w:t>不少于</w:t>
      </w:r>
      <w:r>
        <w:rPr>
          <w:rFonts w:hint="eastAsia" w:ascii="宋体" w:hAnsi="宋体" w:eastAsia="宋体" w:cs="宋体"/>
          <w:bCs/>
          <w:color w:val="000000"/>
          <w:sz w:val="24"/>
          <w:szCs w:val="24"/>
          <w:lang w:val="en-US" w:eastAsia="zh-CN"/>
        </w:rPr>
        <w:t>560</w:t>
      </w:r>
      <w:r>
        <w:rPr>
          <w:rFonts w:hint="eastAsia" w:ascii="宋体" w:hAnsi="宋体" w:eastAsia="宋体" w:cs="宋体"/>
          <w:bCs/>
          <w:color w:val="000000"/>
          <w:sz w:val="24"/>
          <w:szCs w:val="24"/>
        </w:rPr>
        <w:t>人。</w:t>
      </w:r>
    </w:p>
    <w:p w14:paraId="352F9C64">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sz w:val="24"/>
          <w:szCs w:val="24"/>
          <w:lang w:val="en-US" w:eastAsia="zh-CN" w:bidi="ar"/>
        </w:rPr>
      </w:pPr>
      <w:r>
        <w:rPr>
          <w:rFonts w:hint="eastAsia" w:ascii="宋体" w:hAnsi="宋体" w:eastAsia="宋体" w:cs="宋体"/>
          <w:b/>
          <w:bCs/>
          <w:sz w:val="24"/>
          <w:szCs w:val="24"/>
          <w:lang w:eastAsia="zh-CN"/>
        </w:rPr>
        <w:t>培训对象：</w:t>
      </w:r>
      <w:r>
        <w:rPr>
          <w:rFonts w:hint="eastAsia" w:ascii="宋体" w:hAnsi="宋体" w:eastAsia="宋体" w:cs="宋体"/>
          <w:sz w:val="24"/>
          <w:szCs w:val="24"/>
          <w:lang w:eastAsia="zh-CN"/>
        </w:rPr>
        <w:t>（1）</w:t>
      </w:r>
      <w:r>
        <w:rPr>
          <w:rFonts w:hint="eastAsia" w:ascii="宋体" w:hAnsi="宋体" w:eastAsia="宋体" w:cs="宋体"/>
          <w:sz w:val="24"/>
          <w:szCs w:val="24"/>
          <w:lang w:bidi="ar"/>
        </w:rPr>
        <w:t>我省</w:t>
      </w:r>
      <w:r>
        <w:rPr>
          <w:rFonts w:hint="eastAsia" w:ascii="宋体" w:hAnsi="宋体" w:eastAsia="宋体" w:cs="宋体"/>
          <w:sz w:val="24"/>
          <w:szCs w:val="24"/>
          <w:lang w:eastAsia="zh-CN" w:bidi="ar"/>
        </w:rPr>
        <w:t>进</w:t>
      </w:r>
      <w:r>
        <w:rPr>
          <w:rFonts w:hint="eastAsia" w:ascii="宋体" w:hAnsi="宋体" w:eastAsia="宋体" w:cs="宋体"/>
          <w:sz w:val="24"/>
          <w:szCs w:val="24"/>
          <w:lang w:bidi="ar"/>
        </w:rPr>
        <w:t>出口企业</w:t>
      </w:r>
      <w:r>
        <w:rPr>
          <w:rFonts w:hint="eastAsia" w:ascii="宋体" w:hAnsi="宋体" w:eastAsia="宋体" w:cs="宋体"/>
          <w:sz w:val="24"/>
          <w:szCs w:val="24"/>
          <w:lang w:eastAsia="zh-CN" w:bidi="ar"/>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b w:val="0"/>
          <w:bCs w:val="0"/>
          <w:kern w:val="2"/>
          <w:sz w:val="24"/>
          <w:szCs w:val="24"/>
          <w:lang w:val="en-US" w:eastAsia="zh-CN" w:bidi="ar"/>
        </w:rPr>
        <w:t>已进行海关备案登记未发生进出口实绩的企业；（3）</w:t>
      </w:r>
      <w:r>
        <w:rPr>
          <w:rFonts w:hint="eastAsia" w:ascii="宋体" w:hAnsi="宋体" w:eastAsia="宋体" w:cs="宋体"/>
          <w:sz w:val="24"/>
          <w:szCs w:val="24"/>
          <w:lang w:val="en-US" w:eastAsia="zh-CN"/>
        </w:rPr>
        <w:t>有进出口潜力和意愿的其他企业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bidi="ar"/>
        </w:rPr>
        <w:t>市、县（市、区）商务主管部门外贸工作人员。</w:t>
      </w:r>
    </w:p>
    <w:p w14:paraId="597CCD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CFCFC"/>
        <w:kinsoku/>
        <w:wordWrap/>
        <w:overflowPunct/>
        <w:topLinePunct w:val="0"/>
        <w:autoSpaceDE/>
        <w:autoSpaceDN/>
        <w:bidi w:val="0"/>
        <w:adjustRightInd/>
        <w:snapToGrid/>
        <w:spacing w:before="0" w:beforeAutospacing="0" w:after="0" w:afterAutospacing="0" w:line="560" w:lineRule="exact"/>
        <w:ind w:left="0" w:right="0" w:firstLine="482" w:firstLineChars="200"/>
        <w:jc w:val="left"/>
        <w:textAlignment w:val="auto"/>
        <w:rPr>
          <w:rFonts w:hint="eastAsia" w:ascii="宋体" w:hAnsi="宋体" w:eastAsia="宋体" w:cs="宋体"/>
          <w:b w:val="0"/>
          <w:bCs w:val="0"/>
          <w:kern w:val="2"/>
          <w:sz w:val="24"/>
          <w:szCs w:val="24"/>
          <w:lang w:val="en-US" w:eastAsia="zh-CN" w:bidi="ar"/>
        </w:rPr>
      </w:pPr>
      <w:bookmarkStart w:id="51" w:name="_Toc30874"/>
      <w:r>
        <w:rPr>
          <w:rFonts w:hint="eastAsia" w:ascii="宋体" w:hAnsi="宋体" w:eastAsia="宋体" w:cs="宋体"/>
          <w:b/>
          <w:bCs/>
          <w:sz w:val="24"/>
          <w:szCs w:val="24"/>
          <w:lang w:eastAsia="zh-CN"/>
        </w:rPr>
        <w:t>培训内容：</w:t>
      </w:r>
      <w:r>
        <w:rPr>
          <w:rFonts w:hint="eastAsia" w:ascii="宋体" w:hAnsi="宋体" w:eastAsia="宋体" w:cs="宋体"/>
          <w:b w:val="0"/>
          <w:bCs w:val="0"/>
          <w:kern w:val="2"/>
          <w:sz w:val="24"/>
          <w:szCs w:val="24"/>
          <w:lang w:val="en-US" w:eastAsia="zh-CN" w:bidi="ar"/>
        </w:rPr>
        <w:t>（1）2025年外贸形势分析与预测；（2）贸易壁垒对全球经济的影响与应对策略；（3）对俄经贸合作的机遇与风险应对；（4）“一带一路”新兴市场及欧美日经济走势分析；（5）贸易绿色化和数字化转型；（6）数智化技术赋能企业新出海；（7）外贸独立站建设与TikTok应用；（8）企业产业链供应链合作经验分享；（9）外向型产业出口机遇分析；（10）“两用”物项出口合规介绍；（11）RCEP整体情况介绍和企业如何把握机遇；（12）海关AEO认证与企业申请；（13）二手车出口；（14）‌海外市场拓展实践经验分享‌；（15）开展“外综服平台服务地方”系列活动；（16）中间品贸易；（17）出口信保支持政策；（18）APEC商务旅行卡办理介绍；（19）汇率风险管理与金融工具的应用；（20）新形势下的海外参展模式与企业出海布局服务指引。</w:t>
      </w:r>
      <w:bookmarkEnd w:id="51"/>
    </w:p>
    <w:p w14:paraId="520E9BFD">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师资安排：</w:t>
      </w:r>
      <w:r>
        <w:rPr>
          <w:rFonts w:hint="eastAsia" w:ascii="宋体" w:hAnsi="宋体" w:eastAsia="宋体" w:cs="宋体"/>
          <w:bCs/>
          <w:color w:val="000000"/>
          <w:sz w:val="24"/>
          <w:szCs w:val="24"/>
        </w:rPr>
        <w:t>邀请国</w:t>
      </w:r>
      <w:r>
        <w:rPr>
          <w:rFonts w:hint="eastAsia" w:ascii="宋体" w:hAnsi="宋体" w:eastAsia="宋体" w:cs="宋体"/>
          <w:bCs/>
          <w:color w:val="000000"/>
          <w:sz w:val="24"/>
          <w:szCs w:val="24"/>
          <w:lang w:eastAsia="zh-CN"/>
        </w:rPr>
        <w:t>家</w:t>
      </w:r>
      <w:r>
        <w:rPr>
          <w:rFonts w:hint="eastAsia" w:ascii="宋体" w:hAnsi="宋体" w:eastAsia="宋体" w:cs="宋体"/>
          <w:bCs/>
          <w:color w:val="000000"/>
          <w:sz w:val="24"/>
          <w:szCs w:val="24"/>
        </w:rPr>
        <w:t>部委</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国家相关</w:t>
      </w:r>
      <w:r>
        <w:rPr>
          <w:rFonts w:hint="eastAsia" w:ascii="宋体" w:hAnsi="宋体" w:eastAsia="宋体" w:cs="宋体"/>
          <w:bCs/>
          <w:color w:val="000000"/>
          <w:sz w:val="24"/>
          <w:szCs w:val="24"/>
          <w:lang w:eastAsia="zh-CN"/>
        </w:rPr>
        <w:t>商协会、</w:t>
      </w:r>
      <w:r>
        <w:rPr>
          <w:rFonts w:hint="eastAsia" w:ascii="宋体" w:hAnsi="宋体" w:eastAsia="宋体" w:cs="宋体"/>
          <w:bCs/>
          <w:color w:val="000000"/>
          <w:sz w:val="24"/>
          <w:szCs w:val="24"/>
          <w:lang w:val="en-US" w:eastAsia="zh-CN"/>
        </w:rPr>
        <w:t>长三角</w:t>
      </w:r>
      <w:r>
        <w:rPr>
          <w:rFonts w:hint="eastAsia" w:ascii="宋体" w:hAnsi="宋体" w:eastAsia="宋体" w:cs="宋体"/>
          <w:bCs/>
          <w:color w:val="000000"/>
          <w:sz w:val="24"/>
          <w:szCs w:val="24"/>
        </w:rPr>
        <w:t>外贸领域</w:t>
      </w:r>
      <w:r>
        <w:rPr>
          <w:rFonts w:hint="eastAsia" w:ascii="宋体" w:hAnsi="宋体" w:eastAsia="宋体" w:cs="宋体"/>
          <w:bCs/>
          <w:color w:val="000000"/>
          <w:sz w:val="24"/>
          <w:szCs w:val="24"/>
          <w:lang w:eastAsia="zh-CN"/>
        </w:rPr>
        <w:t>、知名高校、</w:t>
      </w:r>
      <w:r>
        <w:rPr>
          <w:rFonts w:hint="eastAsia" w:ascii="宋体" w:hAnsi="宋体" w:eastAsia="宋体" w:cs="宋体"/>
          <w:bCs/>
          <w:color w:val="000000"/>
          <w:sz w:val="24"/>
          <w:szCs w:val="24"/>
          <w:lang w:val="en-US" w:eastAsia="zh-CN"/>
        </w:rPr>
        <w:t>金融机构</w:t>
      </w:r>
      <w:r>
        <w:rPr>
          <w:rFonts w:hint="eastAsia" w:ascii="宋体" w:hAnsi="宋体" w:eastAsia="宋体" w:cs="宋体"/>
          <w:bCs/>
          <w:color w:val="000000"/>
          <w:sz w:val="24"/>
          <w:szCs w:val="24"/>
        </w:rPr>
        <w:t>相关</w:t>
      </w:r>
      <w:r>
        <w:rPr>
          <w:rFonts w:hint="eastAsia" w:ascii="宋体" w:hAnsi="宋体" w:eastAsia="宋体" w:cs="宋体"/>
          <w:bCs/>
          <w:color w:val="000000"/>
          <w:sz w:val="24"/>
          <w:szCs w:val="24"/>
          <w:lang w:val="en-US" w:eastAsia="zh-CN"/>
        </w:rPr>
        <w:t>领导、</w:t>
      </w:r>
      <w:r>
        <w:rPr>
          <w:rFonts w:hint="eastAsia" w:ascii="宋体" w:hAnsi="宋体" w:eastAsia="宋体" w:cs="宋体"/>
          <w:bCs/>
          <w:color w:val="000000"/>
          <w:sz w:val="24"/>
          <w:szCs w:val="24"/>
        </w:rPr>
        <w:t>专家学者</w:t>
      </w:r>
      <w:r>
        <w:rPr>
          <w:rFonts w:hint="eastAsia" w:ascii="宋体" w:hAnsi="宋体" w:eastAsia="宋体" w:cs="宋体"/>
          <w:bCs/>
          <w:color w:val="000000"/>
          <w:sz w:val="24"/>
          <w:szCs w:val="24"/>
          <w:lang w:eastAsia="zh-CN"/>
        </w:rPr>
        <w:t>，以及</w:t>
      </w:r>
      <w:r>
        <w:rPr>
          <w:rFonts w:hint="eastAsia" w:ascii="宋体" w:hAnsi="宋体" w:eastAsia="宋体" w:cs="宋体"/>
          <w:bCs/>
          <w:color w:val="000000"/>
          <w:sz w:val="24"/>
          <w:szCs w:val="24"/>
        </w:rPr>
        <w:t>外贸平台</w:t>
      </w:r>
      <w:r>
        <w:rPr>
          <w:rFonts w:hint="eastAsia" w:ascii="宋体" w:hAnsi="宋体" w:eastAsia="宋体" w:cs="宋体"/>
          <w:bCs/>
          <w:color w:val="000000"/>
          <w:sz w:val="24"/>
          <w:szCs w:val="24"/>
          <w:lang w:eastAsia="zh-CN"/>
        </w:rPr>
        <w:t>、大型</w:t>
      </w:r>
      <w:r>
        <w:rPr>
          <w:rFonts w:hint="eastAsia" w:ascii="宋体" w:hAnsi="宋体" w:eastAsia="宋体" w:cs="宋体"/>
          <w:bCs/>
          <w:color w:val="000000"/>
          <w:sz w:val="24"/>
          <w:szCs w:val="24"/>
        </w:rPr>
        <w:t>企业</w:t>
      </w:r>
      <w:r>
        <w:rPr>
          <w:rFonts w:hint="eastAsia" w:ascii="宋体" w:hAnsi="宋体" w:eastAsia="宋体" w:cs="宋体"/>
          <w:bCs/>
          <w:color w:val="000000"/>
          <w:sz w:val="24"/>
          <w:szCs w:val="24"/>
          <w:lang w:eastAsia="zh-CN"/>
        </w:rPr>
        <w:t>集团与知名展览公司</w:t>
      </w:r>
      <w:r>
        <w:rPr>
          <w:rFonts w:hint="eastAsia" w:ascii="宋体" w:hAnsi="宋体" w:eastAsia="宋体" w:cs="宋体"/>
          <w:bCs/>
          <w:color w:val="000000"/>
          <w:sz w:val="24"/>
          <w:szCs w:val="24"/>
        </w:rPr>
        <w:t>负责人</w:t>
      </w:r>
      <w:r>
        <w:rPr>
          <w:rFonts w:hint="eastAsia" w:ascii="宋体" w:hAnsi="宋体" w:eastAsia="宋体" w:cs="宋体"/>
          <w:bCs/>
          <w:color w:val="000000"/>
          <w:sz w:val="24"/>
          <w:szCs w:val="24"/>
          <w:lang w:eastAsia="zh-CN"/>
        </w:rPr>
        <w:t>等</w:t>
      </w:r>
      <w:r>
        <w:rPr>
          <w:rFonts w:hint="eastAsia" w:ascii="宋体" w:hAnsi="宋体" w:eastAsia="宋体" w:cs="宋体"/>
          <w:bCs/>
          <w:color w:val="000000"/>
          <w:sz w:val="24"/>
          <w:szCs w:val="24"/>
        </w:rPr>
        <w:t>授课。</w:t>
      </w:r>
    </w:p>
    <w:p w14:paraId="6F83B542">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Cs/>
          <w:color w:val="000000"/>
          <w:sz w:val="24"/>
          <w:szCs w:val="24"/>
        </w:rPr>
      </w:pPr>
      <w:r>
        <w:rPr>
          <w:rFonts w:hint="eastAsia" w:ascii="宋体" w:hAnsi="宋体" w:eastAsia="宋体" w:cs="宋体"/>
          <w:b/>
          <w:color w:val="000000"/>
          <w:sz w:val="24"/>
          <w:szCs w:val="24"/>
          <w:lang w:val="en-US" w:eastAsia="zh-CN"/>
        </w:rPr>
        <w:t>3.产贸融合深化国际市场拓展专题培训班。</w:t>
      </w:r>
      <w:r>
        <w:rPr>
          <w:rFonts w:hint="eastAsia" w:ascii="宋体" w:hAnsi="宋体" w:eastAsia="宋体" w:cs="宋体"/>
          <w:bCs/>
          <w:color w:val="000000"/>
          <w:sz w:val="24"/>
          <w:szCs w:val="24"/>
        </w:rPr>
        <w:t>拟安排</w:t>
      </w:r>
      <w:r>
        <w:rPr>
          <w:rFonts w:hint="eastAsia" w:ascii="宋体" w:hAnsi="宋体" w:eastAsia="宋体" w:cs="宋体"/>
          <w:bCs/>
          <w:color w:val="000000"/>
          <w:sz w:val="24"/>
          <w:szCs w:val="24"/>
          <w:lang w:val="en-US" w:eastAsia="zh-CN"/>
        </w:rPr>
        <w:t>3期</w:t>
      </w:r>
      <w:r>
        <w:rPr>
          <w:rFonts w:hint="eastAsia" w:ascii="宋体" w:hAnsi="宋体" w:eastAsia="宋体" w:cs="宋体"/>
          <w:bCs/>
          <w:color w:val="000000"/>
          <w:sz w:val="24"/>
          <w:szCs w:val="24"/>
        </w:rPr>
        <w:t>，</w:t>
      </w:r>
      <w:r>
        <w:rPr>
          <w:rFonts w:hint="eastAsia" w:ascii="宋体" w:hAnsi="宋体" w:eastAsia="宋体" w:cs="宋体"/>
          <w:bCs/>
          <w:color w:val="000000"/>
          <w:sz w:val="24"/>
          <w:szCs w:val="24"/>
          <w:lang w:eastAsia="zh-CN"/>
        </w:rPr>
        <w:t>地点：</w:t>
      </w:r>
      <w:r>
        <w:rPr>
          <w:rFonts w:hint="eastAsia" w:ascii="宋体" w:hAnsi="宋体" w:eastAsia="宋体" w:cs="宋体"/>
          <w:bCs/>
          <w:color w:val="000000"/>
          <w:sz w:val="24"/>
          <w:szCs w:val="24"/>
          <w:lang w:val="en-US" w:eastAsia="zh-CN"/>
        </w:rPr>
        <w:t>宣城（黄山）、亳州（阜阳）、蚌埠（淮南），</w:t>
      </w:r>
      <w:r>
        <w:rPr>
          <w:rFonts w:hint="eastAsia" w:ascii="宋体" w:hAnsi="宋体" w:eastAsia="宋体" w:cs="宋体"/>
          <w:bCs/>
          <w:color w:val="000000"/>
          <w:sz w:val="24"/>
          <w:szCs w:val="24"/>
          <w:lang w:eastAsia="zh-CN"/>
        </w:rPr>
        <w:t>每</w:t>
      </w:r>
      <w:r>
        <w:rPr>
          <w:rFonts w:hint="eastAsia" w:ascii="宋体" w:hAnsi="宋体" w:eastAsia="宋体" w:cs="宋体"/>
          <w:bCs/>
          <w:color w:val="000000"/>
          <w:sz w:val="24"/>
          <w:szCs w:val="24"/>
          <w:lang w:val="en-US" w:eastAsia="zh-CN"/>
        </w:rPr>
        <w:t>期</w:t>
      </w:r>
      <w:r>
        <w:rPr>
          <w:rFonts w:hint="eastAsia" w:ascii="宋体" w:hAnsi="宋体" w:eastAsia="宋体" w:cs="宋体"/>
          <w:bCs/>
          <w:color w:val="000000"/>
          <w:sz w:val="24"/>
          <w:szCs w:val="24"/>
        </w:rPr>
        <w:t>培训时间2.5天</w:t>
      </w:r>
      <w:r>
        <w:rPr>
          <w:rFonts w:hint="eastAsia" w:ascii="宋体" w:hAnsi="宋体" w:eastAsia="宋体" w:cs="宋体"/>
          <w:sz w:val="24"/>
          <w:szCs w:val="24"/>
        </w:rPr>
        <w:t>（第</w:t>
      </w:r>
      <w:r>
        <w:rPr>
          <w:rFonts w:hint="eastAsia" w:ascii="宋体" w:hAnsi="宋体" w:eastAsia="宋体" w:cs="宋体"/>
          <w:sz w:val="24"/>
          <w:szCs w:val="24"/>
          <w:lang w:val="en-US" w:eastAsia="zh-CN"/>
        </w:rPr>
        <w:t>1</w:t>
      </w:r>
      <w:r>
        <w:rPr>
          <w:rFonts w:hint="eastAsia" w:ascii="宋体" w:hAnsi="宋体" w:eastAsia="宋体" w:cs="宋体"/>
          <w:sz w:val="24"/>
          <w:szCs w:val="24"/>
        </w:rPr>
        <w:t>天上午报到，第3天午餐后结束）</w:t>
      </w:r>
      <w:r>
        <w:rPr>
          <w:rFonts w:hint="eastAsia" w:ascii="宋体" w:hAnsi="宋体" w:eastAsia="宋体" w:cs="宋体"/>
          <w:sz w:val="24"/>
          <w:szCs w:val="24"/>
          <w:lang w:eastAsia="zh-CN"/>
        </w:rPr>
        <w:t>；</w:t>
      </w:r>
      <w:r>
        <w:rPr>
          <w:rFonts w:hint="eastAsia" w:ascii="宋体" w:hAnsi="宋体" w:eastAsia="宋体" w:cs="宋体"/>
          <w:sz w:val="24"/>
          <w:szCs w:val="24"/>
        </w:rPr>
        <w:t>培训企业数</w:t>
      </w:r>
      <w:r>
        <w:rPr>
          <w:rFonts w:hint="eastAsia" w:ascii="宋体" w:hAnsi="宋体" w:eastAsia="宋体" w:cs="宋体"/>
          <w:sz w:val="24"/>
          <w:szCs w:val="24"/>
          <w:lang w:eastAsia="zh-CN"/>
        </w:rPr>
        <w:t>不少于</w:t>
      </w: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0家</w:t>
      </w:r>
      <w:r>
        <w:rPr>
          <w:rFonts w:hint="eastAsia" w:ascii="宋体" w:hAnsi="宋体" w:eastAsia="宋体" w:cs="宋体"/>
          <w:sz w:val="24"/>
          <w:szCs w:val="24"/>
          <w:lang w:eastAsia="zh-CN"/>
        </w:rPr>
        <w:t>、</w:t>
      </w:r>
      <w:r>
        <w:rPr>
          <w:rFonts w:hint="eastAsia" w:ascii="宋体" w:hAnsi="宋体" w:eastAsia="宋体" w:cs="宋体"/>
          <w:sz w:val="24"/>
          <w:szCs w:val="24"/>
        </w:rPr>
        <w:t>人数不</w:t>
      </w:r>
      <w:r>
        <w:rPr>
          <w:rFonts w:hint="eastAsia" w:ascii="宋体" w:hAnsi="宋体" w:eastAsia="宋体" w:cs="宋体"/>
          <w:sz w:val="24"/>
          <w:szCs w:val="24"/>
          <w:lang w:eastAsia="zh-CN"/>
        </w:rPr>
        <w:t>少于</w:t>
      </w: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0人</w:t>
      </w:r>
      <w:r>
        <w:rPr>
          <w:rFonts w:hint="eastAsia" w:ascii="宋体" w:hAnsi="宋体" w:eastAsia="宋体" w:cs="宋体"/>
          <w:sz w:val="24"/>
          <w:szCs w:val="24"/>
          <w:lang w:eastAsia="zh-CN"/>
        </w:rPr>
        <w:t>。</w:t>
      </w:r>
      <w:r>
        <w:rPr>
          <w:rFonts w:hint="eastAsia" w:ascii="宋体" w:hAnsi="宋体" w:eastAsia="宋体" w:cs="宋体"/>
          <w:sz w:val="24"/>
          <w:szCs w:val="24"/>
        </w:rPr>
        <w:t>合计培训企业</w:t>
      </w:r>
      <w:r>
        <w:rPr>
          <w:rFonts w:hint="eastAsia" w:ascii="宋体" w:hAnsi="宋体" w:eastAsia="宋体" w:cs="宋体"/>
          <w:bCs/>
          <w:color w:val="000000"/>
          <w:sz w:val="24"/>
          <w:szCs w:val="24"/>
        </w:rPr>
        <w:t>数</w:t>
      </w:r>
      <w:r>
        <w:rPr>
          <w:rFonts w:hint="eastAsia" w:ascii="宋体" w:hAnsi="宋体" w:eastAsia="宋体" w:cs="宋体"/>
          <w:bCs/>
          <w:color w:val="000000"/>
          <w:sz w:val="24"/>
          <w:szCs w:val="24"/>
          <w:lang w:eastAsia="zh-CN"/>
        </w:rPr>
        <w:t>不少于</w:t>
      </w:r>
      <w:r>
        <w:rPr>
          <w:rFonts w:hint="eastAsia" w:ascii="宋体" w:hAnsi="宋体" w:eastAsia="宋体" w:cs="宋体"/>
          <w:bCs/>
          <w:color w:val="000000"/>
          <w:sz w:val="24"/>
          <w:szCs w:val="24"/>
          <w:lang w:val="en-US" w:eastAsia="zh-CN"/>
        </w:rPr>
        <w:t>360</w:t>
      </w:r>
      <w:r>
        <w:rPr>
          <w:rFonts w:hint="eastAsia" w:ascii="宋体" w:hAnsi="宋体" w:eastAsia="宋体" w:cs="宋体"/>
          <w:bCs/>
          <w:color w:val="000000"/>
          <w:sz w:val="24"/>
          <w:szCs w:val="24"/>
        </w:rPr>
        <w:t>家、人数</w:t>
      </w:r>
      <w:r>
        <w:rPr>
          <w:rFonts w:hint="eastAsia" w:ascii="宋体" w:hAnsi="宋体" w:eastAsia="宋体" w:cs="宋体"/>
          <w:bCs/>
          <w:color w:val="000000"/>
          <w:sz w:val="24"/>
          <w:szCs w:val="24"/>
          <w:lang w:eastAsia="zh-CN"/>
        </w:rPr>
        <w:t>不少于</w:t>
      </w:r>
      <w:r>
        <w:rPr>
          <w:rFonts w:hint="eastAsia" w:ascii="宋体" w:hAnsi="宋体" w:eastAsia="宋体" w:cs="宋体"/>
          <w:bCs/>
          <w:color w:val="000000"/>
          <w:sz w:val="24"/>
          <w:szCs w:val="24"/>
          <w:lang w:val="en-US" w:eastAsia="zh-CN"/>
        </w:rPr>
        <w:t>420</w:t>
      </w:r>
      <w:r>
        <w:rPr>
          <w:rFonts w:hint="eastAsia" w:ascii="宋体" w:hAnsi="宋体" w:eastAsia="宋体" w:cs="宋体"/>
          <w:bCs/>
          <w:color w:val="000000"/>
          <w:sz w:val="24"/>
          <w:szCs w:val="24"/>
        </w:rPr>
        <w:t>人。</w:t>
      </w:r>
    </w:p>
    <w:p w14:paraId="013F978E">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sz w:val="24"/>
          <w:szCs w:val="24"/>
          <w:lang w:bidi="ar"/>
        </w:rPr>
      </w:pPr>
      <w:r>
        <w:rPr>
          <w:rFonts w:hint="eastAsia" w:ascii="宋体" w:hAnsi="宋体" w:eastAsia="宋体" w:cs="宋体"/>
          <w:b/>
          <w:bCs w:val="0"/>
          <w:color w:val="000000"/>
          <w:sz w:val="24"/>
          <w:szCs w:val="24"/>
        </w:rPr>
        <w:t>培训对象：</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lang w:eastAsia="zh-CN"/>
        </w:rPr>
        <w:t>）</w:t>
      </w:r>
      <w:r>
        <w:rPr>
          <w:rFonts w:hint="eastAsia" w:ascii="宋体" w:hAnsi="宋体" w:eastAsia="宋体" w:cs="宋体"/>
          <w:sz w:val="24"/>
          <w:szCs w:val="24"/>
          <w:lang w:bidi="ar"/>
        </w:rPr>
        <w:t>我省</w:t>
      </w:r>
      <w:r>
        <w:rPr>
          <w:rFonts w:hint="eastAsia" w:ascii="宋体" w:hAnsi="宋体" w:eastAsia="宋体" w:cs="宋体"/>
          <w:sz w:val="24"/>
          <w:szCs w:val="24"/>
          <w:lang w:eastAsia="zh-CN" w:bidi="ar"/>
        </w:rPr>
        <w:t>进</w:t>
      </w:r>
      <w:r>
        <w:rPr>
          <w:rFonts w:hint="eastAsia" w:ascii="宋体" w:hAnsi="宋体" w:eastAsia="宋体" w:cs="宋体"/>
          <w:sz w:val="24"/>
          <w:szCs w:val="24"/>
          <w:lang w:bidi="ar"/>
        </w:rPr>
        <w:t>出口企业</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2</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已进行海关备案登记尚未发生外贸实绩的企业；（3）有进出口潜力和意愿的其他企业；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bidi="ar"/>
        </w:rPr>
        <w:t>市、县（市、区）商务部门外贸工作人员。</w:t>
      </w:r>
    </w:p>
    <w:p w14:paraId="3BE92FD5">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bCs/>
          <w:sz w:val="24"/>
          <w:szCs w:val="24"/>
          <w:lang w:bidi="ar"/>
        </w:rPr>
        <w:t>培训内容：</w:t>
      </w:r>
      <w:r>
        <w:rPr>
          <w:rFonts w:hint="eastAsia" w:ascii="宋体" w:hAnsi="宋体" w:eastAsia="宋体" w:cs="宋体"/>
          <w:sz w:val="24"/>
          <w:szCs w:val="24"/>
          <w:lang w:val="en-US" w:eastAsia="zh-CN" w:bidi="ar"/>
        </w:rPr>
        <w:t>（1）</w:t>
      </w:r>
      <w:r>
        <w:rPr>
          <w:rFonts w:hint="eastAsia" w:ascii="宋体" w:hAnsi="宋体" w:eastAsia="宋体" w:cs="宋体"/>
          <w:sz w:val="24"/>
          <w:szCs w:val="24"/>
          <w:lang w:eastAsia="zh-CN" w:bidi="ar"/>
        </w:rPr>
        <w:t>2025年</w:t>
      </w:r>
      <w:r>
        <w:rPr>
          <w:rFonts w:hint="eastAsia" w:ascii="宋体" w:hAnsi="宋体" w:eastAsia="宋体" w:cs="宋体"/>
          <w:sz w:val="24"/>
          <w:szCs w:val="24"/>
          <w:lang w:val="en-US" w:eastAsia="zh-CN" w:bidi="ar"/>
        </w:rPr>
        <w:t>外贸形势</w:t>
      </w:r>
      <w:r>
        <w:rPr>
          <w:rFonts w:hint="eastAsia" w:ascii="宋体" w:hAnsi="宋体" w:eastAsia="宋体" w:cs="宋体"/>
          <w:sz w:val="24"/>
          <w:szCs w:val="24"/>
          <w:lang w:eastAsia="zh-CN" w:bidi="ar"/>
        </w:rPr>
        <w:t>分析与预测</w:t>
      </w:r>
      <w:r>
        <w:rPr>
          <w:rFonts w:hint="eastAsia" w:ascii="宋体" w:hAnsi="宋体" w:eastAsia="宋体" w:cs="宋体"/>
          <w:sz w:val="24"/>
          <w:szCs w:val="24"/>
          <w:lang w:val="en-US" w:eastAsia="zh-CN" w:bidi="ar"/>
        </w:rPr>
        <w:t>；（2）贸易壁垒对全球经济的影响与应对策略；（3）</w:t>
      </w:r>
      <w:r>
        <w:rPr>
          <w:rFonts w:hint="eastAsia" w:ascii="宋体" w:hAnsi="宋体" w:eastAsia="宋体" w:cs="宋体"/>
          <w:b w:val="0"/>
          <w:bCs w:val="0"/>
          <w:kern w:val="2"/>
          <w:sz w:val="24"/>
          <w:szCs w:val="24"/>
          <w:lang w:val="en-US" w:eastAsia="zh-CN" w:bidi="ar"/>
        </w:rPr>
        <w:t>数智化技术赋能企业新出海</w:t>
      </w:r>
      <w:r>
        <w:rPr>
          <w:rFonts w:hint="eastAsia" w:ascii="宋体" w:hAnsi="宋体" w:eastAsia="宋体" w:cs="宋体"/>
          <w:sz w:val="24"/>
          <w:szCs w:val="24"/>
          <w:lang w:val="en-US" w:eastAsia="zh-CN" w:bidi="ar"/>
        </w:rPr>
        <w:t>；（4）绿色贸易政策解读及</w:t>
      </w:r>
      <w:r>
        <w:rPr>
          <w:rFonts w:hint="eastAsia" w:ascii="宋体" w:hAnsi="宋体" w:eastAsia="宋体" w:cs="宋体"/>
          <w:sz w:val="24"/>
          <w:szCs w:val="24"/>
          <w:lang w:eastAsia="zh-CN" w:bidi="ar"/>
        </w:rPr>
        <w:t>企业实践案例分享；</w:t>
      </w:r>
      <w:r>
        <w:rPr>
          <w:rFonts w:hint="eastAsia" w:ascii="宋体" w:hAnsi="宋体" w:eastAsia="宋体" w:cs="宋体"/>
          <w:sz w:val="24"/>
          <w:szCs w:val="24"/>
          <w:lang w:val="en-US" w:eastAsia="zh-CN" w:bidi="ar"/>
        </w:rPr>
        <w:t>（5）</w:t>
      </w:r>
      <w:r>
        <w:rPr>
          <w:rFonts w:hint="eastAsia" w:ascii="宋体" w:hAnsi="宋体" w:eastAsia="宋体" w:cs="宋体"/>
          <w:sz w:val="24"/>
          <w:szCs w:val="24"/>
          <w:lang w:val="en-US" w:eastAsia="zh-CN"/>
        </w:rPr>
        <w:t>二手车出口；</w:t>
      </w:r>
      <w:r>
        <w:rPr>
          <w:rFonts w:hint="eastAsia" w:ascii="宋体" w:hAnsi="宋体" w:eastAsia="宋体" w:cs="宋体"/>
          <w:sz w:val="24"/>
          <w:szCs w:val="24"/>
          <w:lang w:val="en-US" w:eastAsia="zh-CN" w:bidi="ar"/>
        </w:rPr>
        <w:t>（6）</w:t>
      </w:r>
      <w:r>
        <w:rPr>
          <w:rFonts w:hint="eastAsia" w:ascii="宋体" w:hAnsi="宋体" w:eastAsia="宋体" w:cs="宋体"/>
          <w:sz w:val="24"/>
          <w:szCs w:val="24"/>
          <w:lang w:eastAsia="zh-CN" w:bidi="ar"/>
        </w:rPr>
        <w:t>“保税+”业态的创新发展；</w:t>
      </w:r>
      <w:r>
        <w:rPr>
          <w:rFonts w:hint="eastAsia" w:ascii="宋体" w:hAnsi="宋体" w:eastAsia="宋体" w:cs="宋体"/>
          <w:sz w:val="24"/>
          <w:szCs w:val="24"/>
          <w:lang w:val="en-US" w:eastAsia="zh-CN" w:bidi="ar"/>
        </w:rPr>
        <w:t>（7）</w:t>
      </w:r>
      <w:r>
        <w:rPr>
          <w:rFonts w:hint="eastAsia" w:ascii="宋体" w:hAnsi="宋体" w:eastAsia="宋体" w:cs="宋体"/>
          <w:b w:val="0"/>
          <w:bCs w:val="0"/>
          <w:kern w:val="2"/>
          <w:sz w:val="24"/>
          <w:szCs w:val="24"/>
          <w:lang w:val="en-US" w:eastAsia="zh-CN" w:bidi="ar"/>
        </w:rPr>
        <w:t>RCEP政策运用与东盟市场开拓；</w:t>
      </w:r>
      <w:r>
        <w:rPr>
          <w:rFonts w:hint="eastAsia" w:ascii="宋体" w:hAnsi="宋体" w:eastAsia="宋体" w:cs="宋体"/>
          <w:sz w:val="24"/>
          <w:szCs w:val="24"/>
          <w:lang w:val="en-US" w:eastAsia="zh-CN" w:bidi="ar"/>
        </w:rPr>
        <w:t>（8）</w:t>
      </w:r>
      <w:r>
        <w:rPr>
          <w:rFonts w:hint="eastAsia" w:ascii="宋体" w:hAnsi="宋体" w:eastAsia="宋体" w:cs="宋体"/>
          <w:sz w:val="24"/>
          <w:szCs w:val="24"/>
          <w:lang w:eastAsia="zh-CN"/>
        </w:rPr>
        <w:t>全球产业链供应链演化趋势</w:t>
      </w:r>
      <w:r>
        <w:rPr>
          <w:rFonts w:hint="eastAsia" w:ascii="宋体" w:hAnsi="宋体" w:eastAsia="宋体" w:cs="宋体"/>
          <w:sz w:val="24"/>
          <w:szCs w:val="24"/>
          <w:lang w:val="en-US" w:eastAsia="zh-CN" w:bidi="ar"/>
        </w:rPr>
        <w:t>与</w:t>
      </w:r>
      <w:r>
        <w:rPr>
          <w:rFonts w:hint="eastAsia" w:ascii="宋体" w:hAnsi="宋体" w:eastAsia="宋体" w:cs="宋体"/>
          <w:sz w:val="24"/>
          <w:szCs w:val="24"/>
          <w:lang w:eastAsia="zh-CN" w:bidi="ar"/>
        </w:rPr>
        <w:t>国际合作；</w:t>
      </w:r>
      <w:r>
        <w:rPr>
          <w:rFonts w:hint="eastAsia" w:ascii="宋体" w:hAnsi="宋体" w:eastAsia="宋体" w:cs="宋体"/>
          <w:sz w:val="24"/>
          <w:szCs w:val="24"/>
          <w:lang w:val="en-US" w:eastAsia="zh-CN" w:bidi="ar"/>
        </w:rPr>
        <w:t>（</w:t>
      </w:r>
      <w:r>
        <w:rPr>
          <w:rFonts w:hint="eastAsia" w:ascii="宋体" w:hAnsi="宋体" w:eastAsia="宋体" w:cs="宋体"/>
          <w:b w:val="0"/>
          <w:bCs w:val="0"/>
          <w:kern w:val="2"/>
          <w:sz w:val="24"/>
          <w:szCs w:val="24"/>
          <w:lang w:val="en-US" w:eastAsia="zh-CN" w:bidi="ar"/>
        </w:rPr>
        <w:t>9）开展“外综服平台服务地方”系列活动；（10）海关AEO认证与企业申请；（12）APEC商务旅行卡办理介绍；（11）汇率风险管理与金融工具的应用；（12）海外参展模式与企业出海布局服务指引。</w:t>
      </w:r>
    </w:p>
    <w:p w14:paraId="60E93D8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bCs/>
          <w:sz w:val="24"/>
          <w:szCs w:val="24"/>
          <w:lang w:bidi="ar"/>
        </w:rPr>
        <w:t>师资安排：</w:t>
      </w:r>
      <w:r>
        <w:rPr>
          <w:rFonts w:hint="eastAsia" w:ascii="宋体" w:hAnsi="宋体" w:eastAsia="宋体" w:cs="宋体"/>
          <w:sz w:val="24"/>
          <w:szCs w:val="24"/>
          <w:lang w:eastAsia="zh-CN" w:bidi="ar"/>
        </w:rPr>
        <w:t>邀请</w:t>
      </w:r>
      <w:r>
        <w:rPr>
          <w:rFonts w:hint="eastAsia" w:ascii="宋体" w:hAnsi="宋体" w:eastAsia="宋体" w:cs="宋体"/>
          <w:sz w:val="24"/>
          <w:szCs w:val="24"/>
          <w:lang w:val="en-US" w:eastAsia="zh-CN" w:bidi="ar"/>
        </w:rPr>
        <w:t>长三角</w:t>
      </w:r>
      <w:r>
        <w:rPr>
          <w:rFonts w:hint="eastAsia" w:ascii="宋体" w:hAnsi="宋体" w:eastAsia="宋体" w:cs="宋体"/>
          <w:bCs/>
          <w:color w:val="000000"/>
          <w:sz w:val="24"/>
          <w:szCs w:val="24"/>
        </w:rPr>
        <w:t>外贸领域</w:t>
      </w:r>
      <w:r>
        <w:rPr>
          <w:rFonts w:hint="eastAsia" w:ascii="宋体" w:hAnsi="宋体" w:eastAsia="宋体" w:cs="宋体"/>
          <w:bCs/>
          <w:color w:val="000000"/>
          <w:sz w:val="24"/>
          <w:szCs w:val="24"/>
          <w:lang w:eastAsia="zh-CN"/>
        </w:rPr>
        <w:t>、高等院校</w:t>
      </w:r>
      <w:r>
        <w:rPr>
          <w:rFonts w:hint="eastAsia" w:ascii="宋体" w:hAnsi="宋体" w:eastAsia="宋体" w:cs="宋体"/>
          <w:bCs/>
          <w:color w:val="000000"/>
          <w:sz w:val="24"/>
          <w:szCs w:val="24"/>
          <w:lang w:val="en-US" w:eastAsia="zh-CN"/>
        </w:rPr>
        <w:t>和金融机构</w:t>
      </w:r>
      <w:r>
        <w:rPr>
          <w:rFonts w:hint="eastAsia" w:ascii="宋体" w:hAnsi="宋体" w:eastAsia="宋体" w:cs="宋体"/>
          <w:bCs/>
          <w:color w:val="000000"/>
          <w:sz w:val="24"/>
          <w:szCs w:val="24"/>
        </w:rPr>
        <w:t>相关</w:t>
      </w:r>
      <w:r>
        <w:rPr>
          <w:rFonts w:hint="eastAsia" w:ascii="宋体" w:hAnsi="宋体" w:eastAsia="宋体" w:cs="宋体"/>
          <w:bCs/>
          <w:color w:val="000000"/>
          <w:sz w:val="24"/>
          <w:szCs w:val="24"/>
          <w:lang w:eastAsia="zh-CN"/>
        </w:rPr>
        <w:t>领导、</w:t>
      </w:r>
      <w:r>
        <w:rPr>
          <w:rFonts w:hint="eastAsia" w:ascii="宋体" w:hAnsi="宋体" w:eastAsia="宋体" w:cs="宋体"/>
          <w:bCs/>
          <w:color w:val="000000"/>
          <w:sz w:val="24"/>
          <w:szCs w:val="24"/>
        </w:rPr>
        <w:t>专家</w:t>
      </w:r>
      <w:r>
        <w:rPr>
          <w:rFonts w:hint="eastAsia" w:ascii="宋体" w:hAnsi="宋体" w:eastAsia="宋体" w:cs="宋体"/>
          <w:bCs/>
          <w:color w:val="000000"/>
          <w:sz w:val="24"/>
          <w:szCs w:val="24"/>
          <w:lang w:eastAsia="zh-CN"/>
        </w:rPr>
        <w:t>学者，以及</w:t>
      </w:r>
      <w:r>
        <w:rPr>
          <w:rFonts w:hint="eastAsia" w:ascii="宋体" w:hAnsi="宋体" w:eastAsia="宋体" w:cs="宋体"/>
          <w:bCs/>
          <w:color w:val="000000"/>
          <w:sz w:val="24"/>
          <w:szCs w:val="24"/>
        </w:rPr>
        <w:t>外贸</w:t>
      </w:r>
      <w:r>
        <w:rPr>
          <w:rFonts w:hint="eastAsia" w:ascii="宋体" w:hAnsi="宋体" w:eastAsia="宋体" w:cs="宋体"/>
          <w:bCs/>
          <w:color w:val="000000"/>
          <w:sz w:val="24"/>
          <w:szCs w:val="24"/>
          <w:lang w:eastAsia="zh-CN"/>
        </w:rPr>
        <w:t>综合服务</w:t>
      </w:r>
      <w:r>
        <w:rPr>
          <w:rFonts w:hint="eastAsia" w:ascii="宋体" w:hAnsi="宋体" w:eastAsia="宋体" w:cs="宋体"/>
          <w:bCs/>
          <w:color w:val="000000"/>
          <w:sz w:val="24"/>
          <w:szCs w:val="24"/>
        </w:rPr>
        <w:t>平台</w:t>
      </w:r>
      <w:r>
        <w:rPr>
          <w:rFonts w:hint="eastAsia" w:ascii="宋体" w:hAnsi="宋体" w:eastAsia="宋体" w:cs="宋体"/>
          <w:bCs/>
          <w:color w:val="000000"/>
          <w:sz w:val="24"/>
          <w:szCs w:val="24"/>
          <w:lang w:eastAsia="zh-CN"/>
        </w:rPr>
        <w:t>、大型</w:t>
      </w:r>
      <w:r>
        <w:rPr>
          <w:rFonts w:hint="eastAsia" w:ascii="宋体" w:hAnsi="宋体" w:eastAsia="宋体" w:cs="宋体"/>
          <w:bCs/>
          <w:color w:val="000000"/>
          <w:sz w:val="24"/>
          <w:szCs w:val="24"/>
        </w:rPr>
        <w:t>企业</w:t>
      </w:r>
      <w:r>
        <w:rPr>
          <w:rFonts w:hint="eastAsia" w:ascii="宋体" w:hAnsi="宋体" w:eastAsia="宋体" w:cs="宋体"/>
          <w:bCs/>
          <w:color w:val="000000"/>
          <w:sz w:val="24"/>
          <w:szCs w:val="24"/>
          <w:lang w:eastAsia="zh-CN"/>
        </w:rPr>
        <w:t>与知名展览公司</w:t>
      </w:r>
      <w:r>
        <w:rPr>
          <w:rFonts w:hint="eastAsia" w:ascii="宋体" w:hAnsi="宋体" w:eastAsia="宋体" w:cs="宋体"/>
          <w:bCs/>
          <w:color w:val="000000"/>
          <w:sz w:val="24"/>
          <w:szCs w:val="24"/>
        </w:rPr>
        <w:t>负责人</w:t>
      </w:r>
      <w:r>
        <w:rPr>
          <w:rFonts w:hint="eastAsia" w:ascii="宋体" w:hAnsi="宋体" w:eastAsia="宋体" w:cs="宋体"/>
          <w:bCs/>
          <w:color w:val="000000"/>
          <w:sz w:val="24"/>
          <w:szCs w:val="24"/>
          <w:lang w:eastAsia="zh-CN"/>
        </w:rPr>
        <w:t>等</w:t>
      </w:r>
      <w:r>
        <w:rPr>
          <w:rFonts w:hint="eastAsia" w:ascii="宋体" w:hAnsi="宋体" w:eastAsia="宋体" w:cs="宋体"/>
          <w:bCs/>
          <w:color w:val="000000"/>
          <w:sz w:val="24"/>
          <w:szCs w:val="24"/>
        </w:rPr>
        <w:t>授课。</w:t>
      </w:r>
    </w:p>
    <w:p w14:paraId="67A3E5DA">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4.“一带一路”等新兴市场开拓专题培训班。</w:t>
      </w:r>
      <w:r>
        <w:rPr>
          <w:rFonts w:hint="eastAsia" w:ascii="宋体" w:hAnsi="宋体" w:eastAsia="宋体" w:cs="宋体"/>
          <w:sz w:val="24"/>
          <w:szCs w:val="24"/>
          <w:lang w:bidi="ar"/>
        </w:rPr>
        <w:t>拟安排</w:t>
      </w:r>
      <w:r>
        <w:rPr>
          <w:rFonts w:hint="eastAsia" w:ascii="宋体" w:hAnsi="宋体" w:eastAsia="宋体" w:cs="宋体"/>
          <w:sz w:val="24"/>
          <w:szCs w:val="24"/>
          <w:lang w:val="en-US" w:eastAsia="zh-CN" w:bidi="ar"/>
        </w:rPr>
        <w:t>2期</w:t>
      </w:r>
      <w:r>
        <w:rPr>
          <w:rFonts w:hint="eastAsia" w:ascii="宋体" w:hAnsi="宋体" w:eastAsia="宋体" w:cs="宋体"/>
          <w:sz w:val="24"/>
          <w:szCs w:val="24"/>
          <w:lang w:bidi="ar"/>
        </w:rPr>
        <w:t>，地点</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六安、</w:t>
      </w:r>
      <w:r>
        <w:rPr>
          <w:rFonts w:hint="eastAsia" w:ascii="宋体" w:hAnsi="宋体" w:eastAsia="宋体" w:cs="宋体"/>
          <w:bCs/>
          <w:color w:val="000000"/>
          <w:sz w:val="24"/>
          <w:szCs w:val="24"/>
          <w:lang w:val="en-US" w:eastAsia="zh-CN"/>
        </w:rPr>
        <w:t>宿州（淮北）</w:t>
      </w: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每期</w:t>
      </w:r>
      <w:r>
        <w:rPr>
          <w:rFonts w:hint="eastAsia" w:ascii="宋体" w:hAnsi="宋体" w:eastAsia="宋体" w:cs="宋体"/>
          <w:bCs/>
          <w:color w:val="000000"/>
          <w:sz w:val="24"/>
          <w:szCs w:val="24"/>
        </w:rPr>
        <w:t>培训时间2.5天</w:t>
      </w:r>
      <w:r>
        <w:rPr>
          <w:rFonts w:hint="eastAsia" w:ascii="宋体" w:hAnsi="宋体" w:eastAsia="宋体" w:cs="宋体"/>
          <w:sz w:val="24"/>
          <w:szCs w:val="24"/>
        </w:rPr>
        <w:t>（第1天上午报到，第3天午餐后结束）；培训企业数不少于120家、人数不少于140人。合计培训企业</w:t>
      </w:r>
      <w:r>
        <w:rPr>
          <w:rFonts w:hint="eastAsia" w:ascii="宋体" w:hAnsi="宋体" w:eastAsia="宋体" w:cs="宋体"/>
          <w:bCs/>
          <w:color w:val="000000"/>
          <w:sz w:val="24"/>
          <w:szCs w:val="24"/>
        </w:rPr>
        <w:t>数</w:t>
      </w:r>
      <w:r>
        <w:rPr>
          <w:rFonts w:hint="eastAsia" w:ascii="宋体" w:hAnsi="宋体" w:eastAsia="宋体" w:cs="宋体"/>
          <w:bCs/>
          <w:color w:val="000000"/>
          <w:sz w:val="24"/>
          <w:szCs w:val="24"/>
          <w:lang w:eastAsia="zh-CN"/>
        </w:rPr>
        <w:t>不少于</w:t>
      </w:r>
      <w:r>
        <w:rPr>
          <w:rFonts w:hint="eastAsia" w:ascii="宋体" w:hAnsi="宋体" w:eastAsia="宋体" w:cs="宋体"/>
          <w:bCs/>
          <w:color w:val="000000"/>
          <w:sz w:val="24"/>
          <w:szCs w:val="24"/>
          <w:lang w:val="en-US" w:eastAsia="zh-CN"/>
        </w:rPr>
        <w:t>240</w:t>
      </w:r>
      <w:r>
        <w:rPr>
          <w:rFonts w:hint="eastAsia" w:ascii="宋体" w:hAnsi="宋体" w:eastAsia="宋体" w:cs="宋体"/>
          <w:bCs/>
          <w:color w:val="000000"/>
          <w:sz w:val="24"/>
          <w:szCs w:val="24"/>
        </w:rPr>
        <w:t>家、人数</w:t>
      </w:r>
      <w:r>
        <w:rPr>
          <w:rFonts w:hint="eastAsia" w:ascii="宋体" w:hAnsi="宋体" w:eastAsia="宋体" w:cs="宋体"/>
          <w:bCs/>
          <w:color w:val="000000"/>
          <w:sz w:val="24"/>
          <w:szCs w:val="24"/>
          <w:lang w:eastAsia="zh-CN"/>
        </w:rPr>
        <w:t>不少于</w:t>
      </w:r>
      <w:r>
        <w:rPr>
          <w:rFonts w:hint="eastAsia" w:ascii="宋体" w:hAnsi="宋体" w:eastAsia="宋体" w:cs="宋体"/>
          <w:bCs/>
          <w:color w:val="000000"/>
          <w:sz w:val="24"/>
          <w:szCs w:val="24"/>
          <w:lang w:val="en-US" w:eastAsia="zh-CN"/>
        </w:rPr>
        <w:t>280</w:t>
      </w:r>
      <w:r>
        <w:rPr>
          <w:rFonts w:hint="eastAsia" w:ascii="宋体" w:hAnsi="宋体" w:eastAsia="宋体" w:cs="宋体"/>
          <w:bCs/>
          <w:color w:val="000000"/>
          <w:sz w:val="24"/>
          <w:szCs w:val="24"/>
        </w:rPr>
        <w:t>人。</w:t>
      </w:r>
    </w:p>
    <w:p w14:paraId="6959305E">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sz w:val="24"/>
          <w:szCs w:val="24"/>
          <w:lang w:val="en-US" w:eastAsia="zh-CN" w:bidi="ar"/>
        </w:rPr>
      </w:pPr>
      <w:r>
        <w:rPr>
          <w:rFonts w:hint="eastAsia" w:ascii="宋体" w:hAnsi="宋体" w:eastAsia="宋体" w:cs="宋体"/>
          <w:b/>
          <w:bCs/>
          <w:sz w:val="24"/>
          <w:szCs w:val="24"/>
        </w:rPr>
        <w:t>培训对象：</w:t>
      </w:r>
      <w:r>
        <w:rPr>
          <w:rFonts w:hint="eastAsia" w:ascii="宋体" w:hAnsi="宋体" w:eastAsia="宋体" w:cs="宋体"/>
          <w:sz w:val="24"/>
          <w:szCs w:val="24"/>
        </w:rPr>
        <w:t>（1）</w:t>
      </w:r>
      <w:r>
        <w:rPr>
          <w:rFonts w:hint="eastAsia" w:ascii="宋体" w:hAnsi="宋体" w:eastAsia="宋体" w:cs="宋体"/>
          <w:sz w:val="24"/>
          <w:szCs w:val="24"/>
          <w:lang w:bidi="ar"/>
        </w:rPr>
        <w:t>我省有意开拓“一带一路”市场的进出口企业；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bidi="ar"/>
        </w:rPr>
        <w:t>已进行海关备案登记尚未发生外贸实绩的企业；（3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有进出口潜力和意愿的其他企业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bidi="ar"/>
        </w:rPr>
        <w:t>市、县（市、区）商务部门外贸工作人员。</w:t>
      </w:r>
    </w:p>
    <w:p w14:paraId="669261C8">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sz w:val="24"/>
          <w:szCs w:val="24"/>
          <w:lang w:val="en-US" w:eastAsia="zh-CN" w:bidi="ar"/>
        </w:rPr>
      </w:pPr>
      <w:r>
        <w:rPr>
          <w:rFonts w:hint="eastAsia" w:ascii="宋体" w:hAnsi="宋体" w:eastAsia="宋体" w:cs="宋体"/>
          <w:b/>
          <w:bCs/>
          <w:sz w:val="24"/>
          <w:szCs w:val="24"/>
        </w:rPr>
        <w:t>培训内容：</w:t>
      </w:r>
      <w:r>
        <w:rPr>
          <w:rFonts w:hint="eastAsia" w:ascii="宋体" w:hAnsi="宋体" w:eastAsia="宋体" w:cs="宋体"/>
          <w:kern w:val="2"/>
          <w:sz w:val="24"/>
          <w:szCs w:val="24"/>
          <w:lang w:val="en-US" w:eastAsia="zh-CN" w:bidi="ar"/>
        </w:rPr>
        <w:t>（1）</w:t>
      </w:r>
      <w:r>
        <w:rPr>
          <w:rFonts w:hint="eastAsia" w:ascii="宋体" w:hAnsi="宋体" w:eastAsia="宋体" w:cs="宋体"/>
          <w:sz w:val="24"/>
          <w:szCs w:val="24"/>
          <w:lang w:eastAsia="zh-CN" w:bidi="ar"/>
        </w:rPr>
        <w:t>2025年</w:t>
      </w:r>
      <w:r>
        <w:rPr>
          <w:rFonts w:hint="eastAsia" w:ascii="宋体" w:hAnsi="宋体" w:eastAsia="宋体" w:cs="宋体"/>
          <w:sz w:val="24"/>
          <w:szCs w:val="24"/>
          <w:lang w:val="en-US" w:eastAsia="zh-CN" w:bidi="ar"/>
        </w:rPr>
        <w:t>外贸形势</w:t>
      </w:r>
      <w:r>
        <w:rPr>
          <w:rFonts w:hint="eastAsia" w:ascii="宋体" w:hAnsi="宋体" w:eastAsia="宋体" w:cs="宋体"/>
          <w:sz w:val="24"/>
          <w:szCs w:val="24"/>
          <w:lang w:eastAsia="zh-CN" w:bidi="ar"/>
        </w:rPr>
        <w:t>分析与预测</w:t>
      </w:r>
      <w:r>
        <w:rPr>
          <w:rFonts w:hint="eastAsia" w:ascii="宋体" w:hAnsi="宋体" w:eastAsia="宋体" w:cs="宋体"/>
          <w:sz w:val="24"/>
          <w:szCs w:val="24"/>
          <w:lang w:val="en-US" w:eastAsia="zh-CN" w:bidi="ar"/>
        </w:rPr>
        <w:t>；（2）贸易壁垒对全球经济的影响与应对策略；（3）</w:t>
      </w:r>
      <w:r>
        <w:rPr>
          <w:rFonts w:hint="eastAsia" w:ascii="宋体" w:hAnsi="宋体" w:eastAsia="宋体" w:cs="宋体"/>
          <w:b w:val="0"/>
          <w:bCs w:val="0"/>
          <w:kern w:val="2"/>
          <w:sz w:val="24"/>
          <w:szCs w:val="24"/>
          <w:lang w:val="en-US" w:eastAsia="zh-CN" w:bidi="ar"/>
        </w:rPr>
        <w:t>数智化技术赋能企业新出海</w:t>
      </w:r>
      <w:r>
        <w:rPr>
          <w:rFonts w:hint="eastAsia" w:ascii="宋体" w:hAnsi="宋体" w:eastAsia="宋体" w:cs="宋体"/>
          <w:sz w:val="24"/>
          <w:szCs w:val="24"/>
          <w:lang w:val="en-US" w:eastAsia="zh-CN" w:bidi="ar"/>
        </w:rPr>
        <w:t>；（4）</w:t>
      </w:r>
      <w:r>
        <w:rPr>
          <w:rFonts w:hint="eastAsia" w:ascii="宋体" w:hAnsi="宋体" w:eastAsia="宋体" w:cs="宋体"/>
          <w:sz w:val="24"/>
          <w:szCs w:val="24"/>
          <w:lang w:eastAsia="zh-CN" w:bidi="ar"/>
        </w:rPr>
        <w:t>“一带一路”</w:t>
      </w:r>
      <w:r>
        <w:rPr>
          <w:rFonts w:hint="eastAsia" w:ascii="宋体" w:hAnsi="宋体" w:eastAsia="宋体" w:cs="宋体"/>
          <w:sz w:val="24"/>
          <w:szCs w:val="24"/>
          <w:lang w:val="en-US" w:eastAsia="zh-CN" w:bidi="ar"/>
        </w:rPr>
        <w:t>经贸合作</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5</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非洲和中东市场分析；（6）俄罗斯和中亚市场分析；（7）东盟和日韩市场分析；（8）拉美市场分析；（9）</w:t>
      </w:r>
      <w:r>
        <w:rPr>
          <w:rFonts w:hint="eastAsia" w:ascii="宋体" w:hAnsi="宋体" w:eastAsia="宋体" w:cs="宋体"/>
          <w:b w:val="0"/>
          <w:bCs w:val="0"/>
          <w:kern w:val="2"/>
          <w:sz w:val="24"/>
          <w:szCs w:val="24"/>
          <w:lang w:val="en-US" w:eastAsia="zh-CN" w:bidi="ar"/>
        </w:rPr>
        <w:t>贸易绿色化和数字化转型；</w:t>
      </w:r>
      <w:r>
        <w:rPr>
          <w:rFonts w:hint="eastAsia" w:ascii="宋体" w:hAnsi="宋体" w:eastAsia="宋体" w:cs="宋体"/>
          <w:sz w:val="24"/>
          <w:szCs w:val="24"/>
          <w:lang w:val="en-US" w:eastAsia="zh-CN" w:bidi="ar"/>
        </w:rPr>
        <w:t>（10）</w:t>
      </w:r>
      <w:r>
        <w:rPr>
          <w:rFonts w:hint="eastAsia" w:ascii="宋体" w:hAnsi="宋体" w:eastAsia="宋体" w:cs="宋体"/>
          <w:b w:val="0"/>
          <w:bCs w:val="0"/>
          <w:kern w:val="2"/>
          <w:sz w:val="24"/>
          <w:szCs w:val="24"/>
          <w:lang w:val="en-US" w:eastAsia="zh-CN" w:bidi="ar"/>
        </w:rPr>
        <w:t>开展“外综服平台服务地方”系列活动；（11）APEC商务旅行卡办理介绍；（12）汇率风险管理与金融工具的应用；（13）新形势下的海外参展模式与企业出海布局服务指引。</w:t>
      </w:r>
    </w:p>
    <w:p w14:paraId="00610C10">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b/>
          <w:bCs/>
          <w:sz w:val="24"/>
          <w:szCs w:val="24"/>
        </w:rPr>
        <w:t>师资安排：</w:t>
      </w:r>
      <w:r>
        <w:rPr>
          <w:rFonts w:hint="eastAsia" w:ascii="宋体" w:hAnsi="宋体" w:eastAsia="宋体" w:cs="宋体"/>
          <w:bCs/>
          <w:color w:val="000000"/>
          <w:sz w:val="24"/>
          <w:szCs w:val="24"/>
        </w:rPr>
        <w:t>邀请国</w:t>
      </w:r>
      <w:r>
        <w:rPr>
          <w:rFonts w:hint="eastAsia" w:ascii="宋体" w:hAnsi="宋体" w:eastAsia="宋体" w:cs="宋体"/>
          <w:bCs/>
          <w:color w:val="000000"/>
          <w:sz w:val="24"/>
          <w:szCs w:val="24"/>
          <w:lang w:eastAsia="zh-CN"/>
        </w:rPr>
        <w:t>家</w:t>
      </w:r>
      <w:r>
        <w:rPr>
          <w:rFonts w:hint="eastAsia" w:ascii="宋体" w:hAnsi="宋体" w:eastAsia="宋体" w:cs="宋体"/>
          <w:bCs/>
          <w:color w:val="000000"/>
          <w:sz w:val="24"/>
          <w:szCs w:val="24"/>
        </w:rPr>
        <w:t>部委</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国家相关</w:t>
      </w:r>
      <w:r>
        <w:rPr>
          <w:rFonts w:hint="eastAsia" w:ascii="宋体" w:hAnsi="宋体" w:eastAsia="宋体" w:cs="宋体"/>
          <w:bCs/>
          <w:color w:val="000000"/>
          <w:sz w:val="24"/>
          <w:szCs w:val="24"/>
          <w:lang w:eastAsia="zh-CN"/>
        </w:rPr>
        <w:t>商协会、</w:t>
      </w:r>
      <w:r>
        <w:rPr>
          <w:rFonts w:hint="eastAsia" w:ascii="宋体" w:hAnsi="宋体" w:eastAsia="宋体" w:cs="宋体"/>
          <w:bCs/>
          <w:color w:val="000000"/>
          <w:sz w:val="24"/>
          <w:szCs w:val="24"/>
          <w:lang w:val="en-US" w:eastAsia="zh-CN"/>
        </w:rPr>
        <w:t>长三角</w:t>
      </w:r>
      <w:r>
        <w:rPr>
          <w:rFonts w:hint="eastAsia" w:ascii="宋体" w:hAnsi="宋体" w:eastAsia="宋体" w:cs="宋体"/>
          <w:bCs/>
          <w:color w:val="000000"/>
          <w:sz w:val="24"/>
          <w:szCs w:val="24"/>
        </w:rPr>
        <w:t>外贸领域</w:t>
      </w:r>
      <w:r>
        <w:rPr>
          <w:rFonts w:hint="eastAsia" w:ascii="宋体" w:hAnsi="宋体" w:eastAsia="宋体" w:cs="宋体"/>
          <w:bCs/>
          <w:color w:val="000000"/>
          <w:sz w:val="24"/>
          <w:szCs w:val="24"/>
          <w:lang w:eastAsia="zh-CN"/>
        </w:rPr>
        <w:t>、知名高校</w:t>
      </w:r>
      <w:r>
        <w:rPr>
          <w:rFonts w:hint="eastAsia" w:ascii="宋体" w:hAnsi="宋体" w:eastAsia="宋体" w:cs="宋体"/>
          <w:bCs/>
          <w:color w:val="000000"/>
          <w:sz w:val="24"/>
          <w:szCs w:val="24"/>
          <w:lang w:val="en-US" w:eastAsia="zh-CN"/>
        </w:rPr>
        <w:t>和金融机构</w:t>
      </w:r>
      <w:r>
        <w:rPr>
          <w:rFonts w:hint="eastAsia" w:ascii="宋体" w:hAnsi="宋体" w:eastAsia="宋体" w:cs="宋体"/>
          <w:bCs/>
          <w:color w:val="000000"/>
          <w:sz w:val="24"/>
          <w:szCs w:val="24"/>
        </w:rPr>
        <w:t>相关</w:t>
      </w:r>
      <w:r>
        <w:rPr>
          <w:rFonts w:hint="eastAsia" w:ascii="宋体" w:hAnsi="宋体" w:eastAsia="宋体" w:cs="宋体"/>
          <w:bCs/>
          <w:color w:val="000000"/>
          <w:sz w:val="24"/>
          <w:szCs w:val="24"/>
          <w:lang w:val="en-US" w:eastAsia="zh-CN"/>
        </w:rPr>
        <w:t>领导、</w:t>
      </w:r>
      <w:r>
        <w:rPr>
          <w:rFonts w:hint="eastAsia" w:ascii="宋体" w:hAnsi="宋体" w:eastAsia="宋体" w:cs="宋体"/>
          <w:bCs/>
          <w:color w:val="000000"/>
          <w:sz w:val="24"/>
          <w:szCs w:val="24"/>
        </w:rPr>
        <w:t>专家学者</w:t>
      </w:r>
      <w:r>
        <w:rPr>
          <w:rFonts w:hint="eastAsia" w:ascii="宋体" w:hAnsi="宋体" w:eastAsia="宋体" w:cs="宋体"/>
          <w:bCs/>
          <w:color w:val="000000"/>
          <w:sz w:val="24"/>
          <w:szCs w:val="24"/>
          <w:lang w:eastAsia="zh-CN"/>
        </w:rPr>
        <w:t>，以及</w:t>
      </w:r>
      <w:r>
        <w:rPr>
          <w:rFonts w:hint="eastAsia" w:ascii="宋体" w:hAnsi="宋体" w:eastAsia="宋体" w:cs="宋体"/>
          <w:bCs/>
          <w:color w:val="000000"/>
          <w:sz w:val="24"/>
          <w:szCs w:val="24"/>
        </w:rPr>
        <w:t>外贸平台</w:t>
      </w:r>
      <w:r>
        <w:rPr>
          <w:rFonts w:hint="eastAsia" w:ascii="宋体" w:hAnsi="宋体" w:eastAsia="宋体" w:cs="宋体"/>
          <w:bCs/>
          <w:color w:val="000000"/>
          <w:sz w:val="24"/>
          <w:szCs w:val="24"/>
          <w:lang w:val="en-US" w:eastAsia="zh-CN"/>
        </w:rPr>
        <w:t>和</w:t>
      </w:r>
      <w:r>
        <w:rPr>
          <w:rFonts w:hint="eastAsia" w:ascii="宋体" w:hAnsi="宋体" w:eastAsia="宋体" w:cs="宋体"/>
          <w:bCs/>
          <w:color w:val="000000"/>
          <w:sz w:val="24"/>
          <w:szCs w:val="24"/>
          <w:lang w:eastAsia="zh-CN"/>
        </w:rPr>
        <w:t>大型</w:t>
      </w:r>
      <w:r>
        <w:rPr>
          <w:rFonts w:hint="eastAsia" w:ascii="宋体" w:hAnsi="宋体" w:eastAsia="宋体" w:cs="宋体"/>
          <w:bCs/>
          <w:color w:val="000000"/>
          <w:sz w:val="24"/>
          <w:szCs w:val="24"/>
        </w:rPr>
        <w:t>企业</w:t>
      </w:r>
      <w:r>
        <w:rPr>
          <w:rFonts w:hint="eastAsia" w:ascii="宋体" w:hAnsi="宋体" w:eastAsia="宋体" w:cs="宋体"/>
          <w:bCs/>
          <w:color w:val="000000"/>
          <w:sz w:val="24"/>
          <w:szCs w:val="24"/>
          <w:lang w:eastAsia="zh-CN"/>
        </w:rPr>
        <w:t>集团</w:t>
      </w:r>
      <w:r>
        <w:rPr>
          <w:rFonts w:hint="eastAsia" w:ascii="宋体" w:hAnsi="宋体" w:eastAsia="宋体" w:cs="宋体"/>
          <w:bCs/>
          <w:color w:val="000000"/>
          <w:sz w:val="24"/>
          <w:szCs w:val="24"/>
        </w:rPr>
        <w:t>负责人</w:t>
      </w:r>
      <w:r>
        <w:rPr>
          <w:rFonts w:hint="eastAsia" w:ascii="宋体" w:hAnsi="宋体" w:eastAsia="宋体" w:cs="宋体"/>
          <w:bCs/>
          <w:color w:val="000000"/>
          <w:sz w:val="24"/>
          <w:szCs w:val="24"/>
          <w:lang w:eastAsia="zh-CN"/>
        </w:rPr>
        <w:t>等</w:t>
      </w:r>
      <w:r>
        <w:rPr>
          <w:rFonts w:hint="eastAsia" w:ascii="宋体" w:hAnsi="宋体" w:eastAsia="宋体" w:cs="宋体"/>
          <w:bCs/>
          <w:color w:val="000000"/>
          <w:sz w:val="24"/>
          <w:szCs w:val="24"/>
        </w:rPr>
        <w:t>授课。</w:t>
      </w:r>
    </w:p>
    <w:p w14:paraId="1B8171DD">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eastAsia="zh-CN"/>
        </w:rPr>
      </w:pPr>
      <w:r>
        <w:rPr>
          <w:rFonts w:hint="eastAsia" w:ascii="宋体" w:hAnsi="宋体" w:eastAsia="宋体" w:cs="宋体"/>
          <w:b/>
          <w:bCs/>
          <w:color w:val="000000"/>
          <w:kern w:val="0"/>
          <w:sz w:val="24"/>
          <w:szCs w:val="24"/>
          <w:lang w:val="en-US" w:eastAsia="zh-CN" w:bidi="ar"/>
        </w:rPr>
        <w:t>5.企业国际化经营合规与风险防范专题培训班。</w:t>
      </w:r>
      <w:r>
        <w:rPr>
          <w:rFonts w:hint="eastAsia" w:ascii="宋体" w:hAnsi="宋体" w:eastAsia="宋体" w:cs="宋体"/>
          <w:b w:val="0"/>
          <w:bCs w:val="0"/>
          <w:kern w:val="2"/>
          <w:sz w:val="24"/>
          <w:szCs w:val="24"/>
          <w:lang w:val="en-US" w:eastAsia="zh-CN" w:bidi="ar"/>
        </w:rPr>
        <w:t>拟安排1期，地点：合肥市，</w:t>
      </w:r>
      <w:r>
        <w:rPr>
          <w:rFonts w:hint="eastAsia" w:ascii="宋体" w:hAnsi="宋体" w:eastAsia="宋体" w:cs="宋体"/>
          <w:bCs/>
          <w:color w:val="000000"/>
          <w:sz w:val="24"/>
          <w:szCs w:val="24"/>
        </w:rPr>
        <w:t>培训时间2.5天</w:t>
      </w:r>
      <w:r>
        <w:rPr>
          <w:rFonts w:hint="eastAsia" w:ascii="宋体" w:hAnsi="宋体" w:eastAsia="宋体" w:cs="宋体"/>
          <w:sz w:val="24"/>
          <w:szCs w:val="24"/>
        </w:rPr>
        <w:t>（第</w:t>
      </w:r>
      <w:r>
        <w:rPr>
          <w:rFonts w:hint="eastAsia" w:ascii="宋体" w:hAnsi="宋体" w:eastAsia="宋体" w:cs="宋体"/>
          <w:sz w:val="24"/>
          <w:szCs w:val="24"/>
          <w:lang w:val="en-US" w:eastAsia="zh-CN"/>
        </w:rPr>
        <w:t>1</w:t>
      </w:r>
      <w:r>
        <w:rPr>
          <w:rFonts w:hint="eastAsia" w:ascii="宋体" w:hAnsi="宋体" w:eastAsia="宋体" w:cs="宋体"/>
          <w:sz w:val="24"/>
          <w:szCs w:val="24"/>
        </w:rPr>
        <w:t>天上午报到，第3天午餐后结束）</w:t>
      </w:r>
      <w:r>
        <w:rPr>
          <w:rFonts w:hint="eastAsia" w:ascii="宋体" w:hAnsi="宋体" w:eastAsia="宋体" w:cs="宋体"/>
          <w:sz w:val="24"/>
          <w:szCs w:val="24"/>
          <w:lang w:eastAsia="zh-CN"/>
        </w:rPr>
        <w:t>；</w:t>
      </w:r>
      <w:r>
        <w:rPr>
          <w:rFonts w:hint="eastAsia" w:ascii="宋体" w:hAnsi="宋体" w:eastAsia="宋体" w:cs="宋体"/>
          <w:sz w:val="24"/>
          <w:szCs w:val="24"/>
        </w:rPr>
        <w:t>培训企业数</w:t>
      </w:r>
      <w:r>
        <w:rPr>
          <w:rFonts w:hint="eastAsia" w:ascii="宋体" w:hAnsi="宋体" w:eastAsia="宋体" w:cs="宋体"/>
          <w:sz w:val="24"/>
          <w:szCs w:val="24"/>
          <w:lang w:eastAsia="zh-CN"/>
        </w:rPr>
        <w:t>不少于</w:t>
      </w: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0家</w:t>
      </w:r>
      <w:r>
        <w:rPr>
          <w:rFonts w:hint="eastAsia" w:ascii="宋体" w:hAnsi="宋体" w:eastAsia="宋体" w:cs="宋体"/>
          <w:sz w:val="24"/>
          <w:szCs w:val="24"/>
          <w:lang w:eastAsia="zh-CN"/>
        </w:rPr>
        <w:t>、</w:t>
      </w:r>
      <w:r>
        <w:rPr>
          <w:rFonts w:hint="eastAsia" w:ascii="宋体" w:hAnsi="宋体" w:eastAsia="宋体" w:cs="宋体"/>
          <w:sz w:val="24"/>
          <w:szCs w:val="24"/>
        </w:rPr>
        <w:t>人数不</w:t>
      </w:r>
      <w:r>
        <w:rPr>
          <w:rFonts w:hint="eastAsia" w:ascii="宋体" w:hAnsi="宋体" w:eastAsia="宋体" w:cs="宋体"/>
          <w:sz w:val="24"/>
          <w:szCs w:val="24"/>
          <w:lang w:eastAsia="zh-CN"/>
        </w:rPr>
        <w:t>少于</w:t>
      </w: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0人</w:t>
      </w:r>
      <w:r>
        <w:rPr>
          <w:rFonts w:hint="eastAsia" w:ascii="宋体" w:hAnsi="宋体" w:eastAsia="宋体" w:cs="宋体"/>
          <w:sz w:val="24"/>
          <w:szCs w:val="24"/>
          <w:lang w:eastAsia="zh-CN"/>
        </w:rPr>
        <w:t>。</w:t>
      </w:r>
    </w:p>
    <w:p w14:paraId="5C534096">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sz w:val="24"/>
          <w:szCs w:val="24"/>
          <w:lang w:val="en-US" w:eastAsia="zh-CN" w:bidi="ar"/>
        </w:rPr>
      </w:pPr>
      <w:r>
        <w:rPr>
          <w:rFonts w:hint="eastAsia" w:ascii="宋体" w:hAnsi="宋体" w:eastAsia="宋体" w:cs="宋体"/>
          <w:b/>
          <w:bCs/>
          <w:sz w:val="24"/>
          <w:szCs w:val="24"/>
          <w:lang w:eastAsia="zh-CN"/>
        </w:rPr>
        <w:t>培训对象：</w:t>
      </w:r>
      <w:r>
        <w:rPr>
          <w:rFonts w:hint="eastAsia" w:ascii="宋体" w:hAnsi="宋体" w:eastAsia="宋体" w:cs="宋体"/>
          <w:sz w:val="24"/>
          <w:szCs w:val="24"/>
          <w:lang w:eastAsia="zh-CN"/>
        </w:rPr>
        <w:t>（1）</w:t>
      </w:r>
      <w:r>
        <w:rPr>
          <w:rFonts w:hint="eastAsia" w:ascii="宋体" w:hAnsi="宋体" w:eastAsia="宋体" w:cs="宋体"/>
          <w:sz w:val="24"/>
          <w:szCs w:val="24"/>
          <w:lang w:bidi="ar"/>
        </w:rPr>
        <w:t>我省</w:t>
      </w:r>
      <w:r>
        <w:rPr>
          <w:rFonts w:hint="eastAsia" w:ascii="宋体" w:hAnsi="宋体" w:eastAsia="宋体" w:cs="宋体"/>
          <w:sz w:val="24"/>
          <w:szCs w:val="24"/>
          <w:lang w:eastAsia="zh-CN" w:bidi="ar"/>
        </w:rPr>
        <w:t>进</w:t>
      </w:r>
      <w:r>
        <w:rPr>
          <w:rFonts w:hint="eastAsia" w:ascii="宋体" w:hAnsi="宋体" w:eastAsia="宋体" w:cs="宋体"/>
          <w:sz w:val="24"/>
          <w:szCs w:val="24"/>
          <w:lang w:bidi="ar"/>
        </w:rPr>
        <w:t>出口企业</w:t>
      </w:r>
      <w:r>
        <w:rPr>
          <w:rFonts w:hint="eastAsia" w:ascii="宋体" w:hAnsi="宋体" w:eastAsia="宋体" w:cs="宋体"/>
          <w:sz w:val="24"/>
          <w:szCs w:val="24"/>
          <w:lang w:eastAsia="zh-CN" w:bidi="ar"/>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bidi="ar"/>
        </w:rPr>
        <w:t>已进行海关备案登记尚未发生外贸实绩的企业；（3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有进出口潜力和意愿的其他企业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bidi="ar"/>
        </w:rPr>
        <w:t>市、县（市、区）商务部门外贸工作人员。</w:t>
      </w:r>
    </w:p>
    <w:p w14:paraId="620C678A">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sz w:val="24"/>
          <w:szCs w:val="24"/>
          <w:lang w:val="en-US" w:eastAsia="zh-CN" w:bidi="ar"/>
        </w:rPr>
      </w:pPr>
      <w:r>
        <w:rPr>
          <w:rFonts w:hint="eastAsia" w:ascii="宋体" w:hAnsi="宋体" w:eastAsia="宋体" w:cs="宋体"/>
          <w:b/>
          <w:bCs/>
          <w:sz w:val="24"/>
          <w:szCs w:val="24"/>
          <w:lang w:eastAsia="zh-CN"/>
        </w:rPr>
        <w:t>培训内容：</w:t>
      </w:r>
      <w:r>
        <w:rPr>
          <w:rFonts w:hint="eastAsia" w:ascii="宋体" w:hAnsi="宋体" w:eastAsia="宋体" w:cs="宋体"/>
          <w:kern w:val="2"/>
          <w:sz w:val="24"/>
          <w:szCs w:val="24"/>
          <w:lang w:val="en-US" w:eastAsia="zh-CN" w:bidi="ar"/>
        </w:rPr>
        <w:t>（1）</w:t>
      </w:r>
      <w:r>
        <w:rPr>
          <w:rFonts w:hint="eastAsia" w:ascii="宋体" w:hAnsi="宋体" w:eastAsia="宋体" w:cs="宋体"/>
          <w:sz w:val="24"/>
          <w:szCs w:val="24"/>
          <w:lang w:eastAsia="zh-CN" w:bidi="ar"/>
        </w:rPr>
        <w:t>2025年</w:t>
      </w:r>
      <w:r>
        <w:rPr>
          <w:rFonts w:hint="eastAsia" w:ascii="宋体" w:hAnsi="宋体" w:eastAsia="宋体" w:cs="宋体"/>
          <w:sz w:val="24"/>
          <w:szCs w:val="24"/>
          <w:lang w:val="en-US" w:eastAsia="zh-CN" w:bidi="ar"/>
        </w:rPr>
        <w:t>外贸形势</w:t>
      </w:r>
      <w:r>
        <w:rPr>
          <w:rFonts w:hint="eastAsia" w:ascii="宋体" w:hAnsi="宋体" w:eastAsia="宋体" w:cs="宋体"/>
          <w:sz w:val="24"/>
          <w:szCs w:val="24"/>
          <w:lang w:eastAsia="zh-CN" w:bidi="ar"/>
        </w:rPr>
        <w:t>分析与预测</w:t>
      </w:r>
      <w:r>
        <w:rPr>
          <w:rFonts w:hint="eastAsia" w:ascii="宋体" w:hAnsi="宋体" w:eastAsia="宋体" w:cs="宋体"/>
          <w:b w:val="0"/>
          <w:bCs w:val="0"/>
          <w:kern w:val="2"/>
          <w:sz w:val="24"/>
          <w:szCs w:val="24"/>
          <w:lang w:val="en-US" w:eastAsia="zh-CN" w:bidi="ar"/>
        </w:rPr>
        <w:t>；</w:t>
      </w:r>
      <w:r>
        <w:rPr>
          <w:rFonts w:hint="eastAsia" w:ascii="宋体" w:hAnsi="宋体" w:eastAsia="宋体" w:cs="宋体"/>
          <w:sz w:val="24"/>
          <w:szCs w:val="24"/>
          <w:lang w:val="en-US" w:eastAsia="zh-CN" w:bidi="ar"/>
        </w:rPr>
        <w:t>（2）解读《国务院关于进一步加强贸易政策合规工作的意见》（国办发﹝2025﹞12号）以及贸易政策合规（货物贸易、服务贸易、外商投资、知识产权、透明度等）；（3）美国的制裁手段及中国企业应对举措；（4）新形势下我国参与世贸组织工作的挑战与机遇；</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5</w:t>
      </w:r>
      <w:r>
        <w:rPr>
          <w:rFonts w:hint="eastAsia" w:ascii="宋体" w:hAnsi="宋体" w:eastAsia="宋体" w:cs="宋体"/>
          <w:sz w:val="24"/>
          <w:szCs w:val="24"/>
          <w:lang w:eastAsia="zh-CN" w:bidi="ar"/>
        </w:rPr>
        <w:t>）</w:t>
      </w:r>
      <w:r>
        <w:rPr>
          <w:rFonts w:hint="eastAsia" w:ascii="宋体" w:hAnsi="宋体" w:eastAsia="宋体" w:cs="宋体"/>
          <w:kern w:val="2"/>
          <w:sz w:val="24"/>
          <w:szCs w:val="24"/>
          <w:lang w:val="en-US" w:eastAsia="zh-CN" w:bidi="ar"/>
        </w:rPr>
        <w:t>“新三样”出口面临的形势；（</w:t>
      </w:r>
      <w:r>
        <w:rPr>
          <w:rFonts w:hint="eastAsia" w:ascii="宋体" w:hAnsi="宋体" w:eastAsia="宋体" w:cs="宋体"/>
          <w:sz w:val="24"/>
          <w:szCs w:val="24"/>
          <w:lang w:val="en-US" w:eastAsia="zh-CN" w:bidi="ar"/>
        </w:rPr>
        <w:t>6）出海企业合规体系建设（</w:t>
      </w:r>
      <w:r>
        <w:rPr>
          <w:rFonts w:hint="eastAsia" w:ascii="宋体" w:hAnsi="宋体" w:eastAsia="宋体" w:cs="宋体"/>
          <w:sz w:val="24"/>
          <w:szCs w:val="24"/>
        </w:rPr>
        <w:t>反倾销与反补贴</w:t>
      </w:r>
      <w:r>
        <w:rPr>
          <w:rFonts w:hint="eastAsia" w:ascii="宋体" w:hAnsi="宋体" w:eastAsia="宋体" w:cs="宋体"/>
          <w:sz w:val="24"/>
          <w:szCs w:val="24"/>
          <w:lang w:eastAsia="zh-CN"/>
        </w:rPr>
        <w:t>、</w:t>
      </w:r>
      <w:r>
        <w:rPr>
          <w:rFonts w:hint="eastAsia" w:ascii="宋体" w:hAnsi="宋体" w:eastAsia="宋体" w:cs="宋体"/>
          <w:sz w:val="24"/>
          <w:szCs w:val="24"/>
        </w:rPr>
        <w:t>海关与税务合规</w:t>
      </w:r>
      <w:r>
        <w:rPr>
          <w:rFonts w:hint="eastAsia" w:ascii="宋体" w:hAnsi="宋体" w:eastAsia="宋体" w:cs="宋体"/>
          <w:sz w:val="24"/>
          <w:szCs w:val="24"/>
          <w:lang w:eastAsia="zh-CN"/>
        </w:rPr>
        <w:t>、</w:t>
      </w:r>
      <w:r>
        <w:rPr>
          <w:rFonts w:hint="eastAsia" w:ascii="宋体" w:hAnsi="宋体" w:eastAsia="宋体" w:cs="宋体"/>
          <w:sz w:val="24"/>
          <w:szCs w:val="24"/>
        </w:rPr>
        <w:t>数据保护与隐私</w:t>
      </w:r>
      <w:r>
        <w:rPr>
          <w:rFonts w:hint="eastAsia" w:ascii="宋体" w:hAnsi="宋体" w:eastAsia="宋体" w:cs="宋体"/>
          <w:sz w:val="24"/>
          <w:szCs w:val="24"/>
          <w:lang w:eastAsia="zh-CN"/>
        </w:rPr>
        <w:t>、</w:t>
      </w:r>
      <w:r>
        <w:rPr>
          <w:rFonts w:hint="eastAsia" w:ascii="宋体" w:hAnsi="宋体" w:eastAsia="宋体" w:cs="宋体"/>
          <w:sz w:val="24"/>
          <w:szCs w:val="24"/>
        </w:rPr>
        <w:t>知识产权保护</w:t>
      </w:r>
      <w:r>
        <w:rPr>
          <w:rFonts w:hint="eastAsia" w:ascii="宋体" w:hAnsi="宋体" w:eastAsia="宋体" w:cs="宋体"/>
          <w:sz w:val="24"/>
          <w:szCs w:val="24"/>
          <w:lang w:eastAsia="zh-CN"/>
        </w:rPr>
        <w:t>、</w:t>
      </w:r>
      <w:r>
        <w:rPr>
          <w:rFonts w:hint="eastAsia" w:ascii="宋体" w:hAnsi="宋体" w:eastAsia="宋体" w:cs="宋体"/>
          <w:sz w:val="24"/>
          <w:szCs w:val="24"/>
        </w:rPr>
        <w:t>合同与商业合规</w:t>
      </w:r>
      <w:r>
        <w:rPr>
          <w:rFonts w:hint="eastAsia" w:ascii="宋体" w:hAnsi="宋体" w:eastAsia="宋体" w:cs="宋体"/>
          <w:sz w:val="24"/>
          <w:szCs w:val="24"/>
          <w:lang w:val="en-US" w:eastAsia="zh-CN" w:bidi="ar"/>
        </w:rPr>
        <w:t>）；（7）美国出口管制清单对中国企业的影响与应对策略；（8）</w:t>
      </w:r>
      <w:r>
        <w:rPr>
          <w:rFonts w:hint="eastAsia" w:ascii="宋体" w:hAnsi="宋体" w:eastAsia="宋体" w:cs="宋体"/>
          <w:b w:val="0"/>
          <w:bCs w:val="0"/>
          <w:kern w:val="2"/>
          <w:sz w:val="24"/>
          <w:szCs w:val="24"/>
          <w:lang w:val="en-US" w:eastAsia="zh-CN" w:bidi="ar"/>
        </w:rPr>
        <w:t>出口市场风险分析与应对措施；（9）汇率风险管理与金融工具的应用；（10）开展“外综服平台服务地方”系列活动；（11）新形势下的海外参展模式与企业出海布局服务指引。</w:t>
      </w:r>
    </w:p>
    <w:p w14:paraId="637C47E0">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Cs/>
          <w:color w:val="000000"/>
          <w:sz w:val="24"/>
          <w:szCs w:val="24"/>
        </w:rPr>
      </w:pPr>
      <w:r>
        <w:rPr>
          <w:rFonts w:hint="eastAsia" w:ascii="宋体" w:hAnsi="宋体" w:eastAsia="宋体" w:cs="宋体"/>
          <w:b/>
          <w:bCs/>
          <w:kern w:val="2"/>
          <w:sz w:val="24"/>
          <w:szCs w:val="24"/>
          <w:lang w:val="en-US" w:eastAsia="zh-CN" w:bidi="ar-SA"/>
        </w:rPr>
        <w:t>师资安排：</w:t>
      </w:r>
      <w:r>
        <w:rPr>
          <w:rFonts w:hint="eastAsia" w:ascii="宋体" w:hAnsi="宋体" w:eastAsia="宋体" w:cs="宋体"/>
          <w:bCs/>
          <w:color w:val="000000"/>
          <w:sz w:val="24"/>
          <w:szCs w:val="24"/>
        </w:rPr>
        <w:t>邀请国</w:t>
      </w:r>
      <w:r>
        <w:rPr>
          <w:rFonts w:hint="eastAsia" w:ascii="宋体" w:hAnsi="宋体" w:eastAsia="宋体" w:cs="宋体"/>
          <w:bCs/>
          <w:color w:val="000000"/>
          <w:sz w:val="24"/>
          <w:szCs w:val="24"/>
          <w:lang w:eastAsia="zh-CN"/>
        </w:rPr>
        <w:t>家</w:t>
      </w:r>
      <w:r>
        <w:rPr>
          <w:rFonts w:hint="eastAsia" w:ascii="宋体" w:hAnsi="宋体" w:eastAsia="宋体" w:cs="宋体"/>
          <w:bCs/>
          <w:color w:val="000000"/>
          <w:sz w:val="24"/>
          <w:szCs w:val="24"/>
        </w:rPr>
        <w:t>部委</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国家相关</w:t>
      </w:r>
      <w:r>
        <w:rPr>
          <w:rFonts w:hint="eastAsia" w:ascii="宋体" w:hAnsi="宋体" w:eastAsia="宋体" w:cs="宋体"/>
          <w:bCs/>
          <w:color w:val="000000"/>
          <w:sz w:val="24"/>
          <w:szCs w:val="24"/>
          <w:lang w:eastAsia="zh-CN"/>
        </w:rPr>
        <w:t>商协会、</w:t>
      </w:r>
      <w:r>
        <w:rPr>
          <w:rFonts w:hint="eastAsia" w:ascii="宋体" w:hAnsi="宋体" w:eastAsia="宋体" w:cs="宋体"/>
          <w:bCs/>
          <w:color w:val="000000"/>
          <w:sz w:val="24"/>
          <w:szCs w:val="24"/>
          <w:lang w:val="en-US" w:eastAsia="zh-CN"/>
        </w:rPr>
        <w:t>长三角</w:t>
      </w:r>
      <w:r>
        <w:rPr>
          <w:rFonts w:hint="eastAsia" w:ascii="宋体" w:hAnsi="宋体" w:eastAsia="宋体" w:cs="宋体"/>
          <w:bCs/>
          <w:color w:val="000000"/>
          <w:sz w:val="24"/>
          <w:szCs w:val="24"/>
        </w:rPr>
        <w:t>外贸领域</w:t>
      </w:r>
      <w:r>
        <w:rPr>
          <w:rFonts w:hint="eastAsia" w:ascii="宋体" w:hAnsi="宋体" w:eastAsia="宋体" w:cs="宋体"/>
          <w:bCs/>
          <w:color w:val="000000"/>
          <w:sz w:val="24"/>
          <w:szCs w:val="24"/>
          <w:lang w:eastAsia="zh-CN"/>
        </w:rPr>
        <w:t>、知名高校</w:t>
      </w:r>
      <w:r>
        <w:rPr>
          <w:rFonts w:hint="eastAsia" w:ascii="宋体" w:hAnsi="宋体" w:eastAsia="宋体" w:cs="宋体"/>
          <w:bCs/>
          <w:color w:val="000000"/>
          <w:sz w:val="24"/>
          <w:szCs w:val="24"/>
          <w:lang w:val="en-US" w:eastAsia="zh-CN"/>
        </w:rPr>
        <w:t>和金融机构</w:t>
      </w:r>
      <w:r>
        <w:rPr>
          <w:rFonts w:hint="eastAsia" w:ascii="宋体" w:hAnsi="宋体" w:eastAsia="宋体" w:cs="宋体"/>
          <w:bCs/>
          <w:color w:val="000000"/>
          <w:sz w:val="24"/>
          <w:szCs w:val="24"/>
        </w:rPr>
        <w:t>相关</w:t>
      </w:r>
      <w:r>
        <w:rPr>
          <w:rFonts w:hint="eastAsia" w:ascii="宋体" w:hAnsi="宋体" w:eastAsia="宋体" w:cs="宋体"/>
          <w:bCs/>
          <w:color w:val="000000"/>
          <w:sz w:val="24"/>
          <w:szCs w:val="24"/>
          <w:lang w:val="en-US" w:eastAsia="zh-CN"/>
        </w:rPr>
        <w:t>领导、</w:t>
      </w:r>
      <w:r>
        <w:rPr>
          <w:rFonts w:hint="eastAsia" w:ascii="宋体" w:hAnsi="宋体" w:eastAsia="宋体" w:cs="宋体"/>
          <w:bCs/>
          <w:color w:val="000000"/>
          <w:sz w:val="24"/>
          <w:szCs w:val="24"/>
        </w:rPr>
        <w:t>专家学者</w:t>
      </w:r>
      <w:r>
        <w:rPr>
          <w:rFonts w:hint="eastAsia" w:ascii="宋体" w:hAnsi="宋体" w:eastAsia="宋体" w:cs="宋体"/>
          <w:bCs/>
          <w:color w:val="000000"/>
          <w:sz w:val="24"/>
          <w:szCs w:val="24"/>
          <w:lang w:eastAsia="zh-CN"/>
        </w:rPr>
        <w:t>，以及</w:t>
      </w:r>
      <w:r>
        <w:rPr>
          <w:rFonts w:hint="eastAsia" w:ascii="宋体" w:hAnsi="宋体" w:eastAsia="宋体" w:cs="宋体"/>
          <w:bCs/>
          <w:color w:val="000000"/>
          <w:sz w:val="24"/>
          <w:szCs w:val="24"/>
        </w:rPr>
        <w:t>外贸平台</w:t>
      </w:r>
      <w:r>
        <w:rPr>
          <w:rFonts w:hint="eastAsia" w:ascii="宋体" w:hAnsi="宋体" w:eastAsia="宋体" w:cs="宋体"/>
          <w:bCs/>
          <w:color w:val="000000"/>
          <w:sz w:val="24"/>
          <w:szCs w:val="24"/>
          <w:lang w:eastAsia="zh-CN"/>
        </w:rPr>
        <w:t>、大型</w:t>
      </w:r>
      <w:r>
        <w:rPr>
          <w:rFonts w:hint="eastAsia" w:ascii="宋体" w:hAnsi="宋体" w:eastAsia="宋体" w:cs="宋体"/>
          <w:bCs/>
          <w:color w:val="000000"/>
          <w:sz w:val="24"/>
          <w:szCs w:val="24"/>
        </w:rPr>
        <w:t>企业</w:t>
      </w:r>
      <w:r>
        <w:rPr>
          <w:rFonts w:hint="eastAsia" w:ascii="宋体" w:hAnsi="宋体" w:eastAsia="宋体" w:cs="宋体"/>
          <w:bCs/>
          <w:color w:val="000000"/>
          <w:sz w:val="24"/>
          <w:szCs w:val="24"/>
          <w:lang w:eastAsia="zh-CN"/>
        </w:rPr>
        <w:t>集团与知名展览公司</w:t>
      </w:r>
      <w:r>
        <w:rPr>
          <w:rFonts w:hint="eastAsia" w:ascii="宋体" w:hAnsi="宋体" w:eastAsia="宋体" w:cs="宋体"/>
          <w:bCs/>
          <w:color w:val="000000"/>
          <w:sz w:val="24"/>
          <w:szCs w:val="24"/>
        </w:rPr>
        <w:t>负责人</w:t>
      </w:r>
      <w:r>
        <w:rPr>
          <w:rFonts w:hint="eastAsia" w:ascii="宋体" w:hAnsi="宋体" w:eastAsia="宋体" w:cs="宋体"/>
          <w:bCs/>
          <w:color w:val="000000"/>
          <w:sz w:val="24"/>
          <w:szCs w:val="24"/>
          <w:lang w:eastAsia="zh-CN"/>
        </w:rPr>
        <w:t>等</w:t>
      </w:r>
      <w:r>
        <w:rPr>
          <w:rFonts w:hint="eastAsia" w:ascii="宋体" w:hAnsi="宋体" w:eastAsia="宋体" w:cs="宋体"/>
          <w:bCs/>
          <w:color w:val="000000"/>
          <w:sz w:val="24"/>
          <w:szCs w:val="24"/>
        </w:rPr>
        <w:t>授课。</w:t>
      </w:r>
    </w:p>
    <w:p w14:paraId="0208E5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color w:val="000000"/>
          <w:sz w:val="24"/>
          <w:szCs w:val="24"/>
          <w:lang w:eastAsia="zh-CN"/>
        </w:rPr>
        <w:t>（二）</w:t>
      </w:r>
      <w:r>
        <w:rPr>
          <w:rFonts w:hint="eastAsia" w:ascii="宋体" w:hAnsi="宋体" w:eastAsia="宋体" w:cs="宋体"/>
          <w:b/>
          <w:color w:val="000000"/>
          <w:sz w:val="24"/>
          <w:szCs w:val="24"/>
        </w:rPr>
        <w:t>线上培训。</w:t>
      </w:r>
      <w:r>
        <w:rPr>
          <w:rFonts w:hint="eastAsia" w:ascii="宋体" w:hAnsi="宋体" w:eastAsia="宋体" w:cs="宋体"/>
          <w:sz w:val="24"/>
          <w:szCs w:val="24"/>
          <w:lang w:eastAsia="zh-CN"/>
        </w:rPr>
        <w:t>培训班开班后同步进行课程录制</w:t>
      </w:r>
      <w:r>
        <w:rPr>
          <w:rFonts w:hint="eastAsia" w:ascii="宋体" w:hAnsi="宋体" w:eastAsia="宋体" w:cs="宋体"/>
          <w:sz w:val="24"/>
          <w:szCs w:val="24"/>
          <w:lang w:val="en-US" w:eastAsia="zh-CN"/>
        </w:rPr>
        <w:t>和剪辑</w:t>
      </w:r>
      <w:r>
        <w:rPr>
          <w:rFonts w:hint="eastAsia" w:ascii="宋体" w:hAnsi="宋体" w:eastAsia="宋体" w:cs="宋体"/>
          <w:sz w:val="24"/>
          <w:szCs w:val="24"/>
          <w:lang w:eastAsia="zh-CN"/>
        </w:rPr>
        <w:t>，原则上培训结束半个月内</w:t>
      </w:r>
      <w:r>
        <w:rPr>
          <w:rFonts w:hint="eastAsia" w:ascii="宋体" w:hAnsi="宋体" w:eastAsia="宋体" w:cs="宋体"/>
          <w:sz w:val="24"/>
          <w:szCs w:val="24"/>
          <w:lang w:val="en-US" w:eastAsia="zh-CN"/>
        </w:rPr>
        <w:t>上传安徽省外贸综合服务平台和</w:t>
      </w:r>
      <w:r>
        <w:rPr>
          <w:rFonts w:hint="eastAsia" w:ascii="宋体" w:hAnsi="宋体" w:eastAsia="宋体" w:cs="宋体"/>
          <w:sz w:val="24"/>
          <w:szCs w:val="24"/>
          <w:lang w:eastAsia="zh-CN"/>
        </w:rPr>
        <w:t>网络云平台在线培训系统，供全省外贸企业免费学习，全年学习不少于</w:t>
      </w:r>
      <w:r>
        <w:rPr>
          <w:rFonts w:hint="eastAsia" w:ascii="宋体" w:hAnsi="宋体" w:eastAsia="宋体" w:cs="宋体"/>
          <w:sz w:val="24"/>
          <w:szCs w:val="24"/>
          <w:lang w:val="en-US" w:eastAsia="zh-CN"/>
        </w:rPr>
        <w:t>50，000人次。</w:t>
      </w:r>
    </w:p>
    <w:p w14:paraId="6102876C">
      <w:pPr>
        <w:numPr>
          <w:ilvl w:val="0"/>
          <w:numId w:val="0"/>
        </w:numPr>
        <w:spacing w:line="360" w:lineRule="auto"/>
        <w:ind w:firstLine="482" w:firstLineChars="200"/>
        <w:outlineLvl w:val="2"/>
        <w:rPr>
          <w:rFonts w:hint="eastAsia" w:ascii="宋体" w:hAnsi="宋体" w:eastAsia="宋体"/>
          <w:b/>
          <w:color w:val="auto"/>
          <w:sz w:val="24"/>
          <w:szCs w:val="18"/>
          <w:highlight w:val="none"/>
        </w:rPr>
      </w:pPr>
      <w:r>
        <w:rPr>
          <w:rFonts w:hint="eastAsia" w:ascii="宋体" w:hAnsi="宋体" w:eastAsia="宋体"/>
          <w:b/>
          <w:color w:val="auto"/>
          <w:sz w:val="24"/>
          <w:szCs w:val="18"/>
          <w:highlight w:val="none"/>
          <w:lang w:val="en-US" w:eastAsia="zh-CN"/>
        </w:rPr>
        <w:t>三、</w:t>
      </w:r>
      <w:r>
        <w:rPr>
          <w:rFonts w:hint="eastAsia" w:ascii="宋体" w:hAnsi="宋体" w:eastAsia="宋体"/>
          <w:b/>
          <w:color w:val="auto"/>
          <w:sz w:val="24"/>
          <w:szCs w:val="18"/>
          <w:highlight w:val="none"/>
        </w:rPr>
        <w:t>培训进度</w:t>
      </w:r>
    </w:p>
    <w:p w14:paraId="20A7EA5F">
      <w:pPr>
        <w:numPr>
          <w:ilvl w:val="0"/>
          <w:numId w:val="0"/>
        </w:numPr>
        <w:spacing w:line="360" w:lineRule="auto"/>
        <w:ind w:firstLine="482" w:firstLineChars="200"/>
        <w:outlineLvl w:val="2"/>
        <w:rPr>
          <w:rFonts w:hint="eastAsia" w:ascii="宋体" w:hAnsi="宋体" w:eastAsia="宋体" w:cs="宋体"/>
          <w:sz w:val="24"/>
          <w:szCs w:val="24"/>
          <w:lang w:val="en-US" w:eastAsia="zh-CN"/>
        </w:rPr>
      </w:pPr>
      <w:r>
        <w:rPr>
          <w:rFonts w:hint="eastAsia" w:ascii="宋体" w:hAnsi="宋体" w:eastAsia="宋体"/>
          <w:b/>
          <w:color w:val="auto"/>
          <w:sz w:val="24"/>
          <w:szCs w:val="18"/>
          <w:highlight w:val="none"/>
          <w:lang w:eastAsia="zh-CN"/>
        </w:rPr>
        <w:t>（一）</w:t>
      </w:r>
      <w:r>
        <w:rPr>
          <w:rFonts w:hint="eastAsia" w:ascii="宋体" w:hAnsi="宋体" w:eastAsia="宋体"/>
          <w:b/>
          <w:color w:val="auto"/>
          <w:sz w:val="24"/>
          <w:szCs w:val="18"/>
          <w:highlight w:val="none"/>
        </w:rPr>
        <w:t>培训</w:t>
      </w:r>
      <w:r>
        <w:rPr>
          <w:rFonts w:hint="eastAsia" w:ascii="宋体" w:hAnsi="宋体" w:eastAsia="宋体"/>
          <w:b/>
          <w:color w:val="auto"/>
          <w:sz w:val="24"/>
          <w:szCs w:val="18"/>
          <w:highlight w:val="none"/>
          <w:lang w:val="en-US" w:eastAsia="zh-CN"/>
        </w:rPr>
        <w:t>安排</w:t>
      </w:r>
      <w:r>
        <w:rPr>
          <w:rFonts w:hint="eastAsia" w:ascii="宋体" w:hAnsi="宋体" w:eastAsia="宋体"/>
          <w:b/>
          <w:color w:val="auto"/>
          <w:sz w:val="24"/>
          <w:szCs w:val="18"/>
          <w:highlight w:val="none"/>
        </w:rPr>
        <w:t>。</w:t>
      </w:r>
      <w:r>
        <w:rPr>
          <w:rFonts w:hint="eastAsia" w:ascii="宋体" w:hAnsi="宋体" w:eastAsia="宋体" w:cs="宋体"/>
          <w:sz w:val="24"/>
          <w:szCs w:val="24"/>
          <w:lang w:val="en-US" w:eastAsia="zh-CN"/>
        </w:rPr>
        <w:t>6-11月实施培训，11月底前完成培训；结合培训组织开展省直公司外贸业务员下基层现场对接会。</w:t>
      </w:r>
    </w:p>
    <w:p w14:paraId="5269E429">
      <w:pPr>
        <w:keepNext w:val="0"/>
        <w:keepLines w:val="0"/>
        <w:pageBreakBefore w:val="0"/>
        <w:numPr>
          <w:ilvl w:val="0"/>
          <w:numId w:val="0"/>
        </w:numPr>
        <w:kinsoku/>
        <w:wordWrap/>
        <w:overflowPunct/>
        <w:topLinePunct w:val="0"/>
        <w:autoSpaceDE/>
        <w:autoSpaceDN/>
        <w:bidi w:val="0"/>
        <w:adjustRightInd/>
        <w:snapToGrid/>
        <w:spacing w:line="560" w:lineRule="exact"/>
        <w:ind w:firstLine="241" w:firstLineChars="100"/>
        <w:textAlignment w:val="auto"/>
        <w:rPr>
          <w:rFonts w:hint="eastAsia" w:ascii="宋体" w:hAnsi="宋体" w:eastAsia="宋体" w:cs="宋体"/>
          <w:bCs/>
          <w:sz w:val="24"/>
          <w:szCs w:val="24"/>
        </w:rPr>
      </w:pPr>
      <w:r>
        <w:rPr>
          <w:rFonts w:hint="eastAsia" w:ascii="宋体" w:hAnsi="宋体" w:eastAsia="宋体" w:cs="宋体"/>
          <w:b/>
          <w:bCs/>
          <w:sz w:val="24"/>
          <w:szCs w:val="24"/>
          <w:lang w:eastAsia="zh-CN"/>
        </w:rPr>
        <w:t>（二）教材编印</w:t>
      </w:r>
      <w:r>
        <w:rPr>
          <w:rFonts w:hint="eastAsia" w:ascii="宋体" w:hAnsi="宋体" w:eastAsia="宋体" w:cs="宋体"/>
          <w:b/>
          <w:bCs/>
          <w:sz w:val="24"/>
          <w:szCs w:val="24"/>
        </w:rPr>
        <w:t>。</w:t>
      </w:r>
      <w:r>
        <w:rPr>
          <w:rFonts w:hint="eastAsia" w:ascii="宋体" w:hAnsi="宋体" w:eastAsia="宋体" w:cs="宋体"/>
          <w:bCs/>
          <w:sz w:val="24"/>
          <w:szCs w:val="24"/>
          <w:lang w:val="en-US" w:eastAsia="zh-CN"/>
        </w:rPr>
        <w:t>6</w:t>
      </w:r>
      <w:r>
        <w:rPr>
          <w:rFonts w:hint="eastAsia" w:ascii="宋体" w:hAnsi="宋体" w:eastAsia="宋体" w:cs="宋体"/>
          <w:bCs/>
          <w:sz w:val="24"/>
          <w:szCs w:val="24"/>
        </w:rPr>
        <w:t>月</w:t>
      </w:r>
      <w:r>
        <w:rPr>
          <w:rFonts w:hint="eastAsia" w:ascii="宋体" w:hAnsi="宋体" w:eastAsia="宋体" w:cs="宋体"/>
          <w:bCs/>
          <w:sz w:val="24"/>
          <w:szCs w:val="24"/>
          <w:lang w:val="en-US" w:eastAsia="zh-CN"/>
        </w:rPr>
        <w:t>30</w:t>
      </w:r>
      <w:r>
        <w:rPr>
          <w:rFonts w:hint="eastAsia" w:ascii="宋体" w:hAnsi="宋体" w:eastAsia="宋体" w:cs="宋体"/>
          <w:bCs/>
          <w:sz w:val="24"/>
          <w:szCs w:val="24"/>
        </w:rPr>
        <w:t>前完成1</w:t>
      </w:r>
      <w:r>
        <w:rPr>
          <w:rFonts w:hint="eastAsia" w:ascii="宋体" w:hAnsi="宋体" w:eastAsia="宋体" w:cs="宋体"/>
          <w:bCs/>
          <w:sz w:val="24"/>
          <w:szCs w:val="24"/>
          <w:lang w:val="en-US" w:eastAsia="zh-CN"/>
        </w:rPr>
        <w:t>0</w:t>
      </w:r>
      <w:r>
        <w:rPr>
          <w:rFonts w:hint="eastAsia" w:ascii="宋体" w:hAnsi="宋体" w:eastAsia="宋体" w:cs="宋体"/>
          <w:bCs/>
          <w:sz w:val="24"/>
          <w:szCs w:val="24"/>
        </w:rPr>
        <w:t>000份</w:t>
      </w:r>
      <w:r>
        <w:rPr>
          <w:rFonts w:hint="eastAsia" w:ascii="宋体" w:hAnsi="宋体" w:eastAsia="宋体" w:cs="宋体"/>
          <w:sz w:val="24"/>
          <w:szCs w:val="24"/>
          <w:lang w:val="en-US" w:eastAsia="zh-CN" w:bidi="ar"/>
        </w:rPr>
        <w:t>《</w:t>
      </w:r>
      <w:r>
        <w:rPr>
          <w:rFonts w:hint="eastAsia" w:ascii="宋体" w:hAnsi="宋体" w:eastAsia="宋体" w:cs="宋体"/>
          <w:sz w:val="24"/>
          <w:szCs w:val="24"/>
          <w:lang w:val="en-US" w:eastAsia="zh-CN"/>
        </w:rPr>
        <w:t>逆全球化形势下外贸企业突围：从理论到实践</w:t>
      </w:r>
      <w:r>
        <w:rPr>
          <w:rFonts w:hint="eastAsia" w:ascii="宋体" w:hAnsi="宋体" w:eastAsia="宋体" w:cs="宋体"/>
          <w:sz w:val="24"/>
          <w:szCs w:val="24"/>
          <w:lang w:val="en-US" w:eastAsia="zh-CN" w:bidi="ar"/>
        </w:rPr>
        <w:t>》（</w:t>
      </w:r>
      <w:r>
        <w:rPr>
          <w:rFonts w:hint="eastAsia" w:ascii="宋体" w:hAnsi="宋体" w:eastAsia="宋体" w:cs="宋体"/>
          <w:bCs/>
          <w:sz w:val="24"/>
          <w:szCs w:val="24"/>
          <w:lang w:val="en-US" w:eastAsia="zh-CN"/>
        </w:rPr>
        <w:t>终稿，</w:t>
      </w:r>
      <w:r>
        <w:rPr>
          <w:rFonts w:hint="eastAsia" w:ascii="宋体" w:hAnsi="宋体" w:eastAsia="宋体" w:cs="宋体"/>
          <w:bCs/>
          <w:sz w:val="24"/>
          <w:szCs w:val="24"/>
          <w:lang w:eastAsia="zh-CN"/>
        </w:rPr>
        <w:t>不少于</w:t>
      </w:r>
      <w:r>
        <w:rPr>
          <w:rFonts w:hint="eastAsia" w:ascii="宋体" w:hAnsi="宋体" w:eastAsia="宋体" w:cs="宋体"/>
          <w:bCs/>
          <w:sz w:val="24"/>
          <w:szCs w:val="24"/>
          <w:lang w:val="en-US" w:eastAsia="zh-CN"/>
        </w:rPr>
        <w:t>20万字</w:t>
      </w:r>
      <w:r>
        <w:rPr>
          <w:rFonts w:hint="eastAsia" w:ascii="宋体" w:hAnsi="宋体" w:eastAsia="宋体" w:cs="宋体"/>
          <w:bCs/>
          <w:sz w:val="24"/>
          <w:szCs w:val="24"/>
          <w:lang w:eastAsia="zh-CN"/>
        </w:rPr>
        <w:t>）</w:t>
      </w:r>
      <w:r>
        <w:rPr>
          <w:rFonts w:hint="eastAsia" w:ascii="宋体" w:hAnsi="宋体" w:eastAsia="宋体" w:cs="宋体"/>
          <w:bCs/>
          <w:sz w:val="24"/>
          <w:szCs w:val="24"/>
        </w:rPr>
        <w:t>编印</w:t>
      </w:r>
      <w:r>
        <w:rPr>
          <w:rFonts w:hint="eastAsia" w:ascii="宋体" w:hAnsi="宋体" w:eastAsia="宋体" w:cs="宋体"/>
          <w:bCs/>
          <w:sz w:val="24"/>
          <w:szCs w:val="24"/>
          <w:lang w:eastAsia="zh-CN"/>
        </w:rPr>
        <w:t>随培训免费</w:t>
      </w:r>
      <w:r>
        <w:rPr>
          <w:rFonts w:hint="eastAsia" w:ascii="宋体" w:hAnsi="宋体" w:eastAsia="宋体" w:cs="宋体"/>
          <w:bCs/>
          <w:sz w:val="24"/>
          <w:szCs w:val="24"/>
        </w:rPr>
        <w:t>发放</w:t>
      </w:r>
      <w:r>
        <w:rPr>
          <w:rFonts w:hint="eastAsia" w:ascii="宋体" w:hAnsi="宋体" w:eastAsia="宋体" w:cs="宋体"/>
          <w:bCs/>
          <w:sz w:val="24"/>
          <w:szCs w:val="24"/>
          <w:lang w:eastAsia="zh-CN"/>
        </w:rPr>
        <w:t>给参训企业</w:t>
      </w:r>
      <w:r>
        <w:rPr>
          <w:rFonts w:hint="eastAsia" w:ascii="宋体" w:hAnsi="宋体" w:eastAsia="宋体" w:cs="宋体"/>
          <w:bCs/>
          <w:sz w:val="24"/>
          <w:szCs w:val="24"/>
        </w:rPr>
        <w:t>。</w:t>
      </w:r>
    </w:p>
    <w:p w14:paraId="0151CAE7">
      <w:pPr>
        <w:keepNext w:val="0"/>
        <w:keepLines w:val="0"/>
        <w:pageBreakBefore w:val="0"/>
        <w:numPr>
          <w:ilvl w:val="0"/>
          <w:numId w:val="0"/>
        </w:numPr>
        <w:kinsoku/>
        <w:wordWrap/>
        <w:overflowPunct/>
        <w:topLinePunct w:val="0"/>
        <w:autoSpaceDE/>
        <w:autoSpaceDN/>
        <w:bidi w:val="0"/>
        <w:adjustRightInd/>
        <w:snapToGrid/>
        <w:spacing w:line="560" w:lineRule="exact"/>
        <w:ind w:firstLine="241" w:firstLineChars="100"/>
        <w:textAlignment w:val="auto"/>
        <w:rPr>
          <w:rFonts w:hint="eastAsia" w:ascii="宋体" w:hAnsi="宋体" w:eastAsia="宋体" w:cs="宋体"/>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宣传形式。</w:t>
      </w:r>
      <w:r>
        <w:rPr>
          <w:rFonts w:hint="eastAsia" w:ascii="宋体" w:hAnsi="宋体" w:eastAsia="宋体" w:cs="宋体"/>
          <w:bCs/>
          <w:sz w:val="24"/>
          <w:szCs w:val="24"/>
          <w:lang w:eastAsia="zh-CN"/>
        </w:rPr>
        <w:t>采取灵活多样</w:t>
      </w:r>
      <w:r>
        <w:rPr>
          <w:rFonts w:hint="eastAsia" w:ascii="宋体" w:hAnsi="宋体" w:eastAsia="宋体" w:cs="宋体"/>
          <w:bCs/>
          <w:sz w:val="24"/>
          <w:szCs w:val="24"/>
          <w:lang w:val="en-US" w:eastAsia="zh-CN"/>
        </w:rPr>
        <w:t>的</w:t>
      </w:r>
      <w:r>
        <w:rPr>
          <w:rFonts w:hint="eastAsia" w:ascii="宋体" w:hAnsi="宋体" w:eastAsia="宋体" w:cs="宋体"/>
          <w:bCs/>
          <w:sz w:val="24"/>
          <w:szCs w:val="24"/>
          <w:lang w:eastAsia="zh-CN"/>
        </w:rPr>
        <w:t>形式，</w:t>
      </w:r>
      <w:r>
        <w:rPr>
          <w:rFonts w:hint="eastAsia" w:ascii="宋体" w:hAnsi="宋体" w:eastAsia="宋体" w:cs="宋体"/>
          <w:bCs/>
          <w:sz w:val="24"/>
          <w:szCs w:val="24"/>
          <w:lang w:val="en-US" w:eastAsia="zh-CN"/>
        </w:rPr>
        <w:t>加大专题培训的宣传力度</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不</w:t>
      </w:r>
      <w:r>
        <w:rPr>
          <w:rFonts w:hint="eastAsia" w:ascii="宋体" w:hAnsi="宋体" w:eastAsia="宋体" w:cs="宋体"/>
          <w:sz w:val="24"/>
          <w:szCs w:val="24"/>
          <w:lang w:val="en-US" w:eastAsia="zh-CN" w:bidi="ar"/>
        </w:rPr>
        <w:t>断扩大培训的影响力和覆盖面。</w:t>
      </w:r>
    </w:p>
    <w:p w14:paraId="089DE2D4">
      <w:pPr>
        <w:numPr>
          <w:ilvl w:val="0"/>
          <w:numId w:val="0"/>
        </w:numPr>
        <w:spacing w:line="360" w:lineRule="auto"/>
        <w:ind w:firstLine="482" w:firstLineChars="200"/>
        <w:outlineLvl w:val="2"/>
        <w:rPr>
          <w:rFonts w:hint="eastAsia" w:ascii="宋体" w:hAnsi="宋体" w:eastAsia="宋体"/>
          <w:b/>
          <w:color w:val="auto"/>
          <w:sz w:val="24"/>
          <w:szCs w:val="18"/>
          <w:highlight w:val="none"/>
        </w:rPr>
      </w:pPr>
      <w:r>
        <w:rPr>
          <w:rFonts w:hint="eastAsia" w:ascii="宋体" w:hAnsi="宋体" w:eastAsia="宋体"/>
          <w:b/>
          <w:color w:val="auto"/>
          <w:sz w:val="24"/>
          <w:szCs w:val="18"/>
          <w:highlight w:val="none"/>
        </w:rPr>
        <w:t>四、</w:t>
      </w:r>
      <w:r>
        <w:rPr>
          <w:rFonts w:hint="eastAsia" w:ascii="宋体" w:hAnsi="宋体" w:eastAsia="宋体"/>
          <w:b/>
          <w:color w:val="auto"/>
          <w:sz w:val="24"/>
          <w:szCs w:val="18"/>
          <w:highlight w:val="none"/>
          <w:lang w:eastAsia="zh-CN"/>
        </w:rPr>
        <w:t>培训</w:t>
      </w:r>
      <w:r>
        <w:rPr>
          <w:rFonts w:hint="eastAsia" w:ascii="宋体" w:hAnsi="宋体" w:eastAsia="宋体"/>
          <w:b/>
          <w:color w:val="auto"/>
          <w:sz w:val="24"/>
          <w:szCs w:val="18"/>
          <w:highlight w:val="none"/>
        </w:rPr>
        <w:t xml:space="preserve">方式   </w:t>
      </w:r>
    </w:p>
    <w:p w14:paraId="28DF7C4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分区域分地市相对集中举办，覆盖全省16个市。通过公开采购方式委托第三方机构具体承办。</w:t>
      </w:r>
    </w:p>
    <w:p w14:paraId="275052C2">
      <w:pPr>
        <w:numPr>
          <w:ilvl w:val="0"/>
          <w:numId w:val="0"/>
        </w:numPr>
        <w:spacing w:line="360" w:lineRule="auto"/>
        <w:ind w:firstLine="482" w:firstLineChars="200"/>
        <w:outlineLvl w:val="2"/>
        <w:rPr>
          <w:rFonts w:hint="eastAsia" w:ascii="宋体" w:hAnsi="宋体" w:eastAsia="宋体"/>
          <w:b/>
          <w:color w:val="auto"/>
          <w:sz w:val="24"/>
          <w:szCs w:val="18"/>
          <w:highlight w:val="none"/>
        </w:rPr>
      </w:pPr>
      <w:r>
        <w:rPr>
          <w:rFonts w:hint="eastAsia" w:ascii="宋体" w:hAnsi="宋体" w:eastAsia="宋体"/>
          <w:b/>
          <w:color w:val="auto"/>
          <w:sz w:val="24"/>
          <w:szCs w:val="18"/>
          <w:highlight w:val="none"/>
        </w:rPr>
        <w:t>五、经费安排</w:t>
      </w:r>
    </w:p>
    <w:p w14:paraId="59A2ABEA">
      <w:pPr>
        <w:numPr>
          <w:ilvl w:val="0"/>
          <w:numId w:val="0"/>
        </w:numPr>
        <w:spacing w:line="360" w:lineRule="auto"/>
        <w:ind w:firstLine="480" w:firstLineChars="200"/>
        <w:outlineLvl w:val="2"/>
        <w:rPr>
          <w:rFonts w:hint="eastAsia" w:ascii="宋体" w:hAnsi="宋体" w:eastAsia="宋体" w:cs="宋体"/>
          <w:sz w:val="24"/>
          <w:szCs w:val="24"/>
        </w:rPr>
      </w:pPr>
      <w:r>
        <w:rPr>
          <w:rFonts w:hint="eastAsia" w:ascii="宋体" w:hAnsi="宋体" w:eastAsia="宋体"/>
          <w:b w:val="0"/>
          <w:bCs/>
          <w:color w:val="auto"/>
          <w:sz w:val="24"/>
          <w:szCs w:val="18"/>
          <w:highlight w:val="none"/>
        </w:rPr>
        <w:t>主要用于培训场地租</w:t>
      </w:r>
      <w:r>
        <w:rPr>
          <w:rFonts w:hint="eastAsia" w:ascii="宋体" w:hAnsi="宋体" w:eastAsia="宋体" w:cs="宋体"/>
          <w:b w:val="0"/>
          <w:bCs/>
          <w:sz w:val="24"/>
          <w:szCs w:val="24"/>
        </w:rPr>
        <w:t>用、</w:t>
      </w:r>
      <w:r>
        <w:rPr>
          <w:rFonts w:hint="eastAsia" w:ascii="宋体" w:hAnsi="宋体" w:eastAsia="宋体" w:cs="宋体"/>
          <w:b w:val="0"/>
          <w:bCs/>
          <w:sz w:val="24"/>
          <w:szCs w:val="24"/>
          <w:lang w:eastAsia="zh-CN"/>
        </w:rPr>
        <w:t>学</w:t>
      </w:r>
      <w:r>
        <w:rPr>
          <w:rFonts w:hint="eastAsia" w:ascii="宋体" w:hAnsi="宋体" w:eastAsia="宋体" w:cs="宋体"/>
          <w:sz w:val="24"/>
          <w:szCs w:val="24"/>
        </w:rPr>
        <w:t>员食宿</w:t>
      </w:r>
      <w:r>
        <w:rPr>
          <w:rFonts w:hint="eastAsia" w:ascii="宋体" w:hAnsi="宋体" w:eastAsia="宋体" w:cs="宋体"/>
          <w:sz w:val="24"/>
          <w:szCs w:val="24"/>
          <w:lang w:eastAsia="zh-CN"/>
        </w:rPr>
        <w:t>安排</w:t>
      </w:r>
      <w:r>
        <w:rPr>
          <w:rFonts w:hint="eastAsia" w:ascii="宋体" w:hAnsi="宋体" w:eastAsia="宋体" w:cs="宋体"/>
          <w:sz w:val="24"/>
          <w:szCs w:val="24"/>
        </w:rPr>
        <w:t>、授课</w:t>
      </w:r>
      <w:r>
        <w:rPr>
          <w:rFonts w:hint="eastAsia" w:ascii="宋体" w:hAnsi="宋体" w:eastAsia="宋体" w:cs="宋体"/>
          <w:sz w:val="24"/>
          <w:szCs w:val="24"/>
          <w:lang w:eastAsia="zh-CN"/>
        </w:rPr>
        <w:t>教师邀请、</w:t>
      </w:r>
      <w:r>
        <w:rPr>
          <w:rFonts w:hint="eastAsia" w:ascii="宋体" w:hAnsi="宋体" w:eastAsia="宋体" w:cs="宋体"/>
          <w:sz w:val="24"/>
          <w:szCs w:val="24"/>
        </w:rPr>
        <w:t>教材编印</w:t>
      </w:r>
      <w:r>
        <w:rPr>
          <w:rFonts w:hint="eastAsia" w:ascii="宋体" w:hAnsi="宋体" w:eastAsia="宋体" w:cs="宋体"/>
          <w:sz w:val="24"/>
          <w:szCs w:val="24"/>
          <w:lang w:eastAsia="zh-CN"/>
        </w:rPr>
        <w:t>和线上课程制作</w:t>
      </w:r>
      <w:r>
        <w:rPr>
          <w:rFonts w:hint="eastAsia" w:ascii="宋体" w:hAnsi="宋体" w:eastAsia="宋体" w:cs="宋体"/>
          <w:sz w:val="24"/>
          <w:szCs w:val="24"/>
        </w:rPr>
        <w:t>等。</w:t>
      </w:r>
    </w:p>
    <w:p w14:paraId="5AEA65C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验收要求</w:t>
      </w:r>
    </w:p>
    <w:p w14:paraId="7E013A7B">
      <w:pPr>
        <w:pStyle w:val="2"/>
        <w:numPr>
          <w:ilvl w:val="0"/>
          <w:numId w:val="0"/>
        </w:numPr>
        <w:rPr>
          <w:rFonts w:hint="eastAsia"/>
          <w:b w:val="0"/>
          <w:bCs/>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bCs/>
          <w:sz w:val="24"/>
          <w:szCs w:val="24"/>
          <w:lang w:val="en-US" w:eastAsia="zh-CN"/>
        </w:rPr>
        <w:t xml:space="preserve"> 委托第三方机构进行验收。</w:t>
      </w:r>
    </w:p>
    <w:bookmarkEnd w:id="261"/>
    <w:p w14:paraId="45C3B9BD">
      <w:pPr>
        <w:pStyle w:val="2"/>
        <w:numPr>
          <w:ilvl w:val="0"/>
          <w:numId w:val="0"/>
        </w:numPr>
        <w:rPr>
          <w:rFonts w:hint="eastAsia"/>
          <w:b w:val="0"/>
          <w:bCs/>
          <w:lang w:eastAsia="zh-CN"/>
        </w:rPr>
      </w:pPr>
    </w:p>
    <w:p w14:paraId="154CCFEE">
      <w:pPr>
        <w:pStyle w:val="2"/>
        <w:numPr>
          <w:ilvl w:val="0"/>
          <w:numId w:val="0"/>
        </w:numPr>
        <w:rPr>
          <w:rFonts w:hint="eastAsia"/>
          <w:b w:val="0"/>
          <w:bCs/>
          <w:lang w:eastAsia="zh-CN"/>
        </w:rPr>
      </w:pPr>
    </w:p>
    <w:p w14:paraId="2E03EEEB">
      <w:pPr>
        <w:pStyle w:val="2"/>
        <w:numPr>
          <w:ilvl w:val="0"/>
          <w:numId w:val="0"/>
        </w:numPr>
        <w:rPr>
          <w:rFonts w:hint="eastAsia"/>
          <w:b w:val="0"/>
          <w:bCs/>
          <w:lang w:eastAsia="zh-CN"/>
        </w:rPr>
      </w:pPr>
    </w:p>
    <w:p w14:paraId="5055B7DA">
      <w:pPr>
        <w:pStyle w:val="2"/>
        <w:numPr>
          <w:ilvl w:val="0"/>
          <w:numId w:val="0"/>
        </w:numPr>
        <w:rPr>
          <w:rFonts w:hint="eastAsia"/>
          <w:b w:val="0"/>
          <w:bCs/>
          <w:lang w:eastAsia="zh-CN"/>
        </w:rPr>
      </w:pPr>
    </w:p>
    <w:p w14:paraId="38E3A6AB">
      <w:pPr>
        <w:rPr>
          <w:rFonts w:hint="eastAsia"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br w:type="page"/>
      </w:r>
    </w:p>
    <w:p w14:paraId="7EF3B201">
      <w:pPr>
        <w:spacing w:line="360" w:lineRule="auto"/>
        <w:jc w:val="center"/>
        <w:outlineLvl w:val="0"/>
        <w:rPr>
          <w:rFonts w:asciiTheme="minorEastAsia" w:hAnsiTheme="minorEastAsia" w:eastAsiaTheme="minorEastAsia"/>
          <w:b/>
          <w:color w:val="auto"/>
          <w:sz w:val="28"/>
          <w:highlight w:val="none"/>
        </w:rPr>
      </w:pPr>
      <w:bookmarkStart w:id="52" w:name="_Toc24436"/>
      <w:r>
        <w:rPr>
          <w:rFonts w:hint="eastAsia" w:asciiTheme="minorEastAsia" w:hAnsiTheme="minorEastAsia" w:eastAsiaTheme="minorEastAsia"/>
          <w:b/>
          <w:color w:val="auto"/>
          <w:sz w:val="28"/>
          <w:highlight w:val="none"/>
        </w:rPr>
        <w:t>第四章  评标方法和标准（综合评分法）</w:t>
      </w:r>
      <w:bookmarkEnd w:id="52"/>
    </w:p>
    <w:p w14:paraId="7E745189">
      <w:pPr>
        <w:spacing w:line="360" w:lineRule="auto"/>
        <w:ind w:firstLine="437"/>
        <w:outlineLvl w:val="1"/>
        <w:rPr>
          <w:rFonts w:asciiTheme="minorEastAsia" w:hAnsiTheme="minorEastAsia" w:eastAsiaTheme="minorEastAsia"/>
          <w:b/>
          <w:color w:val="auto"/>
          <w:sz w:val="24"/>
          <w:highlight w:val="none"/>
        </w:rPr>
      </w:pPr>
      <w:bookmarkStart w:id="53" w:name="_Toc4705"/>
      <w:bookmarkStart w:id="54" w:name="_Toc11823"/>
      <w:bookmarkStart w:id="55" w:name="_Toc10713"/>
      <w:r>
        <w:rPr>
          <w:rFonts w:hint="eastAsia" w:asciiTheme="minorEastAsia" w:hAnsiTheme="minorEastAsia" w:eastAsiaTheme="minorEastAsia"/>
          <w:b/>
          <w:color w:val="auto"/>
          <w:sz w:val="24"/>
          <w:highlight w:val="none"/>
        </w:rPr>
        <w:t>一、总则</w:t>
      </w:r>
      <w:bookmarkEnd w:id="53"/>
      <w:bookmarkEnd w:id="54"/>
      <w:bookmarkEnd w:id="55"/>
    </w:p>
    <w:p w14:paraId="766EEF4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本项目将按照招标文件第二章 投标人须知的相关要求</w:t>
      </w:r>
      <w:r>
        <w:rPr>
          <w:rFonts w:asciiTheme="minorEastAsia" w:hAnsiTheme="minorEastAsia" w:eastAsiaTheme="minorEastAsia"/>
          <w:color w:val="auto"/>
          <w:sz w:val="24"/>
          <w:highlight w:val="none"/>
        </w:rPr>
        <w:t>及本章的规定评标。</w:t>
      </w:r>
    </w:p>
    <w:p w14:paraId="3CB1CFDC">
      <w:pPr>
        <w:spacing w:line="360" w:lineRule="auto"/>
        <w:ind w:firstLine="437"/>
        <w:outlineLvl w:val="1"/>
        <w:rPr>
          <w:rFonts w:asciiTheme="minorEastAsia" w:hAnsiTheme="minorEastAsia" w:eastAsiaTheme="minorEastAsia"/>
          <w:b/>
          <w:color w:val="auto"/>
          <w:sz w:val="24"/>
          <w:highlight w:val="none"/>
        </w:rPr>
      </w:pPr>
      <w:bookmarkStart w:id="56" w:name="_Toc25666"/>
      <w:bookmarkStart w:id="57" w:name="_Toc32410"/>
      <w:bookmarkStart w:id="58" w:name="_Toc31871"/>
      <w:r>
        <w:rPr>
          <w:rFonts w:hint="eastAsia" w:asciiTheme="minorEastAsia" w:hAnsiTheme="minorEastAsia" w:eastAsiaTheme="minorEastAsia"/>
          <w:b/>
          <w:color w:val="auto"/>
          <w:sz w:val="24"/>
          <w:highlight w:val="none"/>
        </w:rPr>
        <w:t>二、评标方法</w:t>
      </w:r>
      <w:bookmarkEnd w:id="56"/>
      <w:bookmarkEnd w:id="57"/>
      <w:bookmarkEnd w:id="58"/>
    </w:p>
    <w:p w14:paraId="0AF3B170">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2.1资格审查</w:t>
      </w:r>
    </w:p>
    <w:tbl>
      <w:tblPr>
        <w:tblStyle w:val="23"/>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248"/>
        <w:gridCol w:w="4959"/>
        <w:gridCol w:w="1894"/>
      </w:tblGrid>
      <w:tr w14:paraId="4CEB3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00EBA44C">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b/>
                <w:color w:val="auto"/>
                <w:sz w:val="24"/>
                <w:szCs w:val="22"/>
                <w:highlight w:val="none"/>
              </w:rPr>
              <w:t>资格审查表</w:t>
            </w:r>
          </w:p>
        </w:tc>
      </w:tr>
      <w:tr w14:paraId="3E060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tcBorders>
              <w:bottom w:val="single" w:color="auto" w:sz="4" w:space="0"/>
            </w:tcBorders>
            <w:vAlign w:val="center"/>
          </w:tcPr>
          <w:p w14:paraId="473E5A99">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712" w:type="pct"/>
            <w:tcBorders>
              <w:bottom w:val="single" w:color="auto" w:sz="4" w:space="0"/>
            </w:tcBorders>
            <w:vAlign w:val="center"/>
          </w:tcPr>
          <w:p w14:paraId="497C286A">
            <w:pPr>
              <w:pStyle w:val="32"/>
              <w:pBdr>
                <w:bottom w:val="none" w:color="auto" w:sz="0" w:space="0"/>
              </w:pBdr>
              <w:tabs>
                <w:tab w:val="clear" w:pos="4153"/>
                <w:tab w:val="clear" w:pos="8306"/>
              </w:tabs>
              <w:snapToGrid w:val="0"/>
              <w:spacing w:line="360" w:lineRule="auto"/>
              <w:ind w:right="-10"/>
              <w:textAlignment w:val="auto"/>
              <w:rPr>
                <w:rFonts w:hint="default" w:ascii="宋体" w:hAnsi="宋体" w:eastAsia="宋体"/>
                <w:color w:val="auto"/>
                <w:kern w:val="2"/>
                <w:szCs w:val="24"/>
                <w:highlight w:val="none"/>
                <w:lang w:val="en-US"/>
              </w:rPr>
            </w:pPr>
            <w:r>
              <w:rPr>
                <w:rFonts w:hint="eastAsia" w:ascii="宋体" w:hAnsi="宋体" w:eastAsia="宋体"/>
                <w:color w:val="auto"/>
                <w:kern w:val="2"/>
                <w:szCs w:val="24"/>
                <w:highlight w:val="none"/>
                <w:lang w:val="en-US" w:eastAsia="zh-CN"/>
              </w:rPr>
              <w:t>审查因素</w:t>
            </w:r>
          </w:p>
        </w:tc>
        <w:tc>
          <w:tcPr>
            <w:tcW w:w="2830" w:type="pct"/>
            <w:tcBorders>
              <w:bottom w:val="single" w:color="auto" w:sz="4" w:space="0"/>
            </w:tcBorders>
            <w:vAlign w:val="center"/>
          </w:tcPr>
          <w:p w14:paraId="5F6D396E">
            <w:pPr>
              <w:adjustRightInd w:val="0"/>
              <w:snapToGrid w:val="0"/>
              <w:spacing w:line="360" w:lineRule="auto"/>
              <w:ind w:right="-1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审查内容</w:t>
            </w:r>
          </w:p>
        </w:tc>
        <w:tc>
          <w:tcPr>
            <w:tcW w:w="1079" w:type="pct"/>
            <w:tcBorders>
              <w:bottom w:val="single" w:color="auto" w:sz="4" w:space="0"/>
            </w:tcBorders>
            <w:vAlign w:val="center"/>
          </w:tcPr>
          <w:p w14:paraId="78EE37FC">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5ADF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7" w:type="pct"/>
            <w:tcBorders>
              <w:bottom w:val="single" w:color="auto" w:sz="4" w:space="0"/>
            </w:tcBorders>
            <w:vAlign w:val="center"/>
          </w:tcPr>
          <w:p w14:paraId="56A98A2E">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1</w:t>
            </w:r>
          </w:p>
        </w:tc>
        <w:tc>
          <w:tcPr>
            <w:tcW w:w="712" w:type="pct"/>
            <w:tcBorders>
              <w:bottom w:val="single" w:color="auto" w:sz="4" w:space="0"/>
            </w:tcBorders>
            <w:vAlign w:val="center"/>
          </w:tcPr>
          <w:p w14:paraId="10D763CF">
            <w:pP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ascii="宋体" w:hAnsi="宋体" w:eastAsia="宋体" w:cs="宋体"/>
                <w:spacing w:val="9"/>
                <w:sz w:val="24"/>
                <w:szCs w:val="24"/>
              </w:rPr>
              <w:t>营业执照等证明</w:t>
            </w:r>
            <w:r>
              <w:rPr>
                <w:rFonts w:ascii="宋体" w:hAnsi="宋体" w:eastAsia="宋体" w:cs="宋体"/>
                <w:spacing w:val="-3"/>
                <w:sz w:val="24"/>
                <w:szCs w:val="24"/>
              </w:rPr>
              <w:t>文件</w:t>
            </w:r>
          </w:p>
        </w:tc>
        <w:tc>
          <w:tcPr>
            <w:tcW w:w="2830" w:type="pct"/>
            <w:tcBorders>
              <w:bottom w:val="single" w:color="auto" w:sz="4" w:space="0"/>
            </w:tcBorders>
            <w:vAlign w:val="center"/>
          </w:tcPr>
          <w:p w14:paraId="3104C6C4">
            <w:pPr>
              <w:spacing w:after="50" w:line="360" w:lineRule="auto"/>
              <w:ind w:right="-10" w:rightChars="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ascii="宋体" w:hAnsi="宋体" w:eastAsia="宋体" w:cs="宋体"/>
                <w:sz w:val="24"/>
                <w:szCs w:val="24"/>
              </w:rPr>
              <w:t>投标人为企业（包括合伙企业）的，应</w:t>
            </w:r>
            <w:r>
              <w:rPr>
                <w:rFonts w:hint="eastAsia" w:ascii="宋体" w:hAnsi="宋体" w:eastAsia="宋体" w:cs="宋体"/>
                <w:sz w:val="24"/>
                <w:szCs w:val="24"/>
                <w:lang w:val="en-US" w:eastAsia="zh-CN"/>
              </w:rPr>
              <w:t>提</w:t>
            </w:r>
            <w:r>
              <w:rPr>
                <w:rFonts w:ascii="宋体" w:hAnsi="宋体" w:eastAsia="宋体" w:cs="宋体"/>
                <w:sz w:val="24"/>
                <w:szCs w:val="24"/>
              </w:rPr>
              <w:t>供有效的营业执照；</w:t>
            </w:r>
          </w:p>
          <w:p w14:paraId="6FDE84A6">
            <w:pPr>
              <w:spacing w:after="50" w:line="360" w:lineRule="auto"/>
              <w:ind w:right="-10" w:rightChars="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ascii="宋体" w:hAnsi="宋体" w:eastAsia="宋体" w:cs="宋体"/>
                <w:sz w:val="24"/>
                <w:szCs w:val="24"/>
              </w:rPr>
              <w:t>投标人为事业单位的，应</w:t>
            </w:r>
            <w:r>
              <w:rPr>
                <w:rFonts w:hint="eastAsia" w:ascii="宋体" w:hAnsi="宋体" w:eastAsia="宋体" w:cs="宋体"/>
                <w:sz w:val="24"/>
                <w:szCs w:val="24"/>
                <w:lang w:val="en-US" w:eastAsia="zh-CN"/>
              </w:rPr>
              <w:t>提</w:t>
            </w:r>
            <w:r>
              <w:rPr>
                <w:rFonts w:ascii="宋体" w:hAnsi="宋体" w:eastAsia="宋体" w:cs="宋体"/>
                <w:sz w:val="24"/>
                <w:szCs w:val="24"/>
              </w:rPr>
              <w:t>供有效的事业单位法人证书；</w:t>
            </w:r>
          </w:p>
          <w:p w14:paraId="3DE98BFF">
            <w:pPr>
              <w:spacing w:after="50" w:line="360" w:lineRule="auto"/>
              <w:ind w:right="-10" w:rightChars="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ascii="宋体" w:hAnsi="宋体" w:eastAsia="宋体" w:cs="宋体"/>
                <w:sz w:val="24"/>
                <w:szCs w:val="24"/>
              </w:rPr>
              <w:t>投标人是非企业机构的，应</w:t>
            </w:r>
            <w:r>
              <w:rPr>
                <w:rFonts w:hint="eastAsia" w:ascii="宋体" w:hAnsi="宋体" w:eastAsia="宋体" w:cs="宋体"/>
                <w:sz w:val="24"/>
                <w:szCs w:val="24"/>
                <w:lang w:val="en-US" w:eastAsia="zh-CN"/>
              </w:rPr>
              <w:t>提</w:t>
            </w:r>
            <w:r>
              <w:rPr>
                <w:rFonts w:ascii="宋体" w:hAnsi="宋体" w:eastAsia="宋体" w:cs="宋体"/>
                <w:sz w:val="24"/>
                <w:szCs w:val="24"/>
              </w:rPr>
              <w:t>供有效的执业许可证</w:t>
            </w:r>
            <w:r>
              <w:rPr>
                <w:rFonts w:hint="eastAsia" w:ascii="宋体" w:hAnsi="宋体" w:eastAsia="宋体" w:cs="宋体"/>
                <w:sz w:val="24"/>
                <w:szCs w:val="24"/>
                <w:lang w:val="en-US" w:eastAsia="zh-CN"/>
              </w:rPr>
              <w:t>或</w:t>
            </w:r>
            <w:r>
              <w:rPr>
                <w:rFonts w:ascii="宋体" w:hAnsi="宋体" w:eastAsia="宋体" w:cs="宋体"/>
                <w:sz w:val="24"/>
                <w:szCs w:val="24"/>
              </w:rPr>
              <w:t>登记证书等证明文件；</w:t>
            </w:r>
          </w:p>
          <w:p w14:paraId="78A920F0">
            <w:pPr>
              <w:spacing w:after="50" w:line="360" w:lineRule="auto"/>
              <w:ind w:right="-10" w:rightChars="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ascii="宋体" w:hAnsi="宋体" w:eastAsia="宋体" w:cs="宋体"/>
                <w:sz w:val="24"/>
                <w:szCs w:val="24"/>
              </w:rPr>
              <w:t>投标人是个体工商户的，应</w:t>
            </w:r>
            <w:r>
              <w:rPr>
                <w:rFonts w:hint="eastAsia" w:ascii="宋体" w:hAnsi="宋体" w:eastAsia="宋体" w:cs="宋体"/>
                <w:sz w:val="24"/>
                <w:szCs w:val="24"/>
                <w:lang w:val="en-US" w:eastAsia="zh-CN"/>
              </w:rPr>
              <w:t>提</w:t>
            </w:r>
            <w:r>
              <w:rPr>
                <w:rFonts w:ascii="宋体" w:hAnsi="宋体" w:eastAsia="宋体" w:cs="宋体"/>
                <w:sz w:val="24"/>
                <w:szCs w:val="24"/>
              </w:rPr>
              <w:t>供有效的个体工商户营业执照；</w:t>
            </w:r>
          </w:p>
          <w:p w14:paraId="1DA1A50A">
            <w:pPr>
              <w:spacing w:after="50" w:line="360" w:lineRule="auto"/>
              <w:ind w:right="-10" w:rightChars="0"/>
              <w:jc w:val="left"/>
              <w:rPr>
                <w:rFonts w:ascii="宋体" w:hAnsi="宋体" w:eastAsia="宋体" w:cs="@仿宋_GB2312"/>
                <w:color w:val="auto"/>
                <w:kern w:val="2"/>
                <w:sz w:val="24"/>
                <w:szCs w:val="28"/>
                <w:highlight w:val="none"/>
                <w:lang w:val="en-US" w:eastAsia="zh-CN" w:bidi="ar-SA"/>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ascii="宋体" w:hAnsi="宋体" w:eastAsia="宋体" w:cs="宋体"/>
                <w:sz w:val="24"/>
                <w:szCs w:val="24"/>
              </w:rPr>
              <w:t>投标人是自然人的，应</w:t>
            </w:r>
            <w:r>
              <w:rPr>
                <w:rFonts w:hint="eastAsia" w:ascii="宋体" w:hAnsi="宋体" w:eastAsia="宋体" w:cs="宋体"/>
                <w:sz w:val="24"/>
                <w:szCs w:val="24"/>
                <w:lang w:val="en-US" w:eastAsia="zh-CN"/>
              </w:rPr>
              <w:t>提</w:t>
            </w:r>
            <w:r>
              <w:rPr>
                <w:rFonts w:ascii="宋体" w:hAnsi="宋体" w:eastAsia="宋体" w:cs="宋体"/>
                <w:sz w:val="24"/>
                <w:szCs w:val="24"/>
              </w:rPr>
              <w:t>供有效的自然人身份证明。</w:t>
            </w:r>
          </w:p>
        </w:tc>
        <w:tc>
          <w:tcPr>
            <w:tcW w:w="1079" w:type="pct"/>
            <w:vAlign w:val="center"/>
          </w:tcPr>
          <w:p w14:paraId="65EB05B0">
            <w:pPr>
              <w:spacing w:line="360" w:lineRule="auto"/>
              <w:jc w:val="left"/>
              <w:rPr>
                <w:rFonts w:ascii="宋体" w:hAnsi="宋体" w:eastAsia="宋体" w:cs="@仿宋_GB2312"/>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全部内容。联合体投标的联合体各方均须提供。</w:t>
            </w:r>
          </w:p>
        </w:tc>
      </w:tr>
      <w:tr w14:paraId="6A798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7" w:type="pct"/>
            <w:tcBorders>
              <w:bottom w:val="single" w:color="auto" w:sz="4" w:space="0"/>
            </w:tcBorders>
            <w:vAlign w:val="center"/>
          </w:tcPr>
          <w:p w14:paraId="3E29E38D">
            <w:pPr>
              <w:adjustRightInd w:val="0"/>
              <w:snapToGrid w:val="0"/>
              <w:spacing w:line="360" w:lineRule="auto"/>
              <w:ind w:right="-10" w:rightChars="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p>
        </w:tc>
        <w:tc>
          <w:tcPr>
            <w:tcW w:w="712" w:type="pct"/>
            <w:tcBorders>
              <w:bottom w:val="single" w:color="auto" w:sz="4" w:space="0"/>
            </w:tcBorders>
            <w:vAlign w:val="center"/>
          </w:tcPr>
          <w:p w14:paraId="467AB63B">
            <w:pPr>
              <w:spacing w:after="50" w:line="360" w:lineRule="auto"/>
              <w:ind w:right="-10" w:rightChars="0"/>
              <w:jc w:val="center"/>
              <w:rPr>
                <w:rFonts w:hint="default" w:ascii="宋体" w:hAnsi="宋体" w:eastAsia="宋体"/>
                <w:color w:val="auto"/>
                <w:sz w:val="24"/>
                <w:szCs w:val="28"/>
                <w:highlight w:val="none"/>
                <w:lang w:val="en-US"/>
              </w:rPr>
            </w:pPr>
            <w:r>
              <w:rPr>
                <w:rFonts w:hint="eastAsia" w:ascii="宋体" w:hAnsi="宋体" w:eastAsia="宋体"/>
                <w:color w:val="auto"/>
                <w:sz w:val="24"/>
                <w:szCs w:val="18"/>
                <w:highlight w:val="none"/>
                <w:lang w:val="en-US" w:eastAsia="zh-CN"/>
              </w:rPr>
              <w:t>投标人资格声明书</w:t>
            </w:r>
          </w:p>
        </w:tc>
        <w:tc>
          <w:tcPr>
            <w:tcW w:w="2830" w:type="pct"/>
            <w:tcBorders>
              <w:bottom w:val="single" w:color="auto" w:sz="4" w:space="0"/>
            </w:tcBorders>
            <w:vAlign w:val="center"/>
          </w:tcPr>
          <w:p w14:paraId="0C0F1B22">
            <w:pPr>
              <w:spacing w:after="50" w:line="360" w:lineRule="auto"/>
              <w:ind w:right="-10" w:rightChars="0"/>
              <w:jc w:val="left"/>
              <w:rPr>
                <w:rFonts w:hint="eastAsia" w:ascii="宋体" w:hAnsi="宋体" w:eastAsia="宋体"/>
                <w:color w:val="auto"/>
                <w:sz w:val="24"/>
                <w:szCs w:val="28"/>
                <w:highlight w:val="none"/>
              </w:rPr>
            </w:pPr>
            <w:r>
              <w:rPr>
                <w:rFonts w:hint="eastAsia" w:ascii="宋体" w:hAnsi="宋体" w:eastAsia="宋体" w:cs="宋体"/>
                <w:sz w:val="24"/>
                <w:szCs w:val="24"/>
                <w:lang w:val="en-US" w:eastAsia="zh-CN"/>
              </w:rPr>
              <w:t>提</w:t>
            </w:r>
            <w:r>
              <w:rPr>
                <w:rFonts w:ascii="宋体" w:hAnsi="宋体" w:eastAsia="宋体" w:cs="宋体"/>
                <w:sz w:val="24"/>
                <w:szCs w:val="24"/>
              </w:rPr>
              <w:t>供符合招标文件要求的《投标人资格声明书》</w:t>
            </w:r>
            <w:r>
              <w:rPr>
                <w:rFonts w:hint="eastAsia" w:ascii="宋体" w:hAnsi="宋体" w:eastAsia="宋体" w:cs="宋体"/>
                <w:sz w:val="24"/>
                <w:szCs w:val="24"/>
                <w:lang w:eastAsia="zh-CN"/>
              </w:rPr>
              <w:t>。</w:t>
            </w:r>
          </w:p>
        </w:tc>
        <w:tc>
          <w:tcPr>
            <w:tcW w:w="1079" w:type="pct"/>
            <w:vAlign w:val="center"/>
          </w:tcPr>
          <w:p w14:paraId="6397A990">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642E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tcBorders>
              <w:bottom w:val="single" w:color="auto" w:sz="4" w:space="0"/>
            </w:tcBorders>
            <w:vAlign w:val="center"/>
          </w:tcPr>
          <w:p w14:paraId="3E7FD57B">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p>
        </w:tc>
        <w:tc>
          <w:tcPr>
            <w:tcW w:w="712" w:type="pct"/>
            <w:tcBorders>
              <w:bottom w:val="single" w:color="auto" w:sz="4" w:space="0"/>
            </w:tcBorders>
            <w:vAlign w:val="center"/>
          </w:tcPr>
          <w:p w14:paraId="2A3F9933">
            <w:pPr>
              <w:spacing w:after="50" w:line="360" w:lineRule="auto"/>
              <w:ind w:right="-10"/>
              <w:jc w:val="center"/>
              <w:rPr>
                <w:rFonts w:ascii="宋体" w:hAnsi="宋体" w:eastAsia="宋体"/>
                <w:color w:val="auto"/>
                <w:sz w:val="24"/>
                <w:szCs w:val="28"/>
                <w:highlight w:val="none"/>
              </w:rPr>
            </w:pPr>
            <w:r>
              <w:rPr>
                <w:rFonts w:hint="eastAsia" w:ascii="宋体" w:hAnsi="宋体" w:eastAsia="宋体" w:cs="宋体"/>
                <w:color w:val="auto"/>
                <w:sz w:val="24"/>
                <w:szCs w:val="24"/>
                <w:highlight w:val="none"/>
              </w:rPr>
              <w:t>投标人信用记录</w:t>
            </w:r>
          </w:p>
        </w:tc>
        <w:tc>
          <w:tcPr>
            <w:tcW w:w="2830" w:type="pct"/>
            <w:tcBorders>
              <w:bottom w:val="single" w:color="auto" w:sz="4" w:space="0"/>
            </w:tcBorders>
            <w:vAlign w:val="center"/>
          </w:tcPr>
          <w:p w14:paraId="24CE7DE4">
            <w:pPr>
              <w:spacing w:after="50" w:line="360" w:lineRule="auto"/>
              <w:ind w:right="-10" w:rightChars="0"/>
              <w:jc w:val="left"/>
            </w:pPr>
            <w:r>
              <w:rPr>
                <w:rFonts w:hint="eastAsia" w:ascii="宋体" w:hAnsi="宋体" w:eastAsia="宋体" w:cs="宋体"/>
                <w:sz w:val="24"/>
                <w:szCs w:val="24"/>
                <w:lang w:val="zh-CN" w:eastAsia="zh-CN"/>
              </w:rPr>
              <w:t>投标人不得存在投标人须知正文第1</w:t>
            </w: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.2</w:t>
            </w:r>
            <w:r>
              <w:rPr>
                <w:rFonts w:hint="eastAsia" w:ascii="宋体" w:hAnsi="宋体" w:eastAsia="宋体" w:cs="宋体"/>
                <w:sz w:val="24"/>
                <w:szCs w:val="24"/>
                <w:lang w:val="en-US" w:eastAsia="zh-CN"/>
              </w:rPr>
              <w:t>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79" w:type="pct"/>
            <w:tcBorders>
              <w:bottom w:val="single" w:color="auto" w:sz="4" w:space="0"/>
            </w:tcBorders>
            <w:vAlign w:val="center"/>
          </w:tcPr>
          <w:p w14:paraId="593ED717">
            <w:pPr>
              <w:spacing w:line="360" w:lineRule="auto"/>
              <w:jc w:val="left"/>
              <w:rPr>
                <w:rFonts w:ascii="@仿宋_GB2312" w:hAnsi="@仿宋_GB2312" w:eastAsia="@仿宋_GB2312" w:cs="@仿宋_GB2312"/>
                <w:color w:val="auto"/>
                <w:kern w:val="2"/>
                <w:sz w:val="21"/>
                <w:highlight w:val="none"/>
                <w:lang w:val="en-US" w:eastAsia="zh-CN" w:bidi="ar-SA"/>
              </w:rPr>
            </w:pPr>
            <w:r>
              <w:rPr>
                <w:rFonts w:hint="eastAsia" w:ascii="宋体" w:hAnsi="宋体" w:eastAsia="宋体" w:cs="宋体"/>
                <w:sz w:val="24"/>
                <w:szCs w:val="24"/>
              </w:rPr>
              <w:t>无须投标人</w:t>
            </w:r>
            <w:r>
              <w:rPr>
                <w:rFonts w:hint="eastAsia" w:ascii="宋体" w:hAnsi="宋体" w:eastAsia="宋体" w:cs="宋体"/>
                <w:sz w:val="24"/>
                <w:szCs w:val="24"/>
                <w:lang w:val="en-US" w:eastAsia="zh-CN"/>
              </w:rPr>
              <w:t>提</w:t>
            </w:r>
            <w:r>
              <w:rPr>
                <w:rFonts w:hint="eastAsia" w:ascii="宋体" w:hAnsi="宋体" w:eastAsia="宋体" w:cs="宋体"/>
                <w:sz w:val="24"/>
                <w:szCs w:val="24"/>
              </w:rPr>
              <w:t>供，由采购人或采购代理机构查询。</w:t>
            </w:r>
          </w:p>
        </w:tc>
      </w:tr>
      <w:tr w14:paraId="2E9D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tcBorders>
              <w:bottom w:val="single" w:color="auto" w:sz="4" w:space="0"/>
            </w:tcBorders>
            <w:vAlign w:val="center"/>
          </w:tcPr>
          <w:p w14:paraId="7FAB027F">
            <w:pPr>
              <w:adjustRightInd w:val="0"/>
              <w:snapToGrid w:val="0"/>
              <w:spacing w:line="360" w:lineRule="auto"/>
              <w:ind w:right="-10" w:rightChars="0"/>
              <w:jc w:val="center"/>
              <w:rPr>
                <w:rFonts w:hint="eastAsia"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lang w:val="en-US" w:eastAsia="zh-CN"/>
              </w:rPr>
              <w:t>4</w:t>
            </w:r>
          </w:p>
        </w:tc>
        <w:tc>
          <w:tcPr>
            <w:tcW w:w="712" w:type="pct"/>
            <w:tcBorders>
              <w:bottom w:val="single" w:color="auto" w:sz="4" w:space="0"/>
            </w:tcBorders>
            <w:vAlign w:val="center"/>
          </w:tcPr>
          <w:p w14:paraId="2E48169E">
            <w:pPr>
              <w:spacing w:after="50" w:line="360" w:lineRule="auto"/>
              <w:ind w:right="-1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中小企业证明文件</w:t>
            </w:r>
          </w:p>
        </w:tc>
        <w:tc>
          <w:tcPr>
            <w:tcW w:w="2830" w:type="pct"/>
            <w:tcBorders>
              <w:bottom w:val="single" w:color="auto" w:sz="4" w:space="0"/>
            </w:tcBorders>
            <w:vAlign w:val="top"/>
          </w:tcPr>
          <w:p w14:paraId="7A7BA376">
            <w:pPr>
              <w:spacing w:after="50" w:line="360" w:lineRule="auto"/>
              <w:ind w:right="-10"/>
              <w:jc w:val="left"/>
              <w:rPr>
                <w:rFonts w:hint="eastAsia" w:ascii="宋体" w:hAnsi="宋体" w:eastAsia="宋体" w:cs="宋体"/>
                <w:color w:val="auto"/>
                <w:sz w:val="24"/>
                <w:szCs w:val="24"/>
                <w:highlight w:val="none"/>
                <w:lang w:val="en-US" w:eastAsia="en-US"/>
              </w:rPr>
            </w:pPr>
            <w:r>
              <w:rPr>
                <w:rFonts w:hint="eastAsia" w:ascii="宋体" w:hAnsi="宋体" w:eastAsia="宋体"/>
                <w:color w:val="auto"/>
                <w:sz w:val="24"/>
                <w:szCs w:val="28"/>
                <w:highlight w:val="none"/>
              </w:rPr>
              <w:t>符合</w:t>
            </w:r>
            <w:r>
              <w:rPr>
                <w:rFonts w:hint="eastAsia" w:ascii="宋体" w:hAnsi="宋体" w:eastAsia="宋体"/>
                <w:color w:val="auto"/>
                <w:sz w:val="24"/>
                <w:szCs w:val="28"/>
                <w:highlight w:val="none"/>
                <w:lang w:val="en-US" w:eastAsia="zh-CN"/>
              </w:rPr>
              <w:t>申请人的</w:t>
            </w:r>
            <w:r>
              <w:rPr>
                <w:rFonts w:hint="eastAsia" w:ascii="宋体" w:hAnsi="宋体" w:eastAsia="宋体"/>
                <w:color w:val="auto"/>
                <w:sz w:val="24"/>
                <w:szCs w:val="28"/>
                <w:highlight w:val="none"/>
              </w:rPr>
              <w:t>资格</w:t>
            </w:r>
            <w:r>
              <w:rPr>
                <w:rFonts w:hint="eastAsia" w:ascii="宋体" w:hAnsi="宋体" w:eastAsia="宋体"/>
                <w:color w:val="auto"/>
                <w:sz w:val="24"/>
                <w:szCs w:val="28"/>
                <w:highlight w:val="none"/>
                <w:lang w:val="en-US" w:eastAsia="zh-CN"/>
              </w:rPr>
              <w:t>要求</w:t>
            </w:r>
            <w:r>
              <w:rPr>
                <w:rFonts w:hint="eastAsia" w:ascii="宋体" w:hAnsi="宋体" w:eastAsia="宋体"/>
                <w:color w:val="auto"/>
                <w:sz w:val="24"/>
                <w:szCs w:val="28"/>
                <w:highlight w:val="none"/>
              </w:rPr>
              <w:t>中落实政府采购政策需满足的资格要求</w:t>
            </w:r>
            <w:r>
              <w:rPr>
                <w:rFonts w:hint="eastAsia" w:ascii="宋体" w:hAnsi="宋体" w:eastAsia="宋体"/>
                <w:color w:val="auto"/>
                <w:sz w:val="24"/>
                <w:szCs w:val="28"/>
                <w:highlight w:val="none"/>
                <w:lang w:eastAsia="zh-CN"/>
              </w:rPr>
              <w:t>：</w:t>
            </w:r>
            <w:r>
              <w:rPr>
                <w:rFonts w:hint="eastAsia" w:ascii="宋体" w:hAnsi="宋体" w:eastAsia="宋体" w:cs="宋体"/>
                <w:color w:val="auto"/>
                <w:sz w:val="24"/>
                <w:szCs w:val="24"/>
                <w:highlight w:val="none"/>
              </w:rPr>
              <w:t>专门面向中小企业采购</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eastAsia="zh-CN"/>
              </w:rPr>
              <w:t>投</w:t>
            </w:r>
            <w:r>
              <w:rPr>
                <w:rFonts w:hint="eastAsia" w:ascii="宋体" w:hAnsi="宋体" w:eastAsia="宋体" w:cs="宋体"/>
                <w:sz w:val="24"/>
                <w:szCs w:val="24"/>
                <w:lang w:val="zh-CN" w:eastAsia="zh-CN"/>
              </w:rPr>
              <w:t>标人</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供《中小企业声明函》或《残疾人福利性单位声明函》或由省级以上监狱管理局、戒毒管理局（含新疆 生产建设兵团）出具的属于监狱企业的证明文件。</w:t>
            </w:r>
          </w:p>
        </w:tc>
        <w:tc>
          <w:tcPr>
            <w:tcW w:w="1079" w:type="pct"/>
            <w:tcBorders>
              <w:bottom w:val="single" w:color="auto" w:sz="4" w:space="0"/>
            </w:tcBorders>
            <w:vAlign w:val="center"/>
          </w:tcPr>
          <w:p w14:paraId="1F528D0E">
            <w:pPr>
              <w:spacing w:after="50" w:line="360" w:lineRule="auto"/>
              <w:ind w:right="-10"/>
              <w:jc w:val="center"/>
              <w:rPr>
                <w:rFonts w:hint="eastAsia" w:ascii="宋体" w:hAnsi="宋体" w:eastAsia="宋体" w:cs="宋体"/>
                <w:color w:val="auto"/>
                <w:sz w:val="24"/>
                <w:szCs w:val="24"/>
                <w:highlight w:val="none"/>
                <w:lang w:val="en-US"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bl>
    <w:p w14:paraId="32F09917">
      <w:pPr>
        <w:spacing w:line="360" w:lineRule="auto"/>
        <w:ind w:firstLine="435"/>
        <w:rPr>
          <w:rFonts w:asciiTheme="minorEastAsia" w:hAnsiTheme="minorEastAsia" w:eastAsiaTheme="minorEastAsia"/>
          <w:color w:val="auto"/>
          <w:sz w:val="24"/>
          <w:highlight w:val="none"/>
        </w:rPr>
      </w:pPr>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p w14:paraId="0159F02C">
      <w:pPr>
        <w:spacing w:line="360" w:lineRule="auto"/>
        <w:ind w:firstLine="437"/>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2.2符合性审查</w:t>
      </w:r>
    </w:p>
    <w:p w14:paraId="364A28E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评标委员会对通过资格审查的投标人的投标文件进行符合性审查，以确定其是否满足招标文件的实质性要求。符合性审查表如下：</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514"/>
        <w:gridCol w:w="3726"/>
        <w:gridCol w:w="2519"/>
      </w:tblGrid>
      <w:tr w14:paraId="642D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34A0D3BB">
            <w:pPr>
              <w:adjustRightInd w:val="0"/>
              <w:snapToGrid w:val="0"/>
              <w:spacing w:line="360" w:lineRule="auto"/>
              <w:ind w:right="-10"/>
              <w:jc w:val="center"/>
              <w:rPr>
                <w:rFonts w:ascii="宋体" w:hAnsi="宋体" w:eastAsia="宋体"/>
                <w:b/>
                <w:bCs/>
                <w:color w:val="auto"/>
                <w:sz w:val="24"/>
                <w:highlight w:val="none"/>
              </w:rPr>
            </w:pPr>
            <w:r>
              <w:rPr>
                <w:rFonts w:hint="eastAsia" w:ascii="宋体" w:hAnsi="宋体" w:eastAsia="宋体"/>
                <w:b/>
                <w:bCs/>
                <w:color w:val="auto"/>
                <w:sz w:val="24"/>
                <w:highlight w:val="none"/>
              </w:rPr>
              <w:t>符合性审查表</w:t>
            </w:r>
          </w:p>
        </w:tc>
      </w:tr>
      <w:tr w14:paraId="09B6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48" w:type="pct"/>
            <w:tcBorders>
              <w:bottom w:val="single" w:color="auto" w:sz="4" w:space="0"/>
            </w:tcBorders>
            <w:vAlign w:val="center"/>
          </w:tcPr>
          <w:p w14:paraId="34132391">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888" w:type="pct"/>
            <w:tcBorders>
              <w:bottom w:val="single" w:color="auto" w:sz="4" w:space="0"/>
            </w:tcBorders>
            <w:vAlign w:val="center"/>
          </w:tcPr>
          <w:p w14:paraId="7C071EEC">
            <w:pPr>
              <w:pStyle w:val="32"/>
              <w:pBdr>
                <w:bottom w:val="none" w:color="auto" w:sz="0" w:space="0"/>
              </w:pBdr>
              <w:tabs>
                <w:tab w:val="clear" w:pos="4153"/>
                <w:tab w:val="clear" w:pos="8306"/>
              </w:tabs>
              <w:snapToGrid w:val="0"/>
              <w:spacing w:line="360" w:lineRule="auto"/>
              <w:ind w:right="-10"/>
              <w:textAlignment w:val="auto"/>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审查指标</w:t>
            </w:r>
          </w:p>
        </w:tc>
        <w:tc>
          <w:tcPr>
            <w:tcW w:w="2186" w:type="pct"/>
            <w:tcBorders>
              <w:bottom w:val="single" w:color="auto" w:sz="4" w:space="0"/>
            </w:tcBorders>
            <w:vAlign w:val="center"/>
          </w:tcPr>
          <w:p w14:paraId="36428A22">
            <w:pPr>
              <w:adjustRightInd w:val="0"/>
              <w:snapToGrid w:val="0"/>
              <w:spacing w:line="360" w:lineRule="auto"/>
              <w:ind w:right="-10"/>
              <w:jc w:val="center"/>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审查标准</w:t>
            </w:r>
          </w:p>
        </w:tc>
        <w:tc>
          <w:tcPr>
            <w:tcW w:w="1476" w:type="pct"/>
            <w:tcBorders>
              <w:bottom w:val="single" w:color="auto" w:sz="4" w:space="0"/>
            </w:tcBorders>
            <w:vAlign w:val="center"/>
          </w:tcPr>
          <w:p w14:paraId="697E6E60">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2D573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41A1427B">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888" w:type="pct"/>
            <w:vAlign w:val="center"/>
          </w:tcPr>
          <w:p w14:paraId="779DE62B">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highlight w:val="none"/>
              </w:rPr>
              <w:t>开标一览表</w:t>
            </w:r>
          </w:p>
        </w:tc>
        <w:tc>
          <w:tcPr>
            <w:tcW w:w="2186" w:type="pct"/>
            <w:vAlign w:val="center"/>
          </w:tcPr>
          <w:p w14:paraId="2DB79D3F">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76" w:type="pct"/>
            <w:vAlign w:val="center"/>
          </w:tcPr>
          <w:p w14:paraId="22844BCA">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31E38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49D4D2FA">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888" w:type="pct"/>
            <w:vAlign w:val="center"/>
          </w:tcPr>
          <w:p w14:paraId="733B4BA6">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投标函</w:t>
            </w:r>
          </w:p>
        </w:tc>
        <w:tc>
          <w:tcPr>
            <w:tcW w:w="2186" w:type="pct"/>
            <w:vAlign w:val="center"/>
          </w:tcPr>
          <w:p w14:paraId="222E3E40">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76" w:type="pct"/>
            <w:vAlign w:val="center"/>
          </w:tcPr>
          <w:p w14:paraId="71585F77">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0150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53CF8EB0">
            <w:pPr>
              <w:adjustRightInd w:val="0"/>
              <w:snapToGrid w:val="0"/>
              <w:spacing w:line="360" w:lineRule="auto"/>
              <w:ind w:right="-10"/>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p>
        </w:tc>
        <w:tc>
          <w:tcPr>
            <w:tcW w:w="888" w:type="pct"/>
            <w:vAlign w:val="center"/>
          </w:tcPr>
          <w:p w14:paraId="748020EB">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2186" w:type="pct"/>
            <w:vAlign w:val="center"/>
          </w:tcPr>
          <w:p w14:paraId="24961A08">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76" w:type="pct"/>
            <w:vAlign w:val="center"/>
          </w:tcPr>
          <w:p w14:paraId="694E3E70">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法定代表人参加投标的无需此件，提供身份证明即可。详见第六章投标文件格式</w:t>
            </w:r>
            <w:r>
              <w:rPr>
                <w:rFonts w:hint="eastAsia" w:asciiTheme="minorEastAsia" w:hAnsiTheme="minorEastAsia" w:eastAsiaTheme="minorEastAsia"/>
                <w:color w:val="auto"/>
                <w:sz w:val="24"/>
                <w:highlight w:val="none"/>
                <w:lang w:eastAsia="zh-CN"/>
              </w:rPr>
              <w:t>。</w:t>
            </w:r>
          </w:p>
        </w:tc>
      </w:tr>
      <w:tr w14:paraId="2819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42D31DA5">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888" w:type="pct"/>
            <w:vAlign w:val="center"/>
          </w:tcPr>
          <w:p w14:paraId="69A741A2">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投标报价</w:t>
            </w:r>
          </w:p>
        </w:tc>
        <w:tc>
          <w:tcPr>
            <w:tcW w:w="2186" w:type="pct"/>
            <w:vAlign w:val="center"/>
          </w:tcPr>
          <w:p w14:paraId="53D1D1BC">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rPr>
              <w:t>招标文件投标人须知正文第</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条要求</w:t>
            </w:r>
          </w:p>
        </w:tc>
        <w:tc>
          <w:tcPr>
            <w:tcW w:w="1476" w:type="pct"/>
            <w:vAlign w:val="center"/>
          </w:tcPr>
          <w:p w14:paraId="73B4DC51">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339C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325398B1">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5</w:t>
            </w:r>
          </w:p>
        </w:tc>
        <w:tc>
          <w:tcPr>
            <w:tcW w:w="888" w:type="pct"/>
            <w:vAlign w:val="center"/>
          </w:tcPr>
          <w:p w14:paraId="32C3FDD9">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商务响应情况</w:t>
            </w:r>
          </w:p>
        </w:tc>
        <w:tc>
          <w:tcPr>
            <w:tcW w:w="2186" w:type="pct"/>
            <w:vAlign w:val="center"/>
          </w:tcPr>
          <w:p w14:paraId="31F19AC3">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符合招标文件采购需求中对付款方式、</w:t>
            </w:r>
            <w:r>
              <w:rPr>
                <w:rFonts w:hint="eastAsia" w:asciiTheme="minorEastAsia" w:hAnsiTheme="minorEastAsia" w:eastAsiaTheme="minorEastAsia"/>
                <w:color w:val="auto"/>
                <w:sz w:val="24"/>
                <w:szCs w:val="28"/>
                <w:highlight w:val="none"/>
                <w:lang w:val="en-US" w:eastAsia="zh-CN"/>
              </w:rPr>
              <w:t>服务</w:t>
            </w:r>
            <w:r>
              <w:rPr>
                <w:rFonts w:hint="eastAsia" w:asciiTheme="minorEastAsia" w:hAnsiTheme="minorEastAsia" w:eastAsiaTheme="minorEastAsia"/>
                <w:color w:val="auto"/>
                <w:sz w:val="24"/>
                <w:szCs w:val="28"/>
                <w:highlight w:val="none"/>
              </w:rPr>
              <w:t>地点、</w:t>
            </w:r>
            <w:r>
              <w:rPr>
                <w:rFonts w:hint="eastAsia" w:asciiTheme="minorEastAsia" w:hAnsiTheme="minorEastAsia" w:eastAsiaTheme="minorEastAsia"/>
                <w:color w:val="auto"/>
                <w:sz w:val="24"/>
                <w:szCs w:val="28"/>
                <w:highlight w:val="none"/>
                <w:lang w:val="en-US" w:eastAsia="zh-CN"/>
              </w:rPr>
              <w:t>服务</w:t>
            </w:r>
            <w:r>
              <w:rPr>
                <w:rFonts w:hint="eastAsia" w:asciiTheme="minorEastAsia" w:hAnsiTheme="minorEastAsia" w:eastAsiaTheme="minorEastAsia"/>
                <w:color w:val="auto"/>
                <w:sz w:val="24"/>
                <w:szCs w:val="28"/>
                <w:highlight w:val="none"/>
              </w:rPr>
              <w:t>期限</w:t>
            </w:r>
            <w:r>
              <w:rPr>
                <w:rFonts w:hint="eastAsia" w:asciiTheme="minorEastAsia" w:hAnsiTheme="minorEastAsia" w:eastAsiaTheme="minorEastAsia"/>
                <w:color w:val="auto"/>
                <w:sz w:val="24"/>
                <w:szCs w:val="28"/>
                <w:highlight w:val="none"/>
                <w:lang w:val="en-US" w:eastAsia="zh-CN"/>
              </w:rPr>
              <w:t>等实质性</w:t>
            </w:r>
            <w:r>
              <w:rPr>
                <w:rFonts w:hint="eastAsia" w:asciiTheme="minorEastAsia" w:hAnsiTheme="minorEastAsia" w:eastAsiaTheme="minorEastAsia"/>
                <w:color w:val="auto"/>
                <w:sz w:val="24"/>
                <w:szCs w:val="28"/>
                <w:highlight w:val="none"/>
              </w:rPr>
              <w:t>要求</w:t>
            </w:r>
          </w:p>
        </w:tc>
        <w:tc>
          <w:tcPr>
            <w:tcW w:w="1476" w:type="pct"/>
            <w:vAlign w:val="center"/>
          </w:tcPr>
          <w:p w14:paraId="68EF325A">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1708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72EBD4A1">
            <w:pPr>
              <w:adjustRightInd w:val="0"/>
              <w:snapToGrid w:val="0"/>
              <w:spacing w:line="360" w:lineRule="auto"/>
              <w:ind w:right="-10"/>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6</w:t>
            </w:r>
          </w:p>
        </w:tc>
        <w:tc>
          <w:tcPr>
            <w:tcW w:w="888" w:type="pct"/>
            <w:shd w:val="clear" w:color="auto" w:fill="auto"/>
            <w:vAlign w:val="center"/>
          </w:tcPr>
          <w:p w14:paraId="5DEAE518">
            <w:pPr>
              <w:pStyle w:val="60"/>
              <w:adjustRightInd w:val="0"/>
              <w:jc w:val="center"/>
              <w:rPr>
                <w:rFonts w:hint="eastAsia" w:cs="@仿宋_GB2312" w:asciiTheme="minorEastAsia" w:hAnsiTheme="minorEastAsia" w:eastAsiaTheme="minorEastAsia"/>
                <w:color w:val="auto"/>
                <w:kern w:val="2"/>
                <w:sz w:val="24"/>
                <w:szCs w:val="28"/>
                <w:highlight w:val="none"/>
                <w:lang w:val="en-US" w:eastAsia="zh-CN" w:bidi="ar-SA"/>
              </w:rPr>
            </w:pPr>
            <w:r>
              <w:rPr>
                <w:rFonts w:hint="eastAsia" w:cs="@仿宋_GB2312" w:asciiTheme="minorEastAsia" w:hAnsiTheme="minorEastAsia" w:eastAsiaTheme="minorEastAsia"/>
                <w:color w:val="auto"/>
                <w:kern w:val="2"/>
                <w:sz w:val="24"/>
                <w:szCs w:val="28"/>
                <w:highlight w:val="none"/>
                <w:lang w:val="en-US" w:eastAsia="zh-CN" w:bidi="ar-SA"/>
              </w:rPr>
              <w:t>硬件信息</w:t>
            </w:r>
          </w:p>
        </w:tc>
        <w:tc>
          <w:tcPr>
            <w:tcW w:w="2186" w:type="pct"/>
            <w:shd w:val="clear" w:color="auto" w:fill="auto"/>
            <w:vAlign w:val="center"/>
          </w:tcPr>
          <w:p w14:paraId="664E3ED7">
            <w:pPr>
              <w:pStyle w:val="60"/>
              <w:adjustRightInd w:val="0"/>
              <w:jc w:val="center"/>
              <w:rPr>
                <w:rFonts w:hint="eastAsia" w:cs="@仿宋_GB2312" w:asciiTheme="minorEastAsia" w:hAnsiTheme="minorEastAsia" w:eastAsiaTheme="minorEastAsia"/>
                <w:color w:val="auto"/>
                <w:kern w:val="2"/>
                <w:sz w:val="24"/>
                <w:szCs w:val="28"/>
                <w:highlight w:val="none"/>
                <w:lang w:val="en-US" w:eastAsia="zh-CN" w:bidi="ar-SA"/>
              </w:rPr>
            </w:pPr>
            <w:r>
              <w:rPr>
                <w:rFonts w:hint="eastAsia" w:cs="@仿宋_GB2312" w:asciiTheme="minorEastAsia" w:hAnsiTheme="minorEastAsia" w:eastAsiaTheme="minorEastAsia"/>
                <w:color w:val="auto"/>
                <w:kern w:val="2"/>
                <w:sz w:val="24"/>
                <w:szCs w:val="28"/>
                <w:highlight w:val="none"/>
                <w:lang w:val="en-US" w:eastAsia="zh-CN" w:bidi="ar-SA"/>
              </w:rPr>
              <w:t>本项目评审时将查询生成投标文件的硬件信息，如不同投标文件的硬件信息异常一致，将被认定为投标文件无效，并报政府采购监督管理部门处理。</w:t>
            </w:r>
          </w:p>
        </w:tc>
        <w:tc>
          <w:tcPr>
            <w:tcW w:w="1476" w:type="pct"/>
            <w:vAlign w:val="center"/>
          </w:tcPr>
          <w:p w14:paraId="04F07346">
            <w:pPr>
              <w:adjustRightInd w:val="0"/>
              <w:snapToGrid w:val="0"/>
              <w:spacing w:line="360" w:lineRule="auto"/>
              <w:ind w:right="-10"/>
              <w:jc w:val="center"/>
              <w:rPr>
                <w:rFonts w:hint="eastAsia" w:asciiTheme="minorEastAsia" w:hAnsiTheme="minorEastAsia" w:eastAsiaTheme="minorEastAsia"/>
                <w:color w:val="auto"/>
                <w:sz w:val="24"/>
                <w:highlight w:val="none"/>
              </w:rPr>
            </w:pPr>
          </w:p>
        </w:tc>
      </w:tr>
      <w:tr w14:paraId="7E8A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37086FE6">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7</w:t>
            </w:r>
          </w:p>
        </w:tc>
        <w:tc>
          <w:tcPr>
            <w:tcW w:w="888" w:type="pct"/>
            <w:vAlign w:val="center"/>
          </w:tcPr>
          <w:p w14:paraId="53A0FDCF">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2186" w:type="pct"/>
            <w:vAlign w:val="center"/>
          </w:tcPr>
          <w:p w14:paraId="429A6FF7">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符合法律、行政法规规定的其他条件或招标文件列明的其他</w:t>
            </w:r>
            <w:r>
              <w:rPr>
                <w:rFonts w:hint="eastAsia" w:asciiTheme="minorEastAsia" w:hAnsiTheme="minorEastAsia" w:eastAsiaTheme="minorEastAsia"/>
                <w:color w:val="auto"/>
                <w:sz w:val="24"/>
                <w:szCs w:val="28"/>
                <w:highlight w:val="none"/>
                <w:lang w:val="en-US" w:eastAsia="zh-CN"/>
              </w:rPr>
              <w:t>实质性</w:t>
            </w:r>
            <w:r>
              <w:rPr>
                <w:rFonts w:hint="eastAsia" w:asciiTheme="minorEastAsia" w:hAnsiTheme="minorEastAsia" w:eastAsiaTheme="minorEastAsia"/>
                <w:color w:val="auto"/>
                <w:sz w:val="24"/>
                <w:szCs w:val="28"/>
                <w:highlight w:val="none"/>
              </w:rPr>
              <w:t>要求</w:t>
            </w:r>
          </w:p>
        </w:tc>
        <w:tc>
          <w:tcPr>
            <w:tcW w:w="1476" w:type="pct"/>
            <w:vAlign w:val="center"/>
          </w:tcPr>
          <w:p w14:paraId="366652AE">
            <w:pPr>
              <w:adjustRightInd w:val="0"/>
              <w:snapToGrid w:val="0"/>
              <w:spacing w:line="360" w:lineRule="auto"/>
              <w:ind w:right="-10"/>
              <w:jc w:val="center"/>
              <w:rPr>
                <w:rFonts w:asciiTheme="minorEastAsia" w:hAnsiTheme="minorEastAsia" w:eastAsiaTheme="minorEastAsia"/>
                <w:color w:val="auto"/>
                <w:sz w:val="24"/>
                <w:highlight w:val="none"/>
              </w:rPr>
            </w:pPr>
          </w:p>
        </w:tc>
      </w:tr>
    </w:tbl>
    <w:p w14:paraId="24DFC86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符合性审查指标通过标准：</w:t>
      </w:r>
      <w:r>
        <w:rPr>
          <w:rFonts w:hint="eastAsia" w:asciiTheme="minorEastAsia" w:hAnsiTheme="minorEastAsia" w:eastAsiaTheme="minorEastAsia"/>
          <w:color w:val="auto"/>
          <w:sz w:val="24"/>
          <w:highlight w:val="none"/>
        </w:rPr>
        <w:t>投标人必须通过符合性审查表中的全部评审指标。</w:t>
      </w:r>
    </w:p>
    <w:p w14:paraId="335FD4B1">
      <w:pPr>
        <w:spacing w:line="360" w:lineRule="auto"/>
        <w:ind w:firstLine="437"/>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2.3详细审查</w:t>
      </w:r>
    </w:p>
    <w:p w14:paraId="7252166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rPr>
        <w:t>评标委员会按照下表对投标文件进行详细审查和评分。</w:t>
      </w:r>
    </w:p>
    <w:p w14:paraId="6848D2D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分，其中：技术资信分值占总分值的权重为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85</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%，价格分值占总分值的权重为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15</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%。具体评分细则如下：</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272"/>
        <w:gridCol w:w="5004"/>
        <w:gridCol w:w="1316"/>
      </w:tblGrid>
      <w:tr w14:paraId="4917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46" w:type="pct"/>
            <w:tcBorders>
              <w:top w:val="single" w:color="auto" w:sz="4" w:space="0"/>
              <w:left w:val="single" w:color="auto" w:sz="4" w:space="0"/>
              <w:bottom w:val="single" w:color="auto" w:sz="4" w:space="0"/>
              <w:right w:val="single" w:color="auto" w:sz="4" w:space="0"/>
            </w:tcBorders>
            <w:vAlign w:val="center"/>
          </w:tcPr>
          <w:p w14:paraId="542AB024">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类别</w:t>
            </w:r>
          </w:p>
        </w:tc>
        <w:tc>
          <w:tcPr>
            <w:tcW w:w="746" w:type="pct"/>
            <w:tcBorders>
              <w:top w:val="single" w:color="auto" w:sz="4" w:space="0"/>
              <w:left w:val="single" w:color="auto" w:sz="4" w:space="0"/>
              <w:bottom w:val="single" w:color="auto" w:sz="4" w:space="0"/>
              <w:right w:val="single" w:color="auto" w:sz="4" w:space="0"/>
            </w:tcBorders>
            <w:vAlign w:val="center"/>
          </w:tcPr>
          <w:p w14:paraId="1628C6EB">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评分内容</w:t>
            </w:r>
          </w:p>
        </w:tc>
        <w:tc>
          <w:tcPr>
            <w:tcW w:w="2935" w:type="pct"/>
            <w:tcBorders>
              <w:top w:val="single" w:color="auto" w:sz="4" w:space="0"/>
              <w:left w:val="single" w:color="auto" w:sz="4" w:space="0"/>
              <w:bottom w:val="single" w:color="auto" w:sz="4" w:space="0"/>
              <w:right w:val="single" w:color="auto" w:sz="4" w:space="0"/>
            </w:tcBorders>
            <w:vAlign w:val="center"/>
          </w:tcPr>
          <w:p w14:paraId="2289E577">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评分标准</w:t>
            </w:r>
          </w:p>
        </w:tc>
        <w:tc>
          <w:tcPr>
            <w:tcW w:w="771" w:type="pct"/>
            <w:tcBorders>
              <w:top w:val="single" w:color="auto" w:sz="4" w:space="0"/>
              <w:left w:val="single" w:color="auto" w:sz="4" w:space="0"/>
              <w:bottom w:val="single" w:color="auto" w:sz="4" w:space="0"/>
              <w:right w:val="single" w:color="auto" w:sz="4" w:space="0"/>
            </w:tcBorders>
            <w:vAlign w:val="center"/>
          </w:tcPr>
          <w:p w14:paraId="2BFDDD68">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分值范围</w:t>
            </w:r>
          </w:p>
        </w:tc>
      </w:tr>
      <w:tr w14:paraId="05231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Merge w:val="restart"/>
            <w:tcBorders>
              <w:top w:val="single" w:color="auto" w:sz="4" w:space="0"/>
              <w:left w:val="single" w:color="auto" w:sz="4" w:space="0"/>
              <w:right w:val="single" w:color="auto" w:sz="4" w:space="0"/>
            </w:tcBorders>
            <w:vAlign w:val="center"/>
          </w:tcPr>
          <w:p w14:paraId="5806B687">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技术资信分</w:t>
            </w:r>
          </w:p>
          <w:p w14:paraId="6B627049">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85</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分）</w:t>
            </w:r>
          </w:p>
        </w:tc>
        <w:tc>
          <w:tcPr>
            <w:tcW w:w="746" w:type="pct"/>
            <w:tcBorders>
              <w:top w:val="single" w:color="auto" w:sz="4" w:space="0"/>
              <w:left w:val="single" w:color="auto" w:sz="4" w:space="0"/>
              <w:bottom w:val="single" w:color="auto" w:sz="4" w:space="0"/>
              <w:right w:val="single" w:color="auto" w:sz="4" w:space="0"/>
            </w:tcBorders>
            <w:shd w:val="clear" w:color="auto" w:fill="auto"/>
            <w:vAlign w:val="center"/>
          </w:tcPr>
          <w:p w14:paraId="29962A19">
            <w:pPr>
              <w:spacing w:line="360" w:lineRule="auto"/>
              <w:jc w:val="left"/>
              <w:rPr>
                <w:rFonts w:hint="eastAsia" w:ascii="宋体" w:hAnsi="宋体" w:eastAsia="宋体" w:cs="@仿宋_GB2312"/>
                <w:color w:val="auto"/>
                <w:kern w:val="2"/>
                <w:sz w:val="21"/>
                <w:szCs w:val="21"/>
                <w:highlight w:val="none"/>
                <w:lang w:val="en-US" w:eastAsia="zh-CN" w:bidi="ar-SA"/>
              </w:rPr>
            </w:pPr>
            <w:r>
              <w:rPr>
                <w:rFonts w:hint="eastAsia" w:ascii="宋体" w:hAnsi="宋体" w:eastAsia="宋体" w:cs="宋体"/>
                <w:color w:val="auto"/>
                <w:sz w:val="24"/>
                <w:szCs w:val="24"/>
                <w:highlight w:val="none"/>
                <w:lang w:val="en-US" w:eastAsia="zh-CN"/>
              </w:rPr>
              <w:t>培训服务方案</w:t>
            </w:r>
          </w:p>
        </w:tc>
        <w:tc>
          <w:tcPr>
            <w:tcW w:w="2935" w:type="pct"/>
            <w:tcBorders>
              <w:top w:val="single" w:color="auto" w:sz="4" w:space="0"/>
              <w:left w:val="single" w:color="auto" w:sz="4" w:space="0"/>
              <w:bottom w:val="single" w:color="auto" w:sz="4" w:space="0"/>
              <w:right w:val="single" w:color="auto" w:sz="4" w:space="0"/>
            </w:tcBorders>
            <w:shd w:val="clear" w:color="auto" w:fill="auto"/>
            <w:vAlign w:val="center"/>
          </w:tcPr>
          <w:p w14:paraId="32E20E61">
            <w:pPr>
              <w:numPr>
                <w:ilvl w:val="0"/>
                <w:numId w:val="3"/>
              </w:num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总体要求、基本原则和工作目标</w:t>
            </w:r>
            <w:r>
              <w:rPr>
                <w:rFonts w:hint="eastAsia" w:ascii="宋体" w:hAnsi="宋体" w:eastAsia="宋体" w:cs="宋体"/>
                <w:color w:val="auto"/>
                <w:sz w:val="24"/>
                <w:szCs w:val="24"/>
                <w:highlight w:val="none"/>
                <w:lang w:val="en-US" w:eastAsia="zh-CN"/>
              </w:rPr>
              <w:t>明确，</w:t>
            </w: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lang w:val="en-US" w:eastAsia="zh-CN"/>
              </w:rPr>
              <w:t>多样，</w:t>
            </w:r>
            <w:r>
              <w:rPr>
                <w:rFonts w:hint="eastAsia" w:ascii="宋体" w:hAnsi="宋体" w:eastAsia="宋体" w:cs="宋体"/>
                <w:color w:val="auto"/>
                <w:sz w:val="24"/>
                <w:szCs w:val="24"/>
                <w:highlight w:val="none"/>
              </w:rPr>
              <w:t>培训流程</w:t>
            </w:r>
            <w:r>
              <w:rPr>
                <w:rFonts w:hint="eastAsia" w:ascii="宋体" w:hAnsi="宋体" w:eastAsia="宋体" w:cs="宋体"/>
                <w:color w:val="auto"/>
                <w:sz w:val="24"/>
                <w:szCs w:val="24"/>
                <w:highlight w:val="none"/>
                <w:lang w:val="en-US" w:eastAsia="zh-CN"/>
              </w:rPr>
              <w:t>可行性强，得5分；</w:t>
            </w:r>
            <w:r>
              <w:rPr>
                <w:rFonts w:hint="eastAsia" w:ascii="宋体" w:hAnsi="宋体" w:eastAsia="宋体" w:cs="宋体"/>
                <w:color w:val="auto"/>
                <w:sz w:val="24"/>
                <w:szCs w:val="24"/>
                <w:highlight w:val="none"/>
              </w:rPr>
              <w:t>总体要求、基本原则和工作目标</w:t>
            </w:r>
            <w:r>
              <w:rPr>
                <w:rFonts w:hint="eastAsia" w:ascii="宋体" w:hAnsi="宋体" w:eastAsia="宋体" w:cs="宋体"/>
                <w:color w:val="auto"/>
                <w:sz w:val="24"/>
                <w:szCs w:val="24"/>
                <w:highlight w:val="none"/>
                <w:lang w:val="en-US" w:eastAsia="zh-CN"/>
              </w:rPr>
              <w:t>比较明确，</w:t>
            </w: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lang w:val="en-US" w:eastAsia="zh-CN"/>
              </w:rPr>
              <w:t>比较多样，</w:t>
            </w:r>
            <w:r>
              <w:rPr>
                <w:rFonts w:hint="eastAsia" w:ascii="宋体" w:hAnsi="宋体" w:eastAsia="宋体" w:cs="宋体"/>
                <w:color w:val="auto"/>
                <w:sz w:val="24"/>
                <w:szCs w:val="24"/>
                <w:highlight w:val="none"/>
              </w:rPr>
              <w:t>培训流程</w:t>
            </w:r>
            <w:r>
              <w:rPr>
                <w:rFonts w:hint="eastAsia" w:ascii="宋体" w:hAnsi="宋体" w:eastAsia="宋体" w:cs="宋体"/>
                <w:color w:val="auto"/>
                <w:sz w:val="24"/>
                <w:szCs w:val="24"/>
                <w:highlight w:val="none"/>
                <w:lang w:val="en-US" w:eastAsia="zh-CN"/>
              </w:rPr>
              <w:t>具有可行性，得3分；</w:t>
            </w:r>
            <w:r>
              <w:rPr>
                <w:rFonts w:hint="eastAsia" w:ascii="宋体" w:hAnsi="宋体" w:eastAsia="宋体" w:cs="宋体"/>
                <w:color w:val="auto"/>
                <w:sz w:val="24"/>
                <w:szCs w:val="24"/>
                <w:highlight w:val="none"/>
              </w:rPr>
              <w:t>总体要求、基本原则和工作目标</w:t>
            </w:r>
            <w:r>
              <w:rPr>
                <w:rFonts w:hint="eastAsia" w:ascii="宋体" w:hAnsi="宋体" w:eastAsia="宋体" w:cs="宋体"/>
                <w:color w:val="auto"/>
                <w:sz w:val="24"/>
                <w:szCs w:val="24"/>
                <w:highlight w:val="none"/>
                <w:lang w:val="en-US" w:eastAsia="zh-CN"/>
              </w:rPr>
              <w:t>不太明确，</w:t>
            </w:r>
            <w:r>
              <w:rPr>
                <w:rFonts w:hint="eastAsia" w:ascii="宋体" w:hAnsi="宋体" w:eastAsia="宋体" w:cs="宋体"/>
                <w:color w:val="auto"/>
                <w:sz w:val="24"/>
                <w:szCs w:val="24"/>
                <w:highlight w:val="none"/>
              </w:rPr>
              <w:t>培训方式</w:t>
            </w:r>
            <w:r>
              <w:rPr>
                <w:rFonts w:hint="eastAsia" w:ascii="宋体" w:hAnsi="宋体" w:eastAsia="宋体" w:cs="宋体"/>
                <w:color w:val="auto"/>
                <w:sz w:val="24"/>
                <w:szCs w:val="24"/>
                <w:highlight w:val="none"/>
                <w:lang w:val="en-US" w:eastAsia="zh-CN"/>
              </w:rPr>
              <w:t>单一，</w:t>
            </w:r>
            <w:r>
              <w:rPr>
                <w:rFonts w:hint="eastAsia" w:ascii="宋体" w:hAnsi="宋体" w:eastAsia="宋体" w:cs="宋体"/>
                <w:color w:val="auto"/>
                <w:sz w:val="24"/>
                <w:szCs w:val="24"/>
                <w:highlight w:val="none"/>
              </w:rPr>
              <w:t>培训流程</w:t>
            </w:r>
            <w:r>
              <w:rPr>
                <w:rFonts w:hint="eastAsia" w:ascii="宋体" w:hAnsi="宋体" w:eastAsia="宋体" w:cs="宋体"/>
                <w:color w:val="auto"/>
                <w:sz w:val="24"/>
                <w:szCs w:val="24"/>
                <w:highlight w:val="none"/>
                <w:lang w:val="en-US" w:eastAsia="zh-CN"/>
              </w:rPr>
              <w:t>可行性有待提升，得1分；方案不可行或</w:t>
            </w:r>
            <w:r>
              <w:rPr>
                <w:rFonts w:hint="eastAsia" w:ascii="宋体" w:hAnsi="宋体" w:eastAsia="宋体" w:cs="宋体"/>
                <w:color w:val="auto"/>
                <w:sz w:val="24"/>
                <w:szCs w:val="24"/>
                <w:highlight w:val="none"/>
              </w:rPr>
              <w:t>未提供</w:t>
            </w:r>
            <w:r>
              <w:rPr>
                <w:rFonts w:hint="eastAsia" w:ascii="宋体" w:hAnsi="宋体" w:eastAsia="宋体" w:cs="宋体"/>
                <w:color w:val="auto"/>
                <w:sz w:val="24"/>
                <w:szCs w:val="24"/>
                <w:highlight w:val="none"/>
                <w:lang w:val="en-US" w:eastAsia="zh-CN"/>
              </w:rPr>
              <w:t>不得分</w:t>
            </w:r>
            <w:r>
              <w:rPr>
                <w:rFonts w:hint="eastAsia" w:ascii="宋体" w:hAnsi="宋体" w:eastAsia="宋体" w:cs="宋体"/>
                <w:color w:val="auto"/>
                <w:sz w:val="24"/>
                <w:szCs w:val="24"/>
                <w:highlight w:val="none"/>
              </w:rPr>
              <w:t>。</w:t>
            </w:r>
          </w:p>
          <w:p w14:paraId="4DC32687">
            <w:pPr>
              <w:numPr>
                <w:ilvl w:val="0"/>
                <w:numId w:val="0"/>
              </w:num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培训时间、地点、班次及人数等安排</w:t>
            </w:r>
            <w:r>
              <w:rPr>
                <w:rFonts w:hint="eastAsia" w:ascii="宋体" w:hAnsi="宋体" w:eastAsia="宋体" w:cs="宋体"/>
                <w:color w:val="auto"/>
                <w:sz w:val="24"/>
                <w:szCs w:val="24"/>
                <w:highlight w:val="none"/>
                <w:lang w:val="en-US" w:eastAsia="zh-CN"/>
              </w:rPr>
              <w:t>完全符合采购人实际需求，可行性针对性强，</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分；培训时间、地点、班次及人数等安排</w:t>
            </w:r>
            <w:r>
              <w:rPr>
                <w:rFonts w:hint="eastAsia" w:ascii="宋体" w:hAnsi="宋体" w:eastAsia="宋体" w:cs="宋体"/>
                <w:color w:val="auto"/>
                <w:sz w:val="24"/>
                <w:szCs w:val="24"/>
                <w:highlight w:val="none"/>
                <w:lang w:val="en-US" w:eastAsia="zh-CN"/>
              </w:rPr>
              <w:t>能满足采购人实际需求，具有可行性针对性，</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分；培训时间、地点、班次及人数等安排</w:t>
            </w:r>
            <w:r>
              <w:rPr>
                <w:rFonts w:hint="eastAsia" w:ascii="宋体" w:hAnsi="宋体" w:eastAsia="宋体" w:cs="宋体"/>
                <w:color w:val="auto"/>
                <w:sz w:val="24"/>
                <w:szCs w:val="24"/>
                <w:highlight w:val="none"/>
                <w:lang w:val="en-US" w:eastAsia="zh-CN"/>
              </w:rPr>
              <w:t>基本符合采购人实际需求，可行性针对性有待提升，</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方案不可行或</w:t>
            </w:r>
            <w:r>
              <w:rPr>
                <w:rFonts w:hint="eastAsia" w:ascii="宋体" w:hAnsi="宋体" w:eastAsia="宋体" w:cs="宋体"/>
                <w:color w:val="auto"/>
                <w:sz w:val="24"/>
                <w:szCs w:val="24"/>
                <w:highlight w:val="none"/>
              </w:rPr>
              <w:t>未提供</w:t>
            </w:r>
            <w:r>
              <w:rPr>
                <w:rFonts w:hint="eastAsia" w:ascii="宋体" w:hAnsi="宋体" w:eastAsia="宋体" w:cs="宋体"/>
                <w:color w:val="auto"/>
                <w:sz w:val="24"/>
                <w:szCs w:val="24"/>
                <w:highlight w:val="none"/>
                <w:lang w:val="en-US" w:eastAsia="zh-CN"/>
              </w:rPr>
              <w:t>不得分</w:t>
            </w:r>
            <w:r>
              <w:rPr>
                <w:rFonts w:hint="eastAsia" w:ascii="宋体" w:hAnsi="宋体" w:eastAsia="宋体" w:cs="宋体"/>
                <w:color w:val="auto"/>
                <w:sz w:val="24"/>
                <w:szCs w:val="24"/>
                <w:highlight w:val="none"/>
              </w:rPr>
              <w:t>。</w:t>
            </w:r>
          </w:p>
          <w:p w14:paraId="007F7D4A">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en-US"/>
              </w:rPr>
              <w:t>保障措施</w:t>
            </w:r>
            <w:r>
              <w:rPr>
                <w:rFonts w:hint="eastAsia" w:ascii="宋体" w:hAnsi="宋体" w:eastAsia="宋体" w:cs="宋体"/>
                <w:color w:val="auto"/>
                <w:sz w:val="24"/>
                <w:szCs w:val="24"/>
                <w:highlight w:val="none"/>
                <w:lang w:val="en-US" w:eastAsia="zh-CN"/>
              </w:rPr>
              <w:t>可行性针对性强，项目负责人负责</w:t>
            </w:r>
            <w:r>
              <w:rPr>
                <w:rFonts w:hint="eastAsia" w:ascii="宋体" w:hAnsi="宋体" w:eastAsia="宋体" w:cs="宋体"/>
                <w:color w:val="auto"/>
                <w:sz w:val="24"/>
                <w:szCs w:val="24"/>
                <w:highlight w:val="none"/>
                <w:lang w:val="en-US"/>
              </w:rPr>
              <w:t>协调各方力量，落实各项措施，确保培训的资金、师资、设备、人员到位</w:t>
            </w:r>
            <w:r>
              <w:rPr>
                <w:rFonts w:hint="eastAsia" w:ascii="宋体" w:hAnsi="宋体" w:eastAsia="宋体" w:cs="宋体"/>
                <w:color w:val="auto"/>
                <w:sz w:val="24"/>
                <w:szCs w:val="24"/>
                <w:highlight w:val="none"/>
                <w:lang w:val="en-US" w:eastAsia="zh-CN"/>
              </w:rPr>
              <w:t>的，得5分；</w:t>
            </w:r>
          </w:p>
          <w:p w14:paraId="58A4ACA5">
            <w:pPr>
              <w:spacing w:line="360" w:lineRule="auto"/>
              <w:jc w:val="left"/>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rPr>
              <w:t>保障措施</w:t>
            </w:r>
            <w:r>
              <w:rPr>
                <w:rFonts w:hint="eastAsia" w:ascii="宋体" w:hAnsi="宋体" w:eastAsia="宋体" w:cs="宋体"/>
                <w:color w:val="auto"/>
                <w:sz w:val="24"/>
                <w:szCs w:val="24"/>
                <w:highlight w:val="none"/>
                <w:lang w:val="en-US" w:eastAsia="zh-CN"/>
              </w:rPr>
              <w:t>具有可行性针对性，项目负责人负责</w:t>
            </w:r>
            <w:r>
              <w:rPr>
                <w:rFonts w:hint="eastAsia" w:ascii="宋体" w:hAnsi="宋体" w:eastAsia="宋体" w:cs="宋体"/>
                <w:color w:val="auto"/>
                <w:sz w:val="24"/>
                <w:szCs w:val="24"/>
                <w:highlight w:val="none"/>
                <w:lang w:val="en-US"/>
              </w:rPr>
              <w:t>协调各方力量，落实各项措施，</w:t>
            </w:r>
            <w:r>
              <w:rPr>
                <w:rFonts w:hint="eastAsia" w:ascii="宋体" w:hAnsi="宋体" w:eastAsia="宋体" w:cs="宋体"/>
                <w:color w:val="auto"/>
                <w:sz w:val="24"/>
                <w:szCs w:val="24"/>
                <w:highlight w:val="none"/>
                <w:lang w:val="en-US" w:eastAsia="zh-CN"/>
              </w:rPr>
              <w:t>能</w:t>
            </w:r>
            <w:r>
              <w:rPr>
                <w:rFonts w:hint="eastAsia" w:ascii="宋体" w:hAnsi="宋体" w:eastAsia="宋体" w:cs="宋体"/>
                <w:color w:val="auto"/>
                <w:sz w:val="24"/>
                <w:szCs w:val="24"/>
                <w:highlight w:val="none"/>
                <w:lang w:val="en-US"/>
              </w:rPr>
              <w:t>确保培训的资金、师资、设备、人员到位</w:t>
            </w:r>
            <w:r>
              <w:rPr>
                <w:rFonts w:hint="eastAsia" w:ascii="宋体" w:hAnsi="宋体" w:eastAsia="宋体" w:cs="宋体"/>
                <w:color w:val="auto"/>
                <w:sz w:val="24"/>
                <w:szCs w:val="24"/>
                <w:highlight w:val="none"/>
                <w:lang w:val="en-US" w:eastAsia="zh-CN"/>
              </w:rPr>
              <w:t>的，得3分；</w:t>
            </w:r>
          </w:p>
          <w:p w14:paraId="5B120A1E">
            <w:pPr>
              <w:spacing w:line="360" w:lineRule="auto"/>
              <w:jc w:val="left"/>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sz w:val="24"/>
                <w:szCs w:val="24"/>
                <w:highlight w:val="none"/>
                <w:lang w:val="en-US"/>
              </w:rPr>
              <w:t>保障措施</w:t>
            </w:r>
            <w:r>
              <w:rPr>
                <w:rFonts w:hint="eastAsia" w:ascii="宋体" w:hAnsi="宋体" w:eastAsia="宋体" w:cs="宋体"/>
                <w:color w:val="auto"/>
                <w:sz w:val="24"/>
                <w:szCs w:val="24"/>
                <w:highlight w:val="none"/>
                <w:lang w:val="en-US" w:eastAsia="zh-CN"/>
              </w:rPr>
              <w:t>可行性针对性有待提升，基本</w:t>
            </w:r>
            <w:r>
              <w:rPr>
                <w:rFonts w:hint="eastAsia" w:ascii="宋体" w:hAnsi="宋体" w:eastAsia="宋体" w:cs="宋体"/>
                <w:color w:val="auto"/>
                <w:sz w:val="24"/>
                <w:szCs w:val="24"/>
                <w:highlight w:val="none"/>
                <w:lang w:val="en-US"/>
              </w:rPr>
              <w:t>确保培训的资金、师资、设备、人员到位</w:t>
            </w:r>
            <w:r>
              <w:rPr>
                <w:rFonts w:hint="eastAsia" w:ascii="宋体" w:hAnsi="宋体" w:eastAsia="宋体" w:cs="宋体"/>
                <w:color w:val="auto"/>
                <w:sz w:val="24"/>
                <w:szCs w:val="24"/>
                <w:highlight w:val="none"/>
                <w:lang w:val="en-US" w:eastAsia="zh-CN"/>
              </w:rPr>
              <w:t>，得1分；方案不可行或</w:t>
            </w:r>
            <w:r>
              <w:rPr>
                <w:rFonts w:hint="eastAsia" w:ascii="宋体" w:hAnsi="宋体" w:eastAsia="宋体" w:cs="宋体"/>
                <w:color w:val="auto"/>
                <w:sz w:val="24"/>
                <w:szCs w:val="24"/>
                <w:highlight w:val="none"/>
              </w:rPr>
              <w:t>未提供</w:t>
            </w:r>
            <w:r>
              <w:rPr>
                <w:rFonts w:hint="eastAsia" w:ascii="宋体" w:hAnsi="宋体" w:eastAsia="宋体" w:cs="宋体"/>
                <w:color w:val="auto"/>
                <w:sz w:val="24"/>
                <w:szCs w:val="24"/>
                <w:highlight w:val="none"/>
                <w:lang w:val="en-US" w:eastAsia="zh-CN"/>
              </w:rPr>
              <w:t>不得分</w:t>
            </w:r>
            <w:r>
              <w:rPr>
                <w:rFonts w:hint="eastAsia" w:ascii="宋体" w:hAnsi="宋体" w:eastAsia="宋体" w:cs="宋体"/>
                <w:color w:val="auto"/>
                <w:sz w:val="24"/>
                <w:szCs w:val="24"/>
                <w:highlight w:val="none"/>
              </w:rPr>
              <w:t>。</w:t>
            </w: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14:paraId="1024C30B">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kern w:val="0"/>
                <w:sz w:val="24"/>
                <w:szCs w:val="24"/>
                <w:highlight w:val="none"/>
              </w:rPr>
              <w:t>0-</w:t>
            </w:r>
            <w:r>
              <w:rPr>
                <w:rFonts w:hint="eastAsia" w:ascii="宋体" w:hAnsi="宋体" w:eastAsia="宋体" w:cs="宋体"/>
                <w:kern w:val="0"/>
                <w:sz w:val="24"/>
                <w:szCs w:val="24"/>
                <w:highlight w:val="none"/>
                <w:lang w:val="en-US" w:eastAsia="zh-CN"/>
              </w:rPr>
              <w:t>15</w:t>
            </w:r>
            <w:r>
              <w:rPr>
                <w:rFonts w:hint="eastAsia" w:ascii="宋体" w:hAnsi="宋体" w:eastAsia="宋体" w:cs="宋体"/>
                <w:kern w:val="0"/>
                <w:sz w:val="24"/>
                <w:szCs w:val="24"/>
                <w:highlight w:val="none"/>
              </w:rPr>
              <w:t>分</w:t>
            </w:r>
          </w:p>
        </w:tc>
      </w:tr>
      <w:tr w14:paraId="5D3C3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Merge w:val="continue"/>
            <w:tcBorders>
              <w:left w:val="single" w:color="auto" w:sz="4" w:space="0"/>
              <w:right w:val="single" w:color="auto" w:sz="4" w:space="0"/>
            </w:tcBorders>
            <w:vAlign w:val="center"/>
          </w:tcPr>
          <w:p w14:paraId="1192D661">
            <w:pPr>
              <w:spacing w:line="360" w:lineRule="auto"/>
              <w:ind w:firstLine="435"/>
              <w:jc w:val="center"/>
              <w:rPr>
                <w:rFonts w:asciiTheme="minorEastAsia" w:hAnsiTheme="minorEastAsia" w:eastAsiaTheme="minorEastAsia"/>
                <w:b/>
                <w:bCs/>
                <w:color w:val="auto"/>
                <w:sz w:val="24"/>
                <w:highlight w:val="none"/>
              </w:rPr>
            </w:pPr>
          </w:p>
        </w:tc>
        <w:tc>
          <w:tcPr>
            <w:tcW w:w="746" w:type="pct"/>
            <w:tcBorders>
              <w:top w:val="single" w:color="auto" w:sz="4" w:space="0"/>
              <w:left w:val="single" w:color="auto" w:sz="4" w:space="0"/>
              <w:bottom w:val="single" w:color="auto" w:sz="4" w:space="0"/>
              <w:right w:val="single" w:color="auto" w:sz="4" w:space="0"/>
            </w:tcBorders>
            <w:shd w:val="clear" w:color="auto" w:fill="auto"/>
            <w:vAlign w:val="center"/>
          </w:tcPr>
          <w:p w14:paraId="2AEED26D">
            <w:pPr>
              <w:spacing w:line="360" w:lineRule="auto"/>
              <w:jc w:val="center"/>
              <w:rPr>
                <w:rFonts w:hint="eastAsia" w:ascii="宋体" w:hAnsi="宋体" w:eastAsia="宋体" w:cs="@仿宋_GB2312"/>
                <w:color w:val="auto"/>
                <w:kern w:val="2"/>
                <w:sz w:val="21"/>
                <w:szCs w:val="21"/>
                <w:highlight w:val="none"/>
                <w:lang w:val="en-US" w:eastAsia="zh-CN" w:bidi="ar-SA"/>
              </w:rPr>
            </w:pPr>
            <w:r>
              <w:rPr>
                <w:rFonts w:hint="eastAsia" w:ascii="宋体" w:hAnsi="宋体" w:eastAsia="宋体" w:cs="宋体"/>
                <w:color w:val="auto"/>
                <w:sz w:val="24"/>
                <w:szCs w:val="24"/>
                <w:highlight w:val="none"/>
                <w:lang w:val="en-US" w:eastAsia="zh-CN"/>
              </w:rPr>
              <w:t>培训教材</w:t>
            </w:r>
          </w:p>
        </w:tc>
        <w:tc>
          <w:tcPr>
            <w:tcW w:w="2935" w:type="pct"/>
            <w:tcBorders>
              <w:top w:val="single" w:color="auto" w:sz="4" w:space="0"/>
              <w:left w:val="single" w:color="auto" w:sz="4" w:space="0"/>
              <w:bottom w:val="single" w:color="auto" w:sz="4" w:space="0"/>
              <w:right w:val="single" w:color="auto" w:sz="4" w:space="0"/>
            </w:tcBorders>
            <w:shd w:val="clear" w:color="auto" w:fill="auto"/>
            <w:vAlign w:val="top"/>
          </w:tcPr>
          <w:p w14:paraId="4B4CACC8">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评标委员会针对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逆全球化形势下外贸企业突围：从理论到实践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提纲，进行</w:t>
            </w:r>
            <w:r>
              <w:rPr>
                <w:rFonts w:hint="eastAsia" w:ascii="宋体" w:hAnsi="宋体" w:eastAsia="宋体" w:cs="宋体"/>
                <w:color w:val="auto"/>
                <w:sz w:val="24"/>
                <w:szCs w:val="24"/>
                <w:highlight w:val="none"/>
                <w:lang w:val="en-US" w:eastAsia="zh-CN"/>
              </w:rPr>
              <w:t>综合</w:t>
            </w:r>
            <w:r>
              <w:rPr>
                <w:rFonts w:hint="eastAsia" w:ascii="宋体" w:hAnsi="宋体" w:eastAsia="宋体" w:cs="宋体"/>
                <w:color w:val="auto"/>
                <w:sz w:val="24"/>
                <w:szCs w:val="24"/>
                <w:highlight w:val="none"/>
              </w:rPr>
              <w:t>评分。</w:t>
            </w:r>
          </w:p>
          <w:p w14:paraId="20826A85">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1）提纲结构评审</w:t>
            </w:r>
          </w:p>
          <w:p w14:paraId="32EB35A2">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①对逆全球化形势下外贸企业突围重点理解准确，提纲结构合理、层次分明、条理清晰，具有很强的</w:t>
            </w:r>
            <w:r>
              <w:rPr>
                <w:rFonts w:hint="default" w:ascii="宋体" w:hAnsi="宋体" w:eastAsia="宋体" w:cs="宋体"/>
                <w:color w:val="auto"/>
                <w:sz w:val="24"/>
                <w:szCs w:val="24"/>
                <w:highlight w:val="none"/>
                <w:lang w:val="en-US" w:eastAsia="zh-CN"/>
              </w:rPr>
              <w:t>专业性、指导性和实战性</w:t>
            </w:r>
            <w:r>
              <w:rPr>
                <w:rFonts w:hint="eastAsia" w:ascii="宋体" w:hAnsi="宋体" w:eastAsia="宋体" w:cs="宋体"/>
                <w:color w:val="auto"/>
                <w:sz w:val="24"/>
                <w:szCs w:val="24"/>
                <w:highlight w:val="none"/>
                <w:lang w:val="en-US" w:eastAsia="zh-CN"/>
              </w:rPr>
              <w:t>，得5分；</w:t>
            </w:r>
          </w:p>
          <w:p w14:paraId="38E1B463">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②对逆全球化形势下外贸企业突围重点理解比较准确，提纲结构合理、层次分明、条理清晰，具有较强的</w:t>
            </w:r>
            <w:r>
              <w:rPr>
                <w:rFonts w:hint="default" w:ascii="宋体" w:hAnsi="宋体" w:eastAsia="宋体" w:cs="宋体"/>
                <w:color w:val="auto"/>
                <w:sz w:val="24"/>
                <w:szCs w:val="24"/>
                <w:highlight w:val="none"/>
                <w:lang w:val="en-US" w:eastAsia="zh-CN"/>
              </w:rPr>
              <w:t>专业性、指导性和实战性</w:t>
            </w:r>
            <w:r>
              <w:rPr>
                <w:rFonts w:hint="eastAsia" w:ascii="宋体" w:hAnsi="宋体" w:eastAsia="宋体" w:cs="宋体"/>
                <w:color w:val="auto"/>
                <w:sz w:val="24"/>
                <w:szCs w:val="24"/>
                <w:highlight w:val="none"/>
                <w:lang w:val="en-US" w:eastAsia="zh-CN"/>
              </w:rPr>
              <w:t>，得3分；</w:t>
            </w:r>
          </w:p>
          <w:p w14:paraId="1F42EE58">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③对逆全球化形势下外贸企业突围重点理解基本准确，结构、层次、条理一般，得1分；</w:t>
            </w:r>
          </w:p>
          <w:p w14:paraId="03E53FE2">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④理解不够到位、提纲结构不合理或未提供不得分。</w:t>
            </w:r>
          </w:p>
          <w:p w14:paraId="43BD65EC">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业务流程和案例</w:t>
            </w:r>
          </w:p>
          <w:p w14:paraId="199DB5F0">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①有丰富的业务流程和案例部分，可</w:t>
            </w:r>
            <w:r>
              <w:rPr>
                <w:rFonts w:hint="eastAsia" w:ascii="宋体" w:hAnsi="宋体" w:eastAsia="宋体" w:cs="宋体"/>
                <w:color w:val="auto"/>
                <w:sz w:val="24"/>
                <w:szCs w:val="24"/>
                <w:highlight w:val="none"/>
                <w:lang w:val="en-US" w:eastAsia="zh-CN"/>
              </w:rPr>
              <w:t>为</w:t>
            </w:r>
            <w:r>
              <w:rPr>
                <w:rFonts w:hint="eastAsia" w:ascii="宋体" w:hAnsi="宋体" w:eastAsia="宋体" w:cs="宋体"/>
                <w:color w:val="auto"/>
                <w:sz w:val="24"/>
                <w:szCs w:val="24"/>
                <w:highlight w:val="none"/>
              </w:rPr>
              <w:t>外贸从业人员提供实用的业务指导和经验借鉴，</w:t>
            </w:r>
            <w:r>
              <w:rPr>
                <w:rFonts w:hint="eastAsia" w:ascii="宋体" w:hAnsi="宋体" w:eastAsia="宋体" w:cs="宋体"/>
                <w:color w:val="auto"/>
                <w:sz w:val="24"/>
                <w:szCs w:val="24"/>
                <w:highlight w:val="none"/>
                <w:lang w:val="en-US" w:eastAsia="zh-CN"/>
              </w:rPr>
              <w:t>得5分；</w:t>
            </w:r>
          </w:p>
          <w:p w14:paraId="4E3459B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②有较为丰富的业务流程和案例部分，可</w:t>
            </w:r>
            <w:r>
              <w:rPr>
                <w:rFonts w:hint="eastAsia" w:ascii="宋体" w:hAnsi="宋体" w:eastAsia="宋体" w:cs="宋体"/>
                <w:color w:val="auto"/>
                <w:sz w:val="24"/>
                <w:szCs w:val="24"/>
                <w:highlight w:val="none"/>
                <w:lang w:val="en-US" w:eastAsia="zh-CN"/>
              </w:rPr>
              <w:t>为</w:t>
            </w:r>
            <w:r>
              <w:rPr>
                <w:rFonts w:hint="eastAsia" w:ascii="宋体" w:hAnsi="宋体" w:eastAsia="宋体" w:cs="宋体"/>
                <w:color w:val="auto"/>
                <w:sz w:val="24"/>
                <w:szCs w:val="24"/>
                <w:highlight w:val="none"/>
              </w:rPr>
              <w:t>外贸从业人员提供部分实用的业务指导和经验借鉴，</w:t>
            </w:r>
            <w:r>
              <w:rPr>
                <w:rFonts w:hint="eastAsia" w:ascii="宋体" w:hAnsi="宋体" w:eastAsia="宋体" w:cs="宋体"/>
                <w:color w:val="auto"/>
                <w:sz w:val="24"/>
                <w:szCs w:val="24"/>
                <w:highlight w:val="none"/>
                <w:lang w:val="en-US" w:eastAsia="zh-CN"/>
              </w:rPr>
              <w:t>得3分；</w:t>
            </w:r>
          </w:p>
          <w:p w14:paraId="39000B8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③业务流程和案例部分</w:t>
            </w:r>
            <w:r>
              <w:rPr>
                <w:rFonts w:hint="eastAsia" w:ascii="宋体" w:hAnsi="宋体" w:eastAsia="宋体" w:cs="宋体"/>
                <w:color w:val="auto"/>
                <w:sz w:val="24"/>
                <w:szCs w:val="24"/>
                <w:highlight w:val="none"/>
                <w:lang w:val="en-US" w:eastAsia="zh-CN"/>
              </w:rPr>
              <w:t>不足</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为</w:t>
            </w:r>
            <w:r>
              <w:rPr>
                <w:rFonts w:hint="eastAsia" w:ascii="宋体" w:hAnsi="宋体" w:eastAsia="宋体" w:cs="宋体"/>
                <w:color w:val="auto"/>
                <w:sz w:val="24"/>
                <w:szCs w:val="24"/>
                <w:highlight w:val="none"/>
              </w:rPr>
              <w:t>外贸从业人员提供实用的业务指导和经验借鉴较少，</w:t>
            </w:r>
            <w:r>
              <w:rPr>
                <w:rFonts w:hint="eastAsia" w:ascii="宋体" w:hAnsi="宋体" w:eastAsia="宋体" w:cs="宋体"/>
                <w:color w:val="auto"/>
                <w:sz w:val="24"/>
                <w:szCs w:val="24"/>
                <w:highlight w:val="none"/>
                <w:lang w:val="en-US" w:eastAsia="zh-CN"/>
              </w:rPr>
              <w:t>得1分；</w:t>
            </w:r>
          </w:p>
          <w:p w14:paraId="3F8C8AF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w:t>
            </w:r>
            <w:r>
              <w:rPr>
                <w:rFonts w:hint="eastAsia" w:ascii="宋体" w:hAnsi="宋体" w:eastAsia="宋体" w:cs="宋体"/>
                <w:color w:val="auto"/>
                <w:sz w:val="24"/>
                <w:szCs w:val="24"/>
                <w:highlight w:val="none"/>
                <w:lang w:val="en-US" w:eastAsia="zh-CN"/>
              </w:rPr>
              <w:t>方案不可行</w:t>
            </w:r>
            <w:r>
              <w:rPr>
                <w:rFonts w:hint="eastAsia" w:ascii="宋体" w:hAnsi="宋体" w:eastAsia="宋体" w:cs="宋体"/>
                <w:color w:val="auto"/>
                <w:sz w:val="24"/>
                <w:szCs w:val="24"/>
                <w:highlight w:val="none"/>
              </w:rPr>
              <w:t>或未提供不得分。</w:t>
            </w:r>
          </w:p>
          <w:p w14:paraId="2300E77A">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3）政策措施</w:t>
            </w:r>
          </w:p>
          <w:p w14:paraId="1B17CD70">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①涵盖国家、我省和外贸先进地区相关部门针对外贸工作出台的政策措施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前沿</w:t>
            </w:r>
            <w:r>
              <w:rPr>
                <w:rFonts w:hint="eastAsia" w:ascii="宋体" w:hAnsi="宋体" w:eastAsia="宋体" w:cs="宋体"/>
                <w:color w:val="auto"/>
                <w:sz w:val="24"/>
                <w:szCs w:val="24"/>
                <w:highlight w:val="none"/>
              </w:rPr>
              <w:t>政策了解</w:t>
            </w:r>
            <w:r>
              <w:rPr>
                <w:rFonts w:hint="eastAsia" w:ascii="宋体" w:hAnsi="宋体" w:eastAsia="宋体" w:cs="宋体"/>
                <w:color w:val="auto"/>
                <w:sz w:val="24"/>
                <w:szCs w:val="24"/>
                <w:highlight w:val="none"/>
                <w:lang w:val="en-US" w:eastAsia="zh-CN"/>
              </w:rPr>
              <w:t>及时</w:t>
            </w:r>
            <w:r>
              <w:rPr>
                <w:rFonts w:hint="eastAsia" w:ascii="宋体" w:hAnsi="宋体" w:eastAsia="宋体" w:cs="宋体"/>
                <w:color w:val="auto"/>
                <w:sz w:val="24"/>
                <w:szCs w:val="24"/>
                <w:highlight w:val="none"/>
              </w:rPr>
              <w:t>透彻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4D0E6BC8">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en-US" w:eastAsia="zh-CN"/>
              </w:rPr>
              <w:t>对</w:t>
            </w:r>
            <w:r>
              <w:rPr>
                <w:rFonts w:hint="eastAsia" w:ascii="宋体" w:hAnsi="宋体" w:eastAsia="宋体" w:cs="宋体"/>
                <w:color w:val="auto"/>
                <w:sz w:val="24"/>
                <w:szCs w:val="24"/>
                <w:highlight w:val="none"/>
              </w:rPr>
              <w:t>国家、我省和外贸先进地区相关部门针对外贸工作出台的政策措施</w:t>
            </w:r>
            <w:r>
              <w:rPr>
                <w:rFonts w:hint="eastAsia" w:ascii="宋体" w:hAnsi="宋体" w:eastAsia="宋体" w:cs="宋体"/>
                <w:color w:val="auto"/>
                <w:sz w:val="24"/>
                <w:szCs w:val="24"/>
                <w:highlight w:val="none"/>
                <w:lang w:val="en-US" w:eastAsia="zh-CN"/>
              </w:rPr>
              <w:t>涵盖面比较广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前沿</w:t>
            </w:r>
            <w:r>
              <w:rPr>
                <w:rFonts w:hint="eastAsia" w:ascii="宋体" w:hAnsi="宋体" w:eastAsia="宋体" w:cs="宋体"/>
                <w:color w:val="auto"/>
                <w:sz w:val="24"/>
                <w:szCs w:val="24"/>
                <w:highlight w:val="none"/>
              </w:rPr>
              <w:t>政策了解</w:t>
            </w:r>
            <w:r>
              <w:rPr>
                <w:rFonts w:hint="eastAsia" w:ascii="宋体" w:hAnsi="宋体" w:eastAsia="宋体" w:cs="宋体"/>
                <w:color w:val="auto"/>
                <w:sz w:val="24"/>
                <w:szCs w:val="24"/>
                <w:highlight w:val="none"/>
                <w:lang w:val="en-US" w:eastAsia="zh-CN"/>
              </w:rPr>
              <w:t>不够透彻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51212ED1">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val="en-US" w:eastAsia="zh-CN"/>
              </w:rPr>
              <w:t>对</w:t>
            </w:r>
            <w:r>
              <w:rPr>
                <w:rFonts w:hint="eastAsia" w:ascii="宋体" w:hAnsi="宋体" w:eastAsia="宋体" w:cs="宋体"/>
                <w:color w:val="auto"/>
                <w:sz w:val="24"/>
                <w:szCs w:val="24"/>
                <w:highlight w:val="none"/>
              </w:rPr>
              <w:t>国家、我省和外贸先进地区相关部门针对外贸工作出台的政策措施</w:t>
            </w:r>
            <w:r>
              <w:rPr>
                <w:rFonts w:hint="eastAsia" w:ascii="宋体" w:hAnsi="宋体" w:eastAsia="宋体" w:cs="宋体"/>
                <w:color w:val="auto"/>
                <w:sz w:val="24"/>
                <w:szCs w:val="24"/>
                <w:highlight w:val="none"/>
                <w:lang w:val="en-US" w:eastAsia="zh-CN"/>
              </w:rPr>
              <w:t>涵盖面不够广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前沿</w:t>
            </w:r>
            <w:r>
              <w:rPr>
                <w:rFonts w:hint="eastAsia" w:ascii="宋体" w:hAnsi="宋体" w:eastAsia="宋体" w:cs="宋体"/>
                <w:color w:val="auto"/>
                <w:sz w:val="24"/>
                <w:szCs w:val="24"/>
                <w:highlight w:val="none"/>
              </w:rPr>
              <w:t>政策了解</w:t>
            </w:r>
            <w:r>
              <w:rPr>
                <w:rFonts w:hint="eastAsia" w:ascii="宋体" w:hAnsi="宋体" w:eastAsia="宋体" w:cs="宋体"/>
                <w:color w:val="auto"/>
                <w:sz w:val="24"/>
                <w:szCs w:val="24"/>
                <w:highlight w:val="none"/>
                <w:lang w:val="en-US" w:eastAsia="zh-CN"/>
              </w:rPr>
              <w:t>滞后，</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36E4C91E">
            <w:pPr>
              <w:spacing w:line="360" w:lineRule="auto"/>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④</w:t>
            </w:r>
            <w:r>
              <w:rPr>
                <w:rFonts w:hint="eastAsia" w:ascii="宋体" w:hAnsi="宋体" w:eastAsia="宋体" w:cs="宋体"/>
                <w:color w:val="auto"/>
                <w:sz w:val="24"/>
                <w:szCs w:val="24"/>
                <w:highlight w:val="none"/>
                <w:lang w:val="en-US" w:eastAsia="zh-CN"/>
              </w:rPr>
              <w:t>方案不可行</w:t>
            </w:r>
            <w:r>
              <w:rPr>
                <w:rFonts w:hint="eastAsia" w:ascii="宋体" w:hAnsi="宋体" w:eastAsia="宋体" w:cs="宋体"/>
                <w:color w:val="auto"/>
                <w:sz w:val="24"/>
                <w:szCs w:val="24"/>
                <w:highlight w:val="none"/>
              </w:rPr>
              <w:t>或未提供不得分。</w:t>
            </w: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14:paraId="189C040B">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kern w:val="0"/>
                <w:sz w:val="24"/>
                <w:szCs w:val="24"/>
                <w:highlight w:val="none"/>
                <w:lang w:val="zh-CN"/>
              </w:rPr>
              <w:t>0-</w:t>
            </w:r>
            <w:r>
              <w:rPr>
                <w:rFonts w:hint="eastAsia" w:ascii="宋体" w:hAnsi="宋体" w:eastAsia="宋体" w:cs="宋体"/>
                <w:kern w:val="0"/>
                <w:sz w:val="24"/>
                <w:szCs w:val="24"/>
                <w:highlight w:val="none"/>
                <w:lang w:val="en-US" w:eastAsia="zh-CN"/>
              </w:rPr>
              <w:t>15</w:t>
            </w:r>
            <w:r>
              <w:rPr>
                <w:rFonts w:hint="eastAsia" w:ascii="宋体" w:hAnsi="宋体" w:eastAsia="宋体" w:cs="宋体"/>
                <w:kern w:val="0"/>
                <w:sz w:val="24"/>
                <w:szCs w:val="24"/>
                <w:highlight w:val="none"/>
                <w:lang w:val="zh-CN"/>
              </w:rPr>
              <w:t>分</w:t>
            </w:r>
          </w:p>
        </w:tc>
      </w:tr>
      <w:tr w14:paraId="18EA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Merge w:val="continue"/>
            <w:tcBorders>
              <w:left w:val="single" w:color="auto" w:sz="4" w:space="0"/>
              <w:right w:val="single" w:color="auto" w:sz="4" w:space="0"/>
            </w:tcBorders>
            <w:vAlign w:val="center"/>
          </w:tcPr>
          <w:p w14:paraId="229C4960">
            <w:pPr>
              <w:spacing w:line="360" w:lineRule="auto"/>
              <w:ind w:firstLine="435"/>
              <w:jc w:val="center"/>
              <w:rPr>
                <w:rFonts w:asciiTheme="minorEastAsia" w:hAnsiTheme="minorEastAsia" w:eastAsiaTheme="minorEastAsia"/>
                <w:b/>
                <w:bCs/>
                <w:color w:val="auto"/>
                <w:sz w:val="24"/>
                <w:highlight w:val="none"/>
              </w:rPr>
            </w:pPr>
          </w:p>
        </w:tc>
        <w:tc>
          <w:tcPr>
            <w:tcW w:w="746" w:type="pct"/>
            <w:tcBorders>
              <w:top w:val="single" w:color="auto" w:sz="4" w:space="0"/>
              <w:left w:val="single" w:color="auto" w:sz="4" w:space="0"/>
              <w:bottom w:val="single" w:color="auto" w:sz="4" w:space="0"/>
              <w:right w:val="single" w:color="auto" w:sz="4" w:space="0"/>
            </w:tcBorders>
            <w:shd w:val="clear" w:color="auto" w:fill="auto"/>
            <w:vAlign w:val="center"/>
          </w:tcPr>
          <w:p w14:paraId="72C9535D">
            <w:pPr>
              <w:spacing w:line="360" w:lineRule="auto"/>
              <w:jc w:val="left"/>
              <w:rPr>
                <w:rFonts w:hint="eastAsia" w:ascii="宋体" w:hAnsi="宋体" w:eastAsia="宋体" w:cs="@仿宋_GB2312"/>
                <w:color w:val="auto"/>
                <w:kern w:val="2"/>
                <w:sz w:val="21"/>
                <w:szCs w:val="21"/>
                <w:highlight w:val="none"/>
                <w:lang w:val="en-US" w:eastAsia="zh-CN" w:bidi="ar-SA"/>
              </w:rPr>
            </w:pPr>
            <w:r>
              <w:rPr>
                <w:rFonts w:hint="eastAsia" w:ascii="宋体" w:hAnsi="宋体" w:eastAsia="宋体" w:cs="宋体"/>
                <w:color w:val="auto"/>
                <w:sz w:val="24"/>
                <w:szCs w:val="24"/>
                <w:highlight w:val="none"/>
                <w:lang w:val="en-US" w:eastAsia="zh-CN"/>
              </w:rPr>
              <w:t>项目组人员配备</w:t>
            </w:r>
          </w:p>
        </w:tc>
        <w:tc>
          <w:tcPr>
            <w:tcW w:w="2935" w:type="pct"/>
            <w:tcBorders>
              <w:top w:val="single" w:color="auto" w:sz="4" w:space="0"/>
              <w:left w:val="single" w:color="auto" w:sz="4" w:space="0"/>
              <w:bottom w:val="single" w:color="auto" w:sz="4" w:space="0"/>
              <w:right w:val="single" w:color="auto" w:sz="4" w:space="0"/>
            </w:tcBorders>
            <w:shd w:val="clear" w:color="auto" w:fill="auto"/>
            <w:vAlign w:val="center"/>
          </w:tcPr>
          <w:p w14:paraId="4D28A5BD">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为本项目设立项目组，拟配备项目组人员（含项目经理1人）数量达到6人及以上的，得3分；5人得2分；4人得1分；3人及以下不得分。</w:t>
            </w:r>
          </w:p>
          <w:p w14:paraId="236C255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项目经理具有</w:t>
            </w:r>
            <w:r>
              <w:rPr>
                <w:rFonts w:hint="eastAsia" w:ascii="宋体" w:hAnsi="宋体" w:eastAsia="宋体" w:cs="宋体"/>
                <w:color w:val="auto"/>
                <w:sz w:val="24"/>
                <w:szCs w:val="24"/>
                <w:highlight w:val="none"/>
                <w:lang w:val="en-US" w:eastAsia="zh-CN"/>
              </w:rPr>
              <w:t>经济类</w:t>
            </w:r>
            <w:r>
              <w:rPr>
                <w:rFonts w:hint="eastAsia" w:ascii="宋体" w:hAnsi="宋体" w:eastAsia="宋体" w:cs="宋体"/>
                <w:color w:val="auto"/>
                <w:sz w:val="24"/>
                <w:szCs w:val="24"/>
                <w:highlight w:val="none"/>
              </w:rPr>
              <w:t>副高及以上职称的得2分。</w:t>
            </w:r>
          </w:p>
          <w:p w14:paraId="4BB4297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注：投标文件中须同时提供</w:t>
            </w:r>
          </w:p>
          <w:p w14:paraId="50847F54">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①项目组人员名单（格式自拟）；</w:t>
            </w:r>
          </w:p>
          <w:p w14:paraId="4F240E14">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②项目组人员身份证扫描件或影印件；</w:t>
            </w:r>
          </w:p>
          <w:p w14:paraId="3946BB2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与项目组人员签订的劳动合同；</w:t>
            </w:r>
          </w:p>
          <w:p w14:paraId="3ECFBB47">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④项目经理的职称证明影印件；</w:t>
            </w:r>
          </w:p>
          <w:p w14:paraId="2D45DB7B">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为项目组人员（包括项目经理）缴纳的近3个月内（任意一个月）社保证明。</w:t>
            </w: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14:paraId="38A3842E">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r>
      <w:tr w14:paraId="43B1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46" w:type="pct"/>
            <w:vMerge w:val="continue"/>
            <w:tcBorders>
              <w:left w:val="single" w:color="auto" w:sz="4" w:space="0"/>
              <w:right w:val="single" w:color="auto" w:sz="4" w:space="0"/>
            </w:tcBorders>
            <w:vAlign w:val="center"/>
          </w:tcPr>
          <w:p w14:paraId="745E5742">
            <w:pPr>
              <w:spacing w:line="360" w:lineRule="auto"/>
              <w:ind w:firstLine="435"/>
              <w:jc w:val="center"/>
              <w:rPr>
                <w:rFonts w:asciiTheme="minorEastAsia" w:hAnsiTheme="minorEastAsia" w:eastAsiaTheme="minorEastAsia"/>
                <w:b/>
                <w:bCs/>
                <w:color w:val="auto"/>
                <w:sz w:val="24"/>
                <w:highlight w:val="none"/>
              </w:rPr>
            </w:pPr>
          </w:p>
        </w:tc>
        <w:tc>
          <w:tcPr>
            <w:tcW w:w="746" w:type="pct"/>
            <w:tcBorders>
              <w:top w:val="single" w:color="auto" w:sz="4" w:space="0"/>
              <w:left w:val="single" w:color="auto" w:sz="4" w:space="0"/>
              <w:bottom w:val="single" w:color="auto" w:sz="4" w:space="0"/>
              <w:right w:val="single" w:color="auto" w:sz="4" w:space="0"/>
            </w:tcBorders>
            <w:shd w:val="clear" w:color="auto" w:fill="auto"/>
            <w:vAlign w:val="center"/>
          </w:tcPr>
          <w:p w14:paraId="3C8B80E4">
            <w:pPr>
              <w:spacing w:line="360" w:lineRule="auto"/>
              <w:jc w:val="center"/>
              <w:rPr>
                <w:rFonts w:hint="eastAsia" w:ascii="宋体" w:hAnsi="宋体" w:eastAsia="宋体" w:cs="@仿宋_GB2312"/>
                <w:color w:val="auto"/>
                <w:kern w:val="2"/>
                <w:sz w:val="21"/>
                <w:szCs w:val="21"/>
                <w:highlight w:val="none"/>
                <w:lang w:val="en-US" w:eastAsia="zh-CN" w:bidi="ar-SA"/>
              </w:rPr>
            </w:pPr>
            <w:r>
              <w:rPr>
                <w:rFonts w:hint="eastAsia" w:ascii="宋体" w:hAnsi="宋体" w:eastAsia="宋体" w:cs="宋体"/>
                <w:color w:val="auto"/>
                <w:sz w:val="24"/>
                <w:szCs w:val="24"/>
                <w:highlight w:val="none"/>
              </w:rPr>
              <w:t>专业（授课）人员</w:t>
            </w:r>
          </w:p>
        </w:tc>
        <w:tc>
          <w:tcPr>
            <w:tcW w:w="2935" w:type="pct"/>
            <w:tcBorders>
              <w:top w:val="single" w:color="auto" w:sz="4" w:space="0"/>
              <w:left w:val="single" w:color="auto" w:sz="4" w:space="0"/>
              <w:bottom w:val="single" w:color="auto" w:sz="4" w:space="0"/>
              <w:right w:val="single" w:color="auto" w:sz="4" w:space="0"/>
            </w:tcBorders>
            <w:shd w:val="clear" w:color="auto" w:fill="auto"/>
            <w:vAlign w:val="center"/>
          </w:tcPr>
          <w:p w14:paraId="7EEA89B0">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为本项目配备的专业授课人员，视以下条件计分： </w:t>
            </w:r>
          </w:p>
          <w:p w14:paraId="399B30A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邀请到国际贸易、经济类、跨境电子商务等领域教授、专家，每人加2分，最高得6分；国际贸易、经济学、跨境电子商务等领域的副教授（副高）以上的每人加1分，最高得5分。本项最高得11分。</w:t>
            </w:r>
          </w:p>
          <w:p w14:paraId="20E258ED">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邀请到国家部委</w:t>
            </w:r>
            <w:r>
              <w:rPr>
                <w:rFonts w:hint="eastAsia" w:ascii="宋体" w:hAnsi="宋体" w:eastAsia="宋体" w:cs="宋体"/>
                <w:color w:val="auto"/>
                <w:sz w:val="24"/>
                <w:szCs w:val="24"/>
                <w:highlight w:val="none"/>
                <w:lang w:eastAsia="zh-CN"/>
              </w:rPr>
              <w:t>及所属研究机构、</w:t>
            </w:r>
            <w:r>
              <w:rPr>
                <w:rFonts w:hint="eastAsia" w:ascii="宋体" w:hAnsi="宋体" w:eastAsia="宋体" w:cs="宋体"/>
                <w:color w:val="auto"/>
                <w:sz w:val="24"/>
                <w:szCs w:val="24"/>
                <w:highlight w:val="none"/>
                <w:lang w:val="en-US" w:eastAsia="zh-CN"/>
              </w:rPr>
              <w:t>商协会</w:t>
            </w:r>
            <w:r>
              <w:rPr>
                <w:rFonts w:hint="eastAsia" w:ascii="宋体" w:hAnsi="宋体" w:eastAsia="宋体" w:cs="宋体"/>
                <w:color w:val="auto"/>
                <w:sz w:val="24"/>
                <w:szCs w:val="24"/>
                <w:highlight w:val="none"/>
              </w:rPr>
              <w:t>相关专家、</w:t>
            </w:r>
            <w:r>
              <w:rPr>
                <w:rFonts w:hint="eastAsia" w:ascii="宋体" w:hAnsi="宋体" w:eastAsia="宋体" w:cs="宋体"/>
                <w:color w:val="auto"/>
                <w:sz w:val="24"/>
                <w:szCs w:val="24"/>
                <w:highlight w:val="none"/>
                <w:lang w:eastAsia="zh-CN"/>
              </w:rPr>
              <w:t>长三角</w:t>
            </w:r>
            <w:r>
              <w:rPr>
                <w:rFonts w:hint="eastAsia" w:ascii="宋体" w:hAnsi="宋体" w:eastAsia="宋体" w:cs="宋体"/>
                <w:color w:val="auto"/>
                <w:sz w:val="24"/>
                <w:szCs w:val="24"/>
                <w:highlight w:val="none"/>
              </w:rPr>
              <w:t>相关研究机构负责人的，每人加2 分，最高4分。</w:t>
            </w:r>
          </w:p>
          <w:p w14:paraId="60E0D97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邀请到企业集团公司、跨境电商企业和展览公司的职业经理人或项目经理每人加2分，最高得4分。</w:t>
            </w:r>
          </w:p>
          <w:p w14:paraId="5D6F6197">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邀请到以外贸（跨境）为主要业务的跨境电商平台区域负责人，每人加2分，最高得6分。</w:t>
            </w:r>
          </w:p>
          <w:p w14:paraId="16101880">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注：投标文件中提供以下材料扫描件：</w:t>
            </w:r>
          </w:p>
          <w:p w14:paraId="5D41627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①授课人为教授、副教授（副高）的须提供相关职称证书。</w:t>
            </w:r>
          </w:p>
          <w:p w14:paraId="11BC610B">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en-US" w:eastAsia="zh-CN"/>
              </w:rPr>
              <w:t>相关研究机构负责人</w:t>
            </w:r>
            <w:r>
              <w:rPr>
                <w:rFonts w:hint="eastAsia" w:ascii="宋体" w:hAnsi="宋体" w:eastAsia="宋体" w:cs="宋体"/>
                <w:color w:val="auto"/>
                <w:sz w:val="24"/>
                <w:szCs w:val="24"/>
                <w:highlight w:val="none"/>
              </w:rPr>
              <w:t>需具备以下条件：</w:t>
            </w:r>
            <w:r>
              <w:rPr>
                <w:rFonts w:hint="eastAsia" w:ascii="宋体" w:hAnsi="宋体" w:eastAsia="宋体" w:cs="宋体"/>
                <w:color w:val="auto"/>
                <w:sz w:val="24"/>
                <w:szCs w:val="24"/>
                <w:highlight w:val="none"/>
                <w:lang w:val="en-US" w:eastAsia="zh-CN"/>
              </w:rPr>
              <w:t>参加过</w:t>
            </w:r>
            <w:r>
              <w:rPr>
                <w:rFonts w:hint="eastAsia" w:ascii="宋体" w:hAnsi="宋体" w:eastAsia="宋体" w:cs="宋体"/>
                <w:color w:val="auto"/>
                <w:sz w:val="24"/>
                <w:szCs w:val="24"/>
                <w:highlight w:val="none"/>
              </w:rPr>
              <w:t>国家相关部委的文件或参加过国家相关部委以上的国际贸易、跨境电子商务领域相关文件起草、标准制订、项目评审或高峰论坛等活动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并提供第三方</w:t>
            </w:r>
            <w:r>
              <w:rPr>
                <w:rFonts w:hint="eastAsia" w:ascii="宋体" w:hAnsi="宋体" w:eastAsia="宋体" w:cs="宋体"/>
                <w:color w:val="auto"/>
                <w:sz w:val="24"/>
                <w:szCs w:val="24"/>
                <w:highlight w:val="none"/>
              </w:rPr>
              <w:t>证明材料扫描件。</w:t>
            </w:r>
          </w:p>
          <w:p w14:paraId="7BAB868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val="en-US" w:eastAsia="zh-CN"/>
              </w:rPr>
              <w:t>企业集团公司、跨境电商企业、展览公司的职业经理人或项目经理，跨境电商平台区域负责人，</w:t>
            </w:r>
            <w:r>
              <w:rPr>
                <w:rFonts w:hint="eastAsia" w:ascii="宋体" w:hAnsi="宋体" w:eastAsia="宋体" w:cs="宋体"/>
                <w:color w:val="auto"/>
                <w:sz w:val="24"/>
                <w:szCs w:val="24"/>
                <w:highlight w:val="none"/>
              </w:rPr>
              <w:t>提供单位证明或入职文件、劳动合同等</w:t>
            </w:r>
            <w:r>
              <w:rPr>
                <w:rFonts w:hint="eastAsia" w:ascii="宋体" w:hAnsi="宋体" w:eastAsia="宋体" w:cs="宋体"/>
                <w:color w:val="auto"/>
                <w:sz w:val="24"/>
                <w:szCs w:val="24"/>
                <w:highlight w:val="none"/>
                <w:lang w:val="en-US" w:eastAsia="zh-CN"/>
              </w:rPr>
              <w:t>第三方</w:t>
            </w:r>
            <w:r>
              <w:rPr>
                <w:rFonts w:hint="eastAsia" w:ascii="宋体" w:hAnsi="宋体" w:eastAsia="宋体" w:cs="宋体"/>
                <w:color w:val="auto"/>
                <w:sz w:val="24"/>
                <w:szCs w:val="24"/>
                <w:highlight w:val="none"/>
              </w:rPr>
              <w:t>证明材料。</w:t>
            </w:r>
          </w:p>
          <w:p w14:paraId="5D313828">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时需提供邀请的相关教授、专家等人员亲笔签名参与本项目的同意函或合作协议、聘用合同等证明材料扫描件及工作简历。</w:t>
            </w:r>
          </w:p>
          <w:p w14:paraId="0AF85BA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⑤能证明上述人员资历的相关证明材料，如毕业证书、 资质证书、获奖</w:t>
            </w:r>
            <w:r>
              <w:rPr>
                <w:rFonts w:hint="eastAsia" w:ascii="宋体" w:hAnsi="宋体" w:eastAsia="宋体" w:cs="宋体"/>
                <w:color w:val="auto"/>
                <w:sz w:val="24"/>
                <w:szCs w:val="24"/>
                <w:highlight w:val="none"/>
                <w:lang w:eastAsia="zh-CN"/>
              </w:rPr>
              <w:t>证书</w:t>
            </w:r>
            <w:r>
              <w:rPr>
                <w:rFonts w:hint="eastAsia" w:ascii="宋体" w:hAnsi="宋体" w:eastAsia="宋体" w:cs="宋体"/>
                <w:color w:val="auto"/>
                <w:sz w:val="24"/>
                <w:szCs w:val="24"/>
                <w:highlight w:val="none"/>
              </w:rPr>
              <w:t>等（须能体现上述人员姓名）。</w:t>
            </w:r>
          </w:p>
          <w:p w14:paraId="01B83D29">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⑥邀请的同一人员，不重复计分。</w:t>
            </w: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14:paraId="12EFB107">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kern w:val="0"/>
                <w:sz w:val="24"/>
                <w:szCs w:val="24"/>
                <w:highlight w:val="none"/>
                <w:lang w:val="zh-CN"/>
              </w:rPr>
              <w:t>0-</w:t>
            </w:r>
            <w:r>
              <w:rPr>
                <w:rFonts w:hint="eastAsia" w:ascii="宋体" w:hAnsi="宋体" w:eastAsia="宋体" w:cs="宋体"/>
                <w:kern w:val="0"/>
                <w:sz w:val="24"/>
                <w:szCs w:val="24"/>
                <w:highlight w:val="none"/>
                <w:lang w:val="en-US" w:eastAsia="zh-CN"/>
              </w:rPr>
              <w:t>25</w:t>
            </w:r>
            <w:r>
              <w:rPr>
                <w:rFonts w:hint="eastAsia" w:ascii="宋体" w:hAnsi="宋体" w:eastAsia="宋体" w:cs="宋体"/>
                <w:kern w:val="0"/>
                <w:sz w:val="24"/>
                <w:szCs w:val="24"/>
                <w:highlight w:val="none"/>
                <w:lang w:val="zh-CN"/>
              </w:rPr>
              <w:t>分</w:t>
            </w:r>
          </w:p>
        </w:tc>
      </w:tr>
      <w:tr w14:paraId="7D75A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Merge w:val="continue"/>
            <w:tcBorders>
              <w:left w:val="single" w:color="auto" w:sz="4" w:space="0"/>
              <w:right w:val="single" w:color="auto" w:sz="4" w:space="0"/>
            </w:tcBorders>
            <w:vAlign w:val="center"/>
          </w:tcPr>
          <w:p w14:paraId="0B7A1B6A">
            <w:pPr>
              <w:spacing w:line="360" w:lineRule="auto"/>
              <w:ind w:firstLine="435"/>
              <w:jc w:val="center"/>
              <w:rPr>
                <w:rFonts w:asciiTheme="minorEastAsia" w:hAnsiTheme="minorEastAsia" w:eastAsiaTheme="minorEastAsia"/>
                <w:b/>
                <w:bCs/>
                <w:color w:val="auto"/>
                <w:sz w:val="24"/>
                <w:highlight w:val="none"/>
              </w:rPr>
            </w:pPr>
          </w:p>
        </w:tc>
        <w:tc>
          <w:tcPr>
            <w:tcW w:w="746" w:type="pct"/>
            <w:tcBorders>
              <w:top w:val="single" w:color="auto" w:sz="4" w:space="0"/>
              <w:left w:val="single" w:color="auto" w:sz="4" w:space="0"/>
              <w:bottom w:val="single" w:color="auto" w:sz="4" w:space="0"/>
              <w:right w:val="single" w:color="auto" w:sz="4" w:space="0"/>
            </w:tcBorders>
            <w:shd w:val="clear" w:color="auto" w:fill="auto"/>
            <w:vAlign w:val="center"/>
          </w:tcPr>
          <w:p w14:paraId="16700414">
            <w:pPr>
              <w:spacing w:line="360" w:lineRule="auto"/>
              <w:jc w:val="center"/>
              <w:rPr>
                <w:rFonts w:hint="eastAsia" w:ascii="楷体" w:hAnsi="楷体" w:eastAsia="宋体" w:cs="@仿宋_GB2312"/>
                <w:color w:val="auto"/>
                <w:kern w:val="2"/>
                <w:sz w:val="21"/>
                <w:szCs w:val="21"/>
                <w:highlight w:val="none"/>
                <w:lang w:val="en-US" w:eastAsia="zh-CN" w:bidi="ar-SA"/>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业绩</w:t>
            </w:r>
          </w:p>
        </w:tc>
        <w:tc>
          <w:tcPr>
            <w:tcW w:w="2935" w:type="pct"/>
            <w:tcBorders>
              <w:top w:val="single" w:color="auto" w:sz="4" w:space="0"/>
              <w:left w:val="single" w:color="auto" w:sz="4" w:space="0"/>
              <w:bottom w:val="single" w:color="auto" w:sz="4" w:space="0"/>
              <w:right w:val="single" w:color="auto" w:sz="4" w:space="0"/>
            </w:tcBorders>
            <w:shd w:val="clear" w:color="auto" w:fill="auto"/>
            <w:vAlign w:val="center"/>
          </w:tcPr>
          <w:p w14:paraId="21E3A40F">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年1月1日以来（以合同签订时间或者举办地政府部门证明为准）</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具有外贸专题培训类似业绩的（</w:t>
            </w:r>
            <w:r>
              <w:rPr>
                <w:rFonts w:hint="eastAsia" w:ascii="宋体" w:hAnsi="宋体" w:eastAsia="宋体" w:cs="宋体"/>
                <w:color w:val="auto"/>
                <w:sz w:val="24"/>
                <w:szCs w:val="24"/>
                <w:highlight w:val="none"/>
                <w:lang w:eastAsia="zh-CN"/>
              </w:rPr>
              <w:t>如</w:t>
            </w:r>
            <w:r>
              <w:rPr>
                <w:rFonts w:hint="eastAsia" w:ascii="宋体" w:hAnsi="宋体" w:eastAsia="宋体" w:cs="宋体"/>
                <w:color w:val="auto"/>
                <w:sz w:val="24"/>
                <w:szCs w:val="24"/>
                <w:highlight w:val="none"/>
              </w:rPr>
              <w:t>国际贸易、跨境电子商务、海关业务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RCEP</w:t>
            </w:r>
            <w:r>
              <w:rPr>
                <w:rFonts w:hint="eastAsia" w:ascii="宋体" w:hAnsi="宋体" w:eastAsia="宋体" w:cs="宋体"/>
                <w:color w:val="auto"/>
                <w:sz w:val="24"/>
                <w:szCs w:val="24"/>
                <w:highlight w:val="none"/>
              </w:rPr>
              <w:t>等培训活动项目），每提供1个</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分，满分</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分。 </w:t>
            </w:r>
          </w:p>
          <w:p w14:paraId="7917DA59">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注：投标文件中提供业绩合同扫描件或者举办地政府部门文件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需体现承揽举办方为投标人）</w:t>
            </w:r>
            <w:r>
              <w:rPr>
                <w:rFonts w:hint="eastAsia" w:ascii="宋体" w:hAnsi="宋体" w:eastAsia="宋体" w:cs="宋体"/>
                <w:color w:val="auto"/>
                <w:sz w:val="24"/>
                <w:szCs w:val="24"/>
                <w:highlight w:val="none"/>
              </w:rPr>
              <w:t>等证明材料扫描件或影印件，未提供不得分。</w:t>
            </w: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14:paraId="20BBF783">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kern w:val="0"/>
                <w:sz w:val="24"/>
                <w:szCs w:val="24"/>
                <w:highlight w:val="none"/>
                <w:lang w:val="zh-CN"/>
              </w:rPr>
              <w:t>0-</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lang w:val="zh-CN"/>
              </w:rPr>
              <w:t>分</w:t>
            </w:r>
          </w:p>
        </w:tc>
      </w:tr>
      <w:tr w14:paraId="5440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Merge w:val="continue"/>
            <w:tcBorders>
              <w:left w:val="single" w:color="auto" w:sz="4" w:space="0"/>
              <w:right w:val="single" w:color="auto" w:sz="4" w:space="0"/>
            </w:tcBorders>
            <w:vAlign w:val="center"/>
          </w:tcPr>
          <w:p w14:paraId="0D78AE1E">
            <w:pPr>
              <w:spacing w:line="360" w:lineRule="auto"/>
              <w:ind w:firstLine="435"/>
              <w:jc w:val="center"/>
              <w:rPr>
                <w:rFonts w:asciiTheme="minorEastAsia" w:hAnsiTheme="minorEastAsia" w:eastAsiaTheme="minorEastAsia"/>
                <w:b/>
                <w:bCs/>
                <w:color w:val="auto"/>
                <w:sz w:val="24"/>
                <w:highlight w:val="none"/>
              </w:rPr>
            </w:pPr>
          </w:p>
        </w:tc>
        <w:tc>
          <w:tcPr>
            <w:tcW w:w="746" w:type="pct"/>
            <w:tcBorders>
              <w:top w:val="single" w:color="auto" w:sz="4" w:space="0"/>
              <w:left w:val="single" w:color="auto" w:sz="4" w:space="0"/>
              <w:bottom w:val="single" w:color="auto" w:sz="4" w:space="0"/>
              <w:right w:val="single" w:color="auto" w:sz="4" w:space="0"/>
            </w:tcBorders>
            <w:shd w:val="clear" w:color="auto" w:fill="auto"/>
            <w:vAlign w:val="center"/>
          </w:tcPr>
          <w:p w14:paraId="575D1DA3">
            <w:pPr>
              <w:spacing w:line="360" w:lineRule="auto"/>
              <w:jc w:val="center"/>
              <w:rPr>
                <w:ins w:id="0" w:author="Administrator" w:date="2025-05-28T11:14:16Z"/>
                <w:rFonts w:hint="eastAsia" w:ascii="宋体" w:hAnsi="宋体" w:eastAsia="宋体" w:cs="@仿宋_GB2312"/>
                <w:color w:val="auto"/>
                <w:kern w:val="2"/>
                <w:sz w:val="21"/>
                <w:szCs w:val="21"/>
                <w:highlight w:val="none"/>
                <w:lang w:val="en-US" w:eastAsia="zh-CN" w:bidi="ar-SA"/>
              </w:rPr>
            </w:pPr>
            <w:r>
              <w:rPr>
                <w:rFonts w:hint="eastAsia" w:ascii="宋体" w:hAnsi="宋体" w:eastAsia="宋体" w:cs="宋体"/>
                <w:color w:val="auto"/>
                <w:sz w:val="24"/>
                <w:szCs w:val="24"/>
                <w:highlight w:val="none"/>
                <w:lang w:val="en-US" w:eastAsia="zh-CN"/>
              </w:rPr>
              <w:t>线上学习及异地培训组织协调能力</w:t>
            </w:r>
          </w:p>
        </w:tc>
        <w:tc>
          <w:tcPr>
            <w:tcW w:w="2935" w:type="pct"/>
            <w:tcBorders>
              <w:top w:val="single" w:color="auto" w:sz="4" w:space="0"/>
              <w:left w:val="single" w:color="auto" w:sz="4" w:space="0"/>
              <w:bottom w:val="single" w:color="auto" w:sz="4" w:space="0"/>
              <w:right w:val="single" w:color="auto" w:sz="4" w:space="0"/>
            </w:tcBorders>
            <w:shd w:val="clear" w:color="auto" w:fill="auto"/>
            <w:vAlign w:val="center"/>
          </w:tcPr>
          <w:p w14:paraId="098EA400">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具备授课</w:t>
            </w:r>
            <w:r>
              <w:rPr>
                <w:rFonts w:hint="eastAsia" w:ascii="宋体" w:hAnsi="宋体" w:eastAsia="宋体" w:cs="宋体"/>
                <w:color w:val="auto"/>
                <w:sz w:val="24"/>
                <w:szCs w:val="24"/>
                <w:highlight w:val="none"/>
                <w:lang w:eastAsia="zh-CN"/>
              </w:rPr>
              <w:t>视频</w:t>
            </w:r>
            <w:r>
              <w:rPr>
                <w:rFonts w:hint="eastAsia" w:ascii="宋体" w:hAnsi="宋体" w:eastAsia="宋体" w:cs="宋体"/>
                <w:color w:val="auto"/>
                <w:sz w:val="24"/>
                <w:szCs w:val="24"/>
                <w:highlight w:val="none"/>
              </w:rPr>
              <w:t>现场录制能力（专业人员和设备）的得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未提供</w:t>
            </w:r>
            <w:r>
              <w:rPr>
                <w:rFonts w:hint="eastAsia" w:ascii="宋体" w:hAnsi="宋体" w:eastAsia="宋体" w:cs="宋体"/>
                <w:color w:val="auto"/>
                <w:sz w:val="24"/>
                <w:szCs w:val="24"/>
                <w:highlight w:val="none"/>
              </w:rPr>
              <w:t>不得分。</w:t>
            </w:r>
          </w:p>
          <w:p w14:paraId="11D80DBF">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有自有的网站或</w:t>
            </w:r>
            <w:r>
              <w:rPr>
                <w:rFonts w:hint="eastAsia" w:ascii="宋体" w:hAnsi="宋体" w:eastAsia="宋体" w:cs="宋体"/>
                <w:color w:val="auto"/>
                <w:sz w:val="24"/>
                <w:szCs w:val="24"/>
                <w:highlight w:val="none"/>
                <w:lang w:val="en-US" w:eastAsia="zh-CN"/>
              </w:rPr>
              <w:t>可以使用的</w:t>
            </w:r>
            <w:r>
              <w:rPr>
                <w:rFonts w:hint="eastAsia" w:ascii="宋体" w:hAnsi="宋体" w:eastAsia="宋体" w:cs="宋体"/>
                <w:color w:val="auto"/>
                <w:sz w:val="24"/>
                <w:szCs w:val="24"/>
                <w:highlight w:val="none"/>
              </w:rPr>
              <w:t>移动学习平台</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，能够为参训人员免费提供不少于 20 课时的对外贸易业务知识、跨境电商知识与实操课程</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 xml:space="preserve">的得 </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未提供</w:t>
            </w:r>
            <w:r>
              <w:rPr>
                <w:rFonts w:hint="eastAsia" w:ascii="宋体" w:hAnsi="宋体" w:eastAsia="宋体" w:cs="宋体"/>
                <w:color w:val="auto"/>
                <w:sz w:val="24"/>
                <w:szCs w:val="24"/>
                <w:highlight w:val="none"/>
              </w:rPr>
              <w:t>不得分。</w:t>
            </w:r>
          </w:p>
          <w:p w14:paraId="50363EF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自</w:t>
            </w:r>
            <w:r>
              <w:rPr>
                <w:rFonts w:hint="eastAsia" w:ascii="宋体" w:hAnsi="宋体" w:eastAsia="宋体" w:cs="宋体"/>
                <w:color w:val="auto"/>
                <w:sz w:val="24"/>
                <w:szCs w:val="24"/>
                <w:highlight w:val="none"/>
                <w:lang w:val="en-US" w:eastAsia="zh-CN"/>
              </w:rPr>
              <w:t>2022年1月以来，</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具有组织异地（指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驻地以外省市等地区）教学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境外参展、线上培训、商务对接活动</w:t>
            </w:r>
            <w:r>
              <w:rPr>
                <w:rFonts w:hint="eastAsia" w:ascii="宋体" w:hAnsi="宋体" w:eastAsia="宋体" w:cs="宋体"/>
                <w:color w:val="auto"/>
                <w:sz w:val="24"/>
                <w:szCs w:val="24"/>
                <w:highlight w:val="none"/>
                <w:lang w:val="en-US" w:eastAsia="zh-CN"/>
              </w:rPr>
              <w:t>组织协调能力</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未提供</w:t>
            </w:r>
            <w:r>
              <w:rPr>
                <w:rFonts w:hint="eastAsia" w:ascii="宋体" w:hAnsi="宋体" w:eastAsia="宋体" w:cs="宋体"/>
                <w:color w:val="auto"/>
                <w:sz w:val="24"/>
                <w:szCs w:val="24"/>
                <w:highlight w:val="none"/>
              </w:rPr>
              <w:t>不得分。</w:t>
            </w:r>
          </w:p>
          <w:p w14:paraId="46E8F712">
            <w:pPr>
              <w:spacing w:line="360" w:lineRule="auto"/>
              <w:jc w:val="left"/>
              <w:rPr>
                <w:ins w:id="1" w:author="Administrator" w:date="2025-05-28T11:14:16Z"/>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注：投标文件中提供人员、设备、平台归属的证明、课程界面截屏及异地培训组织能力</w:t>
            </w:r>
            <w:r>
              <w:rPr>
                <w:rFonts w:hint="eastAsia" w:ascii="宋体" w:hAnsi="宋体" w:eastAsia="宋体" w:cs="宋体"/>
                <w:color w:val="auto"/>
                <w:sz w:val="24"/>
                <w:szCs w:val="24"/>
                <w:highlight w:val="none"/>
                <w:lang w:eastAsia="zh-CN"/>
              </w:rPr>
              <w:t>（得到已服务过业主单位的认可</w:t>
            </w:r>
            <w:r>
              <w:rPr>
                <w:rFonts w:hint="eastAsia" w:ascii="宋体" w:hAnsi="宋体" w:eastAsia="宋体" w:cs="宋体"/>
                <w:color w:val="auto"/>
                <w:sz w:val="24"/>
                <w:szCs w:val="24"/>
                <w:highlight w:val="none"/>
                <w:lang w:val="en-US" w:eastAsia="zh-CN"/>
              </w:rPr>
              <w:t>包括但不限于业绩、业主单位的表扬信、优秀评价、验收报告等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等证明材料。</w:t>
            </w:r>
          </w:p>
        </w:tc>
        <w:tc>
          <w:tcPr>
            <w:tcW w:w="771" w:type="pct"/>
            <w:tcBorders>
              <w:top w:val="single" w:color="auto" w:sz="4" w:space="0"/>
              <w:left w:val="single" w:color="auto" w:sz="4" w:space="0"/>
              <w:bottom w:val="single" w:color="auto" w:sz="4" w:space="0"/>
              <w:right w:val="single" w:color="auto" w:sz="4" w:space="0"/>
            </w:tcBorders>
            <w:shd w:val="clear" w:color="auto" w:fill="auto"/>
            <w:vAlign w:val="center"/>
          </w:tcPr>
          <w:p w14:paraId="70E7A670">
            <w:pPr>
              <w:keepNext w:val="0"/>
              <w:keepLines w:val="0"/>
              <w:pageBreakBefore w:val="0"/>
              <w:widowControl/>
              <w:kinsoku/>
              <w:wordWrap/>
              <w:overflowPunct/>
              <w:topLinePunct w:val="0"/>
              <w:autoSpaceDE/>
              <w:autoSpaceDN/>
              <w:bidi w:val="0"/>
              <w:snapToGrid w:val="0"/>
              <w:spacing w:line="360" w:lineRule="auto"/>
              <w:jc w:val="center"/>
              <w:textAlignment w:val="auto"/>
              <w:rPr>
                <w:ins w:id="2" w:author="Administrator" w:date="2025-05-28T11:14:16Z"/>
                <w:rFonts w:hint="eastAsia" w:ascii="宋体" w:hAnsi="宋体" w:eastAsia="宋体" w:cs="宋体"/>
                <w:kern w:val="0"/>
                <w:sz w:val="24"/>
                <w:szCs w:val="24"/>
                <w:highlight w:val="none"/>
                <w:lang w:val="zh-CN" w:eastAsia="zh-CN" w:bidi="ar-SA"/>
              </w:rPr>
            </w:pPr>
            <w:r>
              <w:rPr>
                <w:rFonts w:hint="eastAsia" w:ascii="宋体" w:hAnsi="宋体" w:eastAsia="宋体" w:cs="宋体"/>
                <w:kern w:val="0"/>
                <w:sz w:val="24"/>
                <w:szCs w:val="24"/>
                <w:highlight w:val="none"/>
                <w:lang w:val="zh-CN"/>
              </w:rPr>
              <w:t>0-</w:t>
            </w:r>
            <w:r>
              <w:rPr>
                <w:rFonts w:hint="eastAsia" w:ascii="宋体" w:hAnsi="宋体" w:eastAsia="宋体" w:cs="宋体"/>
                <w:kern w:val="0"/>
                <w:sz w:val="24"/>
                <w:szCs w:val="24"/>
                <w:highlight w:val="none"/>
                <w:lang w:val="en-US" w:eastAsia="zh-CN"/>
              </w:rPr>
              <w:t>15</w:t>
            </w:r>
            <w:r>
              <w:rPr>
                <w:rFonts w:hint="eastAsia" w:ascii="宋体" w:hAnsi="宋体" w:eastAsia="宋体" w:cs="宋体"/>
                <w:kern w:val="0"/>
                <w:sz w:val="24"/>
                <w:szCs w:val="24"/>
                <w:highlight w:val="none"/>
                <w:lang w:val="zh-CN"/>
              </w:rPr>
              <w:t>分</w:t>
            </w:r>
          </w:p>
        </w:tc>
      </w:tr>
      <w:tr w14:paraId="1FFB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tcBorders>
              <w:left w:val="single" w:color="auto" w:sz="4" w:space="0"/>
              <w:right w:val="single" w:color="auto" w:sz="4" w:space="0"/>
            </w:tcBorders>
            <w:vAlign w:val="center"/>
          </w:tcPr>
          <w:p w14:paraId="77DDDAD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p w14:paraId="5D517FCB">
            <w:pPr>
              <w:spacing w:line="360" w:lineRule="auto"/>
              <w:jc w:val="center"/>
              <w:rPr>
                <w:rFonts w:asciiTheme="minorEastAsia" w:hAnsiTheme="minorEastAsia" w:eastAsiaTheme="minorEastAsia"/>
                <w:b/>
                <w:bCs/>
                <w:color w:val="auto"/>
                <w:sz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tc>
        <w:tc>
          <w:tcPr>
            <w:tcW w:w="4453" w:type="pct"/>
            <w:gridSpan w:val="3"/>
            <w:tcBorders>
              <w:top w:val="single" w:color="auto" w:sz="4" w:space="0"/>
              <w:left w:val="single" w:color="auto" w:sz="4" w:space="0"/>
              <w:bottom w:val="single" w:color="auto" w:sz="4" w:space="0"/>
              <w:right w:val="single" w:color="auto" w:sz="4" w:space="0"/>
            </w:tcBorders>
            <w:vAlign w:val="center"/>
          </w:tcPr>
          <w:p w14:paraId="1F94A4D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价格分统一采用低价优先法，即满足</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文件要求且报价最低的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的价格为</w:t>
            </w:r>
            <w:r>
              <w:rPr>
                <w:rFonts w:hint="eastAsia" w:ascii="宋体" w:hAnsi="宋体" w:eastAsia="宋体" w:cs="宋体"/>
                <w:color w:val="auto"/>
                <w:sz w:val="24"/>
                <w:szCs w:val="24"/>
                <w:highlight w:val="none"/>
                <w:lang w:val="en-US" w:eastAsia="zh-CN"/>
              </w:rPr>
              <w:t>评标</w:t>
            </w:r>
            <w:r>
              <w:rPr>
                <w:rFonts w:hint="eastAsia" w:ascii="宋体" w:hAnsi="宋体" w:eastAsia="宋体" w:cs="宋体"/>
                <w:color w:val="auto"/>
                <w:sz w:val="24"/>
                <w:szCs w:val="24"/>
                <w:highlight w:val="none"/>
              </w:rPr>
              <w:t>基准价，其价格分为满分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的价格分统一按照下列公式计算：</w:t>
            </w:r>
          </w:p>
          <w:p w14:paraId="4797FACB">
            <w:pPr>
              <w:spacing w:line="360" w:lineRule="auto"/>
              <w:rPr>
                <w:rFonts w:asciiTheme="minorEastAsia" w:hAnsiTheme="minorEastAsia" w:eastAsiaTheme="minorEastAsia"/>
                <w:b/>
                <w:bCs/>
                <w:color w:val="auto"/>
                <w:sz w:val="24"/>
                <w:highlight w:val="none"/>
              </w:rPr>
            </w:pPr>
            <w:r>
              <w:rPr>
                <w:rFonts w:hint="eastAsia" w:ascii="宋体" w:hAnsi="宋体" w:eastAsia="宋体" w:cs="宋体"/>
                <w:color w:val="auto"/>
                <w:sz w:val="24"/>
                <w:szCs w:val="24"/>
                <w:highlight w:val="none"/>
              </w:rPr>
              <w:t>报价得分＝（</w:t>
            </w:r>
            <w:r>
              <w:rPr>
                <w:rFonts w:hint="eastAsia" w:ascii="宋体" w:hAnsi="宋体" w:eastAsia="宋体" w:cs="宋体"/>
                <w:color w:val="auto"/>
                <w:sz w:val="24"/>
                <w:szCs w:val="24"/>
                <w:highlight w:val="none"/>
                <w:lang w:val="en-US" w:eastAsia="zh-CN"/>
              </w:rPr>
              <w:t>评标</w:t>
            </w:r>
            <w:r>
              <w:rPr>
                <w:rFonts w:hint="eastAsia" w:ascii="宋体" w:hAnsi="宋体" w:eastAsia="宋体" w:cs="宋体"/>
                <w:color w:val="auto"/>
                <w:sz w:val="24"/>
                <w:szCs w:val="24"/>
                <w:highlight w:val="none"/>
              </w:rPr>
              <w:t>基准价/</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％×100</w:t>
            </w:r>
          </w:p>
        </w:tc>
      </w:tr>
    </w:tbl>
    <w:p w14:paraId="2FDE0F3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.3.3</w:t>
      </w:r>
      <w:r>
        <w:rPr>
          <w:rFonts w:hint="eastAsia" w:asciiTheme="minorEastAsia" w:hAnsiTheme="minorEastAsia" w:eastAsiaTheme="minorEastAsia"/>
          <w:color w:val="auto"/>
          <w:sz w:val="24"/>
          <w:highlight w:val="none"/>
        </w:rPr>
        <w:t>分值汇总</w:t>
      </w:r>
    </w:p>
    <w:p w14:paraId="293D026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评标委员会各成员应当独立对每个</w:t>
      </w:r>
      <w:r>
        <w:rPr>
          <w:rFonts w:hint="eastAsia" w:asciiTheme="minorEastAsia" w:hAnsiTheme="minorEastAsia" w:eastAsiaTheme="minorEastAsia"/>
          <w:color w:val="auto"/>
          <w:sz w:val="24"/>
          <w:highlight w:val="none"/>
        </w:rPr>
        <w:t>有效</w:t>
      </w:r>
      <w:r>
        <w:rPr>
          <w:rFonts w:asciiTheme="minorEastAsia" w:hAnsiTheme="minorEastAsia" w:eastAsiaTheme="minorEastAsia"/>
          <w:color w:val="auto"/>
          <w:sz w:val="24"/>
          <w:highlight w:val="none"/>
        </w:rPr>
        <w:t>投标人的投标文件进行评</w:t>
      </w:r>
      <w:r>
        <w:rPr>
          <w:rFonts w:hint="eastAsia" w:asciiTheme="minorEastAsia" w:hAnsiTheme="minorEastAsia" w:eastAsiaTheme="minorEastAsia"/>
          <w:color w:val="auto"/>
          <w:sz w:val="24"/>
          <w:highlight w:val="none"/>
        </w:rPr>
        <w:t>分</w:t>
      </w:r>
      <w:r>
        <w:rPr>
          <w:rFonts w:asciiTheme="minorEastAsia" w:hAnsiTheme="minorEastAsia" w:eastAsiaTheme="minorEastAsia"/>
          <w:color w:val="auto"/>
          <w:sz w:val="24"/>
          <w:highlight w:val="none"/>
        </w:rPr>
        <w:t>，并汇总每个投</w:t>
      </w:r>
      <w:r>
        <w:rPr>
          <w:rFonts w:hint="eastAsia" w:asciiTheme="minorEastAsia" w:hAnsiTheme="minorEastAsia" w:eastAsiaTheme="minorEastAsia"/>
          <w:color w:val="auto"/>
          <w:sz w:val="24"/>
          <w:highlight w:val="none"/>
        </w:rPr>
        <w:t>标人的得分。取各位评委评分之平均值，四舍五入保留至小数点后两位数，</w:t>
      </w:r>
      <w:r>
        <w:rPr>
          <w:rFonts w:asciiTheme="minorEastAsia" w:hAnsiTheme="minorEastAsia" w:eastAsiaTheme="minorEastAsia"/>
          <w:color w:val="auto"/>
          <w:sz w:val="24"/>
          <w:highlight w:val="none"/>
        </w:rPr>
        <w:t>得到该投标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w:t>
      </w:r>
      <w:r>
        <w:rPr>
          <w:rFonts w:hint="eastAsia" w:asciiTheme="minorEastAsia" w:hAnsiTheme="minorEastAsia" w:eastAsiaTheme="minorEastAsia"/>
          <w:color w:val="auto"/>
          <w:sz w:val="24"/>
          <w:highlight w:val="none"/>
        </w:rPr>
        <w:t>。</w:t>
      </w:r>
    </w:p>
    <w:p w14:paraId="6F52F2E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将投标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的技术资信分加上根据上述标准计算出的价格分，即为该投标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的综合总得分。</w:t>
      </w:r>
      <w:r>
        <w:rPr>
          <w:rFonts w:asciiTheme="minorEastAsia" w:hAnsiTheme="minorEastAsia" w:eastAsiaTheme="minorEastAsia"/>
          <w:color w:val="auto"/>
          <w:sz w:val="24"/>
          <w:highlight w:val="none"/>
        </w:rPr>
        <w:br w:type="page"/>
      </w:r>
    </w:p>
    <w:p w14:paraId="0DF79EAE">
      <w:pPr>
        <w:spacing w:line="360" w:lineRule="auto"/>
        <w:jc w:val="center"/>
        <w:outlineLvl w:val="0"/>
        <w:rPr>
          <w:rFonts w:hint="eastAsia" w:asciiTheme="minorEastAsia" w:hAnsiTheme="minorEastAsia" w:eastAsiaTheme="minorEastAsia"/>
          <w:b/>
          <w:color w:val="auto"/>
          <w:sz w:val="28"/>
          <w:highlight w:val="none"/>
          <w:lang w:eastAsia="zh-CN"/>
        </w:rPr>
      </w:pPr>
      <w:bookmarkStart w:id="59" w:name="_Toc25840"/>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59"/>
    </w:p>
    <w:p w14:paraId="14E0FCA5">
      <w:pPr>
        <w:spacing w:line="480" w:lineRule="auto"/>
        <w:jc w:val="center"/>
        <w:outlineLvl w:val="9"/>
        <w:rPr>
          <w:rFonts w:cs="Times New Roman" w:asciiTheme="minorEastAsia" w:hAnsiTheme="minorEastAsia" w:eastAsiaTheme="minorEastAsia"/>
          <w:b/>
          <w:color w:val="000000" w:themeColor="text1"/>
          <w:sz w:val="28"/>
          <w:szCs w:val="28"/>
          <w14:textFill>
            <w14:solidFill>
              <w14:schemeClr w14:val="tx1"/>
            </w14:solidFill>
          </w14:textFill>
        </w:rPr>
      </w:pPr>
      <w:bookmarkStart w:id="60" w:name="_Toc331685784"/>
    </w:p>
    <w:p w14:paraId="170B41F0">
      <w:pPr>
        <w:spacing w:line="360" w:lineRule="auto"/>
        <w:ind w:right="378"/>
        <w:jc w:val="center"/>
        <w:rPr>
          <w:rFonts w:hint="eastAsia" w:ascii="宋体" w:hAnsi="宋体" w:eastAsia="宋体" w:cs="宋体"/>
          <w:b/>
          <w:sz w:val="28"/>
        </w:rPr>
      </w:pPr>
      <w:r>
        <w:rPr>
          <w:rFonts w:hint="eastAsia" w:ascii="宋体" w:hAnsi="宋体" w:eastAsia="宋体" w:cs="宋体"/>
          <w:b/>
          <w:sz w:val="28"/>
          <w:lang w:eastAsia="zh-CN"/>
        </w:rPr>
        <w:t>2025年“加快培育外贸新动能 促进外贸高质量发展”专题培训项目</w:t>
      </w:r>
      <w:r>
        <w:rPr>
          <w:rFonts w:hint="eastAsia" w:ascii="宋体" w:hAnsi="宋体" w:eastAsia="宋体" w:cs="宋体"/>
          <w:b/>
          <w:sz w:val="28"/>
        </w:rPr>
        <w:t>采购合同</w:t>
      </w:r>
    </w:p>
    <w:p w14:paraId="5A5BA04E">
      <w:pPr>
        <w:pStyle w:val="2"/>
        <w:spacing w:line="360" w:lineRule="auto"/>
        <w:rPr>
          <w:rFonts w:hint="eastAsia" w:ascii="宋体" w:hAnsi="宋体" w:eastAsia="宋体" w:cs="宋体"/>
          <w:b/>
          <w:sz w:val="28"/>
        </w:rPr>
      </w:pPr>
    </w:p>
    <w:p w14:paraId="79B6368B">
      <w:pPr>
        <w:pStyle w:val="2"/>
        <w:wordWrap w:val="0"/>
        <w:spacing w:line="360" w:lineRule="auto"/>
        <w:ind w:right="665"/>
        <w:jc w:val="center"/>
        <w:rPr>
          <w:rFonts w:hint="eastAsia" w:ascii="宋体" w:hAnsi="宋体" w:eastAsia="宋体" w:cs="宋体"/>
          <w:kern w:val="0"/>
          <w:sz w:val="24"/>
          <w:u w:val="single"/>
        </w:rPr>
      </w:pPr>
      <w:r>
        <w:rPr>
          <w:rFonts w:hint="eastAsia" w:ascii="宋体" w:hAnsi="宋体" w:eastAsia="宋体" w:cs="宋体"/>
          <w:kern w:val="0"/>
          <w:sz w:val="24"/>
        </w:rPr>
        <w:t xml:space="preserve">                                      项目编号：</w:t>
      </w:r>
      <w:r>
        <w:rPr>
          <w:rFonts w:hint="eastAsia" w:ascii="宋体" w:hAnsi="宋体" w:eastAsia="宋体" w:cs="宋体"/>
          <w:kern w:val="0"/>
          <w:sz w:val="24"/>
          <w:u w:val="single"/>
        </w:rPr>
        <w:t xml:space="preserve">             </w:t>
      </w:r>
    </w:p>
    <w:p w14:paraId="2493C980">
      <w:pPr>
        <w:pStyle w:val="2"/>
        <w:wordWrap w:val="0"/>
        <w:spacing w:line="360" w:lineRule="auto"/>
        <w:ind w:right="665"/>
        <w:jc w:val="center"/>
        <w:rPr>
          <w:rFonts w:hint="eastAsia" w:ascii="宋体" w:hAnsi="宋体" w:eastAsia="宋体" w:cs="宋体"/>
          <w:sz w:val="23"/>
        </w:rPr>
      </w:pPr>
      <w:r>
        <w:rPr>
          <w:rFonts w:hint="eastAsia" w:ascii="宋体" w:hAnsi="宋体" w:eastAsia="宋体" w:cs="宋体"/>
          <w:kern w:val="0"/>
          <w:sz w:val="24"/>
        </w:rPr>
        <w:t xml:space="preserve">                                 </w:t>
      </w:r>
    </w:p>
    <w:p w14:paraId="0457EB26">
      <w:pPr>
        <w:pStyle w:val="2"/>
        <w:tabs>
          <w:tab w:val="left" w:pos="4892"/>
        </w:tabs>
        <w:spacing w:before="67"/>
        <w:rPr>
          <w:rFonts w:hint="eastAsia" w:ascii="宋体" w:hAnsi="宋体" w:eastAsia="宋体" w:cs="宋体"/>
          <w:sz w:val="24"/>
        </w:rPr>
      </w:pPr>
      <w:r>
        <w:rPr>
          <w:rFonts w:hint="eastAsia" w:ascii="宋体" w:hAnsi="宋体" w:eastAsia="宋体" w:cs="宋体"/>
          <w:spacing w:val="81"/>
          <w:sz w:val="24"/>
        </w:rPr>
        <w:t xml:space="preserve">甲 </w:t>
      </w:r>
      <w:r>
        <w:rPr>
          <w:rFonts w:hint="eastAsia" w:ascii="宋体" w:hAnsi="宋体" w:eastAsia="宋体" w:cs="宋体"/>
          <w:spacing w:val="-22"/>
          <w:sz w:val="24"/>
        </w:rPr>
        <w:t>方</w:t>
      </w:r>
      <w:r>
        <w:rPr>
          <w:rFonts w:hint="eastAsia" w:ascii="宋体" w:hAnsi="宋体" w:eastAsia="宋体" w:cs="宋体"/>
          <w:spacing w:val="-11"/>
          <w:sz w:val="24"/>
        </w:rPr>
        <w:t>：XXXXXXXXXXXX</w:t>
      </w:r>
      <w:r>
        <w:rPr>
          <w:rFonts w:hint="eastAsia" w:ascii="宋体" w:hAnsi="宋体" w:eastAsia="宋体" w:cs="宋体"/>
          <w:spacing w:val="-11"/>
          <w:sz w:val="24"/>
        </w:rPr>
        <w:tab/>
      </w:r>
      <w:r>
        <w:rPr>
          <w:rFonts w:hint="eastAsia" w:ascii="宋体" w:hAnsi="宋体" w:eastAsia="宋体" w:cs="宋体"/>
          <w:spacing w:val="-22"/>
          <w:sz w:val="24"/>
        </w:rPr>
        <w:t>电</w:t>
      </w:r>
      <w:r>
        <w:rPr>
          <w:rFonts w:hint="eastAsia" w:ascii="宋体" w:hAnsi="宋体" w:eastAsia="宋体" w:cs="宋体"/>
          <w:spacing w:val="-20"/>
          <w:sz w:val="24"/>
        </w:rPr>
        <w:t>话</w:t>
      </w:r>
      <w:r>
        <w:rPr>
          <w:rFonts w:hint="eastAsia" w:ascii="宋体" w:hAnsi="宋体" w:eastAsia="宋体" w:cs="宋体"/>
          <w:spacing w:val="-11"/>
          <w:sz w:val="24"/>
        </w:rPr>
        <w:t>：XXX-XXXXXX</w:t>
      </w:r>
    </w:p>
    <w:p w14:paraId="3B84EDC2">
      <w:pPr>
        <w:pStyle w:val="2"/>
        <w:tabs>
          <w:tab w:val="left" w:pos="4892"/>
        </w:tabs>
        <w:spacing w:before="161"/>
        <w:rPr>
          <w:rFonts w:hint="eastAsia" w:ascii="宋体" w:hAnsi="宋体" w:eastAsia="宋体" w:cs="宋体"/>
          <w:sz w:val="24"/>
        </w:rPr>
      </w:pPr>
      <w:r>
        <w:rPr>
          <w:rFonts w:hint="eastAsia" w:ascii="宋体" w:hAnsi="宋体" w:eastAsia="宋体" w:cs="宋体"/>
          <w:spacing w:val="81"/>
          <w:sz w:val="24"/>
        </w:rPr>
        <w:t xml:space="preserve">乙 </w:t>
      </w:r>
      <w:r>
        <w:rPr>
          <w:rFonts w:hint="eastAsia" w:ascii="宋体" w:hAnsi="宋体" w:eastAsia="宋体" w:cs="宋体"/>
          <w:spacing w:val="-22"/>
          <w:sz w:val="24"/>
        </w:rPr>
        <w:t>方</w:t>
      </w:r>
      <w:r>
        <w:rPr>
          <w:rFonts w:hint="eastAsia" w:ascii="宋体" w:hAnsi="宋体" w:eastAsia="宋体" w:cs="宋体"/>
          <w:spacing w:val="-11"/>
          <w:sz w:val="24"/>
        </w:rPr>
        <w:t>：XXXXXXXXXXXX</w:t>
      </w:r>
      <w:r>
        <w:rPr>
          <w:rFonts w:hint="eastAsia" w:ascii="宋体" w:hAnsi="宋体" w:eastAsia="宋体" w:cs="宋体"/>
          <w:spacing w:val="-11"/>
          <w:sz w:val="24"/>
        </w:rPr>
        <w:tab/>
      </w:r>
      <w:r>
        <w:rPr>
          <w:rFonts w:hint="eastAsia" w:ascii="宋体" w:hAnsi="宋体" w:eastAsia="宋体" w:cs="宋体"/>
          <w:spacing w:val="-22"/>
          <w:sz w:val="24"/>
        </w:rPr>
        <w:t>电</w:t>
      </w:r>
      <w:r>
        <w:rPr>
          <w:rFonts w:hint="eastAsia" w:ascii="宋体" w:hAnsi="宋体" w:eastAsia="宋体" w:cs="宋体"/>
          <w:spacing w:val="-20"/>
          <w:sz w:val="24"/>
        </w:rPr>
        <w:t>话</w:t>
      </w:r>
      <w:r>
        <w:rPr>
          <w:rFonts w:hint="eastAsia" w:ascii="宋体" w:hAnsi="宋体" w:eastAsia="宋体" w:cs="宋体"/>
          <w:sz w:val="24"/>
        </w:rPr>
        <w:t>：</w:t>
      </w:r>
      <w:r>
        <w:rPr>
          <w:rFonts w:hint="eastAsia" w:ascii="宋体" w:hAnsi="宋体" w:eastAsia="宋体" w:cs="宋体"/>
          <w:spacing w:val="-10"/>
          <w:sz w:val="24"/>
        </w:rPr>
        <w:t>XXX-XXXXXX</w:t>
      </w:r>
    </w:p>
    <w:p w14:paraId="4FA72612">
      <w:pPr>
        <w:pStyle w:val="2"/>
        <w:tabs>
          <w:tab w:val="left" w:pos="4892"/>
        </w:tabs>
        <w:spacing w:before="160"/>
        <w:rPr>
          <w:rFonts w:hint="eastAsia" w:ascii="宋体" w:hAnsi="宋体" w:eastAsia="宋体" w:cs="宋体"/>
          <w:sz w:val="24"/>
        </w:rPr>
      </w:pPr>
      <w:r>
        <w:rPr>
          <w:rFonts w:hint="eastAsia" w:ascii="宋体" w:hAnsi="宋体" w:eastAsia="宋体" w:cs="宋体"/>
          <w:spacing w:val="-20"/>
          <w:sz w:val="24"/>
        </w:rPr>
        <w:t>见</w:t>
      </w:r>
      <w:r>
        <w:rPr>
          <w:rFonts w:hint="eastAsia" w:ascii="宋体" w:hAnsi="宋体" w:eastAsia="宋体" w:cs="宋体"/>
          <w:spacing w:val="-22"/>
          <w:sz w:val="24"/>
        </w:rPr>
        <w:t>证</w:t>
      </w:r>
      <w:r>
        <w:rPr>
          <w:rFonts w:hint="eastAsia" w:ascii="宋体" w:hAnsi="宋体" w:eastAsia="宋体" w:cs="宋体"/>
          <w:spacing w:val="-20"/>
          <w:sz w:val="24"/>
        </w:rPr>
        <w:t>方：安徽安天利信工程管理股份有限公司</w:t>
      </w:r>
      <w:r>
        <w:rPr>
          <w:rFonts w:hint="eastAsia" w:ascii="宋体" w:hAnsi="宋体" w:eastAsia="宋体" w:cs="宋体"/>
          <w:sz w:val="24"/>
        </w:rPr>
        <w:tab/>
      </w:r>
      <w:r>
        <w:rPr>
          <w:rFonts w:hint="eastAsia" w:ascii="宋体" w:hAnsi="宋体" w:eastAsia="宋体" w:cs="宋体"/>
          <w:spacing w:val="-22"/>
          <w:sz w:val="24"/>
        </w:rPr>
        <w:t>电</w:t>
      </w:r>
      <w:r>
        <w:rPr>
          <w:rFonts w:hint="eastAsia" w:ascii="宋体" w:hAnsi="宋体" w:eastAsia="宋体" w:cs="宋体"/>
          <w:spacing w:val="-20"/>
          <w:sz w:val="24"/>
        </w:rPr>
        <w:t>话</w:t>
      </w:r>
      <w:r>
        <w:rPr>
          <w:rFonts w:hint="eastAsia" w:ascii="宋体" w:hAnsi="宋体" w:eastAsia="宋体" w:cs="宋体"/>
          <w:sz w:val="24"/>
        </w:rPr>
        <w:t>：</w:t>
      </w:r>
      <w:r>
        <w:rPr>
          <w:rFonts w:hint="eastAsia" w:ascii="宋体" w:hAnsi="宋体" w:eastAsia="宋体" w:cs="宋体"/>
          <w:spacing w:val="-31"/>
          <w:sz w:val="24"/>
        </w:rPr>
        <w:t>0551-63736299</w:t>
      </w:r>
    </w:p>
    <w:p w14:paraId="1858B45D">
      <w:pPr>
        <w:pStyle w:val="2"/>
        <w:spacing w:line="360" w:lineRule="auto"/>
        <w:ind w:right="665"/>
        <w:jc w:val="left"/>
        <w:rPr>
          <w:rFonts w:hint="eastAsia" w:ascii="宋体" w:hAnsi="宋体" w:eastAsia="宋体" w:cs="宋体"/>
          <w:kern w:val="0"/>
          <w:sz w:val="21"/>
        </w:rPr>
      </w:pPr>
    </w:p>
    <w:p w14:paraId="323882C0">
      <w:pPr>
        <w:pStyle w:val="2"/>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为促进依法行政，根据《中华人民共和国民法典》及有关法律规定，遵循平等、自愿、公平和诚实信用的原则，甲乙双方订立以下协议，共同遵照履行：</w:t>
      </w:r>
    </w:p>
    <w:p w14:paraId="1AF67487">
      <w:pPr>
        <w:keepNext/>
        <w:keepLines/>
        <w:widowControl/>
        <w:snapToGrid w:val="0"/>
        <w:spacing w:line="360" w:lineRule="auto"/>
        <w:ind w:firstLine="420"/>
        <w:jc w:val="left"/>
        <w:outlineLvl w:val="2"/>
        <w:rPr>
          <w:rFonts w:hint="eastAsia" w:ascii="宋体" w:hAnsi="宋体" w:eastAsia="宋体" w:cs="宋体"/>
          <w:b/>
          <w:bCs/>
          <w:kern w:val="0"/>
          <w:sz w:val="28"/>
          <w:lang w:bidi="en-US"/>
        </w:rPr>
      </w:pPr>
      <w:r>
        <w:rPr>
          <w:rFonts w:hint="eastAsia" w:ascii="宋体" w:hAnsi="宋体" w:eastAsia="宋体" w:cs="宋体"/>
          <w:b/>
          <w:bCs/>
          <w:kern w:val="0"/>
          <w:sz w:val="28"/>
          <w:lang w:bidi="en-US"/>
        </w:rPr>
        <w:t>1. 合同文件</w:t>
      </w:r>
    </w:p>
    <w:p w14:paraId="6BC3570F">
      <w:pPr>
        <w:snapToGrid w:val="0"/>
        <w:spacing w:line="360" w:lineRule="auto"/>
        <w:ind w:left="420" w:firstLine="420" w:firstLineChars="200"/>
        <w:rPr>
          <w:rFonts w:hint="eastAsia" w:ascii="宋体" w:hAnsi="宋体" w:eastAsia="宋体" w:cs="宋体"/>
          <w:kern w:val="0"/>
        </w:rPr>
      </w:pPr>
      <w:r>
        <w:rPr>
          <w:rFonts w:hint="eastAsia" w:ascii="宋体" w:hAnsi="宋体" w:eastAsia="宋体" w:cs="宋体"/>
          <w:kern w:val="0"/>
        </w:rPr>
        <w:t>下列与本次采购活动有关的文件及附件是本合同不可分割的组成部分，与本合同具有同等法律效力，这些文件包括但不限于：</w:t>
      </w:r>
    </w:p>
    <w:p w14:paraId="7F4EE4C3">
      <w:pPr>
        <w:snapToGrid w:val="0"/>
        <w:spacing w:line="360" w:lineRule="auto"/>
        <w:ind w:left="420"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中标</w:t>
      </w:r>
      <w:r>
        <w:rPr>
          <w:rFonts w:hint="eastAsia" w:ascii="宋体" w:hAnsi="宋体" w:eastAsia="宋体" w:cs="宋体"/>
          <w:szCs w:val="21"/>
        </w:rPr>
        <w:t>通知书；</w:t>
      </w:r>
    </w:p>
    <w:p w14:paraId="5798D1AD">
      <w:pPr>
        <w:snapToGrid w:val="0"/>
        <w:spacing w:line="360" w:lineRule="auto"/>
        <w:ind w:left="420"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eastAsia="zh-CN"/>
        </w:rPr>
        <w:t>招标文件</w:t>
      </w:r>
      <w:r>
        <w:rPr>
          <w:rFonts w:hint="eastAsia" w:ascii="宋体" w:hAnsi="宋体" w:eastAsia="宋体" w:cs="宋体"/>
          <w:szCs w:val="21"/>
        </w:rPr>
        <w:t>及附件；</w:t>
      </w:r>
    </w:p>
    <w:p w14:paraId="03A9D293">
      <w:pPr>
        <w:snapToGrid w:val="0"/>
        <w:spacing w:line="360" w:lineRule="auto"/>
        <w:ind w:left="420" w:firstLine="42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eastAsia="zh-CN"/>
        </w:rPr>
        <w:t>投标文件</w:t>
      </w:r>
      <w:r>
        <w:rPr>
          <w:rFonts w:hint="eastAsia" w:ascii="宋体" w:hAnsi="宋体" w:eastAsia="宋体" w:cs="宋体"/>
          <w:szCs w:val="21"/>
        </w:rPr>
        <w:t>及附件；</w:t>
      </w:r>
    </w:p>
    <w:p w14:paraId="3B253834">
      <w:pPr>
        <w:snapToGrid w:val="0"/>
        <w:spacing w:line="360" w:lineRule="auto"/>
        <w:ind w:left="420" w:firstLine="420" w:firstLineChars="200"/>
        <w:rPr>
          <w:rFonts w:hint="eastAsia" w:ascii="宋体" w:hAnsi="宋体" w:eastAsia="宋体" w:cs="宋体"/>
          <w:szCs w:val="21"/>
        </w:rPr>
      </w:pPr>
      <w:r>
        <w:rPr>
          <w:rFonts w:hint="eastAsia" w:ascii="宋体" w:hAnsi="宋体" w:eastAsia="宋体" w:cs="宋体"/>
          <w:szCs w:val="21"/>
        </w:rPr>
        <w:t>（4）合同补充条款或说明；</w:t>
      </w:r>
    </w:p>
    <w:p w14:paraId="1910A8EB">
      <w:pPr>
        <w:snapToGrid w:val="0"/>
        <w:spacing w:line="360" w:lineRule="auto"/>
        <w:ind w:left="420" w:firstLine="420" w:firstLineChars="200"/>
        <w:rPr>
          <w:rFonts w:hint="eastAsia" w:ascii="宋体" w:hAnsi="宋体" w:eastAsia="宋体" w:cs="宋体"/>
          <w:szCs w:val="21"/>
        </w:rPr>
      </w:pPr>
      <w:r>
        <w:rPr>
          <w:rFonts w:hint="eastAsia" w:ascii="宋体" w:hAnsi="宋体" w:eastAsia="宋体" w:cs="宋体"/>
          <w:szCs w:val="21"/>
        </w:rPr>
        <w:t>（5）相关附件、图纸及电子版资料。</w:t>
      </w:r>
    </w:p>
    <w:p w14:paraId="4ED24466">
      <w:pPr>
        <w:keepNext/>
        <w:keepLines/>
        <w:widowControl/>
        <w:snapToGrid w:val="0"/>
        <w:spacing w:line="360" w:lineRule="auto"/>
        <w:ind w:firstLine="420"/>
        <w:jc w:val="left"/>
        <w:outlineLvl w:val="2"/>
        <w:rPr>
          <w:rFonts w:hint="eastAsia" w:ascii="宋体" w:hAnsi="宋体" w:eastAsia="宋体" w:cs="宋体"/>
          <w:b/>
          <w:bCs/>
          <w:kern w:val="0"/>
          <w:sz w:val="28"/>
          <w:lang w:bidi="en-US"/>
        </w:rPr>
      </w:pPr>
      <w:r>
        <w:rPr>
          <w:rFonts w:hint="eastAsia" w:ascii="宋体" w:hAnsi="宋体" w:eastAsia="宋体" w:cs="宋体"/>
          <w:b/>
          <w:bCs/>
          <w:kern w:val="0"/>
          <w:sz w:val="28"/>
          <w:lang w:bidi="en-US"/>
        </w:rPr>
        <w:t>2. 合同范围</w:t>
      </w:r>
    </w:p>
    <w:p w14:paraId="1769FBC5">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甲方委托乙方提供以下服务： </w:t>
      </w:r>
    </w:p>
    <w:p w14:paraId="2FA9CC99">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2.1 服务名称：</w:t>
      </w:r>
      <w:r>
        <w:rPr>
          <w:rFonts w:hint="eastAsia" w:ascii="宋体" w:hAnsi="宋体" w:eastAsia="宋体" w:cs="宋体"/>
          <w:szCs w:val="21"/>
          <w:u w:val="single"/>
        </w:rPr>
        <w:t xml:space="preserve">                          </w:t>
      </w:r>
      <w:r>
        <w:rPr>
          <w:rFonts w:hint="eastAsia" w:ascii="宋体" w:hAnsi="宋体" w:eastAsia="宋体" w:cs="宋体"/>
          <w:szCs w:val="21"/>
        </w:rPr>
        <w:t>。</w:t>
      </w:r>
    </w:p>
    <w:p w14:paraId="0EA81F3F">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2.2 服务内容：</w:t>
      </w:r>
      <w:r>
        <w:rPr>
          <w:rFonts w:hint="eastAsia" w:ascii="宋体" w:hAnsi="宋体" w:eastAsia="宋体" w:cs="宋体"/>
          <w:szCs w:val="21"/>
          <w:u w:val="single"/>
        </w:rPr>
        <w:t xml:space="preserve">                          </w:t>
      </w:r>
      <w:r>
        <w:rPr>
          <w:rFonts w:hint="eastAsia" w:ascii="宋体" w:hAnsi="宋体" w:eastAsia="宋体" w:cs="宋体"/>
          <w:szCs w:val="21"/>
        </w:rPr>
        <w:t>。</w:t>
      </w:r>
    </w:p>
    <w:p w14:paraId="5FE70BF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2.3 服务要求：</w:t>
      </w:r>
      <w:r>
        <w:rPr>
          <w:rFonts w:hint="eastAsia" w:ascii="宋体" w:hAnsi="宋体" w:eastAsia="宋体" w:cs="宋体"/>
          <w:szCs w:val="21"/>
          <w:u w:val="single"/>
        </w:rPr>
        <w:t xml:space="preserve">                          </w:t>
      </w:r>
      <w:r>
        <w:rPr>
          <w:rFonts w:hint="eastAsia" w:ascii="宋体" w:hAnsi="宋体" w:eastAsia="宋体" w:cs="宋体"/>
          <w:szCs w:val="21"/>
        </w:rPr>
        <w:t>。</w:t>
      </w:r>
    </w:p>
    <w:p w14:paraId="6FBC371E">
      <w:pPr>
        <w:adjustRightInd w:val="0"/>
        <w:snapToGrid w:val="0"/>
        <w:spacing w:line="360" w:lineRule="auto"/>
        <w:ind w:firstLine="420" w:firstLineChars="200"/>
        <w:rPr>
          <w:rFonts w:hint="eastAsia" w:ascii="宋体" w:hAnsi="宋体" w:eastAsia="宋体" w:cs="宋体"/>
          <w:kern w:val="0"/>
          <w:lang w:val="zh-TW" w:eastAsia="zh-TW"/>
        </w:rPr>
      </w:pPr>
      <w:r>
        <w:rPr>
          <w:rFonts w:hint="eastAsia" w:ascii="宋体" w:hAnsi="宋体" w:eastAsia="宋体" w:cs="宋体"/>
          <w:szCs w:val="21"/>
        </w:rPr>
        <w:t>2.4 服务期限：</w:t>
      </w:r>
      <w:r>
        <w:rPr>
          <w:rFonts w:hint="eastAsia" w:ascii="宋体" w:hAnsi="宋体" w:eastAsia="宋体" w:cs="宋体"/>
          <w:szCs w:val="21"/>
          <w:u w:val="single"/>
        </w:rPr>
        <w:t xml:space="preserve">                          </w:t>
      </w:r>
      <w:r>
        <w:rPr>
          <w:rFonts w:hint="eastAsia" w:ascii="宋体" w:hAnsi="宋体" w:eastAsia="宋体" w:cs="宋体"/>
          <w:szCs w:val="21"/>
        </w:rPr>
        <w:t>。</w:t>
      </w:r>
    </w:p>
    <w:p w14:paraId="4EA933DD">
      <w:pPr>
        <w:pStyle w:val="5"/>
        <w:ind w:firstLine="559" w:firstLineChars="174"/>
        <w:rPr>
          <w:rFonts w:hint="eastAsia" w:ascii="宋体" w:hAnsi="宋体" w:eastAsia="宋体" w:cs="宋体"/>
          <w:lang w:eastAsia="zh-CN"/>
        </w:rPr>
      </w:pPr>
      <w:r>
        <w:rPr>
          <w:rFonts w:hint="eastAsia" w:ascii="宋体" w:hAnsi="宋体" w:eastAsia="宋体" w:cs="宋体"/>
          <w:lang w:eastAsia="zh-CN"/>
        </w:rPr>
        <w:t>3. 合同价格</w:t>
      </w:r>
    </w:p>
    <w:p w14:paraId="24B9A5BC">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3.1 合同价格为（大写）：</w:t>
      </w:r>
      <w:r>
        <w:rPr>
          <w:rFonts w:hint="eastAsia" w:ascii="宋体" w:hAnsi="宋体" w:eastAsia="宋体" w:cs="宋体"/>
          <w:szCs w:val="21"/>
          <w:u w:val="single"/>
        </w:rPr>
        <w:t xml:space="preserve">                 </w:t>
      </w:r>
      <w:r>
        <w:rPr>
          <w:rFonts w:hint="eastAsia" w:ascii="宋体" w:hAnsi="宋体" w:eastAsia="宋体" w:cs="宋体"/>
          <w:szCs w:val="21"/>
        </w:rPr>
        <w:t xml:space="preserve"> 元（¥</w:t>
      </w:r>
      <w:r>
        <w:rPr>
          <w:rFonts w:hint="eastAsia" w:ascii="宋体" w:hAnsi="宋体" w:eastAsia="宋体" w:cs="宋体"/>
          <w:szCs w:val="21"/>
          <w:u w:val="single"/>
        </w:rPr>
        <w:t xml:space="preserve">         </w:t>
      </w:r>
      <w:r>
        <w:rPr>
          <w:rFonts w:hint="eastAsia" w:ascii="宋体" w:hAnsi="宋体" w:eastAsia="宋体" w:cs="宋体"/>
          <w:szCs w:val="21"/>
        </w:rPr>
        <w:t>）。</w:t>
      </w:r>
    </w:p>
    <w:p w14:paraId="5FC6C9ED">
      <w:pPr>
        <w:snapToGrid w:val="0"/>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rPr>
        <w:t>3.2 合同价格包括的内容：</w:t>
      </w:r>
      <w:r>
        <w:rPr>
          <w:rFonts w:hint="eastAsia" w:ascii="宋体" w:hAnsi="宋体" w:eastAsia="宋体" w:cs="宋体"/>
          <w:szCs w:val="21"/>
          <w:u w:val="single"/>
        </w:rPr>
        <w:t xml:space="preserve">                       </w:t>
      </w:r>
    </w:p>
    <w:p w14:paraId="640B86CE">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3.3 合同价格调整：</w:t>
      </w:r>
      <w:r>
        <w:rPr>
          <w:rFonts w:hint="eastAsia" w:ascii="宋体" w:hAnsi="宋体" w:eastAsia="宋体" w:cs="宋体"/>
          <w:szCs w:val="21"/>
          <w:u w:val="single"/>
        </w:rPr>
        <w:t xml:space="preserve">  合同价格为固定价格，不予调整   </w:t>
      </w:r>
      <w:r>
        <w:rPr>
          <w:rFonts w:hint="eastAsia" w:ascii="宋体" w:hAnsi="宋体" w:eastAsia="宋体" w:cs="宋体"/>
          <w:szCs w:val="21"/>
        </w:rPr>
        <w:t>。</w:t>
      </w:r>
    </w:p>
    <w:p w14:paraId="1C84CD9A">
      <w:pPr>
        <w:snapToGrid w:val="0"/>
        <w:spacing w:line="360" w:lineRule="auto"/>
        <w:ind w:left="420" w:firstLine="420" w:firstLineChars="200"/>
        <w:rPr>
          <w:rFonts w:hint="eastAsia" w:ascii="宋体" w:hAnsi="宋体" w:eastAsia="宋体" w:cs="宋体"/>
          <w:szCs w:val="21"/>
        </w:rPr>
      </w:pPr>
    </w:p>
    <w:p w14:paraId="2530B0A3">
      <w:pPr>
        <w:pStyle w:val="14"/>
        <w:spacing w:line="360" w:lineRule="auto"/>
        <w:rPr>
          <w:rFonts w:hint="eastAsia" w:ascii="宋体" w:hAnsi="宋体" w:eastAsia="宋体" w:cs="宋体"/>
        </w:rPr>
      </w:pPr>
    </w:p>
    <w:p w14:paraId="7212E633">
      <w:pPr>
        <w:keepNext/>
        <w:keepLines/>
        <w:widowControl/>
        <w:snapToGrid w:val="0"/>
        <w:spacing w:line="360" w:lineRule="auto"/>
        <w:ind w:firstLine="420"/>
        <w:jc w:val="left"/>
        <w:outlineLvl w:val="2"/>
        <w:rPr>
          <w:rFonts w:hint="eastAsia" w:ascii="宋体" w:hAnsi="宋体" w:eastAsia="宋体" w:cs="宋体"/>
          <w:b/>
          <w:bCs/>
          <w:kern w:val="0"/>
          <w:sz w:val="28"/>
          <w:lang w:bidi="en-US"/>
        </w:rPr>
      </w:pPr>
      <w:r>
        <w:rPr>
          <w:rFonts w:hint="eastAsia" w:ascii="宋体" w:hAnsi="宋体" w:eastAsia="宋体" w:cs="宋体"/>
          <w:b/>
          <w:bCs/>
          <w:kern w:val="0"/>
          <w:sz w:val="28"/>
          <w:lang w:bidi="en-US"/>
        </w:rPr>
        <w:t>4. 付款方式</w:t>
      </w:r>
    </w:p>
    <w:p w14:paraId="57160388">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4.1 本合同项下所有款项均以人民币支付。</w:t>
      </w:r>
    </w:p>
    <w:p w14:paraId="0AA3507A">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4.2 付款方式：</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3F92CF46">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lang w:val="zh-TW"/>
        </w:rPr>
        <w:t>4.3 乙方帐号：</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06BA2336">
      <w:pPr>
        <w:pStyle w:val="5"/>
        <w:ind w:firstLine="643" w:firstLineChars="200"/>
        <w:rPr>
          <w:rFonts w:hint="eastAsia" w:ascii="宋体" w:hAnsi="宋体" w:eastAsia="宋体" w:cs="宋体"/>
          <w:lang w:eastAsia="zh-CN"/>
        </w:rPr>
      </w:pPr>
      <w:r>
        <w:rPr>
          <w:rFonts w:hint="eastAsia" w:ascii="宋体" w:hAnsi="宋体" w:eastAsia="宋体" w:cs="宋体"/>
          <w:lang w:eastAsia="zh-CN"/>
        </w:rPr>
        <w:t>5. 合同文件和资料的使用</w:t>
      </w:r>
    </w:p>
    <w:p w14:paraId="234270D2">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5.1 没有甲方书面同意，乙方不得将甲方或代表甲方提供的有关合同或任何合同条文、技术规格和要求、计划、图纸、模型、样品或资料提供给与履行本合同无关的任何其他人。即使向与履行本合同有关的人员提供，也应注意保密并限于履行合同必须的范围。</w:t>
      </w:r>
    </w:p>
    <w:p w14:paraId="02D2D78D">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5.2 没有甲方书面同意，除了履行本合同外，乙方不应使用供应商须知前附表所列举的任何文件和资料。如果甲方有要求，除了合同本身以外，乙方在完成合同后应将这些文件及全部复制件还给甲方。</w:t>
      </w:r>
    </w:p>
    <w:p w14:paraId="2D1E028C">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5.3 甲方的技术秘密、商业秘密和声明需要保密的资料和信息，乙方不得为合同以外的目的泄露给他人。</w:t>
      </w:r>
    </w:p>
    <w:p w14:paraId="37E79BE0">
      <w:pPr>
        <w:pStyle w:val="5"/>
        <w:ind w:firstLine="643" w:firstLineChars="200"/>
        <w:rPr>
          <w:rFonts w:hint="eastAsia" w:ascii="宋体" w:hAnsi="宋体" w:eastAsia="宋体" w:cs="宋体"/>
          <w:lang w:eastAsia="zh-CN"/>
        </w:rPr>
      </w:pPr>
      <w:r>
        <w:rPr>
          <w:rFonts w:hint="eastAsia" w:ascii="宋体" w:hAnsi="宋体" w:eastAsia="宋体" w:cs="宋体"/>
          <w:lang w:eastAsia="zh-CN"/>
        </w:rPr>
        <w:t>6. 知识产权</w:t>
      </w:r>
    </w:p>
    <w:p w14:paraId="6D287980">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6.1 乙方应保证，甲方使用本合同所涉及服务的任何一部分时，免受第三方提出的侵犯其专利权、商标权、著作权或其他知识产权的起诉。</w:t>
      </w:r>
    </w:p>
    <w:p w14:paraId="581E6F8C">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6.2 如果发生第三方就乙方向甲方提供的本合同项下所涉及的货物及服务对甲方进行侵权指控，乙方应承担由此而引起的一切经济和法律责任。</w:t>
      </w:r>
    </w:p>
    <w:p w14:paraId="3D6D731D">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6.3 乙方在响应中采用专利技术的，专利技术的使用费包含在合同总价内。</w:t>
      </w:r>
    </w:p>
    <w:p w14:paraId="28AF4F22">
      <w:pPr>
        <w:keepNext/>
        <w:keepLines/>
        <w:widowControl/>
        <w:snapToGrid w:val="0"/>
        <w:spacing w:line="360" w:lineRule="auto"/>
        <w:ind w:firstLine="420"/>
        <w:jc w:val="left"/>
        <w:outlineLvl w:val="2"/>
        <w:rPr>
          <w:rFonts w:hint="eastAsia" w:ascii="宋体" w:hAnsi="宋体" w:eastAsia="宋体" w:cs="宋体"/>
          <w:szCs w:val="21"/>
        </w:rPr>
      </w:pPr>
      <w:r>
        <w:rPr>
          <w:rFonts w:hint="eastAsia" w:ascii="宋体" w:hAnsi="宋体" w:eastAsia="宋体" w:cs="宋体"/>
          <w:szCs w:val="21"/>
        </w:rPr>
        <w:t>6.4乙方须与提供服务人员签订著作权转让协议或者著作权独占许可使用协议，且须获得转授权及以自身名义维权的权利；受让或受许可的著作权权项应当包括复制权、发行权、出租权、展览权、表演权、放映权、广播权、信息网络传播权、摄制权、改编权、翻译权、汇编权等全部著作财产权。乙方取得相应著作权后，应依前述条款与甲方签订相应著作权转让或独占许可使用协议，协议标的同上，以确保录制视频版权和其他使用权归甲方所有，任何单位或个人不得自行转载，不得用于商业用途。</w:t>
      </w:r>
    </w:p>
    <w:p w14:paraId="030E0741">
      <w:pPr>
        <w:pStyle w:val="5"/>
        <w:rPr>
          <w:rFonts w:hint="eastAsia" w:ascii="宋体" w:hAnsi="宋体" w:eastAsia="宋体" w:cs="宋体"/>
          <w:lang w:eastAsia="zh-CN"/>
        </w:rPr>
      </w:pPr>
      <w:r>
        <w:rPr>
          <w:rFonts w:hint="eastAsia" w:ascii="宋体" w:hAnsi="宋体" w:eastAsia="宋体" w:cs="宋体"/>
          <w:lang w:eastAsia="zh-CN"/>
        </w:rPr>
        <w:t>7.联络</w:t>
      </w:r>
    </w:p>
    <w:p w14:paraId="3255C434">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7.1 甲方对乙方的合同履行情况进行督促和检查。</w:t>
      </w:r>
    </w:p>
    <w:p w14:paraId="3E15B695">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7.2 乙方应设乙方代表，负责服务环节的业务协调以及与甲方的联络，并在合同生效后10天内向甲方书面提供乙方代表的姓名、职务、联系方式及授权书。</w:t>
      </w:r>
    </w:p>
    <w:p w14:paraId="2C26F5E2">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7.3 乙方代表的变更、撤销应获得甲方的书面认可。甲方有权根据乙方代表的工作情况，提出撤换人员的要求。乙方应根据第 7.2 款的要求尽快重新任命上述人员，在新任人员到位前原乙方代表继续承担第 7.2 款的职责。</w:t>
      </w:r>
    </w:p>
    <w:p w14:paraId="65CCAA5F">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7.4 甲乙双方通过代表联络与履行合同有关事宜均应采用书面形式。</w:t>
      </w:r>
    </w:p>
    <w:p w14:paraId="404AC0DE">
      <w:pPr>
        <w:pStyle w:val="5"/>
        <w:rPr>
          <w:rFonts w:hint="eastAsia" w:ascii="宋体" w:hAnsi="宋体" w:eastAsia="宋体" w:cs="宋体"/>
          <w:lang w:eastAsia="zh-CN"/>
        </w:rPr>
      </w:pPr>
      <w:r>
        <w:rPr>
          <w:rFonts w:hint="eastAsia" w:ascii="宋体" w:hAnsi="宋体" w:eastAsia="宋体" w:cs="宋体"/>
          <w:lang w:eastAsia="zh-CN"/>
        </w:rPr>
        <w:t>8. 计划和报告</w:t>
      </w:r>
    </w:p>
    <w:p w14:paraId="0EA9B95B">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8.1 合同签订后</w:t>
      </w:r>
      <w:r>
        <w:rPr>
          <w:rFonts w:hint="eastAsia" w:ascii="宋体" w:hAnsi="宋体" w:eastAsia="宋体" w:cs="宋体"/>
          <w:szCs w:val="21"/>
          <w:u w:val="single"/>
        </w:rPr>
        <w:t xml:space="preserve"> 7 </w:t>
      </w:r>
      <w:r>
        <w:rPr>
          <w:rFonts w:hint="eastAsia" w:ascii="宋体" w:hAnsi="宋体" w:eastAsia="宋体" w:cs="宋体"/>
          <w:szCs w:val="21"/>
        </w:rPr>
        <w:t>日内，乙方向甲方提供服务方案。如甲方认为需要调整，乙方应根据要求修改方案。</w:t>
      </w:r>
    </w:p>
    <w:p w14:paraId="441AD78B">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8.2 乙方应根据供应需求计划，按合同约定的时间向甲方提交进度报告。进度报告应包括：</w:t>
      </w:r>
    </w:p>
    <w:p w14:paraId="4437D75D">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（1）服务安排计划；</w:t>
      </w:r>
    </w:p>
    <w:p w14:paraId="53CB61DD">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具体报告进度为：</w:t>
      </w:r>
    </w:p>
    <w:p w14:paraId="3B8BD885">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① </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4A41B810">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② </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10FD4003">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③ </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01224CA1">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（2）实际完成进度与计划完成进度的比较；</w:t>
      </w:r>
    </w:p>
    <w:p w14:paraId="2F213128">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（3）如果实际进度比计划进度滞后，应给出原因及改进措施。</w:t>
      </w:r>
    </w:p>
    <w:p w14:paraId="3446B835">
      <w:pPr>
        <w:keepNext/>
        <w:keepLines/>
        <w:widowControl/>
        <w:snapToGrid w:val="0"/>
        <w:spacing w:line="360" w:lineRule="auto"/>
        <w:ind w:firstLine="420"/>
        <w:jc w:val="left"/>
        <w:outlineLvl w:val="2"/>
        <w:rPr>
          <w:rFonts w:hint="eastAsia" w:ascii="宋体" w:hAnsi="宋体" w:eastAsia="宋体" w:cs="宋体"/>
          <w:b/>
          <w:bCs/>
          <w:kern w:val="0"/>
          <w:sz w:val="28"/>
          <w:lang w:bidi="en-US"/>
        </w:rPr>
      </w:pPr>
      <w:r>
        <w:rPr>
          <w:rFonts w:hint="eastAsia" w:ascii="宋体" w:hAnsi="宋体" w:eastAsia="宋体" w:cs="宋体"/>
          <w:b/>
          <w:bCs/>
          <w:kern w:val="0"/>
          <w:sz w:val="28"/>
          <w:lang w:bidi="en-US"/>
        </w:rPr>
        <w:t>9. 评估验收</w:t>
      </w:r>
    </w:p>
    <w:p w14:paraId="360CE5E6">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9.1甲方对乙方提供的服务进行验收。</w:t>
      </w:r>
    </w:p>
    <w:p w14:paraId="0F28B4E4">
      <w:pPr>
        <w:snapToGrid w:val="0"/>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rPr>
        <w:t xml:space="preserve">  验收时间：</w:t>
      </w:r>
      <w:r>
        <w:rPr>
          <w:rFonts w:hint="eastAsia" w:ascii="宋体" w:hAnsi="宋体" w:eastAsia="宋体" w:cs="宋体"/>
          <w:szCs w:val="21"/>
          <w:u w:val="single"/>
        </w:rPr>
        <w:t xml:space="preserve">                              </w:t>
      </w:r>
      <w:r>
        <w:rPr>
          <w:rFonts w:hint="eastAsia" w:ascii="宋体" w:hAnsi="宋体" w:eastAsia="宋体" w:cs="宋体"/>
          <w:szCs w:val="21"/>
        </w:rPr>
        <w:t>。</w:t>
      </w:r>
    </w:p>
    <w:p w14:paraId="1F2F84C7">
      <w:pPr>
        <w:snapToGrid w:val="0"/>
        <w:spacing w:line="360" w:lineRule="auto"/>
        <w:ind w:firstLine="630" w:firstLineChars="300"/>
        <w:rPr>
          <w:rFonts w:hint="eastAsia" w:ascii="宋体" w:hAnsi="宋体" w:eastAsia="宋体" w:cs="宋体"/>
          <w:szCs w:val="21"/>
        </w:rPr>
      </w:pPr>
      <w:r>
        <w:rPr>
          <w:rFonts w:hint="eastAsia" w:ascii="宋体" w:hAnsi="宋体" w:eastAsia="宋体" w:cs="宋体"/>
          <w:szCs w:val="21"/>
        </w:rPr>
        <w:t>验收地点：</w:t>
      </w:r>
      <w:r>
        <w:rPr>
          <w:rFonts w:hint="eastAsia" w:ascii="宋体" w:hAnsi="宋体" w:eastAsia="宋体" w:cs="宋体"/>
          <w:szCs w:val="21"/>
          <w:u w:val="single"/>
        </w:rPr>
        <w:t xml:space="preserve"> 采购人指定地点              </w:t>
      </w:r>
      <w:r>
        <w:rPr>
          <w:rFonts w:hint="eastAsia" w:ascii="宋体" w:hAnsi="宋体" w:eastAsia="宋体" w:cs="宋体"/>
          <w:szCs w:val="21"/>
        </w:rPr>
        <w:t>。</w:t>
      </w:r>
    </w:p>
    <w:p w14:paraId="23C4ACAB">
      <w:pPr>
        <w:snapToGrid w:val="0"/>
        <w:spacing w:line="360" w:lineRule="auto"/>
        <w:ind w:firstLine="630" w:firstLineChars="300"/>
        <w:rPr>
          <w:rFonts w:hint="eastAsia" w:ascii="宋体" w:hAnsi="宋体" w:eastAsia="宋体" w:cs="宋体"/>
          <w:szCs w:val="21"/>
        </w:rPr>
      </w:pPr>
      <w:r>
        <w:rPr>
          <w:rFonts w:hint="eastAsia" w:ascii="宋体" w:hAnsi="宋体" w:eastAsia="宋体" w:cs="宋体"/>
          <w:szCs w:val="21"/>
        </w:rPr>
        <w:t>验收方式：</w:t>
      </w:r>
      <w:r>
        <w:rPr>
          <w:rFonts w:hint="eastAsia" w:ascii="宋体" w:hAnsi="宋体" w:eastAsia="宋体" w:cs="宋体"/>
          <w:szCs w:val="21"/>
          <w:u w:val="single"/>
        </w:rPr>
        <w:t xml:space="preserve">                              </w:t>
      </w:r>
      <w:r>
        <w:rPr>
          <w:rFonts w:hint="eastAsia" w:ascii="宋体" w:hAnsi="宋体" w:eastAsia="宋体" w:cs="宋体"/>
          <w:szCs w:val="21"/>
        </w:rPr>
        <w:t>。</w:t>
      </w:r>
    </w:p>
    <w:p w14:paraId="5ACE4ABA">
      <w:pPr>
        <w:pStyle w:val="11"/>
        <w:tabs>
          <w:tab w:val="left" w:pos="0"/>
        </w:tabs>
        <w:snapToGrid w:val="0"/>
        <w:spacing w:line="360" w:lineRule="auto"/>
        <w:ind w:firstLine="420" w:firstLineChars="200"/>
        <w:rPr>
          <w:rFonts w:hint="eastAsia" w:ascii="宋体" w:hAnsi="宋体" w:eastAsia="宋体" w:cs="宋体"/>
        </w:rPr>
      </w:pPr>
      <w:r>
        <w:rPr>
          <w:rFonts w:hint="eastAsia" w:ascii="宋体" w:hAnsi="宋体" w:eastAsia="宋体" w:cs="宋体"/>
        </w:rPr>
        <w:t>9.2 甲方可定期或不定期对乙方提供的服务进行阶段性评估验收。接到甲方评估验收通知后，乙方应按甲方要求对提供的服务成果作出全面自查和整理，并列出清单，作为甲方评估验收的依据之一。</w:t>
      </w:r>
    </w:p>
    <w:p w14:paraId="5F85D603">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9.3 验收时，甲乙双方必须同时在场，乙方所提供的服务不符合合同内容规定的，甲方有权拒绝验收。乙方应及时按本合同内容规定和甲方要求免费进行整改，直至验收合格，方视为乙方按本合同规定完成服务。验收合格的，由双方共同签订《验收报告》。</w:t>
      </w:r>
      <w:r>
        <w:rPr>
          <w:rFonts w:hint="eastAsia" w:ascii="宋体" w:hAnsi="宋体" w:eastAsia="宋体" w:cs="宋体"/>
          <w:b/>
          <w:bCs/>
          <w:szCs w:val="21"/>
        </w:rPr>
        <w:t>在经过两次限期整改后，服务仍达不到合同文件规定内容的，甲方有权拒收，并可以解除合同</w:t>
      </w:r>
      <w:r>
        <w:rPr>
          <w:rFonts w:hint="eastAsia" w:ascii="宋体" w:hAnsi="宋体" w:eastAsia="宋体" w:cs="宋体"/>
          <w:szCs w:val="21"/>
        </w:rPr>
        <w:t>；由此引起甲方损失及赔偿责任由乙方承担。</w:t>
      </w:r>
    </w:p>
    <w:p w14:paraId="498913D2">
      <w:pPr>
        <w:snapToGrid w:val="0"/>
        <w:spacing w:line="360" w:lineRule="auto"/>
        <w:ind w:firstLine="482"/>
        <w:textAlignment w:val="baseline"/>
        <w:rPr>
          <w:rFonts w:hint="eastAsia" w:ascii="宋体" w:hAnsi="宋体" w:eastAsia="宋体" w:cs="宋体"/>
          <w:szCs w:val="21"/>
        </w:rPr>
      </w:pPr>
      <w:r>
        <w:rPr>
          <w:rFonts w:hint="eastAsia" w:ascii="宋体" w:hAnsi="宋体" w:eastAsia="宋体" w:cs="宋体"/>
          <w:szCs w:val="21"/>
        </w:rPr>
        <w:t>9.4 甲方可以视项目规模或复杂情况聘请专业人员参与验收，大型或复杂项目，以及涉及专业服务内容的应当邀请国家认可的第三方质量检测机构参与验收（验收费用由乙方全额承担）。</w:t>
      </w:r>
    </w:p>
    <w:p w14:paraId="0DF49D89">
      <w:pPr>
        <w:snapToGrid w:val="0"/>
        <w:spacing w:line="360" w:lineRule="auto"/>
        <w:ind w:firstLine="482"/>
        <w:textAlignment w:val="baseline"/>
        <w:rPr>
          <w:rFonts w:hint="eastAsia" w:ascii="宋体" w:hAnsi="宋体" w:eastAsia="宋体" w:cs="宋体"/>
          <w:szCs w:val="21"/>
        </w:rPr>
      </w:pPr>
      <w:r>
        <w:rPr>
          <w:rFonts w:hint="eastAsia" w:ascii="宋体" w:hAnsi="宋体" w:eastAsia="宋体" w:cs="宋体"/>
          <w:szCs w:val="21"/>
        </w:rPr>
        <w:t>9.5 如项目实施情况需要分阶段验收，则根据实际情况分阶段出具《验收报告》。</w:t>
      </w:r>
    </w:p>
    <w:p w14:paraId="43BA55C0">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9.6 如果合同双方对《验收报告》有分歧，双方须于出现分歧后</w:t>
      </w:r>
      <w:r>
        <w:rPr>
          <w:rFonts w:hint="eastAsia" w:ascii="宋体" w:hAnsi="宋体" w:eastAsia="宋体" w:cs="宋体"/>
          <w:szCs w:val="21"/>
          <w:u w:val="single"/>
        </w:rPr>
        <w:t xml:space="preserve">  7  </w:t>
      </w:r>
      <w:r>
        <w:rPr>
          <w:rFonts w:hint="eastAsia" w:ascii="宋体" w:hAnsi="宋体" w:eastAsia="宋体" w:cs="宋体"/>
          <w:szCs w:val="21"/>
        </w:rPr>
        <w:t>天内给对方书面声明，以陈述理由及要求，并附有关证据。也可以邀请国家认可的质量检测机构或甲乙双方认可的第三方机构对服务进行鉴定。服务符合标准的，鉴定费由和误期责任甲方承担；不符合质量标准的，鉴定费由和误期责任乙方承担。</w:t>
      </w:r>
    </w:p>
    <w:p w14:paraId="10503297">
      <w:pPr>
        <w:pStyle w:val="5"/>
        <w:rPr>
          <w:rFonts w:hint="eastAsia" w:ascii="宋体" w:hAnsi="宋体" w:eastAsia="宋体" w:cs="宋体"/>
          <w:lang w:eastAsia="zh-CN"/>
        </w:rPr>
      </w:pPr>
      <w:r>
        <w:rPr>
          <w:rFonts w:hint="eastAsia" w:ascii="宋体" w:hAnsi="宋体" w:eastAsia="宋体" w:cs="宋体"/>
          <w:lang w:eastAsia="zh-CN"/>
        </w:rPr>
        <w:t>10. 分包、转包</w:t>
      </w:r>
    </w:p>
    <w:p w14:paraId="6DCCBF2C">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10.1除甲方事先书面同意外，乙方不得部分或全部转让其应履行的合同义务。</w:t>
      </w:r>
    </w:p>
    <w:p w14:paraId="739640EB">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10.2除甲方事先书面同意外，乙方不得改变在</w:t>
      </w:r>
      <w:r>
        <w:rPr>
          <w:rFonts w:hint="eastAsia" w:ascii="宋体" w:hAnsi="宋体" w:eastAsia="宋体" w:cs="宋体"/>
          <w:szCs w:val="21"/>
          <w:lang w:eastAsia="zh-CN"/>
        </w:rPr>
        <w:t>投标文件</w:t>
      </w:r>
      <w:r>
        <w:rPr>
          <w:rFonts w:hint="eastAsia" w:ascii="宋体" w:hAnsi="宋体" w:eastAsia="宋体" w:cs="宋体"/>
          <w:szCs w:val="21"/>
        </w:rPr>
        <w:t>中提出的分包项目和建议的分包人（如果有）。</w:t>
      </w:r>
    </w:p>
    <w:p w14:paraId="020E427A">
      <w:pPr>
        <w:widowControl/>
        <w:adjustRightInd w:val="0"/>
        <w:snapToGrid w:val="0"/>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rPr>
        <w:t>10.3乙方擅自转包或者分包，一经发现，甲方可行使合同解除权，并要求乙方赔偿违约金</w:t>
      </w:r>
      <w:r>
        <w:rPr>
          <w:rFonts w:hint="eastAsia" w:ascii="宋体" w:hAnsi="宋体" w:eastAsia="宋体" w:cs="宋体"/>
          <w:szCs w:val="21"/>
          <w:u w:val="single"/>
        </w:rPr>
        <w:t xml:space="preserve">  </w:t>
      </w:r>
      <w:r>
        <w:rPr>
          <w:rFonts w:hint="eastAsia" w:ascii="宋体" w:hAnsi="宋体" w:eastAsia="宋体" w:cs="宋体"/>
          <w:szCs w:val="21"/>
        </w:rPr>
        <w:t>元。</w:t>
      </w:r>
    </w:p>
    <w:p w14:paraId="522C8D9A">
      <w:pPr>
        <w:pStyle w:val="5"/>
        <w:rPr>
          <w:rFonts w:hint="eastAsia" w:ascii="宋体" w:hAnsi="宋体" w:eastAsia="宋体" w:cs="宋体"/>
          <w:lang w:eastAsia="zh-CN"/>
        </w:rPr>
      </w:pPr>
      <w:r>
        <w:rPr>
          <w:rFonts w:hint="eastAsia" w:ascii="宋体" w:hAnsi="宋体" w:eastAsia="宋体" w:cs="宋体"/>
          <w:lang w:eastAsia="zh-CN"/>
        </w:rPr>
        <w:t>11. 违约</w:t>
      </w:r>
    </w:p>
    <w:p w14:paraId="711AA58A">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11.1 乙方违约</w:t>
      </w:r>
    </w:p>
    <w:p w14:paraId="17C070A5">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11.1.1 乙方所交付服务成果不符合本合同规定的，甲方有权拒收，乙方在得到甲方通知之日起</w:t>
      </w:r>
      <w:r>
        <w:rPr>
          <w:rFonts w:hint="eastAsia" w:ascii="宋体" w:hAnsi="宋体" w:eastAsia="宋体" w:cs="宋体"/>
          <w:szCs w:val="21"/>
          <w:u w:val="single"/>
        </w:rPr>
        <w:t xml:space="preserve">  3  </w:t>
      </w:r>
      <w:r>
        <w:rPr>
          <w:rFonts w:hint="eastAsia" w:ascii="宋体" w:hAnsi="宋体" w:eastAsia="宋体" w:cs="宋体"/>
          <w:szCs w:val="21"/>
        </w:rPr>
        <w:t>个工作日内采取补救措施，逾期仍未采取有效措施的，甲方有权要求乙方赔偿因此造成的损失或扣留履约保证金（如有履约保证金）；同时乙方应向甲方支付合同总价</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10</w:t>
      </w:r>
      <w:r>
        <w:rPr>
          <w:rFonts w:hint="eastAsia" w:ascii="宋体" w:hAnsi="宋体" w:eastAsia="宋体" w:cs="宋体"/>
          <w:szCs w:val="21"/>
          <w:u w:val="single"/>
        </w:rPr>
        <w:t xml:space="preserve">  </w:t>
      </w:r>
      <w:r>
        <w:rPr>
          <w:rFonts w:hint="eastAsia" w:ascii="宋体" w:hAnsi="宋体" w:eastAsia="宋体" w:cs="宋体"/>
          <w:szCs w:val="21"/>
        </w:rPr>
        <w:t>％的违约金/次。逾期15天仍未采取有效措施的，甲方有权解除合同。乙方须赔偿合同总金额</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40 </w:t>
      </w:r>
      <w:r>
        <w:rPr>
          <w:rFonts w:hint="eastAsia" w:ascii="宋体" w:hAnsi="宋体" w:eastAsia="宋体" w:cs="宋体"/>
          <w:szCs w:val="21"/>
          <w:u w:val="single"/>
        </w:rPr>
        <w:t xml:space="preserve"> </w:t>
      </w:r>
      <w:r>
        <w:rPr>
          <w:rFonts w:hint="eastAsia" w:ascii="宋体" w:hAnsi="宋体" w:eastAsia="宋体" w:cs="宋体"/>
          <w:szCs w:val="21"/>
        </w:rPr>
        <w:t>%的违约金及甲方由此造成的一切损失。</w:t>
      </w:r>
    </w:p>
    <w:p w14:paraId="38F835AA">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11.1.2 乙方无正当理由逾期交付服务的，每逾期</w:t>
      </w:r>
      <w:r>
        <w:rPr>
          <w:rFonts w:hint="eastAsia" w:ascii="宋体" w:hAnsi="宋体" w:eastAsia="宋体" w:cs="宋体"/>
          <w:szCs w:val="21"/>
          <w:u w:val="single"/>
        </w:rPr>
        <w:t xml:space="preserve">  1  </w:t>
      </w:r>
      <w:r>
        <w:rPr>
          <w:rFonts w:hint="eastAsia" w:ascii="宋体" w:hAnsi="宋体" w:eastAsia="宋体" w:cs="宋体"/>
          <w:szCs w:val="21"/>
        </w:rPr>
        <w:t>天，乙方向甲方偿付合同总额的</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1</w:t>
      </w:r>
      <w:r>
        <w:rPr>
          <w:rFonts w:hint="eastAsia" w:ascii="宋体" w:hAnsi="宋体" w:eastAsia="宋体" w:cs="宋体"/>
          <w:szCs w:val="21"/>
          <w:u w:val="single"/>
        </w:rPr>
        <w:t xml:space="preserve">  </w:t>
      </w:r>
      <w:r>
        <w:rPr>
          <w:rFonts w:hint="eastAsia" w:ascii="宋体" w:hAnsi="宋体" w:eastAsia="宋体" w:cs="宋体"/>
          <w:szCs w:val="21"/>
        </w:rPr>
        <w:t>％的违约金，但累计误期违约金总额不超过合同总额的</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10</w:t>
      </w:r>
      <w:r>
        <w:rPr>
          <w:rFonts w:hint="eastAsia" w:ascii="宋体" w:hAnsi="宋体" w:eastAsia="宋体" w:cs="宋体"/>
          <w:szCs w:val="21"/>
          <w:u w:val="single"/>
        </w:rPr>
        <w:t xml:space="preserve">  </w:t>
      </w:r>
      <w:r>
        <w:rPr>
          <w:rFonts w:hint="eastAsia" w:ascii="宋体" w:hAnsi="宋体" w:eastAsia="宋体" w:cs="宋体"/>
          <w:szCs w:val="21"/>
        </w:rPr>
        <w:t>％。如乙方逾期达 10 天，甲方有权解除合同，甲方解除合同的通知自到达乙方时生效。在此情况下，乙方给甲方造成的实际损失高于违约金的，对高出违约金的部分乙方应予以赔偿。</w:t>
      </w:r>
    </w:p>
    <w:p w14:paraId="7150C425">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11.</w:t>
      </w:r>
      <w:r>
        <w:rPr>
          <w:rFonts w:hint="eastAsia" w:ascii="宋体" w:hAnsi="宋体" w:eastAsia="宋体" w:cs="宋体"/>
          <w:szCs w:val="21"/>
          <w:lang w:val="en-US" w:eastAsia="zh-CN"/>
        </w:rPr>
        <w:t>2</w:t>
      </w:r>
      <w:r>
        <w:rPr>
          <w:rFonts w:hint="eastAsia" w:ascii="宋体" w:hAnsi="宋体" w:eastAsia="宋体" w:cs="宋体"/>
          <w:szCs w:val="21"/>
        </w:rPr>
        <w:t xml:space="preserve"> 其它未尽事宜，以《中华人民共和国民法典》等有关法律法规规定为准，无相关规定的，双方协商解决。</w:t>
      </w:r>
    </w:p>
    <w:p w14:paraId="257B0CBF">
      <w:pPr>
        <w:pStyle w:val="5"/>
        <w:rPr>
          <w:rFonts w:hint="eastAsia" w:ascii="宋体" w:hAnsi="宋体" w:eastAsia="宋体" w:cs="宋体"/>
          <w:lang w:eastAsia="zh-CN"/>
        </w:rPr>
      </w:pPr>
      <w:r>
        <w:rPr>
          <w:rFonts w:hint="eastAsia" w:ascii="宋体" w:hAnsi="宋体" w:eastAsia="宋体" w:cs="宋体"/>
          <w:lang w:eastAsia="zh-CN"/>
        </w:rPr>
        <w:t>12. 终止合同</w:t>
      </w:r>
    </w:p>
    <w:p w14:paraId="0988800C">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12.1 乙方违约终止合同</w:t>
      </w:r>
    </w:p>
    <w:p w14:paraId="3A2A4C19">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12.1.1 发生下列情形时，在甲方对乙方违约提出警告无效的情况下，甲方可以书面形式通知乙方，提出终止全部或部分合同。</w:t>
      </w:r>
    </w:p>
    <w:p w14:paraId="2F971B19">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（1）如果乙方未能在合同规定的时间内或未能在包括但不限于甲方同意延长的期限内提供部分或全部服务；</w:t>
      </w:r>
    </w:p>
    <w:p w14:paraId="3CD708C7">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（2）如果乙方未能履行合同约定的义务；</w:t>
      </w:r>
    </w:p>
    <w:p w14:paraId="79C4CEFC">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12.2 乙方破产终止合同</w:t>
      </w:r>
    </w:p>
    <w:p w14:paraId="1F161B9A">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如果乙方破产或无清偿债务的能力，导致合同不能履行时，甲方可以以书面形式通知乙方终止合同而不对乙方进行任何补偿。同时该终止合同将不损害或影响甲方已经采取或将要采取的任何行动或补救措施的任何权利。</w:t>
      </w:r>
    </w:p>
    <w:p w14:paraId="08707266">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12.3 甲方违约终止合同</w:t>
      </w:r>
    </w:p>
    <w:p w14:paraId="39825A80">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如果甲方无法继续履行或明确表示不履行或实质上已停止履行合同，乙方可以书面形式通知甲方，</w:t>
      </w:r>
      <w:r>
        <w:rPr>
          <w:rFonts w:hint="eastAsia" w:ascii="宋体" w:hAnsi="宋体" w:eastAsia="宋体" w:cs="宋体"/>
          <w:position w:val="-1"/>
          <w:szCs w:val="21"/>
        </w:rPr>
        <w:t>提出终止合同。终止合同不免除甲方承担的违约责任。</w:t>
      </w:r>
    </w:p>
    <w:p w14:paraId="178DC886">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12.4 甲方终止合同后的结清</w:t>
      </w:r>
    </w:p>
    <w:p w14:paraId="6E6D8877">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因乙方违约或破产，甲方提出终止合同的，在甲方通知乙方终止合同</w:t>
      </w:r>
      <w:r>
        <w:rPr>
          <w:rFonts w:hint="eastAsia" w:ascii="宋体" w:hAnsi="宋体" w:eastAsia="宋体" w:cs="宋体"/>
          <w:szCs w:val="21"/>
          <w:u w:val="single"/>
        </w:rPr>
        <w:t xml:space="preserve"> 7 </w:t>
      </w:r>
      <w:r>
        <w:rPr>
          <w:rFonts w:hint="eastAsia" w:ascii="宋体" w:hAnsi="宋体" w:eastAsia="宋体" w:cs="宋体"/>
          <w:szCs w:val="21"/>
        </w:rPr>
        <w:t>天内，乙方向甲方提交有关资料和凭证，按下列方式结清。</w:t>
      </w:r>
    </w:p>
    <w:p w14:paraId="4F92AC75">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（1）乙方应将一切与合同有关的并已付款的文件、资料交付给甲方。</w:t>
      </w:r>
    </w:p>
    <w:p w14:paraId="5CC1E315">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（2）如只是合同的一部分被终止，其他部分仍应继续执行。</w:t>
      </w:r>
    </w:p>
    <w:p w14:paraId="043BB9C6">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（3）如是终止全部合同，甲方应清查各项付款和已扣款金额，包括按合同约定的违约扣款，以及由于终止合同给甲方造成损失的违约金额，并做详细说明。</w:t>
      </w:r>
    </w:p>
    <w:p w14:paraId="3B2219CA">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（4）甲乙双方确认上述往来款项和违约金额后，结清合同价款。</w:t>
      </w:r>
    </w:p>
    <w:p w14:paraId="3082BA0F">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（5）甲乙双方未能就终止合同后的结清达成一致而形成争议的，按合同约定办理。</w:t>
      </w:r>
    </w:p>
    <w:p w14:paraId="511F0105">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12.5 乙方终止合同的结清</w:t>
      </w:r>
    </w:p>
    <w:p w14:paraId="26C97E32">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因甲方违约乙方提出终止合同的，在乙方通知甲方终止合同</w:t>
      </w:r>
      <w:r>
        <w:rPr>
          <w:rFonts w:hint="eastAsia" w:ascii="宋体" w:hAnsi="宋体" w:eastAsia="宋体" w:cs="宋体"/>
          <w:szCs w:val="21"/>
          <w:u w:val="single"/>
        </w:rPr>
        <w:t xml:space="preserve"> 7 </w:t>
      </w:r>
      <w:r>
        <w:rPr>
          <w:rFonts w:hint="eastAsia" w:ascii="宋体" w:hAnsi="宋体" w:eastAsia="宋体" w:cs="宋体"/>
          <w:szCs w:val="21"/>
        </w:rPr>
        <w:t>天内，乙方向甲方提交有关资料和凭证，按下列方式结清。</w:t>
      </w:r>
    </w:p>
    <w:p w14:paraId="4C526282">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（1）乙方应将一切与合同有关的并已付款的文件、资料交付给甲方。</w:t>
      </w:r>
    </w:p>
    <w:p w14:paraId="6A4797ED">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（2）乙方应清查已交付的服务的金额，甲方已支付的金额，甲方未支付的金额，以及由于终止合同给乙方造成损失的违约金额，并做详细说明。</w:t>
      </w:r>
    </w:p>
    <w:p w14:paraId="0CA80589">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（3）甲乙双方确认上述往来款项和违约金额后，结清合同价款，甲方应同时退还质量保证金和履约保证金（如有履约保证金）。</w:t>
      </w:r>
    </w:p>
    <w:p w14:paraId="24139266">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（4）甲乙双方未能就终止合同后的结清达成一致而形成争议的，按合同约定办理。</w:t>
      </w:r>
    </w:p>
    <w:p w14:paraId="7242E2EE">
      <w:pPr>
        <w:pStyle w:val="5"/>
        <w:rPr>
          <w:rFonts w:hint="eastAsia" w:ascii="宋体" w:hAnsi="宋体" w:eastAsia="宋体" w:cs="宋体"/>
          <w:lang w:eastAsia="zh-CN"/>
        </w:rPr>
      </w:pPr>
      <w:r>
        <w:rPr>
          <w:rFonts w:hint="eastAsia" w:ascii="宋体" w:hAnsi="宋体" w:eastAsia="宋体" w:cs="宋体"/>
          <w:lang w:eastAsia="zh-CN"/>
        </w:rPr>
        <w:t>13. 履约保证金</w:t>
      </w:r>
    </w:p>
    <w:p w14:paraId="35AAFA8F">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13.1 乙方应向甲方提交提交履约保证金，履约保证金用于补偿甲方因乙方不能履行其合同义务而蒙受的损失。</w:t>
      </w:r>
    </w:p>
    <w:p w14:paraId="6A74CC98">
      <w:pPr>
        <w:widowControl/>
        <w:adjustRightInd w:val="0"/>
        <w:snapToGrid w:val="0"/>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rPr>
        <w:t>履约保证金金额：</w:t>
      </w:r>
      <w:r>
        <w:rPr>
          <w:rFonts w:hint="eastAsia" w:ascii="宋体" w:hAnsi="宋体" w:eastAsia="宋体" w:cs="宋体"/>
          <w:szCs w:val="21"/>
          <w:u w:val="single"/>
        </w:rPr>
        <w:t xml:space="preserve">       /           </w:t>
      </w:r>
    </w:p>
    <w:p w14:paraId="2D1D3559">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履约保证金形式：</w:t>
      </w:r>
      <w:r>
        <w:rPr>
          <w:rFonts w:hint="eastAsia" w:ascii="宋体" w:hAnsi="宋体" w:eastAsia="宋体" w:cs="宋体"/>
          <w:szCs w:val="21"/>
          <w:u w:val="single"/>
        </w:rPr>
        <w:t xml:space="preserve">        /          </w:t>
      </w:r>
    </w:p>
    <w:p w14:paraId="7A7D9CFF">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履约保证金提交时间：</w:t>
      </w:r>
      <w:r>
        <w:rPr>
          <w:rFonts w:hint="eastAsia" w:ascii="宋体" w:hAnsi="宋体" w:eastAsia="宋体" w:cs="宋体"/>
          <w:szCs w:val="21"/>
          <w:u w:val="single"/>
        </w:rPr>
        <w:t xml:space="preserve">        /       </w:t>
      </w:r>
    </w:p>
    <w:p w14:paraId="58124C19">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13.2履约保证金的有效期为合同服务最后一批服务成果验收合格后</w:t>
      </w:r>
      <w:r>
        <w:rPr>
          <w:rFonts w:hint="eastAsia" w:ascii="宋体" w:hAnsi="宋体" w:eastAsia="宋体" w:cs="宋体"/>
          <w:szCs w:val="21"/>
          <w:u w:val="single"/>
        </w:rPr>
        <w:t xml:space="preserve"> /  </w:t>
      </w:r>
      <w:r>
        <w:rPr>
          <w:rFonts w:hint="eastAsia" w:ascii="宋体" w:hAnsi="宋体" w:eastAsia="宋体" w:cs="宋体"/>
          <w:szCs w:val="21"/>
        </w:rPr>
        <w:t>天。</w:t>
      </w:r>
    </w:p>
    <w:p w14:paraId="13B5B745">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13.3履约保证金在合同服务成果验收合格后</w:t>
      </w:r>
      <w:r>
        <w:rPr>
          <w:rFonts w:hint="eastAsia" w:ascii="宋体" w:hAnsi="宋体" w:eastAsia="宋体" w:cs="宋体"/>
          <w:szCs w:val="21"/>
          <w:u w:val="single"/>
        </w:rPr>
        <w:t xml:space="preserve"> /  </w:t>
      </w:r>
      <w:r>
        <w:rPr>
          <w:rFonts w:hint="eastAsia" w:ascii="宋体" w:hAnsi="宋体" w:eastAsia="宋体" w:cs="宋体"/>
          <w:szCs w:val="21"/>
        </w:rPr>
        <w:t>天内无息退还。</w:t>
      </w:r>
    </w:p>
    <w:p w14:paraId="15F4D078">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13.4 履约保证金因乙方原因导致服务期限延长，其履约保证金有效期应相应延长。</w:t>
      </w:r>
    </w:p>
    <w:p w14:paraId="581BA033">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13.5 发生下列之一者，则不予退还履约保证金：</w:t>
      </w:r>
    </w:p>
    <w:p w14:paraId="67152E6C">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（1）乙方发生违约行为而完全终止合同；</w:t>
      </w:r>
    </w:p>
    <w:p w14:paraId="1A2A9899">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（2）乙方不履行实质性的响应承诺。</w:t>
      </w:r>
    </w:p>
    <w:p w14:paraId="4D8976EC">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13.6 履约保证金的退还或不予退还并不免除乙方对已交付服务的质量责任。</w:t>
      </w:r>
    </w:p>
    <w:p w14:paraId="1CAD0FDC">
      <w:pPr>
        <w:pStyle w:val="5"/>
        <w:rPr>
          <w:rFonts w:hint="eastAsia" w:ascii="宋体" w:hAnsi="宋体" w:eastAsia="宋体" w:cs="宋体"/>
          <w:lang w:eastAsia="zh-CN"/>
        </w:rPr>
      </w:pPr>
      <w:r>
        <w:rPr>
          <w:rFonts w:hint="eastAsia" w:ascii="宋体" w:hAnsi="宋体" w:eastAsia="宋体" w:cs="宋体"/>
          <w:lang w:eastAsia="zh-CN"/>
        </w:rPr>
        <w:t>14. 不可抗力</w:t>
      </w:r>
    </w:p>
    <w:p w14:paraId="7BD3FEB5">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14.1 如果合同任何一方受诸如战争、严重的火灾、台风、地震、洪水以及任何其他不能预见、不能避免且不能克服的不可抗力事件的影响而无法履行合同项下的任何义务，受影响的一方应将此类事件的发生通知合同另一方，并应在不可抗力事件发生后</w:t>
      </w:r>
      <w:r>
        <w:rPr>
          <w:rFonts w:hint="eastAsia" w:ascii="宋体" w:hAnsi="宋体" w:eastAsia="宋体" w:cs="宋体"/>
          <w:szCs w:val="21"/>
          <w:u w:val="single"/>
        </w:rPr>
        <w:t xml:space="preserve"> 3 </w:t>
      </w:r>
      <w:r>
        <w:rPr>
          <w:rFonts w:hint="eastAsia" w:ascii="宋体" w:hAnsi="宋体" w:eastAsia="宋体" w:cs="宋体"/>
          <w:szCs w:val="21"/>
        </w:rPr>
        <w:t>天内书面</w:t>
      </w:r>
      <w:r>
        <w:rPr>
          <w:rFonts w:hint="eastAsia" w:ascii="宋体" w:hAnsi="宋体" w:eastAsia="宋体" w:cs="宋体"/>
          <w:position w:val="-1"/>
          <w:szCs w:val="21"/>
        </w:rPr>
        <w:t>说明不可抗力和受阻碍的详细情</w:t>
      </w:r>
      <w:r>
        <w:rPr>
          <w:rFonts w:hint="eastAsia" w:ascii="宋体" w:hAnsi="宋体" w:eastAsia="宋体" w:cs="宋体"/>
          <w:szCs w:val="21"/>
        </w:rPr>
        <w:t>况，并提供必要的证明。</w:t>
      </w:r>
    </w:p>
    <w:p w14:paraId="25D6E0BD">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14.2 受不可抗力事件影响的合同一方对于不可抗力事件导致的任何合同义务的迟延履行或不能履行不承担责任。但该合同方应尽快将不可抗力事件结束或其影响消除的情况通知合同另一方。双方由此产生的损失不得向对方提出索赔要求，也不承担误期赔偿或终止合同的责任。</w:t>
      </w:r>
    </w:p>
    <w:p w14:paraId="688E915F">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14.3 合同双方应在不可抗力事件结束或其影响消除后，立即继续履行其合同义务，合同期限也应相应延长。如果不可抗力事件的影响持续超过</w:t>
      </w:r>
      <w:r>
        <w:rPr>
          <w:rFonts w:hint="eastAsia" w:ascii="宋体" w:hAnsi="宋体" w:eastAsia="宋体" w:cs="宋体"/>
          <w:szCs w:val="21"/>
          <w:u w:val="single"/>
        </w:rPr>
        <w:t xml:space="preserve"> 15 </w:t>
      </w:r>
      <w:r>
        <w:rPr>
          <w:rFonts w:hint="eastAsia" w:ascii="宋体" w:hAnsi="宋体" w:eastAsia="宋体" w:cs="宋体"/>
          <w:szCs w:val="21"/>
        </w:rPr>
        <w:t>天，合同任何一方均有权以书面形式通知对方部分或全部终止合同。</w:t>
      </w:r>
    </w:p>
    <w:p w14:paraId="1584EFD5">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14.4 因不可抗力终止合同的结清参照第12.4款规定办理。</w:t>
      </w:r>
    </w:p>
    <w:p w14:paraId="2FD93563">
      <w:pPr>
        <w:pStyle w:val="5"/>
        <w:rPr>
          <w:rFonts w:hint="eastAsia" w:ascii="宋体" w:hAnsi="宋体" w:eastAsia="宋体" w:cs="宋体"/>
          <w:lang w:eastAsia="zh-CN"/>
        </w:rPr>
      </w:pPr>
      <w:r>
        <w:rPr>
          <w:rFonts w:hint="eastAsia" w:ascii="宋体" w:hAnsi="宋体" w:eastAsia="宋体" w:cs="宋体"/>
          <w:lang w:eastAsia="zh-CN"/>
        </w:rPr>
        <w:t>15. 税费</w:t>
      </w:r>
    </w:p>
    <w:p w14:paraId="477B030C">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15.1 按现行税法规定向甲方征收的与本合同有关的一切税费均由甲方负责。</w:t>
      </w:r>
    </w:p>
    <w:p w14:paraId="11DC9B29">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15.2 按现行税法规定向乙方征收的与本合同有关的一切税费均由乙方负责。</w:t>
      </w:r>
    </w:p>
    <w:p w14:paraId="3CDCB8BB">
      <w:pPr>
        <w:pStyle w:val="5"/>
        <w:rPr>
          <w:rFonts w:hint="eastAsia" w:ascii="宋体" w:hAnsi="宋体" w:eastAsia="宋体" w:cs="宋体"/>
          <w:lang w:eastAsia="zh-CN"/>
        </w:rPr>
      </w:pPr>
      <w:r>
        <w:rPr>
          <w:rFonts w:hint="eastAsia" w:ascii="宋体" w:hAnsi="宋体" w:eastAsia="宋体" w:cs="宋体"/>
          <w:lang w:eastAsia="zh-CN"/>
        </w:rPr>
        <w:t>16. 争议的解决</w:t>
      </w:r>
    </w:p>
    <w:p w14:paraId="25E58004">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16.1 合同履行过程中出现争议时，甲乙双方应本着公平、合理的原则，及时友好协商解决。如在</w:t>
      </w:r>
      <w:r>
        <w:rPr>
          <w:rFonts w:hint="eastAsia" w:ascii="宋体" w:hAnsi="宋体" w:eastAsia="宋体" w:cs="宋体"/>
          <w:szCs w:val="21"/>
          <w:u w:val="single"/>
        </w:rPr>
        <w:t xml:space="preserve"> 7 </w:t>
      </w:r>
      <w:r>
        <w:rPr>
          <w:rFonts w:hint="eastAsia" w:ascii="宋体" w:hAnsi="宋体" w:eastAsia="宋体" w:cs="宋体"/>
          <w:szCs w:val="21"/>
        </w:rPr>
        <w:t>天内未能解决，按以下方式解决：向</w:t>
      </w:r>
      <w:r>
        <w:rPr>
          <w:rFonts w:hint="eastAsia" w:ascii="宋体" w:hAnsi="宋体" w:eastAsia="宋体" w:cs="宋体"/>
          <w:szCs w:val="21"/>
          <w:u w:val="single"/>
        </w:rPr>
        <w:t xml:space="preserve">  甲方所在地的有管辖权   </w:t>
      </w:r>
      <w:r>
        <w:rPr>
          <w:rFonts w:hint="eastAsia" w:ascii="宋体" w:hAnsi="宋体" w:eastAsia="宋体" w:cs="宋体"/>
          <w:szCs w:val="21"/>
        </w:rPr>
        <w:t>人民法院起诉。</w:t>
      </w:r>
    </w:p>
    <w:p w14:paraId="21DD50C4">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16.2 在争议期间，除存在争议的部分外，本合同其它部分应继续履行。</w:t>
      </w:r>
    </w:p>
    <w:p w14:paraId="55540314">
      <w:pPr>
        <w:pStyle w:val="21"/>
        <w:tabs>
          <w:tab w:val="left" w:pos="1418"/>
        </w:tabs>
        <w:ind w:left="0" w:firstLine="0"/>
        <w:rPr>
          <w:rFonts w:hint="eastAsia" w:ascii="宋体" w:hAnsi="宋体" w:eastAsia="宋体" w:cs="宋体"/>
        </w:rPr>
      </w:pPr>
      <w:r>
        <w:rPr>
          <w:rFonts w:hint="eastAsia" w:ascii="宋体" w:hAnsi="宋体" w:eastAsia="宋体" w:cs="宋体"/>
          <w:b/>
          <w:bCs/>
          <w:kern w:val="0"/>
          <w:sz w:val="28"/>
          <w:lang w:eastAsia="zh-CN" w:bidi="en-US"/>
        </w:rPr>
        <w:t>17. 保密条款</w:t>
      </w:r>
    </w:p>
    <w:p w14:paraId="6FA688AA">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17.1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14:paraId="56C62222">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17.2甲方向乙方提供的任何资料、文件和信息，在乙方服务结束后，乙方均应及时归还甲方，电子文档的应从自己的电脑等存储设备上予永久删除。</w:t>
      </w:r>
    </w:p>
    <w:p w14:paraId="51136A8F">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17.3乙方人员违反上述保密规定事项，乙方应承担相应法律责任。</w:t>
      </w:r>
    </w:p>
    <w:p w14:paraId="4A4BE175">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17.4以上1、2、3款在合同有效期结束后继续生效。</w:t>
      </w:r>
    </w:p>
    <w:p w14:paraId="067846C2">
      <w:pPr>
        <w:pStyle w:val="5"/>
        <w:rPr>
          <w:rFonts w:hint="eastAsia" w:ascii="宋体" w:hAnsi="宋体" w:eastAsia="宋体" w:cs="宋体"/>
          <w:lang w:eastAsia="zh-CN"/>
        </w:rPr>
      </w:pPr>
      <w:r>
        <w:rPr>
          <w:rFonts w:hint="eastAsia" w:ascii="宋体" w:hAnsi="宋体" w:eastAsia="宋体" w:cs="宋体"/>
          <w:lang w:eastAsia="zh-CN"/>
        </w:rPr>
        <w:t>18. 适用法律</w:t>
      </w:r>
    </w:p>
    <w:p w14:paraId="2393C064">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本合同应按照中华人民共和国的法律进行解释。</w:t>
      </w:r>
    </w:p>
    <w:p w14:paraId="03BA5762">
      <w:pPr>
        <w:pStyle w:val="5"/>
        <w:rPr>
          <w:rFonts w:hint="eastAsia" w:ascii="宋体" w:hAnsi="宋体" w:eastAsia="宋体" w:cs="宋体"/>
          <w:lang w:eastAsia="zh-CN"/>
        </w:rPr>
      </w:pPr>
      <w:r>
        <w:rPr>
          <w:rFonts w:hint="eastAsia" w:ascii="宋体" w:hAnsi="宋体" w:eastAsia="宋体" w:cs="宋体"/>
          <w:lang w:eastAsia="zh-CN"/>
        </w:rPr>
        <w:t>19. 合同生效</w:t>
      </w:r>
    </w:p>
    <w:p w14:paraId="2E18A815">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除法律另有规定外，甲方和乙方的法定代表人（单位负责人）或其委托代理人在合同协议书上签字并盖单位章后，合同生效。</w:t>
      </w:r>
    </w:p>
    <w:p w14:paraId="4FDB7E2C">
      <w:pPr>
        <w:pStyle w:val="5"/>
        <w:rPr>
          <w:rFonts w:hint="eastAsia" w:ascii="宋体" w:hAnsi="宋体" w:eastAsia="宋体" w:cs="宋体"/>
          <w:lang w:eastAsia="zh-CN"/>
        </w:rPr>
      </w:pPr>
      <w:r>
        <w:rPr>
          <w:rFonts w:hint="eastAsia" w:ascii="宋体" w:hAnsi="宋体" w:eastAsia="宋体" w:cs="宋体"/>
          <w:lang w:eastAsia="zh-CN"/>
        </w:rPr>
        <w:t>20. 合同附件</w:t>
      </w:r>
    </w:p>
    <w:p w14:paraId="73D78722">
      <w:pPr>
        <w:widowControl/>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按合同协议书规定的合同组成部分作为合同附件。</w:t>
      </w:r>
    </w:p>
    <w:p w14:paraId="1CBC04D3">
      <w:pPr>
        <w:pStyle w:val="5"/>
        <w:rPr>
          <w:rFonts w:hint="eastAsia" w:ascii="宋体" w:hAnsi="宋体" w:eastAsia="宋体" w:cs="宋体"/>
          <w:lang w:eastAsia="zh-CN"/>
        </w:rPr>
      </w:pPr>
      <w:r>
        <w:rPr>
          <w:rFonts w:hint="eastAsia" w:ascii="宋体" w:hAnsi="宋体" w:eastAsia="宋体" w:cs="宋体"/>
          <w:lang w:eastAsia="zh-CN"/>
        </w:rPr>
        <w:t>2</w:t>
      </w:r>
      <w:r>
        <w:rPr>
          <w:rFonts w:hint="eastAsia" w:ascii="宋体" w:hAnsi="宋体" w:eastAsia="宋体" w:cs="宋体"/>
          <w:lang w:val="en-US" w:eastAsia="zh-CN"/>
        </w:rPr>
        <w:t>1</w:t>
      </w:r>
      <w:r>
        <w:rPr>
          <w:rFonts w:hint="eastAsia" w:ascii="宋体" w:hAnsi="宋体" w:eastAsia="宋体" w:cs="宋体"/>
          <w:lang w:eastAsia="zh-CN"/>
        </w:rPr>
        <w:t>. 其他</w:t>
      </w:r>
    </w:p>
    <w:p w14:paraId="06816E56">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本合同一式</w:t>
      </w:r>
      <w:r>
        <w:rPr>
          <w:rFonts w:hint="eastAsia" w:ascii="宋体" w:hAnsi="宋体" w:eastAsia="宋体" w:cs="宋体"/>
          <w:szCs w:val="21"/>
          <w:u w:val="single"/>
        </w:rPr>
        <w:t xml:space="preserve">  陆  </w:t>
      </w:r>
      <w:r>
        <w:rPr>
          <w:rFonts w:hint="eastAsia" w:ascii="宋体" w:hAnsi="宋体" w:eastAsia="宋体" w:cs="宋体"/>
          <w:szCs w:val="21"/>
        </w:rPr>
        <w:t>份，甲、乙双方及见证方各执</w:t>
      </w:r>
      <w:r>
        <w:rPr>
          <w:rFonts w:hint="eastAsia" w:ascii="宋体" w:hAnsi="宋体" w:eastAsia="宋体" w:cs="宋体"/>
          <w:szCs w:val="21"/>
          <w:u w:val="single"/>
        </w:rPr>
        <w:t xml:space="preserve">  贰  </w:t>
      </w:r>
      <w:r>
        <w:rPr>
          <w:rFonts w:hint="eastAsia" w:ascii="宋体" w:hAnsi="宋体" w:eastAsia="宋体" w:cs="宋体"/>
          <w:szCs w:val="21"/>
        </w:rPr>
        <w:t>份。</w:t>
      </w:r>
    </w:p>
    <w:p w14:paraId="3DA900C3">
      <w:pPr>
        <w:pStyle w:val="2"/>
        <w:tabs>
          <w:tab w:val="left" w:pos="2756"/>
          <w:tab w:val="left" w:pos="4345"/>
          <w:tab w:val="left" w:pos="6810"/>
        </w:tabs>
        <w:spacing w:before="2" w:line="360" w:lineRule="auto"/>
        <w:ind w:right="788"/>
        <w:rPr>
          <w:rFonts w:hint="eastAsia" w:ascii="宋体" w:hAnsi="宋体" w:eastAsia="宋体" w:cs="宋体"/>
          <w:sz w:val="21"/>
          <w:szCs w:val="21"/>
        </w:rPr>
      </w:pPr>
      <w:r>
        <w:rPr>
          <w:rFonts w:hint="eastAsia" w:ascii="宋体" w:hAnsi="宋体" w:eastAsia="宋体" w:cs="宋体"/>
          <w:sz w:val="21"/>
          <w:szCs w:val="21"/>
        </w:rPr>
        <w:t xml:space="preserve">甲  </w:t>
      </w:r>
      <w:r>
        <w:rPr>
          <w:rFonts w:hint="eastAsia" w:ascii="宋体" w:hAnsi="宋体" w:eastAsia="宋体" w:cs="宋体"/>
          <w:spacing w:val="57"/>
          <w:sz w:val="21"/>
          <w:szCs w:val="21"/>
        </w:rPr>
        <w:t xml:space="preserve"> </w:t>
      </w:r>
      <w:r>
        <w:rPr>
          <w:rFonts w:hint="eastAsia" w:ascii="宋体" w:hAnsi="宋体" w:eastAsia="宋体" w:cs="宋体"/>
          <w:spacing w:val="-22"/>
          <w:sz w:val="21"/>
          <w:szCs w:val="21"/>
        </w:rPr>
        <w:t>方</w:t>
      </w:r>
      <w:r>
        <w:rPr>
          <w:rFonts w:hint="eastAsia" w:ascii="宋体" w:hAnsi="宋体" w:eastAsia="宋体" w:cs="宋体"/>
          <w:spacing w:val="-20"/>
          <w:sz w:val="21"/>
          <w:szCs w:val="21"/>
        </w:rPr>
        <w:t xml:space="preserve">：安徽省商务厅  </w:t>
      </w:r>
      <w:r>
        <w:rPr>
          <w:rFonts w:hint="eastAsia" w:ascii="宋体" w:hAnsi="宋体" w:eastAsia="宋体" w:cs="宋体"/>
          <w:spacing w:val="-20"/>
          <w:sz w:val="21"/>
          <w:szCs w:val="21"/>
        </w:rPr>
        <w:tab/>
      </w:r>
      <w:r>
        <w:rPr>
          <w:rFonts w:hint="eastAsia" w:ascii="宋体" w:hAnsi="宋体" w:eastAsia="宋体" w:cs="宋体"/>
          <w:spacing w:val="-20"/>
          <w:sz w:val="21"/>
          <w:szCs w:val="21"/>
        </w:rPr>
        <w:t xml:space="preserve">                        </w:t>
      </w:r>
      <w:r>
        <w:rPr>
          <w:rFonts w:hint="eastAsia" w:ascii="宋体" w:hAnsi="宋体" w:eastAsia="宋体" w:cs="宋体"/>
          <w:sz w:val="21"/>
          <w:szCs w:val="21"/>
        </w:rPr>
        <w:t xml:space="preserve">乙 </w:t>
      </w:r>
      <w:r>
        <w:rPr>
          <w:rFonts w:hint="eastAsia" w:ascii="宋体" w:hAnsi="宋体" w:eastAsia="宋体" w:cs="宋体"/>
          <w:spacing w:val="75"/>
          <w:sz w:val="21"/>
          <w:szCs w:val="21"/>
        </w:rPr>
        <w:t xml:space="preserve"> </w:t>
      </w:r>
      <w:r>
        <w:rPr>
          <w:rFonts w:hint="eastAsia" w:ascii="宋体" w:hAnsi="宋体" w:eastAsia="宋体" w:cs="宋体"/>
          <w:spacing w:val="-20"/>
          <w:sz w:val="21"/>
          <w:szCs w:val="21"/>
        </w:rPr>
        <w:t xml:space="preserve">方 </w:t>
      </w:r>
      <w:r>
        <w:rPr>
          <w:rFonts w:hint="eastAsia" w:ascii="宋体" w:hAnsi="宋体" w:eastAsia="宋体" w:cs="宋体"/>
          <w:spacing w:val="-22"/>
          <w:sz w:val="21"/>
          <w:szCs w:val="21"/>
        </w:rPr>
        <w:t>：</w:t>
      </w:r>
      <w:r>
        <w:rPr>
          <w:rFonts w:hint="eastAsia" w:ascii="宋体" w:hAnsi="宋体" w:eastAsia="宋体" w:cs="宋体"/>
          <w:sz w:val="21"/>
          <w:szCs w:val="21"/>
        </w:rPr>
        <w:t xml:space="preserve"> </w:t>
      </w:r>
      <w:r>
        <w:rPr>
          <w:rFonts w:hint="eastAsia" w:ascii="宋体" w:hAnsi="宋体" w:eastAsia="宋体" w:cs="宋体"/>
          <w:sz w:val="21"/>
          <w:szCs w:val="21"/>
        </w:rPr>
        <w:tab/>
      </w:r>
    </w:p>
    <w:p w14:paraId="22F6D60F">
      <w:pPr>
        <w:pStyle w:val="2"/>
        <w:tabs>
          <w:tab w:val="left" w:pos="4345"/>
        </w:tabs>
        <w:spacing w:before="1" w:line="360" w:lineRule="auto"/>
        <w:rPr>
          <w:rFonts w:hint="eastAsia" w:ascii="宋体" w:hAnsi="宋体" w:eastAsia="宋体" w:cs="宋体"/>
          <w:sz w:val="21"/>
          <w:szCs w:val="21"/>
        </w:rPr>
      </w:pPr>
      <w:r>
        <w:rPr>
          <w:rFonts w:hint="eastAsia" w:ascii="宋体" w:hAnsi="宋体" w:eastAsia="宋体" w:cs="宋体"/>
          <w:spacing w:val="-20"/>
          <w:sz w:val="21"/>
          <w:szCs w:val="21"/>
        </w:rPr>
        <w:t>单</w:t>
      </w:r>
      <w:r>
        <w:rPr>
          <w:rFonts w:hint="eastAsia" w:ascii="宋体" w:hAnsi="宋体" w:eastAsia="宋体" w:cs="宋体"/>
          <w:spacing w:val="-22"/>
          <w:sz w:val="21"/>
          <w:szCs w:val="21"/>
        </w:rPr>
        <w:t>位盖章</w:t>
      </w:r>
      <w:r>
        <w:rPr>
          <w:rFonts w:hint="eastAsia" w:ascii="宋体" w:hAnsi="宋体" w:eastAsia="宋体" w:cs="宋体"/>
          <w:sz w:val="21"/>
          <w:szCs w:val="21"/>
        </w:rPr>
        <w:t>：</w:t>
      </w:r>
      <w:r>
        <w:rPr>
          <w:rFonts w:hint="eastAsia" w:ascii="宋体" w:hAnsi="宋体" w:eastAsia="宋体" w:cs="宋体"/>
          <w:sz w:val="21"/>
          <w:szCs w:val="21"/>
        </w:rPr>
        <w:tab/>
      </w:r>
      <w:r>
        <w:rPr>
          <w:rFonts w:hint="eastAsia" w:ascii="宋体" w:hAnsi="宋体" w:eastAsia="宋体" w:cs="宋体"/>
          <w:spacing w:val="-22"/>
          <w:sz w:val="21"/>
          <w:szCs w:val="21"/>
        </w:rPr>
        <w:t>单位盖</w:t>
      </w:r>
      <w:r>
        <w:rPr>
          <w:rFonts w:hint="eastAsia" w:ascii="宋体" w:hAnsi="宋体" w:eastAsia="宋体" w:cs="宋体"/>
          <w:spacing w:val="-20"/>
          <w:sz w:val="21"/>
          <w:szCs w:val="21"/>
        </w:rPr>
        <w:t>章</w:t>
      </w:r>
      <w:r>
        <w:rPr>
          <w:rFonts w:hint="eastAsia" w:ascii="宋体" w:hAnsi="宋体" w:eastAsia="宋体" w:cs="宋体"/>
          <w:sz w:val="21"/>
          <w:szCs w:val="21"/>
        </w:rPr>
        <w:t>：</w:t>
      </w:r>
    </w:p>
    <w:p w14:paraId="306D5D45">
      <w:pPr>
        <w:pStyle w:val="2"/>
        <w:tabs>
          <w:tab w:val="left" w:pos="4345"/>
        </w:tabs>
        <w:spacing w:before="160" w:line="360" w:lineRule="auto"/>
        <w:rPr>
          <w:rFonts w:hint="eastAsia" w:ascii="宋体" w:hAnsi="宋体" w:eastAsia="宋体" w:cs="宋体"/>
          <w:sz w:val="21"/>
          <w:szCs w:val="21"/>
        </w:rPr>
      </w:pPr>
      <w:r>
        <w:rPr>
          <w:rFonts w:hint="eastAsia" w:ascii="宋体" w:hAnsi="宋体" w:eastAsia="宋体" w:cs="宋体"/>
          <w:spacing w:val="-20"/>
          <w:sz w:val="21"/>
          <w:szCs w:val="21"/>
        </w:rPr>
        <w:t>法</w:t>
      </w:r>
      <w:r>
        <w:rPr>
          <w:rFonts w:hint="eastAsia" w:ascii="宋体" w:hAnsi="宋体" w:eastAsia="宋体" w:cs="宋体"/>
          <w:spacing w:val="-22"/>
          <w:sz w:val="21"/>
          <w:szCs w:val="21"/>
        </w:rPr>
        <w:t>定代表</w:t>
      </w:r>
      <w:r>
        <w:rPr>
          <w:rFonts w:hint="eastAsia" w:ascii="宋体" w:hAnsi="宋体" w:eastAsia="宋体" w:cs="宋体"/>
          <w:spacing w:val="-20"/>
          <w:sz w:val="21"/>
          <w:szCs w:val="21"/>
        </w:rPr>
        <w:t>人</w:t>
      </w:r>
      <w:r>
        <w:rPr>
          <w:rFonts w:hint="eastAsia" w:ascii="宋体" w:hAnsi="宋体" w:eastAsia="宋体" w:cs="宋体"/>
          <w:spacing w:val="-22"/>
          <w:sz w:val="21"/>
          <w:szCs w:val="21"/>
        </w:rPr>
        <w:t>或委托</w:t>
      </w:r>
      <w:r>
        <w:rPr>
          <w:rFonts w:hint="eastAsia" w:ascii="宋体" w:hAnsi="宋体" w:eastAsia="宋体" w:cs="宋体"/>
          <w:spacing w:val="-20"/>
          <w:sz w:val="21"/>
          <w:szCs w:val="21"/>
        </w:rPr>
        <w:t>代</w:t>
      </w:r>
      <w:r>
        <w:rPr>
          <w:rFonts w:hint="eastAsia" w:ascii="宋体" w:hAnsi="宋体" w:eastAsia="宋体" w:cs="宋体"/>
          <w:spacing w:val="-22"/>
          <w:sz w:val="21"/>
          <w:szCs w:val="21"/>
        </w:rPr>
        <w:t>理人</w:t>
      </w:r>
      <w:r>
        <w:rPr>
          <w:rFonts w:hint="eastAsia" w:ascii="宋体" w:hAnsi="宋体" w:eastAsia="宋体" w:cs="宋体"/>
          <w:sz w:val="21"/>
          <w:szCs w:val="21"/>
        </w:rPr>
        <w:t>：</w:t>
      </w:r>
      <w:r>
        <w:rPr>
          <w:rFonts w:hint="eastAsia" w:ascii="宋体" w:hAnsi="宋体" w:eastAsia="宋体" w:cs="宋体"/>
          <w:sz w:val="21"/>
          <w:szCs w:val="21"/>
        </w:rPr>
        <w:tab/>
      </w:r>
      <w:r>
        <w:rPr>
          <w:rFonts w:hint="eastAsia" w:ascii="宋体" w:hAnsi="宋体" w:eastAsia="宋体" w:cs="宋体"/>
          <w:spacing w:val="-22"/>
          <w:sz w:val="21"/>
          <w:szCs w:val="21"/>
        </w:rPr>
        <w:t>法定代</w:t>
      </w:r>
      <w:r>
        <w:rPr>
          <w:rFonts w:hint="eastAsia" w:ascii="宋体" w:hAnsi="宋体" w:eastAsia="宋体" w:cs="宋体"/>
          <w:spacing w:val="-20"/>
          <w:sz w:val="21"/>
          <w:szCs w:val="21"/>
        </w:rPr>
        <w:t>表</w:t>
      </w:r>
      <w:r>
        <w:rPr>
          <w:rFonts w:hint="eastAsia" w:ascii="宋体" w:hAnsi="宋体" w:eastAsia="宋体" w:cs="宋体"/>
          <w:spacing w:val="-22"/>
          <w:sz w:val="21"/>
          <w:szCs w:val="21"/>
        </w:rPr>
        <w:t>人或委</w:t>
      </w:r>
      <w:r>
        <w:rPr>
          <w:rFonts w:hint="eastAsia" w:ascii="宋体" w:hAnsi="宋体" w:eastAsia="宋体" w:cs="宋体"/>
          <w:spacing w:val="-20"/>
          <w:sz w:val="21"/>
          <w:szCs w:val="21"/>
        </w:rPr>
        <w:t>托</w:t>
      </w:r>
      <w:r>
        <w:rPr>
          <w:rFonts w:hint="eastAsia" w:ascii="宋体" w:hAnsi="宋体" w:eastAsia="宋体" w:cs="宋体"/>
          <w:spacing w:val="-22"/>
          <w:sz w:val="21"/>
          <w:szCs w:val="21"/>
        </w:rPr>
        <w:t>代理人</w:t>
      </w:r>
      <w:r>
        <w:rPr>
          <w:rFonts w:hint="eastAsia" w:ascii="宋体" w:hAnsi="宋体" w:eastAsia="宋体" w:cs="宋体"/>
          <w:sz w:val="21"/>
          <w:szCs w:val="21"/>
        </w:rPr>
        <w:t>：</w:t>
      </w:r>
    </w:p>
    <w:p w14:paraId="78B15E44">
      <w:pPr>
        <w:pStyle w:val="2"/>
        <w:tabs>
          <w:tab w:val="left" w:pos="4345"/>
        </w:tabs>
        <w:spacing w:before="161" w:line="360" w:lineRule="auto"/>
        <w:rPr>
          <w:rFonts w:hint="eastAsia" w:ascii="宋体" w:hAnsi="宋体" w:eastAsia="宋体" w:cs="宋体"/>
          <w:sz w:val="21"/>
          <w:szCs w:val="21"/>
        </w:rPr>
      </w:pPr>
      <w:r>
        <w:rPr>
          <w:rFonts w:hint="eastAsia" w:ascii="宋体" w:hAnsi="宋体" w:eastAsia="宋体" w:cs="宋体"/>
          <w:sz w:val="21"/>
          <w:szCs w:val="21"/>
        </w:rPr>
        <w:t xml:space="preserve">日  </w:t>
      </w:r>
      <w:r>
        <w:rPr>
          <w:rFonts w:hint="eastAsia" w:ascii="宋体" w:hAnsi="宋体" w:eastAsia="宋体" w:cs="宋体"/>
          <w:spacing w:val="57"/>
          <w:sz w:val="21"/>
          <w:szCs w:val="21"/>
        </w:rPr>
        <w:t xml:space="preserve"> </w:t>
      </w:r>
      <w:r>
        <w:rPr>
          <w:rFonts w:hint="eastAsia" w:ascii="宋体" w:hAnsi="宋体" w:eastAsia="宋体" w:cs="宋体"/>
          <w:spacing w:val="-22"/>
          <w:sz w:val="21"/>
          <w:szCs w:val="21"/>
        </w:rPr>
        <w:t>期</w:t>
      </w:r>
      <w:r>
        <w:rPr>
          <w:rFonts w:hint="eastAsia" w:ascii="宋体" w:hAnsi="宋体" w:eastAsia="宋体" w:cs="宋体"/>
          <w:sz w:val="21"/>
          <w:szCs w:val="21"/>
        </w:rPr>
        <w:t>：</w:t>
      </w:r>
      <w:r>
        <w:rPr>
          <w:rFonts w:hint="eastAsia" w:ascii="宋体" w:hAnsi="宋体" w:eastAsia="宋体" w:cs="宋体"/>
          <w:sz w:val="21"/>
          <w:szCs w:val="21"/>
        </w:rPr>
        <w:tab/>
      </w:r>
      <w:r>
        <w:rPr>
          <w:rFonts w:hint="eastAsia" w:ascii="宋体" w:hAnsi="宋体" w:eastAsia="宋体" w:cs="宋体"/>
          <w:sz w:val="21"/>
          <w:szCs w:val="21"/>
        </w:rPr>
        <w:t>日</w:t>
      </w:r>
      <w:r>
        <w:rPr>
          <w:rFonts w:hint="eastAsia" w:ascii="宋体" w:hAnsi="宋体" w:eastAsia="宋体" w:cs="宋体"/>
          <w:spacing w:val="75"/>
          <w:sz w:val="21"/>
          <w:szCs w:val="21"/>
        </w:rPr>
        <w:t xml:space="preserve"> </w:t>
      </w:r>
      <w:r>
        <w:rPr>
          <w:rFonts w:hint="eastAsia" w:ascii="宋体" w:hAnsi="宋体" w:eastAsia="宋体" w:cs="宋体"/>
          <w:spacing w:val="-20"/>
          <w:sz w:val="21"/>
          <w:szCs w:val="21"/>
        </w:rPr>
        <w:t xml:space="preserve">期 </w:t>
      </w:r>
      <w:r>
        <w:rPr>
          <w:rFonts w:hint="eastAsia" w:ascii="宋体" w:hAnsi="宋体" w:eastAsia="宋体" w:cs="宋体"/>
          <w:sz w:val="21"/>
          <w:szCs w:val="21"/>
        </w:rPr>
        <w:t>:</w:t>
      </w:r>
    </w:p>
    <w:p w14:paraId="507AD399">
      <w:pPr>
        <w:pStyle w:val="2"/>
        <w:spacing w:line="360" w:lineRule="auto"/>
        <w:ind w:right="665"/>
        <w:jc w:val="left"/>
        <w:rPr>
          <w:rFonts w:hint="eastAsia" w:ascii="宋体" w:hAnsi="宋体" w:eastAsia="宋体" w:cs="宋体"/>
          <w:kern w:val="0"/>
          <w:sz w:val="21"/>
        </w:rPr>
      </w:pPr>
    </w:p>
    <w:p w14:paraId="5A9DF6DE">
      <w:pPr>
        <w:pStyle w:val="2"/>
        <w:spacing w:line="360" w:lineRule="auto"/>
        <w:ind w:right="665"/>
        <w:jc w:val="left"/>
        <w:rPr>
          <w:rFonts w:hint="eastAsia" w:ascii="宋体" w:hAnsi="宋体" w:eastAsia="宋体" w:cs="宋体"/>
          <w:kern w:val="0"/>
          <w:sz w:val="21"/>
        </w:rPr>
      </w:pPr>
      <w:r>
        <w:rPr>
          <w:rFonts w:hint="eastAsia" w:ascii="宋体" w:hAnsi="宋体" w:eastAsia="宋体" w:cs="宋体"/>
          <w:kern w:val="0"/>
          <w:sz w:val="21"/>
        </w:rPr>
        <w:t>见证方:安徽安天利信工程管理股份有限公司</w:t>
      </w:r>
    </w:p>
    <w:p w14:paraId="0754A86D">
      <w:pPr>
        <w:pStyle w:val="2"/>
        <w:spacing w:line="360" w:lineRule="auto"/>
        <w:ind w:right="665"/>
        <w:jc w:val="left"/>
        <w:rPr>
          <w:rFonts w:hint="eastAsia" w:ascii="宋体" w:hAnsi="宋体" w:eastAsia="宋体" w:cs="宋体"/>
          <w:kern w:val="0"/>
          <w:sz w:val="21"/>
        </w:rPr>
      </w:pPr>
      <w:r>
        <w:rPr>
          <w:rFonts w:hint="eastAsia" w:ascii="宋体" w:hAnsi="宋体" w:eastAsia="宋体" w:cs="宋体"/>
          <w:kern w:val="0"/>
          <w:sz w:val="21"/>
        </w:rPr>
        <w:t>单位盖章：</w:t>
      </w:r>
    </w:p>
    <w:p w14:paraId="66FFAA02">
      <w:pPr>
        <w:pStyle w:val="2"/>
        <w:spacing w:line="360" w:lineRule="auto"/>
        <w:ind w:right="665"/>
        <w:jc w:val="left"/>
        <w:rPr>
          <w:rFonts w:hint="eastAsia" w:ascii="宋体" w:hAnsi="宋体" w:eastAsia="宋体" w:cs="宋体"/>
          <w:kern w:val="0"/>
          <w:sz w:val="21"/>
        </w:rPr>
      </w:pPr>
      <w:r>
        <w:rPr>
          <w:rFonts w:hint="eastAsia" w:ascii="宋体" w:hAnsi="宋体" w:eastAsia="宋体" w:cs="宋体"/>
          <w:kern w:val="0"/>
          <w:sz w:val="21"/>
        </w:rPr>
        <w:t>法定代表人或委托代理人：</w:t>
      </w:r>
    </w:p>
    <w:p w14:paraId="2AE46E5D">
      <w:pPr>
        <w:snapToGrid w:val="0"/>
        <w:spacing w:line="360" w:lineRule="auto"/>
        <w:rPr>
          <w:rFonts w:hint="eastAsia" w:ascii="宋体" w:hAnsi="宋体" w:eastAsia="宋体" w:cs="宋体"/>
          <w:b/>
          <w:bCs/>
          <w:kern w:val="0"/>
          <w:sz w:val="28"/>
          <w:lang w:bidi="en-US"/>
        </w:rPr>
      </w:pPr>
      <w:r>
        <w:rPr>
          <w:rFonts w:hint="eastAsia" w:ascii="宋体" w:hAnsi="宋体" w:eastAsia="宋体" w:cs="宋体"/>
          <w:kern w:val="0"/>
        </w:rPr>
        <w:t xml:space="preserve">日 </w:t>
      </w:r>
      <w:r>
        <w:rPr>
          <w:rFonts w:hint="eastAsia" w:ascii="宋体" w:hAnsi="宋体" w:eastAsia="宋体" w:cs="宋体"/>
          <w:kern w:val="0"/>
        </w:rPr>
        <w:tab/>
      </w:r>
      <w:r>
        <w:rPr>
          <w:rFonts w:hint="eastAsia" w:ascii="宋体" w:hAnsi="宋体" w:eastAsia="宋体" w:cs="宋体"/>
          <w:kern w:val="0"/>
        </w:rPr>
        <w:t>期：</w:t>
      </w:r>
      <w:r>
        <w:rPr>
          <w:rFonts w:hint="eastAsia" w:ascii="宋体" w:hAnsi="宋体" w:eastAsia="宋体" w:cs="宋体"/>
          <w:szCs w:val="21"/>
        </w:rPr>
        <w:t xml:space="preserve"> </w:t>
      </w:r>
    </w:p>
    <w:p w14:paraId="362E3415">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cstheme="minorEastAsia"/>
          <w:color w:val="auto"/>
          <w:sz w:val="28"/>
          <w:szCs w:val="27"/>
          <w:highlight w:val="none"/>
        </w:rPr>
        <w:br w:type="page"/>
      </w:r>
      <w:bookmarkStart w:id="61" w:name="_Toc22494"/>
      <w:bookmarkStart w:id="62" w:name="_Toc7448"/>
      <w:bookmarkStart w:id="63" w:name="_Toc415"/>
      <w:r>
        <w:rPr>
          <w:rFonts w:hint="eastAsia" w:asciiTheme="minorEastAsia" w:hAnsiTheme="minorEastAsia" w:eastAsiaTheme="minorEastAsia"/>
          <w:b/>
          <w:color w:val="auto"/>
          <w:sz w:val="24"/>
          <w:highlight w:val="none"/>
        </w:rPr>
        <w:t>第二部分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合同一般条款</w:t>
      </w:r>
      <w:bookmarkEnd w:id="61"/>
      <w:bookmarkEnd w:id="62"/>
      <w:bookmarkEnd w:id="63"/>
    </w:p>
    <w:p w14:paraId="71AEFD04">
      <w:pPr>
        <w:spacing w:line="360" w:lineRule="auto"/>
        <w:ind w:firstLine="437"/>
        <w:outlineLvl w:val="2"/>
        <w:rPr>
          <w:rFonts w:cs="Times New Roman" w:asciiTheme="minorEastAsia" w:hAnsiTheme="minorEastAsia" w:eastAsiaTheme="minorEastAsia"/>
          <w:b/>
          <w:bCs/>
          <w:color w:val="auto"/>
          <w:sz w:val="24"/>
          <w:szCs w:val="24"/>
          <w:highlight w:val="none"/>
          <w:lang w:val="zh-CN"/>
        </w:rPr>
      </w:pPr>
      <w:bookmarkStart w:id="64" w:name="_Toc16917"/>
      <w:bookmarkStart w:id="65" w:name="_Ref467378404"/>
      <w:bookmarkStart w:id="66" w:name="_Ref467378463"/>
      <w:bookmarkStart w:id="67" w:name="_Ref467379109"/>
      <w:bookmarkStart w:id="68" w:name="_Toc487900349"/>
      <w:bookmarkStart w:id="69" w:name="_Toc279701240"/>
      <w:bookmarkStart w:id="70" w:name="_Ref467379094"/>
      <w:bookmarkStart w:id="71" w:name="_Ref467379225"/>
      <w:bookmarkStart w:id="72" w:name="_Ref467379214"/>
      <w:bookmarkStart w:id="73" w:name="_Toc259093669"/>
      <w:bookmarkStart w:id="74" w:name="_Toc19614"/>
      <w:bookmarkStart w:id="75" w:name="_Ref467379205"/>
      <w:bookmarkStart w:id="76" w:name="_Ref467379195"/>
      <w:bookmarkStart w:id="77" w:name="_Toc28763"/>
      <w:bookmarkStart w:id="78" w:name="_Ref467378499"/>
      <w:bookmarkStart w:id="79" w:name="_Ref467379101"/>
      <w:r>
        <w:rPr>
          <w:rFonts w:hint="eastAsia" w:cs="Times New Roman" w:asciiTheme="minorEastAsia" w:hAnsiTheme="minorEastAsia" w:eastAsiaTheme="minorEastAsia"/>
          <w:b/>
          <w:bCs/>
          <w:color w:val="auto"/>
          <w:sz w:val="24"/>
          <w:szCs w:val="24"/>
          <w:highlight w:val="none"/>
          <w:lang w:val="zh-CN"/>
        </w:rPr>
        <w:t>2.1</w:t>
      </w:r>
      <w:r>
        <w:rPr>
          <w:rFonts w:cs="Times New Roman" w:asciiTheme="minorEastAsia" w:hAnsiTheme="minorEastAsia" w:eastAsiaTheme="minorEastAsia"/>
          <w:b/>
          <w:bCs/>
          <w:color w:val="auto"/>
          <w:sz w:val="24"/>
          <w:szCs w:val="24"/>
          <w:highlight w:val="none"/>
          <w:lang w:val="zh-CN"/>
        </w:rPr>
        <w:t xml:space="preserve"> 定义</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3F70EEF9">
      <w:pPr>
        <w:spacing w:line="360" w:lineRule="auto"/>
        <w:ind w:firstLine="435"/>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本合同中的下列</w:t>
      </w:r>
      <w:r>
        <w:rPr>
          <w:rFonts w:hint="eastAsia" w:cs="Times New Roman" w:asciiTheme="minorEastAsia" w:hAnsiTheme="minorEastAsia" w:eastAsiaTheme="minorEastAsia"/>
          <w:color w:val="auto"/>
          <w:sz w:val="24"/>
          <w:szCs w:val="24"/>
          <w:highlight w:val="none"/>
        </w:rPr>
        <w:t>词</w:t>
      </w:r>
      <w:r>
        <w:rPr>
          <w:rFonts w:cs="Times New Roman" w:asciiTheme="minorEastAsia" w:hAnsiTheme="minorEastAsia" w:eastAsiaTheme="minorEastAsia"/>
          <w:color w:val="auto"/>
          <w:sz w:val="24"/>
          <w:szCs w:val="24"/>
          <w:highlight w:val="none"/>
        </w:rPr>
        <w:t>语应</w:t>
      </w:r>
      <w:r>
        <w:rPr>
          <w:rFonts w:hint="eastAsia" w:cs="Times New Roman" w:asciiTheme="minorEastAsia" w:hAnsiTheme="minorEastAsia" w:eastAsiaTheme="minorEastAsia"/>
          <w:color w:val="auto"/>
          <w:sz w:val="24"/>
          <w:szCs w:val="24"/>
          <w:highlight w:val="none"/>
        </w:rPr>
        <w:t>按以下内容进行</w:t>
      </w:r>
      <w:r>
        <w:rPr>
          <w:rFonts w:cs="Times New Roman" w:asciiTheme="minorEastAsia" w:hAnsiTheme="minorEastAsia" w:eastAsiaTheme="minorEastAsia"/>
          <w:color w:val="auto"/>
          <w:sz w:val="24"/>
          <w:szCs w:val="24"/>
          <w:highlight w:val="none"/>
        </w:rPr>
        <w:t>解释：</w:t>
      </w:r>
    </w:p>
    <w:p w14:paraId="67B77CA0">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.1</w:t>
      </w:r>
      <w:r>
        <w:rPr>
          <w:rFonts w:cs="Times New Roman" w:asciiTheme="minorEastAsia" w:hAnsiTheme="minorEastAsia" w:eastAsiaTheme="minorEastAsia"/>
          <w:color w:val="auto"/>
          <w:sz w:val="24"/>
          <w:szCs w:val="24"/>
          <w:highlight w:val="none"/>
        </w:rPr>
        <w:t>“合同”系指采购人和中标人签订的载明双方当事人所达成的协议，并包括所有的附件、附录和构成合同的其他文件。</w:t>
      </w:r>
    </w:p>
    <w:p w14:paraId="3E63F6D8">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1.2“合同价”系指根据合同约定，中标人在完全履行合同义务后</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采购人应支付给中标人的价格。</w:t>
      </w:r>
    </w:p>
    <w:p w14:paraId="6299AB5D">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1.3“</w:t>
      </w:r>
      <w:r>
        <w:rPr>
          <w:rFonts w:hint="eastAsia" w:cs="Times New Roman" w:asciiTheme="minorEastAsia" w:hAnsiTheme="minorEastAsia" w:eastAsiaTheme="minorEastAsia"/>
          <w:color w:val="auto"/>
          <w:sz w:val="24"/>
          <w:szCs w:val="24"/>
          <w:highlight w:val="none"/>
        </w:rPr>
        <w:t>服务</w:t>
      </w:r>
      <w:r>
        <w:rPr>
          <w:rFonts w:cs="Times New Roman" w:asciiTheme="minorEastAsia" w:hAnsiTheme="minorEastAsia" w:eastAsiaTheme="minorEastAsia"/>
          <w:color w:val="auto"/>
          <w:sz w:val="24"/>
          <w:szCs w:val="24"/>
          <w:highlight w:val="none"/>
        </w:rPr>
        <w:t>”系指</w:t>
      </w:r>
      <w:r>
        <w:rPr>
          <w:rFonts w:hint="eastAsia" w:cs="Times New Roman" w:asciiTheme="minorEastAsia" w:hAnsiTheme="minorEastAsia" w:eastAsiaTheme="minorEastAsia"/>
          <w:color w:val="auto"/>
          <w:sz w:val="24"/>
          <w:szCs w:val="24"/>
          <w:highlight w:val="none"/>
        </w:rPr>
        <w:t>中标人</w:t>
      </w:r>
      <w:r>
        <w:rPr>
          <w:rFonts w:cs="Times New Roman" w:asciiTheme="minorEastAsia" w:hAnsiTheme="minorEastAsia" w:eastAsiaTheme="minorEastAsia"/>
          <w:color w:val="auto"/>
          <w:sz w:val="24"/>
          <w:szCs w:val="24"/>
          <w:highlight w:val="none"/>
        </w:rPr>
        <w:t>根据合同约定应向采购人</w:t>
      </w:r>
      <w:r>
        <w:rPr>
          <w:rFonts w:hint="eastAsia" w:cs="Times New Roman" w:asciiTheme="minorEastAsia" w:hAnsiTheme="minorEastAsia" w:eastAsiaTheme="minorEastAsia"/>
          <w:color w:val="auto"/>
          <w:sz w:val="24"/>
          <w:szCs w:val="24"/>
          <w:highlight w:val="none"/>
        </w:rPr>
        <w:t>履行</w:t>
      </w:r>
      <w:r>
        <w:rPr>
          <w:rFonts w:cs="Times New Roman" w:asciiTheme="minorEastAsia" w:hAnsiTheme="minorEastAsia" w:eastAsiaTheme="minorEastAsia"/>
          <w:color w:val="auto"/>
          <w:sz w:val="24"/>
          <w:szCs w:val="24"/>
          <w:highlight w:val="none"/>
        </w:rPr>
        <w:t>的</w:t>
      </w:r>
      <w:r>
        <w:rPr>
          <w:rFonts w:hint="eastAsia" w:cs="Times New Roman" w:asciiTheme="minorEastAsia" w:hAnsiTheme="minorEastAsia" w:eastAsiaTheme="minorEastAsia"/>
          <w:color w:val="auto"/>
          <w:sz w:val="24"/>
          <w:szCs w:val="24"/>
          <w:highlight w:val="none"/>
        </w:rPr>
        <w:t>除货物和工程以外的其他政府采购对象，包括采购人自身需要的服务和向社会公众提供的公共服务。</w:t>
      </w:r>
    </w:p>
    <w:p w14:paraId="469A60FC">
      <w:pPr>
        <w:spacing w:line="360" w:lineRule="auto"/>
        <w:ind w:firstLine="435"/>
        <w:rPr>
          <w:rFonts w:cs="Times New Roman" w:asciiTheme="minorEastAsia" w:hAnsiTheme="minorEastAsia" w:eastAsiaTheme="minorEastAsia"/>
          <w:color w:val="auto"/>
          <w:sz w:val="24"/>
          <w:szCs w:val="24"/>
          <w:highlight w:val="none"/>
        </w:rPr>
      </w:pPr>
      <w:bookmarkStart w:id="80" w:name="_Ref467378840"/>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4</w:t>
      </w:r>
      <w:r>
        <w:rPr>
          <w:rFonts w:cs="Times New Roman" w:asciiTheme="minorEastAsia" w:hAnsiTheme="minorEastAsia" w:eastAsiaTheme="minorEastAsia"/>
          <w:color w:val="auto"/>
          <w:sz w:val="24"/>
          <w:szCs w:val="24"/>
          <w:highlight w:val="none"/>
        </w:rPr>
        <w:t>“</w:t>
      </w:r>
      <w:r>
        <w:rPr>
          <w:rFonts w:hint="eastAsia" w:cs="Times New Roman" w:asciiTheme="minorEastAsia" w:hAnsiTheme="minorEastAsia" w:eastAsiaTheme="minorEastAsia"/>
          <w:color w:val="auto"/>
          <w:sz w:val="24"/>
          <w:szCs w:val="24"/>
          <w:highlight w:val="none"/>
        </w:rPr>
        <w:t>甲方</w:t>
      </w:r>
      <w:r>
        <w:rPr>
          <w:rFonts w:cs="Times New Roman" w:asciiTheme="minorEastAsia" w:hAnsiTheme="minorEastAsia" w:eastAsiaTheme="minorEastAsia"/>
          <w:color w:val="auto"/>
          <w:sz w:val="24"/>
          <w:szCs w:val="24"/>
          <w:highlight w:val="none"/>
        </w:rPr>
        <w:t>”系指与</w:t>
      </w:r>
      <w:r>
        <w:rPr>
          <w:rFonts w:hint="eastAsia" w:cs="Times New Roman" w:asciiTheme="minorEastAsia" w:hAnsiTheme="minorEastAsia" w:eastAsiaTheme="minorEastAsia"/>
          <w:color w:val="auto"/>
          <w:sz w:val="24"/>
          <w:szCs w:val="24"/>
          <w:highlight w:val="none"/>
        </w:rPr>
        <w:t>中标人</w:t>
      </w:r>
      <w:r>
        <w:rPr>
          <w:rFonts w:cs="Times New Roman" w:asciiTheme="minorEastAsia" w:hAnsiTheme="minorEastAsia" w:eastAsiaTheme="minorEastAsia"/>
          <w:color w:val="auto"/>
          <w:sz w:val="24"/>
          <w:szCs w:val="24"/>
          <w:highlight w:val="none"/>
        </w:rPr>
        <w:t>签署合同的采购人</w:t>
      </w:r>
      <w:bookmarkEnd w:id="80"/>
      <w:r>
        <w:rPr>
          <w:rFonts w:hint="eastAsia" w:cs="Times New Roman" w:asciiTheme="minorEastAsia" w:hAnsiTheme="minorEastAsia" w:eastAsiaTheme="minorEastAsia"/>
          <w:color w:val="auto"/>
          <w:sz w:val="24"/>
          <w:szCs w:val="24"/>
          <w:highlight w:val="none"/>
        </w:rPr>
        <w:t>；采购人委托采购代理机构代表其与乙方签订合同的，采购人的授权委托书作为合同附件。</w:t>
      </w:r>
    </w:p>
    <w:p w14:paraId="0E74C090">
      <w:pPr>
        <w:spacing w:line="360" w:lineRule="auto"/>
        <w:ind w:firstLine="435"/>
        <w:rPr>
          <w:rFonts w:cs="Times New Roman" w:asciiTheme="minorEastAsia" w:hAnsiTheme="minorEastAsia" w:eastAsiaTheme="minorEastAsia"/>
          <w:color w:val="auto"/>
          <w:sz w:val="24"/>
          <w:szCs w:val="24"/>
          <w:highlight w:val="none"/>
        </w:rPr>
      </w:pPr>
      <w:bookmarkStart w:id="81" w:name="_Ref467379400"/>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5</w:t>
      </w:r>
      <w:r>
        <w:rPr>
          <w:rFonts w:cs="Times New Roman" w:asciiTheme="minorEastAsia" w:hAnsiTheme="minorEastAsia" w:eastAsiaTheme="minorEastAsia"/>
          <w:color w:val="auto"/>
          <w:sz w:val="24"/>
          <w:szCs w:val="24"/>
          <w:highlight w:val="none"/>
        </w:rPr>
        <w:t>“乙方”系指根据合同约定</w:t>
      </w:r>
      <w:r>
        <w:rPr>
          <w:rFonts w:hint="eastAsia" w:cs="Times New Roman" w:asciiTheme="minorEastAsia" w:hAnsiTheme="minorEastAsia" w:eastAsiaTheme="minorEastAsia"/>
          <w:color w:val="auto"/>
          <w:sz w:val="24"/>
          <w:szCs w:val="24"/>
          <w:highlight w:val="none"/>
        </w:rPr>
        <w:t>提供服务</w:t>
      </w:r>
      <w:r>
        <w:rPr>
          <w:rFonts w:cs="Times New Roman" w:asciiTheme="minorEastAsia" w:hAnsiTheme="minorEastAsia" w:eastAsiaTheme="minorEastAsia"/>
          <w:color w:val="auto"/>
          <w:sz w:val="24"/>
          <w:szCs w:val="24"/>
          <w:highlight w:val="none"/>
        </w:rPr>
        <w:t>的中标人</w:t>
      </w:r>
      <w:bookmarkEnd w:id="81"/>
      <w:r>
        <w:rPr>
          <w:rFonts w:hint="eastAsia" w:cs="Times New Roman" w:asciiTheme="minorEastAsia" w:hAnsiTheme="minorEastAsia" w:eastAsiaTheme="minorEastAsia"/>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0F73845">
      <w:pPr>
        <w:spacing w:line="360" w:lineRule="auto"/>
        <w:ind w:firstLine="435"/>
        <w:outlineLvl w:val="3"/>
        <w:rPr>
          <w:rFonts w:cs="Times New Roman" w:asciiTheme="minorEastAsia" w:hAnsiTheme="minorEastAsia" w:eastAsiaTheme="minorEastAsia"/>
          <w:color w:val="auto"/>
          <w:sz w:val="24"/>
          <w:szCs w:val="24"/>
          <w:highlight w:val="none"/>
        </w:rPr>
      </w:pPr>
      <w:bookmarkStart w:id="82" w:name="_Ref467379436"/>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6</w:t>
      </w:r>
      <w:r>
        <w:rPr>
          <w:rFonts w:cs="Times New Roman" w:asciiTheme="minorEastAsia" w:hAnsiTheme="minorEastAsia" w:eastAsiaTheme="minorEastAsia"/>
          <w:color w:val="auto"/>
          <w:sz w:val="24"/>
          <w:szCs w:val="24"/>
          <w:highlight w:val="none"/>
        </w:rPr>
        <w:t>“现场”系指合同约定</w:t>
      </w:r>
      <w:r>
        <w:rPr>
          <w:rFonts w:hint="eastAsia" w:cs="Times New Roman" w:asciiTheme="minorEastAsia" w:hAnsiTheme="minorEastAsia" w:eastAsiaTheme="minorEastAsia"/>
          <w:color w:val="auto"/>
          <w:sz w:val="24"/>
          <w:szCs w:val="24"/>
          <w:highlight w:val="none"/>
        </w:rPr>
        <w:t>提供服务</w:t>
      </w:r>
      <w:r>
        <w:rPr>
          <w:rFonts w:cs="Times New Roman" w:asciiTheme="minorEastAsia" w:hAnsiTheme="minorEastAsia" w:eastAsiaTheme="minorEastAsia"/>
          <w:color w:val="auto"/>
          <w:sz w:val="24"/>
          <w:szCs w:val="24"/>
          <w:highlight w:val="none"/>
        </w:rPr>
        <w:t>的地点。</w:t>
      </w:r>
      <w:bookmarkEnd w:id="82"/>
    </w:p>
    <w:p w14:paraId="23E09B6F">
      <w:pPr>
        <w:spacing w:line="360" w:lineRule="auto"/>
        <w:ind w:firstLine="437"/>
        <w:outlineLvl w:val="2"/>
        <w:rPr>
          <w:rFonts w:cs="Times New Roman" w:asciiTheme="minorEastAsia" w:hAnsiTheme="minorEastAsia" w:eastAsiaTheme="minorEastAsia"/>
          <w:b/>
          <w:bCs/>
          <w:color w:val="auto"/>
          <w:sz w:val="24"/>
          <w:szCs w:val="24"/>
          <w:highlight w:val="none"/>
          <w:lang w:val="zh-CN"/>
        </w:rPr>
      </w:pPr>
      <w:bookmarkStart w:id="83" w:name="_Toc32504"/>
      <w:bookmarkStart w:id="84" w:name="_Toc27635"/>
      <w:bookmarkStart w:id="85" w:name="_Toc279701241"/>
      <w:bookmarkStart w:id="86" w:name="_Toc13336"/>
      <w:bookmarkStart w:id="87" w:name="_Toc259093670"/>
      <w:bookmarkStart w:id="88" w:name="_Toc487900350"/>
      <w:r>
        <w:rPr>
          <w:rFonts w:hint="eastAsia" w:cs="Times New Roman" w:asciiTheme="minorEastAsia" w:hAnsiTheme="minorEastAsia" w:eastAsiaTheme="minorEastAsia"/>
          <w:b/>
          <w:bCs/>
          <w:color w:val="auto"/>
          <w:sz w:val="24"/>
          <w:szCs w:val="24"/>
          <w:highlight w:val="none"/>
          <w:lang w:val="zh-CN"/>
        </w:rPr>
        <w:t>2.</w:t>
      </w:r>
      <w:r>
        <w:rPr>
          <w:rFonts w:cs="Times New Roman" w:asciiTheme="minorEastAsia" w:hAnsiTheme="minorEastAsia" w:eastAsiaTheme="minorEastAsia"/>
          <w:b/>
          <w:bCs/>
          <w:color w:val="auto"/>
          <w:sz w:val="24"/>
          <w:szCs w:val="24"/>
          <w:highlight w:val="none"/>
          <w:lang w:val="zh-CN"/>
        </w:rPr>
        <w:t>2 技术规范</w:t>
      </w:r>
      <w:bookmarkEnd w:id="83"/>
      <w:bookmarkEnd w:id="84"/>
      <w:bookmarkEnd w:id="85"/>
      <w:bookmarkEnd w:id="86"/>
      <w:bookmarkEnd w:id="87"/>
      <w:bookmarkEnd w:id="88"/>
    </w:p>
    <w:p w14:paraId="5A94A692">
      <w:pPr>
        <w:spacing w:line="360" w:lineRule="auto"/>
        <w:ind w:firstLine="435"/>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货物所应遵守的技术规范应与采购文件规定的技术规范和技术规范附件(如果有的话)及其技术规范偏差表(如果被甲方接受的话)相一致</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如果采购文件中没有技术规范的相应说明，那么应以国家有关部门最新颁布的相应标准</w:t>
      </w:r>
      <w:r>
        <w:rPr>
          <w:rFonts w:hint="eastAsia" w:cs="Times New Roman" w:asciiTheme="minorEastAsia" w:hAnsiTheme="minorEastAsia" w:eastAsiaTheme="minorEastAsia"/>
          <w:color w:val="auto"/>
          <w:sz w:val="24"/>
          <w:szCs w:val="24"/>
          <w:highlight w:val="none"/>
        </w:rPr>
        <w:t>和</w:t>
      </w:r>
      <w:r>
        <w:rPr>
          <w:rFonts w:cs="Times New Roman" w:asciiTheme="minorEastAsia" w:hAnsiTheme="minorEastAsia" w:eastAsiaTheme="minorEastAsia"/>
          <w:color w:val="auto"/>
          <w:sz w:val="24"/>
          <w:szCs w:val="24"/>
          <w:highlight w:val="none"/>
        </w:rPr>
        <w:t>规范为准。</w:t>
      </w:r>
    </w:p>
    <w:p w14:paraId="494848E8">
      <w:pPr>
        <w:spacing w:line="360" w:lineRule="auto"/>
        <w:ind w:firstLine="437"/>
        <w:outlineLvl w:val="2"/>
        <w:rPr>
          <w:rFonts w:cs="Times New Roman" w:asciiTheme="minorEastAsia" w:hAnsiTheme="minorEastAsia" w:eastAsiaTheme="minorEastAsia"/>
          <w:b/>
          <w:bCs/>
          <w:color w:val="auto"/>
          <w:sz w:val="24"/>
          <w:szCs w:val="24"/>
          <w:highlight w:val="none"/>
          <w:lang w:val="zh-CN"/>
        </w:rPr>
      </w:pPr>
      <w:bookmarkStart w:id="89" w:name="_Toc27853"/>
      <w:bookmarkStart w:id="90" w:name="_Toc259093671"/>
      <w:bookmarkStart w:id="91" w:name="_Toc31634"/>
      <w:bookmarkStart w:id="92" w:name="_Toc279701242"/>
      <w:bookmarkStart w:id="93" w:name="_Toc487900351"/>
      <w:bookmarkStart w:id="94" w:name="_Toc9829"/>
      <w:r>
        <w:rPr>
          <w:rFonts w:hint="eastAsia" w:cs="Times New Roman" w:asciiTheme="minorEastAsia" w:hAnsiTheme="minorEastAsia" w:eastAsiaTheme="minorEastAsia"/>
          <w:b/>
          <w:bCs/>
          <w:color w:val="auto"/>
          <w:sz w:val="24"/>
          <w:szCs w:val="24"/>
          <w:highlight w:val="none"/>
          <w:lang w:val="zh-CN"/>
        </w:rPr>
        <w:t>2.</w:t>
      </w:r>
      <w:r>
        <w:rPr>
          <w:rFonts w:cs="Times New Roman" w:asciiTheme="minorEastAsia" w:hAnsiTheme="minorEastAsia" w:eastAsiaTheme="minorEastAsia"/>
          <w:b/>
          <w:bCs/>
          <w:color w:val="auto"/>
          <w:sz w:val="24"/>
          <w:szCs w:val="24"/>
          <w:highlight w:val="none"/>
          <w:lang w:val="zh-CN"/>
        </w:rPr>
        <w:t>3 知识产权</w:t>
      </w:r>
      <w:bookmarkEnd w:id="89"/>
      <w:bookmarkEnd w:id="90"/>
      <w:bookmarkEnd w:id="91"/>
      <w:bookmarkEnd w:id="92"/>
      <w:bookmarkEnd w:id="93"/>
      <w:bookmarkEnd w:id="94"/>
    </w:p>
    <w:p w14:paraId="05AF5C16">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2.3.1乙</w:t>
      </w:r>
      <w:r>
        <w:rPr>
          <w:rFonts w:cs="Times New Roman" w:asciiTheme="minorEastAsia" w:hAnsiTheme="minorEastAsia" w:eastAsiaTheme="minorEastAsia"/>
          <w:color w:val="auto"/>
          <w:sz w:val="24"/>
          <w:szCs w:val="24"/>
          <w:highlight w:val="none"/>
        </w:rPr>
        <w:t>方应保证</w:t>
      </w:r>
      <w:r>
        <w:rPr>
          <w:rFonts w:hint="eastAsia" w:cs="Times New Roman" w:asciiTheme="minorEastAsia" w:hAnsiTheme="minorEastAsia" w:eastAsiaTheme="minorEastAsia"/>
          <w:color w:val="auto"/>
          <w:sz w:val="24"/>
          <w:szCs w:val="24"/>
          <w:highlight w:val="none"/>
        </w:rPr>
        <w:t>其提供的服务</w:t>
      </w:r>
      <w:r>
        <w:rPr>
          <w:rFonts w:cs="Times New Roman" w:asciiTheme="minorEastAsia" w:hAnsiTheme="minorEastAsia" w:eastAsiaTheme="minorEastAsia"/>
          <w:color w:val="auto"/>
          <w:sz w:val="24"/>
          <w:szCs w:val="24"/>
          <w:highlight w:val="none"/>
        </w:rPr>
        <w:t>不受任何第三方提出的侵犯其著作权、商标权、专利权等知识产权方面的起诉</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如果任何第三方提出侵权</w:t>
      </w:r>
      <w:r>
        <w:rPr>
          <w:rFonts w:hint="eastAsia" w:cs="Times New Roman" w:asciiTheme="minorEastAsia" w:hAnsiTheme="minorEastAsia" w:eastAsiaTheme="minorEastAsia"/>
          <w:color w:val="auto"/>
          <w:sz w:val="24"/>
          <w:szCs w:val="24"/>
          <w:highlight w:val="none"/>
        </w:rPr>
        <w:t>指控</w:t>
      </w:r>
      <w:r>
        <w:rPr>
          <w:rFonts w:cs="Times New Roman" w:asciiTheme="minorEastAsia" w:hAnsiTheme="minorEastAsia" w:eastAsiaTheme="minorEastAsia"/>
          <w:color w:val="auto"/>
          <w:sz w:val="24"/>
          <w:szCs w:val="24"/>
          <w:highlight w:val="none"/>
        </w:rPr>
        <w:t>，那么乙方须与该第三方交涉并承担由此发生的一切责任、费用和赔偿</w:t>
      </w:r>
      <w:r>
        <w:rPr>
          <w:rFonts w:hint="eastAsia" w:cs="Times New Roman" w:asciiTheme="minorEastAsia" w:hAnsiTheme="minorEastAsia" w:eastAsiaTheme="minorEastAsia"/>
          <w:color w:val="auto"/>
          <w:sz w:val="24"/>
          <w:szCs w:val="24"/>
          <w:highlight w:val="none"/>
        </w:rPr>
        <w:t>；</w:t>
      </w:r>
    </w:p>
    <w:p w14:paraId="140BDEE7">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2.3.2具有知识产权的计算机软件等货物的知识产权归属，</w:t>
      </w:r>
      <w:r>
        <w:rPr>
          <w:rFonts w:cs="Times New Roman" w:asciiTheme="minorEastAsia" w:hAnsiTheme="minorEastAsia" w:eastAsiaTheme="minorEastAsia"/>
          <w:color w:val="auto"/>
          <w:sz w:val="24"/>
          <w:szCs w:val="24"/>
          <w:highlight w:val="none"/>
        </w:rPr>
        <w:t>详见</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w:t>
      </w:r>
    </w:p>
    <w:p w14:paraId="7B746C83">
      <w:pPr>
        <w:spacing w:line="360" w:lineRule="auto"/>
        <w:ind w:firstLine="437"/>
        <w:outlineLvl w:val="2"/>
        <w:rPr>
          <w:rFonts w:cs="Times New Roman" w:asciiTheme="minorEastAsia" w:hAnsiTheme="minorEastAsia" w:eastAsiaTheme="minorEastAsia"/>
          <w:b/>
          <w:bCs/>
          <w:color w:val="auto"/>
          <w:sz w:val="24"/>
          <w:szCs w:val="24"/>
          <w:highlight w:val="none"/>
          <w:lang w:val="zh-CN"/>
        </w:rPr>
      </w:pPr>
      <w:bookmarkStart w:id="95" w:name="_Toc279701245"/>
      <w:bookmarkStart w:id="96" w:name="_Toc259093674"/>
      <w:bookmarkStart w:id="97" w:name="_Toc487900354"/>
      <w:bookmarkStart w:id="98" w:name="_Ref467378591"/>
      <w:bookmarkStart w:id="99" w:name="_Ref467379542"/>
      <w:bookmarkStart w:id="100" w:name="_Ref467379536"/>
      <w:bookmarkStart w:id="101" w:name="_Ref467378541"/>
      <w:bookmarkStart w:id="102" w:name="_Ref467379527"/>
      <w:bookmarkStart w:id="103" w:name="_Toc19074"/>
      <w:bookmarkStart w:id="104" w:name="_Toc30272"/>
      <w:bookmarkStart w:id="105" w:name="_Toc26182"/>
      <w:r>
        <w:rPr>
          <w:rFonts w:hint="eastAsia" w:cs="Times New Roman" w:asciiTheme="minorEastAsia" w:hAnsiTheme="minorEastAsia" w:eastAsiaTheme="minorEastAsia"/>
          <w:b/>
          <w:bCs/>
          <w:color w:val="auto"/>
          <w:sz w:val="24"/>
          <w:szCs w:val="24"/>
          <w:highlight w:val="none"/>
          <w:lang w:val="zh-CN"/>
        </w:rPr>
        <w:t>2.</w:t>
      </w:r>
      <w:bookmarkEnd w:id="95"/>
      <w:bookmarkEnd w:id="96"/>
      <w:bookmarkEnd w:id="97"/>
      <w:bookmarkEnd w:id="98"/>
      <w:bookmarkEnd w:id="99"/>
      <w:bookmarkEnd w:id="100"/>
      <w:bookmarkEnd w:id="101"/>
      <w:bookmarkEnd w:id="102"/>
      <w:r>
        <w:rPr>
          <w:rFonts w:cs="Times New Roman" w:asciiTheme="minorEastAsia" w:hAnsiTheme="minorEastAsia" w:eastAsiaTheme="minorEastAsia"/>
          <w:b/>
          <w:bCs/>
          <w:color w:val="auto"/>
          <w:sz w:val="24"/>
          <w:szCs w:val="24"/>
          <w:highlight w:val="none"/>
          <w:lang w:val="zh-CN"/>
        </w:rPr>
        <w:t xml:space="preserve">4 </w:t>
      </w:r>
      <w:r>
        <w:rPr>
          <w:rFonts w:hint="eastAsia" w:cs="Times New Roman" w:asciiTheme="minorEastAsia" w:hAnsiTheme="minorEastAsia" w:eastAsiaTheme="minorEastAsia"/>
          <w:b/>
          <w:bCs/>
          <w:color w:val="auto"/>
          <w:sz w:val="24"/>
          <w:szCs w:val="24"/>
          <w:highlight w:val="none"/>
          <w:lang w:val="zh-CN"/>
        </w:rPr>
        <w:t>履约检查和问题反馈</w:t>
      </w:r>
      <w:bookmarkEnd w:id="103"/>
      <w:bookmarkEnd w:id="104"/>
      <w:bookmarkEnd w:id="105"/>
    </w:p>
    <w:p w14:paraId="018EC894">
      <w:pPr>
        <w:spacing w:line="360" w:lineRule="auto"/>
        <w:ind w:firstLine="435"/>
        <w:rPr>
          <w:rFonts w:cs="Times New Roman" w:asciiTheme="minorEastAsia" w:hAnsiTheme="minorEastAsia" w:eastAsiaTheme="minorEastAsia"/>
          <w:color w:val="auto"/>
          <w:sz w:val="24"/>
          <w:szCs w:val="24"/>
          <w:highlight w:val="none"/>
        </w:rPr>
      </w:pPr>
      <w:bookmarkStart w:id="106" w:name="_Toc186431854"/>
      <w:bookmarkStart w:id="107" w:name="_Toc279701247"/>
      <w:bookmarkStart w:id="108" w:name="_Toc487900357"/>
      <w:bookmarkStart w:id="109" w:name="_Toc259093676"/>
      <w:bookmarkStart w:id="110" w:name="_Ref467379793"/>
      <w:bookmarkStart w:id="111" w:name="_Ref467379807"/>
      <w:r>
        <w:rPr>
          <w:rFonts w:hint="eastAsia" w:cs="Times New Roman" w:asciiTheme="minorEastAsia" w:hAnsiTheme="minorEastAsia" w:eastAsiaTheme="minorEastAsia"/>
          <w:color w:val="auto"/>
          <w:sz w:val="24"/>
          <w:szCs w:val="24"/>
          <w:highlight w:val="none"/>
        </w:rPr>
        <w:t>2.4</w:t>
      </w:r>
      <w:r>
        <w:rPr>
          <w:rFonts w:cs="Times New Roman" w:asciiTheme="minorEastAsia" w:hAnsiTheme="minorEastAsia" w:eastAsiaTheme="minorEastAsia"/>
          <w:color w:val="auto"/>
          <w:sz w:val="24"/>
          <w:szCs w:val="24"/>
          <w:highlight w:val="none"/>
        </w:rPr>
        <w:t>.1甲方</w:t>
      </w:r>
      <w:r>
        <w:rPr>
          <w:rFonts w:hint="eastAsia" w:cs="Times New Roman" w:asciiTheme="minorEastAsia" w:hAnsiTheme="minorEastAsia" w:eastAsiaTheme="minorEastAsia"/>
          <w:color w:val="auto"/>
          <w:sz w:val="24"/>
          <w:szCs w:val="24"/>
          <w:highlight w:val="none"/>
        </w:rPr>
        <w:t>有权</w:t>
      </w:r>
      <w:r>
        <w:rPr>
          <w:rFonts w:cs="Times New Roman" w:asciiTheme="minorEastAsia" w:hAnsiTheme="minorEastAsia" w:eastAsiaTheme="minorEastAsia"/>
          <w:color w:val="auto"/>
          <w:sz w:val="24"/>
          <w:szCs w:val="24"/>
          <w:highlight w:val="none"/>
        </w:rPr>
        <w:t>在其认为必要时</w:t>
      </w:r>
      <w:r>
        <w:rPr>
          <w:rFonts w:hint="eastAsia" w:cs="Times New Roman" w:asciiTheme="minorEastAsia" w:hAnsiTheme="minorEastAsia" w:eastAsiaTheme="minorEastAsia"/>
          <w:color w:val="auto"/>
          <w:sz w:val="24"/>
          <w:szCs w:val="24"/>
          <w:highlight w:val="none"/>
        </w:rPr>
        <w:t>，对乙方是否能够按照合同约定提供服务进行履约检查，以确保乙方所提供的服务能够依约满足甲方项目需求，但不得因履约检查妨碍乙方的正常工作，乙方应予积极配合；</w:t>
      </w:r>
    </w:p>
    <w:p w14:paraId="63BBDF0E">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4</w:t>
      </w:r>
      <w:r>
        <w:rPr>
          <w:rFonts w:hint="eastAsia" w:cs="Times New Roman" w:asciiTheme="minorEastAsia" w:hAnsiTheme="minorEastAsia" w:eastAsiaTheme="minorEastAsia"/>
          <w:color w:val="auto"/>
          <w:sz w:val="24"/>
          <w:szCs w:val="24"/>
          <w:highlight w:val="none"/>
        </w:rPr>
        <w:t>.2合同履行期间，甲方有权将履行过程中出现的问题反馈给乙方，双方当事人应以书面形式约定需要完善和改进的内容</w:t>
      </w:r>
      <w:bookmarkEnd w:id="106"/>
      <w:bookmarkStart w:id="112" w:name="_Toc186431855"/>
      <w:r>
        <w:rPr>
          <w:rFonts w:hint="eastAsia" w:cs="Times New Roman" w:asciiTheme="minorEastAsia" w:hAnsiTheme="minorEastAsia" w:eastAsiaTheme="minorEastAsia"/>
          <w:color w:val="auto"/>
          <w:sz w:val="24"/>
          <w:szCs w:val="24"/>
          <w:highlight w:val="none"/>
        </w:rPr>
        <w:t>。</w:t>
      </w:r>
    </w:p>
    <w:bookmarkEnd w:id="112"/>
    <w:p w14:paraId="4FC9F3D9">
      <w:pPr>
        <w:spacing w:line="360" w:lineRule="auto"/>
        <w:ind w:firstLine="437"/>
        <w:outlineLvl w:val="2"/>
        <w:rPr>
          <w:rFonts w:cs="Times New Roman" w:asciiTheme="minorEastAsia" w:hAnsiTheme="minorEastAsia" w:eastAsiaTheme="minorEastAsia"/>
          <w:b/>
          <w:bCs/>
          <w:color w:val="auto"/>
          <w:sz w:val="24"/>
          <w:szCs w:val="24"/>
          <w:highlight w:val="none"/>
          <w:lang w:val="zh-CN"/>
        </w:rPr>
      </w:pPr>
      <w:bookmarkStart w:id="113" w:name="_Toc7836"/>
      <w:bookmarkStart w:id="114" w:name="_Toc28451"/>
      <w:bookmarkStart w:id="115" w:name="_Toc19219"/>
      <w:r>
        <w:rPr>
          <w:rFonts w:hint="eastAsia" w:cs="Times New Roman" w:asciiTheme="minorEastAsia" w:hAnsiTheme="minorEastAsia" w:eastAsiaTheme="minorEastAsia"/>
          <w:b/>
          <w:bCs/>
          <w:color w:val="auto"/>
          <w:sz w:val="24"/>
          <w:szCs w:val="24"/>
          <w:highlight w:val="none"/>
          <w:lang w:val="zh-CN"/>
        </w:rPr>
        <w:t>2.</w:t>
      </w:r>
      <w:r>
        <w:rPr>
          <w:rFonts w:cs="Times New Roman" w:asciiTheme="minorEastAsia" w:hAnsiTheme="minorEastAsia" w:eastAsiaTheme="minorEastAsia"/>
          <w:b/>
          <w:bCs/>
          <w:color w:val="auto"/>
          <w:sz w:val="24"/>
          <w:szCs w:val="24"/>
          <w:highlight w:val="none"/>
          <w:lang w:val="zh-CN"/>
        </w:rPr>
        <w:t>5</w:t>
      </w:r>
      <w:r>
        <w:rPr>
          <w:rFonts w:hint="eastAsia" w:cs="Times New Roman" w:asciiTheme="minorEastAsia" w:hAnsiTheme="minorEastAsia" w:eastAsiaTheme="minorEastAsia"/>
          <w:b/>
          <w:bCs/>
          <w:color w:val="auto"/>
          <w:sz w:val="24"/>
          <w:szCs w:val="24"/>
          <w:highlight w:val="none"/>
          <w:lang w:val="zh-CN"/>
        </w:rPr>
        <w:t xml:space="preserve"> </w:t>
      </w:r>
      <w:r>
        <w:rPr>
          <w:rFonts w:cs="Times New Roman" w:asciiTheme="minorEastAsia" w:hAnsiTheme="minorEastAsia" w:eastAsiaTheme="minorEastAsia"/>
          <w:b/>
          <w:bCs/>
          <w:color w:val="auto"/>
          <w:sz w:val="24"/>
          <w:szCs w:val="24"/>
          <w:highlight w:val="none"/>
          <w:lang w:val="zh-CN"/>
        </w:rPr>
        <w:t>结算方式和付款条件</w:t>
      </w:r>
      <w:bookmarkEnd w:id="107"/>
      <w:bookmarkEnd w:id="108"/>
      <w:bookmarkEnd w:id="109"/>
      <w:bookmarkEnd w:id="110"/>
      <w:bookmarkEnd w:id="111"/>
      <w:bookmarkEnd w:id="113"/>
      <w:bookmarkEnd w:id="114"/>
      <w:bookmarkEnd w:id="115"/>
    </w:p>
    <w:p w14:paraId="21648E51">
      <w:pPr>
        <w:spacing w:line="360" w:lineRule="auto"/>
        <w:ind w:firstLine="435"/>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详见</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w:t>
      </w:r>
    </w:p>
    <w:p w14:paraId="16897404">
      <w:pPr>
        <w:spacing w:line="360" w:lineRule="auto"/>
        <w:ind w:firstLine="437"/>
        <w:outlineLvl w:val="2"/>
        <w:rPr>
          <w:rFonts w:cs="Times New Roman" w:asciiTheme="minorEastAsia" w:hAnsiTheme="minorEastAsia" w:eastAsiaTheme="minorEastAsia"/>
          <w:b/>
          <w:bCs/>
          <w:color w:val="auto"/>
          <w:sz w:val="24"/>
          <w:szCs w:val="24"/>
          <w:highlight w:val="none"/>
          <w:lang w:val="zh-CN"/>
        </w:rPr>
      </w:pPr>
      <w:bookmarkStart w:id="116" w:name="_Ref467379863"/>
      <w:bookmarkStart w:id="117" w:name="_Ref467379852"/>
      <w:bookmarkStart w:id="118" w:name="_Toc487900358"/>
      <w:bookmarkStart w:id="119" w:name="_Toc259093677"/>
      <w:bookmarkStart w:id="120" w:name="_Ref467379923"/>
      <w:bookmarkStart w:id="121" w:name="_Toc279701248"/>
      <w:bookmarkStart w:id="122" w:name="_Toc3225"/>
      <w:bookmarkStart w:id="123" w:name="_Toc16110"/>
      <w:bookmarkStart w:id="124" w:name="_Toc774"/>
      <w:r>
        <w:rPr>
          <w:rFonts w:hint="eastAsia" w:cs="Times New Roman" w:asciiTheme="minorEastAsia" w:hAnsiTheme="minorEastAsia" w:eastAsiaTheme="minorEastAsia"/>
          <w:b/>
          <w:bCs/>
          <w:color w:val="auto"/>
          <w:sz w:val="24"/>
          <w:szCs w:val="24"/>
          <w:highlight w:val="none"/>
          <w:lang w:val="zh-CN"/>
        </w:rPr>
        <w:t>2.</w:t>
      </w:r>
      <w:r>
        <w:rPr>
          <w:rFonts w:cs="Times New Roman" w:asciiTheme="minorEastAsia" w:hAnsiTheme="minorEastAsia" w:eastAsiaTheme="minorEastAsia"/>
          <w:b/>
          <w:bCs/>
          <w:color w:val="auto"/>
          <w:sz w:val="24"/>
          <w:szCs w:val="24"/>
          <w:highlight w:val="none"/>
          <w:lang w:val="zh-CN"/>
        </w:rPr>
        <w:t>6</w:t>
      </w:r>
      <w:r>
        <w:rPr>
          <w:rFonts w:hint="eastAsia" w:cs="Times New Roman" w:asciiTheme="minorEastAsia" w:hAnsiTheme="minorEastAsia" w:eastAsiaTheme="minorEastAsia"/>
          <w:b/>
          <w:bCs/>
          <w:color w:val="auto"/>
          <w:sz w:val="24"/>
          <w:szCs w:val="24"/>
          <w:highlight w:val="none"/>
          <w:lang w:val="zh-CN"/>
        </w:rPr>
        <w:t xml:space="preserve"> </w:t>
      </w:r>
      <w:r>
        <w:rPr>
          <w:rFonts w:cs="Times New Roman" w:asciiTheme="minorEastAsia" w:hAnsiTheme="minorEastAsia" w:eastAsiaTheme="minorEastAsia"/>
          <w:b/>
          <w:bCs/>
          <w:color w:val="auto"/>
          <w:sz w:val="24"/>
          <w:szCs w:val="24"/>
          <w:highlight w:val="none"/>
          <w:lang w:val="zh-CN"/>
        </w:rPr>
        <w:t>技术资料</w:t>
      </w:r>
      <w:bookmarkEnd w:id="116"/>
      <w:bookmarkEnd w:id="117"/>
      <w:bookmarkEnd w:id="118"/>
      <w:bookmarkEnd w:id="119"/>
      <w:bookmarkEnd w:id="120"/>
      <w:bookmarkEnd w:id="121"/>
      <w:r>
        <w:rPr>
          <w:rFonts w:cs="Times New Roman" w:asciiTheme="minorEastAsia" w:hAnsiTheme="minorEastAsia" w:eastAsiaTheme="minorEastAsia"/>
          <w:b/>
          <w:bCs/>
          <w:color w:val="auto"/>
          <w:sz w:val="24"/>
          <w:szCs w:val="24"/>
          <w:highlight w:val="none"/>
          <w:lang w:val="zh-CN"/>
        </w:rPr>
        <w:t>和保密义务</w:t>
      </w:r>
      <w:bookmarkEnd w:id="122"/>
      <w:bookmarkEnd w:id="123"/>
      <w:bookmarkEnd w:id="124"/>
    </w:p>
    <w:p w14:paraId="5B0BBE44">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6.1</w:t>
      </w:r>
      <w:r>
        <w:rPr>
          <w:rFonts w:hint="eastAsia" w:cs="Times New Roman" w:asciiTheme="minorEastAsia" w:hAnsiTheme="minorEastAsia" w:eastAsiaTheme="minorEastAsia"/>
          <w:color w:val="auto"/>
          <w:sz w:val="24"/>
          <w:szCs w:val="24"/>
          <w:highlight w:val="none"/>
        </w:rPr>
        <w:t>乙方有权依据合同约定和项目需要，向甲方了解有关情况，调阅有关资料等，甲方应予积极配合；</w:t>
      </w:r>
    </w:p>
    <w:p w14:paraId="548CB4D1">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6</w:t>
      </w:r>
      <w:r>
        <w:rPr>
          <w:rFonts w:hint="eastAsia" w:cs="Times New Roman" w:asciiTheme="minorEastAsia" w:hAnsiTheme="minorEastAsia" w:eastAsiaTheme="minorEastAsia"/>
          <w:color w:val="auto"/>
          <w:sz w:val="24"/>
          <w:szCs w:val="24"/>
          <w:highlight w:val="none"/>
        </w:rPr>
        <w:t>.2乙方有义务妥善保管和保护由甲方提供的前款信息和资料等；</w:t>
      </w:r>
    </w:p>
    <w:p w14:paraId="52E339C0">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6.</w:t>
      </w:r>
      <w:r>
        <w:rPr>
          <w:rFonts w:hint="eastAsia" w:cs="Times New Roman" w:asciiTheme="minorEastAsia" w:hAnsiTheme="minorEastAsia" w:eastAsiaTheme="minorEastAsia"/>
          <w:color w:val="auto"/>
          <w:sz w:val="24"/>
          <w:szCs w:val="24"/>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cs="Times New Roman" w:asciiTheme="minorEastAsia" w:hAnsiTheme="minorEastAsia" w:eastAsiaTheme="minorEastAsia"/>
          <w:color w:val="auto"/>
          <w:sz w:val="24"/>
          <w:szCs w:val="24"/>
          <w:highlight w:val="none"/>
        </w:rPr>
        <w:t>技术情报</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技术资料</w:t>
      </w:r>
      <w:r>
        <w:rPr>
          <w:rFonts w:hint="eastAsia" w:cs="Times New Roman" w:asciiTheme="minorEastAsia" w:hAnsiTheme="minorEastAsia" w:eastAsiaTheme="minorEastAsia"/>
          <w:color w:val="auto"/>
          <w:sz w:val="24"/>
          <w:szCs w:val="24"/>
          <w:highlight w:val="none"/>
        </w:rPr>
        <w:t>、商业秘密和商业信息等，并采取一切合理和必要措施和方式防止任何第三方接触到对方当事人的上述保密信息和资料。</w:t>
      </w:r>
    </w:p>
    <w:p w14:paraId="51A48EBA">
      <w:pPr>
        <w:spacing w:line="360" w:lineRule="auto"/>
        <w:ind w:firstLine="437"/>
        <w:outlineLvl w:val="2"/>
        <w:rPr>
          <w:rFonts w:cs="Times New Roman" w:asciiTheme="minorEastAsia" w:hAnsiTheme="minorEastAsia" w:eastAsiaTheme="minorEastAsia"/>
          <w:b/>
          <w:bCs/>
          <w:color w:val="auto"/>
          <w:sz w:val="24"/>
          <w:szCs w:val="24"/>
          <w:highlight w:val="none"/>
          <w:lang w:val="zh-CN"/>
        </w:rPr>
      </w:pPr>
      <w:bookmarkStart w:id="125" w:name="_Toc7860"/>
      <w:r>
        <w:rPr>
          <w:rFonts w:cs="Times New Roman" w:asciiTheme="minorEastAsia" w:hAnsiTheme="minorEastAsia" w:eastAsiaTheme="minorEastAsia"/>
          <w:b/>
          <w:bCs/>
          <w:color w:val="auto"/>
          <w:sz w:val="24"/>
          <w:szCs w:val="24"/>
          <w:highlight w:val="none"/>
          <w:lang w:val="zh-CN"/>
        </w:rPr>
        <w:t>2.7 质量保证</w:t>
      </w:r>
      <w:bookmarkEnd w:id="125"/>
    </w:p>
    <w:p w14:paraId="25BE6806">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7</w:t>
      </w:r>
      <w:r>
        <w:rPr>
          <w:rFonts w:hint="eastAsia" w:cs="Times New Roman" w:asciiTheme="minorEastAsia" w:hAnsiTheme="minorEastAsia" w:eastAsiaTheme="minorEastAsia"/>
          <w:color w:val="auto"/>
          <w:sz w:val="24"/>
          <w:szCs w:val="24"/>
          <w:highlight w:val="none"/>
        </w:rPr>
        <w:t>.1乙方应建立和完善履行合同的内部质量保证体系，并提供相关内部规章制度给甲方，以便甲方进行监督检查；</w:t>
      </w:r>
    </w:p>
    <w:p w14:paraId="521EFAF6">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7</w:t>
      </w:r>
      <w:r>
        <w:rPr>
          <w:rFonts w:hint="eastAsia" w:cs="Times New Roman" w:asciiTheme="minorEastAsia" w:hAnsiTheme="minorEastAsia" w:eastAsiaTheme="minorEastAsia"/>
          <w:color w:val="auto"/>
          <w:sz w:val="24"/>
          <w:szCs w:val="24"/>
          <w:highlight w:val="none"/>
        </w:rPr>
        <w:t>.2乙方应保证履行合同的人员数量和素质、软件和硬件设备的配置、场地、环境和设施等满足全面履行合同的要求，并应接受甲方的监督检查。</w:t>
      </w:r>
    </w:p>
    <w:p w14:paraId="35A8CE74">
      <w:pPr>
        <w:spacing w:line="360" w:lineRule="auto"/>
        <w:ind w:firstLine="437"/>
        <w:outlineLvl w:val="2"/>
        <w:rPr>
          <w:rFonts w:cs="Times New Roman" w:asciiTheme="minorEastAsia" w:hAnsiTheme="minorEastAsia" w:eastAsiaTheme="minorEastAsia"/>
          <w:b/>
          <w:color w:val="auto"/>
          <w:sz w:val="24"/>
          <w:szCs w:val="24"/>
          <w:highlight w:val="none"/>
        </w:rPr>
      </w:pPr>
      <w:bookmarkStart w:id="126" w:name="_Toc22267"/>
      <w:r>
        <w:rPr>
          <w:rFonts w:hint="eastAsia" w:cs="Times New Roman" w:asciiTheme="minorEastAsia" w:hAnsiTheme="minorEastAsia" w:eastAsiaTheme="minorEastAsia"/>
          <w:b/>
          <w:color w:val="auto"/>
          <w:sz w:val="24"/>
          <w:szCs w:val="24"/>
          <w:highlight w:val="none"/>
        </w:rPr>
        <w:t>2.8 延迟履行</w:t>
      </w:r>
      <w:bookmarkEnd w:id="126"/>
    </w:p>
    <w:p w14:paraId="2DCBA809">
      <w:pPr>
        <w:spacing w:line="360" w:lineRule="auto"/>
        <w:ind w:firstLine="435"/>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在合同履行过程中，如果乙方遇到不能按时</w:t>
      </w:r>
      <w:r>
        <w:rPr>
          <w:rFonts w:hint="eastAsia" w:cs="Times New Roman" w:asciiTheme="minorEastAsia" w:hAnsiTheme="minorEastAsia" w:eastAsiaTheme="minorEastAsia"/>
          <w:color w:val="auto"/>
          <w:sz w:val="24"/>
          <w:szCs w:val="24"/>
          <w:highlight w:val="none"/>
        </w:rPr>
        <w:t>提供服务</w:t>
      </w:r>
      <w:r>
        <w:rPr>
          <w:rFonts w:cs="Times New Roman" w:asciiTheme="minorEastAsia" w:hAnsiTheme="minorEastAsia" w:eastAsiaTheme="minorEastAsia"/>
          <w:color w:val="auto"/>
          <w:sz w:val="24"/>
          <w:szCs w:val="24"/>
          <w:highlight w:val="none"/>
        </w:rPr>
        <w:t>的情况，应及时以书面形式将不能按时</w:t>
      </w:r>
      <w:r>
        <w:rPr>
          <w:rFonts w:hint="eastAsia" w:cs="Times New Roman" w:asciiTheme="minorEastAsia" w:hAnsiTheme="minorEastAsia" w:eastAsiaTheme="minorEastAsia"/>
          <w:color w:val="auto"/>
          <w:sz w:val="24"/>
          <w:szCs w:val="24"/>
          <w:highlight w:val="none"/>
        </w:rPr>
        <w:t>提供服务</w:t>
      </w:r>
      <w:r>
        <w:rPr>
          <w:rFonts w:cs="Times New Roman" w:asciiTheme="minorEastAsia" w:hAnsiTheme="minorEastAsia" w:eastAsiaTheme="minorEastAsia"/>
          <w:color w:val="auto"/>
          <w:sz w:val="24"/>
          <w:szCs w:val="24"/>
          <w:highlight w:val="none"/>
        </w:rPr>
        <w:t>的理由、预期延误时间通知甲方</w:t>
      </w:r>
      <w:r>
        <w:rPr>
          <w:rFonts w:hint="eastAsia" w:cs="Times New Roman" w:asciiTheme="minorEastAsia" w:hAnsiTheme="minorEastAsia" w:eastAsiaTheme="minorEastAsia"/>
          <w:color w:val="auto"/>
          <w:sz w:val="24"/>
          <w:szCs w:val="24"/>
          <w:highlight w:val="none"/>
        </w:rPr>
        <w:t>；甲</w:t>
      </w:r>
      <w:r>
        <w:rPr>
          <w:rFonts w:cs="Times New Roman" w:asciiTheme="minorEastAsia" w:hAnsiTheme="minorEastAsia" w:eastAsiaTheme="minorEastAsia"/>
          <w:color w:val="auto"/>
          <w:sz w:val="24"/>
          <w:szCs w:val="24"/>
          <w:highlight w:val="none"/>
        </w:rPr>
        <w:t>方收到乙方通知后，认为其理由正当的，可以书面形式酌情同意乙方可以延长</w:t>
      </w:r>
      <w:r>
        <w:rPr>
          <w:rFonts w:hint="eastAsia" w:cs="Times New Roman" w:asciiTheme="minorEastAsia" w:hAnsiTheme="minorEastAsia" w:eastAsiaTheme="minorEastAsia"/>
          <w:color w:val="auto"/>
          <w:sz w:val="24"/>
          <w:szCs w:val="24"/>
          <w:highlight w:val="none"/>
        </w:rPr>
        <w:t>履行</w:t>
      </w:r>
      <w:r>
        <w:rPr>
          <w:rFonts w:cs="Times New Roman" w:asciiTheme="minorEastAsia" w:hAnsiTheme="minorEastAsia" w:eastAsiaTheme="minorEastAsia"/>
          <w:color w:val="auto"/>
          <w:sz w:val="24"/>
          <w:szCs w:val="24"/>
          <w:highlight w:val="none"/>
        </w:rPr>
        <w:t>的具体时间。</w:t>
      </w:r>
    </w:p>
    <w:p w14:paraId="3AFCEA6B">
      <w:pPr>
        <w:spacing w:line="360" w:lineRule="auto"/>
        <w:ind w:firstLine="437"/>
        <w:outlineLvl w:val="2"/>
        <w:rPr>
          <w:rFonts w:cs="Times New Roman" w:asciiTheme="minorEastAsia" w:hAnsiTheme="minorEastAsia" w:eastAsiaTheme="minorEastAsia"/>
          <w:b/>
          <w:bCs/>
          <w:color w:val="auto"/>
          <w:sz w:val="24"/>
          <w:szCs w:val="24"/>
          <w:highlight w:val="none"/>
          <w:lang w:val="zh-CN"/>
        </w:rPr>
      </w:pPr>
      <w:bookmarkStart w:id="127" w:name="_Toc7502"/>
      <w:bookmarkStart w:id="128" w:name="_Toc279701254"/>
      <w:bookmarkStart w:id="129" w:name="_Ref467378121"/>
      <w:bookmarkStart w:id="130" w:name="_Toc487900364"/>
      <w:bookmarkStart w:id="131" w:name="_Toc259093683"/>
      <w:r>
        <w:rPr>
          <w:rFonts w:cs="Times New Roman" w:asciiTheme="minorEastAsia" w:hAnsiTheme="minorEastAsia" w:eastAsiaTheme="minorEastAsia"/>
          <w:b/>
          <w:bCs/>
          <w:color w:val="auto"/>
          <w:sz w:val="24"/>
          <w:szCs w:val="24"/>
          <w:highlight w:val="none"/>
          <w:lang w:val="zh-CN"/>
        </w:rPr>
        <w:t>2.9 合同变更</w:t>
      </w:r>
      <w:bookmarkEnd w:id="127"/>
    </w:p>
    <w:p w14:paraId="3D5D511C">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9</w:t>
      </w:r>
      <w:r>
        <w:rPr>
          <w:rFonts w:hint="eastAsia" w:cs="Times New Roman" w:asciiTheme="minorEastAsia" w:hAnsiTheme="minorEastAsia" w:eastAsiaTheme="minorEastAsia"/>
          <w:color w:val="auto"/>
          <w:sz w:val="24"/>
          <w:szCs w:val="24"/>
          <w:highlight w:val="none"/>
        </w:rPr>
        <w:t>.1双方当事人协商一致，可以签订书面补充合同的形式变更合同，但不得违背采购文件确定的事项；</w:t>
      </w:r>
    </w:p>
    <w:p w14:paraId="4617F1AB">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9</w:t>
      </w:r>
      <w:r>
        <w:rPr>
          <w:rFonts w:hint="eastAsia" w:cs="Times New Roman" w:asciiTheme="minorEastAsia" w:hAnsiTheme="minorEastAsia" w:eastAsiaTheme="minorEastAsia"/>
          <w:color w:val="auto"/>
          <w:sz w:val="24"/>
          <w:szCs w:val="24"/>
          <w:highlight w:val="none"/>
        </w:rPr>
        <w:t>.2合同继续履行将损害国家利益和社会公共利益的，双方当事人应当以书面形式变更合同。有过错的一方应当承担赔偿责任，双方当事人都有过错的，各自承担相应的责任。</w:t>
      </w:r>
      <w:bookmarkStart w:id="132" w:name="_Toc259093688"/>
      <w:bookmarkStart w:id="133" w:name="_Toc487900369"/>
      <w:bookmarkStart w:id="134" w:name="_Toc279701259"/>
    </w:p>
    <w:p w14:paraId="0132884F">
      <w:pPr>
        <w:spacing w:line="360" w:lineRule="auto"/>
        <w:ind w:firstLine="437"/>
        <w:outlineLvl w:val="2"/>
        <w:rPr>
          <w:rFonts w:cs="Times New Roman" w:asciiTheme="minorEastAsia" w:hAnsiTheme="minorEastAsia" w:eastAsiaTheme="minorEastAsia"/>
          <w:b/>
          <w:bCs/>
          <w:color w:val="auto"/>
          <w:sz w:val="24"/>
          <w:szCs w:val="24"/>
          <w:highlight w:val="none"/>
          <w:lang w:val="zh-CN"/>
        </w:rPr>
      </w:pPr>
      <w:bookmarkStart w:id="135" w:name="_Toc10366"/>
      <w:bookmarkStart w:id="136" w:name="_Toc15237"/>
      <w:bookmarkStart w:id="137" w:name="_Toc22955"/>
      <w:r>
        <w:rPr>
          <w:rFonts w:hint="eastAsia" w:cs="Times New Roman" w:asciiTheme="minorEastAsia" w:hAnsiTheme="minorEastAsia" w:eastAsiaTheme="minorEastAsia"/>
          <w:b/>
          <w:bCs/>
          <w:color w:val="auto"/>
          <w:sz w:val="24"/>
          <w:szCs w:val="24"/>
          <w:highlight w:val="none"/>
          <w:lang w:val="zh-CN"/>
        </w:rPr>
        <w:t>2.1</w:t>
      </w:r>
      <w:r>
        <w:rPr>
          <w:rFonts w:cs="Times New Roman" w:asciiTheme="minorEastAsia" w:hAnsiTheme="minorEastAsia" w:eastAsiaTheme="minorEastAsia"/>
          <w:b/>
          <w:bCs/>
          <w:color w:val="auto"/>
          <w:sz w:val="24"/>
          <w:szCs w:val="24"/>
          <w:highlight w:val="none"/>
          <w:lang w:val="zh-CN"/>
        </w:rPr>
        <w:t>0</w:t>
      </w:r>
      <w:r>
        <w:rPr>
          <w:rFonts w:hint="eastAsia" w:cs="Times New Roman" w:asciiTheme="minorEastAsia" w:hAnsiTheme="minorEastAsia" w:eastAsiaTheme="minorEastAsia"/>
          <w:b/>
          <w:bCs/>
          <w:color w:val="auto"/>
          <w:sz w:val="24"/>
          <w:szCs w:val="24"/>
          <w:highlight w:val="none"/>
          <w:lang w:val="zh-CN"/>
        </w:rPr>
        <w:t xml:space="preserve"> </w:t>
      </w:r>
      <w:r>
        <w:rPr>
          <w:rFonts w:cs="Times New Roman" w:asciiTheme="minorEastAsia" w:hAnsiTheme="minorEastAsia" w:eastAsiaTheme="minorEastAsia"/>
          <w:b/>
          <w:bCs/>
          <w:color w:val="auto"/>
          <w:sz w:val="24"/>
          <w:szCs w:val="24"/>
          <w:highlight w:val="none"/>
          <w:lang w:val="zh-CN"/>
        </w:rPr>
        <w:t>合同转让</w:t>
      </w:r>
      <w:bookmarkEnd w:id="132"/>
      <w:bookmarkEnd w:id="133"/>
      <w:bookmarkEnd w:id="134"/>
      <w:r>
        <w:rPr>
          <w:rFonts w:cs="Times New Roman" w:asciiTheme="minorEastAsia" w:hAnsiTheme="minorEastAsia" w:eastAsiaTheme="minorEastAsia"/>
          <w:b/>
          <w:bCs/>
          <w:color w:val="auto"/>
          <w:sz w:val="24"/>
          <w:szCs w:val="24"/>
          <w:highlight w:val="none"/>
          <w:lang w:val="zh-CN"/>
        </w:rPr>
        <w:t>和分包</w:t>
      </w:r>
      <w:bookmarkEnd w:id="135"/>
      <w:bookmarkEnd w:id="136"/>
      <w:bookmarkEnd w:id="137"/>
    </w:p>
    <w:p w14:paraId="7BAB3E54">
      <w:pPr>
        <w:spacing w:line="360" w:lineRule="auto"/>
        <w:ind w:firstLine="435"/>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合同的权利义务依法不</w:t>
      </w:r>
      <w:r>
        <w:rPr>
          <w:rFonts w:hint="eastAsia" w:cs="Times New Roman" w:asciiTheme="minorEastAsia" w:hAnsiTheme="minorEastAsia" w:eastAsiaTheme="minorEastAsia"/>
          <w:color w:val="auto"/>
          <w:sz w:val="24"/>
          <w:szCs w:val="24"/>
          <w:highlight w:val="none"/>
        </w:rPr>
        <w:t>得</w:t>
      </w:r>
      <w:r>
        <w:rPr>
          <w:rFonts w:cs="Times New Roman" w:asciiTheme="minorEastAsia" w:hAnsiTheme="minorEastAsia" w:eastAsiaTheme="minorEastAsia"/>
          <w:color w:val="auto"/>
          <w:sz w:val="24"/>
          <w:szCs w:val="24"/>
          <w:highlight w:val="none"/>
        </w:rPr>
        <w:t>转让</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但经甲方</w:t>
      </w:r>
      <w:r>
        <w:rPr>
          <w:rFonts w:hint="eastAsia" w:cs="Times New Roman" w:asciiTheme="minorEastAsia" w:hAnsiTheme="minorEastAsia" w:eastAsiaTheme="minorEastAsia"/>
          <w:color w:val="auto"/>
          <w:sz w:val="24"/>
          <w:szCs w:val="24"/>
          <w:highlight w:val="none"/>
        </w:rPr>
        <w:t>同意，乙方可以依法采取分包方式履行合同，即：依法可以</w:t>
      </w:r>
      <w:r>
        <w:rPr>
          <w:rFonts w:cs="Times New Roman" w:asciiTheme="minorEastAsia" w:hAnsiTheme="minorEastAsia" w:eastAsiaTheme="minorEastAsia"/>
          <w:color w:val="auto"/>
          <w:sz w:val="24"/>
          <w:szCs w:val="24"/>
          <w:highlight w:val="none"/>
        </w:rPr>
        <w:t>将合同项下的部分非主体、非关键性工作分包给他人完成</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接受分包的人应当具备相应的资格条件，并不得再次分包</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且乙方应就分包项目向甲方负责</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并</w:t>
      </w:r>
      <w:r>
        <w:rPr>
          <w:rFonts w:hint="eastAsia" w:cs="Times New Roman" w:asciiTheme="minorEastAsia" w:hAnsiTheme="minorEastAsia" w:eastAsiaTheme="minorEastAsia"/>
          <w:color w:val="auto"/>
          <w:sz w:val="24"/>
          <w:szCs w:val="24"/>
          <w:highlight w:val="none"/>
        </w:rPr>
        <w:t>与分包供应商就分包项目向甲方承担连带责任。</w:t>
      </w:r>
    </w:p>
    <w:p w14:paraId="37FA2224">
      <w:pPr>
        <w:spacing w:line="360" w:lineRule="auto"/>
        <w:ind w:firstLine="437"/>
        <w:outlineLvl w:val="2"/>
        <w:rPr>
          <w:rFonts w:cs="Times New Roman" w:asciiTheme="minorEastAsia" w:hAnsiTheme="minorEastAsia" w:eastAsiaTheme="minorEastAsia"/>
          <w:b/>
          <w:bCs/>
          <w:color w:val="auto"/>
          <w:sz w:val="24"/>
          <w:szCs w:val="24"/>
          <w:highlight w:val="none"/>
          <w:lang w:val="zh-CN"/>
        </w:rPr>
      </w:pPr>
      <w:bookmarkStart w:id="138" w:name="_Toc16508"/>
      <w:bookmarkStart w:id="139" w:name="_Toc13566"/>
      <w:bookmarkStart w:id="140" w:name="_Toc14066"/>
      <w:r>
        <w:rPr>
          <w:rFonts w:hint="eastAsia" w:cs="Times New Roman" w:asciiTheme="minorEastAsia" w:hAnsiTheme="minorEastAsia" w:eastAsiaTheme="minorEastAsia"/>
          <w:b/>
          <w:bCs/>
          <w:color w:val="auto"/>
          <w:sz w:val="24"/>
          <w:szCs w:val="24"/>
          <w:highlight w:val="none"/>
          <w:lang w:val="zh-CN"/>
        </w:rPr>
        <w:t>2.1</w:t>
      </w:r>
      <w:r>
        <w:rPr>
          <w:rFonts w:cs="Times New Roman" w:asciiTheme="minorEastAsia" w:hAnsiTheme="minorEastAsia" w:eastAsiaTheme="minorEastAsia"/>
          <w:b/>
          <w:bCs/>
          <w:color w:val="auto"/>
          <w:sz w:val="24"/>
          <w:szCs w:val="24"/>
          <w:highlight w:val="none"/>
          <w:lang w:val="zh-CN"/>
        </w:rPr>
        <w:t>1 不可抗力</w:t>
      </w:r>
      <w:bookmarkEnd w:id="138"/>
      <w:bookmarkEnd w:id="139"/>
      <w:bookmarkEnd w:id="140"/>
    </w:p>
    <w:p w14:paraId="26C3E72A">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2.1</w:t>
      </w:r>
      <w:r>
        <w:rPr>
          <w:rFonts w:cs="Times New Roman" w:asciiTheme="minorEastAsia" w:hAnsiTheme="minorEastAsia" w:eastAsiaTheme="minorEastAsia"/>
          <w:color w:val="auto"/>
          <w:sz w:val="24"/>
          <w:szCs w:val="24"/>
          <w:highlight w:val="none"/>
        </w:rPr>
        <w:t>1.1如果任何一方遭遇法律规定的不可抗力，致使合同履行受阻时，履行合同的期限应予延长，延长的期限应相当于不可抗力所影响的时间</w:t>
      </w:r>
      <w:r>
        <w:rPr>
          <w:rFonts w:hint="eastAsia" w:cs="Times New Roman" w:asciiTheme="minorEastAsia" w:hAnsiTheme="minorEastAsia" w:eastAsiaTheme="minorEastAsia"/>
          <w:color w:val="auto"/>
          <w:sz w:val="24"/>
          <w:szCs w:val="24"/>
          <w:highlight w:val="none"/>
        </w:rPr>
        <w:t>；</w:t>
      </w:r>
    </w:p>
    <w:p w14:paraId="259C6D0B">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2.1</w:t>
      </w:r>
      <w:r>
        <w:rPr>
          <w:rFonts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.2因不可抗力致使不能实现合同目的的，当事人可以解除合同；</w:t>
      </w:r>
    </w:p>
    <w:p w14:paraId="5824E691">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2.1</w:t>
      </w:r>
      <w:r>
        <w:rPr>
          <w:rFonts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.3因</w:t>
      </w:r>
      <w:r>
        <w:rPr>
          <w:rFonts w:cs="Times New Roman" w:asciiTheme="minorEastAsia" w:hAnsiTheme="minorEastAsia" w:eastAsiaTheme="minorEastAsia"/>
          <w:color w:val="auto"/>
          <w:sz w:val="24"/>
          <w:szCs w:val="24"/>
          <w:highlight w:val="none"/>
        </w:rPr>
        <w:t>不可抗力致使合同有变更必要的，双方当事人应在</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约定时间内以书面形式变更合同</w:t>
      </w:r>
      <w:r>
        <w:rPr>
          <w:rFonts w:hint="eastAsia" w:cs="Times New Roman" w:asciiTheme="minorEastAsia" w:hAnsiTheme="minorEastAsia" w:eastAsiaTheme="minorEastAsia"/>
          <w:color w:val="auto"/>
          <w:sz w:val="24"/>
          <w:szCs w:val="24"/>
          <w:highlight w:val="none"/>
        </w:rPr>
        <w:t>；</w:t>
      </w:r>
    </w:p>
    <w:p w14:paraId="512B5192">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2.1</w:t>
      </w:r>
      <w:r>
        <w:rPr>
          <w:rFonts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4</w:t>
      </w:r>
      <w:r>
        <w:rPr>
          <w:rFonts w:cs="Times New Roman" w:asciiTheme="minorEastAsia" w:hAnsiTheme="minorEastAsia" w:eastAsiaTheme="minorEastAsia"/>
          <w:color w:val="auto"/>
          <w:sz w:val="24"/>
          <w:szCs w:val="24"/>
          <w:highlight w:val="none"/>
        </w:rPr>
        <w:t>受</w:t>
      </w:r>
      <w:r>
        <w:rPr>
          <w:rFonts w:hint="eastAsia" w:cs="Times New Roman" w:asciiTheme="minorEastAsia" w:hAnsiTheme="minorEastAsia" w:eastAsiaTheme="minorEastAsia"/>
          <w:color w:val="auto"/>
          <w:sz w:val="24"/>
          <w:szCs w:val="24"/>
          <w:highlight w:val="none"/>
        </w:rPr>
        <w:t>不可抗力</w:t>
      </w:r>
      <w:r>
        <w:rPr>
          <w:rFonts w:cs="Times New Roman" w:asciiTheme="minorEastAsia" w:hAnsiTheme="minorEastAsia" w:eastAsiaTheme="minorEastAsia"/>
          <w:color w:val="auto"/>
          <w:sz w:val="24"/>
          <w:szCs w:val="24"/>
          <w:highlight w:val="none"/>
        </w:rPr>
        <w:t>影响的一方在不可抗力发生后</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应在</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约定时间内以书面形式通知</w:t>
      </w:r>
      <w:r>
        <w:rPr>
          <w:rFonts w:hint="eastAsia" w:cs="Times New Roman" w:asciiTheme="minorEastAsia" w:hAnsiTheme="minorEastAsia" w:eastAsiaTheme="minorEastAsia"/>
          <w:color w:val="auto"/>
          <w:sz w:val="24"/>
          <w:szCs w:val="24"/>
          <w:highlight w:val="none"/>
        </w:rPr>
        <w:t>对</w:t>
      </w:r>
      <w:r>
        <w:rPr>
          <w:rFonts w:cs="Times New Roman" w:asciiTheme="minorEastAsia" w:hAnsiTheme="minorEastAsia" w:eastAsiaTheme="minorEastAsia"/>
          <w:color w:val="auto"/>
          <w:sz w:val="24"/>
          <w:szCs w:val="24"/>
          <w:highlight w:val="none"/>
        </w:rPr>
        <w:t>方当事人，并在</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约定时间内，将有关部门出具的证明文件送达</w:t>
      </w:r>
      <w:r>
        <w:rPr>
          <w:rFonts w:hint="eastAsia" w:cs="Times New Roman" w:asciiTheme="minorEastAsia" w:hAnsiTheme="minorEastAsia" w:eastAsiaTheme="minorEastAsia"/>
          <w:color w:val="auto"/>
          <w:sz w:val="24"/>
          <w:szCs w:val="24"/>
          <w:highlight w:val="none"/>
        </w:rPr>
        <w:t>对方当事人</w:t>
      </w:r>
      <w:r>
        <w:rPr>
          <w:rFonts w:cs="Times New Roman" w:asciiTheme="minorEastAsia" w:hAnsiTheme="minorEastAsia" w:eastAsiaTheme="minorEastAsia"/>
          <w:color w:val="auto"/>
          <w:sz w:val="24"/>
          <w:szCs w:val="24"/>
          <w:highlight w:val="none"/>
        </w:rPr>
        <w:t>。</w:t>
      </w:r>
    </w:p>
    <w:p w14:paraId="43627A4F">
      <w:pPr>
        <w:spacing w:line="360" w:lineRule="auto"/>
        <w:ind w:firstLine="437"/>
        <w:outlineLvl w:val="2"/>
        <w:rPr>
          <w:rFonts w:cs="Times New Roman" w:asciiTheme="minorEastAsia" w:hAnsiTheme="minorEastAsia" w:eastAsiaTheme="minorEastAsia"/>
          <w:b/>
          <w:bCs/>
          <w:color w:val="auto"/>
          <w:sz w:val="24"/>
          <w:szCs w:val="24"/>
          <w:highlight w:val="none"/>
          <w:lang w:val="zh-CN"/>
        </w:rPr>
      </w:pPr>
      <w:bookmarkStart w:id="141" w:name="_Toc6969"/>
      <w:bookmarkStart w:id="142" w:name="_Toc487900365"/>
      <w:bookmarkStart w:id="143" w:name="_Toc689"/>
      <w:bookmarkStart w:id="144" w:name="_Toc279701255"/>
      <w:bookmarkStart w:id="145" w:name="_Toc30676"/>
      <w:bookmarkStart w:id="146" w:name="_Toc259093684"/>
      <w:r>
        <w:rPr>
          <w:rFonts w:hint="eastAsia" w:cs="Times New Roman" w:asciiTheme="minorEastAsia" w:hAnsiTheme="minorEastAsia" w:eastAsiaTheme="minorEastAsia"/>
          <w:b/>
          <w:bCs/>
          <w:color w:val="auto"/>
          <w:sz w:val="24"/>
          <w:szCs w:val="24"/>
          <w:highlight w:val="none"/>
          <w:lang w:val="zh-CN"/>
        </w:rPr>
        <w:t>2.</w:t>
      </w:r>
      <w:r>
        <w:rPr>
          <w:rFonts w:cs="Times New Roman" w:asciiTheme="minorEastAsia" w:hAnsiTheme="minorEastAsia" w:eastAsiaTheme="minorEastAsia"/>
          <w:b/>
          <w:bCs/>
          <w:color w:val="auto"/>
          <w:sz w:val="24"/>
          <w:szCs w:val="24"/>
          <w:highlight w:val="none"/>
          <w:lang w:val="zh-CN"/>
        </w:rPr>
        <w:t>12</w:t>
      </w:r>
      <w:r>
        <w:rPr>
          <w:rFonts w:hint="eastAsia" w:cs="Times New Roman" w:asciiTheme="minorEastAsia" w:hAnsiTheme="minorEastAsia" w:eastAsiaTheme="minorEastAsia"/>
          <w:b/>
          <w:bCs/>
          <w:color w:val="auto"/>
          <w:sz w:val="24"/>
          <w:szCs w:val="24"/>
          <w:highlight w:val="none"/>
          <w:lang w:val="zh-CN"/>
        </w:rPr>
        <w:t xml:space="preserve"> </w:t>
      </w:r>
      <w:r>
        <w:rPr>
          <w:rFonts w:cs="Times New Roman" w:asciiTheme="minorEastAsia" w:hAnsiTheme="minorEastAsia" w:eastAsiaTheme="minorEastAsia"/>
          <w:b/>
          <w:bCs/>
          <w:color w:val="auto"/>
          <w:sz w:val="24"/>
          <w:szCs w:val="24"/>
          <w:highlight w:val="none"/>
          <w:lang w:val="zh-CN"/>
        </w:rPr>
        <w:t>税费</w:t>
      </w:r>
      <w:bookmarkEnd w:id="141"/>
      <w:bookmarkEnd w:id="142"/>
      <w:bookmarkEnd w:id="143"/>
      <w:bookmarkEnd w:id="144"/>
      <w:bookmarkEnd w:id="145"/>
      <w:bookmarkEnd w:id="146"/>
    </w:p>
    <w:p w14:paraId="139E7304">
      <w:pPr>
        <w:spacing w:line="360" w:lineRule="auto"/>
        <w:ind w:firstLine="435"/>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与合同有关的一切税费</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均按照中华人民共和国法律的相关规定</w:t>
      </w:r>
      <w:r>
        <w:rPr>
          <w:rFonts w:hint="eastAsia" w:cs="Times New Roman" w:asciiTheme="minorEastAsia" w:hAnsiTheme="minorEastAsia" w:eastAsiaTheme="minorEastAsia"/>
          <w:color w:val="auto"/>
          <w:sz w:val="24"/>
          <w:szCs w:val="24"/>
          <w:highlight w:val="none"/>
        </w:rPr>
        <w:t>缴纳</w:t>
      </w:r>
      <w:r>
        <w:rPr>
          <w:rFonts w:cs="Times New Roman" w:asciiTheme="minorEastAsia" w:hAnsiTheme="minorEastAsia" w:eastAsiaTheme="minorEastAsia"/>
          <w:color w:val="auto"/>
          <w:sz w:val="24"/>
          <w:szCs w:val="24"/>
          <w:highlight w:val="none"/>
        </w:rPr>
        <w:t>。</w:t>
      </w:r>
    </w:p>
    <w:p w14:paraId="4E921E3E">
      <w:pPr>
        <w:spacing w:line="360" w:lineRule="auto"/>
        <w:ind w:firstLine="437"/>
        <w:outlineLvl w:val="2"/>
        <w:rPr>
          <w:rFonts w:cs="Times New Roman" w:asciiTheme="minorEastAsia" w:hAnsiTheme="minorEastAsia" w:eastAsiaTheme="minorEastAsia"/>
          <w:b/>
          <w:bCs/>
          <w:color w:val="auto"/>
          <w:sz w:val="24"/>
          <w:szCs w:val="24"/>
          <w:highlight w:val="none"/>
          <w:lang w:val="zh-CN"/>
        </w:rPr>
      </w:pPr>
      <w:bookmarkStart w:id="147" w:name="_Toc16959"/>
      <w:bookmarkStart w:id="148" w:name="_Toc8298"/>
      <w:bookmarkStart w:id="149" w:name="_Toc279701258"/>
      <w:bookmarkStart w:id="150" w:name="_Toc487900368"/>
      <w:bookmarkStart w:id="151" w:name="_Toc259093687"/>
      <w:bookmarkStart w:id="152" w:name="_Toc7102"/>
      <w:r>
        <w:rPr>
          <w:rFonts w:hint="eastAsia" w:cs="Times New Roman" w:asciiTheme="minorEastAsia" w:hAnsiTheme="minorEastAsia" w:eastAsiaTheme="minorEastAsia"/>
          <w:b/>
          <w:bCs/>
          <w:color w:val="auto"/>
          <w:sz w:val="24"/>
          <w:szCs w:val="24"/>
          <w:highlight w:val="none"/>
          <w:lang w:val="zh-CN"/>
        </w:rPr>
        <w:t>2.</w:t>
      </w:r>
      <w:r>
        <w:rPr>
          <w:rFonts w:cs="Times New Roman" w:asciiTheme="minorEastAsia" w:hAnsiTheme="minorEastAsia" w:eastAsiaTheme="minorEastAsia"/>
          <w:b/>
          <w:bCs/>
          <w:color w:val="auto"/>
          <w:sz w:val="24"/>
          <w:szCs w:val="24"/>
          <w:highlight w:val="none"/>
          <w:lang w:val="zh-CN"/>
        </w:rPr>
        <w:t>13</w:t>
      </w:r>
      <w:r>
        <w:rPr>
          <w:rFonts w:hint="eastAsia" w:cs="Times New Roman" w:asciiTheme="minorEastAsia" w:hAnsiTheme="minorEastAsia" w:eastAsiaTheme="minorEastAsia"/>
          <w:b/>
          <w:bCs/>
          <w:color w:val="auto"/>
          <w:sz w:val="24"/>
          <w:szCs w:val="24"/>
          <w:highlight w:val="none"/>
          <w:lang w:val="zh-CN"/>
        </w:rPr>
        <w:t xml:space="preserve"> </w:t>
      </w:r>
      <w:r>
        <w:rPr>
          <w:rFonts w:cs="Times New Roman" w:asciiTheme="minorEastAsia" w:hAnsiTheme="minorEastAsia" w:eastAsiaTheme="minorEastAsia"/>
          <w:b/>
          <w:bCs/>
          <w:color w:val="auto"/>
          <w:sz w:val="24"/>
          <w:szCs w:val="24"/>
          <w:highlight w:val="none"/>
          <w:lang w:val="zh-CN"/>
        </w:rPr>
        <w:t>乙方破产</w:t>
      </w:r>
      <w:bookmarkEnd w:id="147"/>
      <w:bookmarkEnd w:id="148"/>
      <w:bookmarkEnd w:id="149"/>
      <w:bookmarkEnd w:id="150"/>
      <w:bookmarkEnd w:id="151"/>
      <w:bookmarkEnd w:id="152"/>
    </w:p>
    <w:p w14:paraId="7061894E">
      <w:pPr>
        <w:spacing w:line="360" w:lineRule="auto"/>
        <w:ind w:firstLine="435"/>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如果乙方破产导致合同无法履行时，甲方可以书面形式通知乙方终止合同且不给予乙方任何补偿和赔偿</w:t>
      </w:r>
      <w:r>
        <w:rPr>
          <w:rFonts w:hint="eastAsia" w:cs="Times New Roman" w:asciiTheme="minorEastAsia" w:hAnsiTheme="minorEastAsia" w:eastAsiaTheme="minorEastAsia"/>
          <w:color w:val="auto"/>
          <w:sz w:val="24"/>
          <w:szCs w:val="24"/>
          <w:highlight w:val="none"/>
        </w:rPr>
        <w:t>，但合同的</w:t>
      </w:r>
      <w:r>
        <w:rPr>
          <w:rFonts w:cs="Times New Roman" w:asciiTheme="minorEastAsia" w:hAnsiTheme="minorEastAsia" w:eastAsiaTheme="minorEastAsia"/>
          <w:color w:val="auto"/>
          <w:sz w:val="24"/>
          <w:szCs w:val="24"/>
          <w:highlight w:val="none"/>
        </w:rPr>
        <w:t>终止不损害或不影响甲方已经采取或将要采取的任何要求乙方支付违约金</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赔偿损失等的行动或补救措施的权利</w:t>
      </w:r>
      <w:r>
        <w:rPr>
          <w:rFonts w:hint="eastAsia" w:cs="Times New Roman" w:asciiTheme="minorEastAsia" w:hAnsiTheme="minorEastAsia" w:eastAsiaTheme="minorEastAsia"/>
          <w:color w:val="auto"/>
          <w:sz w:val="24"/>
          <w:szCs w:val="24"/>
          <w:highlight w:val="none"/>
        </w:rPr>
        <w:t>。</w:t>
      </w:r>
    </w:p>
    <w:p w14:paraId="047078F8">
      <w:pPr>
        <w:spacing w:line="360" w:lineRule="auto"/>
        <w:ind w:firstLine="437"/>
        <w:outlineLvl w:val="2"/>
        <w:rPr>
          <w:rFonts w:cs="Times New Roman" w:asciiTheme="minorEastAsia" w:hAnsiTheme="minorEastAsia" w:eastAsiaTheme="minorEastAsia"/>
          <w:b/>
          <w:color w:val="auto"/>
          <w:sz w:val="24"/>
          <w:szCs w:val="24"/>
          <w:highlight w:val="none"/>
        </w:rPr>
      </w:pPr>
      <w:bookmarkStart w:id="153" w:name="_Toc15387"/>
      <w:bookmarkStart w:id="154" w:name="_Toc6134"/>
      <w:bookmarkStart w:id="155" w:name="_Toc29333"/>
      <w:r>
        <w:rPr>
          <w:rFonts w:hint="eastAsia" w:cs="Times New Roman" w:asciiTheme="minorEastAsia" w:hAnsiTheme="minorEastAsia" w:eastAsiaTheme="minorEastAsia"/>
          <w:b/>
          <w:bCs/>
          <w:color w:val="auto"/>
          <w:sz w:val="24"/>
          <w:szCs w:val="24"/>
          <w:highlight w:val="none"/>
          <w:lang w:val="zh-CN"/>
        </w:rPr>
        <w:t>2.1</w:t>
      </w:r>
      <w:r>
        <w:rPr>
          <w:rFonts w:cs="Times New Roman" w:asciiTheme="minorEastAsia" w:hAnsiTheme="minorEastAsia" w:eastAsiaTheme="minorEastAsia"/>
          <w:b/>
          <w:bCs/>
          <w:color w:val="auto"/>
          <w:sz w:val="24"/>
          <w:szCs w:val="24"/>
          <w:highlight w:val="none"/>
          <w:lang w:val="zh-CN"/>
        </w:rPr>
        <w:t>4</w:t>
      </w:r>
      <w:r>
        <w:rPr>
          <w:rFonts w:hint="eastAsia" w:cs="Times New Roman" w:asciiTheme="minorEastAsia" w:hAnsiTheme="minorEastAsia" w:eastAsiaTheme="minorEastAsia"/>
          <w:b/>
          <w:bCs/>
          <w:color w:val="auto"/>
          <w:sz w:val="24"/>
          <w:szCs w:val="24"/>
          <w:highlight w:val="none"/>
          <w:lang w:val="zh-CN"/>
        </w:rPr>
        <w:t xml:space="preserve"> 合同中止、终止</w:t>
      </w:r>
      <w:bookmarkEnd w:id="153"/>
      <w:bookmarkEnd w:id="154"/>
      <w:bookmarkEnd w:id="155"/>
    </w:p>
    <w:p w14:paraId="1BEB548A">
      <w:pPr>
        <w:spacing w:line="360" w:lineRule="auto"/>
        <w:ind w:firstLine="435"/>
        <w:outlineLvl w:val="3"/>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2.1</w:t>
      </w:r>
      <w:r>
        <w:rPr>
          <w:rFonts w:cs="Times New Roman" w:asciiTheme="minorEastAsia" w:hAnsiTheme="minorEastAsia" w:eastAsiaTheme="minorEastAsia"/>
          <w:color w:val="auto"/>
          <w:sz w:val="24"/>
          <w:szCs w:val="24"/>
          <w:highlight w:val="none"/>
        </w:rPr>
        <w:t>4</w:t>
      </w:r>
      <w:r>
        <w:rPr>
          <w:rFonts w:hint="eastAsia" w:cs="Times New Roman" w:asciiTheme="minorEastAsia" w:hAnsiTheme="minorEastAsia" w:eastAsiaTheme="minorEastAsia"/>
          <w:color w:val="auto"/>
          <w:sz w:val="24"/>
          <w:szCs w:val="24"/>
          <w:highlight w:val="none"/>
        </w:rPr>
        <w:t>.1双方当事人不得擅自中止或者终止合同；</w:t>
      </w:r>
    </w:p>
    <w:p w14:paraId="76268628">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2.1</w:t>
      </w:r>
      <w:r>
        <w:rPr>
          <w:rFonts w:cs="Times New Roman" w:asciiTheme="minorEastAsia" w:hAnsiTheme="minorEastAsia" w:eastAsiaTheme="minorEastAsia"/>
          <w:color w:val="auto"/>
          <w:sz w:val="24"/>
          <w:szCs w:val="24"/>
          <w:highlight w:val="none"/>
        </w:rPr>
        <w:t>4</w:t>
      </w:r>
      <w:r>
        <w:rPr>
          <w:rFonts w:hint="eastAsia" w:cs="Times New Roman" w:asciiTheme="minorEastAsia" w:hAnsiTheme="minorEastAsia" w:eastAsiaTheme="minorEastAsia"/>
          <w:color w:val="auto"/>
          <w:sz w:val="24"/>
          <w:szCs w:val="24"/>
          <w:highlight w:val="none"/>
        </w:rPr>
        <w:t>.2合同继续履行将损害国家利益和社会公共利益的，双方当事人应当中止或者终止合同。有过错的一方应当承担赔偿责任，双方当事人都有过错的，各自承担相应的责任。</w:t>
      </w:r>
    </w:p>
    <w:p w14:paraId="625F8A87">
      <w:pPr>
        <w:spacing w:line="360" w:lineRule="auto"/>
        <w:ind w:firstLine="437"/>
        <w:outlineLvl w:val="2"/>
        <w:rPr>
          <w:rFonts w:cs="Times New Roman" w:asciiTheme="minorEastAsia" w:hAnsiTheme="minorEastAsia" w:eastAsiaTheme="minorEastAsia"/>
          <w:b/>
          <w:bCs/>
          <w:color w:val="auto"/>
          <w:sz w:val="24"/>
          <w:szCs w:val="24"/>
          <w:highlight w:val="none"/>
          <w:lang w:val="zh-CN"/>
        </w:rPr>
      </w:pPr>
      <w:bookmarkStart w:id="156" w:name="_Toc1125"/>
      <w:bookmarkStart w:id="157" w:name="_Toc14563"/>
      <w:bookmarkStart w:id="158" w:name="_Toc6596"/>
      <w:r>
        <w:rPr>
          <w:rFonts w:hint="eastAsia" w:cs="Times New Roman" w:asciiTheme="minorEastAsia" w:hAnsiTheme="minorEastAsia" w:eastAsiaTheme="minorEastAsia"/>
          <w:b/>
          <w:bCs/>
          <w:color w:val="auto"/>
          <w:sz w:val="24"/>
          <w:szCs w:val="24"/>
          <w:highlight w:val="none"/>
          <w:lang w:val="zh-CN"/>
        </w:rPr>
        <w:t>2.1</w:t>
      </w:r>
      <w:r>
        <w:rPr>
          <w:rFonts w:cs="Times New Roman" w:asciiTheme="minorEastAsia" w:hAnsiTheme="minorEastAsia" w:eastAsiaTheme="minorEastAsia"/>
          <w:b/>
          <w:bCs/>
          <w:color w:val="auto"/>
          <w:sz w:val="24"/>
          <w:szCs w:val="24"/>
          <w:highlight w:val="none"/>
          <w:lang w:val="zh-CN"/>
        </w:rPr>
        <w:t>5</w:t>
      </w:r>
      <w:r>
        <w:rPr>
          <w:rFonts w:hint="eastAsia" w:cs="Times New Roman" w:asciiTheme="minorEastAsia" w:hAnsiTheme="minorEastAsia" w:eastAsiaTheme="minorEastAsia"/>
          <w:b/>
          <w:bCs/>
          <w:color w:val="auto"/>
          <w:sz w:val="24"/>
          <w:szCs w:val="24"/>
          <w:highlight w:val="none"/>
          <w:lang w:val="zh-CN"/>
        </w:rPr>
        <w:t xml:space="preserve"> 检验和验收</w:t>
      </w:r>
      <w:bookmarkEnd w:id="156"/>
      <w:bookmarkEnd w:id="157"/>
      <w:bookmarkEnd w:id="158"/>
    </w:p>
    <w:p w14:paraId="010FBD71">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5</w:t>
      </w:r>
      <w:r>
        <w:rPr>
          <w:rFonts w:cs="Times New Roman" w:asciiTheme="minorEastAsia" w:hAnsiTheme="minorEastAsia" w:eastAsiaTheme="minorEastAsia"/>
          <w:color w:val="auto"/>
          <w:sz w:val="24"/>
          <w:szCs w:val="24"/>
          <w:highlight w:val="none"/>
        </w:rPr>
        <w:t>.</w:t>
      </w:r>
      <w:r>
        <w:rPr>
          <w:rFonts w:hint="eastAsia" w:cs="Times New Roman" w:asciiTheme="minorEastAsia" w:hAnsiTheme="minorEastAsia" w:eastAsiaTheme="minorEastAsia"/>
          <w:color w:val="auto"/>
          <w:sz w:val="24"/>
          <w:szCs w:val="24"/>
          <w:highlight w:val="none"/>
        </w:rPr>
        <w:t>1乙方按照</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的约定</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定期提交服务报告</w:t>
      </w:r>
      <w:r>
        <w:rPr>
          <w:rFonts w:hint="eastAsia" w:cs="Times New Roman" w:asciiTheme="minorEastAsia" w:hAnsiTheme="minorEastAsia" w:eastAsiaTheme="minorEastAsia"/>
          <w:color w:val="auto"/>
          <w:sz w:val="24"/>
          <w:szCs w:val="24"/>
          <w:highlight w:val="none"/>
        </w:rPr>
        <w:t>，甲方按照</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的约定进行定期验收</w:t>
      </w:r>
      <w:r>
        <w:rPr>
          <w:rFonts w:hint="eastAsia" w:cs="Times New Roman" w:asciiTheme="minorEastAsia" w:hAnsiTheme="minorEastAsia" w:eastAsiaTheme="minorEastAsia"/>
          <w:color w:val="auto"/>
          <w:sz w:val="24"/>
          <w:szCs w:val="24"/>
          <w:highlight w:val="none"/>
        </w:rPr>
        <w:t>；</w:t>
      </w:r>
    </w:p>
    <w:p w14:paraId="458CDEB4">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D79C0E0">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2.15.3检验和验收标准、程序等具体内容以及前述验收书的效力详见</w:t>
      </w:r>
      <w:r>
        <w:rPr>
          <w:rFonts w:cs="Times New Roman" w:asciiTheme="minorEastAsia" w:hAnsiTheme="minorEastAsia" w:eastAsiaTheme="minorEastAsia"/>
          <w:b/>
          <w:i/>
          <w:color w:val="auto"/>
          <w:sz w:val="24"/>
          <w:szCs w:val="24"/>
          <w:highlight w:val="none"/>
          <w:u w:val="single"/>
        </w:rPr>
        <w:t>合同专用条款</w:t>
      </w:r>
      <w:r>
        <w:rPr>
          <w:rFonts w:hint="eastAsia" w:cs="Times New Roman" w:asciiTheme="minorEastAsia" w:hAnsiTheme="minorEastAsia" w:eastAsiaTheme="minorEastAsia"/>
          <w:i/>
          <w:color w:val="auto"/>
          <w:sz w:val="24"/>
          <w:szCs w:val="24"/>
          <w:highlight w:val="none"/>
        </w:rPr>
        <w:t>。</w:t>
      </w:r>
    </w:p>
    <w:bookmarkEnd w:id="128"/>
    <w:bookmarkEnd w:id="129"/>
    <w:bookmarkEnd w:id="130"/>
    <w:bookmarkEnd w:id="131"/>
    <w:p w14:paraId="42AC9563">
      <w:pPr>
        <w:spacing w:line="360" w:lineRule="auto"/>
        <w:ind w:firstLine="437"/>
        <w:outlineLvl w:val="2"/>
        <w:rPr>
          <w:rFonts w:cs="Times New Roman" w:asciiTheme="minorEastAsia" w:hAnsiTheme="minorEastAsia" w:eastAsiaTheme="minorEastAsia"/>
          <w:b/>
          <w:bCs/>
          <w:color w:val="auto"/>
          <w:sz w:val="24"/>
          <w:szCs w:val="24"/>
          <w:highlight w:val="none"/>
        </w:rPr>
      </w:pPr>
      <w:bookmarkStart w:id="159" w:name="_Toc10330"/>
      <w:bookmarkStart w:id="160" w:name="_Toc279701263"/>
      <w:bookmarkStart w:id="161" w:name="_Toc259093692"/>
      <w:bookmarkStart w:id="162" w:name="_Toc487900373"/>
      <w:bookmarkStart w:id="163" w:name="_Toc18567"/>
      <w:bookmarkStart w:id="164" w:name="_Toc12773"/>
      <w:r>
        <w:rPr>
          <w:rFonts w:hint="eastAsia" w:cs="Times New Roman" w:asciiTheme="minorEastAsia" w:hAnsiTheme="minorEastAsia" w:eastAsiaTheme="minorEastAsia"/>
          <w:b/>
          <w:bCs/>
          <w:color w:val="auto"/>
          <w:sz w:val="24"/>
          <w:szCs w:val="24"/>
          <w:highlight w:val="none"/>
        </w:rPr>
        <w:t>2.</w:t>
      </w:r>
      <w:r>
        <w:rPr>
          <w:rFonts w:cs="Times New Roman" w:asciiTheme="minorEastAsia" w:hAnsiTheme="minorEastAsia" w:eastAsiaTheme="minorEastAsia"/>
          <w:b/>
          <w:bCs/>
          <w:color w:val="auto"/>
          <w:sz w:val="24"/>
          <w:szCs w:val="24"/>
          <w:highlight w:val="none"/>
        </w:rPr>
        <w:t>16</w:t>
      </w:r>
      <w:r>
        <w:rPr>
          <w:rFonts w:hint="eastAsia" w:cs="Times New Roman" w:asciiTheme="minorEastAsia" w:hAnsiTheme="minorEastAsia" w:eastAsiaTheme="minorEastAsia"/>
          <w:b/>
          <w:bCs/>
          <w:color w:val="auto"/>
          <w:sz w:val="24"/>
          <w:szCs w:val="24"/>
          <w:highlight w:val="none"/>
        </w:rPr>
        <w:t xml:space="preserve"> </w:t>
      </w:r>
      <w:r>
        <w:rPr>
          <w:rFonts w:hint="eastAsia" w:cs="Times New Roman" w:asciiTheme="minorEastAsia" w:hAnsiTheme="minorEastAsia" w:eastAsiaTheme="minorEastAsia"/>
          <w:b/>
          <w:bCs/>
          <w:color w:val="auto"/>
          <w:sz w:val="24"/>
          <w:szCs w:val="24"/>
          <w:highlight w:val="none"/>
          <w:lang w:val="zh-CN"/>
        </w:rPr>
        <w:t>合同使用的文字和</w:t>
      </w:r>
      <w:r>
        <w:rPr>
          <w:rFonts w:cs="Times New Roman" w:asciiTheme="minorEastAsia" w:hAnsiTheme="minorEastAsia" w:eastAsiaTheme="minorEastAsia"/>
          <w:b/>
          <w:bCs/>
          <w:color w:val="auto"/>
          <w:sz w:val="24"/>
          <w:szCs w:val="24"/>
          <w:highlight w:val="none"/>
          <w:lang w:val="zh-CN"/>
        </w:rPr>
        <w:t>适用的法律</w:t>
      </w:r>
      <w:bookmarkEnd w:id="159"/>
      <w:bookmarkEnd w:id="160"/>
      <w:bookmarkEnd w:id="161"/>
      <w:bookmarkEnd w:id="162"/>
      <w:bookmarkEnd w:id="163"/>
      <w:bookmarkEnd w:id="164"/>
    </w:p>
    <w:p w14:paraId="7C2B54BF">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16.1合同使用汉语书就</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变更和解释</w:t>
      </w:r>
      <w:r>
        <w:rPr>
          <w:rFonts w:hint="eastAsia" w:cs="Times New Roman" w:asciiTheme="minorEastAsia" w:hAnsiTheme="minorEastAsia" w:eastAsiaTheme="minorEastAsia"/>
          <w:color w:val="auto"/>
          <w:sz w:val="24"/>
          <w:szCs w:val="24"/>
          <w:highlight w:val="none"/>
        </w:rPr>
        <w:t>；</w:t>
      </w:r>
    </w:p>
    <w:p w14:paraId="05533DBA">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16</w:t>
      </w:r>
      <w:r>
        <w:rPr>
          <w:rFonts w:hint="eastAsia" w:cs="Times New Roman" w:asciiTheme="minorEastAsia" w:hAnsiTheme="minorEastAsia" w:eastAsiaTheme="minorEastAsia"/>
          <w:color w:val="auto"/>
          <w:sz w:val="24"/>
          <w:szCs w:val="24"/>
          <w:highlight w:val="none"/>
        </w:rPr>
        <w:t>.2合同适用</w:t>
      </w:r>
      <w:r>
        <w:rPr>
          <w:rFonts w:cs="Times New Roman" w:asciiTheme="minorEastAsia" w:hAnsiTheme="minorEastAsia" w:eastAsiaTheme="minorEastAsia"/>
          <w:color w:val="auto"/>
          <w:sz w:val="24"/>
          <w:szCs w:val="24"/>
          <w:highlight w:val="none"/>
        </w:rPr>
        <w:t>中华人民共和国法律。</w:t>
      </w:r>
    </w:p>
    <w:p w14:paraId="0E0C2782">
      <w:pPr>
        <w:spacing w:line="360" w:lineRule="auto"/>
        <w:ind w:firstLine="437"/>
        <w:outlineLvl w:val="2"/>
        <w:rPr>
          <w:rFonts w:cs="Times New Roman" w:asciiTheme="minorEastAsia" w:hAnsiTheme="minorEastAsia" w:eastAsiaTheme="minorEastAsia"/>
          <w:b/>
          <w:color w:val="auto"/>
          <w:sz w:val="24"/>
          <w:szCs w:val="24"/>
          <w:highlight w:val="none"/>
        </w:rPr>
      </w:pPr>
      <w:bookmarkStart w:id="165" w:name="_Toc259093693"/>
      <w:bookmarkStart w:id="166" w:name="_Toc16673"/>
      <w:bookmarkStart w:id="167" w:name="_Toc279701264"/>
      <w:bookmarkStart w:id="168" w:name="_Toc3148"/>
      <w:bookmarkStart w:id="169" w:name="_Toc12004"/>
      <w:bookmarkStart w:id="170" w:name="_Toc487900374"/>
      <w:r>
        <w:rPr>
          <w:rFonts w:hint="eastAsia" w:cs="Times New Roman" w:asciiTheme="minorEastAsia" w:hAnsiTheme="minorEastAsia" w:eastAsiaTheme="minorEastAsia"/>
          <w:b/>
          <w:bCs/>
          <w:color w:val="auto"/>
          <w:sz w:val="24"/>
          <w:szCs w:val="24"/>
          <w:highlight w:val="none"/>
          <w:lang w:val="zh-CN"/>
        </w:rPr>
        <w:t>2.</w:t>
      </w:r>
      <w:r>
        <w:rPr>
          <w:rFonts w:cs="Times New Roman" w:asciiTheme="minorEastAsia" w:hAnsiTheme="minorEastAsia" w:eastAsiaTheme="minorEastAsia"/>
          <w:b/>
          <w:bCs/>
          <w:color w:val="auto"/>
          <w:sz w:val="24"/>
          <w:szCs w:val="24"/>
          <w:highlight w:val="none"/>
          <w:lang w:val="zh-CN"/>
        </w:rPr>
        <w:t>17</w:t>
      </w:r>
      <w:r>
        <w:rPr>
          <w:rFonts w:hint="eastAsia" w:cs="Times New Roman" w:asciiTheme="minorEastAsia" w:hAnsiTheme="minorEastAsia" w:eastAsiaTheme="minorEastAsia"/>
          <w:b/>
          <w:bCs/>
          <w:color w:val="auto"/>
          <w:sz w:val="24"/>
          <w:szCs w:val="24"/>
          <w:highlight w:val="none"/>
          <w:lang w:val="zh-CN"/>
        </w:rPr>
        <w:t xml:space="preserve"> </w:t>
      </w:r>
      <w:r>
        <w:rPr>
          <w:rFonts w:cs="Times New Roman" w:asciiTheme="minorEastAsia" w:hAnsiTheme="minorEastAsia" w:eastAsiaTheme="minorEastAsia"/>
          <w:b/>
          <w:bCs/>
          <w:color w:val="auto"/>
          <w:sz w:val="24"/>
          <w:szCs w:val="24"/>
          <w:highlight w:val="none"/>
          <w:lang w:val="zh-CN"/>
        </w:rPr>
        <w:t>履约保证金</w:t>
      </w:r>
      <w:bookmarkEnd w:id="165"/>
      <w:bookmarkEnd w:id="166"/>
      <w:bookmarkEnd w:id="167"/>
      <w:bookmarkEnd w:id="168"/>
      <w:bookmarkEnd w:id="169"/>
    </w:p>
    <w:p w14:paraId="2AB2288C">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17</w:t>
      </w:r>
      <w:r>
        <w:rPr>
          <w:rFonts w:hint="eastAsia" w:cs="Times New Roman" w:asciiTheme="minorEastAsia" w:hAnsiTheme="minorEastAsia" w:eastAsiaTheme="minorEastAsia"/>
          <w:color w:val="auto"/>
          <w:sz w:val="24"/>
          <w:szCs w:val="24"/>
          <w:highlight w:val="none"/>
        </w:rPr>
        <w:t>.1采购文件要求乙方提交履约保证金的，乙方</w:t>
      </w:r>
      <w:r>
        <w:rPr>
          <w:rFonts w:cs="Times New Roman" w:asciiTheme="minorEastAsia" w:hAnsiTheme="minorEastAsia" w:eastAsiaTheme="minorEastAsia"/>
          <w:color w:val="auto"/>
          <w:sz w:val="24"/>
          <w:szCs w:val="24"/>
          <w:highlight w:val="none"/>
        </w:rPr>
        <w:t>应按</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约定的方式</w:t>
      </w:r>
      <w:r>
        <w:rPr>
          <w:rFonts w:hint="eastAsia" w:cs="Times New Roman" w:asciiTheme="minorEastAsia" w:hAnsiTheme="minorEastAsia" w:eastAsiaTheme="minorEastAsia"/>
          <w:color w:val="auto"/>
          <w:sz w:val="24"/>
          <w:szCs w:val="24"/>
          <w:highlight w:val="none"/>
        </w:rPr>
        <w:t>，以支票、汇票、本票或者金融机构、担保机构出具的保函等非现金形式提交；</w:t>
      </w:r>
    </w:p>
    <w:p w14:paraId="3ACE7505">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17.2履约保证金在</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约定期间内不予退还或者应完全有效</w:t>
      </w:r>
      <w:r>
        <w:rPr>
          <w:rFonts w:hint="eastAsia" w:cs="Times New Roman" w:asciiTheme="minorEastAsia" w:hAnsiTheme="minorEastAsia" w:eastAsiaTheme="minorEastAsia"/>
          <w:color w:val="auto"/>
          <w:sz w:val="24"/>
          <w:szCs w:val="24"/>
          <w:highlight w:val="none"/>
        </w:rPr>
        <w:t>，前述约定期间届满</w:t>
      </w:r>
      <w:r>
        <w:rPr>
          <w:rFonts w:cs="Times New Roman" w:asciiTheme="minorEastAsia" w:hAnsiTheme="minorEastAsia" w:eastAsiaTheme="minorEastAsia"/>
          <w:color w:val="auto"/>
          <w:sz w:val="24"/>
          <w:szCs w:val="24"/>
          <w:highlight w:val="none"/>
        </w:rPr>
        <w:t>之日起</w:t>
      </w:r>
      <w:r>
        <w:rPr>
          <w:rFonts w:hint="eastAsia" w:cs="Times New Roman" w:asciiTheme="minorEastAsia" w:hAnsiTheme="minorEastAsia" w:eastAsiaTheme="minorEastAsia"/>
          <w:color w:val="auto"/>
          <w:sz w:val="24"/>
          <w:szCs w:val="24"/>
          <w:highlight w:val="none"/>
          <w:u w:val="single"/>
        </w:rPr>
        <w:t xml:space="preserve"> </w:t>
      </w:r>
      <w:r>
        <w:rPr>
          <w:rFonts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rPr>
        <w:t>个</w:t>
      </w:r>
      <w:r>
        <w:rPr>
          <w:rFonts w:cs="Times New Roman" w:asciiTheme="minorEastAsia" w:hAnsiTheme="minorEastAsia" w:eastAsiaTheme="minorEastAsia"/>
          <w:color w:val="auto"/>
          <w:sz w:val="24"/>
          <w:szCs w:val="24"/>
          <w:highlight w:val="none"/>
        </w:rPr>
        <w:t>工作日内，甲方应将履约保证金退还乙方</w:t>
      </w:r>
      <w:r>
        <w:rPr>
          <w:rFonts w:hint="eastAsia" w:cs="Times New Roman" w:asciiTheme="minorEastAsia" w:hAnsiTheme="minorEastAsia" w:eastAsiaTheme="minorEastAsia"/>
          <w:color w:val="auto"/>
          <w:sz w:val="24"/>
          <w:szCs w:val="24"/>
          <w:highlight w:val="none"/>
          <w:lang w:eastAsia="zh-CN"/>
        </w:rPr>
        <w:t>，</w:t>
      </w:r>
      <w:r>
        <w:rPr>
          <w:rFonts w:hint="eastAsia" w:cs="Times New Roman" w:asciiTheme="minorEastAsia" w:hAnsiTheme="minorEastAsia" w:eastAsiaTheme="minorEastAsia"/>
          <w:color w:val="auto"/>
          <w:sz w:val="24"/>
          <w:szCs w:val="24"/>
          <w:highlight w:val="none"/>
          <w:lang w:val="en-US" w:eastAsia="zh-CN"/>
        </w:rPr>
        <w:t>甲方</w:t>
      </w:r>
      <w:r>
        <w:rPr>
          <w:rFonts w:hint="eastAsia" w:cs="Times New Roman" w:asciiTheme="minorEastAsia" w:hAnsiTheme="minorEastAsia" w:eastAsiaTheme="minorEastAsia"/>
          <w:color w:val="auto"/>
          <w:sz w:val="24"/>
          <w:szCs w:val="24"/>
          <w:highlight w:val="none"/>
        </w:rPr>
        <w:t>逾期退还履约保证金</w:t>
      </w:r>
      <w:r>
        <w:rPr>
          <w:rFonts w:hint="eastAsia" w:cs="Times New Roman" w:asciiTheme="minorEastAsia" w:hAnsiTheme="minorEastAsia" w:eastAsiaTheme="minorEastAsia"/>
          <w:color w:val="auto"/>
          <w:sz w:val="24"/>
          <w:szCs w:val="24"/>
          <w:highlight w:val="none"/>
          <w:lang w:val="en-US" w:eastAsia="zh-CN"/>
        </w:rPr>
        <w:t>应承担违约责任。</w:t>
      </w:r>
    </w:p>
    <w:p w14:paraId="2B1E0DE5">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17</w:t>
      </w:r>
      <w:r>
        <w:rPr>
          <w:rFonts w:hint="eastAsia" w:cs="Times New Roman" w:asciiTheme="minorEastAsia" w:hAnsiTheme="minorEastAsia" w:eastAsiaTheme="minorEastAsia"/>
          <w:color w:val="auto"/>
          <w:sz w:val="24"/>
          <w:szCs w:val="24"/>
          <w:highlight w:val="none"/>
        </w:rPr>
        <w:t>.3</w:t>
      </w:r>
      <w:r>
        <w:rPr>
          <w:rFonts w:cs="Times New Roman" w:asciiTheme="minorEastAsia" w:hAnsiTheme="minorEastAsia" w:eastAsiaTheme="minorEastAsia"/>
          <w:color w:val="auto"/>
          <w:sz w:val="24"/>
          <w:szCs w:val="24"/>
          <w:highlight w:val="none"/>
        </w:rPr>
        <w:t>如果乙方不履行合同</w:t>
      </w:r>
      <w:r>
        <w:rPr>
          <w:rFonts w:hint="eastAsia" w:cs="Times New Roman" w:asciiTheme="minorEastAsia" w:hAnsiTheme="minorEastAsia" w:eastAsiaTheme="minorEastAsia"/>
          <w:color w:val="auto"/>
          <w:sz w:val="24"/>
          <w:szCs w:val="24"/>
          <w:highlight w:val="none"/>
        </w:rPr>
        <w:t>，履约保证金不予退还；如果乙方</w:t>
      </w:r>
      <w:r>
        <w:rPr>
          <w:rFonts w:cs="Times New Roman" w:asciiTheme="minorEastAsia" w:hAnsiTheme="minorEastAsia" w:eastAsiaTheme="minorEastAsia"/>
          <w:color w:val="auto"/>
          <w:sz w:val="24"/>
          <w:szCs w:val="24"/>
          <w:highlight w:val="none"/>
        </w:rPr>
        <w:t>未能按合同</w:t>
      </w:r>
      <w:r>
        <w:rPr>
          <w:rFonts w:hint="eastAsia" w:cs="Times New Roman" w:asciiTheme="minorEastAsia" w:hAnsiTheme="minorEastAsia" w:eastAsiaTheme="minorEastAsia"/>
          <w:color w:val="auto"/>
          <w:sz w:val="24"/>
          <w:szCs w:val="24"/>
          <w:highlight w:val="none"/>
        </w:rPr>
        <w:t>约</w:t>
      </w:r>
      <w:r>
        <w:rPr>
          <w:rFonts w:cs="Times New Roman" w:asciiTheme="minorEastAsia" w:hAnsiTheme="minorEastAsia" w:eastAsiaTheme="minorEastAsia"/>
          <w:color w:val="auto"/>
          <w:sz w:val="24"/>
          <w:szCs w:val="24"/>
          <w:highlight w:val="none"/>
        </w:rPr>
        <w:t>定全面履行义务，那么甲方有权从履约保证金中取得补偿或赔偿</w:t>
      </w:r>
      <w:r>
        <w:rPr>
          <w:rFonts w:hint="eastAsia" w:cs="Times New Roman" w:asciiTheme="minorEastAsia" w:hAnsiTheme="minorEastAsia" w:eastAsiaTheme="minorEastAsia"/>
          <w:color w:val="auto"/>
          <w:sz w:val="24"/>
          <w:szCs w:val="24"/>
          <w:highlight w:val="none"/>
        </w:rPr>
        <w:t>，同时不影响甲方要求乙方承担合同约定的超过履约保证金的违约责任的权利。</w:t>
      </w:r>
    </w:p>
    <w:bookmarkEnd w:id="170"/>
    <w:p w14:paraId="45A92DA3">
      <w:pPr>
        <w:spacing w:line="360" w:lineRule="auto"/>
        <w:ind w:firstLine="437"/>
        <w:outlineLvl w:val="2"/>
        <w:rPr>
          <w:rFonts w:cs="Times New Roman" w:asciiTheme="minorEastAsia" w:hAnsiTheme="minorEastAsia" w:eastAsiaTheme="minorEastAsia"/>
          <w:b/>
          <w:color w:val="auto"/>
          <w:sz w:val="24"/>
          <w:szCs w:val="24"/>
          <w:highlight w:val="none"/>
        </w:rPr>
      </w:pPr>
      <w:bookmarkStart w:id="171" w:name="_Toc6885"/>
      <w:bookmarkStart w:id="172" w:name="_Toc14001"/>
      <w:bookmarkStart w:id="173" w:name="_Toc19890"/>
      <w:r>
        <w:rPr>
          <w:rFonts w:hint="eastAsia" w:cs="Times New Roman" w:asciiTheme="minorEastAsia" w:hAnsiTheme="minorEastAsia" w:eastAsiaTheme="minorEastAsia"/>
          <w:b/>
          <w:bCs/>
          <w:color w:val="auto"/>
          <w:sz w:val="24"/>
          <w:szCs w:val="24"/>
          <w:highlight w:val="none"/>
          <w:lang w:val="zh-CN"/>
        </w:rPr>
        <w:t>2.</w:t>
      </w:r>
      <w:r>
        <w:rPr>
          <w:rFonts w:cs="Times New Roman" w:asciiTheme="minorEastAsia" w:hAnsiTheme="minorEastAsia" w:eastAsiaTheme="minorEastAsia"/>
          <w:b/>
          <w:bCs/>
          <w:color w:val="auto"/>
          <w:sz w:val="24"/>
          <w:szCs w:val="24"/>
          <w:highlight w:val="none"/>
          <w:lang w:val="zh-CN"/>
        </w:rPr>
        <w:t>18</w:t>
      </w:r>
      <w:r>
        <w:rPr>
          <w:rFonts w:hint="eastAsia" w:cs="Times New Roman" w:asciiTheme="minorEastAsia" w:hAnsiTheme="minorEastAsia" w:eastAsiaTheme="minorEastAsia"/>
          <w:b/>
          <w:bCs/>
          <w:color w:val="auto"/>
          <w:sz w:val="24"/>
          <w:szCs w:val="24"/>
          <w:highlight w:val="none"/>
          <w:lang w:val="zh-CN"/>
        </w:rPr>
        <w:t xml:space="preserve"> 合同份数</w:t>
      </w:r>
      <w:bookmarkEnd w:id="171"/>
      <w:bookmarkEnd w:id="172"/>
      <w:bookmarkEnd w:id="173"/>
    </w:p>
    <w:p w14:paraId="07699D48">
      <w:pPr>
        <w:spacing w:line="360" w:lineRule="auto"/>
        <w:ind w:firstLine="435"/>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合同份数按</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规定</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每份均具有同等法律效力</w:t>
      </w:r>
      <w:r>
        <w:rPr>
          <w:rFonts w:hint="eastAsia" w:cs="Times New Roman" w:asciiTheme="minorEastAsia" w:hAnsiTheme="minorEastAsia" w:eastAsiaTheme="minorEastAsia"/>
          <w:color w:val="auto"/>
          <w:sz w:val="24"/>
          <w:szCs w:val="24"/>
          <w:highlight w:val="none"/>
        </w:rPr>
        <w:t>。</w:t>
      </w:r>
    </w:p>
    <w:p w14:paraId="07F481E5">
      <w:pPr>
        <w:spacing w:line="360" w:lineRule="auto"/>
        <w:jc w:val="center"/>
        <w:outlineLvl w:val="1"/>
        <w:rPr>
          <w:rFonts w:asciiTheme="minorEastAsia" w:hAnsiTheme="minorEastAsia" w:eastAsiaTheme="minorEastAsia"/>
          <w:b/>
          <w:color w:val="auto"/>
          <w:sz w:val="24"/>
          <w:highlight w:val="none"/>
        </w:rPr>
      </w:pPr>
      <w:r>
        <w:rPr>
          <w:rFonts w:cs="Times New Roman" w:asciiTheme="minorEastAsia" w:hAnsiTheme="minorEastAsia" w:eastAsiaTheme="minorEastAsia"/>
          <w:color w:val="auto"/>
          <w:sz w:val="24"/>
          <w:szCs w:val="24"/>
          <w:highlight w:val="none"/>
        </w:rPr>
        <w:br w:type="page"/>
      </w:r>
      <w:bookmarkStart w:id="174" w:name="_Toc3736"/>
      <w:bookmarkStart w:id="175" w:name="_Toc10297"/>
      <w:bookmarkStart w:id="176" w:name="_Toc18654"/>
      <w:r>
        <w:rPr>
          <w:rFonts w:hint="eastAsia" w:asciiTheme="minorEastAsia" w:hAnsiTheme="minorEastAsia" w:eastAsiaTheme="minorEastAsia"/>
          <w:b/>
          <w:color w:val="auto"/>
          <w:sz w:val="24"/>
          <w:highlight w:val="none"/>
        </w:rPr>
        <w:t>第三部分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合同专用条款</w:t>
      </w:r>
      <w:bookmarkEnd w:id="174"/>
      <w:bookmarkEnd w:id="175"/>
      <w:bookmarkEnd w:id="176"/>
    </w:p>
    <w:p w14:paraId="5FAA675F">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本部分</w:t>
      </w:r>
      <w:r>
        <w:rPr>
          <w:rFonts w:cs="Times New Roman" w:asciiTheme="minorEastAsia" w:hAnsiTheme="minorEastAsia" w:eastAsiaTheme="minorEastAsia"/>
          <w:color w:val="auto"/>
          <w:sz w:val="24"/>
          <w:szCs w:val="24"/>
          <w:highlight w:val="none"/>
        </w:rPr>
        <w:t>是对</w:t>
      </w:r>
      <w:r>
        <w:rPr>
          <w:rFonts w:hint="eastAsia" w:cs="Times New Roman" w:asciiTheme="minorEastAsia" w:hAnsiTheme="minorEastAsia" w:eastAsiaTheme="minorEastAsia"/>
          <w:color w:val="auto"/>
          <w:sz w:val="24"/>
          <w:szCs w:val="24"/>
          <w:highlight w:val="none"/>
        </w:rPr>
        <w:t>前两</w:t>
      </w:r>
      <w:r>
        <w:rPr>
          <w:rFonts w:cs="Times New Roman" w:asciiTheme="minorEastAsia" w:hAnsiTheme="minorEastAsia" w:eastAsiaTheme="minorEastAsia"/>
          <w:color w:val="auto"/>
          <w:sz w:val="24"/>
          <w:szCs w:val="24"/>
          <w:highlight w:val="none"/>
        </w:rPr>
        <w:t>部分的补充和修改</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如果</w:t>
      </w:r>
      <w:r>
        <w:rPr>
          <w:rFonts w:hint="eastAsia" w:cs="Times New Roman" w:asciiTheme="minorEastAsia" w:hAnsiTheme="minorEastAsia" w:eastAsiaTheme="minorEastAsia"/>
          <w:color w:val="auto"/>
          <w:sz w:val="24"/>
          <w:szCs w:val="24"/>
          <w:highlight w:val="none"/>
        </w:rPr>
        <w:t>前两</w:t>
      </w:r>
      <w:r>
        <w:rPr>
          <w:rFonts w:cs="Times New Roman" w:asciiTheme="minorEastAsia" w:hAnsiTheme="minorEastAsia" w:eastAsiaTheme="minorEastAsia"/>
          <w:color w:val="auto"/>
          <w:sz w:val="24"/>
          <w:szCs w:val="24"/>
          <w:highlight w:val="none"/>
        </w:rPr>
        <w:t>部分和本部分的约定不一致</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应以本部分的约定为准</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本部分的条款号应与</w:t>
      </w:r>
      <w:r>
        <w:rPr>
          <w:rFonts w:hint="eastAsia" w:cs="Times New Roman" w:asciiTheme="minorEastAsia" w:hAnsiTheme="minorEastAsia" w:eastAsiaTheme="minorEastAsia"/>
          <w:color w:val="auto"/>
          <w:sz w:val="24"/>
          <w:szCs w:val="24"/>
          <w:highlight w:val="none"/>
        </w:rPr>
        <w:t>前两部分</w:t>
      </w:r>
      <w:r>
        <w:rPr>
          <w:rFonts w:cs="Times New Roman" w:asciiTheme="minorEastAsia" w:hAnsiTheme="minorEastAsia" w:eastAsiaTheme="minorEastAsia"/>
          <w:color w:val="auto"/>
          <w:sz w:val="24"/>
          <w:szCs w:val="24"/>
          <w:highlight w:val="none"/>
        </w:rPr>
        <w:t>的条款号保持对应</w:t>
      </w:r>
      <w:r>
        <w:rPr>
          <w:rFonts w:hint="eastAsia" w:cs="Times New Roman" w:asciiTheme="minorEastAsia" w:hAnsiTheme="minorEastAsia" w:eastAsiaTheme="minorEastAsia"/>
          <w:color w:val="auto"/>
          <w:sz w:val="24"/>
          <w:szCs w:val="24"/>
          <w:highlight w:val="none"/>
        </w:rPr>
        <w:t>；与前两部分</w:t>
      </w:r>
      <w:r>
        <w:rPr>
          <w:rFonts w:cs="Times New Roman" w:asciiTheme="minorEastAsia" w:hAnsiTheme="minorEastAsia" w:eastAsiaTheme="minorEastAsia"/>
          <w:color w:val="auto"/>
          <w:sz w:val="24"/>
          <w:szCs w:val="24"/>
          <w:highlight w:val="none"/>
        </w:rPr>
        <w:t>无对应关系的内容可另行编制条款号</w:t>
      </w:r>
      <w:r>
        <w:rPr>
          <w:rFonts w:hint="eastAsia" w:cs="Times New Roman" w:asciiTheme="minorEastAsia" w:hAnsiTheme="minorEastAsia" w:eastAsiaTheme="minorEastAsia"/>
          <w:color w:val="auto"/>
          <w:sz w:val="24"/>
          <w:szCs w:val="24"/>
          <w:highlight w:val="none"/>
        </w:rPr>
        <w:t>。</w:t>
      </w:r>
    </w:p>
    <w:tbl>
      <w:tblPr>
        <w:tblStyle w:val="23"/>
        <w:tblW w:w="499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92"/>
        <w:gridCol w:w="7568"/>
      </w:tblGrid>
      <w:tr w14:paraId="4BA25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4" w:type="pct"/>
            <w:tcBorders>
              <w:left w:val="single" w:color="auto" w:sz="4" w:space="0"/>
            </w:tcBorders>
            <w:vAlign w:val="center"/>
          </w:tcPr>
          <w:p w14:paraId="1AAB69F2">
            <w:pPr>
              <w:jc w:val="center"/>
              <w:rPr>
                <w:rFonts w:cs="Times New Roman" w:asciiTheme="minorEastAsia" w:hAnsiTheme="minorEastAsia" w:eastAsiaTheme="minorEastAsia"/>
                <w:b/>
                <w:color w:val="auto"/>
                <w:sz w:val="24"/>
                <w:szCs w:val="24"/>
                <w:highlight w:val="none"/>
              </w:rPr>
            </w:pPr>
            <w:r>
              <w:rPr>
                <w:rFonts w:cs="Times New Roman" w:asciiTheme="minorEastAsia" w:hAnsiTheme="minorEastAsia" w:eastAsiaTheme="minorEastAsia"/>
                <w:b/>
                <w:color w:val="auto"/>
                <w:sz w:val="24"/>
                <w:szCs w:val="24"/>
                <w:highlight w:val="none"/>
              </w:rPr>
              <w:t>条款号</w:t>
            </w:r>
          </w:p>
        </w:tc>
        <w:tc>
          <w:tcPr>
            <w:tcW w:w="4525" w:type="pct"/>
            <w:vAlign w:val="center"/>
          </w:tcPr>
          <w:p w14:paraId="03369CF6">
            <w:pPr>
              <w:jc w:val="center"/>
              <w:rPr>
                <w:rFonts w:cs="Times New Roman" w:asciiTheme="minorEastAsia" w:hAnsiTheme="minorEastAsia" w:eastAsiaTheme="minorEastAsia"/>
                <w:b/>
                <w:color w:val="auto"/>
                <w:sz w:val="24"/>
                <w:szCs w:val="24"/>
                <w:highlight w:val="none"/>
              </w:rPr>
            </w:pPr>
            <w:r>
              <w:rPr>
                <w:rFonts w:cs="Times New Roman" w:asciiTheme="minorEastAsia" w:hAnsiTheme="minorEastAsia" w:eastAsiaTheme="minorEastAsia"/>
                <w:b/>
                <w:color w:val="auto"/>
                <w:sz w:val="24"/>
                <w:szCs w:val="24"/>
                <w:highlight w:val="none"/>
              </w:rPr>
              <w:t>约定内容</w:t>
            </w:r>
          </w:p>
        </w:tc>
      </w:tr>
      <w:tr w14:paraId="52F5B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4" w:type="pct"/>
            <w:tcBorders>
              <w:left w:val="single" w:color="auto" w:sz="4" w:space="0"/>
            </w:tcBorders>
            <w:vAlign w:val="center"/>
          </w:tcPr>
          <w:p w14:paraId="7A98CB77">
            <w:pPr>
              <w:spacing w:line="560" w:lineRule="exact"/>
              <w:rPr>
                <w:rFonts w:cs="Times New Roman" w:asciiTheme="minorEastAsia" w:hAnsiTheme="minorEastAsia" w:eastAsiaTheme="minorEastAsia"/>
                <w:color w:val="auto"/>
                <w:sz w:val="24"/>
                <w:szCs w:val="24"/>
                <w:highlight w:val="none"/>
              </w:rPr>
            </w:pPr>
          </w:p>
        </w:tc>
        <w:tc>
          <w:tcPr>
            <w:tcW w:w="4525" w:type="pct"/>
            <w:vAlign w:val="center"/>
          </w:tcPr>
          <w:p w14:paraId="123350FA">
            <w:pPr>
              <w:spacing w:line="560" w:lineRule="exact"/>
              <w:rPr>
                <w:rFonts w:cs="Times New Roman" w:asciiTheme="minorEastAsia" w:hAnsiTheme="minorEastAsia" w:eastAsiaTheme="minorEastAsia"/>
                <w:color w:val="auto"/>
                <w:sz w:val="24"/>
                <w:szCs w:val="24"/>
                <w:highlight w:val="none"/>
              </w:rPr>
            </w:pPr>
          </w:p>
        </w:tc>
      </w:tr>
      <w:tr w14:paraId="20A59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4" w:type="pct"/>
            <w:tcBorders>
              <w:left w:val="single" w:color="auto" w:sz="4" w:space="0"/>
            </w:tcBorders>
            <w:vAlign w:val="center"/>
          </w:tcPr>
          <w:p w14:paraId="005D0316">
            <w:pPr>
              <w:spacing w:line="560" w:lineRule="exact"/>
              <w:rPr>
                <w:rFonts w:cs="Times New Roman" w:asciiTheme="minorEastAsia" w:hAnsiTheme="minorEastAsia" w:eastAsiaTheme="minorEastAsia"/>
                <w:color w:val="auto"/>
                <w:sz w:val="24"/>
                <w:szCs w:val="24"/>
                <w:highlight w:val="none"/>
              </w:rPr>
            </w:pPr>
          </w:p>
        </w:tc>
        <w:tc>
          <w:tcPr>
            <w:tcW w:w="4525" w:type="pct"/>
            <w:vAlign w:val="center"/>
          </w:tcPr>
          <w:p w14:paraId="59F7DC18">
            <w:pPr>
              <w:spacing w:line="560" w:lineRule="exact"/>
              <w:rPr>
                <w:rFonts w:cs="Times New Roman" w:asciiTheme="minorEastAsia" w:hAnsiTheme="minorEastAsia" w:eastAsiaTheme="minorEastAsia"/>
                <w:color w:val="auto"/>
                <w:sz w:val="24"/>
                <w:szCs w:val="24"/>
                <w:highlight w:val="none"/>
              </w:rPr>
            </w:pPr>
          </w:p>
        </w:tc>
      </w:tr>
      <w:tr w14:paraId="630EE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4" w:type="pct"/>
            <w:tcBorders>
              <w:left w:val="single" w:color="auto" w:sz="4" w:space="0"/>
            </w:tcBorders>
            <w:vAlign w:val="center"/>
          </w:tcPr>
          <w:p w14:paraId="667C7F5D">
            <w:pPr>
              <w:spacing w:line="560" w:lineRule="exact"/>
              <w:rPr>
                <w:rFonts w:cs="Times New Roman" w:asciiTheme="minorEastAsia" w:hAnsiTheme="minorEastAsia" w:eastAsiaTheme="minorEastAsia"/>
                <w:color w:val="auto"/>
                <w:sz w:val="24"/>
                <w:szCs w:val="24"/>
                <w:highlight w:val="none"/>
              </w:rPr>
            </w:pPr>
          </w:p>
        </w:tc>
        <w:tc>
          <w:tcPr>
            <w:tcW w:w="4525" w:type="pct"/>
            <w:vAlign w:val="center"/>
          </w:tcPr>
          <w:p w14:paraId="459BE768">
            <w:pPr>
              <w:spacing w:line="560" w:lineRule="exact"/>
              <w:rPr>
                <w:rFonts w:cs="Times New Roman" w:asciiTheme="minorEastAsia" w:hAnsiTheme="minorEastAsia" w:eastAsiaTheme="minorEastAsia"/>
                <w:color w:val="auto"/>
                <w:sz w:val="24"/>
                <w:szCs w:val="24"/>
                <w:highlight w:val="none"/>
              </w:rPr>
            </w:pPr>
          </w:p>
        </w:tc>
      </w:tr>
      <w:tr w14:paraId="548E2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4" w:type="pct"/>
            <w:tcBorders>
              <w:left w:val="single" w:color="auto" w:sz="4" w:space="0"/>
            </w:tcBorders>
            <w:vAlign w:val="center"/>
          </w:tcPr>
          <w:p w14:paraId="316904E2">
            <w:pPr>
              <w:spacing w:line="560" w:lineRule="exact"/>
              <w:rPr>
                <w:rFonts w:cs="Times New Roman" w:asciiTheme="minorEastAsia" w:hAnsiTheme="minorEastAsia" w:eastAsiaTheme="minorEastAsia"/>
                <w:color w:val="auto"/>
                <w:sz w:val="24"/>
                <w:szCs w:val="24"/>
                <w:highlight w:val="none"/>
              </w:rPr>
            </w:pPr>
          </w:p>
        </w:tc>
        <w:tc>
          <w:tcPr>
            <w:tcW w:w="4525" w:type="pct"/>
            <w:vAlign w:val="center"/>
          </w:tcPr>
          <w:p w14:paraId="28F50975">
            <w:pPr>
              <w:spacing w:line="560" w:lineRule="exact"/>
              <w:rPr>
                <w:rFonts w:cs="Times New Roman" w:asciiTheme="minorEastAsia" w:hAnsiTheme="minorEastAsia" w:eastAsiaTheme="minorEastAsia"/>
                <w:color w:val="auto"/>
                <w:sz w:val="24"/>
                <w:szCs w:val="24"/>
                <w:highlight w:val="none"/>
              </w:rPr>
            </w:pPr>
          </w:p>
        </w:tc>
      </w:tr>
      <w:tr w14:paraId="6C728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4" w:type="pct"/>
            <w:tcBorders>
              <w:left w:val="single" w:color="auto" w:sz="4" w:space="0"/>
            </w:tcBorders>
            <w:vAlign w:val="center"/>
          </w:tcPr>
          <w:p w14:paraId="2AF21727">
            <w:pPr>
              <w:spacing w:line="560" w:lineRule="exact"/>
              <w:rPr>
                <w:rFonts w:cs="Times New Roman" w:asciiTheme="minorEastAsia" w:hAnsiTheme="minorEastAsia" w:eastAsiaTheme="minorEastAsia"/>
                <w:color w:val="auto"/>
                <w:sz w:val="24"/>
                <w:szCs w:val="24"/>
                <w:highlight w:val="none"/>
              </w:rPr>
            </w:pPr>
          </w:p>
        </w:tc>
        <w:tc>
          <w:tcPr>
            <w:tcW w:w="4525" w:type="pct"/>
            <w:vAlign w:val="center"/>
          </w:tcPr>
          <w:p w14:paraId="6BBB69B5">
            <w:pPr>
              <w:spacing w:line="560" w:lineRule="exact"/>
              <w:rPr>
                <w:rFonts w:cs="Times New Roman" w:asciiTheme="minorEastAsia" w:hAnsiTheme="minorEastAsia" w:eastAsiaTheme="minorEastAsia"/>
                <w:color w:val="auto"/>
                <w:sz w:val="24"/>
                <w:szCs w:val="24"/>
                <w:highlight w:val="none"/>
                <w:u w:val="single"/>
              </w:rPr>
            </w:pPr>
          </w:p>
        </w:tc>
      </w:tr>
      <w:tr w14:paraId="18129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4" w:type="pct"/>
            <w:tcBorders>
              <w:left w:val="single" w:color="auto" w:sz="4" w:space="0"/>
            </w:tcBorders>
            <w:vAlign w:val="center"/>
          </w:tcPr>
          <w:p w14:paraId="6B982648">
            <w:pPr>
              <w:spacing w:line="560" w:lineRule="exact"/>
              <w:rPr>
                <w:rFonts w:cs="Times New Roman" w:asciiTheme="minorEastAsia" w:hAnsiTheme="minorEastAsia" w:eastAsiaTheme="minorEastAsia"/>
                <w:color w:val="auto"/>
                <w:sz w:val="24"/>
                <w:szCs w:val="24"/>
                <w:highlight w:val="none"/>
              </w:rPr>
            </w:pPr>
          </w:p>
        </w:tc>
        <w:tc>
          <w:tcPr>
            <w:tcW w:w="4525" w:type="pct"/>
            <w:vAlign w:val="center"/>
          </w:tcPr>
          <w:p w14:paraId="7337A1D3">
            <w:pPr>
              <w:spacing w:line="560" w:lineRule="exact"/>
              <w:rPr>
                <w:rFonts w:cs="Times New Roman" w:asciiTheme="minorEastAsia" w:hAnsiTheme="minorEastAsia" w:eastAsiaTheme="minorEastAsia"/>
                <w:color w:val="auto"/>
                <w:sz w:val="24"/>
                <w:szCs w:val="24"/>
                <w:highlight w:val="none"/>
              </w:rPr>
            </w:pPr>
          </w:p>
        </w:tc>
      </w:tr>
      <w:tr w14:paraId="1A588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4" w:type="pct"/>
            <w:tcBorders>
              <w:left w:val="single" w:color="auto" w:sz="4" w:space="0"/>
            </w:tcBorders>
            <w:vAlign w:val="center"/>
          </w:tcPr>
          <w:p w14:paraId="355333C3">
            <w:pPr>
              <w:spacing w:line="560" w:lineRule="exact"/>
              <w:rPr>
                <w:rFonts w:cs="Times New Roman" w:asciiTheme="minorEastAsia" w:hAnsiTheme="minorEastAsia" w:eastAsiaTheme="minorEastAsia"/>
                <w:color w:val="auto"/>
                <w:sz w:val="24"/>
                <w:szCs w:val="24"/>
                <w:highlight w:val="none"/>
              </w:rPr>
            </w:pPr>
          </w:p>
        </w:tc>
        <w:tc>
          <w:tcPr>
            <w:tcW w:w="4525" w:type="pct"/>
            <w:vAlign w:val="center"/>
          </w:tcPr>
          <w:p w14:paraId="5E1C4279">
            <w:pPr>
              <w:spacing w:line="560" w:lineRule="exact"/>
              <w:rPr>
                <w:rFonts w:cs="Times New Roman" w:asciiTheme="minorEastAsia" w:hAnsiTheme="minorEastAsia" w:eastAsiaTheme="minorEastAsia"/>
                <w:color w:val="auto"/>
                <w:sz w:val="24"/>
                <w:szCs w:val="24"/>
                <w:highlight w:val="none"/>
                <w:u w:val="single"/>
              </w:rPr>
            </w:pPr>
          </w:p>
        </w:tc>
      </w:tr>
      <w:tr w14:paraId="71F38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4" w:type="pct"/>
            <w:tcBorders>
              <w:left w:val="single" w:color="auto" w:sz="4" w:space="0"/>
            </w:tcBorders>
            <w:vAlign w:val="center"/>
          </w:tcPr>
          <w:p w14:paraId="119999CA">
            <w:pPr>
              <w:spacing w:line="560" w:lineRule="exact"/>
              <w:rPr>
                <w:rFonts w:cs="Times New Roman" w:asciiTheme="minorEastAsia" w:hAnsiTheme="minorEastAsia" w:eastAsiaTheme="minorEastAsia"/>
                <w:color w:val="auto"/>
                <w:sz w:val="24"/>
                <w:szCs w:val="24"/>
                <w:highlight w:val="none"/>
              </w:rPr>
            </w:pPr>
          </w:p>
        </w:tc>
        <w:tc>
          <w:tcPr>
            <w:tcW w:w="4525" w:type="pct"/>
            <w:vAlign w:val="center"/>
          </w:tcPr>
          <w:p w14:paraId="77063A13">
            <w:pPr>
              <w:spacing w:line="560" w:lineRule="exact"/>
              <w:rPr>
                <w:rFonts w:cs="Times New Roman" w:asciiTheme="minorEastAsia" w:hAnsiTheme="minorEastAsia" w:eastAsiaTheme="minorEastAsia"/>
                <w:color w:val="auto"/>
                <w:sz w:val="24"/>
                <w:szCs w:val="24"/>
                <w:highlight w:val="none"/>
              </w:rPr>
            </w:pPr>
          </w:p>
        </w:tc>
      </w:tr>
      <w:tr w14:paraId="3FB60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4" w:type="pct"/>
            <w:tcBorders>
              <w:left w:val="single" w:color="auto" w:sz="4" w:space="0"/>
            </w:tcBorders>
            <w:vAlign w:val="center"/>
          </w:tcPr>
          <w:p w14:paraId="01A306BB">
            <w:pPr>
              <w:spacing w:line="560" w:lineRule="exact"/>
              <w:rPr>
                <w:rFonts w:cs="Times New Roman" w:asciiTheme="minorEastAsia" w:hAnsiTheme="minorEastAsia" w:eastAsiaTheme="minorEastAsia"/>
                <w:color w:val="auto"/>
                <w:sz w:val="24"/>
                <w:szCs w:val="24"/>
                <w:highlight w:val="none"/>
              </w:rPr>
            </w:pPr>
          </w:p>
        </w:tc>
        <w:tc>
          <w:tcPr>
            <w:tcW w:w="4525" w:type="pct"/>
            <w:vAlign w:val="center"/>
          </w:tcPr>
          <w:p w14:paraId="478962BA">
            <w:pPr>
              <w:spacing w:line="560" w:lineRule="exact"/>
              <w:rPr>
                <w:rFonts w:cs="Times New Roman" w:asciiTheme="minorEastAsia" w:hAnsiTheme="minorEastAsia" w:eastAsiaTheme="minorEastAsia"/>
                <w:color w:val="auto"/>
                <w:sz w:val="24"/>
                <w:szCs w:val="24"/>
                <w:highlight w:val="none"/>
              </w:rPr>
            </w:pPr>
          </w:p>
        </w:tc>
      </w:tr>
      <w:tr w14:paraId="74ACB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4" w:type="pct"/>
            <w:tcBorders>
              <w:left w:val="single" w:color="auto" w:sz="4" w:space="0"/>
            </w:tcBorders>
            <w:vAlign w:val="center"/>
          </w:tcPr>
          <w:p w14:paraId="5B567133">
            <w:pPr>
              <w:spacing w:line="560" w:lineRule="exact"/>
              <w:rPr>
                <w:rFonts w:cs="Times New Roman" w:asciiTheme="minorEastAsia" w:hAnsiTheme="minorEastAsia" w:eastAsiaTheme="minorEastAsia"/>
                <w:color w:val="auto"/>
                <w:sz w:val="24"/>
                <w:szCs w:val="24"/>
                <w:highlight w:val="none"/>
              </w:rPr>
            </w:pPr>
          </w:p>
        </w:tc>
        <w:tc>
          <w:tcPr>
            <w:tcW w:w="4525" w:type="pct"/>
            <w:vAlign w:val="center"/>
          </w:tcPr>
          <w:p w14:paraId="09097817">
            <w:pPr>
              <w:spacing w:line="560" w:lineRule="exact"/>
              <w:rPr>
                <w:rFonts w:cs="Times New Roman" w:asciiTheme="minorEastAsia" w:hAnsiTheme="minorEastAsia" w:eastAsiaTheme="minorEastAsia"/>
                <w:color w:val="auto"/>
                <w:sz w:val="24"/>
                <w:szCs w:val="24"/>
                <w:highlight w:val="none"/>
              </w:rPr>
            </w:pPr>
          </w:p>
        </w:tc>
      </w:tr>
      <w:tr w14:paraId="2E379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4" w:type="pct"/>
            <w:tcBorders>
              <w:top w:val="single" w:color="auto" w:sz="6" w:space="0"/>
              <w:left w:val="single" w:color="auto" w:sz="4" w:space="0"/>
              <w:bottom w:val="single" w:color="auto" w:sz="6" w:space="0"/>
              <w:right w:val="single" w:color="auto" w:sz="6" w:space="0"/>
            </w:tcBorders>
            <w:vAlign w:val="center"/>
          </w:tcPr>
          <w:p w14:paraId="42252F1E">
            <w:pPr>
              <w:spacing w:line="560" w:lineRule="exact"/>
              <w:rPr>
                <w:rFonts w:cs="Times New Roman" w:asciiTheme="minorEastAsia" w:hAnsiTheme="minorEastAsia" w:eastAsiaTheme="minorEastAsia"/>
                <w:color w:val="auto"/>
                <w:sz w:val="24"/>
                <w:szCs w:val="24"/>
                <w:highlight w:val="none"/>
              </w:rPr>
            </w:pPr>
          </w:p>
        </w:tc>
        <w:tc>
          <w:tcPr>
            <w:tcW w:w="4525" w:type="pct"/>
            <w:tcBorders>
              <w:top w:val="single" w:color="auto" w:sz="6" w:space="0"/>
              <w:left w:val="single" w:color="auto" w:sz="6" w:space="0"/>
              <w:bottom w:val="single" w:color="auto" w:sz="6" w:space="0"/>
              <w:right w:val="single" w:color="auto" w:sz="6" w:space="0"/>
            </w:tcBorders>
            <w:vAlign w:val="center"/>
          </w:tcPr>
          <w:p w14:paraId="35553BCD">
            <w:pPr>
              <w:spacing w:line="560" w:lineRule="exact"/>
              <w:rPr>
                <w:rFonts w:cs="Times New Roman" w:asciiTheme="minorEastAsia" w:hAnsiTheme="minorEastAsia" w:eastAsiaTheme="minorEastAsia"/>
                <w:color w:val="auto"/>
                <w:sz w:val="24"/>
                <w:szCs w:val="24"/>
                <w:highlight w:val="none"/>
              </w:rPr>
            </w:pPr>
          </w:p>
        </w:tc>
      </w:tr>
      <w:tr w14:paraId="3F463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4" w:type="pct"/>
            <w:tcBorders>
              <w:top w:val="single" w:color="auto" w:sz="6" w:space="0"/>
              <w:left w:val="single" w:color="auto" w:sz="4" w:space="0"/>
              <w:bottom w:val="single" w:color="auto" w:sz="6" w:space="0"/>
              <w:right w:val="single" w:color="auto" w:sz="6" w:space="0"/>
            </w:tcBorders>
            <w:vAlign w:val="center"/>
          </w:tcPr>
          <w:p w14:paraId="46377505">
            <w:pPr>
              <w:spacing w:line="560" w:lineRule="exact"/>
              <w:rPr>
                <w:rFonts w:cs="Times New Roman" w:asciiTheme="minorEastAsia" w:hAnsiTheme="minorEastAsia" w:eastAsiaTheme="minorEastAsia"/>
                <w:color w:val="auto"/>
                <w:sz w:val="24"/>
                <w:szCs w:val="24"/>
                <w:highlight w:val="none"/>
              </w:rPr>
            </w:pPr>
          </w:p>
        </w:tc>
        <w:tc>
          <w:tcPr>
            <w:tcW w:w="4525" w:type="pct"/>
            <w:tcBorders>
              <w:top w:val="single" w:color="auto" w:sz="6" w:space="0"/>
              <w:left w:val="single" w:color="auto" w:sz="6" w:space="0"/>
              <w:bottom w:val="single" w:color="auto" w:sz="6" w:space="0"/>
              <w:right w:val="single" w:color="auto" w:sz="6" w:space="0"/>
            </w:tcBorders>
            <w:vAlign w:val="center"/>
          </w:tcPr>
          <w:p w14:paraId="7F6C7E1F">
            <w:pPr>
              <w:spacing w:line="560" w:lineRule="exact"/>
              <w:rPr>
                <w:rFonts w:cs="Times New Roman" w:asciiTheme="minorEastAsia" w:hAnsiTheme="minorEastAsia" w:eastAsiaTheme="minorEastAsia"/>
                <w:color w:val="auto"/>
                <w:sz w:val="24"/>
                <w:szCs w:val="24"/>
                <w:highlight w:val="none"/>
              </w:rPr>
            </w:pPr>
          </w:p>
        </w:tc>
      </w:tr>
    </w:tbl>
    <w:p w14:paraId="7441F9A3">
      <w:pPr>
        <w:spacing w:line="360" w:lineRule="auto"/>
        <w:rPr>
          <w:rFonts w:asciiTheme="minorEastAsia" w:hAnsiTheme="minorEastAsia" w:eastAsiaTheme="minorEastAsia" w:cstheme="minorEastAsia"/>
          <w:color w:val="auto"/>
          <w:sz w:val="28"/>
          <w:szCs w:val="27"/>
          <w:highlight w:val="none"/>
        </w:rPr>
      </w:pPr>
    </w:p>
    <w:p w14:paraId="23455C14">
      <w:pPr>
        <w:spacing w:line="360" w:lineRule="auto"/>
        <w:rPr>
          <w:rFonts w:asciiTheme="minorEastAsia" w:hAnsiTheme="minorEastAsia" w:eastAsiaTheme="minorEastAsia"/>
          <w:color w:val="000000" w:themeColor="text1"/>
          <w:sz w:val="24"/>
          <w14:textFill>
            <w14:solidFill>
              <w14:schemeClr w14:val="tx1"/>
            </w14:solidFill>
          </w14:textFill>
        </w:rPr>
      </w:pPr>
    </w:p>
    <w:p w14:paraId="1C8B28B2">
      <w:pPr>
        <w:widowControl/>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br w:type="page"/>
      </w:r>
    </w:p>
    <w:bookmarkEnd w:id="60"/>
    <w:p w14:paraId="56277FB1">
      <w:pPr>
        <w:spacing w:line="360" w:lineRule="auto"/>
        <w:jc w:val="center"/>
        <w:outlineLvl w:val="0"/>
        <w:rPr>
          <w:rFonts w:asciiTheme="minorEastAsia" w:hAnsiTheme="minorEastAsia" w:eastAsiaTheme="minorEastAsia"/>
          <w:b/>
          <w:color w:val="auto"/>
          <w:sz w:val="28"/>
          <w:highlight w:val="none"/>
        </w:rPr>
      </w:pPr>
      <w:bookmarkStart w:id="177" w:name="_Toc1406"/>
      <w:r>
        <w:rPr>
          <w:rFonts w:hint="eastAsia" w:asciiTheme="minorEastAsia" w:hAnsiTheme="minorEastAsia" w:eastAsiaTheme="minorEastAsia"/>
          <w:b/>
          <w:color w:val="auto"/>
          <w:sz w:val="28"/>
          <w:highlight w:val="none"/>
        </w:rPr>
        <w:t>第六章  投标文件格式</w:t>
      </w:r>
      <w:bookmarkEnd w:id="177"/>
    </w:p>
    <w:p w14:paraId="0BE3A262">
      <w:pPr>
        <w:spacing w:line="900" w:lineRule="exact"/>
        <w:jc w:val="center"/>
        <w:rPr>
          <w:rFonts w:asciiTheme="minorEastAsia" w:hAnsiTheme="minorEastAsia" w:eastAsiaTheme="minorEastAsia"/>
          <w:b/>
          <w:color w:val="auto"/>
          <w:sz w:val="72"/>
          <w:highlight w:val="none"/>
        </w:rPr>
      </w:pPr>
    </w:p>
    <w:p w14:paraId="28333A5F">
      <w:pPr>
        <w:spacing w:line="900" w:lineRule="exact"/>
        <w:jc w:val="center"/>
        <w:outlineLvl w:val="1"/>
        <w:rPr>
          <w:rFonts w:asciiTheme="minorEastAsia" w:hAnsiTheme="minorEastAsia" w:eastAsiaTheme="minorEastAsia"/>
          <w:b/>
          <w:color w:val="auto"/>
          <w:sz w:val="72"/>
          <w:highlight w:val="none"/>
        </w:rPr>
      </w:pPr>
      <w:bookmarkStart w:id="178" w:name="_Toc25955"/>
      <w:bookmarkStart w:id="179" w:name="_Toc5119"/>
      <w:r>
        <w:rPr>
          <w:rFonts w:hint="eastAsia" w:asciiTheme="minorEastAsia" w:hAnsiTheme="minorEastAsia" w:eastAsiaTheme="minorEastAsia"/>
          <w:b/>
          <w:color w:val="auto"/>
          <w:sz w:val="72"/>
          <w:highlight w:val="none"/>
        </w:rPr>
        <w:t>投</w:t>
      </w:r>
      <w:bookmarkEnd w:id="178"/>
      <w:bookmarkEnd w:id="179"/>
    </w:p>
    <w:p w14:paraId="65B3FCDF">
      <w:pPr>
        <w:spacing w:line="900" w:lineRule="exact"/>
        <w:jc w:val="center"/>
        <w:rPr>
          <w:rFonts w:asciiTheme="minorEastAsia" w:hAnsiTheme="minorEastAsia" w:eastAsiaTheme="minorEastAsia"/>
          <w:b/>
          <w:color w:val="auto"/>
          <w:sz w:val="72"/>
          <w:highlight w:val="none"/>
        </w:rPr>
      </w:pPr>
    </w:p>
    <w:p w14:paraId="72C96EB4">
      <w:pPr>
        <w:spacing w:line="900" w:lineRule="exact"/>
        <w:jc w:val="center"/>
        <w:outlineLvl w:val="1"/>
        <w:rPr>
          <w:rFonts w:asciiTheme="minorEastAsia" w:hAnsiTheme="minorEastAsia" w:eastAsiaTheme="minorEastAsia"/>
          <w:b/>
          <w:color w:val="auto"/>
          <w:sz w:val="72"/>
          <w:highlight w:val="none"/>
        </w:rPr>
      </w:pPr>
      <w:bookmarkStart w:id="180" w:name="_Toc17286"/>
      <w:bookmarkStart w:id="181" w:name="_Toc4782"/>
      <w:r>
        <w:rPr>
          <w:rFonts w:hint="eastAsia" w:asciiTheme="minorEastAsia" w:hAnsiTheme="minorEastAsia" w:eastAsiaTheme="minorEastAsia"/>
          <w:b/>
          <w:color w:val="auto"/>
          <w:sz w:val="72"/>
          <w:highlight w:val="none"/>
        </w:rPr>
        <w:t>标</w:t>
      </w:r>
      <w:bookmarkEnd w:id="180"/>
      <w:bookmarkEnd w:id="181"/>
    </w:p>
    <w:p w14:paraId="28EF8105">
      <w:pPr>
        <w:spacing w:line="900" w:lineRule="exact"/>
        <w:jc w:val="center"/>
        <w:rPr>
          <w:rFonts w:asciiTheme="minorEastAsia" w:hAnsiTheme="minorEastAsia" w:eastAsiaTheme="minorEastAsia"/>
          <w:b/>
          <w:color w:val="auto"/>
          <w:sz w:val="72"/>
          <w:highlight w:val="none"/>
        </w:rPr>
      </w:pPr>
    </w:p>
    <w:p w14:paraId="5F83B7C1">
      <w:pPr>
        <w:spacing w:line="900" w:lineRule="exact"/>
        <w:jc w:val="center"/>
        <w:outlineLvl w:val="1"/>
        <w:rPr>
          <w:rFonts w:asciiTheme="minorEastAsia" w:hAnsiTheme="minorEastAsia" w:eastAsiaTheme="minorEastAsia"/>
          <w:b/>
          <w:color w:val="auto"/>
          <w:sz w:val="72"/>
          <w:highlight w:val="none"/>
        </w:rPr>
      </w:pPr>
      <w:bookmarkStart w:id="182" w:name="_Toc16599"/>
      <w:bookmarkStart w:id="183" w:name="_Toc19607"/>
      <w:r>
        <w:rPr>
          <w:rFonts w:hint="eastAsia" w:asciiTheme="minorEastAsia" w:hAnsiTheme="minorEastAsia" w:eastAsiaTheme="minorEastAsia"/>
          <w:b/>
          <w:color w:val="auto"/>
          <w:sz w:val="72"/>
          <w:highlight w:val="none"/>
        </w:rPr>
        <w:t>文</w:t>
      </w:r>
      <w:bookmarkEnd w:id="182"/>
      <w:bookmarkEnd w:id="183"/>
    </w:p>
    <w:p w14:paraId="73D40C0D">
      <w:pPr>
        <w:spacing w:line="900" w:lineRule="exact"/>
        <w:jc w:val="center"/>
        <w:rPr>
          <w:rFonts w:asciiTheme="minorEastAsia" w:hAnsiTheme="minorEastAsia" w:eastAsiaTheme="minorEastAsia"/>
          <w:b/>
          <w:color w:val="auto"/>
          <w:sz w:val="72"/>
          <w:highlight w:val="none"/>
        </w:rPr>
      </w:pPr>
    </w:p>
    <w:p w14:paraId="0ED84D7E">
      <w:pPr>
        <w:jc w:val="center"/>
        <w:outlineLvl w:val="1"/>
        <w:rPr>
          <w:rFonts w:asciiTheme="minorEastAsia" w:hAnsiTheme="minorEastAsia" w:eastAsiaTheme="minorEastAsia"/>
          <w:b/>
          <w:color w:val="auto"/>
          <w:sz w:val="72"/>
          <w:highlight w:val="none"/>
        </w:rPr>
      </w:pPr>
      <w:bookmarkStart w:id="184" w:name="_Toc3627"/>
      <w:bookmarkStart w:id="185" w:name="_Toc8365"/>
      <w:r>
        <w:rPr>
          <w:rFonts w:hint="eastAsia" w:asciiTheme="minorEastAsia" w:hAnsiTheme="minorEastAsia" w:eastAsiaTheme="minorEastAsia"/>
          <w:b/>
          <w:color w:val="auto"/>
          <w:sz w:val="72"/>
          <w:highlight w:val="none"/>
        </w:rPr>
        <w:t>件</w:t>
      </w:r>
      <w:bookmarkEnd w:id="184"/>
      <w:bookmarkEnd w:id="185"/>
    </w:p>
    <w:p w14:paraId="358F2141">
      <w:pPr>
        <w:spacing w:after="156" w:afterLines="50"/>
        <w:jc w:val="center"/>
        <w:rPr>
          <w:rFonts w:asciiTheme="minorEastAsia" w:hAnsiTheme="minorEastAsia" w:eastAsiaTheme="minorEastAsia"/>
          <w:b/>
          <w:color w:val="auto"/>
          <w:sz w:val="72"/>
          <w:highlight w:val="none"/>
        </w:rPr>
      </w:pPr>
    </w:p>
    <w:p w14:paraId="6870BD53">
      <w:pPr>
        <w:spacing w:before="156" w:beforeLines="50" w:after="156" w:afterLines="50"/>
        <w:jc w:val="center"/>
        <w:outlineLvl w:val="9"/>
        <w:rPr>
          <w:rFonts w:asciiTheme="minorEastAsia" w:hAnsiTheme="minorEastAsia" w:eastAsiaTheme="minorEastAsia"/>
          <w:b/>
          <w:color w:val="auto"/>
          <w:sz w:val="32"/>
          <w:szCs w:val="32"/>
          <w:highlight w:val="none"/>
        </w:rPr>
      </w:pPr>
    </w:p>
    <w:p w14:paraId="2900E40E">
      <w:pPr>
        <w:spacing w:after="156" w:afterLines="50" w:line="500" w:lineRule="exact"/>
        <w:jc w:val="center"/>
        <w:rPr>
          <w:rFonts w:asciiTheme="minorEastAsia" w:hAnsiTheme="minorEastAsia" w:eastAsiaTheme="minorEastAsia"/>
          <w:b/>
          <w:color w:val="auto"/>
          <w:sz w:val="28"/>
          <w:szCs w:val="28"/>
          <w:highlight w:val="none"/>
        </w:rPr>
      </w:pPr>
    </w:p>
    <w:p w14:paraId="628F306B">
      <w:pPr>
        <w:tabs>
          <w:tab w:val="left" w:pos="2410"/>
        </w:tabs>
        <w:autoSpaceDE w:val="0"/>
        <w:autoSpaceDN w:val="0"/>
        <w:adjustRightInd w:val="0"/>
        <w:snapToGrid w:val="0"/>
        <w:spacing w:line="360" w:lineRule="auto"/>
        <w:ind w:firstLine="1928" w:firstLineChars="600"/>
        <w:jc w:val="both"/>
        <w:outlineLvl w:val="9"/>
        <w:rPr>
          <w:rFonts w:hint="default" w:ascii="宋体" w:hAnsi="宋体" w:eastAsia="宋体"/>
          <w:b/>
          <w:color w:val="auto"/>
          <w:spacing w:val="20"/>
          <w:kern w:val="0"/>
          <w:sz w:val="32"/>
          <w:szCs w:val="32"/>
          <w:highlight w:val="none"/>
          <w:lang w:val="en-US" w:eastAsia="zh-CN"/>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1107C125">
      <w:pPr>
        <w:tabs>
          <w:tab w:val="left" w:pos="2410"/>
        </w:tabs>
        <w:autoSpaceDE w:val="0"/>
        <w:autoSpaceDN w:val="0"/>
        <w:adjustRightInd w:val="0"/>
        <w:snapToGrid w:val="0"/>
        <w:spacing w:line="360" w:lineRule="auto"/>
        <w:ind w:firstLine="1928" w:firstLineChars="600"/>
        <w:jc w:val="both"/>
        <w:outlineLvl w:val="9"/>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4094E761">
      <w:pPr>
        <w:tabs>
          <w:tab w:val="left" w:pos="2410"/>
        </w:tabs>
        <w:autoSpaceDE w:val="0"/>
        <w:autoSpaceDN w:val="0"/>
        <w:adjustRightInd w:val="0"/>
        <w:snapToGrid w:val="0"/>
        <w:spacing w:line="360" w:lineRule="auto"/>
        <w:ind w:firstLine="1928" w:firstLineChars="600"/>
        <w:jc w:val="both"/>
        <w:outlineLvl w:val="9"/>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lang w:val="en-US" w:eastAsia="zh-CN"/>
        </w:rPr>
        <w:t xml:space="preserve">投 </w:t>
      </w:r>
      <w:r>
        <w:rPr>
          <w:rFonts w:hint="eastAsia" w:asciiTheme="minorEastAsia" w:hAnsiTheme="minorEastAsia" w:eastAsiaTheme="minorEastAsia"/>
          <w:b/>
          <w:color w:val="auto"/>
          <w:sz w:val="32"/>
          <w:highlight w:val="none"/>
        </w:rPr>
        <w:t>标</w:t>
      </w:r>
      <w:r>
        <w:rPr>
          <w:rFonts w:hint="eastAsia" w:asciiTheme="minorEastAsia" w:hAnsiTheme="minorEastAsia" w:eastAsiaTheme="minorEastAsia"/>
          <w:b/>
          <w:color w:val="auto"/>
          <w:sz w:val="32"/>
          <w:highlight w:val="none"/>
          <w:lang w:val="en-US" w:eastAsia="zh-CN"/>
        </w:rPr>
        <w:t xml:space="preserve"> </w:t>
      </w:r>
      <w:r>
        <w:rPr>
          <w:rFonts w:hint="eastAsia" w:asciiTheme="minorEastAsia" w:hAnsiTheme="minorEastAsia" w:eastAsiaTheme="minorEastAsia"/>
          <w:b/>
          <w:color w:val="auto"/>
          <w:sz w:val="32"/>
          <w:highlight w:val="none"/>
        </w:rPr>
        <w:t>人：</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126F1D8B">
      <w:pPr>
        <w:spacing w:after="156" w:afterLines="50" w:line="500" w:lineRule="exact"/>
        <w:jc w:val="center"/>
        <w:outlineLvl w:val="1"/>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186" w:name="_Toc8037"/>
      <w:bookmarkStart w:id="187" w:name="_Toc28938"/>
      <w:bookmarkStart w:id="188" w:name="_Toc19687"/>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186"/>
      <w:bookmarkEnd w:id="187"/>
      <w:bookmarkEnd w:id="188"/>
    </w:p>
    <w:p w14:paraId="33BD3F5B">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365DD24D">
      <w:pPr>
        <w:spacing w:line="360" w:lineRule="auto"/>
        <w:jc w:val="center"/>
        <w:outlineLvl w:val="1"/>
        <w:rPr>
          <w:rFonts w:asciiTheme="minorEastAsia" w:hAnsiTheme="minorEastAsia" w:eastAsiaTheme="minorEastAsia"/>
          <w:b/>
          <w:color w:val="auto"/>
          <w:sz w:val="24"/>
          <w:highlight w:val="none"/>
        </w:rPr>
      </w:pPr>
      <w:bookmarkStart w:id="189" w:name="_Toc17986"/>
      <w:bookmarkStart w:id="190" w:name="_Toc22476"/>
      <w:bookmarkStart w:id="191" w:name="_Toc28960"/>
      <w:r>
        <w:rPr>
          <w:rFonts w:hint="eastAsia" w:asciiTheme="minorEastAsia" w:hAnsiTheme="minorEastAsia" w:eastAsiaTheme="minorEastAsia"/>
          <w:b/>
          <w:color w:val="auto"/>
          <w:sz w:val="24"/>
          <w:highlight w:val="none"/>
        </w:rPr>
        <w:t>一、开标一览表</w:t>
      </w:r>
      <w:bookmarkEnd w:id="189"/>
      <w:bookmarkEnd w:id="190"/>
      <w:bookmarkEnd w:id="191"/>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0B22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352" w:type="pct"/>
            <w:tcBorders>
              <w:top w:val="single" w:color="auto" w:sz="4" w:space="0"/>
              <w:bottom w:val="single" w:color="auto" w:sz="4" w:space="0"/>
              <w:right w:val="single" w:color="auto" w:sz="4" w:space="0"/>
            </w:tcBorders>
            <w:vAlign w:val="center"/>
          </w:tcPr>
          <w:p w14:paraId="279F24A5">
            <w:pPr>
              <w:widowControl/>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项目名称</w:t>
            </w:r>
          </w:p>
        </w:tc>
        <w:tc>
          <w:tcPr>
            <w:tcW w:w="3648" w:type="pct"/>
            <w:tcBorders>
              <w:top w:val="single" w:color="auto" w:sz="4" w:space="0"/>
              <w:bottom w:val="single" w:color="auto" w:sz="4" w:space="0"/>
              <w:right w:val="single" w:color="auto" w:sz="4" w:space="0"/>
            </w:tcBorders>
            <w:vAlign w:val="center"/>
          </w:tcPr>
          <w:p w14:paraId="2233F36C">
            <w:pPr>
              <w:spacing w:line="360" w:lineRule="exact"/>
              <w:jc w:val="center"/>
              <w:rPr>
                <w:rFonts w:asciiTheme="minorEastAsia" w:hAnsiTheme="minorEastAsia" w:eastAsiaTheme="minorEastAsia"/>
                <w:bCs/>
                <w:color w:val="auto"/>
                <w:sz w:val="24"/>
                <w:highlight w:val="none"/>
                <w:u w:val="single"/>
              </w:rPr>
            </w:pPr>
          </w:p>
        </w:tc>
      </w:tr>
      <w:tr w14:paraId="1AE0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3256AA1A">
            <w:pPr>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投标人全称</w:t>
            </w:r>
          </w:p>
        </w:tc>
        <w:tc>
          <w:tcPr>
            <w:tcW w:w="3648" w:type="pct"/>
            <w:tcBorders>
              <w:top w:val="nil"/>
            </w:tcBorders>
            <w:vAlign w:val="center"/>
          </w:tcPr>
          <w:p w14:paraId="747511F0">
            <w:pPr>
              <w:spacing w:line="360" w:lineRule="auto"/>
              <w:rPr>
                <w:rFonts w:asciiTheme="minorEastAsia" w:hAnsiTheme="minorEastAsia" w:eastAsiaTheme="minorEastAsia"/>
                <w:color w:val="auto"/>
                <w:sz w:val="24"/>
                <w:highlight w:val="none"/>
              </w:rPr>
            </w:pPr>
          </w:p>
        </w:tc>
      </w:tr>
      <w:tr w14:paraId="7F002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2CFEE2F9">
            <w:pPr>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投标范围</w:t>
            </w:r>
          </w:p>
        </w:tc>
        <w:tc>
          <w:tcPr>
            <w:tcW w:w="3648" w:type="pct"/>
            <w:tcBorders>
              <w:top w:val="nil"/>
            </w:tcBorders>
            <w:vAlign w:val="center"/>
          </w:tcPr>
          <w:p w14:paraId="0B4703BE">
            <w:pPr>
              <w:keepNext w:val="0"/>
              <w:keepLines w:val="0"/>
              <w:pageBreakBefore w:val="0"/>
              <w:widowControl/>
              <w:kinsoku/>
              <w:wordWrap/>
              <w:overflowPunct/>
              <w:topLinePunct w:val="0"/>
              <w:autoSpaceDE/>
              <w:autoSpaceDN/>
              <w:bidi w:val="0"/>
              <w:adjustRightInd/>
              <w:spacing w:line="360" w:lineRule="auto"/>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8"/>
                <w:highlight w:val="none"/>
              </w:rPr>
              <w:t>全部/第</w:t>
            </w:r>
            <w:r>
              <w:rPr>
                <w:rFonts w:hint="eastAsia" w:asciiTheme="minorEastAsia" w:hAnsiTheme="minorEastAsia" w:eastAsiaTheme="minorEastAsia"/>
                <w:color w:val="auto"/>
                <w:sz w:val="24"/>
                <w:szCs w:val="28"/>
                <w:highlight w:val="none"/>
                <w:u w:val="single"/>
              </w:rPr>
              <w:t xml:space="preserve">   </w:t>
            </w:r>
            <w:r>
              <w:rPr>
                <w:rFonts w:hint="eastAsia" w:asciiTheme="minorEastAsia" w:hAnsiTheme="minorEastAsia" w:eastAsiaTheme="minorEastAsia"/>
                <w:color w:val="auto"/>
                <w:sz w:val="24"/>
                <w:szCs w:val="28"/>
                <w:highlight w:val="none"/>
              </w:rPr>
              <w:t>包</w:t>
            </w:r>
          </w:p>
        </w:tc>
      </w:tr>
      <w:tr w14:paraId="498D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263ADE96">
            <w:pPr>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投标报价</w:t>
            </w:r>
          </w:p>
        </w:tc>
        <w:tc>
          <w:tcPr>
            <w:tcW w:w="3648" w:type="pct"/>
            <w:tcBorders>
              <w:top w:val="nil"/>
            </w:tcBorders>
            <w:vAlign w:val="center"/>
          </w:tcPr>
          <w:p w14:paraId="7B3AAF72">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109E7028">
            <w:pPr>
              <w:keepNext w:val="0"/>
              <w:keepLines w:val="0"/>
              <w:pageBreakBefore w:val="0"/>
              <w:kinsoku/>
              <w:wordWrap/>
              <w:overflowPunct/>
              <w:topLinePunct w:val="0"/>
              <w:autoSpaceDE/>
              <w:autoSpaceDN/>
              <w:bidi w:val="0"/>
              <w:adjustRightInd/>
              <w:spacing w:line="360" w:lineRule="auto"/>
              <w:ind w:right="-670"/>
              <w:textAlignment w:val="auto"/>
              <w:rPr>
                <w:rFonts w:asciiTheme="minorEastAsia" w:hAnsiTheme="minorEastAsia" w:eastAsiaTheme="minorEastAsia"/>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6417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1352" w:type="pct"/>
            <w:tcBorders>
              <w:top w:val="nil"/>
            </w:tcBorders>
            <w:vAlign w:val="center"/>
          </w:tcPr>
          <w:p w14:paraId="26E7430B">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其他</w:t>
            </w:r>
          </w:p>
        </w:tc>
        <w:tc>
          <w:tcPr>
            <w:tcW w:w="3648" w:type="pct"/>
            <w:tcBorders>
              <w:top w:val="nil"/>
            </w:tcBorders>
            <w:vAlign w:val="center"/>
          </w:tcPr>
          <w:p w14:paraId="5441EC3E">
            <w:pPr>
              <w:spacing w:line="360" w:lineRule="auto"/>
              <w:jc w:val="left"/>
              <w:rPr>
                <w:rFonts w:asciiTheme="minorEastAsia" w:hAnsiTheme="minorEastAsia" w:eastAsiaTheme="minorEastAsia"/>
                <w:color w:val="auto"/>
                <w:sz w:val="24"/>
                <w:szCs w:val="28"/>
                <w:highlight w:val="none"/>
              </w:rPr>
            </w:pPr>
          </w:p>
        </w:tc>
      </w:tr>
    </w:tbl>
    <w:p w14:paraId="38D44099">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5906CD62">
      <w:pPr>
        <w:tabs>
          <w:tab w:val="left" w:pos="630"/>
        </w:tabs>
        <w:spacing w:line="360" w:lineRule="auto"/>
        <w:ind w:firstLine="4800" w:firstLineChars="2000"/>
        <w:rPr>
          <w:rFonts w:asciiTheme="minorEastAsia" w:hAnsiTheme="minorEastAsia" w:eastAsiaTheme="minorEastAsia"/>
          <w:color w:val="auto"/>
          <w:sz w:val="24"/>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77B24471">
      <w:pPr>
        <w:spacing w:line="360" w:lineRule="auto"/>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eastAsia="zh-CN"/>
        </w:rPr>
        <w:t>注：</w:t>
      </w:r>
    </w:p>
    <w:p w14:paraId="6B7C0128">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此表用于开标唱标之用。</w:t>
      </w:r>
    </w:p>
    <w:p w14:paraId="092AF116">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表中投标报价即为优惠后报价，并作为评审及定标依据。任何有选择或有条件的投标报价，或者表中某一包别填写多个报价，均为无效报价。</w:t>
      </w:r>
    </w:p>
    <w:p w14:paraId="045C9A8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.表中大写金额与小写金额不一致的，以大写金额为准。</w:t>
      </w:r>
      <w:r>
        <w:rPr>
          <w:rFonts w:asciiTheme="minorEastAsia" w:hAnsiTheme="minorEastAsia" w:eastAsiaTheme="minorEastAsia"/>
          <w:color w:val="auto"/>
          <w:sz w:val="24"/>
          <w:highlight w:val="none"/>
        </w:rPr>
        <w:br w:type="page"/>
      </w:r>
    </w:p>
    <w:p w14:paraId="7644F9CA">
      <w:pPr>
        <w:spacing w:line="360" w:lineRule="auto"/>
        <w:jc w:val="center"/>
        <w:outlineLvl w:val="1"/>
        <w:rPr>
          <w:rFonts w:asciiTheme="minorEastAsia" w:hAnsiTheme="minorEastAsia" w:eastAsiaTheme="minorEastAsia"/>
          <w:b/>
          <w:color w:val="auto"/>
          <w:sz w:val="24"/>
          <w:highlight w:val="none"/>
        </w:rPr>
      </w:pPr>
      <w:bookmarkStart w:id="192" w:name="_Toc6120"/>
      <w:bookmarkStart w:id="193" w:name="_Toc26011"/>
      <w:bookmarkStart w:id="194" w:name="_Toc6441"/>
      <w:r>
        <w:rPr>
          <w:rFonts w:hint="eastAsia" w:asciiTheme="minorEastAsia" w:hAnsiTheme="minorEastAsia" w:eastAsiaTheme="minorEastAsia"/>
          <w:b/>
          <w:color w:val="auto"/>
          <w:sz w:val="24"/>
          <w:highlight w:val="none"/>
        </w:rPr>
        <w:t>二、投标函</w:t>
      </w:r>
      <w:bookmarkEnd w:id="192"/>
      <w:bookmarkEnd w:id="193"/>
      <w:bookmarkEnd w:id="194"/>
    </w:p>
    <w:p w14:paraId="2D10CB99">
      <w:pPr>
        <w:pStyle w:val="12"/>
        <w:spacing w:line="360" w:lineRule="auto"/>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安徽省商务厅</w:t>
      </w:r>
    </w:p>
    <w:p w14:paraId="0087FE6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根据贵方的招标公告和投标邀请，我方兹宣布同意如下：</w:t>
      </w:r>
    </w:p>
    <w:p w14:paraId="2617F30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50D441F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.我方已详细审核全部招标文件，包括招标文件</w:t>
      </w:r>
      <w:r>
        <w:rPr>
          <w:rFonts w:hint="eastAsia" w:asciiTheme="minorEastAsia" w:hAnsiTheme="minorEastAsia" w:eastAsiaTheme="minorEastAsia"/>
          <w:color w:val="auto"/>
          <w:sz w:val="24"/>
          <w:highlight w:val="none"/>
          <w:lang w:val="en-US" w:eastAsia="zh-CN"/>
        </w:rPr>
        <w:t>附件及更正公告（如有）</w:t>
      </w:r>
      <w:r>
        <w:rPr>
          <w:rFonts w:hint="eastAsia" w:asciiTheme="minorEastAsia" w:hAnsiTheme="minorEastAsia" w:eastAsiaTheme="minorEastAsia"/>
          <w:color w:val="auto"/>
          <w:sz w:val="24"/>
          <w:highlight w:val="none"/>
        </w:rPr>
        <w:t>，我方正式认可并遵守本次招标文件，并对招标文件各项条款、规定及要求均无异议。</w:t>
      </w:r>
    </w:p>
    <w:p w14:paraId="16265CF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.我方同意从招标文件规定的开标日期起遵循本招标文件，并在招标文件规定的投标有效期之前均具有约束力。</w:t>
      </w:r>
    </w:p>
    <w:p w14:paraId="5632107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6F67536B">
      <w:pPr>
        <w:spacing w:line="360" w:lineRule="auto"/>
        <w:ind w:firstLine="4800" w:firstLineChars="2000"/>
        <w:rPr>
          <w:rFonts w:ascii="宋体" w:hAnsi="宋体" w:eastAsia="宋体"/>
          <w:color w:val="auto"/>
          <w:sz w:val="24"/>
          <w:highlight w:val="none"/>
        </w:rPr>
      </w:pPr>
    </w:p>
    <w:p w14:paraId="0C7F0D73">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14:paraId="2D9A9BCB">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118AE58A">
      <w:pPr>
        <w:widowControl/>
        <w:jc w:val="left"/>
        <w:rPr>
          <w:rFonts w:ascii="宋体" w:hAnsi="宋体" w:eastAsia="宋体"/>
          <w:color w:val="auto"/>
          <w:sz w:val="24"/>
          <w:highlight w:val="none"/>
          <w:u w:val="single"/>
        </w:rPr>
      </w:pPr>
      <w:r>
        <w:rPr>
          <w:rFonts w:ascii="宋体" w:hAnsi="宋体" w:eastAsia="宋体"/>
          <w:color w:val="auto"/>
          <w:sz w:val="24"/>
          <w:highlight w:val="none"/>
          <w:u w:val="single"/>
        </w:rPr>
        <w:br w:type="page"/>
      </w:r>
    </w:p>
    <w:p w14:paraId="58FADE5E">
      <w:pPr>
        <w:spacing w:line="360" w:lineRule="auto"/>
        <w:jc w:val="center"/>
        <w:outlineLvl w:val="1"/>
        <w:rPr>
          <w:rFonts w:hint="eastAsia" w:asciiTheme="minorEastAsia" w:hAnsiTheme="minorEastAsia" w:eastAsiaTheme="minorEastAsia"/>
          <w:b/>
          <w:color w:val="auto"/>
          <w:sz w:val="24"/>
          <w:highlight w:val="none"/>
        </w:rPr>
      </w:pPr>
      <w:bookmarkStart w:id="195" w:name="_Toc18881"/>
      <w:bookmarkStart w:id="196" w:name="_Toc25950"/>
      <w:r>
        <w:rPr>
          <w:rFonts w:hint="eastAsia" w:asciiTheme="minorEastAsia" w:hAnsiTheme="minorEastAsia" w:eastAsiaTheme="minorEastAsia"/>
          <w:b/>
          <w:color w:val="auto"/>
          <w:sz w:val="24"/>
          <w:highlight w:val="none"/>
          <w:lang w:val="en-US" w:eastAsia="zh-CN"/>
        </w:rPr>
        <w:t>三．投标人资格声明书</w:t>
      </w:r>
      <w:bookmarkEnd w:id="195"/>
      <w:bookmarkEnd w:id="196"/>
      <w:r>
        <w:rPr>
          <w:rFonts w:hint="eastAsia" w:asciiTheme="minorEastAsia" w:hAnsiTheme="minorEastAsia" w:eastAsiaTheme="minorEastAsia"/>
          <w:b/>
          <w:color w:val="auto"/>
          <w:sz w:val="24"/>
          <w:highlight w:val="none"/>
          <w:lang w:val="en-US" w:eastAsia="zh-CN"/>
        </w:rPr>
        <w:t xml:space="preserve"> </w:t>
      </w:r>
    </w:p>
    <w:p w14:paraId="17CF2153">
      <w:pPr>
        <w:pStyle w:val="12"/>
        <w:spacing w:line="360" w:lineRule="auto"/>
        <w:rPr>
          <w:rFonts w:hint="eastAsia" w:eastAsia="宋体" w:asciiTheme="minorEastAsia" w:hAnsiTheme="minorEastAsia" w:cstheme="minorEastAsia"/>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安徽省商务厅</w:t>
      </w:r>
    </w:p>
    <w:p w14:paraId="54DD4F9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在参与本次项目投标中，我单位承诺：</w:t>
      </w:r>
    </w:p>
    <w:p w14:paraId="33A8848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（一）具有良好的商业信誉和健全的财务会计制度；</w:t>
      </w:r>
    </w:p>
    <w:p w14:paraId="6E126F2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（二）具有履行合同所必需的设备和专业技术能力；</w:t>
      </w:r>
    </w:p>
    <w:p w14:paraId="1A9D2EF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（三）有依法缴纳税收和社会保障资金的良好记录；</w:t>
      </w:r>
    </w:p>
    <w:p w14:paraId="42009D3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A32F25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 xml:space="preserve">（五）我单位不属于政府采购法律、行政法规规定的公益一类事业单位、或使用事业编制且由财政拨款保障的群团组织（仅适用于政府购买服务项目）； </w:t>
      </w:r>
    </w:p>
    <w:p w14:paraId="79657D0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（六）我单位不存在为采购项目提供整体设计、规范编制或者项目管理、监理、检测等服务后，再参加该采购项目的其他采购活动的情形（单一来源采购项目除外）；</w:t>
      </w:r>
    </w:p>
    <w:p w14:paraId="2CDEF69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（七）与我单位存在单位负责人为同一人或者存在直接控股、管理关系的其他法人单位信息如下（如有，不论其是否参加同一合同项下的政府采购活动均须填写）：</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804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AF965A3">
            <w:pPr>
              <w:keepNext w:val="0"/>
              <w:keepLines w:val="0"/>
              <w:pageBreakBefore w:val="0"/>
              <w:widowControl/>
              <w:suppressLineNumbers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序号</w:t>
            </w:r>
          </w:p>
        </w:tc>
        <w:tc>
          <w:tcPr>
            <w:tcW w:w="2841" w:type="dxa"/>
          </w:tcPr>
          <w:p w14:paraId="3A7BA1C6">
            <w:pPr>
              <w:pStyle w:val="2"/>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单位名称</w:t>
            </w:r>
          </w:p>
        </w:tc>
        <w:tc>
          <w:tcPr>
            <w:tcW w:w="2841" w:type="dxa"/>
          </w:tcPr>
          <w:p w14:paraId="26E36AFC">
            <w:pPr>
              <w:pStyle w:val="2"/>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相互关系</w:t>
            </w:r>
          </w:p>
        </w:tc>
      </w:tr>
      <w:tr w14:paraId="68055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E03E1BF">
            <w:pPr>
              <w:pStyle w:val="2"/>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vertAlign w:val="baseline"/>
                <w:lang w:val="en-US" w:eastAsia="zh-CN" w:bidi="ar"/>
              </w:rPr>
              <w:t>1</w:t>
            </w:r>
          </w:p>
        </w:tc>
        <w:tc>
          <w:tcPr>
            <w:tcW w:w="2841" w:type="dxa"/>
          </w:tcPr>
          <w:p w14:paraId="3ECBDAE8">
            <w:pPr>
              <w:pStyle w:val="2"/>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c>
          <w:tcPr>
            <w:tcW w:w="2841" w:type="dxa"/>
          </w:tcPr>
          <w:p w14:paraId="6FE18175">
            <w:pPr>
              <w:pStyle w:val="2"/>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r>
      <w:tr w14:paraId="6A284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2F42789">
            <w:pPr>
              <w:pStyle w:val="2"/>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vertAlign w:val="baseline"/>
                <w:lang w:val="en-US" w:eastAsia="zh-CN" w:bidi="ar"/>
              </w:rPr>
              <w:t>2</w:t>
            </w:r>
          </w:p>
        </w:tc>
        <w:tc>
          <w:tcPr>
            <w:tcW w:w="2841" w:type="dxa"/>
          </w:tcPr>
          <w:p w14:paraId="30496754">
            <w:pPr>
              <w:pStyle w:val="2"/>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c>
          <w:tcPr>
            <w:tcW w:w="2841" w:type="dxa"/>
          </w:tcPr>
          <w:p w14:paraId="02644970">
            <w:pPr>
              <w:pStyle w:val="2"/>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r>
    </w:tbl>
    <w:p w14:paraId="2395554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3DFED0A4">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38471758">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738355D3">
      <w:pPr>
        <w:rPr>
          <w:rFonts w:hint="eastAsia" w:asciiTheme="minorEastAsia" w:hAnsiTheme="minorEastAsia" w:eastAsiaTheme="minorEastAsia"/>
          <w:b/>
          <w:color w:val="auto"/>
          <w:sz w:val="24"/>
          <w:highlight w:val="none"/>
        </w:rPr>
      </w:pPr>
      <w:bookmarkStart w:id="197" w:name="_Toc11607"/>
      <w:r>
        <w:rPr>
          <w:rFonts w:hint="eastAsia" w:asciiTheme="minorEastAsia" w:hAnsiTheme="minorEastAsia" w:eastAsiaTheme="minorEastAsia"/>
          <w:b/>
          <w:color w:val="auto"/>
          <w:sz w:val="24"/>
          <w:highlight w:val="none"/>
        </w:rPr>
        <w:br w:type="page"/>
      </w:r>
    </w:p>
    <w:p w14:paraId="567DFC51">
      <w:pPr>
        <w:spacing w:line="360" w:lineRule="auto"/>
        <w:jc w:val="center"/>
        <w:outlineLvl w:val="1"/>
        <w:rPr>
          <w:rFonts w:asciiTheme="minorEastAsia" w:hAnsiTheme="minorEastAsia" w:eastAsiaTheme="minorEastAsia"/>
          <w:b/>
          <w:color w:val="auto"/>
          <w:sz w:val="24"/>
          <w:highlight w:val="none"/>
        </w:rPr>
      </w:pPr>
      <w:bookmarkStart w:id="198" w:name="_Toc23604"/>
      <w:bookmarkStart w:id="199" w:name="_Toc24583"/>
      <w:r>
        <w:rPr>
          <w:rFonts w:hint="eastAsia" w:asciiTheme="minorEastAsia" w:hAnsiTheme="minorEastAsia" w:eastAsiaTheme="minorEastAsia"/>
          <w:b/>
          <w:color w:val="auto"/>
          <w:sz w:val="24"/>
          <w:highlight w:val="none"/>
        </w:rPr>
        <w:t>四、授权书</w:t>
      </w:r>
      <w:bookmarkEnd w:id="197"/>
      <w:bookmarkEnd w:id="198"/>
      <w:bookmarkEnd w:id="199"/>
    </w:p>
    <w:p w14:paraId="652DCB34">
      <w:pPr>
        <w:pStyle w:val="11"/>
        <w:snapToGrid w:val="0"/>
        <w:spacing w:line="360" w:lineRule="auto"/>
        <w:ind w:firstLine="480" w:firstLineChars="200"/>
        <w:jc w:val="left"/>
        <w:rPr>
          <w:rFonts w:hAnsi="宋体" w:eastAsia="宋体"/>
          <w:color w:val="auto"/>
          <w:sz w:val="24"/>
          <w:szCs w:val="28"/>
          <w:highlight w:val="none"/>
        </w:rPr>
      </w:pPr>
    </w:p>
    <w:p w14:paraId="15768021">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eastAsia="宋体"/>
          <w:color w:val="auto"/>
          <w:sz w:val="24"/>
          <w:szCs w:val="28"/>
          <w:highlight w:val="none"/>
        </w:rPr>
        <w:t>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6BE35310">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2080D3B5">
      <w:pPr>
        <w:spacing w:line="360" w:lineRule="auto"/>
        <w:ind w:firstLine="435"/>
        <w:rPr>
          <w:rFonts w:hAnsi="宋体" w:eastAsia="宋体"/>
          <w:b/>
          <w:bCs/>
          <w:color w:val="auto"/>
          <w:sz w:val="24"/>
          <w:highlight w:val="none"/>
        </w:rPr>
      </w:pPr>
      <w:r>
        <w:rPr>
          <w:rFonts w:hint="eastAsia" w:hAnsi="宋体" w:eastAsia="宋体"/>
          <w:b/>
          <w:bCs/>
          <w:color w:val="auto"/>
          <w:sz w:val="24"/>
          <w:szCs w:val="28"/>
          <w:highlight w:val="none"/>
        </w:rPr>
        <w:t>授权</w:t>
      </w:r>
      <w:r>
        <w:rPr>
          <w:rFonts w:hint="eastAsia" w:asciiTheme="minorEastAsia" w:hAnsiTheme="minorEastAsia" w:eastAsiaTheme="minorEastAsia"/>
          <w:b/>
          <w:bCs/>
          <w:color w:val="auto"/>
          <w:sz w:val="24"/>
          <w:highlight w:val="none"/>
        </w:rPr>
        <w:t>代表</w:t>
      </w:r>
      <w:r>
        <w:rPr>
          <w:rFonts w:hint="eastAsia" w:hAnsi="宋体" w:eastAsia="宋体"/>
          <w:b/>
          <w:bCs/>
          <w:color w:val="auto"/>
          <w:sz w:val="24"/>
          <w:highlight w:val="none"/>
        </w:rPr>
        <w:t>身份证明扫描件：</w:t>
      </w:r>
    </w:p>
    <w:p w14:paraId="053FFADE">
      <w:pPr>
        <w:spacing w:line="360" w:lineRule="auto"/>
        <w:ind w:firstLine="435"/>
        <w:rPr>
          <w:rFonts w:asciiTheme="minorEastAsia" w:hAnsiTheme="minorEastAsia" w:eastAsiaTheme="minorEastAsia"/>
          <w:color w:val="auto"/>
          <w:sz w:val="24"/>
          <w:highlight w:val="none"/>
        </w:rPr>
      </w:pPr>
    </w:p>
    <w:p w14:paraId="43ED24BC">
      <w:pPr>
        <w:spacing w:line="360" w:lineRule="auto"/>
        <w:ind w:firstLine="435"/>
        <w:rPr>
          <w:rFonts w:asciiTheme="minorEastAsia" w:hAnsiTheme="minorEastAsia" w:eastAsiaTheme="minorEastAsia"/>
          <w:color w:val="auto"/>
          <w:sz w:val="24"/>
          <w:highlight w:val="none"/>
        </w:rPr>
      </w:pPr>
    </w:p>
    <w:p w14:paraId="538F0398">
      <w:pPr>
        <w:spacing w:line="360" w:lineRule="auto"/>
        <w:ind w:firstLine="435"/>
        <w:rPr>
          <w:rFonts w:asciiTheme="minorEastAsia" w:hAnsiTheme="minorEastAsia" w:eastAsiaTheme="minorEastAsia"/>
          <w:color w:val="auto"/>
          <w:sz w:val="24"/>
          <w:highlight w:val="none"/>
        </w:rPr>
      </w:pPr>
    </w:p>
    <w:p w14:paraId="076A2FB1">
      <w:pPr>
        <w:spacing w:line="360" w:lineRule="auto"/>
        <w:ind w:firstLine="435"/>
        <w:rPr>
          <w:rFonts w:hAnsi="宋体" w:eastAsia="宋体"/>
          <w:color w:val="auto"/>
          <w:sz w:val="24"/>
          <w:szCs w:val="28"/>
          <w:highlight w:val="none"/>
          <w:u w:val="single"/>
          <w:lang w:val="zh-CN"/>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148C6AAD">
      <w:pPr>
        <w:spacing w:line="360" w:lineRule="auto"/>
        <w:ind w:firstLine="435"/>
        <w:rPr>
          <w:rFonts w:hAnsi="宋体" w:eastAsia="宋体"/>
          <w:color w:val="auto"/>
          <w:sz w:val="24"/>
          <w:szCs w:val="28"/>
          <w:highlight w:val="none"/>
          <w:lang w:val="zh-CN"/>
        </w:rPr>
      </w:pPr>
    </w:p>
    <w:p w14:paraId="67DDADA7">
      <w:pPr>
        <w:spacing w:line="360" w:lineRule="auto"/>
        <w:ind w:firstLine="435"/>
        <w:rPr>
          <w:rFonts w:ascii="宋体" w:hAnsi="宋体" w:eastAsia="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eastAsia="宋体"/>
          <w:color w:val="auto"/>
          <w:sz w:val="24"/>
          <w:szCs w:val="28"/>
          <w:highlight w:val="none"/>
        </w:rPr>
        <w:t>声明。</w:t>
      </w:r>
    </w:p>
    <w:p w14:paraId="21923AFD">
      <w:pPr>
        <w:spacing w:line="360" w:lineRule="auto"/>
        <w:rPr>
          <w:rFonts w:ascii="宋体" w:hAnsi="宋体" w:eastAsia="宋体"/>
          <w:color w:val="auto"/>
          <w:sz w:val="24"/>
          <w:szCs w:val="28"/>
          <w:highlight w:val="none"/>
        </w:rPr>
      </w:pPr>
    </w:p>
    <w:p w14:paraId="186CF05A">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3806D2EB">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66326F16">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p>
    <w:p w14:paraId="426823E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1.本项目只允许有唯一的投标人授权代表，提供身份证明扫描件；</w:t>
      </w:r>
    </w:p>
    <w:p w14:paraId="1ECA37A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2.法定代表人参加投标的无需提供授权书，提供身份证明扫描件。</w:t>
      </w:r>
    </w:p>
    <w:p w14:paraId="041C909C">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0F4EEDBC">
      <w:pPr>
        <w:spacing w:line="360" w:lineRule="auto"/>
        <w:jc w:val="center"/>
        <w:outlineLvl w:val="1"/>
        <w:rPr>
          <w:rFonts w:hint="eastAsia" w:asciiTheme="minorEastAsia" w:hAnsiTheme="minorEastAsia" w:eastAsiaTheme="minorEastAsia"/>
          <w:b/>
          <w:color w:val="auto"/>
          <w:sz w:val="24"/>
          <w:highlight w:val="none"/>
        </w:rPr>
      </w:pPr>
      <w:bookmarkStart w:id="200" w:name="_Toc71"/>
      <w:bookmarkStart w:id="201" w:name="_Toc32226"/>
      <w:bookmarkStart w:id="202" w:name="_Toc31027"/>
      <w:r>
        <w:rPr>
          <w:rFonts w:hint="eastAsia" w:asciiTheme="minorEastAsia" w:hAnsiTheme="minorEastAsia" w:eastAsiaTheme="minorEastAsia"/>
          <w:b/>
          <w:color w:val="auto"/>
          <w:sz w:val="24"/>
          <w:highlight w:val="none"/>
        </w:rPr>
        <w:t>五、投标分项报价表</w:t>
      </w:r>
      <w:bookmarkEnd w:id="200"/>
      <w:bookmarkEnd w:id="201"/>
      <w:bookmarkEnd w:id="202"/>
    </w:p>
    <w:p w14:paraId="587FC5B2">
      <w:pPr>
        <w:spacing w:line="360" w:lineRule="auto"/>
        <w:ind w:firstLine="435"/>
        <w:jc w:val="center"/>
        <w:rPr>
          <w:rFonts w:asciiTheme="minorEastAsia" w:hAnsiTheme="minorEastAsia" w:eastAsiaTheme="minorEastAsia"/>
          <w:b/>
          <w:color w:val="auto"/>
          <w:sz w:val="24"/>
          <w:highlight w:val="none"/>
        </w:rPr>
      </w:pPr>
      <w:r>
        <w:rPr>
          <w:rFonts w:hint="eastAsia" w:asciiTheme="minorEastAsia" w:hAnsiTheme="minorEastAsia" w:eastAsiaTheme="minorEastAsia"/>
          <w:i/>
          <w:color w:val="auto"/>
          <w:sz w:val="24"/>
          <w:highlight w:val="none"/>
        </w:rPr>
        <w:t>（仅供参考，投标人可自行制作格式）</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3109"/>
        <w:gridCol w:w="1357"/>
        <w:gridCol w:w="1698"/>
        <w:gridCol w:w="1568"/>
      </w:tblGrid>
      <w:tr w14:paraId="184B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4" w:type="pct"/>
            <w:vAlign w:val="center"/>
          </w:tcPr>
          <w:p w14:paraId="1E3F291B">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序号</w:t>
            </w:r>
          </w:p>
        </w:tc>
        <w:tc>
          <w:tcPr>
            <w:tcW w:w="1824" w:type="pct"/>
            <w:vAlign w:val="center"/>
          </w:tcPr>
          <w:p w14:paraId="74D9C612">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服务内容</w:t>
            </w:r>
          </w:p>
        </w:tc>
        <w:tc>
          <w:tcPr>
            <w:tcW w:w="796" w:type="pct"/>
            <w:vAlign w:val="center"/>
          </w:tcPr>
          <w:p w14:paraId="6C7C4154">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w:t>
            </w:r>
          </w:p>
        </w:tc>
        <w:tc>
          <w:tcPr>
            <w:tcW w:w="995" w:type="pct"/>
            <w:vAlign w:val="center"/>
          </w:tcPr>
          <w:p w14:paraId="7A8DA658">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单价</w:t>
            </w:r>
          </w:p>
        </w:tc>
        <w:tc>
          <w:tcPr>
            <w:tcW w:w="920" w:type="pct"/>
            <w:vAlign w:val="center"/>
          </w:tcPr>
          <w:p w14:paraId="29FE310B">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小计金额（元）</w:t>
            </w:r>
          </w:p>
        </w:tc>
      </w:tr>
      <w:tr w14:paraId="426BD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tcBorders>
              <w:bottom w:val="single" w:color="auto" w:sz="4" w:space="0"/>
            </w:tcBorders>
            <w:vAlign w:val="center"/>
          </w:tcPr>
          <w:p w14:paraId="467AC930">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824" w:type="pct"/>
            <w:vAlign w:val="center"/>
          </w:tcPr>
          <w:p w14:paraId="661127A0">
            <w:pPr>
              <w:jc w:val="center"/>
              <w:rPr>
                <w:rFonts w:asciiTheme="minorEastAsia" w:hAnsiTheme="minorEastAsia" w:eastAsiaTheme="minorEastAsia"/>
                <w:color w:val="auto"/>
                <w:sz w:val="24"/>
                <w:highlight w:val="none"/>
              </w:rPr>
            </w:pPr>
          </w:p>
        </w:tc>
        <w:tc>
          <w:tcPr>
            <w:tcW w:w="796" w:type="pct"/>
            <w:vAlign w:val="center"/>
          </w:tcPr>
          <w:p w14:paraId="61188D38">
            <w:pPr>
              <w:jc w:val="center"/>
              <w:rPr>
                <w:rFonts w:asciiTheme="minorEastAsia" w:hAnsiTheme="minorEastAsia" w:eastAsiaTheme="minorEastAsia"/>
                <w:color w:val="auto"/>
                <w:sz w:val="24"/>
                <w:highlight w:val="none"/>
              </w:rPr>
            </w:pPr>
          </w:p>
        </w:tc>
        <w:tc>
          <w:tcPr>
            <w:tcW w:w="995" w:type="pct"/>
            <w:vAlign w:val="center"/>
          </w:tcPr>
          <w:p w14:paraId="2D9A877E">
            <w:pPr>
              <w:jc w:val="center"/>
              <w:rPr>
                <w:rFonts w:asciiTheme="minorEastAsia" w:hAnsiTheme="minorEastAsia" w:eastAsiaTheme="minorEastAsia"/>
                <w:color w:val="auto"/>
                <w:sz w:val="24"/>
                <w:highlight w:val="none"/>
              </w:rPr>
            </w:pPr>
          </w:p>
        </w:tc>
        <w:tc>
          <w:tcPr>
            <w:tcW w:w="920" w:type="pct"/>
            <w:vAlign w:val="center"/>
          </w:tcPr>
          <w:p w14:paraId="0D948CAC">
            <w:pPr>
              <w:jc w:val="center"/>
              <w:rPr>
                <w:rFonts w:asciiTheme="minorEastAsia" w:hAnsiTheme="minorEastAsia" w:eastAsiaTheme="minorEastAsia"/>
                <w:color w:val="auto"/>
                <w:sz w:val="24"/>
                <w:highlight w:val="none"/>
              </w:rPr>
            </w:pPr>
          </w:p>
        </w:tc>
      </w:tr>
      <w:tr w14:paraId="10BA6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051DB47C">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824" w:type="pct"/>
            <w:vAlign w:val="center"/>
          </w:tcPr>
          <w:p w14:paraId="2B82AAA4">
            <w:pPr>
              <w:jc w:val="center"/>
              <w:rPr>
                <w:rFonts w:asciiTheme="minorEastAsia" w:hAnsiTheme="minorEastAsia" w:eastAsiaTheme="minorEastAsia"/>
                <w:color w:val="auto"/>
                <w:sz w:val="24"/>
                <w:highlight w:val="none"/>
              </w:rPr>
            </w:pPr>
          </w:p>
        </w:tc>
        <w:tc>
          <w:tcPr>
            <w:tcW w:w="796" w:type="pct"/>
            <w:vAlign w:val="center"/>
          </w:tcPr>
          <w:p w14:paraId="58F81B6A">
            <w:pPr>
              <w:jc w:val="center"/>
              <w:rPr>
                <w:rFonts w:asciiTheme="minorEastAsia" w:hAnsiTheme="minorEastAsia" w:eastAsiaTheme="minorEastAsia"/>
                <w:color w:val="auto"/>
                <w:sz w:val="24"/>
                <w:highlight w:val="none"/>
              </w:rPr>
            </w:pPr>
          </w:p>
        </w:tc>
        <w:tc>
          <w:tcPr>
            <w:tcW w:w="995" w:type="pct"/>
            <w:vAlign w:val="center"/>
          </w:tcPr>
          <w:p w14:paraId="737A8F38">
            <w:pPr>
              <w:jc w:val="center"/>
              <w:rPr>
                <w:rFonts w:asciiTheme="minorEastAsia" w:hAnsiTheme="minorEastAsia" w:eastAsiaTheme="minorEastAsia"/>
                <w:color w:val="auto"/>
                <w:sz w:val="24"/>
                <w:highlight w:val="none"/>
              </w:rPr>
            </w:pPr>
          </w:p>
        </w:tc>
        <w:tc>
          <w:tcPr>
            <w:tcW w:w="920" w:type="pct"/>
            <w:vAlign w:val="center"/>
          </w:tcPr>
          <w:p w14:paraId="653C1C96">
            <w:pPr>
              <w:jc w:val="center"/>
              <w:rPr>
                <w:rFonts w:asciiTheme="minorEastAsia" w:hAnsiTheme="minorEastAsia" w:eastAsiaTheme="minorEastAsia"/>
                <w:color w:val="auto"/>
                <w:sz w:val="24"/>
                <w:highlight w:val="none"/>
              </w:rPr>
            </w:pPr>
          </w:p>
        </w:tc>
      </w:tr>
      <w:tr w14:paraId="2F65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6DF39143">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824" w:type="pct"/>
            <w:vAlign w:val="center"/>
          </w:tcPr>
          <w:p w14:paraId="456E44CB">
            <w:pPr>
              <w:jc w:val="center"/>
              <w:rPr>
                <w:rFonts w:asciiTheme="minorEastAsia" w:hAnsiTheme="minorEastAsia" w:eastAsiaTheme="minorEastAsia"/>
                <w:color w:val="auto"/>
                <w:sz w:val="24"/>
                <w:highlight w:val="none"/>
              </w:rPr>
            </w:pPr>
          </w:p>
        </w:tc>
        <w:tc>
          <w:tcPr>
            <w:tcW w:w="796" w:type="pct"/>
            <w:vAlign w:val="center"/>
          </w:tcPr>
          <w:p w14:paraId="4B662A1C">
            <w:pPr>
              <w:jc w:val="center"/>
              <w:rPr>
                <w:rFonts w:asciiTheme="minorEastAsia" w:hAnsiTheme="minorEastAsia" w:eastAsiaTheme="minorEastAsia"/>
                <w:color w:val="auto"/>
                <w:sz w:val="24"/>
                <w:highlight w:val="none"/>
              </w:rPr>
            </w:pPr>
          </w:p>
        </w:tc>
        <w:tc>
          <w:tcPr>
            <w:tcW w:w="995" w:type="pct"/>
            <w:vAlign w:val="center"/>
          </w:tcPr>
          <w:p w14:paraId="2BF26798">
            <w:pPr>
              <w:jc w:val="center"/>
              <w:rPr>
                <w:rFonts w:asciiTheme="minorEastAsia" w:hAnsiTheme="minorEastAsia" w:eastAsiaTheme="minorEastAsia"/>
                <w:color w:val="auto"/>
                <w:sz w:val="24"/>
                <w:highlight w:val="none"/>
              </w:rPr>
            </w:pPr>
          </w:p>
        </w:tc>
        <w:tc>
          <w:tcPr>
            <w:tcW w:w="920" w:type="pct"/>
            <w:vAlign w:val="center"/>
          </w:tcPr>
          <w:p w14:paraId="5B5B254A">
            <w:pPr>
              <w:jc w:val="center"/>
              <w:rPr>
                <w:rFonts w:asciiTheme="minorEastAsia" w:hAnsiTheme="minorEastAsia" w:eastAsiaTheme="minorEastAsia"/>
                <w:color w:val="auto"/>
                <w:sz w:val="24"/>
                <w:highlight w:val="none"/>
              </w:rPr>
            </w:pPr>
          </w:p>
        </w:tc>
      </w:tr>
      <w:tr w14:paraId="74F51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23BA54FB">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p>
        </w:tc>
        <w:tc>
          <w:tcPr>
            <w:tcW w:w="1824" w:type="pct"/>
            <w:vAlign w:val="center"/>
          </w:tcPr>
          <w:p w14:paraId="2FF62C60">
            <w:pPr>
              <w:jc w:val="center"/>
              <w:rPr>
                <w:rFonts w:asciiTheme="minorEastAsia" w:hAnsiTheme="minorEastAsia" w:eastAsiaTheme="minorEastAsia"/>
                <w:color w:val="auto"/>
                <w:sz w:val="24"/>
                <w:highlight w:val="none"/>
              </w:rPr>
            </w:pPr>
          </w:p>
        </w:tc>
        <w:tc>
          <w:tcPr>
            <w:tcW w:w="796" w:type="pct"/>
            <w:vAlign w:val="center"/>
          </w:tcPr>
          <w:p w14:paraId="521D52AA">
            <w:pPr>
              <w:jc w:val="center"/>
              <w:rPr>
                <w:rFonts w:asciiTheme="minorEastAsia" w:hAnsiTheme="minorEastAsia" w:eastAsiaTheme="minorEastAsia"/>
                <w:color w:val="auto"/>
                <w:sz w:val="24"/>
                <w:highlight w:val="none"/>
              </w:rPr>
            </w:pPr>
          </w:p>
        </w:tc>
        <w:tc>
          <w:tcPr>
            <w:tcW w:w="995" w:type="pct"/>
            <w:vAlign w:val="center"/>
          </w:tcPr>
          <w:p w14:paraId="674A3B2A">
            <w:pPr>
              <w:jc w:val="center"/>
              <w:rPr>
                <w:rFonts w:asciiTheme="minorEastAsia" w:hAnsiTheme="minorEastAsia" w:eastAsiaTheme="minorEastAsia"/>
                <w:color w:val="auto"/>
                <w:sz w:val="24"/>
                <w:highlight w:val="none"/>
              </w:rPr>
            </w:pPr>
          </w:p>
        </w:tc>
        <w:tc>
          <w:tcPr>
            <w:tcW w:w="920" w:type="pct"/>
            <w:vAlign w:val="center"/>
          </w:tcPr>
          <w:p w14:paraId="76733440">
            <w:pPr>
              <w:jc w:val="center"/>
              <w:rPr>
                <w:rFonts w:asciiTheme="minorEastAsia" w:hAnsiTheme="minorEastAsia" w:eastAsiaTheme="minorEastAsia"/>
                <w:color w:val="auto"/>
                <w:sz w:val="24"/>
                <w:highlight w:val="none"/>
              </w:rPr>
            </w:pPr>
          </w:p>
        </w:tc>
      </w:tr>
      <w:tr w14:paraId="4456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0274792B">
            <w:pPr>
              <w:jc w:val="center"/>
              <w:rPr>
                <w:rFonts w:asciiTheme="minorEastAsia" w:hAnsiTheme="minorEastAsia" w:eastAsiaTheme="minorEastAsia"/>
                <w:color w:val="auto"/>
                <w:sz w:val="24"/>
                <w:highlight w:val="none"/>
              </w:rPr>
            </w:pPr>
          </w:p>
        </w:tc>
        <w:tc>
          <w:tcPr>
            <w:tcW w:w="1824" w:type="pct"/>
            <w:vAlign w:val="center"/>
          </w:tcPr>
          <w:p w14:paraId="05F27A02">
            <w:pPr>
              <w:pStyle w:val="39"/>
              <w:ind w:left="-108"/>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其他费用</w:t>
            </w:r>
          </w:p>
        </w:tc>
        <w:tc>
          <w:tcPr>
            <w:tcW w:w="796" w:type="pct"/>
            <w:vAlign w:val="center"/>
          </w:tcPr>
          <w:p w14:paraId="65EE400F">
            <w:pPr>
              <w:jc w:val="center"/>
              <w:rPr>
                <w:rFonts w:asciiTheme="minorEastAsia" w:hAnsiTheme="minorEastAsia" w:eastAsiaTheme="minorEastAsia"/>
                <w:color w:val="auto"/>
                <w:sz w:val="24"/>
                <w:highlight w:val="none"/>
              </w:rPr>
            </w:pPr>
          </w:p>
        </w:tc>
        <w:tc>
          <w:tcPr>
            <w:tcW w:w="995" w:type="pct"/>
            <w:vAlign w:val="center"/>
          </w:tcPr>
          <w:p w14:paraId="794BCB17">
            <w:pPr>
              <w:jc w:val="center"/>
              <w:rPr>
                <w:rFonts w:asciiTheme="minorEastAsia" w:hAnsiTheme="minorEastAsia" w:eastAsiaTheme="minorEastAsia"/>
                <w:color w:val="auto"/>
                <w:sz w:val="24"/>
                <w:highlight w:val="none"/>
              </w:rPr>
            </w:pPr>
          </w:p>
        </w:tc>
        <w:tc>
          <w:tcPr>
            <w:tcW w:w="920" w:type="pct"/>
            <w:vAlign w:val="center"/>
          </w:tcPr>
          <w:p w14:paraId="4826CD0D">
            <w:pPr>
              <w:jc w:val="center"/>
              <w:rPr>
                <w:rFonts w:asciiTheme="minorEastAsia" w:hAnsiTheme="minorEastAsia" w:eastAsiaTheme="minorEastAsia"/>
                <w:color w:val="auto"/>
                <w:sz w:val="24"/>
                <w:highlight w:val="none"/>
              </w:rPr>
            </w:pPr>
          </w:p>
        </w:tc>
      </w:tr>
      <w:tr w14:paraId="54AC6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3D4F8CDB">
            <w:pPr>
              <w:jc w:val="center"/>
              <w:rPr>
                <w:rFonts w:asciiTheme="minorEastAsia" w:hAnsiTheme="minorEastAsia" w:eastAsiaTheme="minorEastAsia"/>
                <w:color w:val="auto"/>
                <w:sz w:val="24"/>
                <w:highlight w:val="none"/>
              </w:rPr>
            </w:pPr>
          </w:p>
        </w:tc>
        <w:tc>
          <w:tcPr>
            <w:tcW w:w="1824" w:type="pct"/>
            <w:vAlign w:val="center"/>
          </w:tcPr>
          <w:p w14:paraId="3C975B16">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p>
        </w:tc>
        <w:tc>
          <w:tcPr>
            <w:tcW w:w="796" w:type="pct"/>
            <w:vAlign w:val="center"/>
          </w:tcPr>
          <w:p w14:paraId="3731C6BF">
            <w:pPr>
              <w:jc w:val="center"/>
              <w:rPr>
                <w:rFonts w:asciiTheme="minorEastAsia" w:hAnsiTheme="minorEastAsia" w:eastAsiaTheme="minorEastAsia"/>
                <w:color w:val="auto"/>
                <w:sz w:val="24"/>
                <w:highlight w:val="none"/>
              </w:rPr>
            </w:pPr>
          </w:p>
        </w:tc>
        <w:tc>
          <w:tcPr>
            <w:tcW w:w="995" w:type="pct"/>
            <w:vAlign w:val="center"/>
          </w:tcPr>
          <w:p w14:paraId="2575FD0C">
            <w:pPr>
              <w:jc w:val="center"/>
              <w:rPr>
                <w:rFonts w:asciiTheme="minorEastAsia" w:hAnsiTheme="minorEastAsia" w:eastAsiaTheme="minorEastAsia"/>
                <w:color w:val="auto"/>
                <w:sz w:val="24"/>
                <w:highlight w:val="none"/>
              </w:rPr>
            </w:pPr>
          </w:p>
        </w:tc>
        <w:tc>
          <w:tcPr>
            <w:tcW w:w="920" w:type="pct"/>
            <w:vAlign w:val="center"/>
          </w:tcPr>
          <w:p w14:paraId="00726587">
            <w:pPr>
              <w:jc w:val="center"/>
              <w:rPr>
                <w:rFonts w:asciiTheme="minorEastAsia" w:hAnsiTheme="minorEastAsia" w:eastAsiaTheme="minorEastAsia"/>
                <w:color w:val="auto"/>
                <w:sz w:val="24"/>
                <w:highlight w:val="none"/>
              </w:rPr>
            </w:pPr>
          </w:p>
        </w:tc>
      </w:tr>
      <w:tr w14:paraId="6BB5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vAlign w:val="center"/>
          </w:tcPr>
          <w:p w14:paraId="6639EBE3">
            <w:pPr>
              <w:jc w:val="center"/>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合计金额（元）</w:t>
            </w:r>
          </w:p>
        </w:tc>
        <w:tc>
          <w:tcPr>
            <w:tcW w:w="920" w:type="pct"/>
            <w:vAlign w:val="center"/>
          </w:tcPr>
          <w:p w14:paraId="41E41424">
            <w:pPr>
              <w:jc w:val="center"/>
              <w:rPr>
                <w:rFonts w:asciiTheme="minorEastAsia" w:hAnsiTheme="minorEastAsia" w:eastAsiaTheme="minorEastAsia"/>
                <w:color w:val="auto"/>
                <w:sz w:val="24"/>
                <w:highlight w:val="none"/>
              </w:rPr>
            </w:pPr>
          </w:p>
        </w:tc>
      </w:tr>
    </w:tbl>
    <w:p w14:paraId="073197AF">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65A5CA36">
      <w:pPr>
        <w:tabs>
          <w:tab w:val="left" w:pos="630"/>
        </w:tabs>
        <w:spacing w:line="360" w:lineRule="auto"/>
        <w:ind w:firstLine="4800" w:firstLineChars="2000"/>
        <w:rPr>
          <w:rFonts w:asciiTheme="minorEastAsia" w:hAnsiTheme="minorEastAsia" w:eastAsiaTheme="minorEastAsia"/>
          <w:b/>
          <w:bCs/>
          <w:color w:val="auto"/>
          <w:sz w:val="24"/>
          <w:szCs w:val="28"/>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4B73CCBC">
      <w:pPr>
        <w:adjustRightInd w:val="0"/>
        <w:snapToGrid w:val="0"/>
        <w:spacing w:line="360" w:lineRule="auto"/>
        <w:rPr>
          <w:rFonts w:hint="eastAsia" w:asciiTheme="minorEastAsia" w:hAnsiTheme="minorEastAsia" w:eastAsiaTheme="minorEastAsia"/>
          <w:b/>
          <w:bCs/>
          <w:color w:val="auto"/>
          <w:sz w:val="24"/>
          <w:szCs w:val="28"/>
          <w:highlight w:val="none"/>
          <w:lang w:eastAsia="zh-CN"/>
        </w:rPr>
      </w:pPr>
      <w:r>
        <w:rPr>
          <w:rFonts w:hint="eastAsia" w:asciiTheme="minorEastAsia" w:hAnsiTheme="minorEastAsia" w:eastAsiaTheme="minorEastAsia"/>
          <w:b/>
          <w:bCs/>
          <w:color w:val="auto"/>
          <w:sz w:val="24"/>
          <w:szCs w:val="28"/>
          <w:highlight w:val="none"/>
          <w:lang w:eastAsia="zh-CN"/>
        </w:rPr>
        <w:t>注：</w:t>
      </w:r>
    </w:p>
    <w:p w14:paraId="28222DD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所列服务为对应本项目需求的全部服务内容。如有漏项或缺项，投标人承担全部责任。</w:t>
      </w:r>
    </w:p>
    <w:p w14:paraId="4ECF4D4C">
      <w:pPr>
        <w:pStyle w:val="2"/>
        <w:rPr>
          <w:rFonts w:hint="eastAsia" w:asciiTheme="minorEastAsia" w:hAnsiTheme="minorEastAsia" w:eastAsiaTheme="minorEastAsia"/>
          <w:color w:val="auto"/>
          <w:sz w:val="24"/>
          <w:highlight w:val="none"/>
        </w:rPr>
      </w:pPr>
    </w:p>
    <w:p w14:paraId="55218299">
      <w:pPr>
        <w:rPr>
          <w:rFonts w:hint="eastAsia" w:asciiTheme="minorEastAsia" w:hAnsiTheme="minorEastAsia" w:eastAsiaTheme="minorEastAsia"/>
          <w:b/>
          <w:color w:val="auto"/>
          <w:sz w:val="24"/>
          <w:highlight w:val="none"/>
        </w:rPr>
      </w:pPr>
      <w:bookmarkStart w:id="203" w:name="_Toc20329"/>
      <w:r>
        <w:rPr>
          <w:rFonts w:hint="eastAsia" w:asciiTheme="minorEastAsia" w:hAnsiTheme="minorEastAsia" w:eastAsiaTheme="minorEastAsia"/>
          <w:b/>
          <w:color w:val="auto"/>
          <w:sz w:val="24"/>
          <w:highlight w:val="none"/>
        </w:rPr>
        <w:br w:type="page"/>
      </w:r>
    </w:p>
    <w:p w14:paraId="0A4E866E">
      <w:pPr>
        <w:spacing w:line="360" w:lineRule="auto"/>
        <w:jc w:val="center"/>
        <w:outlineLvl w:val="1"/>
        <w:rPr>
          <w:rFonts w:hint="default" w:asciiTheme="minorEastAsia" w:hAnsiTheme="minorEastAsia" w:eastAsiaTheme="minorEastAsia"/>
          <w:b/>
          <w:color w:val="auto"/>
          <w:sz w:val="24"/>
          <w:highlight w:val="none"/>
          <w:lang w:val="en-US" w:eastAsia="zh-CN"/>
        </w:rPr>
      </w:pPr>
      <w:bookmarkStart w:id="204" w:name="_Toc15209"/>
      <w:bookmarkStart w:id="205" w:name="_Toc31099"/>
      <w:r>
        <w:rPr>
          <w:rFonts w:hint="eastAsia" w:asciiTheme="minorEastAsia" w:hAnsiTheme="minorEastAsia" w:eastAsiaTheme="minorEastAsia"/>
          <w:b/>
          <w:color w:val="auto"/>
          <w:sz w:val="24"/>
          <w:highlight w:val="none"/>
        </w:rPr>
        <w:t>六、投标响应表</w:t>
      </w:r>
      <w:bookmarkEnd w:id="203"/>
      <w:bookmarkEnd w:id="204"/>
      <w:bookmarkEnd w:id="205"/>
    </w:p>
    <w:p w14:paraId="4EC2034D">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商务响应表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77FAE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2" w:hRule="atLeast"/>
          <w:jc w:val="center"/>
        </w:trPr>
        <w:tc>
          <w:tcPr>
            <w:tcW w:w="424" w:type="pct"/>
            <w:vAlign w:val="center"/>
          </w:tcPr>
          <w:p w14:paraId="579DDF9E">
            <w:pPr>
              <w:pStyle w:val="1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124" w:type="pct"/>
            <w:vAlign w:val="center"/>
          </w:tcPr>
          <w:p w14:paraId="398CBE0E">
            <w:pPr>
              <w:pStyle w:val="11"/>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1465" w:type="pct"/>
            <w:vAlign w:val="center"/>
          </w:tcPr>
          <w:p w14:paraId="1CA80F2A">
            <w:pPr>
              <w:pStyle w:val="1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招标文件要求</w:t>
            </w:r>
          </w:p>
        </w:tc>
        <w:tc>
          <w:tcPr>
            <w:tcW w:w="1510" w:type="pct"/>
            <w:vAlign w:val="center"/>
          </w:tcPr>
          <w:p w14:paraId="7C29810A">
            <w:pPr>
              <w:pStyle w:val="1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投标人承诺</w:t>
            </w:r>
          </w:p>
        </w:tc>
        <w:tc>
          <w:tcPr>
            <w:tcW w:w="475" w:type="pct"/>
            <w:vAlign w:val="center"/>
          </w:tcPr>
          <w:p w14:paraId="0B17C4D2">
            <w:pPr>
              <w:pStyle w:val="1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5F5F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4DF9CBAD">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124" w:type="pct"/>
            <w:vAlign w:val="center"/>
          </w:tcPr>
          <w:p w14:paraId="2133E520">
            <w:pPr>
              <w:jc w:val="center"/>
              <w:rPr>
                <w:rFonts w:ascii="宋体" w:hAnsi="宋体" w:eastAsia="宋体"/>
                <w:color w:val="auto"/>
                <w:sz w:val="24"/>
                <w:highlight w:val="none"/>
              </w:rPr>
            </w:pPr>
            <w:r>
              <w:rPr>
                <w:rFonts w:asciiTheme="minorEastAsia" w:hAnsiTheme="minorEastAsia" w:eastAsiaTheme="minorEastAsia"/>
                <w:color w:val="auto"/>
                <w:sz w:val="24"/>
                <w:highlight w:val="none"/>
              </w:rPr>
              <w:t>付款方式</w:t>
            </w:r>
          </w:p>
        </w:tc>
        <w:tc>
          <w:tcPr>
            <w:tcW w:w="1465" w:type="pct"/>
            <w:vAlign w:val="center"/>
          </w:tcPr>
          <w:p w14:paraId="722FAFAF">
            <w:pPr>
              <w:jc w:val="center"/>
              <w:rPr>
                <w:rFonts w:asciiTheme="minorEastAsia" w:hAnsiTheme="minorEastAsia" w:eastAsiaTheme="minorEastAsia"/>
                <w:color w:val="auto"/>
                <w:sz w:val="24"/>
                <w:highlight w:val="none"/>
              </w:rPr>
            </w:pPr>
          </w:p>
        </w:tc>
        <w:tc>
          <w:tcPr>
            <w:tcW w:w="1510" w:type="pct"/>
            <w:vAlign w:val="center"/>
          </w:tcPr>
          <w:p w14:paraId="5A0EB024">
            <w:pPr>
              <w:jc w:val="center"/>
              <w:rPr>
                <w:rFonts w:asciiTheme="minorEastAsia" w:hAnsiTheme="minorEastAsia" w:eastAsiaTheme="minorEastAsia"/>
                <w:color w:val="auto"/>
                <w:sz w:val="24"/>
                <w:highlight w:val="none"/>
              </w:rPr>
            </w:pPr>
          </w:p>
        </w:tc>
        <w:tc>
          <w:tcPr>
            <w:tcW w:w="475" w:type="pct"/>
            <w:vAlign w:val="center"/>
          </w:tcPr>
          <w:p w14:paraId="058E098E">
            <w:pPr>
              <w:jc w:val="center"/>
              <w:rPr>
                <w:rFonts w:asciiTheme="minorEastAsia" w:hAnsiTheme="minorEastAsia" w:eastAsiaTheme="minorEastAsia"/>
                <w:color w:val="auto"/>
                <w:sz w:val="24"/>
                <w:highlight w:val="none"/>
              </w:rPr>
            </w:pPr>
          </w:p>
        </w:tc>
      </w:tr>
      <w:tr w14:paraId="4469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C4AEDDC">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24" w:type="pct"/>
            <w:vAlign w:val="center"/>
          </w:tcPr>
          <w:p w14:paraId="0469B09B">
            <w:pPr>
              <w:jc w:val="center"/>
              <w:rPr>
                <w:rFonts w:ascii="宋体" w:hAnsi="宋体" w:eastAsia="宋体"/>
                <w:color w:val="auto"/>
                <w:sz w:val="24"/>
                <w:highlight w:val="none"/>
              </w:rPr>
            </w:pPr>
            <w:r>
              <w:rPr>
                <w:rFonts w:hint="eastAsia" w:ascii="宋体" w:hAnsi="宋体" w:eastAsia="宋体"/>
                <w:color w:val="auto"/>
                <w:sz w:val="24"/>
                <w:highlight w:val="none"/>
              </w:rPr>
              <w:t>服务地点</w:t>
            </w:r>
          </w:p>
        </w:tc>
        <w:tc>
          <w:tcPr>
            <w:tcW w:w="1465" w:type="pct"/>
            <w:vAlign w:val="center"/>
          </w:tcPr>
          <w:p w14:paraId="069BEE59">
            <w:pPr>
              <w:jc w:val="center"/>
              <w:rPr>
                <w:rFonts w:asciiTheme="minorEastAsia" w:hAnsiTheme="minorEastAsia" w:eastAsiaTheme="minorEastAsia"/>
                <w:color w:val="auto"/>
                <w:sz w:val="24"/>
                <w:highlight w:val="none"/>
              </w:rPr>
            </w:pPr>
          </w:p>
        </w:tc>
        <w:tc>
          <w:tcPr>
            <w:tcW w:w="1510" w:type="pct"/>
            <w:vAlign w:val="center"/>
          </w:tcPr>
          <w:p w14:paraId="21E09FB7">
            <w:pPr>
              <w:jc w:val="center"/>
              <w:rPr>
                <w:rFonts w:asciiTheme="minorEastAsia" w:hAnsiTheme="minorEastAsia" w:eastAsiaTheme="minorEastAsia"/>
                <w:color w:val="auto"/>
                <w:sz w:val="24"/>
                <w:highlight w:val="none"/>
              </w:rPr>
            </w:pPr>
          </w:p>
        </w:tc>
        <w:tc>
          <w:tcPr>
            <w:tcW w:w="475" w:type="pct"/>
            <w:vAlign w:val="center"/>
          </w:tcPr>
          <w:p w14:paraId="4F69967D">
            <w:pPr>
              <w:jc w:val="center"/>
              <w:rPr>
                <w:rFonts w:asciiTheme="minorEastAsia" w:hAnsiTheme="minorEastAsia" w:eastAsiaTheme="minorEastAsia"/>
                <w:color w:val="auto"/>
                <w:sz w:val="24"/>
                <w:highlight w:val="none"/>
              </w:rPr>
            </w:pPr>
          </w:p>
        </w:tc>
      </w:tr>
      <w:tr w14:paraId="0A96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2435236">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124" w:type="pct"/>
            <w:vAlign w:val="center"/>
          </w:tcPr>
          <w:p w14:paraId="0164DDC1">
            <w:pPr>
              <w:jc w:val="center"/>
              <w:rPr>
                <w:rFonts w:ascii="宋体" w:hAnsi="宋体" w:eastAsia="宋体"/>
                <w:color w:val="auto"/>
                <w:sz w:val="24"/>
                <w:highlight w:val="none"/>
              </w:rPr>
            </w:pPr>
            <w:r>
              <w:rPr>
                <w:rFonts w:hint="eastAsia" w:ascii="宋体" w:hAnsi="宋体" w:eastAsia="宋体"/>
                <w:color w:val="auto"/>
                <w:sz w:val="24"/>
                <w:highlight w:val="none"/>
              </w:rPr>
              <w:t>服务期限</w:t>
            </w:r>
          </w:p>
        </w:tc>
        <w:tc>
          <w:tcPr>
            <w:tcW w:w="1465" w:type="pct"/>
            <w:vAlign w:val="center"/>
          </w:tcPr>
          <w:p w14:paraId="43A8BBC5">
            <w:pPr>
              <w:jc w:val="center"/>
              <w:rPr>
                <w:rFonts w:asciiTheme="minorEastAsia" w:hAnsiTheme="minorEastAsia" w:eastAsiaTheme="minorEastAsia"/>
                <w:color w:val="auto"/>
                <w:sz w:val="24"/>
                <w:highlight w:val="none"/>
              </w:rPr>
            </w:pPr>
          </w:p>
        </w:tc>
        <w:tc>
          <w:tcPr>
            <w:tcW w:w="1510" w:type="pct"/>
            <w:vAlign w:val="center"/>
          </w:tcPr>
          <w:p w14:paraId="42A9DB0E">
            <w:pPr>
              <w:pStyle w:val="39"/>
              <w:jc w:val="center"/>
              <w:rPr>
                <w:rFonts w:asciiTheme="minorEastAsia" w:hAnsiTheme="minorEastAsia" w:eastAsiaTheme="minorEastAsia"/>
                <w:color w:val="auto"/>
                <w:highlight w:val="none"/>
              </w:rPr>
            </w:pPr>
          </w:p>
        </w:tc>
        <w:tc>
          <w:tcPr>
            <w:tcW w:w="475" w:type="pct"/>
            <w:vAlign w:val="center"/>
          </w:tcPr>
          <w:p w14:paraId="2E06E680">
            <w:pPr>
              <w:jc w:val="center"/>
              <w:rPr>
                <w:rFonts w:asciiTheme="minorEastAsia" w:hAnsiTheme="minorEastAsia" w:eastAsiaTheme="minorEastAsia"/>
                <w:color w:val="auto"/>
                <w:sz w:val="24"/>
                <w:highlight w:val="none"/>
              </w:rPr>
            </w:pPr>
          </w:p>
        </w:tc>
      </w:tr>
      <w:tr w14:paraId="56B4C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36E22EB">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124" w:type="pct"/>
            <w:vAlign w:val="center"/>
          </w:tcPr>
          <w:p w14:paraId="1FEDC2CE">
            <w:pPr>
              <w:jc w:val="center"/>
              <w:rPr>
                <w:rFonts w:ascii="宋体" w:hAnsi="宋体" w:eastAsia="宋体"/>
                <w:color w:val="auto"/>
                <w:sz w:val="24"/>
                <w:highlight w:val="none"/>
              </w:rPr>
            </w:pPr>
          </w:p>
        </w:tc>
        <w:tc>
          <w:tcPr>
            <w:tcW w:w="1465" w:type="pct"/>
            <w:vAlign w:val="center"/>
          </w:tcPr>
          <w:p w14:paraId="7EB9CA97">
            <w:pPr>
              <w:jc w:val="center"/>
              <w:rPr>
                <w:rFonts w:asciiTheme="minorEastAsia" w:hAnsiTheme="minorEastAsia" w:eastAsiaTheme="minorEastAsia"/>
                <w:color w:val="auto"/>
                <w:sz w:val="24"/>
                <w:highlight w:val="none"/>
              </w:rPr>
            </w:pPr>
          </w:p>
        </w:tc>
        <w:tc>
          <w:tcPr>
            <w:tcW w:w="1510" w:type="pct"/>
            <w:vAlign w:val="center"/>
          </w:tcPr>
          <w:p w14:paraId="08E98956">
            <w:pPr>
              <w:jc w:val="center"/>
              <w:rPr>
                <w:rFonts w:asciiTheme="minorEastAsia" w:hAnsiTheme="minorEastAsia" w:eastAsiaTheme="minorEastAsia"/>
                <w:color w:val="auto"/>
                <w:sz w:val="24"/>
                <w:highlight w:val="none"/>
              </w:rPr>
            </w:pPr>
          </w:p>
        </w:tc>
        <w:tc>
          <w:tcPr>
            <w:tcW w:w="475" w:type="pct"/>
            <w:vAlign w:val="center"/>
          </w:tcPr>
          <w:p w14:paraId="32579C9E">
            <w:pPr>
              <w:jc w:val="center"/>
              <w:rPr>
                <w:rFonts w:asciiTheme="minorEastAsia" w:hAnsiTheme="minorEastAsia" w:eastAsiaTheme="minorEastAsia"/>
                <w:color w:val="auto"/>
                <w:sz w:val="24"/>
                <w:highlight w:val="none"/>
              </w:rPr>
            </w:pPr>
          </w:p>
        </w:tc>
      </w:tr>
    </w:tbl>
    <w:p w14:paraId="7F4B87A5">
      <w:pPr>
        <w:rPr>
          <w:rFonts w:hint="eastAsia" w:asciiTheme="minorEastAsia" w:hAnsiTheme="minorEastAsia" w:eastAsiaTheme="minorEastAsia"/>
          <w:b/>
          <w:color w:val="auto"/>
          <w:sz w:val="24"/>
          <w:highlight w:val="none"/>
          <w:lang w:val="en-US" w:eastAsia="zh-CN"/>
        </w:rPr>
      </w:pPr>
      <w:bookmarkStart w:id="206" w:name="_Toc23068"/>
      <w:r>
        <w:rPr>
          <w:rFonts w:hint="eastAsia" w:asciiTheme="minorEastAsia" w:hAnsiTheme="minorEastAsia" w:eastAsiaTheme="minorEastAsia"/>
          <w:b/>
          <w:color w:val="auto"/>
          <w:sz w:val="24"/>
          <w:highlight w:val="none"/>
          <w:lang w:val="en-US" w:eastAsia="zh-CN"/>
        </w:rPr>
        <w:br w:type="page"/>
      </w:r>
    </w:p>
    <w:p w14:paraId="1D3B1EAC">
      <w:p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207" w:name="_Toc8198"/>
      <w:r>
        <w:rPr>
          <w:rFonts w:hint="eastAsia" w:asciiTheme="minorEastAsia" w:hAnsiTheme="minorEastAsia" w:eastAsiaTheme="minorEastAsia"/>
          <w:b/>
          <w:color w:val="auto"/>
          <w:sz w:val="24"/>
          <w:highlight w:val="none"/>
          <w:lang w:val="en-US" w:eastAsia="zh-CN"/>
        </w:rPr>
        <w:t>七、中小企业声明函</w:t>
      </w:r>
      <w:bookmarkEnd w:id="206"/>
      <w:bookmarkEnd w:id="207"/>
    </w:p>
    <w:p w14:paraId="202C9508">
      <w:pPr>
        <w:pStyle w:val="2"/>
        <w:jc w:val="center"/>
        <w:rPr>
          <w:rFonts w:hint="eastAsia" w:ascii="宋体" w:hAnsi="宋体" w:eastAsia="宋体"/>
          <w:b w:val="0"/>
          <w:i/>
          <w:color w:val="auto"/>
          <w:sz w:val="24"/>
          <w:highlight w:val="none"/>
          <w:lang w:val="en-US" w:eastAsia="zh-CN"/>
        </w:rPr>
      </w:pPr>
      <w:r>
        <w:rPr>
          <w:rFonts w:hint="eastAsia" w:ascii="宋体" w:hAnsi="宋体" w:eastAsia="宋体"/>
          <w:b w:val="0"/>
          <w:i/>
          <w:color w:val="auto"/>
          <w:sz w:val="24"/>
          <w:highlight w:val="none"/>
          <w:lang w:val="en-US" w:eastAsia="zh-CN"/>
        </w:rPr>
        <w:t>（</w:t>
      </w:r>
      <w:r>
        <w:rPr>
          <w:rFonts w:hint="eastAsia" w:ascii="宋体" w:hAnsi="宋体" w:eastAsia="宋体"/>
          <w:b w:val="0"/>
          <w:i/>
          <w:color w:val="auto"/>
          <w:sz w:val="24"/>
          <w:highlight w:val="none"/>
          <w:lang w:val="zh-CN" w:eastAsia="zh-CN"/>
        </w:rPr>
        <w:t>非中小企业投标</w:t>
      </w:r>
      <w:r>
        <w:rPr>
          <w:rFonts w:hint="eastAsia" w:ascii="宋体" w:hAnsi="宋体" w:eastAsia="宋体"/>
          <w:b w:val="0"/>
          <w:i/>
          <w:color w:val="auto"/>
          <w:sz w:val="24"/>
          <w:highlight w:val="none"/>
          <w:lang w:val="en-US" w:eastAsia="zh-CN"/>
        </w:rPr>
        <w:t>，不需此件，请删去“中小企业声明函”）</w:t>
      </w:r>
    </w:p>
    <w:p w14:paraId="2259E13A">
      <w:pPr>
        <w:rPr>
          <w:rFonts w:asciiTheme="minorEastAsia" w:hAnsiTheme="minorEastAsia" w:eastAsiaTheme="minorEastAsia"/>
          <w:color w:val="auto"/>
          <w:sz w:val="24"/>
          <w:szCs w:val="24"/>
          <w:highlight w:val="none"/>
        </w:rPr>
      </w:pPr>
    </w:p>
    <w:p w14:paraId="2D371647">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项目</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14:paraId="1F028094">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56ED4163">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558CAB24">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63DB41D4">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723B3B4C">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5BB0E794">
      <w:pPr>
        <w:spacing w:line="360" w:lineRule="auto"/>
        <w:ind w:firstLine="435"/>
        <w:rPr>
          <w:rFonts w:asciiTheme="minorEastAsia" w:hAnsiTheme="minorEastAsia" w:eastAsiaTheme="minorEastAsia"/>
          <w:color w:val="auto"/>
          <w:sz w:val="24"/>
          <w:szCs w:val="24"/>
          <w:highlight w:val="none"/>
        </w:rPr>
      </w:pPr>
    </w:p>
    <w:p w14:paraId="43ED7045">
      <w:pPr>
        <w:spacing w:line="360" w:lineRule="auto"/>
        <w:ind w:firstLine="435"/>
        <w:rPr>
          <w:rFonts w:asciiTheme="minorEastAsia" w:hAnsiTheme="minorEastAsia" w:eastAsiaTheme="minorEastAsia"/>
          <w:color w:val="auto"/>
          <w:sz w:val="24"/>
          <w:szCs w:val="24"/>
          <w:highlight w:val="none"/>
        </w:rPr>
      </w:pPr>
    </w:p>
    <w:p w14:paraId="65DFB44F">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投标人</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38FCFFA6">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p w14:paraId="7C9EA97F">
      <w:pPr>
        <w:tabs>
          <w:tab w:val="left" w:pos="4620"/>
        </w:tabs>
        <w:spacing w:line="360" w:lineRule="auto"/>
        <w:jc w:val="left"/>
        <w:rPr>
          <w:rFonts w:asciiTheme="minorEastAsia" w:hAnsiTheme="minorEastAsia" w:eastAsiaTheme="minorEastAsia"/>
          <w:color w:val="auto"/>
          <w:sz w:val="24"/>
          <w:szCs w:val="24"/>
          <w:highlight w:val="none"/>
        </w:rPr>
      </w:pPr>
    </w:p>
    <w:p w14:paraId="5DA408BA">
      <w:pPr>
        <w:tabs>
          <w:tab w:val="left" w:pos="4620"/>
        </w:tabs>
        <w:spacing w:line="360" w:lineRule="auto"/>
        <w:jc w:val="left"/>
        <w:rPr>
          <w:rFonts w:asciiTheme="minorEastAsia" w:hAnsiTheme="minorEastAsia" w:eastAsiaTheme="minorEastAsia"/>
          <w:color w:val="auto"/>
          <w:sz w:val="24"/>
          <w:szCs w:val="24"/>
          <w:highlight w:val="none"/>
        </w:rPr>
      </w:pPr>
    </w:p>
    <w:p w14:paraId="5936CAC7">
      <w:pPr>
        <w:tabs>
          <w:tab w:val="left" w:pos="4620"/>
        </w:tabs>
        <w:spacing w:line="360" w:lineRule="auto"/>
        <w:jc w:val="left"/>
        <w:rPr>
          <w:rFonts w:asciiTheme="minorEastAsia" w:hAnsiTheme="minorEastAsia" w:eastAsiaTheme="minorEastAsia"/>
          <w:color w:val="auto"/>
          <w:sz w:val="24"/>
          <w:szCs w:val="24"/>
          <w:highlight w:val="none"/>
        </w:rPr>
      </w:pPr>
    </w:p>
    <w:p w14:paraId="778CCECE">
      <w:pPr>
        <w:tabs>
          <w:tab w:val="left" w:pos="4620"/>
        </w:tabs>
        <w:spacing w:line="360" w:lineRule="auto"/>
        <w:jc w:val="left"/>
        <w:rPr>
          <w:rFonts w:asciiTheme="minorEastAsia" w:hAnsiTheme="minorEastAsia" w:eastAsiaTheme="minorEastAsia"/>
          <w:color w:val="auto"/>
          <w:sz w:val="24"/>
          <w:szCs w:val="24"/>
          <w:highlight w:val="none"/>
        </w:rPr>
      </w:pPr>
    </w:p>
    <w:p w14:paraId="34633D35">
      <w:pPr>
        <w:tabs>
          <w:tab w:val="left" w:pos="4620"/>
        </w:tabs>
        <w:spacing w:line="360" w:lineRule="auto"/>
        <w:jc w:val="left"/>
        <w:outlineLvl w:val="9"/>
        <w:rPr>
          <w:rFonts w:hint="eastAsia" w:asciiTheme="minorEastAsia" w:hAnsiTheme="minorEastAsia" w:eastAsiaTheme="minorEastAsia"/>
          <w:b/>
          <w:color w:val="auto"/>
          <w:szCs w:val="24"/>
          <w:highlight w:val="none"/>
          <w:lang w:eastAsia="zh-CN"/>
        </w:rPr>
      </w:pPr>
      <w:r>
        <w:rPr>
          <w:rFonts w:hint="eastAsia" w:asciiTheme="minorEastAsia" w:hAnsiTheme="minorEastAsia" w:eastAsiaTheme="minorEastAsia"/>
          <w:b/>
          <w:color w:val="auto"/>
          <w:szCs w:val="24"/>
          <w:highlight w:val="none"/>
          <w:lang w:eastAsia="zh-CN"/>
        </w:rPr>
        <w:t>注：</w:t>
      </w:r>
    </w:p>
    <w:p w14:paraId="5D868B84">
      <w:pPr>
        <w:tabs>
          <w:tab w:val="left" w:pos="4620"/>
        </w:tabs>
        <w:spacing w:line="360" w:lineRule="auto"/>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555A3EC5">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投标人自行登录工业和信息化部官网进行中小企业规模类型自测（查询网址https://www.miit.gov.cn/）。</w:t>
      </w:r>
    </w:p>
    <w:p w14:paraId="6E766DC2">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”，详见第三章采购需求前附表中明确的“标的名称”。</w:t>
      </w:r>
    </w:p>
    <w:p w14:paraId="1C3C11BE">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”，详见第三章采购需求前附表中明确的“所属行业”。</w:t>
      </w:r>
    </w:p>
    <w:p w14:paraId="581BF10B">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5．填写示例：</w:t>
      </w:r>
      <w:r>
        <w:rPr>
          <w:rFonts w:hint="eastAsia" w:ascii="宋体" w:hAnsi="宋体" w:eastAsia="宋体" w:cs="宋体"/>
          <w:b/>
          <w:bCs/>
          <w:color w:val="auto"/>
          <w:szCs w:val="21"/>
          <w:highlight w:val="none"/>
          <w:u w:val="single"/>
        </w:rPr>
        <w:t>某标的名称</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rPr>
        <w:t>填写第三章采购需求前附表中明确的“标的名称”</w:t>
      </w:r>
      <w:r>
        <w:rPr>
          <w:rFonts w:hint="eastAsia" w:ascii="宋体" w:hAnsi="宋体" w:eastAsia="宋体" w:cs="宋体"/>
          <w:b/>
          <w:bCs/>
          <w:color w:val="auto"/>
          <w:szCs w:val="21"/>
          <w:highlight w:val="none"/>
        </w:rPr>
        <w:t>），属于</w:t>
      </w:r>
      <w:r>
        <w:rPr>
          <w:rFonts w:hint="eastAsia" w:ascii="宋体" w:hAnsi="宋体" w:eastAsia="宋体" w:cs="宋体"/>
          <w:b/>
          <w:bCs/>
          <w:color w:val="auto"/>
          <w:szCs w:val="21"/>
          <w:highlight w:val="none"/>
          <w:u w:val="single"/>
        </w:rPr>
        <w:t>（填写第三章采购需求前附表中明确的“所属行业”，如软件和信息技术服务业）</w:t>
      </w:r>
      <w:r>
        <w:rPr>
          <w:rFonts w:hint="eastAsia" w:ascii="宋体" w:hAnsi="宋体" w:eastAsia="宋体" w:cs="宋体"/>
          <w:b/>
          <w:bCs/>
          <w:color w:val="auto"/>
          <w:szCs w:val="21"/>
          <w:highlight w:val="none"/>
        </w:rPr>
        <w:t>行业；承接企业为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rPr>
        <w:t>中</w:t>
      </w:r>
      <w:r>
        <w:rPr>
          <w:rFonts w:hint="eastAsia" w:ascii="宋体" w:hAnsi="宋体" w:eastAsia="宋体" w:cs="宋体"/>
          <w:b/>
          <w:bCs/>
          <w:color w:val="auto"/>
          <w:szCs w:val="21"/>
          <w:highlight w:val="none"/>
          <w:u w:val="single"/>
          <w:lang w:val="zh-CN"/>
        </w:rPr>
        <w:t>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[投标人自行登录工业和信息化部官网进行中小企业规模类型自测（查询网址https://www.miit.gov.cn/）]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5DFBE31E">
      <w:pPr>
        <w:pStyle w:val="2"/>
        <w:rPr>
          <w:rFonts w:hint="eastAsia" w:asciiTheme="minorEastAsia" w:hAnsiTheme="minorEastAsia" w:eastAsiaTheme="minorEastAsia"/>
          <w:b/>
          <w:bCs/>
          <w:color w:val="auto"/>
          <w:szCs w:val="24"/>
          <w:highlight w:val="none"/>
        </w:rPr>
      </w:pPr>
    </w:p>
    <w:p w14:paraId="7A63F382">
      <w:pPr>
        <w:rPr>
          <w:rFonts w:hint="eastAsia" w:asciiTheme="minorEastAsia" w:hAnsiTheme="minorEastAsia" w:eastAsiaTheme="minorEastAsia"/>
          <w:b/>
          <w:color w:val="auto"/>
          <w:sz w:val="24"/>
          <w:highlight w:val="none"/>
        </w:rPr>
      </w:pPr>
      <w:bookmarkStart w:id="208" w:name="_Toc16713"/>
      <w:r>
        <w:rPr>
          <w:rFonts w:hint="eastAsia" w:asciiTheme="minorEastAsia" w:hAnsiTheme="minorEastAsia" w:eastAsiaTheme="minorEastAsia"/>
          <w:b/>
          <w:color w:val="auto"/>
          <w:sz w:val="24"/>
          <w:highlight w:val="none"/>
        </w:rPr>
        <w:br w:type="page"/>
      </w:r>
    </w:p>
    <w:p w14:paraId="2B29CB83">
      <w:p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209" w:name="_Toc17315"/>
      <w:bookmarkStart w:id="210" w:name="_Toc28320"/>
      <w:r>
        <w:rPr>
          <w:rFonts w:hint="eastAsia" w:asciiTheme="minorEastAsia" w:hAnsiTheme="minorEastAsia" w:eastAsiaTheme="minorEastAsia"/>
          <w:b/>
          <w:color w:val="auto"/>
          <w:sz w:val="24"/>
          <w:highlight w:val="none"/>
          <w:lang w:val="en-US" w:eastAsia="zh-CN"/>
        </w:rPr>
        <w:t>十、残疾人福利性单位声明函</w:t>
      </w:r>
      <w:bookmarkEnd w:id="208"/>
      <w:bookmarkEnd w:id="209"/>
      <w:bookmarkEnd w:id="210"/>
    </w:p>
    <w:p w14:paraId="268FCBF2">
      <w:pPr>
        <w:pStyle w:val="2"/>
        <w:jc w:val="center"/>
        <w:rPr>
          <w:rFonts w:hint="eastAsia" w:ascii="宋体" w:hAnsi="宋体" w:eastAsia="宋体"/>
          <w:b w:val="0"/>
          <w:i/>
          <w:color w:val="auto"/>
          <w:sz w:val="24"/>
          <w:highlight w:val="none"/>
          <w:lang w:val="en-US" w:eastAsia="zh-CN"/>
        </w:rPr>
      </w:pPr>
      <w:r>
        <w:rPr>
          <w:rFonts w:hint="eastAsia" w:ascii="宋体" w:hAnsi="宋体" w:eastAsia="宋体"/>
          <w:b w:val="0"/>
          <w:i/>
          <w:color w:val="auto"/>
          <w:sz w:val="24"/>
          <w:highlight w:val="none"/>
          <w:lang w:val="en-US" w:eastAsia="zh-CN"/>
        </w:rPr>
        <w:t>（非残疾人福利性单位投标，请删去“残疾人福利性单位声明函”）</w:t>
      </w:r>
    </w:p>
    <w:p w14:paraId="095BD5F3">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w:t>
      </w:r>
      <w:r>
        <w:rPr>
          <w:rFonts w:hint="eastAsia" w:asciiTheme="minorEastAsia" w:hAnsiTheme="minorEastAsia" w:eastAsiaTheme="minorEastAsia"/>
          <w:color w:val="auto"/>
          <w:sz w:val="24"/>
          <w:highlight w:val="none"/>
        </w:rPr>
        <w:t>郑重</w:t>
      </w:r>
      <w:r>
        <w:rPr>
          <w:rFonts w:hint="eastAsia" w:asciiTheme="minorEastAsia" w:hAnsiTheme="minorEastAsia" w:eastAsiaTheme="minorEastAsia"/>
          <w:color w:val="auto"/>
          <w:spacing w:val="6"/>
          <w:sz w:val="24"/>
          <w:szCs w:val="24"/>
          <w:highlight w:val="none"/>
        </w:rPr>
        <w:t>声明，根据《财政部 民政部 中国残疾人联合会关于促进残疾人就业政府采购政策的通知》（财库</w:t>
      </w:r>
      <w:r>
        <w:rPr>
          <w:rFonts w:hint="eastAsia" w:asciiTheme="minorEastAsia" w:hAnsiTheme="minorEastAsia" w:eastAsiaTheme="minorEastAsia"/>
          <w:color w:val="auto"/>
          <w:sz w:val="24"/>
          <w:szCs w:val="24"/>
          <w:highlight w:val="none"/>
        </w:rPr>
        <w:t>〔2017〕141</w:t>
      </w:r>
      <w:r>
        <w:rPr>
          <w:rFonts w:hint="eastAsia" w:asciiTheme="minorEastAsia" w:hAnsiTheme="minorEastAsia" w:eastAsiaTheme="minorEastAsia"/>
          <w:color w:val="auto"/>
          <w:spacing w:val="6"/>
          <w:sz w:val="24"/>
          <w:szCs w:val="24"/>
          <w:highlight w:val="none"/>
        </w:rPr>
        <w:t>号）的规定，本单位为</w:t>
      </w:r>
      <w:r>
        <w:rPr>
          <w:rFonts w:hint="eastAsia" w:asciiTheme="minorEastAsia" w:hAnsiTheme="minorEastAsia" w:eastAsiaTheme="minorEastAsia"/>
          <w:bCs/>
          <w:color w:val="auto"/>
          <w:sz w:val="24"/>
          <w:szCs w:val="24"/>
          <w:highlight w:val="none"/>
        </w:rPr>
        <w:t>符合</w:t>
      </w:r>
      <w:r>
        <w:rPr>
          <w:rFonts w:hint="eastAsia" w:asciiTheme="minorEastAsia" w:hAnsiTheme="minorEastAsia" w:eastAsiaTheme="minorEastAsia"/>
          <w:color w:val="auto"/>
          <w:spacing w:val="6"/>
          <w:sz w:val="24"/>
          <w:szCs w:val="24"/>
          <w:highlight w:val="none"/>
        </w:rPr>
        <w:t>条件的残疾人福利性单位，且本单位参加</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单位的</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项目采购活动提供本单位制造的货物</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lang w:val="en-US" w:eastAsia="zh-CN"/>
        </w:rPr>
        <w:t>由本单位承担工程/提供服务</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rPr>
        <w:t>，或者提供其他残疾人福利性单位制造的货物（不包括使用非残疾人福利性单位注册商标的货物）。</w:t>
      </w:r>
    </w:p>
    <w:p w14:paraId="7CFDC189">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本单位对上述声明的真实性负责。如有虚假，将依法承担相应责任。</w:t>
      </w:r>
    </w:p>
    <w:p w14:paraId="697D915D">
      <w:pPr>
        <w:spacing w:line="360" w:lineRule="auto"/>
        <w:ind w:firstLine="4228" w:firstLineChars="1762"/>
        <w:rPr>
          <w:rFonts w:asciiTheme="minorEastAsia" w:hAnsiTheme="minorEastAsia" w:eastAsiaTheme="minorEastAsia"/>
          <w:color w:val="auto"/>
          <w:sz w:val="24"/>
          <w:szCs w:val="24"/>
          <w:highlight w:val="none"/>
        </w:rPr>
      </w:pPr>
    </w:p>
    <w:p w14:paraId="050D4219">
      <w:pPr>
        <w:spacing w:line="360" w:lineRule="auto"/>
        <w:ind w:firstLine="4228" w:firstLineChars="1762"/>
        <w:rPr>
          <w:rFonts w:asciiTheme="minorEastAsia" w:hAnsiTheme="minorEastAsia" w:eastAsiaTheme="minorEastAsia"/>
          <w:color w:val="auto"/>
          <w:sz w:val="24"/>
          <w:szCs w:val="24"/>
          <w:highlight w:val="none"/>
        </w:rPr>
      </w:pPr>
    </w:p>
    <w:p w14:paraId="1A2D349D">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投标人</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4C681F33">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p w14:paraId="2341314D">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6E757D9F">
      <w:p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211" w:name="_Toc520299348"/>
      <w:bookmarkStart w:id="212" w:name="_Toc300210382"/>
      <w:bookmarkStart w:id="213" w:name="_Toc457768004"/>
      <w:bookmarkStart w:id="214" w:name="_Toc23860"/>
      <w:bookmarkStart w:id="215" w:name="_Toc4620"/>
      <w:bookmarkStart w:id="216" w:name="_Toc26536"/>
      <w:bookmarkStart w:id="217" w:name="_Hlk11701496"/>
      <w:r>
        <w:rPr>
          <w:rFonts w:hint="eastAsia" w:asciiTheme="minorEastAsia" w:hAnsiTheme="minorEastAsia" w:eastAsiaTheme="minorEastAsia"/>
          <w:b/>
          <w:color w:val="auto"/>
          <w:sz w:val="24"/>
          <w:highlight w:val="none"/>
          <w:lang w:val="en-US" w:eastAsia="zh-CN"/>
        </w:rPr>
        <w:t>十一、</w:t>
      </w:r>
      <w:bookmarkEnd w:id="211"/>
      <w:bookmarkEnd w:id="212"/>
      <w:bookmarkEnd w:id="213"/>
      <w:r>
        <w:rPr>
          <w:rFonts w:hint="eastAsia" w:asciiTheme="minorEastAsia" w:hAnsiTheme="minorEastAsia" w:eastAsiaTheme="minorEastAsia"/>
          <w:b/>
          <w:color w:val="auto"/>
          <w:sz w:val="24"/>
          <w:highlight w:val="none"/>
          <w:lang w:val="en-US" w:eastAsia="zh-CN"/>
        </w:rPr>
        <w:t>诚信履约承诺函</w:t>
      </w:r>
      <w:bookmarkEnd w:id="214"/>
      <w:bookmarkEnd w:id="215"/>
      <w:bookmarkEnd w:id="216"/>
    </w:p>
    <w:p w14:paraId="75AE1E91">
      <w:pPr>
        <w:spacing w:line="360" w:lineRule="auto"/>
        <w:rPr>
          <w:rFonts w:asciiTheme="minorEastAsia" w:hAnsiTheme="minorEastAsia" w:eastAsiaTheme="minorEastAsia"/>
          <w:b/>
          <w:bCs/>
          <w:color w:val="auto"/>
          <w:sz w:val="24"/>
          <w:highlight w:val="none"/>
        </w:rPr>
      </w:pPr>
    </w:p>
    <w:p w14:paraId="5ED0AAFF">
      <w:pPr>
        <w:spacing w:line="360" w:lineRule="auto"/>
        <w:rPr>
          <w:rFonts w:hint="eastAsia" w:asciiTheme="minorEastAsia" w:hAnsiTheme="minorEastAsia" w:eastAsiaTheme="minorEastAsia"/>
          <w:b/>
          <w:bCs/>
          <w:color w:val="auto"/>
          <w:sz w:val="24"/>
          <w:highlight w:val="none"/>
          <w:u w:val="single"/>
          <w:lang w:eastAsia="zh-CN"/>
        </w:rPr>
      </w:pPr>
      <w:r>
        <w:rPr>
          <w:rFonts w:hint="eastAsia" w:asciiTheme="minorEastAsia" w:hAnsiTheme="minorEastAsia" w:eastAsiaTheme="minorEastAsia"/>
          <w:b/>
          <w:bCs/>
          <w:color w:val="auto"/>
          <w:sz w:val="24"/>
          <w:highlight w:val="none"/>
        </w:rPr>
        <w:t>致：</w:t>
      </w:r>
      <w:r>
        <w:rPr>
          <w:rFonts w:hint="eastAsia" w:asciiTheme="minorEastAsia" w:hAnsiTheme="minorEastAsia" w:eastAsiaTheme="minorEastAsia"/>
          <w:b/>
          <w:bCs/>
          <w:color w:val="auto"/>
          <w:sz w:val="24"/>
          <w:highlight w:val="none"/>
          <w:u w:val="none"/>
          <w:lang w:eastAsia="zh-CN"/>
        </w:rPr>
        <w:t>安徽省商务厅</w:t>
      </w:r>
    </w:p>
    <w:p w14:paraId="7AB66A36">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5D205913">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（1）中标或者成交后无正当理由拒不与采购人签订政府采购合同；</w:t>
      </w:r>
    </w:p>
    <w:p w14:paraId="3108B40F">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（2）未按照采购文件确定的事项签订政府采购合同；</w:t>
      </w:r>
    </w:p>
    <w:p w14:paraId="129F7B26">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02B7D3DA">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2AD60741">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（5）擅自变更、中止或者终止政府采购合同。</w:t>
      </w:r>
    </w:p>
    <w:p w14:paraId="631E8AFA">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F3D00A8">
      <w:pPr>
        <w:spacing w:line="360" w:lineRule="auto"/>
        <w:rPr>
          <w:rFonts w:asciiTheme="minorEastAsia" w:hAnsiTheme="minorEastAsia" w:eastAsiaTheme="minorEastAsia"/>
          <w:bCs/>
          <w:color w:val="auto"/>
          <w:sz w:val="24"/>
          <w:highlight w:val="none"/>
        </w:rPr>
      </w:pPr>
    </w:p>
    <w:p w14:paraId="5DE23A8B">
      <w:pPr>
        <w:spacing w:line="360" w:lineRule="auto"/>
        <w:rPr>
          <w:rFonts w:asciiTheme="minorEastAsia" w:hAnsiTheme="minorEastAsia" w:eastAsiaTheme="minorEastAsia"/>
          <w:bCs/>
          <w:color w:val="auto"/>
          <w:sz w:val="24"/>
          <w:highlight w:val="none"/>
        </w:rPr>
      </w:pPr>
    </w:p>
    <w:p w14:paraId="565694E7">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投标人电子签章：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6D044AE5">
      <w:pPr>
        <w:spacing w:line="360" w:lineRule="auto"/>
        <w:ind w:firstLine="4320" w:firstLineChars="18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378A793F">
      <w:pPr>
        <w:widowControl/>
        <w:jc w:val="left"/>
        <w:rPr>
          <w:rFonts w:ascii="宋体" w:hAnsi="宋体" w:eastAsia="宋体" w:cs="Arial"/>
          <w:color w:val="auto"/>
          <w:sz w:val="24"/>
          <w:highlight w:val="none"/>
        </w:rPr>
      </w:pPr>
      <w:r>
        <w:rPr>
          <w:rFonts w:ascii="宋体" w:hAnsi="宋体" w:eastAsia="宋体" w:cs="Arial"/>
          <w:color w:val="auto"/>
          <w:sz w:val="24"/>
          <w:highlight w:val="none"/>
        </w:rPr>
        <w:br w:type="page"/>
      </w:r>
    </w:p>
    <w:bookmarkEnd w:id="217"/>
    <w:p w14:paraId="51ABCA5D">
      <w:pPr>
        <w:spacing w:line="360" w:lineRule="auto"/>
        <w:jc w:val="center"/>
        <w:outlineLvl w:val="1"/>
        <w:rPr>
          <w:rFonts w:hint="eastAsia" w:asciiTheme="minorEastAsia" w:hAnsiTheme="minorEastAsia" w:eastAsiaTheme="minorEastAsia"/>
          <w:b/>
          <w:color w:val="auto"/>
          <w:sz w:val="24"/>
          <w:highlight w:val="none"/>
          <w:lang w:val="en-US" w:eastAsia="zh-CN"/>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bookmarkStart w:id="218" w:name="_Toc31807"/>
      <w:bookmarkStart w:id="219" w:name="_Toc32633"/>
    </w:p>
    <w:p w14:paraId="1FF3DF2B">
      <w:p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220" w:name="_Toc466024589"/>
      <w:bookmarkStart w:id="221" w:name="_Toc26357"/>
      <w:bookmarkStart w:id="222" w:name="_Toc14412"/>
      <w:r>
        <w:rPr>
          <w:rFonts w:hint="eastAsia" w:asciiTheme="minorEastAsia" w:hAnsiTheme="minorEastAsia" w:eastAsiaTheme="minorEastAsia"/>
          <w:b/>
          <w:color w:val="auto"/>
          <w:sz w:val="24"/>
          <w:highlight w:val="none"/>
          <w:lang w:val="en-US" w:eastAsia="zh-CN"/>
        </w:rPr>
        <w:t>十二、</w:t>
      </w:r>
      <w:bookmarkEnd w:id="220"/>
      <w:r>
        <w:rPr>
          <w:rFonts w:hint="eastAsia" w:asciiTheme="minorEastAsia" w:hAnsiTheme="minorEastAsia" w:eastAsiaTheme="minorEastAsia"/>
          <w:b/>
          <w:color w:val="auto"/>
          <w:sz w:val="24"/>
          <w:highlight w:val="none"/>
          <w:lang w:val="en-US" w:eastAsia="zh-CN"/>
        </w:rPr>
        <w:t>主要中标标的承诺函</w:t>
      </w:r>
      <w:bookmarkEnd w:id="221"/>
      <w:bookmarkEnd w:id="222"/>
    </w:p>
    <w:p w14:paraId="54419DF1">
      <w:pPr>
        <w:shd w:val="clear" w:color="auto" w:fill="auto"/>
        <w:spacing w:before="96" w:beforeLines="40" w:after="96" w:afterLines="40" w:line="400" w:lineRule="exact"/>
        <w:jc w:val="left"/>
        <w:rPr>
          <w:rFonts w:hint="eastAsia" w:ascii="宋体" w:hAnsi="宋体" w:eastAsia="宋体" w:cs="宋体"/>
          <w:b/>
          <w:color w:val="auto"/>
          <w:sz w:val="24"/>
          <w:szCs w:val="24"/>
          <w:highlight w:val="none"/>
          <w:u w:val="none"/>
        </w:rPr>
      </w:pPr>
      <w:r>
        <w:rPr>
          <w:rFonts w:hint="eastAsia" w:ascii="宋体" w:hAnsi="宋体" w:eastAsia="宋体" w:cs="宋体"/>
          <w:b/>
          <w:color w:val="auto"/>
          <w:sz w:val="24"/>
          <w:szCs w:val="24"/>
          <w:highlight w:val="none"/>
          <w:u w:val="none"/>
        </w:rPr>
        <w:t>致：    （代理机构名称）</w:t>
      </w:r>
    </w:p>
    <w:p w14:paraId="5FEA2415">
      <w:pPr>
        <w:shd w:val="clear" w:color="auto" w:fill="auto"/>
        <w:spacing w:before="96" w:beforeLines="40" w:after="96" w:afterLines="40" w:line="400" w:lineRule="exact"/>
        <w:ind w:firstLine="602" w:firstLineChars="250"/>
        <w:jc w:val="left"/>
        <w:rPr>
          <w:rFonts w:hint="eastAsia" w:ascii="宋体" w:hAnsi="宋体" w:eastAsia="宋体" w:cs="宋体"/>
          <w:b/>
          <w:color w:val="auto"/>
          <w:sz w:val="24"/>
          <w:szCs w:val="24"/>
          <w:highlight w:val="none"/>
          <w:u w:val="none"/>
        </w:rPr>
      </w:pPr>
      <w:r>
        <w:rPr>
          <w:rFonts w:hint="eastAsia" w:ascii="宋体" w:hAnsi="宋体" w:eastAsia="宋体" w:cs="宋体"/>
          <w:b/>
          <w:color w:val="auto"/>
          <w:sz w:val="24"/>
          <w:szCs w:val="24"/>
          <w:highlight w:val="none"/>
          <w:u w:val="none"/>
        </w:rPr>
        <w:t xml:space="preserve">     （采购单位名称）</w:t>
      </w:r>
    </w:p>
    <w:p w14:paraId="630E7EFC">
      <w:pPr>
        <w:shd w:val="clear" w:color="auto" w:fill="auto"/>
        <w:spacing w:before="96" w:beforeLines="40" w:after="96" w:afterLines="40" w:line="400" w:lineRule="exact"/>
        <w:ind w:firstLine="435"/>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我单位同意评审结果公告中公示以下主要</w:t>
      </w:r>
      <w:r>
        <w:rPr>
          <w:rFonts w:hint="eastAsia" w:ascii="宋体" w:hAnsi="宋体" w:eastAsia="宋体" w:cs="宋体"/>
          <w:color w:val="auto"/>
          <w:sz w:val="24"/>
          <w:szCs w:val="24"/>
          <w:highlight w:val="none"/>
          <w:u w:val="none"/>
          <w:lang w:eastAsia="zh-CN"/>
        </w:rPr>
        <w:t>中标</w:t>
      </w:r>
      <w:r>
        <w:rPr>
          <w:rFonts w:hint="eastAsia" w:ascii="宋体" w:hAnsi="宋体" w:eastAsia="宋体" w:cs="宋体"/>
          <w:color w:val="auto"/>
          <w:sz w:val="24"/>
          <w:szCs w:val="24"/>
          <w:highlight w:val="none"/>
          <w:u w:val="none"/>
        </w:rPr>
        <w:t>标的并承诺：</w:t>
      </w:r>
      <w:r>
        <w:rPr>
          <w:rFonts w:hint="eastAsia" w:ascii="宋体" w:hAnsi="宋体" w:eastAsia="宋体" w:cs="宋体"/>
          <w:color w:val="auto"/>
          <w:sz w:val="24"/>
          <w:szCs w:val="24"/>
          <w:highlight w:val="none"/>
          <w:u w:val="none"/>
          <w:lang w:val="en-US" w:eastAsia="zh-CN"/>
        </w:rPr>
        <w:t>谈判</w:t>
      </w:r>
      <w:r>
        <w:rPr>
          <w:rFonts w:hint="eastAsia" w:ascii="宋体" w:hAnsi="宋体" w:eastAsia="宋体" w:cs="宋体"/>
          <w:color w:val="auto"/>
          <w:sz w:val="24"/>
          <w:szCs w:val="24"/>
          <w:highlight w:val="none"/>
          <w:u w:val="none"/>
        </w:rPr>
        <w:t>文件中所提供的主要</w:t>
      </w:r>
      <w:r>
        <w:rPr>
          <w:rFonts w:hint="eastAsia" w:ascii="宋体" w:hAnsi="宋体" w:eastAsia="宋体" w:cs="宋体"/>
          <w:color w:val="auto"/>
          <w:sz w:val="24"/>
          <w:szCs w:val="24"/>
          <w:highlight w:val="none"/>
          <w:u w:val="none"/>
          <w:lang w:eastAsia="zh-CN"/>
        </w:rPr>
        <w:t>中标</w:t>
      </w:r>
      <w:r>
        <w:rPr>
          <w:rFonts w:hint="eastAsia" w:ascii="宋体" w:hAnsi="宋体" w:eastAsia="宋体" w:cs="宋体"/>
          <w:color w:val="auto"/>
          <w:sz w:val="24"/>
          <w:szCs w:val="24"/>
          <w:highlight w:val="none"/>
          <w:u w:val="none"/>
        </w:rPr>
        <w:t>标的均真实有效。若被发现存在任何虚假、隐瞒情况，我单位承担由此产生的一切后果。</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7147"/>
      </w:tblGrid>
      <w:tr w14:paraId="67DD2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noWrap w:val="0"/>
            <w:vAlign w:val="top"/>
          </w:tcPr>
          <w:p w14:paraId="18465256">
            <w:pPr>
              <w:shd w:val="clear" w:color="auto" w:fill="auto"/>
              <w:adjustRightInd w:val="0"/>
              <w:snapToGrid w:val="0"/>
              <w:spacing w:before="96" w:beforeLines="40" w:after="96" w:afterLines="40" w:line="400" w:lineRule="exact"/>
              <w:jc w:val="center"/>
              <w:rPr>
                <w:rFonts w:hint="eastAsia" w:ascii="宋体" w:hAnsi="宋体" w:eastAsia="宋体" w:cs="宋体"/>
                <w:b/>
                <w:color w:val="auto"/>
                <w:sz w:val="24"/>
                <w:szCs w:val="24"/>
                <w:highlight w:val="none"/>
                <w:u w:val="none"/>
              </w:rPr>
            </w:pPr>
            <w:r>
              <w:rPr>
                <w:rFonts w:hint="eastAsia" w:ascii="宋体" w:hAnsi="宋体" w:eastAsia="宋体" w:cs="宋体"/>
                <w:b/>
                <w:color w:val="auto"/>
                <w:sz w:val="24"/>
                <w:szCs w:val="24"/>
                <w:highlight w:val="none"/>
                <w:u w:val="none"/>
              </w:rPr>
              <w:t>服务类</w:t>
            </w:r>
          </w:p>
        </w:tc>
      </w:tr>
      <w:tr w14:paraId="1C546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noWrap w:val="0"/>
            <w:vAlign w:val="top"/>
          </w:tcPr>
          <w:p w14:paraId="5A4D7719">
            <w:pPr>
              <w:shd w:val="clear" w:color="auto" w:fill="auto"/>
              <w:adjustRightInd w:val="0"/>
              <w:snapToGrid w:val="0"/>
              <w:spacing w:before="96" w:beforeLines="40" w:after="96" w:afterLines="40" w:line="400" w:lineRule="exact"/>
              <w:jc w:val="left"/>
              <w:rPr>
                <w:rFonts w:hint="eastAsia" w:ascii="宋体" w:hAnsi="宋体" w:eastAsia="宋体" w:cs="宋体"/>
                <w:b/>
                <w:color w:val="auto"/>
                <w:sz w:val="24"/>
                <w:szCs w:val="24"/>
                <w:highlight w:val="none"/>
                <w:u w:val="none"/>
              </w:rPr>
            </w:pPr>
            <w:r>
              <w:rPr>
                <w:rFonts w:hint="eastAsia" w:ascii="宋体" w:hAnsi="宋体" w:eastAsia="宋体" w:cs="宋体"/>
                <w:b/>
                <w:color w:val="auto"/>
                <w:sz w:val="24"/>
                <w:szCs w:val="24"/>
                <w:highlight w:val="none"/>
                <w:u w:val="none"/>
              </w:rPr>
              <w:t>名称</w:t>
            </w:r>
          </w:p>
        </w:tc>
        <w:tc>
          <w:tcPr>
            <w:tcW w:w="4192" w:type="pct"/>
            <w:noWrap w:val="0"/>
            <w:vAlign w:val="top"/>
          </w:tcPr>
          <w:p w14:paraId="04F560E6">
            <w:pPr>
              <w:shd w:val="clear" w:color="auto" w:fill="auto"/>
              <w:adjustRightInd w:val="0"/>
              <w:snapToGrid w:val="0"/>
              <w:spacing w:before="96" w:beforeLines="40" w:after="96" w:afterLines="40" w:line="400" w:lineRule="exact"/>
              <w:jc w:val="left"/>
              <w:rPr>
                <w:rFonts w:hint="eastAsia" w:ascii="宋体" w:hAnsi="宋体" w:eastAsia="宋体" w:cs="宋体"/>
                <w:b/>
                <w:color w:val="auto"/>
                <w:sz w:val="24"/>
                <w:szCs w:val="24"/>
                <w:highlight w:val="none"/>
                <w:u w:val="none"/>
              </w:rPr>
            </w:pPr>
          </w:p>
        </w:tc>
      </w:tr>
      <w:tr w14:paraId="76A2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noWrap w:val="0"/>
            <w:vAlign w:val="top"/>
          </w:tcPr>
          <w:p w14:paraId="77A1CB85">
            <w:pPr>
              <w:shd w:val="clear" w:color="auto" w:fill="auto"/>
              <w:adjustRightInd w:val="0"/>
              <w:snapToGrid w:val="0"/>
              <w:spacing w:before="96" w:beforeLines="40" w:after="96" w:afterLines="40" w:line="400" w:lineRule="exact"/>
              <w:jc w:val="left"/>
              <w:rPr>
                <w:rFonts w:hint="eastAsia" w:ascii="宋体" w:hAnsi="宋体" w:eastAsia="宋体" w:cs="宋体"/>
                <w:b/>
                <w:color w:val="auto"/>
                <w:sz w:val="24"/>
                <w:szCs w:val="24"/>
                <w:highlight w:val="none"/>
                <w:u w:val="none"/>
              </w:rPr>
            </w:pPr>
            <w:r>
              <w:rPr>
                <w:rFonts w:hint="eastAsia" w:ascii="宋体" w:hAnsi="宋体" w:eastAsia="宋体" w:cs="宋体"/>
                <w:b/>
                <w:color w:val="auto"/>
                <w:sz w:val="24"/>
                <w:szCs w:val="24"/>
                <w:highlight w:val="none"/>
                <w:u w:val="none"/>
              </w:rPr>
              <w:t>服务范围</w:t>
            </w:r>
          </w:p>
        </w:tc>
        <w:tc>
          <w:tcPr>
            <w:tcW w:w="4192" w:type="pct"/>
            <w:noWrap w:val="0"/>
            <w:vAlign w:val="top"/>
          </w:tcPr>
          <w:p w14:paraId="5F8EE95F">
            <w:pPr>
              <w:shd w:val="clear" w:color="auto" w:fill="auto"/>
              <w:adjustRightInd w:val="0"/>
              <w:snapToGrid w:val="0"/>
              <w:spacing w:before="96" w:beforeLines="40" w:after="96" w:afterLines="40" w:line="400" w:lineRule="exact"/>
              <w:jc w:val="left"/>
              <w:rPr>
                <w:rFonts w:hint="eastAsia" w:ascii="宋体" w:hAnsi="宋体" w:eastAsia="宋体" w:cs="宋体"/>
                <w:b/>
                <w:color w:val="auto"/>
                <w:sz w:val="24"/>
                <w:szCs w:val="24"/>
                <w:highlight w:val="none"/>
                <w:u w:val="none"/>
              </w:rPr>
            </w:pPr>
          </w:p>
        </w:tc>
      </w:tr>
      <w:tr w14:paraId="1A77B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noWrap w:val="0"/>
            <w:vAlign w:val="top"/>
          </w:tcPr>
          <w:p w14:paraId="393F2AB5">
            <w:pPr>
              <w:shd w:val="clear" w:color="auto" w:fill="auto"/>
              <w:adjustRightInd w:val="0"/>
              <w:snapToGrid w:val="0"/>
              <w:spacing w:before="96" w:beforeLines="40" w:after="96" w:afterLines="40" w:line="400" w:lineRule="exact"/>
              <w:jc w:val="left"/>
              <w:rPr>
                <w:rFonts w:hint="eastAsia" w:ascii="宋体" w:hAnsi="宋体" w:eastAsia="宋体" w:cs="宋体"/>
                <w:b/>
                <w:color w:val="auto"/>
                <w:sz w:val="24"/>
                <w:szCs w:val="24"/>
                <w:highlight w:val="none"/>
                <w:u w:val="none"/>
              </w:rPr>
            </w:pPr>
            <w:r>
              <w:rPr>
                <w:rFonts w:hint="eastAsia" w:ascii="宋体" w:hAnsi="宋体" w:eastAsia="宋体" w:cs="宋体"/>
                <w:b/>
                <w:color w:val="auto"/>
                <w:sz w:val="24"/>
                <w:szCs w:val="24"/>
                <w:highlight w:val="none"/>
                <w:u w:val="none"/>
              </w:rPr>
              <w:t>服务要求</w:t>
            </w:r>
          </w:p>
        </w:tc>
        <w:tc>
          <w:tcPr>
            <w:tcW w:w="4192" w:type="pct"/>
            <w:noWrap w:val="0"/>
            <w:vAlign w:val="top"/>
          </w:tcPr>
          <w:p w14:paraId="0FFC6E58">
            <w:pPr>
              <w:shd w:val="clear" w:color="auto" w:fill="auto"/>
              <w:adjustRightInd w:val="0"/>
              <w:snapToGrid w:val="0"/>
              <w:spacing w:before="96" w:beforeLines="40" w:after="96" w:afterLines="40" w:line="400" w:lineRule="exact"/>
              <w:jc w:val="left"/>
              <w:rPr>
                <w:rFonts w:hint="eastAsia" w:ascii="宋体" w:hAnsi="宋体" w:eastAsia="宋体" w:cs="宋体"/>
                <w:b/>
                <w:color w:val="auto"/>
                <w:sz w:val="24"/>
                <w:szCs w:val="24"/>
                <w:highlight w:val="none"/>
                <w:u w:val="none"/>
              </w:rPr>
            </w:pPr>
          </w:p>
        </w:tc>
      </w:tr>
      <w:tr w14:paraId="094F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noWrap w:val="0"/>
            <w:vAlign w:val="top"/>
          </w:tcPr>
          <w:p w14:paraId="15DA8C74">
            <w:pPr>
              <w:shd w:val="clear" w:color="auto" w:fill="auto"/>
              <w:adjustRightInd w:val="0"/>
              <w:snapToGrid w:val="0"/>
              <w:spacing w:before="96" w:beforeLines="40" w:after="96" w:afterLines="40" w:line="400" w:lineRule="exact"/>
              <w:jc w:val="left"/>
              <w:rPr>
                <w:rFonts w:hint="eastAsia" w:ascii="宋体" w:hAnsi="宋体" w:eastAsia="宋体" w:cs="宋体"/>
                <w:b/>
                <w:color w:val="auto"/>
                <w:sz w:val="24"/>
                <w:szCs w:val="24"/>
                <w:highlight w:val="none"/>
                <w:u w:val="none"/>
              </w:rPr>
            </w:pPr>
            <w:r>
              <w:rPr>
                <w:rFonts w:hint="eastAsia" w:ascii="宋体" w:hAnsi="宋体" w:eastAsia="宋体" w:cs="宋体"/>
                <w:b/>
                <w:color w:val="auto"/>
                <w:sz w:val="24"/>
                <w:szCs w:val="24"/>
                <w:highlight w:val="none"/>
                <w:u w:val="none"/>
              </w:rPr>
              <w:t>服务时间</w:t>
            </w:r>
          </w:p>
        </w:tc>
        <w:tc>
          <w:tcPr>
            <w:tcW w:w="4192" w:type="pct"/>
            <w:noWrap w:val="0"/>
            <w:vAlign w:val="top"/>
          </w:tcPr>
          <w:p w14:paraId="1C237248">
            <w:pPr>
              <w:shd w:val="clear" w:color="auto" w:fill="auto"/>
              <w:adjustRightInd w:val="0"/>
              <w:snapToGrid w:val="0"/>
              <w:spacing w:before="96" w:beforeLines="40" w:after="96" w:afterLines="40" w:line="400" w:lineRule="exact"/>
              <w:jc w:val="left"/>
              <w:rPr>
                <w:rFonts w:hint="eastAsia" w:ascii="宋体" w:hAnsi="宋体" w:eastAsia="宋体" w:cs="宋体"/>
                <w:b/>
                <w:color w:val="auto"/>
                <w:sz w:val="24"/>
                <w:szCs w:val="24"/>
                <w:highlight w:val="none"/>
                <w:u w:val="none"/>
              </w:rPr>
            </w:pPr>
          </w:p>
        </w:tc>
      </w:tr>
      <w:tr w14:paraId="30F4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noWrap w:val="0"/>
            <w:vAlign w:val="top"/>
          </w:tcPr>
          <w:p w14:paraId="36E3658F">
            <w:pPr>
              <w:shd w:val="clear" w:color="auto" w:fill="auto"/>
              <w:adjustRightInd w:val="0"/>
              <w:snapToGrid w:val="0"/>
              <w:spacing w:before="96" w:beforeLines="40" w:after="96" w:afterLines="40" w:line="400" w:lineRule="exact"/>
              <w:jc w:val="left"/>
              <w:rPr>
                <w:rFonts w:hint="eastAsia" w:ascii="宋体" w:hAnsi="宋体" w:eastAsia="宋体" w:cs="宋体"/>
                <w:b/>
                <w:color w:val="auto"/>
                <w:sz w:val="24"/>
                <w:szCs w:val="24"/>
                <w:highlight w:val="none"/>
                <w:u w:val="none"/>
              </w:rPr>
            </w:pPr>
            <w:r>
              <w:rPr>
                <w:rFonts w:hint="eastAsia" w:ascii="宋体" w:hAnsi="宋体" w:eastAsia="宋体" w:cs="宋体"/>
                <w:b/>
                <w:color w:val="auto"/>
                <w:sz w:val="24"/>
                <w:szCs w:val="24"/>
                <w:highlight w:val="none"/>
                <w:u w:val="none"/>
              </w:rPr>
              <w:t>服务标准</w:t>
            </w:r>
          </w:p>
        </w:tc>
        <w:tc>
          <w:tcPr>
            <w:tcW w:w="4192" w:type="pct"/>
            <w:noWrap w:val="0"/>
            <w:vAlign w:val="top"/>
          </w:tcPr>
          <w:p w14:paraId="53CC6F1C">
            <w:pPr>
              <w:shd w:val="clear" w:color="auto" w:fill="auto"/>
              <w:adjustRightInd w:val="0"/>
              <w:snapToGrid w:val="0"/>
              <w:spacing w:before="96" w:beforeLines="40" w:after="96" w:afterLines="40" w:line="400" w:lineRule="exact"/>
              <w:jc w:val="left"/>
              <w:rPr>
                <w:rFonts w:hint="eastAsia" w:ascii="宋体" w:hAnsi="宋体" w:eastAsia="宋体" w:cs="宋体"/>
                <w:b/>
                <w:color w:val="auto"/>
                <w:sz w:val="24"/>
                <w:szCs w:val="24"/>
                <w:highlight w:val="none"/>
                <w:u w:val="none"/>
              </w:rPr>
            </w:pPr>
          </w:p>
        </w:tc>
      </w:tr>
    </w:tbl>
    <w:p w14:paraId="50F06253">
      <w:pPr>
        <w:shd w:val="clear" w:color="auto" w:fill="auto"/>
        <w:adjustRightInd w:val="0"/>
        <w:snapToGrid w:val="0"/>
        <w:spacing w:before="96" w:beforeLines="40" w:after="96" w:afterLines="40" w:line="400" w:lineRule="exact"/>
        <w:jc w:val="left"/>
        <w:rPr>
          <w:rFonts w:hint="eastAsia" w:ascii="宋体" w:hAnsi="宋体" w:eastAsia="宋体" w:cs="宋体"/>
          <w:b/>
          <w:color w:val="auto"/>
          <w:sz w:val="24"/>
          <w:szCs w:val="24"/>
          <w:highlight w:val="none"/>
          <w:u w:val="none"/>
        </w:rPr>
      </w:pPr>
    </w:p>
    <w:p w14:paraId="7683724C">
      <w:pPr>
        <w:shd w:val="clear" w:color="auto" w:fill="auto"/>
        <w:spacing w:before="96" w:beforeLines="40" w:after="96" w:afterLines="40" w:line="400" w:lineRule="exact"/>
        <w:ind w:firstLine="2880" w:firstLineChars="1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 xml:space="preserve">投标供应商（电子签章）：                  </w:t>
      </w:r>
    </w:p>
    <w:p w14:paraId="03266E93">
      <w:pPr>
        <w:shd w:val="clear" w:color="auto" w:fill="auto"/>
        <w:tabs>
          <w:tab w:val="left" w:pos="4620"/>
        </w:tabs>
        <w:spacing w:before="40" w:after="40" w:line="400" w:lineRule="exact"/>
        <w:ind w:firstLine="2880" w:firstLineChars="1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 xml:space="preserve">日      期：                     </w:t>
      </w:r>
    </w:p>
    <w:p w14:paraId="7CB8483A">
      <w:pPr>
        <w:shd w:val="clear" w:color="auto" w:fill="auto"/>
        <w:adjustRightInd w:val="0"/>
        <w:snapToGrid w:val="0"/>
        <w:spacing w:before="96" w:beforeLines="40" w:after="96" w:afterLines="40" w:line="400" w:lineRule="exact"/>
        <w:ind w:firstLine="482" w:firstLineChars="200"/>
        <w:jc w:val="left"/>
        <w:rPr>
          <w:rFonts w:hint="eastAsia" w:ascii="宋体" w:hAnsi="宋体" w:eastAsia="宋体" w:cs="宋体"/>
          <w:b/>
          <w:bCs/>
          <w:color w:val="auto"/>
          <w:sz w:val="24"/>
          <w:szCs w:val="24"/>
          <w:highlight w:val="none"/>
          <w:u w:val="none"/>
        </w:rPr>
      </w:pPr>
    </w:p>
    <w:p w14:paraId="5418C1E2">
      <w:pPr>
        <w:keepNext w:val="0"/>
        <w:keepLines w:val="0"/>
        <w:pageBreakBefore w:val="0"/>
        <w:widowControl w:val="0"/>
        <w:shd w:val="clear" w:color="auto" w:fill="auto"/>
        <w:kinsoku/>
        <w:wordWrap/>
        <w:overflowPunct/>
        <w:topLinePunct w:val="0"/>
        <w:autoSpaceDE/>
        <w:autoSpaceDN/>
        <w:bidi w:val="0"/>
        <w:adjustRightInd w:val="0"/>
        <w:snapToGrid w:val="0"/>
        <w:spacing w:before="96" w:beforeLines="40" w:after="96" w:afterLines="40" w:line="360" w:lineRule="auto"/>
        <w:ind w:firstLine="482" w:firstLineChars="200"/>
        <w:jc w:val="left"/>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备注：</w:t>
      </w:r>
    </w:p>
    <w:p w14:paraId="1E6515CA">
      <w:pPr>
        <w:keepNext w:val="0"/>
        <w:keepLines w:val="0"/>
        <w:pageBreakBefore w:val="0"/>
        <w:widowControl w:val="0"/>
        <w:shd w:val="clear" w:color="auto" w:fill="auto"/>
        <w:kinsoku/>
        <w:wordWrap/>
        <w:overflowPunct/>
        <w:topLinePunct w:val="0"/>
        <w:autoSpaceDE/>
        <w:autoSpaceDN/>
        <w:bidi w:val="0"/>
        <w:adjustRightInd w:val="0"/>
        <w:snapToGrid w:val="0"/>
        <w:spacing w:before="96" w:beforeLines="40" w:after="96" w:afterLines="40" w:line="360" w:lineRule="auto"/>
        <w:ind w:firstLine="482" w:firstLineChars="200"/>
        <w:jc w:val="left"/>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1、</w:t>
      </w:r>
      <w:r>
        <w:rPr>
          <w:rFonts w:hint="eastAsia" w:ascii="宋体" w:hAnsi="宋体" w:eastAsia="宋体" w:cs="宋体"/>
          <w:b/>
          <w:color w:val="auto"/>
          <w:sz w:val="24"/>
          <w:szCs w:val="24"/>
          <w:highlight w:val="none"/>
          <w:u w:val="none"/>
        </w:rPr>
        <w:t>表中所列内容为满足本项目要求的</w:t>
      </w:r>
      <w:r>
        <w:rPr>
          <w:rFonts w:hint="eastAsia" w:ascii="宋体" w:hAnsi="宋体" w:eastAsia="宋体" w:cs="宋体"/>
          <w:b/>
          <w:bCs/>
          <w:color w:val="auto"/>
          <w:sz w:val="24"/>
          <w:szCs w:val="24"/>
          <w:highlight w:val="none"/>
          <w:u w:val="none"/>
        </w:rPr>
        <w:t>主要</w:t>
      </w:r>
      <w:r>
        <w:rPr>
          <w:rFonts w:hint="eastAsia" w:ascii="宋体" w:hAnsi="宋体" w:eastAsia="宋体" w:cs="宋体"/>
          <w:b/>
          <w:bCs/>
          <w:color w:val="auto"/>
          <w:sz w:val="24"/>
          <w:szCs w:val="24"/>
          <w:highlight w:val="none"/>
          <w:u w:val="none"/>
          <w:lang w:eastAsia="zh-CN"/>
        </w:rPr>
        <w:t>中标</w:t>
      </w:r>
      <w:r>
        <w:rPr>
          <w:rFonts w:hint="eastAsia" w:ascii="宋体" w:hAnsi="宋体" w:eastAsia="宋体" w:cs="宋体"/>
          <w:b/>
          <w:bCs/>
          <w:color w:val="auto"/>
          <w:sz w:val="24"/>
          <w:szCs w:val="24"/>
          <w:highlight w:val="none"/>
          <w:u w:val="none"/>
        </w:rPr>
        <w:t>标的；</w:t>
      </w:r>
    </w:p>
    <w:p w14:paraId="523100B3">
      <w:pPr>
        <w:keepNext w:val="0"/>
        <w:keepLines w:val="0"/>
        <w:pageBreakBefore w:val="0"/>
        <w:widowControl w:val="0"/>
        <w:shd w:val="clear" w:color="auto" w:fill="auto"/>
        <w:kinsoku/>
        <w:wordWrap/>
        <w:overflowPunct/>
        <w:topLinePunct w:val="0"/>
        <w:autoSpaceDE/>
        <w:autoSpaceDN/>
        <w:bidi w:val="0"/>
        <w:adjustRightInd w:val="0"/>
        <w:snapToGrid w:val="0"/>
        <w:spacing w:before="96" w:beforeLines="40" w:after="96" w:afterLines="40" w:line="360" w:lineRule="auto"/>
        <w:ind w:firstLine="482" w:firstLineChars="200"/>
        <w:jc w:val="left"/>
        <w:textAlignment w:val="auto"/>
        <w:rPr>
          <w:rFonts w:hint="eastAsia" w:ascii="宋体" w:hAnsi="宋体" w:eastAsia="宋体" w:cs="宋体"/>
          <w:b/>
          <w:color w:val="auto"/>
          <w:sz w:val="24"/>
          <w:szCs w:val="24"/>
          <w:highlight w:val="none"/>
          <w:u w:val="none"/>
        </w:rPr>
      </w:pPr>
      <w:r>
        <w:rPr>
          <w:rFonts w:hint="eastAsia" w:ascii="宋体" w:hAnsi="宋体" w:eastAsia="宋体" w:cs="宋体"/>
          <w:b/>
          <w:bCs/>
          <w:color w:val="auto"/>
          <w:sz w:val="24"/>
          <w:szCs w:val="24"/>
          <w:highlight w:val="none"/>
          <w:u w:val="none"/>
        </w:rPr>
        <w:t>2、</w:t>
      </w:r>
      <w:r>
        <w:rPr>
          <w:rFonts w:hint="eastAsia" w:ascii="宋体" w:hAnsi="宋体" w:eastAsia="宋体" w:cs="宋体"/>
          <w:b/>
          <w:bCs/>
          <w:color w:val="auto"/>
          <w:sz w:val="24"/>
          <w:szCs w:val="24"/>
          <w:highlight w:val="none"/>
          <w:u w:val="none"/>
          <w:lang w:val="en-US" w:eastAsia="zh-CN"/>
        </w:rPr>
        <w:t>投标</w:t>
      </w:r>
      <w:r>
        <w:rPr>
          <w:rFonts w:hint="eastAsia" w:ascii="宋体" w:hAnsi="宋体" w:eastAsia="宋体" w:cs="宋体"/>
          <w:b/>
          <w:color w:val="auto"/>
          <w:sz w:val="24"/>
          <w:szCs w:val="24"/>
          <w:highlight w:val="none"/>
          <w:u w:val="none"/>
        </w:rPr>
        <w:t>供应商提供以上承诺情况（含名称、服务范围、服务要求、服务时间、服务标准）；</w:t>
      </w:r>
    </w:p>
    <w:p w14:paraId="00182B66">
      <w:pPr>
        <w:keepNext w:val="0"/>
        <w:keepLines w:val="0"/>
        <w:pageBreakBefore w:val="0"/>
        <w:widowControl w:val="0"/>
        <w:shd w:val="clear" w:color="auto" w:fill="auto"/>
        <w:kinsoku/>
        <w:wordWrap/>
        <w:overflowPunct/>
        <w:topLinePunct w:val="0"/>
        <w:autoSpaceDE/>
        <w:autoSpaceDN/>
        <w:bidi w:val="0"/>
        <w:spacing w:line="360" w:lineRule="auto"/>
        <w:ind w:firstLine="470" w:firstLineChars="195"/>
        <w:textAlignment w:val="auto"/>
        <w:rPr>
          <w:rFonts w:hint="eastAsia"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rPr>
        <w:t>3、</w:t>
      </w:r>
      <w:r>
        <w:rPr>
          <w:rFonts w:hint="eastAsia" w:ascii="宋体" w:hAnsi="宋体" w:eastAsia="宋体" w:cs="宋体"/>
          <w:b/>
          <w:bCs/>
          <w:color w:val="auto"/>
          <w:sz w:val="24"/>
          <w:szCs w:val="24"/>
          <w:highlight w:val="none"/>
          <w:u w:val="none"/>
        </w:rPr>
        <w:t>本页《主要</w:t>
      </w:r>
      <w:r>
        <w:rPr>
          <w:rFonts w:hint="eastAsia" w:ascii="宋体" w:hAnsi="宋体" w:eastAsia="宋体" w:cs="宋体"/>
          <w:b/>
          <w:bCs/>
          <w:color w:val="auto"/>
          <w:sz w:val="24"/>
          <w:szCs w:val="24"/>
          <w:highlight w:val="none"/>
          <w:u w:val="none"/>
          <w:lang w:eastAsia="zh-CN"/>
        </w:rPr>
        <w:t>中标</w:t>
      </w:r>
      <w:r>
        <w:rPr>
          <w:rFonts w:hint="eastAsia" w:ascii="宋体" w:hAnsi="宋体" w:eastAsia="宋体" w:cs="宋体"/>
          <w:b/>
          <w:bCs/>
          <w:color w:val="auto"/>
          <w:sz w:val="24"/>
          <w:szCs w:val="24"/>
          <w:highlight w:val="none"/>
          <w:u w:val="none"/>
        </w:rPr>
        <w:t>标的承诺函》由供应商填写</w:t>
      </w:r>
      <w:r>
        <w:rPr>
          <w:rFonts w:hint="eastAsia" w:ascii="宋体" w:hAnsi="宋体" w:eastAsia="宋体" w:cs="宋体"/>
          <w:b/>
          <w:color w:val="auto"/>
          <w:sz w:val="24"/>
          <w:szCs w:val="24"/>
          <w:highlight w:val="none"/>
          <w:u w:val="none"/>
        </w:rPr>
        <w:t>。</w:t>
      </w:r>
    </w:p>
    <w:p w14:paraId="218D4B1B">
      <w:pPr>
        <w:spacing w:line="360" w:lineRule="auto"/>
        <w:jc w:val="center"/>
        <w:outlineLvl w:val="1"/>
        <w:rPr>
          <w:rFonts w:hint="eastAsia" w:asciiTheme="minorEastAsia" w:hAnsiTheme="minorEastAsia" w:eastAsiaTheme="minorEastAsia"/>
          <w:b/>
          <w:color w:val="auto"/>
          <w:sz w:val="24"/>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10592BF6">
      <w:p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223" w:name="_Toc6517"/>
      <w:r>
        <w:rPr>
          <w:rFonts w:hint="eastAsia" w:asciiTheme="minorEastAsia" w:hAnsiTheme="minorEastAsia" w:eastAsiaTheme="minorEastAsia"/>
          <w:b/>
          <w:color w:val="auto"/>
          <w:sz w:val="24"/>
          <w:highlight w:val="none"/>
          <w:lang w:val="en-US" w:eastAsia="zh-CN"/>
        </w:rPr>
        <w:t>十三、其他相关证明材料</w:t>
      </w:r>
      <w:bookmarkEnd w:id="218"/>
      <w:bookmarkEnd w:id="219"/>
      <w:bookmarkEnd w:id="223"/>
    </w:p>
    <w:p w14:paraId="7AA95B0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提供符合投标邀请、采购需求及评标方法和标准规定的相关证明文件。</w:t>
      </w:r>
    </w:p>
    <w:p w14:paraId="29D41886">
      <w:pPr>
        <w:spacing w:line="360" w:lineRule="auto"/>
        <w:ind w:firstLine="480" w:firstLineChars="200"/>
        <w:rPr>
          <w:rFonts w:asciiTheme="minorEastAsia" w:hAnsiTheme="minorEastAsia" w:eastAsiaTheme="minorEastAsia"/>
          <w:color w:val="auto"/>
          <w:sz w:val="24"/>
          <w:highlight w:val="none"/>
        </w:rPr>
      </w:pPr>
    </w:p>
    <w:p w14:paraId="41941FB3">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4568BD1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投标人在投标文件制作时可在此栏内上传</w:t>
      </w:r>
      <w:r>
        <w:rPr>
          <w:rFonts w:asciiTheme="minorEastAsia" w:hAnsiTheme="minorEastAsia" w:eastAsiaTheme="minorEastAsia"/>
          <w:color w:val="auto"/>
          <w:sz w:val="24"/>
          <w:highlight w:val="none"/>
        </w:rPr>
        <w:t>招标文件要求上传的证明资料</w:t>
      </w:r>
      <w:r>
        <w:rPr>
          <w:rFonts w:hint="eastAsia" w:asciiTheme="minorEastAsia" w:hAnsiTheme="minorEastAsia" w:eastAsiaTheme="minorEastAsia"/>
          <w:color w:val="auto"/>
          <w:sz w:val="24"/>
          <w:highlight w:val="none"/>
        </w:rPr>
        <w:t>，如营业执照、证书</w:t>
      </w:r>
      <w:r>
        <w:rPr>
          <w:rFonts w:asciiTheme="minorEastAsia" w:hAnsiTheme="minorEastAsia" w:eastAsiaTheme="minorEastAsia"/>
          <w:color w:val="auto"/>
          <w:sz w:val="24"/>
          <w:highlight w:val="none"/>
        </w:rPr>
        <w:t>等，应将上述证明材料制作成扫描件上传。</w:t>
      </w:r>
    </w:p>
    <w:p w14:paraId="3483E12C">
      <w:pPr>
        <w:widowControl/>
        <w:jc w:val="left"/>
        <w:rPr>
          <w:rFonts w:ascii="宋体" w:hAnsi="宋体" w:eastAsia="宋体"/>
          <w:bCs/>
          <w:color w:val="auto"/>
          <w:sz w:val="24"/>
          <w:highlight w:val="none"/>
        </w:rPr>
      </w:pPr>
      <w:r>
        <w:rPr>
          <w:rFonts w:ascii="宋体" w:hAnsi="宋体" w:eastAsia="宋体"/>
          <w:bCs/>
          <w:color w:val="auto"/>
          <w:sz w:val="24"/>
          <w:highlight w:val="none"/>
        </w:rPr>
        <w:br w:type="page"/>
      </w:r>
    </w:p>
    <w:p w14:paraId="5FAC5E7E">
      <w:pPr>
        <w:spacing w:line="360" w:lineRule="auto"/>
        <w:jc w:val="center"/>
        <w:outlineLvl w:val="0"/>
        <w:rPr>
          <w:rFonts w:ascii="宋体" w:hAnsi="宋体" w:eastAsia="宋体"/>
          <w:b/>
          <w:bCs/>
          <w:color w:val="auto"/>
          <w:sz w:val="28"/>
          <w:highlight w:val="none"/>
        </w:rPr>
      </w:pPr>
      <w:bookmarkStart w:id="224" w:name="_Toc6435"/>
      <w:bookmarkStart w:id="225" w:name="_Toc10737"/>
      <w:r>
        <w:rPr>
          <w:rFonts w:hint="eastAsia" w:asciiTheme="minorEastAsia" w:hAnsiTheme="minorEastAsia" w:eastAsiaTheme="minorEastAsia"/>
          <w:b/>
          <w:color w:val="auto"/>
          <w:sz w:val="28"/>
          <w:highlight w:val="none"/>
        </w:rPr>
        <w:t>第</w:t>
      </w:r>
      <w:r>
        <w:rPr>
          <w:rFonts w:hint="eastAsia" w:asciiTheme="minorEastAsia" w:hAnsiTheme="minorEastAsia" w:eastAsiaTheme="minorEastAsia"/>
          <w:b/>
          <w:color w:val="auto"/>
          <w:sz w:val="28"/>
          <w:highlight w:val="none"/>
          <w:lang w:val="en-US" w:eastAsia="zh-CN"/>
        </w:rPr>
        <w:t>七</w:t>
      </w:r>
      <w:r>
        <w:rPr>
          <w:rFonts w:hint="eastAsia" w:asciiTheme="minorEastAsia" w:hAnsiTheme="minorEastAsia" w:eastAsiaTheme="minorEastAsia"/>
          <w:b/>
          <w:color w:val="auto"/>
          <w:sz w:val="28"/>
          <w:highlight w:val="none"/>
        </w:rPr>
        <w:t>章</w:t>
      </w:r>
      <w:r>
        <w:rPr>
          <w:rFonts w:hint="eastAsia" w:ascii="宋体" w:hAnsi="宋体" w:eastAsia="宋体"/>
          <w:b/>
          <w:bCs/>
          <w:color w:val="auto"/>
          <w:sz w:val="28"/>
          <w:highlight w:val="none"/>
        </w:rPr>
        <w:t xml:space="preserve">  政府采购</w:t>
      </w:r>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224"/>
      <w:bookmarkEnd w:id="225"/>
    </w:p>
    <w:p w14:paraId="7A7A3B36">
      <w:pPr>
        <w:spacing w:line="360" w:lineRule="auto"/>
        <w:jc w:val="center"/>
        <w:outlineLvl w:val="1"/>
        <w:rPr>
          <w:rFonts w:ascii="仿宋" w:hAnsi="仿宋" w:eastAsia="仿宋" w:cs="仿宋"/>
          <w:b/>
          <w:bCs/>
          <w:color w:val="auto"/>
          <w:sz w:val="32"/>
          <w:szCs w:val="44"/>
          <w:highlight w:val="none"/>
        </w:rPr>
      </w:pPr>
      <w:bookmarkStart w:id="226" w:name="_Toc3463"/>
      <w:bookmarkStart w:id="227" w:name="_Toc27159"/>
      <w:bookmarkStart w:id="228" w:name="_Toc6955"/>
      <w:r>
        <w:rPr>
          <w:rFonts w:hint="eastAsia" w:ascii="仿宋" w:hAnsi="仿宋" w:eastAsia="仿宋" w:cs="仿宋"/>
          <w:b/>
          <w:bCs/>
          <w:color w:val="auto"/>
          <w:sz w:val="32"/>
          <w:szCs w:val="44"/>
          <w:highlight w:val="none"/>
        </w:rPr>
        <w:t>询问函范本</w:t>
      </w:r>
      <w:bookmarkEnd w:id="226"/>
      <w:bookmarkEnd w:id="227"/>
      <w:bookmarkEnd w:id="228"/>
    </w:p>
    <w:p w14:paraId="41408C69">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646BD53D">
      <w:pPr>
        <w:adjustRightInd w:val="0"/>
        <w:snapToGrid w:val="0"/>
        <w:spacing w:line="360" w:lineRule="auto"/>
        <w:rPr>
          <w:rFonts w:hint="eastAsia" w:cs="仿宋" w:asciiTheme="minorEastAsia" w:hAnsiTheme="minorEastAsia" w:eastAsiaTheme="minorEastAsia"/>
          <w:b/>
          <w:bCs/>
          <w:color w:val="auto"/>
          <w:sz w:val="24"/>
          <w:szCs w:val="24"/>
          <w:highlight w:val="none"/>
          <w:u w:val="single"/>
          <w:lang w:eastAsia="zh-CN"/>
        </w:rPr>
      </w:pPr>
      <w:r>
        <w:rPr>
          <w:rFonts w:hint="eastAsia" w:cs="仿宋" w:asciiTheme="minorEastAsia" w:hAnsiTheme="minorEastAsia" w:eastAsiaTheme="minorEastAsia"/>
          <w:b/>
          <w:bCs/>
          <w:color w:val="auto"/>
          <w:sz w:val="24"/>
          <w:szCs w:val="24"/>
          <w:highlight w:val="none"/>
          <w:lang w:val="en-US" w:eastAsia="zh-CN"/>
        </w:rPr>
        <w:t>致：</w:t>
      </w:r>
      <w:r>
        <w:rPr>
          <w:rFonts w:hint="eastAsia" w:cs="仿宋" w:asciiTheme="minorEastAsia" w:hAnsiTheme="minorEastAsia" w:eastAsiaTheme="minorEastAsia"/>
          <w:b/>
          <w:bCs/>
          <w:color w:val="auto"/>
          <w:sz w:val="24"/>
          <w:szCs w:val="24"/>
          <w:highlight w:val="none"/>
          <w:u w:val="none"/>
          <w:lang w:eastAsia="zh-CN"/>
        </w:rPr>
        <w:t>安徽省商务厅</w:t>
      </w:r>
    </w:p>
    <w:p w14:paraId="41DD17C1">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u w:val="single"/>
          <w:lang w:val="en-US" w:eastAsia="zh-CN"/>
        </w:rPr>
        <w:t xml:space="preserve">           </w:t>
      </w:r>
      <w:r>
        <w:rPr>
          <w:rFonts w:hint="eastAsia" w:cs="仿宋" w:asciiTheme="minorEastAsia" w:hAnsiTheme="minorEastAsia" w:eastAsiaTheme="minorEastAsia"/>
          <w:color w:val="auto"/>
          <w:sz w:val="24"/>
          <w:szCs w:val="24"/>
          <w:u w:val="none"/>
          <w:lang w:val="en-US" w:eastAsia="zh-CN"/>
        </w:rPr>
        <w:t>（</w:t>
      </w:r>
      <w:r>
        <w:rPr>
          <w:rFonts w:hint="eastAsia" w:cs="仿宋" w:asciiTheme="minorEastAsia" w:hAnsiTheme="minorEastAsia" w:eastAsiaTheme="minorEastAsia"/>
          <w:i/>
          <w:iCs/>
          <w:color w:val="auto"/>
          <w:sz w:val="24"/>
          <w:szCs w:val="24"/>
          <w:u w:val="none"/>
          <w:lang w:val="en-US" w:eastAsia="zh-CN"/>
        </w:rPr>
        <w:t>项目名称、编号</w:t>
      </w:r>
      <w:r>
        <w:rPr>
          <w:rFonts w:hint="eastAsia" w:cs="仿宋" w:asciiTheme="minorEastAsia" w:hAnsiTheme="minorEastAsia" w:eastAsiaTheme="minorEastAsia"/>
          <w:color w:val="auto"/>
          <w:sz w:val="24"/>
          <w:szCs w:val="24"/>
          <w:u w:val="none"/>
          <w:lang w:val="en-US" w:eastAsia="zh-CN"/>
        </w:rPr>
        <w:t>）</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16526C33">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bookmarkStart w:id="229" w:name="_Toc13899"/>
      <w:r>
        <w:rPr>
          <w:rFonts w:hint="eastAsia" w:cs="仿宋" w:asciiTheme="minorEastAsia" w:hAnsiTheme="minorEastAsia" w:eastAsiaTheme="minorEastAsia"/>
          <w:color w:val="auto"/>
          <w:sz w:val="24"/>
          <w:szCs w:val="24"/>
          <w:highlight w:val="none"/>
        </w:rPr>
        <w:t>一、(事项一)</w:t>
      </w:r>
      <w:bookmarkEnd w:id="229"/>
    </w:p>
    <w:p w14:paraId="0CD8E159">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639DD817">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6357BA21">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1DE4D544">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bookmarkStart w:id="230" w:name="_Toc3352"/>
      <w:r>
        <w:rPr>
          <w:rFonts w:hint="eastAsia" w:cs="仿宋" w:asciiTheme="minorEastAsia" w:hAnsiTheme="minorEastAsia" w:eastAsiaTheme="minorEastAsia"/>
          <w:color w:val="auto"/>
          <w:sz w:val="24"/>
          <w:szCs w:val="24"/>
          <w:highlight w:val="none"/>
        </w:rPr>
        <w:t>二、(事项二)</w:t>
      </w:r>
      <w:bookmarkEnd w:id="230"/>
    </w:p>
    <w:p w14:paraId="4E515530">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1F1482A2">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671D42EB">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359C1220">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26C4A85F">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372D9950">
      <w:pP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br w:type="page"/>
      </w:r>
    </w:p>
    <w:p w14:paraId="7520FEF7">
      <w:pPr>
        <w:jc w:val="center"/>
        <w:outlineLvl w:val="1"/>
        <w:rPr>
          <w:rFonts w:ascii="仿宋" w:hAnsi="仿宋" w:eastAsia="仿宋" w:cs="仿宋"/>
          <w:b/>
          <w:bCs/>
          <w:color w:val="auto"/>
          <w:sz w:val="32"/>
          <w:szCs w:val="44"/>
          <w:highlight w:val="none"/>
        </w:rPr>
      </w:pPr>
      <w:bookmarkStart w:id="231" w:name="_Toc20695"/>
      <w:bookmarkStart w:id="232" w:name="_Toc857"/>
      <w:bookmarkStart w:id="233" w:name="_Toc1575"/>
      <w:r>
        <w:rPr>
          <w:rFonts w:hint="eastAsia" w:ascii="仿宋" w:hAnsi="仿宋" w:eastAsia="仿宋" w:cs="仿宋"/>
          <w:b/>
          <w:bCs/>
          <w:color w:val="auto"/>
          <w:sz w:val="32"/>
          <w:szCs w:val="44"/>
          <w:highlight w:val="none"/>
        </w:rPr>
        <w:t>质疑函范本</w:t>
      </w:r>
      <w:bookmarkEnd w:id="231"/>
      <w:bookmarkEnd w:id="232"/>
      <w:bookmarkEnd w:id="233"/>
    </w:p>
    <w:p w14:paraId="68EE450F">
      <w:pPr>
        <w:adjustRightInd w:val="0"/>
        <w:snapToGrid w:val="0"/>
        <w:spacing w:before="312" w:beforeLines="100" w:line="360" w:lineRule="auto"/>
        <w:outlineLvl w:val="9"/>
        <w:rPr>
          <w:rFonts w:cs="仿宋" w:asciiTheme="minorEastAsia" w:hAnsiTheme="minorEastAsia" w:eastAsiaTheme="minorEastAsia"/>
          <w:b/>
          <w:bCs/>
          <w:color w:val="auto"/>
          <w:sz w:val="24"/>
          <w:szCs w:val="24"/>
          <w:highlight w:val="none"/>
        </w:rPr>
      </w:pPr>
      <w:bookmarkStart w:id="234" w:name="_Toc21381"/>
      <w:r>
        <w:rPr>
          <w:rFonts w:hint="eastAsia" w:cs="仿宋" w:asciiTheme="minorEastAsia" w:hAnsiTheme="minorEastAsia" w:eastAsiaTheme="minorEastAsia"/>
          <w:b/>
          <w:bCs/>
          <w:color w:val="auto"/>
          <w:sz w:val="24"/>
          <w:szCs w:val="24"/>
          <w:highlight w:val="none"/>
        </w:rPr>
        <w:t>一、质疑供应商基本信息</w:t>
      </w:r>
      <w:bookmarkEnd w:id="234"/>
    </w:p>
    <w:p w14:paraId="3BEA16E7">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7EB5D3E1">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1E841F27">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16CD3F1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0F560101">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r>
        <w:rPr>
          <w:rFonts w:cs="仿宋" w:asciiTheme="minorEastAsia" w:hAnsiTheme="minorEastAsia" w:eastAsiaTheme="minorEastAsia"/>
          <w:color w:val="auto"/>
          <w:sz w:val="24"/>
          <w:szCs w:val="24"/>
          <w:highlight w:val="none"/>
        </w:rPr>
        <w:t xml:space="preserve"> </w:t>
      </w:r>
    </w:p>
    <w:p w14:paraId="0AC0D760">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43F75E35">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235" w:name="_Toc28415"/>
      <w:r>
        <w:rPr>
          <w:rFonts w:hint="eastAsia" w:cs="仿宋" w:asciiTheme="minorEastAsia" w:hAnsiTheme="minorEastAsia" w:eastAsiaTheme="minorEastAsia"/>
          <w:b/>
          <w:bCs/>
          <w:color w:val="auto"/>
          <w:sz w:val="24"/>
          <w:szCs w:val="24"/>
          <w:highlight w:val="none"/>
        </w:rPr>
        <w:t>二、质疑项目基本情况</w:t>
      </w:r>
      <w:bookmarkEnd w:id="235"/>
    </w:p>
    <w:p w14:paraId="0A03AFF9">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35D9550F">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5CCB1E35">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11580461">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34D1A3F1">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236" w:name="_Toc19014"/>
      <w:r>
        <w:rPr>
          <w:rFonts w:hint="eastAsia" w:cs="仿宋" w:asciiTheme="minorEastAsia" w:hAnsiTheme="minorEastAsia" w:eastAsiaTheme="minorEastAsia"/>
          <w:b/>
          <w:bCs/>
          <w:color w:val="auto"/>
          <w:sz w:val="24"/>
          <w:szCs w:val="24"/>
          <w:highlight w:val="none"/>
        </w:rPr>
        <w:t>三、质疑事项具体内容</w:t>
      </w:r>
      <w:bookmarkEnd w:id="236"/>
    </w:p>
    <w:p w14:paraId="43C44C01">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2E210FF4">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227F0AE7">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661D54C5">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02145237">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77CD130E">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2BC1B619">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58A47404">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237" w:name="_Toc17919"/>
      <w:r>
        <w:rPr>
          <w:rFonts w:hint="eastAsia" w:cs="仿宋" w:asciiTheme="minorEastAsia" w:hAnsiTheme="minorEastAsia" w:eastAsiaTheme="minorEastAsia"/>
          <w:b/>
          <w:bCs/>
          <w:color w:val="auto"/>
          <w:sz w:val="24"/>
          <w:szCs w:val="24"/>
          <w:highlight w:val="none"/>
        </w:rPr>
        <w:t>四、与质疑事项相关的质疑请求</w:t>
      </w:r>
      <w:bookmarkEnd w:id="237"/>
    </w:p>
    <w:p w14:paraId="137A870B">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7808180D">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71790452">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21B8D5B1">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590E7A6D">
      <w:pPr>
        <w:outlineLvl w:val="0"/>
        <w:rPr>
          <w:rFonts w:asciiTheme="minorEastAsia" w:hAnsiTheme="minorEastAsia" w:eastAsiaTheme="minorEastAsia"/>
          <w:b/>
          <w:color w:val="auto"/>
          <w:sz w:val="28"/>
          <w:szCs w:val="32"/>
          <w:highlight w:val="none"/>
        </w:rPr>
      </w:pPr>
      <w:bookmarkStart w:id="238" w:name="_Toc22239"/>
      <w:bookmarkStart w:id="239" w:name="_Toc29980"/>
      <w:bookmarkStart w:id="240" w:name="_Toc9754"/>
      <w:r>
        <w:rPr>
          <w:rFonts w:hint="eastAsia" w:asciiTheme="minorEastAsia" w:hAnsiTheme="minorEastAsia" w:eastAsiaTheme="minorEastAsia"/>
          <w:b/>
          <w:color w:val="auto"/>
          <w:sz w:val="28"/>
          <w:szCs w:val="32"/>
          <w:highlight w:val="none"/>
        </w:rPr>
        <w:t>质疑函制作说明：</w:t>
      </w:r>
      <w:bookmarkEnd w:id="238"/>
      <w:bookmarkEnd w:id="239"/>
      <w:bookmarkEnd w:id="240"/>
    </w:p>
    <w:p w14:paraId="0997882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415A700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39EF79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7AFDBEF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646FBBE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7874C215">
      <w:pPr>
        <w:spacing w:line="360" w:lineRule="auto"/>
        <w:ind w:firstLine="435"/>
        <w:rPr>
          <w:rFonts w:hint="eastAsia" w:asciiTheme="minorEastAsia" w:hAnsiTheme="minorEastAsia" w:eastAsiaTheme="minorEastAsia"/>
          <w:color w:val="auto"/>
          <w:sz w:val="24"/>
          <w:highlight w:val="none"/>
        </w:rPr>
        <w:sectPr>
          <w:pgSz w:w="11906" w:h="16838"/>
          <w:pgMar w:top="1440" w:right="1800" w:bottom="1440" w:left="1800" w:header="851" w:footer="992" w:gutter="0"/>
          <w:pgNumType w:fmt="decimal"/>
          <w:cols w:space="425" w:num="1"/>
          <w:docGrid w:type="lines" w:linePitch="312" w:charSpace="0"/>
        </w:sect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234EC87E">
      <w:pPr>
        <w:spacing w:line="360" w:lineRule="auto"/>
        <w:jc w:val="center"/>
        <w:outlineLvl w:val="0"/>
        <w:rPr>
          <w:rFonts w:hint="eastAsia" w:ascii="宋体" w:hAnsi="宋体" w:eastAsia="宋体"/>
          <w:b/>
          <w:bCs/>
          <w:color w:val="auto"/>
          <w:sz w:val="28"/>
          <w:highlight w:val="none"/>
          <w:lang w:val="en-US" w:eastAsia="zh-CN"/>
        </w:rPr>
      </w:pPr>
      <w:bookmarkStart w:id="241" w:name="_Toc21596"/>
      <w:bookmarkStart w:id="242" w:name="_Toc8132"/>
      <w:bookmarkStart w:id="243" w:name="_Toc14703"/>
      <w:bookmarkStart w:id="244" w:name="_Toc6819"/>
      <w:bookmarkStart w:id="245" w:name="_Toc31922"/>
      <w:r>
        <w:rPr>
          <w:rFonts w:hint="eastAsia" w:ascii="宋体" w:hAnsi="宋体" w:eastAsia="宋体"/>
          <w:b/>
          <w:bCs/>
          <w:color w:val="auto"/>
          <w:sz w:val="28"/>
          <w:highlight w:val="none"/>
          <w:lang w:val="en-US" w:eastAsia="zh-CN"/>
        </w:rPr>
        <w:t>第八章  安天智采全流程电子招投标注意事项</w:t>
      </w:r>
      <w:bookmarkEnd w:id="241"/>
      <w:bookmarkEnd w:id="242"/>
      <w:bookmarkEnd w:id="243"/>
      <w:bookmarkEnd w:id="244"/>
      <w:bookmarkEnd w:id="245"/>
    </w:p>
    <w:p w14:paraId="124936A9">
      <w:pPr>
        <w:widowControl/>
        <w:autoSpaceDE/>
        <w:autoSpaceDN/>
        <w:adjustRightInd w:val="0"/>
        <w:snapToGrid w:val="0"/>
        <w:spacing w:line="360" w:lineRule="auto"/>
        <w:ind w:right="0" w:firstLine="420" w:firstLineChars="200"/>
        <w:jc w:val="left"/>
        <w:rPr>
          <w:rFonts w:hint="eastAsia" w:ascii="宋体" w:hAnsi="宋体" w:eastAsia="宋体" w:cs="Times New Roman"/>
          <w:b w:val="0"/>
          <w:bCs w:val="0"/>
          <w:color w:val="auto"/>
          <w:spacing w:val="0"/>
          <w:kern w:val="2"/>
          <w:sz w:val="21"/>
          <w:szCs w:val="21"/>
          <w:highlight w:val="none"/>
        </w:rPr>
      </w:pPr>
    </w:p>
    <w:p w14:paraId="5B5AAADA">
      <w:pPr>
        <w:widowControl/>
        <w:autoSpaceDE/>
        <w:autoSpaceDN/>
        <w:adjustRightInd w:val="0"/>
        <w:snapToGrid w:val="0"/>
        <w:spacing w:line="360" w:lineRule="auto"/>
        <w:ind w:right="0" w:firstLine="422" w:firstLineChars="200"/>
        <w:jc w:val="left"/>
        <w:outlineLvl w:val="1"/>
        <w:rPr>
          <w:rFonts w:hint="eastAsia" w:ascii="宋体" w:hAnsi="宋体" w:eastAsia="宋体" w:cs="Times New Roman"/>
          <w:b/>
          <w:bCs/>
          <w:color w:val="auto"/>
          <w:spacing w:val="0"/>
          <w:kern w:val="2"/>
          <w:sz w:val="21"/>
          <w:szCs w:val="21"/>
          <w:highlight w:val="none"/>
        </w:rPr>
      </w:pPr>
      <w:bookmarkStart w:id="246" w:name="_Toc4854"/>
      <w:bookmarkStart w:id="247" w:name="_Toc20066"/>
      <w:bookmarkStart w:id="248" w:name="_Toc12751"/>
      <w:r>
        <w:rPr>
          <w:rFonts w:hint="eastAsia" w:ascii="宋体" w:hAnsi="宋体" w:eastAsia="宋体" w:cs="Times New Roman"/>
          <w:b/>
          <w:bCs/>
          <w:color w:val="auto"/>
          <w:spacing w:val="0"/>
          <w:kern w:val="2"/>
          <w:sz w:val="21"/>
          <w:szCs w:val="21"/>
          <w:highlight w:val="none"/>
        </w:rPr>
        <w:t>一、制作、上传电子投标文件</w:t>
      </w:r>
      <w:bookmarkEnd w:id="246"/>
      <w:bookmarkEnd w:id="247"/>
      <w:bookmarkEnd w:id="248"/>
    </w:p>
    <w:p w14:paraId="28861D51">
      <w:pPr>
        <w:widowControl/>
        <w:tabs>
          <w:tab w:val="left" w:pos="2400"/>
          <w:tab w:val="left" w:pos="3460"/>
          <w:tab w:val="left" w:pos="6660"/>
          <w:tab w:val="left" w:pos="8789"/>
        </w:tabs>
        <w:autoSpaceDE/>
        <w:autoSpaceDN/>
        <w:adjustRightInd w:val="0"/>
        <w:snapToGrid w:val="0"/>
        <w:spacing w:line="360" w:lineRule="auto"/>
        <w:ind w:right="0" w:firstLine="420" w:firstLineChars="200"/>
        <w:jc w:val="left"/>
        <w:rPr>
          <w:rFonts w:hint="eastAsia" w:ascii="宋体" w:hAnsi="宋体" w:eastAsia="宋体" w:cs="Times New Roman"/>
          <w:color w:val="auto"/>
          <w:kern w:val="2"/>
          <w:sz w:val="21"/>
          <w:szCs w:val="21"/>
          <w:highlight w:val="none"/>
          <w:lang w:eastAsia="zh-CN"/>
        </w:rPr>
      </w:pPr>
      <w:r>
        <w:rPr>
          <w:rFonts w:hint="eastAsia" w:ascii="宋体" w:hAnsi="宋体" w:eastAsia="宋体" w:cs="Times New Roman"/>
          <w:color w:val="auto"/>
          <w:kern w:val="2"/>
          <w:sz w:val="21"/>
          <w:szCs w:val="21"/>
          <w:highlight w:val="none"/>
        </w:rPr>
        <w:t>1、电子投标文件必须使用</w:t>
      </w:r>
      <w:r>
        <w:rPr>
          <w:rFonts w:hint="eastAsia" w:ascii="宋体" w:hAnsi="宋体" w:eastAsia="宋体" w:cs="Times New Roman"/>
          <w:color w:val="auto"/>
          <w:kern w:val="2"/>
          <w:sz w:val="21"/>
          <w:szCs w:val="21"/>
          <w:highlight w:val="none"/>
          <w:lang w:val="en-US" w:eastAsia="zh-CN"/>
        </w:rPr>
        <w:t>最新版</w:t>
      </w:r>
      <w:r>
        <w:rPr>
          <w:rFonts w:hint="eastAsia" w:ascii="宋体" w:hAnsi="宋体" w:eastAsia="宋体" w:cs="Times New Roman"/>
          <w:color w:val="auto"/>
          <w:kern w:val="2"/>
          <w:sz w:val="21"/>
          <w:szCs w:val="21"/>
          <w:highlight w:val="none"/>
        </w:rPr>
        <w:t>“</w:t>
      </w:r>
      <w:r>
        <w:rPr>
          <w:rFonts w:hint="eastAsia" w:ascii="宋体" w:hAnsi="宋体" w:eastAsia="宋体" w:cs="Times New Roman"/>
          <w:color w:val="auto"/>
          <w:kern w:val="2"/>
          <w:sz w:val="21"/>
          <w:szCs w:val="21"/>
          <w:highlight w:val="none"/>
          <w:lang w:eastAsia="zh-CN"/>
        </w:rPr>
        <w:t>安天智采</w:t>
      </w:r>
      <w:r>
        <w:rPr>
          <w:rFonts w:hint="eastAsia" w:ascii="宋体" w:hAnsi="宋体" w:eastAsia="宋体" w:cs="Times New Roman"/>
          <w:color w:val="auto"/>
          <w:kern w:val="2"/>
          <w:sz w:val="21"/>
          <w:szCs w:val="21"/>
          <w:highlight w:val="none"/>
        </w:rPr>
        <w:t>投标文件制作工具”制作生成并上传。</w:t>
      </w:r>
      <w:r>
        <w:rPr>
          <w:rFonts w:hint="eastAsia" w:ascii="宋体" w:hAnsi="宋体" w:eastAsia="宋体" w:cs="Times New Roman"/>
          <w:color w:val="auto"/>
          <w:kern w:val="2"/>
          <w:sz w:val="21"/>
          <w:szCs w:val="21"/>
          <w:highlight w:val="none"/>
          <w:lang w:eastAsia="zh-CN"/>
        </w:rPr>
        <w:t>安天智采</w:t>
      </w:r>
      <w:r>
        <w:rPr>
          <w:rFonts w:hint="eastAsia" w:ascii="宋体" w:hAnsi="宋体" w:eastAsia="宋体" w:cs="Times New Roman"/>
          <w:color w:val="auto"/>
          <w:kern w:val="2"/>
          <w:sz w:val="21"/>
          <w:szCs w:val="21"/>
          <w:highlight w:val="none"/>
        </w:rPr>
        <w:t>投标文件制作工具</w:t>
      </w:r>
      <w:r>
        <w:rPr>
          <w:rFonts w:hint="eastAsia" w:ascii="宋体" w:hAnsi="宋体" w:eastAsia="宋体" w:cs="Times New Roman"/>
          <w:color w:val="auto"/>
          <w:kern w:val="2"/>
          <w:sz w:val="21"/>
          <w:szCs w:val="21"/>
          <w:highlight w:val="none"/>
          <w:lang w:val="en-US" w:eastAsia="zh-CN"/>
        </w:rPr>
        <w:t>及操作手册</w:t>
      </w:r>
      <w:r>
        <w:rPr>
          <w:rFonts w:hint="eastAsia" w:ascii="宋体" w:hAnsi="宋体" w:eastAsia="宋体" w:cs="Times New Roman"/>
          <w:color w:val="auto"/>
          <w:kern w:val="2"/>
          <w:sz w:val="21"/>
          <w:szCs w:val="21"/>
          <w:highlight w:val="none"/>
        </w:rPr>
        <w:t>下载地址：https://www.xinecai.com/serveguide</w:t>
      </w:r>
      <w:r>
        <w:rPr>
          <w:rFonts w:hint="eastAsia" w:ascii="宋体" w:hAnsi="宋体" w:eastAsia="宋体" w:cs="Times New Roman"/>
          <w:color w:val="auto"/>
          <w:kern w:val="2"/>
          <w:sz w:val="21"/>
          <w:szCs w:val="21"/>
          <w:highlight w:val="none"/>
          <w:lang w:eastAsia="zh-CN"/>
        </w:rPr>
        <w:t>。</w:t>
      </w:r>
    </w:p>
    <w:p w14:paraId="1A8C2CDF">
      <w:pPr>
        <w:widowControl/>
        <w:tabs>
          <w:tab w:val="left" w:pos="2400"/>
          <w:tab w:val="left" w:pos="3460"/>
          <w:tab w:val="left" w:pos="6660"/>
          <w:tab w:val="left" w:pos="8789"/>
        </w:tabs>
        <w:autoSpaceDE/>
        <w:autoSpaceDN/>
        <w:adjustRightInd w:val="0"/>
        <w:snapToGrid w:val="0"/>
        <w:spacing w:line="360" w:lineRule="auto"/>
        <w:ind w:right="0" w:firstLine="420" w:firstLineChars="200"/>
        <w:jc w:val="left"/>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2、投标</w:t>
      </w:r>
      <w:r>
        <w:rPr>
          <w:rFonts w:hint="eastAsia" w:ascii="宋体" w:hAnsi="宋体" w:eastAsia="宋体" w:cs="Times New Roman"/>
          <w:color w:val="auto"/>
          <w:kern w:val="2"/>
          <w:sz w:val="21"/>
          <w:szCs w:val="21"/>
          <w:highlight w:val="none"/>
          <w:lang w:val="en-US" w:eastAsia="zh-CN"/>
        </w:rPr>
        <w:t>供应商</w:t>
      </w:r>
      <w:r>
        <w:rPr>
          <w:rFonts w:hint="eastAsia" w:ascii="宋体" w:hAnsi="宋体" w:eastAsia="宋体" w:cs="Times New Roman"/>
          <w:color w:val="auto"/>
          <w:kern w:val="2"/>
          <w:sz w:val="21"/>
          <w:szCs w:val="21"/>
          <w:highlight w:val="none"/>
        </w:rPr>
        <w:t>须办理</w:t>
      </w:r>
      <w:r>
        <w:rPr>
          <w:rFonts w:hint="eastAsia" w:ascii="宋体" w:hAnsi="宋体" w:eastAsia="宋体" w:cs="Times New Roman"/>
          <w:color w:val="auto"/>
          <w:kern w:val="2"/>
          <w:sz w:val="21"/>
          <w:szCs w:val="21"/>
          <w:highlight w:val="none"/>
          <w:lang w:val="en-US" w:eastAsia="zh-CN"/>
        </w:rPr>
        <w:t>安天智采平台移动认证证书或介质</w:t>
      </w:r>
      <w:r>
        <w:rPr>
          <w:rFonts w:hint="eastAsia" w:ascii="宋体" w:hAnsi="宋体" w:eastAsia="宋体" w:cs="Times New Roman"/>
          <w:color w:val="auto"/>
          <w:kern w:val="2"/>
          <w:sz w:val="21"/>
          <w:szCs w:val="21"/>
          <w:highlight w:val="none"/>
        </w:rPr>
        <w:t>数字证书，用于电子投标文件的签章及上传（上传投标文件需使用</w:t>
      </w:r>
      <w:r>
        <w:rPr>
          <w:rFonts w:hint="eastAsia" w:ascii="宋体" w:hAnsi="宋体" w:eastAsia="宋体" w:cs="Times New Roman"/>
          <w:color w:val="auto"/>
          <w:kern w:val="2"/>
          <w:sz w:val="21"/>
          <w:szCs w:val="21"/>
          <w:highlight w:val="none"/>
          <w:lang w:val="en-US" w:eastAsia="zh-CN"/>
        </w:rPr>
        <w:t>移动认证证书或介质</w:t>
      </w:r>
      <w:r>
        <w:rPr>
          <w:rFonts w:hint="eastAsia" w:ascii="宋体" w:hAnsi="宋体" w:eastAsia="宋体" w:cs="Times New Roman"/>
          <w:color w:val="auto"/>
          <w:kern w:val="2"/>
          <w:sz w:val="21"/>
          <w:szCs w:val="21"/>
          <w:highlight w:val="none"/>
        </w:rPr>
        <w:t>数字证书进行加密），</w:t>
      </w:r>
      <w:r>
        <w:rPr>
          <w:rFonts w:hint="eastAsia" w:ascii="宋体" w:hAnsi="宋体" w:eastAsia="宋体" w:cs="Times New Roman"/>
          <w:color w:val="auto"/>
          <w:sz w:val="21"/>
          <w:szCs w:val="21"/>
          <w:highlight w:val="none"/>
          <w:lang w:eastAsia="zh-CN"/>
        </w:rPr>
        <w:t>安天智采</w:t>
      </w:r>
      <w:r>
        <w:rPr>
          <w:rFonts w:hint="eastAsia" w:ascii="宋体" w:hAnsi="宋体" w:eastAsia="宋体" w:cs="Times New Roman"/>
          <w:color w:val="auto"/>
          <w:sz w:val="21"/>
          <w:szCs w:val="21"/>
          <w:highlight w:val="none"/>
          <w:lang w:val="en-US" w:eastAsia="zh-CN"/>
        </w:rPr>
        <w:t>平台</w:t>
      </w:r>
      <w:r>
        <w:rPr>
          <w:rFonts w:hint="eastAsia" w:ascii="宋体" w:hAnsi="宋体" w:eastAsia="宋体" w:cs="Times New Roman"/>
          <w:color w:val="auto"/>
          <w:sz w:val="21"/>
          <w:szCs w:val="21"/>
          <w:highlight w:val="none"/>
        </w:rPr>
        <w:t>“移动认证</w:t>
      </w:r>
      <w:r>
        <w:rPr>
          <w:rFonts w:hint="eastAsia" w:ascii="宋体" w:hAnsi="宋体" w:eastAsia="宋体" w:cs="Times New Roman"/>
          <w:color w:val="auto"/>
          <w:sz w:val="21"/>
          <w:szCs w:val="21"/>
          <w:highlight w:val="none"/>
          <w:lang w:val="en-US" w:eastAsia="zh-CN"/>
        </w:rPr>
        <w:t>上线通知”（https://www.xinecai.com/ydrz.html）</w:t>
      </w:r>
      <w:r>
        <w:rPr>
          <w:rFonts w:hint="eastAsia" w:ascii="宋体" w:hAnsi="宋体" w:eastAsia="宋体" w:cs="Times New Roman"/>
          <w:color w:val="auto"/>
          <w:kern w:val="2"/>
          <w:sz w:val="21"/>
          <w:szCs w:val="21"/>
          <w:highlight w:val="none"/>
        </w:rPr>
        <w:t>。</w:t>
      </w:r>
    </w:p>
    <w:p w14:paraId="3525389C">
      <w:pPr>
        <w:widowControl/>
        <w:tabs>
          <w:tab w:val="left" w:pos="2400"/>
          <w:tab w:val="left" w:pos="3460"/>
          <w:tab w:val="left" w:pos="6660"/>
          <w:tab w:val="left" w:pos="8789"/>
        </w:tabs>
        <w:autoSpaceDE/>
        <w:autoSpaceDN/>
        <w:adjustRightInd w:val="0"/>
        <w:snapToGrid w:val="0"/>
        <w:spacing w:line="360" w:lineRule="auto"/>
        <w:ind w:right="0" w:firstLine="420" w:firstLineChars="200"/>
        <w:jc w:val="left"/>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3、全流程电子招标项目需要投标</w:t>
      </w:r>
      <w:r>
        <w:rPr>
          <w:rFonts w:hint="eastAsia" w:ascii="宋体" w:hAnsi="宋体" w:eastAsia="宋体" w:cs="Times New Roman"/>
          <w:color w:val="auto"/>
          <w:kern w:val="2"/>
          <w:sz w:val="21"/>
          <w:szCs w:val="21"/>
          <w:highlight w:val="none"/>
          <w:lang w:val="en-US" w:eastAsia="zh-CN"/>
        </w:rPr>
        <w:t>供应商</w:t>
      </w:r>
      <w:r>
        <w:rPr>
          <w:rFonts w:hint="eastAsia" w:ascii="宋体" w:hAnsi="宋体" w:eastAsia="宋体" w:cs="Times New Roman"/>
          <w:color w:val="auto"/>
          <w:kern w:val="2"/>
          <w:sz w:val="21"/>
          <w:szCs w:val="21"/>
          <w:highlight w:val="none"/>
        </w:rPr>
        <w:t>网络上传</w:t>
      </w:r>
      <w:r>
        <w:rPr>
          <w:rFonts w:hint="eastAsia" w:ascii="宋体" w:hAnsi="宋体" w:eastAsia="宋体" w:cs="Times New Roman"/>
          <w:color w:val="auto"/>
          <w:kern w:val="2"/>
          <w:sz w:val="21"/>
          <w:szCs w:val="21"/>
          <w:highlight w:val="none"/>
          <w:lang w:val="en-US" w:eastAsia="zh-CN"/>
        </w:rPr>
        <w:t>通过安天智采投标文件制作工具制作并使用通过安天智采办理的移动认证证书或介质</w:t>
      </w:r>
      <w:r>
        <w:rPr>
          <w:rFonts w:hint="eastAsia" w:ascii="宋体" w:hAnsi="宋体" w:eastAsia="宋体" w:cs="Times New Roman"/>
          <w:color w:val="auto"/>
          <w:kern w:val="2"/>
          <w:sz w:val="21"/>
          <w:szCs w:val="21"/>
          <w:highlight w:val="none"/>
        </w:rPr>
        <w:t>数字证书加密</w:t>
      </w:r>
      <w:r>
        <w:rPr>
          <w:rFonts w:hint="eastAsia" w:ascii="宋体" w:hAnsi="宋体" w:eastAsia="宋体" w:cs="Times New Roman"/>
          <w:color w:val="auto"/>
          <w:kern w:val="2"/>
          <w:sz w:val="21"/>
          <w:szCs w:val="21"/>
          <w:highlight w:val="none"/>
          <w:lang w:val="en-US" w:eastAsia="zh-CN"/>
        </w:rPr>
        <w:t>后生成的</w:t>
      </w:r>
      <w:r>
        <w:rPr>
          <w:rFonts w:hint="eastAsia" w:ascii="宋体" w:hAnsi="宋体" w:eastAsia="宋体" w:cs="Times New Roman"/>
          <w:color w:val="auto"/>
          <w:kern w:val="2"/>
          <w:sz w:val="21"/>
          <w:szCs w:val="21"/>
          <w:highlight w:val="none"/>
        </w:rPr>
        <w:t>电子投标文件，投标</w:t>
      </w:r>
      <w:r>
        <w:rPr>
          <w:rFonts w:hint="eastAsia" w:ascii="宋体" w:hAnsi="宋体" w:eastAsia="宋体" w:cs="Times New Roman"/>
          <w:color w:val="auto"/>
          <w:kern w:val="2"/>
          <w:sz w:val="21"/>
          <w:szCs w:val="21"/>
          <w:highlight w:val="none"/>
          <w:lang w:val="en-US" w:eastAsia="zh-CN"/>
        </w:rPr>
        <w:t>供应商</w:t>
      </w:r>
      <w:r>
        <w:rPr>
          <w:rFonts w:hint="eastAsia" w:ascii="宋体" w:hAnsi="宋体" w:eastAsia="宋体" w:cs="Times New Roman"/>
          <w:color w:val="auto"/>
          <w:kern w:val="2"/>
          <w:sz w:val="21"/>
          <w:szCs w:val="21"/>
          <w:highlight w:val="none"/>
        </w:rPr>
        <w:t>下载</w:t>
      </w:r>
      <w:r>
        <w:rPr>
          <w:rFonts w:hint="eastAsia" w:ascii="宋体" w:hAnsi="宋体" w:eastAsia="宋体" w:cs="Times New Roman"/>
          <w:color w:val="auto"/>
          <w:kern w:val="2"/>
          <w:sz w:val="21"/>
          <w:szCs w:val="21"/>
          <w:highlight w:val="none"/>
          <w:lang w:val="en-US" w:eastAsia="zh-CN"/>
        </w:rPr>
        <w:t>电子</w:t>
      </w:r>
      <w:r>
        <w:rPr>
          <w:rFonts w:hint="eastAsia" w:ascii="宋体" w:hAnsi="宋体" w:eastAsia="宋体" w:cs="Times New Roman"/>
          <w:color w:val="auto"/>
          <w:kern w:val="2"/>
          <w:sz w:val="21"/>
          <w:szCs w:val="21"/>
          <w:highlight w:val="none"/>
        </w:rPr>
        <w:t>招标</w:t>
      </w:r>
      <w:r>
        <w:rPr>
          <w:rFonts w:hint="eastAsia" w:ascii="宋体" w:hAnsi="宋体" w:eastAsia="宋体" w:cs="Times New Roman"/>
          <w:color w:val="auto"/>
          <w:kern w:val="2"/>
          <w:sz w:val="21"/>
          <w:szCs w:val="21"/>
          <w:highlight w:val="none"/>
          <w:lang w:val="en-US" w:eastAsia="zh-CN"/>
        </w:rPr>
        <w:t>采购</w:t>
      </w:r>
      <w:r>
        <w:rPr>
          <w:rFonts w:hint="eastAsia" w:ascii="宋体" w:hAnsi="宋体" w:eastAsia="宋体" w:cs="Times New Roman"/>
          <w:color w:val="auto"/>
          <w:kern w:val="2"/>
          <w:sz w:val="21"/>
          <w:szCs w:val="21"/>
          <w:highlight w:val="none"/>
        </w:rPr>
        <w:t>文件后，应在招标文件规定的投标截止时间之前上传</w:t>
      </w:r>
      <w:r>
        <w:rPr>
          <w:rFonts w:hint="eastAsia" w:ascii="宋体" w:hAnsi="宋体" w:eastAsia="宋体" w:cs="Times New Roman"/>
          <w:color w:val="auto"/>
          <w:kern w:val="2"/>
          <w:sz w:val="21"/>
          <w:szCs w:val="21"/>
          <w:highlight w:val="none"/>
          <w:lang w:val="en-US" w:eastAsia="zh-CN"/>
        </w:rPr>
        <w:t>通过安天智采投标文件制作工具制作的加密</w:t>
      </w:r>
      <w:r>
        <w:rPr>
          <w:rFonts w:hint="eastAsia" w:ascii="宋体" w:hAnsi="宋体" w:eastAsia="宋体" w:cs="Times New Roman"/>
          <w:color w:val="auto"/>
          <w:kern w:val="2"/>
          <w:sz w:val="21"/>
          <w:szCs w:val="21"/>
          <w:highlight w:val="none"/>
        </w:rPr>
        <w:t>电子投标文件</w:t>
      </w:r>
      <w:r>
        <w:rPr>
          <w:rFonts w:hint="eastAsia" w:ascii="宋体" w:hAnsi="宋体" w:eastAsia="宋体" w:cs="Times New Roman"/>
          <w:color w:val="auto"/>
          <w:kern w:val="2"/>
          <w:sz w:val="21"/>
          <w:szCs w:val="21"/>
          <w:highlight w:val="none"/>
          <w:lang w:eastAsia="zh-CN"/>
        </w:rPr>
        <w:t>（</w:t>
      </w:r>
      <w:r>
        <w:rPr>
          <w:rFonts w:hint="eastAsia" w:ascii="宋体" w:hAnsi="宋体" w:eastAsia="宋体" w:cs="Times New Roman"/>
          <w:color w:val="auto"/>
          <w:kern w:val="2"/>
          <w:sz w:val="21"/>
          <w:szCs w:val="21"/>
          <w:highlight w:val="none"/>
          <w:lang w:val="en-US" w:eastAsia="zh-CN"/>
        </w:rPr>
        <w:t>登录安天智采招标采购电子交易系统，点击进入递交投标文件，上传</w:t>
      </w:r>
      <w:r>
        <w:rPr>
          <w:rFonts w:hint="eastAsia" w:ascii="宋体" w:hAnsi="宋体" w:eastAsia="宋体" w:cs="Times New Roman"/>
          <w:color w:val="auto"/>
          <w:kern w:val="2"/>
          <w:sz w:val="21"/>
          <w:szCs w:val="21"/>
          <w:highlight w:val="none"/>
        </w:rPr>
        <w:t>加密的电子投标文件</w:t>
      </w:r>
      <w:r>
        <w:rPr>
          <w:rFonts w:hint="eastAsia" w:ascii="宋体" w:hAnsi="宋体" w:eastAsia="宋体" w:cs="Times New Roman"/>
          <w:color w:val="auto"/>
          <w:kern w:val="2"/>
          <w:sz w:val="21"/>
          <w:szCs w:val="21"/>
          <w:highlight w:val="none"/>
          <w:lang w:eastAsia="zh-CN"/>
        </w:rPr>
        <w:t>）</w:t>
      </w:r>
      <w:r>
        <w:rPr>
          <w:rFonts w:hint="eastAsia" w:ascii="宋体" w:hAnsi="宋体" w:eastAsia="宋体" w:cs="Times New Roman"/>
          <w:color w:val="auto"/>
          <w:kern w:val="2"/>
          <w:sz w:val="21"/>
          <w:szCs w:val="21"/>
          <w:highlight w:val="none"/>
        </w:rPr>
        <w:t>，否则视为投标无效。投标</w:t>
      </w:r>
      <w:r>
        <w:rPr>
          <w:rFonts w:hint="eastAsia" w:ascii="宋体" w:hAnsi="宋体" w:eastAsia="宋体" w:cs="Times New Roman"/>
          <w:color w:val="auto"/>
          <w:kern w:val="2"/>
          <w:sz w:val="21"/>
          <w:szCs w:val="21"/>
          <w:highlight w:val="none"/>
          <w:lang w:val="en-US" w:eastAsia="zh-CN"/>
        </w:rPr>
        <w:t>供应商</w:t>
      </w:r>
      <w:r>
        <w:rPr>
          <w:rFonts w:hint="eastAsia" w:ascii="宋体" w:hAnsi="宋体" w:eastAsia="宋体" w:cs="Times New Roman"/>
          <w:color w:val="auto"/>
          <w:kern w:val="2"/>
          <w:sz w:val="21"/>
          <w:szCs w:val="21"/>
          <w:highlight w:val="none"/>
        </w:rPr>
        <w:t>在投标截止时间之前，可以对其所递交的电子投标文件进行撤回，修改后重新上传；</w:t>
      </w:r>
    </w:p>
    <w:p w14:paraId="311D1EC7">
      <w:pPr>
        <w:widowControl/>
        <w:tabs>
          <w:tab w:val="left" w:pos="2400"/>
          <w:tab w:val="left" w:pos="3460"/>
          <w:tab w:val="left" w:pos="6660"/>
          <w:tab w:val="left" w:pos="8789"/>
        </w:tabs>
        <w:autoSpaceDE/>
        <w:autoSpaceDN/>
        <w:adjustRightInd w:val="0"/>
        <w:snapToGrid w:val="0"/>
        <w:spacing w:line="360" w:lineRule="auto"/>
        <w:ind w:right="0" w:firstLine="420" w:firstLineChars="200"/>
        <w:jc w:val="left"/>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4、投标截止时间以</w:t>
      </w:r>
      <w:r>
        <w:rPr>
          <w:rFonts w:hint="eastAsia" w:ascii="宋体" w:hAnsi="宋体" w:eastAsia="宋体" w:cs="Times New Roman"/>
          <w:color w:val="auto"/>
          <w:kern w:val="2"/>
          <w:sz w:val="21"/>
          <w:szCs w:val="21"/>
          <w:highlight w:val="none"/>
          <w:lang w:eastAsia="zh-CN"/>
        </w:rPr>
        <w:t>安天智采招标采购电子交易系统</w:t>
      </w:r>
      <w:r>
        <w:rPr>
          <w:rFonts w:hint="eastAsia" w:ascii="宋体" w:hAnsi="宋体" w:eastAsia="宋体" w:cs="Times New Roman"/>
          <w:color w:val="auto"/>
          <w:kern w:val="2"/>
          <w:sz w:val="21"/>
          <w:szCs w:val="21"/>
          <w:highlight w:val="none"/>
        </w:rPr>
        <w:t>（https://</w:t>
      </w:r>
      <w:r>
        <w:rPr>
          <w:rFonts w:hint="eastAsia" w:ascii="宋体" w:hAnsi="宋体" w:eastAsia="宋体" w:cs="Times New Roman"/>
          <w:color w:val="auto"/>
          <w:kern w:val="2"/>
          <w:sz w:val="21"/>
          <w:szCs w:val="21"/>
          <w:highlight w:val="none"/>
          <w:lang w:eastAsia="zh-CN"/>
        </w:rPr>
        <w:t>www.xinecai.com</w:t>
      </w:r>
      <w:r>
        <w:rPr>
          <w:rFonts w:hint="eastAsia" w:ascii="宋体" w:hAnsi="宋体" w:eastAsia="宋体" w:cs="Times New Roman"/>
          <w:color w:val="auto"/>
          <w:kern w:val="2"/>
          <w:sz w:val="21"/>
          <w:szCs w:val="21"/>
          <w:highlight w:val="none"/>
        </w:rPr>
        <w:t>）系统的时间为准，逾期系统将自动关闭,电子投标文件未完成上传的，投标将被拒绝</w:t>
      </w:r>
      <w:r>
        <w:rPr>
          <w:rFonts w:hint="eastAsia" w:ascii="宋体" w:hAnsi="宋体" w:eastAsia="宋体" w:cs="Times New Roman"/>
          <w:color w:val="auto"/>
          <w:kern w:val="2"/>
          <w:sz w:val="21"/>
          <w:szCs w:val="21"/>
          <w:highlight w:val="none"/>
          <w:lang w:eastAsia="zh-CN"/>
        </w:rPr>
        <w:t>。</w:t>
      </w:r>
      <w:r>
        <w:rPr>
          <w:rFonts w:hint="eastAsia" w:ascii="宋体" w:hAnsi="宋体" w:eastAsia="宋体" w:cs="Times New Roman"/>
          <w:color w:val="auto"/>
          <w:kern w:val="2"/>
          <w:sz w:val="21"/>
          <w:szCs w:val="21"/>
          <w:highlight w:val="none"/>
          <w:lang w:val="en-US" w:eastAsia="zh-CN"/>
        </w:rPr>
        <w:t>加密文件上传后投标供应商可进行模拟解密检验加密文件是否正常</w:t>
      </w:r>
      <w:r>
        <w:rPr>
          <w:rFonts w:hint="eastAsia" w:ascii="宋体" w:hAnsi="宋体" w:eastAsia="宋体" w:cs="Times New Roman"/>
          <w:color w:val="auto"/>
          <w:kern w:val="2"/>
          <w:sz w:val="21"/>
          <w:szCs w:val="21"/>
          <w:highlight w:val="none"/>
        </w:rPr>
        <w:t>；</w:t>
      </w:r>
    </w:p>
    <w:p w14:paraId="7A5CF54B">
      <w:pPr>
        <w:widowControl/>
        <w:tabs>
          <w:tab w:val="left" w:pos="2400"/>
          <w:tab w:val="left" w:pos="3460"/>
          <w:tab w:val="left" w:pos="6660"/>
          <w:tab w:val="left" w:pos="8789"/>
        </w:tabs>
        <w:autoSpaceDE/>
        <w:autoSpaceDN/>
        <w:adjustRightInd w:val="0"/>
        <w:snapToGrid w:val="0"/>
        <w:spacing w:line="360" w:lineRule="auto"/>
        <w:ind w:right="0" w:firstLine="420" w:firstLineChars="200"/>
        <w:jc w:val="left"/>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rPr>
        <w:t>5、投标</w:t>
      </w:r>
      <w:r>
        <w:rPr>
          <w:rFonts w:hint="eastAsia" w:ascii="宋体" w:hAnsi="宋体" w:eastAsia="宋体" w:cs="Times New Roman"/>
          <w:color w:val="auto"/>
          <w:kern w:val="2"/>
          <w:sz w:val="21"/>
          <w:szCs w:val="21"/>
          <w:highlight w:val="none"/>
          <w:lang w:val="en-US" w:eastAsia="zh-CN"/>
        </w:rPr>
        <w:t>供应商</w:t>
      </w:r>
      <w:r>
        <w:rPr>
          <w:rFonts w:hint="eastAsia" w:ascii="宋体" w:hAnsi="宋体" w:eastAsia="宋体" w:cs="Times New Roman"/>
          <w:color w:val="auto"/>
          <w:kern w:val="2"/>
          <w:sz w:val="21"/>
          <w:szCs w:val="21"/>
          <w:highlight w:val="none"/>
        </w:rPr>
        <w:t>除须按上述第4条要求网络上传</w:t>
      </w:r>
      <w:r>
        <w:rPr>
          <w:rFonts w:hint="eastAsia" w:ascii="宋体" w:hAnsi="宋体" w:eastAsia="宋体" w:cs="Times New Roman"/>
          <w:color w:val="auto"/>
          <w:kern w:val="2"/>
          <w:sz w:val="21"/>
          <w:szCs w:val="21"/>
          <w:highlight w:val="none"/>
          <w:lang w:val="en-US" w:eastAsia="zh-CN"/>
        </w:rPr>
        <w:t>移动认证证书或介质</w:t>
      </w:r>
      <w:r>
        <w:rPr>
          <w:rFonts w:hint="eastAsia" w:ascii="宋体" w:hAnsi="宋体" w:eastAsia="宋体" w:cs="Times New Roman"/>
          <w:color w:val="auto"/>
          <w:kern w:val="2"/>
          <w:sz w:val="21"/>
          <w:szCs w:val="21"/>
          <w:highlight w:val="none"/>
        </w:rPr>
        <w:t>数字证书加密的电子投标文件外，可以另行提供非加密电子投标文件U盘或光盘一份（电子标书工具软件在加密上传后，同时生成非加密电子投标文件一份，供投标</w:t>
      </w:r>
      <w:r>
        <w:rPr>
          <w:rFonts w:hint="eastAsia" w:ascii="宋体" w:hAnsi="宋体" w:eastAsia="宋体" w:cs="Times New Roman"/>
          <w:color w:val="auto"/>
          <w:kern w:val="2"/>
          <w:sz w:val="21"/>
          <w:szCs w:val="21"/>
          <w:highlight w:val="none"/>
          <w:lang w:val="en-US" w:eastAsia="zh-CN"/>
        </w:rPr>
        <w:t>供应商</w:t>
      </w:r>
      <w:r>
        <w:rPr>
          <w:rFonts w:hint="eastAsia" w:ascii="宋体" w:hAnsi="宋体" w:eastAsia="宋体" w:cs="Times New Roman"/>
          <w:color w:val="auto"/>
          <w:kern w:val="2"/>
          <w:sz w:val="21"/>
          <w:szCs w:val="21"/>
          <w:highlight w:val="none"/>
        </w:rPr>
        <w:t>拷贝到U盘或刻录光盘，</w:t>
      </w:r>
      <w:r>
        <w:rPr>
          <w:rFonts w:hint="eastAsia" w:ascii="宋体" w:hAnsi="宋体" w:eastAsia="宋体" w:cs="Times New Roman"/>
          <w:color w:val="auto"/>
          <w:kern w:val="2"/>
          <w:sz w:val="21"/>
          <w:szCs w:val="21"/>
          <w:highlight w:val="none"/>
          <w:lang w:val="en-US" w:eastAsia="zh-CN"/>
        </w:rPr>
        <w:t>按招标采购文件规定要求</w:t>
      </w:r>
      <w:r>
        <w:rPr>
          <w:rFonts w:hint="eastAsia" w:ascii="宋体" w:hAnsi="宋体" w:eastAsia="宋体" w:cs="Times New Roman"/>
          <w:color w:val="auto"/>
          <w:kern w:val="2"/>
          <w:sz w:val="21"/>
          <w:szCs w:val="21"/>
          <w:highlight w:val="none"/>
        </w:rPr>
        <w:t>密封后递交），投标</w:t>
      </w:r>
      <w:r>
        <w:rPr>
          <w:rFonts w:hint="eastAsia" w:ascii="宋体" w:hAnsi="宋体" w:eastAsia="宋体" w:cs="Times New Roman"/>
          <w:color w:val="auto"/>
          <w:kern w:val="2"/>
          <w:sz w:val="21"/>
          <w:szCs w:val="21"/>
          <w:highlight w:val="none"/>
          <w:lang w:val="en-US" w:eastAsia="zh-CN"/>
        </w:rPr>
        <w:t>供应商</w:t>
      </w:r>
      <w:r>
        <w:rPr>
          <w:rFonts w:hint="eastAsia" w:ascii="宋体" w:hAnsi="宋体" w:eastAsia="宋体" w:cs="Times New Roman"/>
          <w:color w:val="auto"/>
          <w:kern w:val="2"/>
          <w:sz w:val="21"/>
          <w:szCs w:val="21"/>
          <w:highlight w:val="none"/>
        </w:rPr>
        <w:t>须保证电子U盘或光盘时能正常读取</w:t>
      </w:r>
      <w:r>
        <w:rPr>
          <w:rFonts w:hint="eastAsia" w:ascii="宋体" w:hAnsi="宋体" w:eastAsia="宋体" w:cs="Times New Roman"/>
          <w:color w:val="auto"/>
          <w:kern w:val="2"/>
          <w:sz w:val="21"/>
          <w:szCs w:val="21"/>
          <w:highlight w:val="none"/>
          <w:lang w:eastAsia="zh-CN"/>
        </w:rPr>
        <w:t>，</w:t>
      </w:r>
      <w:r>
        <w:rPr>
          <w:rFonts w:hint="eastAsia" w:ascii="宋体" w:hAnsi="宋体" w:eastAsia="宋体" w:cs="Times New Roman"/>
          <w:color w:val="auto"/>
          <w:kern w:val="2"/>
          <w:sz w:val="21"/>
          <w:szCs w:val="21"/>
          <w:highlight w:val="none"/>
          <w:lang w:val="en-US" w:eastAsia="zh-CN"/>
        </w:rPr>
        <w:t>且非加密文件须与网上递交的加密文件一致</w:t>
      </w:r>
      <w:r>
        <w:rPr>
          <w:rFonts w:hint="eastAsia" w:ascii="宋体" w:hAnsi="宋体" w:eastAsia="宋体" w:cs="Times New Roman"/>
          <w:color w:val="auto"/>
          <w:kern w:val="2"/>
          <w:sz w:val="21"/>
          <w:szCs w:val="21"/>
          <w:highlight w:val="none"/>
        </w:rPr>
        <w:t>。</w:t>
      </w:r>
      <w:r>
        <w:rPr>
          <w:rFonts w:hint="eastAsia" w:ascii="宋体" w:hAnsi="宋体" w:eastAsia="宋体" w:cs="Times New Roman"/>
          <w:color w:val="auto"/>
          <w:kern w:val="2"/>
          <w:sz w:val="21"/>
          <w:szCs w:val="21"/>
          <w:highlight w:val="none"/>
          <w:lang w:val="en-US" w:eastAsia="zh-CN"/>
        </w:rPr>
        <w:t>具体要求按照招标采购文件规定；</w:t>
      </w:r>
    </w:p>
    <w:p w14:paraId="2CB8C323">
      <w:pPr>
        <w:widowControl/>
        <w:tabs>
          <w:tab w:val="left" w:pos="2400"/>
          <w:tab w:val="left" w:pos="3460"/>
          <w:tab w:val="left" w:pos="6660"/>
          <w:tab w:val="left" w:pos="8789"/>
        </w:tabs>
        <w:autoSpaceDE/>
        <w:autoSpaceDN/>
        <w:adjustRightInd w:val="0"/>
        <w:snapToGrid w:val="0"/>
        <w:spacing w:line="360" w:lineRule="auto"/>
        <w:ind w:right="0" w:firstLine="420" w:firstLineChars="200"/>
        <w:jc w:val="left"/>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rPr>
        <w:t>6、如投标</w:t>
      </w:r>
      <w:r>
        <w:rPr>
          <w:rFonts w:hint="eastAsia" w:ascii="宋体" w:hAnsi="宋体" w:eastAsia="宋体" w:cs="Times New Roman"/>
          <w:color w:val="auto"/>
          <w:kern w:val="2"/>
          <w:sz w:val="21"/>
          <w:szCs w:val="21"/>
          <w:highlight w:val="none"/>
          <w:lang w:val="en-US" w:eastAsia="zh-CN"/>
        </w:rPr>
        <w:t>供应商</w:t>
      </w:r>
      <w:r>
        <w:rPr>
          <w:rFonts w:hint="eastAsia" w:ascii="宋体" w:hAnsi="宋体" w:eastAsia="宋体" w:cs="Times New Roman"/>
          <w:color w:val="auto"/>
          <w:kern w:val="2"/>
          <w:sz w:val="21"/>
          <w:szCs w:val="21"/>
          <w:highlight w:val="none"/>
        </w:rPr>
        <w:t>在制作、上传电子投标文件过程中，遇到操作和使用问题，请及时联系</w:t>
      </w:r>
      <w:r>
        <w:rPr>
          <w:rFonts w:hint="eastAsia" w:ascii="宋体" w:hAnsi="宋体" w:eastAsia="宋体" w:cs="Times New Roman"/>
          <w:color w:val="auto"/>
          <w:kern w:val="2"/>
          <w:sz w:val="21"/>
          <w:szCs w:val="21"/>
          <w:highlight w:val="none"/>
          <w:lang w:eastAsia="zh-CN"/>
        </w:rPr>
        <w:t>安天智采电子交易</w:t>
      </w:r>
      <w:r>
        <w:rPr>
          <w:rFonts w:hint="eastAsia" w:ascii="宋体" w:hAnsi="宋体" w:eastAsia="宋体" w:cs="Times New Roman"/>
          <w:color w:val="auto"/>
          <w:kern w:val="2"/>
          <w:sz w:val="21"/>
          <w:szCs w:val="21"/>
          <w:highlight w:val="none"/>
          <w:lang w:val="en-US" w:eastAsia="zh-CN"/>
        </w:rPr>
        <w:t>平台</w:t>
      </w:r>
      <w:r>
        <w:rPr>
          <w:rFonts w:hint="eastAsia" w:ascii="宋体" w:hAnsi="宋体" w:eastAsia="宋体" w:cs="Times New Roman"/>
          <w:color w:val="auto"/>
          <w:kern w:val="2"/>
          <w:sz w:val="21"/>
          <w:szCs w:val="21"/>
          <w:highlight w:val="none"/>
        </w:rPr>
        <w:t>客服人员，客服电话：</w:t>
      </w:r>
      <w:r>
        <w:rPr>
          <w:rFonts w:hint="default" w:ascii="宋体" w:hAnsi="宋体" w:eastAsia="宋体" w:cs="Times New Roman"/>
          <w:b w:val="0"/>
          <w:color w:val="auto"/>
          <w:szCs w:val="21"/>
          <w:highlight w:val="none"/>
        </w:rPr>
        <w:t>400-050-9988</w:t>
      </w:r>
      <w:r>
        <w:rPr>
          <w:rFonts w:hint="eastAsia" w:ascii="宋体" w:hAnsi="宋体" w:eastAsia="宋体" w:cs="Times New Roman"/>
          <w:color w:val="auto"/>
          <w:kern w:val="2"/>
          <w:sz w:val="21"/>
          <w:szCs w:val="21"/>
          <w:highlight w:val="none"/>
        </w:rPr>
        <w:t>。</w:t>
      </w:r>
      <w:r>
        <w:rPr>
          <w:rFonts w:hint="eastAsia" w:ascii="宋体" w:hAnsi="宋体" w:eastAsia="宋体" w:cs="Times New Roman"/>
          <w:color w:val="auto"/>
          <w:sz w:val="21"/>
          <w:szCs w:val="21"/>
          <w:highlight w:val="none"/>
          <w:lang w:val="en-US" w:eastAsia="zh-CN"/>
        </w:rPr>
        <w:t>移动认证办理</w:t>
      </w:r>
      <w:r>
        <w:rPr>
          <w:rFonts w:hint="eastAsia" w:ascii="宋体" w:hAnsi="宋体" w:eastAsia="宋体" w:cs="Times New Roman"/>
          <w:color w:val="auto"/>
          <w:sz w:val="21"/>
          <w:szCs w:val="21"/>
          <w:highlight w:val="none"/>
        </w:rPr>
        <w:t>联系电话：</w:t>
      </w:r>
      <w:r>
        <w:rPr>
          <w:rFonts w:hint="eastAsia" w:ascii="宋体" w:hAnsi="宋体" w:eastAsia="宋体" w:cs="Times New Roman"/>
          <w:color w:val="auto"/>
          <w:sz w:val="21"/>
          <w:szCs w:val="21"/>
          <w:highlight w:val="none"/>
          <w:lang w:val="en-US" w:eastAsia="zh-CN"/>
        </w:rPr>
        <w:t>400-0878-198转1。</w:t>
      </w:r>
    </w:p>
    <w:p w14:paraId="7F490634">
      <w:pPr>
        <w:widowControl/>
        <w:autoSpaceDE/>
        <w:autoSpaceDN/>
        <w:adjustRightInd w:val="0"/>
        <w:snapToGrid w:val="0"/>
        <w:spacing w:line="360" w:lineRule="auto"/>
        <w:ind w:right="0" w:firstLine="422" w:firstLineChars="200"/>
        <w:jc w:val="left"/>
        <w:outlineLvl w:val="1"/>
        <w:rPr>
          <w:rFonts w:hint="eastAsia" w:ascii="宋体" w:hAnsi="宋体" w:eastAsia="宋体" w:cs="Times New Roman"/>
          <w:b/>
          <w:bCs/>
          <w:color w:val="auto"/>
          <w:spacing w:val="0"/>
          <w:kern w:val="2"/>
          <w:sz w:val="21"/>
          <w:szCs w:val="21"/>
          <w:highlight w:val="none"/>
        </w:rPr>
      </w:pPr>
      <w:bookmarkStart w:id="249" w:name="_Toc20689"/>
      <w:bookmarkStart w:id="250" w:name="_Toc25904"/>
      <w:bookmarkStart w:id="251" w:name="_Toc28706"/>
      <w:r>
        <w:rPr>
          <w:rFonts w:hint="eastAsia" w:ascii="宋体" w:hAnsi="宋体" w:eastAsia="宋体" w:cs="Times New Roman"/>
          <w:b/>
          <w:bCs/>
          <w:color w:val="auto"/>
          <w:spacing w:val="0"/>
          <w:kern w:val="2"/>
          <w:sz w:val="21"/>
          <w:szCs w:val="21"/>
          <w:highlight w:val="none"/>
        </w:rPr>
        <w:t>二、</w:t>
      </w:r>
      <w:r>
        <w:rPr>
          <w:rFonts w:hint="eastAsia" w:ascii="宋体" w:hAnsi="宋体" w:eastAsia="宋体" w:cs="Times New Roman"/>
          <w:b/>
          <w:bCs/>
          <w:color w:val="auto"/>
          <w:spacing w:val="0"/>
          <w:kern w:val="2"/>
          <w:sz w:val="21"/>
          <w:szCs w:val="21"/>
          <w:highlight w:val="none"/>
          <w:lang w:val="en-US" w:eastAsia="zh-CN"/>
        </w:rPr>
        <w:t>开标及</w:t>
      </w:r>
      <w:r>
        <w:rPr>
          <w:rFonts w:hint="eastAsia" w:ascii="宋体" w:hAnsi="宋体" w:eastAsia="宋体" w:cs="Times New Roman"/>
          <w:b/>
          <w:bCs/>
          <w:color w:val="auto"/>
          <w:spacing w:val="0"/>
          <w:kern w:val="2"/>
          <w:sz w:val="21"/>
          <w:szCs w:val="21"/>
          <w:highlight w:val="none"/>
        </w:rPr>
        <w:t>解密投标文件</w:t>
      </w:r>
      <w:bookmarkEnd w:id="249"/>
      <w:bookmarkEnd w:id="250"/>
      <w:bookmarkEnd w:id="251"/>
    </w:p>
    <w:p w14:paraId="4AF34A3B">
      <w:pPr>
        <w:widowControl/>
        <w:tabs>
          <w:tab w:val="left" w:pos="2400"/>
          <w:tab w:val="left" w:pos="3460"/>
          <w:tab w:val="left" w:pos="6660"/>
          <w:tab w:val="left" w:pos="8789"/>
        </w:tabs>
        <w:autoSpaceDE/>
        <w:autoSpaceDN/>
        <w:adjustRightInd w:val="0"/>
        <w:snapToGrid w:val="0"/>
        <w:spacing w:line="360" w:lineRule="auto"/>
        <w:ind w:right="0" w:firstLine="420" w:firstLineChars="200"/>
        <w:jc w:val="left"/>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1、</w:t>
      </w:r>
      <w:r>
        <w:rPr>
          <w:rFonts w:hint="eastAsia" w:ascii="宋体" w:hAnsi="宋体" w:eastAsia="宋体" w:cs="Times New Roman"/>
          <w:color w:val="auto"/>
          <w:kern w:val="2"/>
          <w:sz w:val="21"/>
          <w:szCs w:val="21"/>
          <w:highlight w:val="none"/>
          <w:lang w:eastAsia="zh-CN"/>
        </w:rPr>
        <w:t>安徽安天利信工程管理股份有限公司</w:t>
      </w:r>
      <w:r>
        <w:rPr>
          <w:rFonts w:hint="eastAsia" w:ascii="宋体" w:hAnsi="宋体" w:eastAsia="宋体" w:cs="Times New Roman"/>
          <w:color w:val="auto"/>
          <w:kern w:val="2"/>
          <w:sz w:val="21"/>
          <w:szCs w:val="21"/>
          <w:highlight w:val="none"/>
        </w:rPr>
        <w:t>工作人员（以下称工作人员）根据有关规定登录</w:t>
      </w:r>
      <w:r>
        <w:rPr>
          <w:rFonts w:hint="eastAsia" w:ascii="宋体" w:hAnsi="宋体" w:eastAsia="宋体" w:cs="Times New Roman"/>
          <w:color w:val="auto"/>
          <w:kern w:val="2"/>
          <w:sz w:val="21"/>
          <w:szCs w:val="21"/>
          <w:highlight w:val="none"/>
          <w:lang w:val="en-US" w:eastAsia="zh-CN"/>
        </w:rPr>
        <w:t>安天智采在线开标系统进行</w:t>
      </w:r>
      <w:r>
        <w:rPr>
          <w:rFonts w:hint="eastAsia" w:ascii="宋体" w:hAnsi="宋体" w:eastAsia="宋体" w:cs="Times New Roman"/>
          <w:color w:val="auto"/>
          <w:kern w:val="2"/>
          <w:sz w:val="21"/>
          <w:szCs w:val="21"/>
          <w:highlight w:val="none"/>
        </w:rPr>
        <w:t>开标</w:t>
      </w:r>
      <w:r>
        <w:rPr>
          <w:rFonts w:hint="eastAsia" w:ascii="宋体" w:hAnsi="宋体" w:eastAsia="宋体" w:cs="Times New Roman"/>
          <w:color w:val="auto"/>
          <w:kern w:val="2"/>
          <w:sz w:val="21"/>
          <w:szCs w:val="21"/>
          <w:highlight w:val="none"/>
          <w:lang w:eastAsia="zh-CN"/>
        </w:rPr>
        <w:t>（</w:t>
      </w:r>
      <w:r>
        <w:rPr>
          <w:rFonts w:hint="eastAsia" w:ascii="宋体" w:hAnsi="宋体" w:eastAsia="宋体" w:cs="Times New Roman"/>
          <w:color w:val="auto"/>
          <w:kern w:val="2"/>
          <w:sz w:val="21"/>
          <w:szCs w:val="21"/>
          <w:highlight w:val="none"/>
          <w:lang w:val="en-US" w:eastAsia="zh-CN"/>
        </w:rPr>
        <w:t>使用介质数字证书用户请选择ie11</w:t>
      </w:r>
      <w:r>
        <w:rPr>
          <w:rFonts w:hint="eastAsia" w:ascii="宋体" w:hAnsi="宋体" w:eastAsia="宋体" w:cs="Times New Roman"/>
          <w:color w:val="auto"/>
          <w:kern w:val="2"/>
          <w:sz w:val="21"/>
          <w:szCs w:val="21"/>
          <w:highlight w:val="none"/>
        </w:rPr>
        <w:t>及以上</w:t>
      </w:r>
      <w:r>
        <w:rPr>
          <w:rFonts w:hint="eastAsia" w:ascii="宋体" w:hAnsi="宋体" w:eastAsia="宋体" w:cs="Times New Roman"/>
          <w:color w:val="auto"/>
          <w:kern w:val="2"/>
          <w:sz w:val="21"/>
          <w:szCs w:val="21"/>
          <w:highlight w:val="none"/>
          <w:lang w:val="en-US" w:eastAsia="zh-CN"/>
        </w:rPr>
        <w:t>浏览器进行登录，如电脑未安装ie浏览器，可至安天智采门户网站产品服务&gt;服务指南中下载（https://www.xinecai.com/serveguide#）登录前请确认是否安装安天智采驱动。驱动安装完成后登录安天智采招标采购电子交易系统，点击进入开标系统或者点击</w:t>
      </w:r>
      <w:r>
        <w:rPr>
          <w:rFonts w:hint="eastAsia" w:ascii="宋体" w:hAnsi="宋体" w:eastAsia="宋体" w:cs="Times New Roman"/>
          <w:b w:val="0"/>
          <w:bCs w:val="0"/>
          <w:color w:val="auto"/>
          <w:kern w:val="2"/>
          <w:sz w:val="21"/>
          <w:szCs w:val="21"/>
          <w:highlight w:val="none"/>
          <w:lang w:val="en-US" w:eastAsia="zh-CN"/>
        </w:rPr>
        <w:t>https://kb.xinecai.com/process/login</w:t>
      </w:r>
      <w:r>
        <w:rPr>
          <w:rFonts w:hint="eastAsia" w:ascii="宋体" w:hAnsi="宋体" w:eastAsia="宋体" w:cs="Times New Roman"/>
          <w:color w:val="auto"/>
          <w:kern w:val="2"/>
          <w:sz w:val="21"/>
          <w:szCs w:val="21"/>
          <w:highlight w:val="none"/>
          <w:lang w:val="en-US" w:eastAsia="zh-CN"/>
        </w:rPr>
        <w:t>链接进入</w:t>
      </w:r>
      <w:r>
        <w:rPr>
          <w:rFonts w:hint="eastAsia" w:ascii="宋体" w:hAnsi="宋体" w:eastAsia="宋体" w:cs="Times New Roman"/>
          <w:color w:val="auto"/>
          <w:kern w:val="2"/>
          <w:sz w:val="21"/>
          <w:szCs w:val="21"/>
          <w:highlight w:val="none"/>
          <w:lang w:eastAsia="zh-CN"/>
        </w:rPr>
        <w:t>）</w:t>
      </w:r>
      <w:r>
        <w:rPr>
          <w:rFonts w:hint="eastAsia" w:ascii="宋体" w:hAnsi="宋体" w:eastAsia="宋体" w:cs="Times New Roman"/>
          <w:color w:val="auto"/>
          <w:kern w:val="2"/>
          <w:sz w:val="21"/>
          <w:szCs w:val="21"/>
          <w:highlight w:val="none"/>
          <w:lang w:val="en-US" w:eastAsia="zh-CN"/>
        </w:rPr>
        <w:t>为方便开标联系，建议投标供应商进行签到</w:t>
      </w:r>
      <w:r>
        <w:rPr>
          <w:rFonts w:hint="eastAsia" w:ascii="宋体" w:hAnsi="宋体" w:eastAsia="宋体" w:cs="Times New Roman"/>
          <w:color w:val="auto"/>
          <w:kern w:val="2"/>
          <w:sz w:val="21"/>
          <w:szCs w:val="21"/>
          <w:highlight w:val="none"/>
        </w:rPr>
        <w:t>。开标时，投标</w:t>
      </w:r>
      <w:r>
        <w:rPr>
          <w:rFonts w:hint="eastAsia" w:ascii="宋体" w:hAnsi="宋体" w:eastAsia="宋体" w:cs="Times New Roman"/>
          <w:color w:val="auto"/>
          <w:kern w:val="2"/>
          <w:sz w:val="21"/>
          <w:szCs w:val="21"/>
          <w:highlight w:val="none"/>
          <w:lang w:val="en-US" w:eastAsia="zh-CN"/>
        </w:rPr>
        <w:t>供应商</w:t>
      </w:r>
      <w:r>
        <w:rPr>
          <w:rFonts w:hint="eastAsia" w:ascii="宋体" w:hAnsi="宋体" w:eastAsia="宋体" w:cs="Times New Roman"/>
          <w:color w:val="auto"/>
          <w:kern w:val="2"/>
          <w:sz w:val="21"/>
          <w:szCs w:val="21"/>
          <w:highlight w:val="none"/>
        </w:rPr>
        <w:t>必须远程使用</w:t>
      </w:r>
      <w:r>
        <w:rPr>
          <w:rFonts w:hint="eastAsia" w:ascii="宋体" w:hAnsi="宋体" w:eastAsia="宋体" w:cs="Times New Roman"/>
          <w:color w:val="auto"/>
          <w:kern w:val="2"/>
          <w:sz w:val="21"/>
          <w:szCs w:val="21"/>
          <w:highlight w:val="none"/>
          <w:lang w:val="en-US" w:eastAsia="zh-CN"/>
        </w:rPr>
        <w:t>安天智采办理的移动认证证书或介质</w:t>
      </w:r>
      <w:r>
        <w:rPr>
          <w:rFonts w:hint="eastAsia" w:ascii="宋体" w:hAnsi="宋体" w:eastAsia="宋体" w:cs="Times New Roman"/>
          <w:color w:val="auto"/>
          <w:kern w:val="2"/>
          <w:sz w:val="21"/>
          <w:szCs w:val="21"/>
          <w:highlight w:val="none"/>
        </w:rPr>
        <w:t>数字证书先行解密</w:t>
      </w:r>
      <w:r>
        <w:rPr>
          <w:rFonts w:hint="eastAsia" w:ascii="宋体" w:hAnsi="宋体" w:eastAsia="宋体" w:cs="Times New Roman"/>
          <w:color w:val="auto"/>
          <w:kern w:val="2"/>
          <w:sz w:val="21"/>
          <w:szCs w:val="21"/>
          <w:highlight w:val="none"/>
          <w:lang w:val="en-US" w:eastAsia="zh-CN"/>
        </w:rPr>
        <w:t>（加密证书需与解密证书一致，否则无法解密成功）</w:t>
      </w:r>
      <w:r>
        <w:rPr>
          <w:rFonts w:hint="eastAsia" w:ascii="宋体" w:hAnsi="宋体" w:eastAsia="宋体" w:cs="Times New Roman"/>
          <w:color w:val="auto"/>
          <w:kern w:val="2"/>
          <w:sz w:val="21"/>
          <w:szCs w:val="21"/>
          <w:highlight w:val="none"/>
        </w:rPr>
        <w:t>。电子投标文件在平台系统导入后，</w:t>
      </w:r>
      <w:r>
        <w:rPr>
          <w:rFonts w:hint="eastAsia" w:ascii="宋体" w:hAnsi="宋体" w:eastAsia="宋体" w:cs="Times New Roman"/>
          <w:color w:val="auto"/>
          <w:kern w:val="2"/>
          <w:sz w:val="21"/>
          <w:szCs w:val="21"/>
          <w:highlight w:val="none"/>
          <w:lang w:val="en-US" w:eastAsia="zh-CN"/>
        </w:rPr>
        <w:t>工作人员开启</w:t>
      </w:r>
      <w:r>
        <w:rPr>
          <w:rFonts w:hint="eastAsia" w:ascii="宋体" w:hAnsi="宋体" w:eastAsia="宋体" w:cs="Times New Roman"/>
          <w:color w:val="auto"/>
          <w:kern w:val="2"/>
          <w:sz w:val="21"/>
          <w:szCs w:val="21"/>
          <w:highlight w:val="none"/>
        </w:rPr>
        <w:t>系统</w:t>
      </w:r>
      <w:r>
        <w:rPr>
          <w:rFonts w:hint="eastAsia" w:ascii="宋体" w:hAnsi="宋体" w:eastAsia="宋体" w:cs="Times New Roman"/>
          <w:color w:val="auto"/>
          <w:kern w:val="2"/>
          <w:sz w:val="21"/>
          <w:szCs w:val="21"/>
          <w:highlight w:val="none"/>
          <w:lang w:val="en-US" w:eastAsia="zh-CN"/>
        </w:rPr>
        <w:t>唱标等流程</w:t>
      </w:r>
      <w:r>
        <w:rPr>
          <w:rFonts w:hint="eastAsia" w:ascii="宋体" w:hAnsi="宋体" w:eastAsia="宋体" w:cs="Times New Roman"/>
          <w:color w:val="auto"/>
          <w:kern w:val="2"/>
          <w:sz w:val="21"/>
          <w:szCs w:val="21"/>
          <w:highlight w:val="none"/>
        </w:rPr>
        <w:t>；</w:t>
      </w:r>
    </w:p>
    <w:p w14:paraId="157AFB11">
      <w:pPr>
        <w:widowControl/>
        <w:tabs>
          <w:tab w:val="left" w:pos="2400"/>
          <w:tab w:val="left" w:pos="3460"/>
          <w:tab w:val="left" w:pos="6660"/>
          <w:tab w:val="left" w:pos="8789"/>
        </w:tabs>
        <w:autoSpaceDE/>
        <w:autoSpaceDN/>
        <w:adjustRightInd w:val="0"/>
        <w:snapToGrid w:val="0"/>
        <w:spacing w:line="360" w:lineRule="auto"/>
        <w:ind w:right="0" w:firstLine="420" w:firstLineChars="200"/>
        <w:jc w:val="left"/>
        <w:rPr>
          <w:rFonts w:hint="eastAsia" w:ascii="宋体" w:hAnsi="宋体" w:eastAsia="宋体" w:cs="Times New Roman"/>
          <w:color w:val="auto"/>
          <w:kern w:val="2"/>
          <w:sz w:val="21"/>
          <w:szCs w:val="21"/>
          <w:highlight w:val="none"/>
          <w:lang w:eastAsia="zh-CN"/>
        </w:rPr>
      </w:pPr>
      <w:r>
        <w:rPr>
          <w:rFonts w:hint="eastAsia" w:ascii="宋体" w:hAnsi="宋体" w:eastAsia="宋体" w:cs="Times New Roman"/>
          <w:color w:val="auto"/>
          <w:kern w:val="2"/>
          <w:sz w:val="21"/>
          <w:szCs w:val="21"/>
          <w:highlight w:val="none"/>
        </w:rPr>
        <w:t>2、电子投标文件上传成功但因电子招标投标交易平台原因导致解密异常时，如招标文件中允许使用非加密电子投标文件作为导入补救措施的，可以在开标现场递交非加密电子版投标文件，采购代理机构将其导入电子招标投标交易平台，电子招标投标交易平台将对非加密电子投标文件与加密电子投标文件进行校验。非加密电子投标文件经平台校验通过的视为解密成功，该投标供应商的投标文件以非加密电子投标文件为准；校验失败或未递交不加密电子投标文件的，其投标无效；</w:t>
      </w:r>
    </w:p>
    <w:p w14:paraId="1ECB26F6">
      <w:pPr>
        <w:widowControl/>
        <w:tabs>
          <w:tab w:val="left" w:pos="2400"/>
          <w:tab w:val="left" w:pos="3460"/>
          <w:tab w:val="left" w:pos="6660"/>
          <w:tab w:val="left" w:pos="8789"/>
        </w:tabs>
        <w:autoSpaceDE/>
        <w:autoSpaceDN/>
        <w:adjustRightInd w:val="0"/>
        <w:snapToGrid w:val="0"/>
        <w:spacing w:line="360" w:lineRule="auto"/>
        <w:ind w:right="0" w:firstLine="420" w:firstLineChars="200"/>
        <w:jc w:val="left"/>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3、在招标文件规定的时间内，投标人以招标文件中规定的方式未完成投标文件上传或解密的，视为其撤回投标。</w:t>
      </w:r>
    </w:p>
    <w:p w14:paraId="3962F784">
      <w:pPr>
        <w:widowControl/>
        <w:autoSpaceDE/>
        <w:autoSpaceDN/>
        <w:adjustRightInd w:val="0"/>
        <w:snapToGrid w:val="0"/>
        <w:spacing w:line="360" w:lineRule="auto"/>
        <w:ind w:right="0" w:firstLine="422" w:firstLineChars="200"/>
        <w:jc w:val="left"/>
        <w:outlineLvl w:val="1"/>
        <w:rPr>
          <w:rFonts w:hint="eastAsia" w:ascii="宋体" w:hAnsi="宋体" w:eastAsia="宋体" w:cs="Times New Roman"/>
          <w:b/>
          <w:bCs/>
          <w:color w:val="auto"/>
          <w:spacing w:val="0"/>
          <w:kern w:val="2"/>
          <w:sz w:val="21"/>
          <w:szCs w:val="21"/>
          <w:highlight w:val="none"/>
        </w:rPr>
      </w:pPr>
      <w:bookmarkStart w:id="252" w:name="_Toc28054"/>
      <w:bookmarkStart w:id="253" w:name="_Toc20065"/>
      <w:bookmarkStart w:id="254" w:name="_Toc8987"/>
      <w:r>
        <w:rPr>
          <w:rFonts w:hint="eastAsia" w:ascii="宋体" w:hAnsi="宋体" w:eastAsia="宋体" w:cs="Times New Roman"/>
          <w:b/>
          <w:bCs/>
          <w:color w:val="auto"/>
          <w:spacing w:val="0"/>
          <w:kern w:val="2"/>
          <w:sz w:val="21"/>
          <w:szCs w:val="21"/>
          <w:highlight w:val="none"/>
        </w:rPr>
        <w:t>三、数字证书</w:t>
      </w:r>
      <w:r>
        <w:rPr>
          <w:rFonts w:hint="eastAsia" w:ascii="宋体" w:hAnsi="宋体" w:eastAsia="宋体" w:cs="Times New Roman"/>
          <w:b/>
          <w:bCs/>
          <w:color w:val="auto"/>
          <w:spacing w:val="0"/>
          <w:kern w:val="2"/>
          <w:sz w:val="21"/>
          <w:szCs w:val="21"/>
          <w:highlight w:val="none"/>
          <w:lang w:val="en-US" w:eastAsia="zh-CN"/>
        </w:rPr>
        <w:t>及保函</w:t>
      </w:r>
      <w:r>
        <w:rPr>
          <w:rFonts w:hint="eastAsia" w:ascii="宋体" w:hAnsi="宋体" w:eastAsia="宋体" w:cs="Times New Roman"/>
          <w:b/>
          <w:bCs/>
          <w:color w:val="auto"/>
          <w:spacing w:val="0"/>
          <w:kern w:val="2"/>
          <w:sz w:val="21"/>
          <w:szCs w:val="21"/>
          <w:highlight w:val="none"/>
        </w:rPr>
        <w:t>问题</w:t>
      </w:r>
      <w:bookmarkEnd w:id="252"/>
      <w:bookmarkEnd w:id="253"/>
      <w:bookmarkEnd w:id="254"/>
    </w:p>
    <w:p w14:paraId="33BFD7E3">
      <w:pPr>
        <w:widowControl/>
        <w:tabs>
          <w:tab w:val="left" w:pos="2400"/>
          <w:tab w:val="left" w:pos="3460"/>
          <w:tab w:val="left" w:pos="6660"/>
          <w:tab w:val="left" w:pos="8789"/>
        </w:tabs>
        <w:autoSpaceDE/>
        <w:autoSpaceDN/>
        <w:adjustRightInd w:val="0"/>
        <w:snapToGrid w:val="0"/>
        <w:spacing w:line="360" w:lineRule="auto"/>
        <w:ind w:right="0" w:firstLine="420" w:firstLineChars="200"/>
        <w:jc w:val="left"/>
        <w:rPr>
          <w:rFonts w:hint="eastAsia" w:ascii="宋体" w:hAnsi="宋体" w:eastAsia="宋体" w:cs="Times New Roman"/>
          <w:color w:val="auto"/>
          <w:kern w:val="2"/>
          <w:sz w:val="21"/>
          <w:szCs w:val="21"/>
          <w:highlight w:val="none"/>
          <w:lang w:val="en-US" w:eastAsia="zh-CN"/>
        </w:rPr>
      </w:pPr>
      <w:r>
        <w:rPr>
          <w:rFonts w:hint="eastAsia" w:ascii="宋体" w:hAnsi="宋体" w:eastAsia="宋体" w:cs="Times New Roman"/>
          <w:color w:val="auto"/>
          <w:kern w:val="2"/>
          <w:sz w:val="21"/>
          <w:szCs w:val="21"/>
          <w:highlight w:val="none"/>
          <w:lang w:val="en-US" w:eastAsia="zh-CN"/>
        </w:rPr>
        <w:t>1、数字证书需使用通过安天智采办理的移动认证证书或介质</w:t>
      </w:r>
      <w:r>
        <w:rPr>
          <w:rFonts w:hint="eastAsia" w:ascii="宋体" w:hAnsi="宋体" w:eastAsia="宋体" w:cs="Times New Roman"/>
          <w:color w:val="auto"/>
          <w:kern w:val="2"/>
          <w:sz w:val="21"/>
          <w:szCs w:val="21"/>
          <w:highlight w:val="none"/>
        </w:rPr>
        <w:t>数字证书</w:t>
      </w:r>
      <w:r>
        <w:rPr>
          <w:rFonts w:hint="eastAsia" w:ascii="宋体" w:hAnsi="宋体" w:eastAsia="宋体" w:cs="Times New Roman"/>
          <w:color w:val="auto"/>
          <w:kern w:val="2"/>
          <w:sz w:val="21"/>
          <w:szCs w:val="21"/>
          <w:highlight w:val="none"/>
          <w:lang w:val="en-US" w:eastAsia="zh-CN"/>
        </w:rPr>
        <w:t>；</w:t>
      </w:r>
    </w:p>
    <w:p w14:paraId="7310E63A">
      <w:pPr>
        <w:widowControl/>
        <w:tabs>
          <w:tab w:val="left" w:pos="2400"/>
          <w:tab w:val="left" w:pos="3460"/>
          <w:tab w:val="left" w:pos="6660"/>
          <w:tab w:val="left" w:pos="8789"/>
        </w:tabs>
        <w:autoSpaceDE/>
        <w:autoSpaceDN/>
        <w:adjustRightInd w:val="0"/>
        <w:snapToGrid w:val="0"/>
        <w:spacing w:line="360" w:lineRule="auto"/>
        <w:ind w:right="0" w:firstLine="420" w:firstLineChars="200"/>
        <w:jc w:val="left"/>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rPr>
        <w:t>2</w:t>
      </w:r>
      <w:r>
        <w:rPr>
          <w:rFonts w:hint="eastAsia" w:ascii="宋体" w:hAnsi="宋体" w:eastAsia="宋体" w:cs="Times New Roman"/>
          <w:color w:val="auto"/>
          <w:kern w:val="2"/>
          <w:sz w:val="21"/>
          <w:szCs w:val="21"/>
          <w:highlight w:val="none"/>
        </w:rPr>
        <w:t>、数字证书到期后须重新续期；</w:t>
      </w:r>
    </w:p>
    <w:p w14:paraId="3DA389CD">
      <w:pPr>
        <w:widowControl/>
        <w:tabs>
          <w:tab w:val="left" w:pos="2400"/>
          <w:tab w:val="left" w:pos="3460"/>
          <w:tab w:val="left" w:pos="6660"/>
          <w:tab w:val="left" w:pos="8789"/>
        </w:tabs>
        <w:autoSpaceDE/>
        <w:autoSpaceDN/>
        <w:adjustRightInd w:val="0"/>
        <w:snapToGrid w:val="0"/>
        <w:spacing w:line="360" w:lineRule="auto"/>
        <w:ind w:right="0" w:firstLine="420" w:firstLineChars="200"/>
        <w:jc w:val="left"/>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rPr>
        <w:t>3</w:t>
      </w:r>
      <w:r>
        <w:rPr>
          <w:rFonts w:hint="eastAsia" w:ascii="宋体" w:hAnsi="宋体" w:eastAsia="宋体" w:cs="Times New Roman"/>
          <w:color w:val="auto"/>
          <w:kern w:val="2"/>
          <w:sz w:val="21"/>
          <w:szCs w:val="21"/>
          <w:highlight w:val="none"/>
        </w:rPr>
        <w:t>、数字证书因遗失、损坏、企业信息变更等情况须更换新证书；</w:t>
      </w:r>
    </w:p>
    <w:p w14:paraId="12095CF4">
      <w:pPr>
        <w:widowControl/>
        <w:tabs>
          <w:tab w:val="left" w:pos="2400"/>
          <w:tab w:val="left" w:pos="3460"/>
          <w:tab w:val="left" w:pos="6660"/>
          <w:tab w:val="left" w:pos="8789"/>
        </w:tabs>
        <w:autoSpaceDE/>
        <w:autoSpaceDN/>
        <w:adjustRightInd w:val="0"/>
        <w:snapToGrid w:val="0"/>
        <w:spacing w:line="360" w:lineRule="auto"/>
        <w:ind w:right="0" w:firstLine="420" w:firstLineChars="200"/>
        <w:jc w:val="left"/>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rPr>
        <w:t>4</w:t>
      </w:r>
      <w:r>
        <w:rPr>
          <w:rFonts w:hint="eastAsia" w:ascii="宋体" w:hAnsi="宋体" w:eastAsia="宋体" w:cs="Times New Roman"/>
          <w:color w:val="auto"/>
          <w:kern w:val="2"/>
          <w:sz w:val="21"/>
          <w:szCs w:val="21"/>
          <w:highlight w:val="none"/>
        </w:rPr>
        <w:t>、投标</w:t>
      </w:r>
      <w:r>
        <w:rPr>
          <w:rFonts w:hint="eastAsia" w:ascii="宋体" w:hAnsi="宋体" w:eastAsia="宋体" w:cs="Times New Roman"/>
          <w:color w:val="auto"/>
          <w:kern w:val="2"/>
          <w:sz w:val="21"/>
          <w:szCs w:val="21"/>
          <w:highlight w:val="none"/>
          <w:lang w:val="en-US" w:eastAsia="zh-CN"/>
        </w:rPr>
        <w:t>供应商</w:t>
      </w:r>
      <w:r>
        <w:rPr>
          <w:rFonts w:hint="eastAsia" w:ascii="宋体" w:hAnsi="宋体" w:eastAsia="宋体" w:cs="Times New Roman"/>
          <w:color w:val="auto"/>
          <w:kern w:val="2"/>
          <w:sz w:val="21"/>
          <w:szCs w:val="21"/>
          <w:highlight w:val="none"/>
        </w:rPr>
        <w:t>由于数字证书遗失、损坏、更换、续期等情况导致投标文件无法解密，由投标</w:t>
      </w:r>
      <w:r>
        <w:rPr>
          <w:rFonts w:hint="eastAsia" w:ascii="宋体" w:hAnsi="宋体" w:eastAsia="宋体" w:cs="Times New Roman"/>
          <w:color w:val="auto"/>
          <w:kern w:val="2"/>
          <w:sz w:val="21"/>
          <w:szCs w:val="21"/>
          <w:highlight w:val="none"/>
          <w:lang w:val="en-US" w:eastAsia="zh-CN"/>
        </w:rPr>
        <w:t>供应商</w:t>
      </w:r>
      <w:r>
        <w:rPr>
          <w:rFonts w:hint="eastAsia" w:ascii="宋体" w:hAnsi="宋体" w:eastAsia="宋体" w:cs="Times New Roman"/>
          <w:color w:val="auto"/>
          <w:kern w:val="2"/>
          <w:sz w:val="21"/>
          <w:szCs w:val="21"/>
          <w:highlight w:val="none"/>
        </w:rPr>
        <w:t>自行承担责任。</w:t>
      </w:r>
    </w:p>
    <w:p w14:paraId="31738733">
      <w:pPr>
        <w:widowControl/>
        <w:tabs>
          <w:tab w:val="left" w:pos="2400"/>
          <w:tab w:val="left" w:pos="3460"/>
          <w:tab w:val="left" w:pos="6660"/>
          <w:tab w:val="left" w:pos="8789"/>
        </w:tabs>
        <w:autoSpaceDE/>
        <w:autoSpaceDN/>
        <w:adjustRightInd w:val="0"/>
        <w:snapToGrid w:val="0"/>
        <w:spacing w:line="360" w:lineRule="auto"/>
        <w:ind w:right="0" w:firstLine="420" w:firstLineChars="200"/>
        <w:jc w:val="left"/>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rPr>
        <w:t>5、</w:t>
      </w:r>
      <w:r>
        <w:rPr>
          <w:rFonts w:hint="default" w:ascii="宋体" w:hAnsi="宋体" w:eastAsia="宋体" w:cs="Times New Roman"/>
          <w:color w:val="auto"/>
          <w:kern w:val="2"/>
          <w:sz w:val="21"/>
          <w:szCs w:val="21"/>
          <w:highlight w:val="none"/>
        </w:rPr>
        <w:t>投标人（供应商）申请电子保函时支付账户必须和投标人（供应商）基本户开户账户一致，否则会导致出函失败，为确保电子保函顺利申请，请投标人（供应商）在保函申请前，确认在“安天智采”交易系统中基本户账户信息的正确填写。</w:t>
      </w:r>
    </w:p>
    <w:p w14:paraId="13F78FE2">
      <w:pPr>
        <w:widowControl/>
        <w:autoSpaceDE/>
        <w:autoSpaceDN/>
        <w:adjustRightInd w:val="0"/>
        <w:snapToGrid w:val="0"/>
        <w:spacing w:line="360" w:lineRule="auto"/>
        <w:ind w:right="0" w:firstLine="422" w:firstLineChars="200"/>
        <w:jc w:val="left"/>
        <w:outlineLvl w:val="1"/>
        <w:rPr>
          <w:rFonts w:hint="eastAsia" w:ascii="宋体" w:hAnsi="宋体" w:eastAsia="宋体" w:cs="Times New Roman"/>
          <w:b/>
          <w:bCs/>
          <w:color w:val="auto"/>
          <w:spacing w:val="0"/>
          <w:kern w:val="2"/>
          <w:sz w:val="21"/>
          <w:szCs w:val="21"/>
          <w:highlight w:val="none"/>
        </w:rPr>
      </w:pPr>
      <w:bookmarkStart w:id="255" w:name="_Toc25468"/>
      <w:bookmarkStart w:id="256" w:name="_Toc7076"/>
      <w:bookmarkStart w:id="257" w:name="_Toc4429"/>
      <w:r>
        <w:rPr>
          <w:rFonts w:hint="eastAsia" w:ascii="宋体" w:hAnsi="宋体" w:eastAsia="宋体" w:cs="Times New Roman"/>
          <w:b/>
          <w:bCs/>
          <w:color w:val="auto"/>
          <w:spacing w:val="0"/>
          <w:kern w:val="2"/>
          <w:sz w:val="21"/>
          <w:szCs w:val="21"/>
          <w:highlight w:val="none"/>
        </w:rPr>
        <w:t>四、投标无效情况</w:t>
      </w:r>
      <w:bookmarkEnd w:id="255"/>
      <w:bookmarkEnd w:id="256"/>
      <w:bookmarkEnd w:id="257"/>
    </w:p>
    <w:p w14:paraId="67A95761">
      <w:pPr>
        <w:widowControl/>
        <w:tabs>
          <w:tab w:val="left" w:pos="2400"/>
          <w:tab w:val="left" w:pos="3460"/>
          <w:tab w:val="left" w:pos="6660"/>
          <w:tab w:val="left" w:pos="8789"/>
        </w:tabs>
        <w:autoSpaceDE/>
        <w:autoSpaceDN/>
        <w:adjustRightInd w:val="0"/>
        <w:snapToGrid w:val="0"/>
        <w:spacing w:line="360" w:lineRule="auto"/>
        <w:ind w:right="0" w:firstLine="420" w:firstLineChars="200"/>
        <w:jc w:val="left"/>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1、项目评审中，投标文件如出现下列情况之一的，经评标委员会评审，可作无效投标处理：</w:t>
      </w:r>
    </w:p>
    <w:p w14:paraId="73D230C6">
      <w:pPr>
        <w:widowControl/>
        <w:tabs>
          <w:tab w:val="left" w:pos="2400"/>
          <w:tab w:val="left" w:pos="3460"/>
          <w:tab w:val="left" w:pos="6660"/>
          <w:tab w:val="left" w:pos="8789"/>
        </w:tabs>
        <w:autoSpaceDE/>
        <w:autoSpaceDN/>
        <w:adjustRightInd w:val="0"/>
        <w:snapToGrid w:val="0"/>
        <w:spacing w:line="360" w:lineRule="auto"/>
        <w:ind w:right="0" w:firstLine="420" w:firstLineChars="200"/>
        <w:jc w:val="left"/>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 xml:space="preserve">（一）投标文件无法打开的； </w:t>
      </w:r>
    </w:p>
    <w:p w14:paraId="47AB7176">
      <w:pPr>
        <w:widowControl/>
        <w:tabs>
          <w:tab w:val="left" w:pos="2400"/>
          <w:tab w:val="left" w:pos="3460"/>
          <w:tab w:val="left" w:pos="6660"/>
          <w:tab w:val="left" w:pos="8789"/>
        </w:tabs>
        <w:autoSpaceDE/>
        <w:autoSpaceDN/>
        <w:adjustRightInd w:val="0"/>
        <w:snapToGrid w:val="0"/>
        <w:spacing w:line="360" w:lineRule="auto"/>
        <w:ind w:right="0" w:firstLine="420" w:firstLineChars="200"/>
        <w:jc w:val="left"/>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 xml:space="preserve">（二）投标文件中携带病毒并造成后果的； </w:t>
      </w:r>
    </w:p>
    <w:p w14:paraId="512A9932">
      <w:pPr>
        <w:widowControl/>
        <w:tabs>
          <w:tab w:val="left" w:pos="2400"/>
          <w:tab w:val="left" w:pos="3460"/>
          <w:tab w:val="left" w:pos="6660"/>
          <w:tab w:val="left" w:pos="8789"/>
        </w:tabs>
        <w:autoSpaceDE/>
        <w:autoSpaceDN/>
        <w:adjustRightInd w:val="0"/>
        <w:snapToGrid w:val="0"/>
        <w:spacing w:line="360" w:lineRule="auto"/>
        <w:ind w:right="0" w:firstLine="420" w:firstLineChars="200"/>
        <w:jc w:val="left"/>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（三）恶意递交投标文件，企图造成网络堵塞或瘫痪的；</w:t>
      </w:r>
    </w:p>
    <w:p w14:paraId="5E8EB99A">
      <w:pPr>
        <w:widowControl/>
        <w:tabs>
          <w:tab w:val="left" w:pos="2400"/>
          <w:tab w:val="left" w:pos="3460"/>
          <w:tab w:val="left" w:pos="6660"/>
          <w:tab w:val="left" w:pos="8789"/>
        </w:tabs>
        <w:autoSpaceDE/>
        <w:autoSpaceDN/>
        <w:adjustRightInd w:val="0"/>
        <w:snapToGrid w:val="0"/>
        <w:spacing w:line="360" w:lineRule="auto"/>
        <w:ind w:right="0" w:firstLine="420" w:firstLineChars="200"/>
        <w:jc w:val="left"/>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（四）评审委员会认定的其他投标无效情形。</w:t>
      </w:r>
    </w:p>
    <w:p w14:paraId="5EAA9CFF">
      <w:pPr>
        <w:widowControl/>
        <w:tabs>
          <w:tab w:val="left" w:pos="2400"/>
          <w:tab w:val="left" w:pos="3460"/>
          <w:tab w:val="left" w:pos="6660"/>
          <w:tab w:val="left" w:pos="8789"/>
        </w:tabs>
        <w:autoSpaceDE/>
        <w:autoSpaceDN/>
        <w:adjustRightInd w:val="0"/>
        <w:snapToGrid w:val="0"/>
        <w:spacing w:line="360" w:lineRule="auto"/>
        <w:ind w:right="0" w:firstLine="420" w:firstLineChars="200"/>
        <w:jc w:val="left"/>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2、项目评审中，澄清文件如出现下列情况之一的，经评标委员会评审，可视同放弃澄清：</w:t>
      </w:r>
    </w:p>
    <w:p w14:paraId="31F22313">
      <w:pPr>
        <w:widowControl/>
        <w:tabs>
          <w:tab w:val="left" w:pos="2400"/>
          <w:tab w:val="left" w:pos="3460"/>
          <w:tab w:val="left" w:pos="6660"/>
          <w:tab w:val="left" w:pos="8789"/>
        </w:tabs>
        <w:autoSpaceDE/>
        <w:autoSpaceDN/>
        <w:adjustRightInd w:val="0"/>
        <w:snapToGrid w:val="0"/>
        <w:spacing w:line="360" w:lineRule="auto"/>
        <w:ind w:right="0" w:firstLine="420" w:firstLineChars="200"/>
        <w:jc w:val="left"/>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 xml:space="preserve">（一）澄清文件无法打开的； </w:t>
      </w:r>
    </w:p>
    <w:p w14:paraId="131C155C">
      <w:pPr>
        <w:widowControl/>
        <w:tabs>
          <w:tab w:val="left" w:pos="2400"/>
          <w:tab w:val="left" w:pos="3460"/>
          <w:tab w:val="left" w:pos="6660"/>
          <w:tab w:val="left" w:pos="8789"/>
        </w:tabs>
        <w:autoSpaceDE/>
        <w:autoSpaceDN/>
        <w:adjustRightInd w:val="0"/>
        <w:snapToGrid w:val="0"/>
        <w:spacing w:line="360" w:lineRule="auto"/>
        <w:ind w:right="0" w:firstLine="420" w:firstLineChars="200"/>
        <w:jc w:val="left"/>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 xml:space="preserve">（二）澄清文件中携带病毒并造成后果的； </w:t>
      </w:r>
    </w:p>
    <w:p w14:paraId="45449954">
      <w:pPr>
        <w:widowControl/>
        <w:tabs>
          <w:tab w:val="left" w:pos="2400"/>
          <w:tab w:val="left" w:pos="3460"/>
          <w:tab w:val="left" w:pos="6660"/>
          <w:tab w:val="left" w:pos="8789"/>
        </w:tabs>
        <w:autoSpaceDE/>
        <w:autoSpaceDN/>
        <w:adjustRightInd w:val="0"/>
        <w:snapToGrid w:val="0"/>
        <w:spacing w:line="360" w:lineRule="auto"/>
        <w:ind w:right="0" w:firstLine="420" w:firstLineChars="200"/>
        <w:jc w:val="left"/>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（三）恶意递交澄清文件，企图造成网络堵塞或瘫痪的；</w:t>
      </w:r>
    </w:p>
    <w:p w14:paraId="215AD44F">
      <w:pPr>
        <w:widowControl/>
        <w:tabs>
          <w:tab w:val="left" w:pos="2400"/>
          <w:tab w:val="left" w:pos="3460"/>
          <w:tab w:val="left" w:pos="6660"/>
          <w:tab w:val="left" w:pos="8789"/>
        </w:tabs>
        <w:autoSpaceDE/>
        <w:autoSpaceDN/>
        <w:adjustRightInd w:val="0"/>
        <w:snapToGrid w:val="0"/>
        <w:spacing w:line="360" w:lineRule="auto"/>
        <w:ind w:right="0" w:firstLine="420" w:firstLineChars="200"/>
        <w:jc w:val="left"/>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（四）评审委员会认定的其他不予评审情形的。</w:t>
      </w:r>
    </w:p>
    <w:p w14:paraId="7CF2D6A7">
      <w:pPr>
        <w:widowControl/>
        <w:autoSpaceDE/>
        <w:autoSpaceDN/>
        <w:adjustRightInd w:val="0"/>
        <w:snapToGrid w:val="0"/>
        <w:spacing w:line="360" w:lineRule="auto"/>
        <w:ind w:right="0" w:firstLine="422" w:firstLineChars="200"/>
        <w:jc w:val="left"/>
        <w:outlineLvl w:val="1"/>
        <w:rPr>
          <w:rFonts w:hint="eastAsia" w:ascii="宋体" w:hAnsi="宋体" w:eastAsia="宋体" w:cs="Times New Roman"/>
          <w:b/>
          <w:bCs/>
          <w:color w:val="auto"/>
          <w:spacing w:val="0"/>
          <w:kern w:val="2"/>
          <w:sz w:val="21"/>
          <w:szCs w:val="21"/>
          <w:highlight w:val="none"/>
        </w:rPr>
      </w:pPr>
      <w:bookmarkStart w:id="258" w:name="_Toc27909"/>
      <w:bookmarkStart w:id="259" w:name="_Toc12995"/>
      <w:bookmarkStart w:id="260" w:name="_Toc29352"/>
      <w:r>
        <w:rPr>
          <w:rFonts w:hint="eastAsia" w:ascii="宋体" w:hAnsi="宋体" w:eastAsia="宋体" w:cs="Times New Roman"/>
          <w:b/>
          <w:bCs/>
          <w:color w:val="auto"/>
          <w:spacing w:val="0"/>
          <w:kern w:val="2"/>
          <w:sz w:val="21"/>
          <w:szCs w:val="21"/>
          <w:highlight w:val="none"/>
        </w:rPr>
        <w:t>五、特殊情形</w:t>
      </w:r>
      <w:bookmarkEnd w:id="258"/>
      <w:bookmarkEnd w:id="259"/>
      <w:bookmarkEnd w:id="260"/>
    </w:p>
    <w:p w14:paraId="24E7F2BE">
      <w:pPr>
        <w:widowControl/>
        <w:tabs>
          <w:tab w:val="left" w:pos="2400"/>
          <w:tab w:val="left" w:pos="3460"/>
          <w:tab w:val="left" w:pos="6660"/>
          <w:tab w:val="left" w:pos="8789"/>
        </w:tabs>
        <w:autoSpaceDE/>
        <w:autoSpaceDN/>
        <w:adjustRightInd w:val="0"/>
        <w:snapToGrid w:val="0"/>
        <w:spacing w:line="360" w:lineRule="auto"/>
        <w:ind w:right="0" w:firstLine="420" w:firstLineChars="200"/>
        <w:jc w:val="left"/>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1、出现下列情形导致电子招投标系统无法正常运行，或者无法保证招投标过程的公平、公正和信息安全时，各方当事人免责：</w:t>
      </w:r>
    </w:p>
    <w:p w14:paraId="7F92033A">
      <w:pPr>
        <w:widowControl/>
        <w:tabs>
          <w:tab w:val="left" w:pos="2400"/>
          <w:tab w:val="left" w:pos="3460"/>
          <w:tab w:val="left" w:pos="6660"/>
          <w:tab w:val="left" w:pos="8789"/>
        </w:tabs>
        <w:autoSpaceDE/>
        <w:autoSpaceDN/>
        <w:adjustRightInd w:val="0"/>
        <w:snapToGrid w:val="0"/>
        <w:spacing w:line="360" w:lineRule="auto"/>
        <w:ind w:right="0" w:firstLine="420" w:firstLineChars="200"/>
        <w:jc w:val="left"/>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（一）网络服务器发生故障而无法访问网站或无法使用电子招投标系统；</w:t>
      </w:r>
    </w:p>
    <w:p w14:paraId="268A2E73">
      <w:pPr>
        <w:widowControl/>
        <w:tabs>
          <w:tab w:val="left" w:pos="2400"/>
          <w:tab w:val="left" w:pos="3460"/>
          <w:tab w:val="left" w:pos="6660"/>
          <w:tab w:val="left" w:pos="8789"/>
        </w:tabs>
        <w:autoSpaceDE/>
        <w:autoSpaceDN/>
        <w:adjustRightInd w:val="0"/>
        <w:snapToGrid w:val="0"/>
        <w:spacing w:line="360" w:lineRule="auto"/>
        <w:ind w:right="0" w:firstLine="420" w:firstLineChars="200"/>
        <w:jc w:val="left"/>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（二）电子招投标系统的软件或网络数据库出现错误，不能进行正常操作；</w:t>
      </w:r>
    </w:p>
    <w:p w14:paraId="0AD5CF19">
      <w:pPr>
        <w:widowControl/>
        <w:tabs>
          <w:tab w:val="left" w:pos="2400"/>
          <w:tab w:val="left" w:pos="3460"/>
          <w:tab w:val="left" w:pos="6660"/>
          <w:tab w:val="left" w:pos="8789"/>
        </w:tabs>
        <w:autoSpaceDE/>
        <w:autoSpaceDN/>
        <w:adjustRightInd w:val="0"/>
        <w:snapToGrid w:val="0"/>
        <w:spacing w:line="360" w:lineRule="auto"/>
        <w:ind w:right="0" w:firstLine="420" w:firstLineChars="200"/>
        <w:jc w:val="left"/>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（三）电子招投标系统发现有安全漏洞，有潜在的泄密危险；</w:t>
      </w:r>
    </w:p>
    <w:p w14:paraId="6FA26867">
      <w:pPr>
        <w:widowControl/>
        <w:tabs>
          <w:tab w:val="left" w:pos="2400"/>
          <w:tab w:val="left" w:pos="3460"/>
          <w:tab w:val="left" w:pos="6660"/>
          <w:tab w:val="left" w:pos="8789"/>
        </w:tabs>
        <w:autoSpaceDE/>
        <w:autoSpaceDN/>
        <w:adjustRightInd w:val="0"/>
        <w:snapToGrid w:val="0"/>
        <w:spacing w:line="360" w:lineRule="auto"/>
        <w:ind w:right="0" w:firstLine="420" w:firstLineChars="200"/>
        <w:jc w:val="left"/>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（四）计算机病毒发作导致系统无法正常运行的；</w:t>
      </w:r>
    </w:p>
    <w:p w14:paraId="59853C47">
      <w:pPr>
        <w:widowControl/>
        <w:tabs>
          <w:tab w:val="left" w:pos="2400"/>
          <w:tab w:val="left" w:pos="3460"/>
          <w:tab w:val="left" w:pos="6660"/>
          <w:tab w:val="left" w:pos="8789"/>
        </w:tabs>
        <w:autoSpaceDE/>
        <w:autoSpaceDN/>
        <w:adjustRightInd w:val="0"/>
        <w:snapToGrid w:val="0"/>
        <w:spacing w:line="360" w:lineRule="auto"/>
        <w:ind w:right="0" w:firstLine="420" w:firstLineChars="200"/>
        <w:jc w:val="left"/>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（五）电力系统发生故障导致电子招投标系统无法运行；</w:t>
      </w:r>
    </w:p>
    <w:p w14:paraId="3BE94D48">
      <w:pPr>
        <w:widowControl/>
        <w:tabs>
          <w:tab w:val="left" w:pos="2400"/>
          <w:tab w:val="left" w:pos="3460"/>
          <w:tab w:val="left" w:pos="6660"/>
          <w:tab w:val="left" w:pos="8789"/>
        </w:tabs>
        <w:autoSpaceDE/>
        <w:autoSpaceDN/>
        <w:adjustRightInd w:val="0"/>
        <w:snapToGrid w:val="0"/>
        <w:spacing w:line="360" w:lineRule="auto"/>
        <w:ind w:right="0" w:firstLine="420" w:firstLineChars="200"/>
        <w:jc w:val="left"/>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（六）其他无法保证招投标过程公平、公正和信息安全的。</w:t>
      </w:r>
    </w:p>
    <w:p w14:paraId="052F6347">
      <w:pPr>
        <w:widowControl/>
        <w:tabs>
          <w:tab w:val="left" w:pos="2400"/>
          <w:tab w:val="left" w:pos="3460"/>
          <w:tab w:val="left" w:pos="6660"/>
          <w:tab w:val="left" w:pos="8789"/>
        </w:tabs>
        <w:autoSpaceDE/>
        <w:autoSpaceDN/>
        <w:adjustRightInd w:val="0"/>
        <w:snapToGrid w:val="0"/>
        <w:spacing w:line="360" w:lineRule="auto"/>
        <w:ind w:right="0" w:firstLine="420" w:firstLineChars="200"/>
        <w:jc w:val="left"/>
        <w:outlineLvl w:val="2"/>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2、出现上述第1条情形而又不能及时解决的，采取以下处理办法：</w:t>
      </w:r>
    </w:p>
    <w:p w14:paraId="7A51181B">
      <w:pPr>
        <w:widowControl/>
        <w:tabs>
          <w:tab w:val="left" w:pos="2400"/>
          <w:tab w:val="left" w:pos="3460"/>
          <w:tab w:val="left" w:pos="6660"/>
          <w:tab w:val="left" w:pos="8789"/>
        </w:tabs>
        <w:autoSpaceDE/>
        <w:autoSpaceDN/>
        <w:adjustRightInd w:val="0"/>
        <w:snapToGrid w:val="0"/>
        <w:spacing w:line="360" w:lineRule="auto"/>
        <w:ind w:right="0" w:firstLine="420" w:firstLineChars="200"/>
        <w:jc w:val="left"/>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（一）项目暂停，待电子招投标系统或网络故障排除并经过可靠测试后，再恢复网上招投标系统运行并重新在系统中实施暂停的项目；</w:t>
      </w:r>
    </w:p>
    <w:p w14:paraId="1EF7A39B">
      <w:pPr>
        <w:widowControl/>
        <w:tabs>
          <w:tab w:val="left" w:pos="2400"/>
          <w:tab w:val="left" w:pos="3460"/>
          <w:tab w:val="left" w:pos="6660"/>
          <w:tab w:val="left" w:pos="8789"/>
        </w:tabs>
        <w:adjustRightInd w:val="0"/>
        <w:snapToGrid w:val="0"/>
        <w:spacing w:line="360" w:lineRule="auto"/>
        <w:ind w:firstLine="420" w:firstLineChars="200"/>
        <w:jc w:val="left"/>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（二）停止该项目此次电子招投标操作程序，并通知投标</w:t>
      </w:r>
      <w:r>
        <w:rPr>
          <w:rFonts w:hint="eastAsia" w:ascii="宋体" w:hAnsi="宋体" w:eastAsia="宋体" w:cs="Times New Roman"/>
          <w:color w:val="auto"/>
          <w:kern w:val="2"/>
          <w:sz w:val="21"/>
          <w:szCs w:val="21"/>
          <w:highlight w:val="none"/>
          <w:lang w:val="en-US" w:eastAsia="zh-CN"/>
        </w:rPr>
        <w:t>供应商</w:t>
      </w:r>
      <w:r>
        <w:rPr>
          <w:rFonts w:hint="eastAsia" w:ascii="宋体" w:hAnsi="宋体" w:eastAsia="宋体" w:cs="Times New Roman"/>
          <w:color w:val="auto"/>
          <w:kern w:val="2"/>
          <w:sz w:val="21"/>
          <w:szCs w:val="21"/>
          <w:highlight w:val="none"/>
        </w:rPr>
        <w:t>使用纸质投标文件进行开标、评标。</w:t>
      </w:r>
    </w:p>
    <w:p w14:paraId="4034061F">
      <w:pPr>
        <w:pStyle w:val="2"/>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3F6B0">
    <w:pPr>
      <w:pStyle w:val="14"/>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92E79">
    <w:pPr>
      <w:pStyle w:val="1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D0E836">
                          <w:pPr>
                            <w:pStyle w:val="14"/>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64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4D0E836">
                    <w:pPr>
                      <w:pStyle w:val="14"/>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64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F5B1C">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784CE">
    <w:pPr>
      <w:pStyle w:val="15"/>
      <w:pBdr>
        <w:bottom w:val="none" w:color="auto" w:sz="0" w:space="1"/>
      </w:pBd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78C7A"/>
    <w:multiLevelType w:val="singleLevel"/>
    <w:tmpl w:val="A6E78C7A"/>
    <w:lvl w:ilvl="0" w:tentative="0">
      <w:start w:val="1"/>
      <w:numFmt w:val="decimal"/>
      <w:suff w:val="nothing"/>
      <w:lvlText w:val="%1、"/>
      <w:lvlJc w:val="left"/>
    </w:lvl>
  </w:abstractNum>
  <w:abstractNum w:abstractNumId="1">
    <w:nsid w:val="11891DBA"/>
    <w:multiLevelType w:val="singleLevel"/>
    <w:tmpl w:val="11891DBA"/>
    <w:lvl w:ilvl="0" w:tentative="0">
      <w:start w:val="6"/>
      <w:numFmt w:val="chineseCounting"/>
      <w:suff w:val="nothing"/>
      <w:lvlText w:val="%1、"/>
      <w:lvlJc w:val="left"/>
      <w:rPr>
        <w:rFonts w:hint="eastAsia"/>
      </w:rPr>
    </w:lvl>
  </w:abstractNum>
  <w:abstractNum w:abstractNumId="2">
    <w:nsid w:val="2A064A37"/>
    <w:multiLevelType w:val="singleLevel"/>
    <w:tmpl w:val="2A064A37"/>
    <w:lvl w:ilvl="0" w:tentative="0">
      <w:start w:val="3"/>
      <w:numFmt w:val="chineseCounting"/>
      <w:suff w:val="space"/>
      <w:lvlText w:val="第%1章"/>
      <w:lvlJc w:val="left"/>
      <w:rPr>
        <w:rFonts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YjQzMDhiYzA3NWZlODA5OTkxMDRiNDU3ZjExNjE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214602E"/>
    <w:rsid w:val="03486B27"/>
    <w:rsid w:val="040A094E"/>
    <w:rsid w:val="04E36C96"/>
    <w:rsid w:val="056800F4"/>
    <w:rsid w:val="056F201D"/>
    <w:rsid w:val="05B57DF5"/>
    <w:rsid w:val="05B664D4"/>
    <w:rsid w:val="07076C01"/>
    <w:rsid w:val="071C12AC"/>
    <w:rsid w:val="074E231E"/>
    <w:rsid w:val="07A934B3"/>
    <w:rsid w:val="08B15E54"/>
    <w:rsid w:val="0980799C"/>
    <w:rsid w:val="09F307FF"/>
    <w:rsid w:val="0A0F6376"/>
    <w:rsid w:val="0A353CEA"/>
    <w:rsid w:val="0A6A18DB"/>
    <w:rsid w:val="0AEF3828"/>
    <w:rsid w:val="0B8E28F9"/>
    <w:rsid w:val="0BBB665B"/>
    <w:rsid w:val="0CB7664E"/>
    <w:rsid w:val="0D3D7C96"/>
    <w:rsid w:val="0E2701FC"/>
    <w:rsid w:val="0E816EC5"/>
    <w:rsid w:val="0EEA6FC1"/>
    <w:rsid w:val="0F543075"/>
    <w:rsid w:val="0F954485"/>
    <w:rsid w:val="0FBF344F"/>
    <w:rsid w:val="10505F32"/>
    <w:rsid w:val="105A27E6"/>
    <w:rsid w:val="119B0711"/>
    <w:rsid w:val="12197477"/>
    <w:rsid w:val="12D364AD"/>
    <w:rsid w:val="13587E2C"/>
    <w:rsid w:val="13A8699E"/>
    <w:rsid w:val="1466407E"/>
    <w:rsid w:val="14834E28"/>
    <w:rsid w:val="148E7D65"/>
    <w:rsid w:val="151D4243"/>
    <w:rsid w:val="15231BF9"/>
    <w:rsid w:val="170D5EA3"/>
    <w:rsid w:val="179F5278"/>
    <w:rsid w:val="1A3B68AA"/>
    <w:rsid w:val="1A3E1C1E"/>
    <w:rsid w:val="1C141836"/>
    <w:rsid w:val="1E673D11"/>
    <w:rsid w:val="1E6B6A14"/>
    <w:rsid w:val="20550D9A"/>
    <w:rsid w:val="21714B53"/>
    <w:rsid w:val="218E2416"/>
    <w:rsid w:val="21902632"/>
    <w:rsid w:val="226915FE"/>
    <w:rsid w:val="22E14C32"/>
    <w:rsid w:val="24B97929"/>
    <w:rsid w:val="2520252D"/>
    <w:rsid w:val="26163BC1"/>
    <w:rsid w:val="285F40CA"/>
    <w:rsid w:val="28C01ECB"/>
    <w:rsid w:val="28EC3ECC"/>
    <w:rsid w:val="29203A4A"/>
    <w:rsid w:val="298638C2"/>
    <w:rsid w:val="29BF71E3"/>
    <w:rsid w:val="2A127B63"/>
    <w:rsid w:val="2AAA4765"/>
    <w:rsid w:val="2AC21606"/>
    <w:rsid w:val="2AF63C5E"/>
    <w:rsid w:val="2B7E7608"/>
    <w:rsid w:val="2B7F04E9"/>
    <w:rsid w:val="2C305555"/>
    <w:rsid w:val="2C9A21B9"/>
    <w:rsid w:val="2CC338BC"/>
    <w:rsid w:val="2CE20523"/>
    <w:rsid w:val="2D496D68"/>
    <w:rsid w:val="2E6672CB"/>
    <w:rsid w:val="2E7A48DE"/>
    <w:rsid w:val="2EDC3ED8"/>
    <w:rsid w:val="2F2D046C"/>
    <w:rsid w:val="2F6351B4"/>
    <w:rsid w:val="2FCF199E"/>
    <w:rsid w:val="30483E83"/>
    <w:rsid w:val="30AA0E97"/>
    <w:rsid w:val="334E4CD8"/>
    <w:rsid w:val="343C0775"/>
    <w:rsid w:val="34AA76A9"/>
    <w:rsid w:val="35635C3C"/>
    <w:rsid w:val="356C50EC"/>
    <w:rsid w:val="361108CD"/>
    <w:rsid w:val="3700166C"/>
    <w:rsid w:val="3727617F"/>
    <w:rsid w:val="375969FE"/>
    <w:rsid w:val="38694EE9"/>
    <w:rsid w:val="3AB931B0"/>
    <w:rsid w:val="3B365CC9"/>
    <w:rsid w:val="3B9A7B88"/>
    <w:rsid w:val="3BC114FF"/>
    <w:rsid w:val="3C2660C6"/>
    <w:rsid w:val="3D2C7AC8"/>
    <w:rsid w:val="3D855D12"/>
    <w:rsid w:val="3D8B42FF"/>
    <w:rsid w:val="3D8C02DD"/>
    <w:rsid w:val="3DC20089"/>
    <w:rsid w:val="3DF36A6E"/>
    <w:rsid w:val="3F1138E1"/>
    <w:rsid w:val="3F792F1E"/>
    <w:rsid w:val="40824826"/>
    <w:rsid w:val="40E63923"/>
    <w:rsid w:val="42B443F4"/>
    <w:rsid w:val="42F43FD4"/>
    <w:rsid w:val="43A91E5B"/>
    <w:rsid w:val="44BC3308"/>
    <w:rsid w:val="45BA48DB"/>
    <w:rsid w:val="463A3650"/>
    <w:rsid w:val="469F0116"/>
    <w:rsid w:val="475259B7"/>
    <w:rsid w:val="4823219D"/>
    <w:rsid w:val="48831CF9"/>
    <w:rsid w:val="49A165B8"/>
    <w:rsid w:val="49B1408D"/>
    <w:rsid w:val="4A246FC0"/>
    <w:rsid w:val="4A7D4FD2"/>
    <w:rsid w:val="4A913C9A"/>
    <w:rsid w:val="4AE22D2F"/>
    <w:rsid w:val="4B1F70AC"/>
    <w:rsid w:val="4B240F94"/>
    <w:rsid w:val="4B386AE5"/>
    <w:rsid w:val="4BA75287"/>
    <w:rsid w:val="4BED70D6"/>
    <w:rsid w:val="4C3C565C"/>
    <w:rsid w:val="4CCC79C7"/>
    <w:rsid w:val="4D1A70D0"/>
    <w:rsid w:val="4D5B04EF"/>
    <w:rsid w:val="4D7555C7"/>
    <w:rsid w:val="4EAE6DA0"/>
    <w:rsid w:val="4FD037EF"/>
    <w:rsid w:val="5016514B"/>
    <w:rsid w:val="502857C7"/>
    <w:rsid w:val="50476D3D"/>
    <w:rsid w:val="50BB2978"/>
    <w:rsid w:val="51CB1C78"/>
    <w:rsid w:val="51FD6A51"/>
    <w:rsid w:val="526B680A"/>
    <w:rsid w:val="53150D15"/>
    <w:rsid w:val="5352083E"/>
    <w:rsid w:val="53FB0AFF"/>
    <w:rsid w:val="541A5D30"/>
    <w:rsid w:val="54C84B22"/>
    <w:rsid w:val="553E632F"/>
    <w:rsid w:val="55F068CD"/>
    <w:rsid w:val="566C3136"/>
    <w:rsid w:val="568D04F2"/>
    <w:rsid w:val="56C836F9"/>
    <w:rsid w:val="588B2C30"/>
    <w:rsid w:val="588D6DD7"/>
    <w:rsid w:val="5A526582"/>
    <w:rsid w:val="5A5F5C77"/>
    <w:rsid w:val="5BBE39CD"/>
    <w:rsid w:val="5BC11A60"/>
    <w:rsid w:val="5C7A4D54"/>
    <w:rsid w:val="5CD23B73"/>
    <w:rsid w:val="5F127819"/>
    <w:rsid w:val="5F63752A"/>
    <w:rsid w:val="5FEE3FDA"/>
    <w:rsid w:val="60F1503F"/>
    <w:rsid w:val="61025188"/>
    <w:rsid w:val="61057D5F"/>
    <w:rsid w:val="614D4977"/>
    <w:rsid w:val="62105ED3"/>
    <w:rsid w:val="63010A5A"/>
    <w:rsid w:val="63C60FC0"/>
    <w:rsid w:val="64BA3D7A"/>
    <w:rsid w:val="64F179BC"/>
    <w:rsid w:val="65C94C55"/>
    <w:rsid w:val="665704D3"/>
    <w:rsid w:val="673148E2"/>
    <w:rsid w:val="675445CD"/>
    <w:rsid w:val="675C3547"/>
    <w:rsid w:val="67C065A4"/>
    <w:rsid w:val="67D359C9"/>
    <w:rsid w:val="68FE36DD"/>
    <w:rsid w:val="694E60FC"/>
    <w:rsid w:val="69EF4042"/>
    <w:rsid w:val="6C410A63"/>
    <w:rsid w:val="6C675CE6"/>
    <w:rsid w:val="6CEF35AF"/>
    <w:rsid w:val="6D4F4321"/>
    <w:rsid w:val="6D6535F8"/>
    <w:rsid w:val="6DFF7360"/>
    <w:rsid w:val="6E7A5F73"/>
    <w:rsid w:val="6F2E3798"/>
    <w:rsid w:val="6FD74228"/>
    <w:rsid w:val="70FE5EDF"/>
    <w:rsid w:val="71633091"/>
    <w:rsid w:val="73081CA5"/>
    <w:rsid w:val="74545B7C"/>
    <w:rsid w:val="7487762D"/>
    <w:rsid w:val="75385498"/>
    <w:rsid w:val="769962BD"/>
    <w:rsid w:val="76BC207F"/>
    <w:rsid w:val="76EB4904"/>
    <w:rsid w:val="777378F5"/>
    <w:rsid w:val="777A2D3C"/>
    <w:rsid w:val="78537BEA"/>
    <w:rsid w:val="78956BE1"/>
    <w:rsid w:val="79074B81"/>
    <w:rsid w:val="794F0939"/>
    <w:rsid w:val="79AF0FCA"/>
    <w:rsid w:val="79EF2560"/>
    <w:rsid w:val="7AF9279C"/>
    <w:rsid w:val="7CC51958"/>
    <w:rsid w:val="7CEC40B6"/>
    <w:rsid w:val="7E2936C3"/>
    <w:rsid w:val="7E2E365C"/>
    <w:rsid w:val="7E641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46"/>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48"/>
    <w:autoRedefine/>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3"/>
    <w:autoRedefine/>
    <w:qFormat/>
    <w:uiPriority w:val="0"/>
    <w:pPr>
      <w:keepNext/>
      <w:keepLines/>
      <w:spacing w:before="280" w:after="290" w:line="376" w:lineRule="auto"/>
      <w:outlineLvl w:val="3"/>
    </w:pPr>
    <w:rPr>
      <w:b/>
      <w:bCs/>
      <w:sz w:val="28"/>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rPr>
      <w:rFonts w:ascii="@微软简标宋" w:hAnsi="@微软简标宋" w:eastAsia="@微软简标宋" w:cs="@微软简标宋"/>
      <w:szCs w:val="24"/>
      <w:lang w:val="zh-CN"/>
    </w:rPr>
  </w:style>
  <w:style w:type="paragraph" w:styleId="7">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45"/>
    <w:autoRedefine/>
    <w:qFormat/>
    <w:uiPriority w:val="0"/>
    <w:pPr>
      <w:jc w:val="left"/>
    </w:pPr>
    <w:rPr>
      <w:rFonts w:ascii="Arial" w:hAnsi="Arial" w:eastAsia="黑体" w:cs="Arial"/>
    </w:rPr>
  </w:style>
  <w:style w:type="paragraph" w:styleId="9">
    <w:name w:val="Body Text Indent"/>
    <w:basedOn w:val="1"/>
    <w:qFormat/>
    <w:uiPriority w:val="0"/>
    <w:pPr>
      <w:spacing w:after="120" w:afterLines="0"/>
      <w:ind w:left="420" w:leftChars="200"/>
    </w:pPr>
  </w:style>
  <w:style w:type="paragraph" w:styleId="10">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1">
    <w:name w:val="Plain Text"/>
    <w:basedOn w:val="1"/>
    <w:link w:val="35"/>
    <w:autoRedefine/>
    <w:qFormat/>
    <w:uiPriority w:val="99"/>
    <w:rPr>
      <w:rFonts w:ascii="宋体" w:hAnsi="Courier New" w:eastAsiaTheme="minorEastAsia" w:cstheme="minorBidi"/>
      <w:szCs w:val="22"/>
    </w:rPr>
  </w:style>
  <w:style w:type="paragraph" w:styleId="12">
    <w:name w:val="Date"/>
    <w:basedOn w:val="1"/>
    <w:next w:val="1"/>
    <w:link w:val="42"/>
    <w:autoRedefine/>
    <w:qFormat/>
    <w:uiPriority w:val="0"/>
    <w:rPr>
      <w:rFonts w:ascii="Arial" w:hAnsi="Arial" w:eastAsia="宋体" w:cs="Arial"/>
      <w:b/>
      <w:sz w:val="28"/>
    </w:rPr>
  </w:style>
  <w:style w:type="paragraph" w:styleId="13">
    <w:name w:val="Balloon Text"/>
    <w:basedOn w:val="1"/>
    <w:link w:val="29"/>
    <w:autoRedefine/>
    <w:semiHidden/>
    <w:unhideWhenUsed/>
    <w:qFormat/>
    <w:uiPriority w:val="99"/>
    <w:rPr>
      <w:sz w:val="18"/>
      <w:szCs w:val="18"/>
    </w:rPr>
  </w:style>
  <w:style w:type="paragraph" w:styleId="14">
    <w:name w:val="footer"/>
    <w:basedOn w:val="1"/>
    <w:link w:val="34"/>
    <w:autoRedefine/>
    <w:unhideWhenUsed/>
    <w:qFormat/>
    <w:uiPriority w:val="99"/>
    <w:pPr>
      <w:tabs>
        <w:tab w:val="center" w:pos="4153"/>
        <w:tab w:val="right" w:pos="8306"/>
      </w:tabs>
      <w:snapToGrid w:val="0"/>
      <w:jc w:val="left"/>
    </w:pPr>
    <w:rPr>
      <w:sz w:val="18"/>
      <w:szCs w:val="18"/>
    </w:rPr>
  </w:style>
  <w:style w:type="paragraph" w:styleId="15">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7">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8">
    <w:name w:val="Normal (Web)"/>
    <w:basedOn w:val="1"/>
    <w:autoRedefine/>
    <w:qFormat/>
    <w:uiPriority w:val="0"/>
    <w:pPr>
      <w:spacing w:before="100" w:beforeAutospacing="1" w:after="100" w:afterAutospacing="1"/>
      <w:jc w:val="left"/>
    </w:pPr>
    <w:rPr>
      <w:rFonts w:cs="Times New Roman"/>
      <w:kern w:val="0"/>
      <w:sz w:val="24"/>
    </w:rPr>
  </w:style>
  <w:style w:type="paragraph" w:styleId="19">
    <w:name w:val="index 1"/>
    <w:basedOn w:val="1"/>
    <w:next w:val="1"/>
    <w:autoRedefine/>
    <w:qFormat/>
    <w:uiPriority w:val="0"/>
    <w:pPr>
      <w:jc w:val="center"/>
    </w:pPr>
    <w:rPr>
      <w:rFonts w:ascii="Arial" w:hAnsi="Arial" w:eastAsia="Arial" w:cs="Arial"/>
      <w:b/>
      <w:bCs/>
      <w:sz w:val="28"/>
    </w:rPr>
  </w:style>
  <w:style w:type="paragraph" w:styleId="20">
    <w:name w:val="annotation subject"/>
    <w:basedOn w:val="8"/>
    <w:next w:val="8"/>
    <w:link w:val="56"/>
    <w:autoRedefine/>
    <w:semiHidden/>
    <w:unhideWhenUsed/>
    <w:qFormat/>
    <w:uiPriority w:val="99"/>
    <w:rPr>
      <w:rFonts w:ascii="@仿宋_GB2312" w:hAnsi="@仿宋_GB2312" w:eastAsia="@仿宋_GB2312" w:cs="@仿宋_GB2312"/>
      <w:b/>
      <w:bCs/>
    </w:rPr>
  </w:style>
  <w:style w:type="paragraph" w:styleId="21">
    <w:name w:val="Body Text First Indent"/>
    <w:basedOn w:val="2"/>
    <w:autoRedefine/>
    <w:unhideWhenUsed/>
    <w:qFormat/>
    <w:uiPriority w:val="99"/>
    <w:pPr>
      <w:ind w:firstLine="420" w:firstLineChars="100"/>
    </w:pPr>
  </w:style>
  <w:style w:type="paragraph" w:styleId="22">
    <w:name w:val="Body Text First Indent 2"/>
    <w:basedOn w:val="9"/>
    <w:unhideWhenUsed/>
    <w:qFormat/>
    <w:uiPriority w:val="99"/>
    <w:pPr>
      <w:ind w:firstLine="420" w:firstLineChars="200"/>
    </w:pPr>
  </w:style>
  <w:style w:type="table" w:styleId="24">
    <w:name w:val="Table Grid"/>
    <w:basedOn w:val="23"/>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autoRedefine/>
    <w:qFormat/>
    <w:uiPriority w:val="0"/>
    <w:rPr>
      <w:b/>
      <w:bCs/>
    </w:rPr>
  </w:style>
  <w:style w:type="character" w:styleId="27">
    <w:name w:val="Hyperlink"/>
    <w:basedOn w:val="25"/>
    <w:autoRedefine/>
    <w:unhideWhenUsed/>
    <w:qFormat/>
    <w:uiPriority w:val="99"/>
    <w:rPr>
      <w:color w:val="0000FF" w:themeColor="hyperlink"/>
      <w:u w:val="single"/>
      <w14:textFill>
        <w14:solidFill>
          <w14:schemeClr w14:val="hlink"/>
        </w14:solidFill>
      </w14:textFill>
    </w:rPr>
  </w:style>
  <w:style w:type="character" w:styleId="28">
    <w:name w:val="annotation reference"/>
    <w:basedOn w:val="25"/>
    <w:autoRedefine/>
    <w:semiHidden/>
    <w:unhideWhenUsed/>
    <w:qFormat/>
    <w:uiPriority w:val="99"/>
    <w:rPr>
      <w:sz w:val="21"/>
      <w:szCs w:val="21"/>
    </w:rPr>
  </w:style>
  <w:style w:type="character" w:customStyle="1" w:styleId="29">
    <w:name w:val="批注框文本 Char"/>
    <w:basedOn w:val="25"/>
    <w:link w:val="13"/>
    <w:autoRedefine/>
    <w:semiHidden/>
    <w:qFormat/>
    <w:uiPriority w:val="99"/>
    <w:rPr>
      <w:rFonts w:ascii="@仿宋_GB2312" w:hAnsi="@仿宋_GB2312" w:eastAsia="@仿宋_GB2312" w:cs="@仿宋_GB2312"/>
      <w:sz w:val="18"/>
      <w:szCs w:val="18"/>
    </w:rPr>
  </w:style>
  <w:style w:type="paragraph" w:customStyle="1" w:styleId="30">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31">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2">
    <w:name w:val="D&amp;L"/>
    <w:basedOn w:val="15"/>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3">
    <w:name w:val="页眉 Char"/>
    <w:basedOn w:val="25"/>
    <w:link w:val="15"/>
    <w:autoRedefine/>
    <w:qFormat/>
    <w:uiPriority w:val="99"/>
    <w:rPr>
      <w:rFonts w:ascii="@仿宋_GB2312" w:hAnsi="@仿宋_GB2312" w:eastAsia="@仿宋_GB2312" w:cs="@仿宋_GB2312"/>
      <w:sz w:val="18"/>
      <w:szCs w:val="18"/>
    </w:rPr>
  </w:style>
  <w:style w:type="character" w:customStyle="1" w:styleId="34">
    <w:name w:val="页脚 Char"/>
    <w:basedOn w:val="25"/>
    <w:link w:val="14"/>
    <w:autoRedefine/>
    <w:qFormat/>
    <w:uiPriority w:val="99"/>
    <w:rPr>
      <w:rFonts w:ascii="@仿宋_GB2312" w:hAnsi="@仿宋_GB2312" w:eastAsia="@仿宋_GB2312" w:cs="@仿宋_GB2312"/>
      <w:sz w:val="18"/>
      <w:szCs w:val="18"/>
    </w:rPr>
  </w:style>
  <w:style w:type="character" w:customStyle="1" w:styleId="35">
    <w:name w:val="纯文本 Char"/>
    <w:link w:val="11"/>
    <w:autoRedefine/>
    <w:qFormat/>
    <w:uiPriority w:val="0"/>
    <w:rPr>
      <w:rFonts w:ascii="宋体" w:hAnsi="Courier New"/>
    </w:rPr>
  </w:style>
  <w:style w:type="character" w:customStyle="1" w:styleId="36">
    <w:name w:val="纯文本 字符1"/>
    <w:basedOn w:val="25"/>
    <w:autoRedefine/>
    <w:semiHidden/>
    <w:qFormat/>
    <w:uiPriority w:val="99"/>
    <w:rPr>
      <w:rFonts w:hAnsi="Courier New" w:cs="Courier New" w:asciiTheme="minorEastAsia"/>
      <w:szCs w:val="20"/>
    </w:rPr>
  </w:style>
  <w:style w:type="character" w:customStyle="1" w:styleId="37">
    <w:name w:val="未处理的提及1"/>
    <w:basedOn w:val="25"/>
    <w:autoRedefine/>
    <w:semiHidden/>
    <w:unhideWhenUsed/>
    <w:qFormat/>
    <w:uiPriority w:val="99"/>
    <w:rPr>
      <w:color w:val="605E5C"/>
      <w:shd w:val="clear" w:color="auto" w:fill="E1DFDD"/>
    </w:rPr>
  </w:style>
  <w:style w:type="paragraph" w:styleId="38">
    <w:name w:val="List Paragraph"/>
    <w:basedOn w:val="1"/>
    <w:autoRedefine/>
    <w:qFormat/>
    <w:uiPriority w:val="34"/>
    <w:pPr>
      <w:ind w:firstLine="420" w:firstLineChars="200"/>
    </w:pPr>
  </w:style>
  <w:style w:type="paragraph" w:customStyle="1" w:styleId="39">
    <w:name w:val="Char Char Char Char Char Char Char1 Char"/>
    <w:basedOn w:val="1"/>
    <w:autoRedefine/>
    <w:qFormat/>
    <w:uiPriority w:val="0"/>
    <w:rPr>
      <w:rFonts w:ascii="Arial" w:hAnsi="Arial" w:eastAsia="宋体" w:cs="Arial"/>
      <w:sz w:val="24"/>
    </w:rPr>
  </w:style>
  <w:style w:type="table" w:customStyle="1" w:styleId="40">
    <w:name w:val="网格表 1 浅色1"/>
    <w:basedOn w:val="23"/>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1">
    <w:name w:val="日期 字符"/>
    <w:basedOn w:val="25"/>
    <w:autoRedefine/>
    <w:semiHidden/>
    <w:qFormat/>
    <w:uiPriority w:val="99"/>
    <w:rPr>
      <w:rFonts w:ascii="@仿宋_GB2312" w:hAnsi="@仿宋_GB2312" w:eastAsia="@仿宋_GB2312" w:cs="@仿宋_GB2312"/>
      <w:szCs w:val="20"/>
    </w:rPr>
  </w:style>
  <w:style w:type="character" w:customStyle="1" w:styleId="42">
    <w:name w:val="日期 Char"/>
    <w:link w:val="12"/>
    <w:autoRedefine/>
    <w:qFormat/>
    <w:uiPriority w:val="0"/>
    <w:rPr>
      <w:rFonts w:ascii="Arial" w:hAnsi="Arial" w:eastAsia="宋体" w:cs="Arial"/>
      <w:b/>
      <w:sz w:val="28"/>
      <w:szCs w:val="20"/>
    </w:rPr>
  </w:style>
  <w:style w:type="character" w:customStyle="1" w:styleId="43">
    <w:name w:val="纯文本 Char1"/>
    <w:autoRedefine/>
    <w:qFormat/>
    <w:locked/>
    <w:uiPriority w:val="99"/>
    <w:rPr>
      <w:rFonts w:ascii="Arial" w:hAnsi="Arial" w:eastAsia="Arial"/>
      <w:kern w:val="2"/>
      <w:sz w:val="21"/>
      <w:lang w:val="en-US" w:eastAsia="zh-CN" w:bidi="ar-SA"/>
    </w:rPr>
  </w:style>
  <w:style w:type="character" w:customStyle="1" w:styleId="44">
    <w:name w:val="批注文字 Char"/>
    <w:basedOn w:val="25"/>
    <w:autoRedefine/>
    <w:semiHidden/>
    <w:qFormat/>
    <w:uiPriority w:val="99"/>
    <w:rPr>
      <w:rFonts w:ascii="@仿宋_GB2312" w:hAnsi="@仿宋_GB2312" w:eastAsia="@仿宋_GB2312" w:cs="@仿宋_GB2312"/>
      <w:szCs w:val="20"/>
    </w:rPr>
  </w:style>
  <w:style w:type="character" w:customStyle="1" w:styleId="45">
    <w:name w:val="批注文字 Char1"/>
    <w:link w:val="8"/>
    <w:autoRedefine/>
    <w:qFormat/>
    <w:uiPriority w:val="0"/>
    <w:rPr>
      <w:rFonts w:ascii="Arial" w:hAnsi="Arial" w:eastAsia="黑体" w:cs="Arial"/>
      <w:szCs w:val="20"/>
    </w:rPr>
  </w:style>
  <w:style w:type="character" w:customStyle="1" w:styleId="46">
    <w:name w:val="标题 1 Char"/>
    <w:basedOn w:val="25"/>
    <w:link w:val="3"/>
    <w:autoRedefine/>
    <w:qFormat/>
    <w:uiPriority w:val="9"/>
    <w:rPr>
      <w:rFonts w:ascii="@仿宋_GB2312" w:hAnsi="@仿宋_GB2312" w:eastAsia="@仿宋_GB2312" w:cs="@仿宋_GB2312"/>
      <w:b/>
      <w:bCs/>
      <w:kern w:val="44"/>
      <w:sz w:val="44"/>
      <w:szCs w:val="44"/>
    </w:rPr>
  </w:style>
  <w:style w:type="paragraph" w:customStyle="1" w:styleId="47">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8">
    <w:name w:val="标题 3 Char"/>
    <w:basedOn w:val="25"/>
    <w:link w:val="5"/>
    <w:autoRedefine/>
    <w:semiHidden/>
    <w:qFormat/>
    <w:uiPriority w:val="9"/>
    <w:rPr>
      <w:rFonts w:ascii="@仿宋_GB2312" w:hAnsi="@仿宋_GB2312" w:eastAsia="@仿宋_GB2312" w:cs="@仿宋_GB2312"/>
      <w:b/>
      <w:bCs/>
      <w:sz w:val="32"/>
      <w:szCs w:val="32"/>
    </w:rPr>
  </w:style>
  <w:style w:type="character" w:customStyle="1" w:styleId="49">
    <w:name w:val="fontstyle01"/>
    <w:basedOn w:val="25"/>
    <w:autoRedefine/>
    <w:qFormat/>
    <w:uiPriority w:val="0"/>
    <w:rPr>
      <w:rFonts w:hint="eastAsia" w:ascii="宋体" w:hAnsi="宋体" w:eastAsia="宋体"/>
      <w:color w:val="000000"/>
      <w:sz w:val="22"/>
      <w:szCs w:val="22"/>
    </w:rPr>
  </w:style>
  <w:style w:type="character" w:customStyle="1" w:styleId="50">
    <w:name w:val="fontstyle21"/>
    <w:basedOn w:val="25"/>
    <w:autoRedefine/>
    <w:qFormat/>
    <w:uiPriority w:val="0"/>
    <w:rPr>
      <w:rFonts w:hint="default" w:ascii="TimesNewRomanPSMT" w:hAnsi="TimesNewRomanPSMT"/>
      <w:color w:val="000000"/>
      <w:sz w:val="22"/>
      <w:szCs w:val="22"/>
    </w:rPr>
  </w:style>
  <w:style w:type="character" w:customStyle="1" w:styleId="51">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2">
    <w:name w:val="标题 4 字符"/>
    <w:basedOn w:val="25"/>
    <w:autoRedefine/>
    <w:semiHidden/>
    <w:qFormat/>
    <w:uiPriority w:val="9"/>
    <w:rPr>
      <w:rFonts w:asciiTheme="majorHAnsi" w:hAnsiTheme="majorHAnsi" w:eastAsiaTheme="majorEastAsia" w:cstheme="majorBidi"/>
      <w:b/>
      <w:bCs/>
      <w:sz w:val="28"/>
      <w:szCs w:val="28"/>
    </w:rPr>
  </w:style>
  <w:style w:type="character" w:customStyle="1" w:styleId="53">
    <w:name w:val="标题 4 Char1"/>
    <w:link w:val="6"/>
    <w:autoRedefine/>
    <w:qFormat/>
    <w:uiPriority w:val="0"/>
    <w:rPr>
      <w:rFonts w:ascii="@仿宋_GB2312" w:hAnsi="@仿宋_GB2312" w:eastAsia="@仿宋_GB2312" w:cs="@仿宋_GB2312"/>
      <w:b/>
      <w:bCs/>
      <w:sz w:val="28"/>
      <w:szCs w:val="28"/>
    </w:rPr>
  </w:style>
  <w:style w:type="character" w:customStyle="1" w:styleId="54">
    <w:name w:val="标题 4 Char"/>
    <w:autoRedefine/>
    <w:qFormat/>
    <w:uiPriority w:val="0"/>
    <w:rPr>
      <w:rFonts w:ascii="Arial" w:hAnsi="Arial" w:eastAsia="Arial"/>
      <w:b/>
      <w:bCs/>
      <w:kern w:val="2"/>
      <w:sz w:val="28"/>
      <w:szCs w:val="28"/>
      <w:lang w:val="en-US" w:eastAsia="zh-CN" w:bidi="ar-SA"/>
    </w:rPr>
  </w:style>
  <w:style w:type="table" w:customStyle="1" w:styleId="55">
    <w:name w:val="网格型1"/>
    <w:basedOn w:val="2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6">
    <w:name w:val="批注主题 Char"/>
    <w:basedOn w:val="45"/>
    <w:link w:val="20"/>
    <w:autoRedefine/>
    <w:semiHidden/>
    <w:qFormat/>
    <w:uiPriority w:val="99"/>
    <w:rPr>
      <w:rFonts w:ascii="@仿宋_GB2312" w:hAnsi="@仿宋_GB2312" w:eastAsia="@仿宋_GB2312" w:cs="@仿宋_GB2312"/>
      <w:b/>
      <w:bCs/>
      <w:szCs w:val="20"/>
    </w:rPr>
  </w:style>
  <w:style w:type="table" w:customStyle="1" w:styleId="57">
    <w:name w:val="Table Normal"/>
    <w:autoRedefine/>
    <w:semiHidden/>
    <w:unhideWhenUsed/>
    <w:qFormat/>
    <w:uiPriority w:val="0"/>
    <w:tblPr>
      <w:tblCellMar>
        <w:top w:w="0" w:type="dxa"/>
        <w:left w:w="0" w:type="dxa"/>
        <w:bottom w:w="0" w:type="dxa"/>
        <w:right w:w="0" w:type="dxa"/>
      </w:tblCellMar>
    </w:tblPr>
  </w:style>
  <w:style w:type="paragraph" w:customStyle="1" w:styleId="58">
    <w:name w:val="Table Text"/>
    <w:basedOn w:val="1"/>
    <w:autoRedefine/>
    <w:semiHidden/>
    <w:qFormat/>
    <w:uiPriority w:val="0"/>
    <w:rPr>
      <w:rFonts w:ascii="Arial" w:hAnsi="Arial" w:eastAsia="Arial" w:cs="Arial"/>
      <w:sz w:val="21"/>
      <w:szCs w:val="21"/>
      <w:lang w:val="en-US" w:eastAsia="en-US" w:bidi="ar-SA"/>
    </w:rPr>
  </w:style>
  <w:style w:type="paragraph" w:customStyle="1" w:styleId="59">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6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AC3C6-84CB-4D2E-AFC0-C8AD46F7C0B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66</Pages>
  <Words>1409</Words>
  <Characters>1659</Characters>
  <Lines>244</Lines>
  <Paragraphs>68</Paragraphs>
  <TotalTime>0</TotalTime>
  <ScaleCrop>false</ScaleCrop>
  <LinksUpToDate>false</LinksUpToDate>
  <CharactersWithSpaces>1764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Administrator</cp:lastModifiedBy>
  <cp:lastPrinted>2019-12-07T15:18:00Z</cp:lastPrinted>
  <dcterms:modified xsi:type="dcterms:W3CDTF">2025-05-30T09:23:42Z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A187CE5CCB4A4D88B8B28D4F141AC0CC_13</vt:lpwstr>
  </property>
  <property fmtid="{D5CDD505-2E9C-101B-9397-08002B2CF9AE}" pid="4" name="KSOTemplateDocerSaveRecord">
    <vt:lpwstr>eyJoZGlkIjoiODExNWRiOGMwMGJjNGM2NmQwOGQwOGJmMTI5MGE0ZTIiLCJ1c2VySWQiOiI3OTY5NzA1ODIifQ==</vt:lpwstr>
  </property>
</Properties>
</file>