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DDA8A">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p>
    <w:p w14:paraId="2E35A7EA">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p>
    <w:p w14:paraId="5B77964C">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bookmarkStart w:id="0" w:name="_Hlk9544796"/>
      <w:r>
        <w:rPr>
          <w:rFonts w:hint="eastAsia" w:ascii="宋体" w:hAnsi="宋体" w:eastAsia="宋体"/>
          <w:b/>
          <w:bCs/>
          <w:sz w:val="52"/>
          <w:szCs w:val="52"/>
          <w:highlight w:val="none"/>
        </w:rPr>
        <w:t>安徽省政府采购项目</w:t>
      </w:r>
    </w:p>
    <w:p w14:paraId="15CDB6BB">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r>
        <w:rPr>
          <w:rFonts w:hint="eastAsia" w:ascii="宋体" w:hAnsi="宋体" w:eastAsia="宋体"/>
          <w:b/>
          <w:bCs/>
          <w:sz w:val="52"/>
          <w:szCs w:val="52"/>
          <w:highlight w:val="none"/>
        </w:rPr>
        <w:t>公开招标文件示范文本</w:t>
      </w:r>
      <w:bookmarkEnd w:id="0"/>
      <w:r>
        <w:rPr>
          <w:rFonts w:hint="eastAsia" w:ascii="宋体" w:hAnsi="宋体" w:eastAsia="宋体"/>
          <w:b/>
          <w:bCs/>
          <w:sz w:val="52"/>
          <w:szCs w:val="52"/>
          <w:highlight w:val="none"/>
        </w:rPr>
        <w:t>（服务类）</w:t>
      </w:r>
    </w:p>
    <w:p w14:paraId="0FE7E49A">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r>
        <w:rPr>
          <w:rFonts w:hint="eastAsia" w:ascii="宋体" w:hAnsi="宋体" w:eastAsia="宋体"/>
          <w:b/>
          <w:bCs/>
          <w:sz w:val="52"/>
          <w:szCs w:val="52"/>
          <w:highlight w:val="none"/>
        </w:rPr>
        <w:t>（2024年版）</w:t>
      </w:r>
    </w:p>
    <w:p w14:paraId="4E39920E">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11A50013">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02009C58">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6C7A7B5C">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31DB7CC0">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4C4D93C3">
      <w:pPr>
        <w:tabs>
          <w:tab w:val="left" w:pos="2410"/>
        </w:tabs>
        <w:autoSpaceDE w:val="0"/>
        <w:autoSpaceDN w:val="0"/>
        <w:adjustRightInd w:val="0"/>
        <w:snapToGrid w:val="0"/>
        <w:spacing w:line="360" w:lineRule="auto"/>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项目名称：铜陵学院育秀校区维修改造工程全过程监理项目</w:t>
      </w:r>
    </w:p>
    <w:p w14:paraId="572A7AA7">
      <w:pPr>
        <w:tabs>
          <w:tab w:val="left" w:pos="2410"/>
        </w:tabs>
        <w:autoSpaceDE w:val="0"/>
        <w:autoSpaceDN w:val="0"/>
        <w:adjustRightInd w:val="0"/>
        <w:snapToGrid w:val="0"/>
        <w:spacing w:line="360" w:lineRule="auto"/>
        <w:jc w:val="left"/>
        <w:rPr>
          <w:rFonts w:hint="eastAsia" w:ascii="宋体" w:hAnsi="宋体" w:eastAsia="宋体"/>
          <w:b/>
          <w:spacing w:val="20"/>
          <w:kern w:val="0"/>
          <w:sz w:val="32"/>
          <w:szCs w:val="32"/>
          <w:highlight w:val="none"/>
          <w:lang w:eastAsia="zh-CN"/>
        </w:rPr>
      </w:pPr>
      <w:r>
        <w:rPr>
          <w:rFonts w:hint="eastAsia" w:ascii="宋体" w:hAnsi="宋体" w:eastAsia="宋体"/>
          <w:b/>
          <w:spacing w:val="20"/>
          <w:kern w:val="0"/>
          <w:sz w:val="32"/>
          <w:szCs w:val="32"/>
          <w:highlight w:val="none"/>
        </w:rPr>
        <w:t>项目编号：FSSD34000120255779/</w:t>
      </w:r>
      <w:r>
        <w:rPr>
          <w:rFonts w:hint="eastAsia" w:ascii="宋体" w:hAnsi="宋体" w:eastAsia="宋体"/>
          <w:b/>
          <w:spacing w:val="20"/>
          <w:kern w:val="0"/>
          <w:sz w:val="32"/>
          <w:szCs w:val="32"/>
          <w:highlight w:val="none"/>
          <w:lang w:eastAsia="zh-CN"/>
        </w:rPr>
        <w:t>25AT186046906504</w:t>
      </w:r>
    </w:p>
    <w:p w14:paraId="13B03834">
      <w:pPr>
        <w:tabs>
          <w:tab w:val="left" w:pos="2410"/>
        </w:tabs>
        <w:autoSpaceDE w:val="0"/>
        <w:autoSpaceDN w:val="0"/>
        <w:adjustRightInd w:val="0"/>
        <w:snapToGrid w:val="0"/>
        <w:spacing w:line="360" w:lineRule="auto"/>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采 购 人：铜陵学院</w:t>
      </w:r>
    </w:p>
    <w:p w14:paraId="6A68ED11">
      <w:pPr>
        <w:tabs>
          <w:tab w:val="left" w:pos="2410"/>
        </w:tabs>
        <w:autoSpaceDE w:val="0"/>
        <w:autoSpaceDN w:val="0"/>
        <w:adjustRightInd w:val="0"/>
        <w:snapToGrid w:val="0"/>
        <w:spacing w:line="360" w:lineRule="auto"/>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采购代理机构：安徽安天利信工程管理股份有限公司</w:t>
      </w:r>
      <w:r>
        <w:rPr>
          <w:rFonts w:hint="eastAsia" w:ascii="宋体" w:hAnsi="宋体" w:eastAsia="宋体"/>
          <w:b/>
          <w:spacing w:val="20"/>
          <w:kern w:val="0"/>
          <w:sz w:val="32"/>
          <w:szCs w:val="32"/>
          <w:highlight w:val="none"/>
          <w:u w:val="single"/>
        </w:rPr>
        <w:t xml:space="preserve"> </w:t>
      </w:r>
    </w:p>
    <w:p w14:paraId="565B9EA2">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13E1978D">
      <w:pPr>
        <w:tabs>
          <w:tab w:val="left" w:pos="2410"/>
        </w:tabs>
        <w:autoSpaceDE w:val="0"/>
        <w:autoSpaceDN w:val="0"/>
        <w:adjustRightInd w:val="0"/>
        <w:snapToGrid w:val="0"/>
        <w:spacing w:line="360" w:lineRule="auto"/>
        <w:jc w:val="center"/>
        <w:rPr>
          <w:rFonts w:ascii="宋体" w:hAnsi="宋体" w:eastAsia="宋体"/>
          <w:b/>
          <w:sz w:val="28"/>
          <w:highlight w:val="none"/>
        </w:rPr>
      </w:pPr>
      <w:r>
        <w:rPr>
          <w:rFonts w:hint="eastAsia" w:ascii="宋体" w:hAnsi="宋体" w:eastAsia="宋体"/>
          <w:b/>
          <w:sz w:val="36"/>
          <w:highlight w:val="none"/>
          <w:u w:val="single"/>
        </w:rPr>
        <w:t xml:space="preserve"> 2025 </w:t>
      </w:r>
      <w:r>
        <w:rPr>
          <w:rFonts w:hint="eastAsia" w:ascii="宋体" w:hAnsi="宋体" w:eastAsia="宋体"/>
          <w:b/>
          <w:sz w:val="36"/>
          <w:highlight w:val="none"/>
        </w:rPr>
        <w:t>年</w:t>
      </w:r>
      <w:r>
        <w:rPr>
          <w:rFonts w:hint="eastAsia" w:ascii="宋体" w:hAnsi="宋体" w:eastAsia="宋体"/>
          <w:b/>
          <w:sz w:val="36"/>
          <w:highlight w:val="none"/>
          <w:u w:val="single"/>
        </w:rPr>
        <w:t xml:space="preserve"> 9 </w:t>
      </w:r>
      <w:r>
        <w:rPr>
          <w:rFonts w:hint="eastAsia" w:ascii="宋体" w:hAnsi="宋体" w:eastAsia="宋体"/>
          <w:b/>
          <w:sz w:val="36"/>
          <w:highlight w:val="none"/>
        </w:rPr>
        <w:t>月</w:t>
      </w:r>
      <w:r>
        <w:rPr>
          <w:rFonts w:ascii="宋体" w:hAnsi="宋体" w:eastAsia="宋体"/>
          <w:b/>
          <w:sz w:val="36"/>
          <w:highlight w:val="none"/>
        </w:rPr>
        <w:br w:type="page"/>
      </w:r>
    </w:p>
    <w:p w14:paraId="507FC8E0">
      <w:pPr>
        <w:jc w:val="center"/>
        <w:rPr>
          <w:rFonts w:ascii="宋体" w:hAnsi="宋体" w:eastAsia="宋体"/>
          <w:b/>
          <w:sz w:val="28"/>
          <w:highlight w:val="none"/>
        </w:rPr>
      </w:pPr>
      <w:r>
        <w:rPr>
          <w:rFonts w:hint="eastAsia" w:ascii="宋体" w:hAnsi="宋体" w:eastAsia="宋体"/>
          <w:b/>
          <w:sz w:val="28"/>
          <w:highlight w:val="none"/>
        </w:rPr>
        <w:t>目  录</w:t>
      </w:r>
    </w:p>
    <w:p w14:paraId="514A0C3F">
      <w:pPr>
        <w:pStyle w:val="17"/>
        <w:tabs>
          <w:tab w:val="right" w:leader="dot" w:pos="8306"/>
        </w:tabs>
        <w:rPr>
          <w:highlight w:val="none"/>
        </w:rPr>
      </w:pPr>
      <w:r>
        <w:rPr>
          <w:rFonts w:asciiTheme="minorEastAsia" w:hAnsiTheme="minorEastAsia"/>
          <w:b/>
          <w:sz w:val="24"/>
          <w:szCs w:val="24"/>
          <w:highlight w:val="none"/>
        </w:rPr>
        <w:fldChar w:fldCharType="begin"/>
      </w:r>
      <w:r>
        <w:rPr>
          <w:rFonts w:asciiTheme="minorEastAsia" w:hAnsiTheme="minorEastAsia"/>
          <w:b/>
          <w:sz w:val="24"/>
          <w:szCs w:val="24"/>
          <w:highlight w:val="none"/>
        </w:rPr>
        <w:instrText xml:space="preserve"> </w:instrText>
      </w:r>
      <w:r>
        <w:rPr>
          <w:rFonts w:hint="eastAsia" w:asciiTheme="minorEastAsia" w:hAnsiTheme="minorEastAsia"/>
          <w:b/>
          <w:sz w:val="24"/>
          <w:szCs w:val="24"/>
          <w:highlight w:val="none"/>
        </w:rPr>
        <w:instrText xml:space="preserve">TOC \o "1-2" \h \z \u</w:instrText>
      </w:r>
      <w:r>
        <w:rPr>
          <w:rFonts w:asciiTheme="minorEastAsia" w:hAnsiTheme="minorEastAsia"/>
          <w:b/>
          <w:sz w:val="24"/>
          <w:szCs w:val="24"/>
          <w:highlight w:val="none"/>
        </w:rPr>
        <w:instrText xml:space="preserve"> </w:instrText>
      </w:r>
      <w:r>
        <w:rPr>
          <w:rFonts w:asciiTheme="minorEastAsia" w:hAnsiTheme="minorEastAsia"/>
          <w:b/>
          <w:sz w:val="24"/>
          <w:szCs w:val="24"/>
          <w:highlight w:val="none"/>
        </w:rPr>
        <w:fldChar w:fldCharType="separate"/>
      </w:r>
      <w:r>
        <w:rPr>
          <w:highlight w:val="none"/>
        </w:rPr>
        <w:fldChar w:fldCharType="begin"/>
      </w:r>
      <w:r>
        <w:rPr>
          <w:highlight w:val="none"/>
        </w:rPr>
        <w:instrText xml:space="preserve"> HYPERLINK \l "_Toc32331" </w:instrText>
      </w:r>
      <w:r>
        <w:rPr>
          <w:highlight w:val="none"/>
        </w:rPr>
        <w:fldChar w:fldCharType="separate"/>
      </w:r>
      <w:r>
        <w:rPr>
          <w:rFonts w:hint="eastAsia" w:asciiTheme="minorEastAsia" w:hAnsiTheme="minorEastAsia"/>
          <w:highlight w:val="none"/>
        </w:rPr>
        <w:t xml:space="preserve">第一章 </w:t>
      </w:r>
      <w:r>
        <w:rPr>
          <w:rFonts w:asciiTheme="minorEastAsia" w:hAnsiTheme="minorEastAsia"/>
          <w:highlight w:val="none"/>
        </w:rPr>
        <w:t xml:space="preserve"> </w:t>
      </w:r>
      <w:r>
        <w:rPr>
          <w:rFonts w:hint="eastAsia" w:asciiTheme="minorEastAsia" w:hAnsiTheme="minorEastAsia"/>
          <w:highlight w:val="none"/>
        </w:rPr>
        <w:t>招标公告</w:t>
      </w:r>
      <w:r>
        <w:rPr>
          <w:highlight w:val="none"/>
        </w:rPr>
        <w:tab/>
      </w:r>
      <w:r>
        <w:rPr>
          <w:highlight w:val="none"/>
        </w:rPr>
        <w:fldChar w:fldCharType="begin"/>
      </w:r>
      <w:r>
        <w:rPr>
          <w:highlight w:val="none"/>
        </w:rPr>
        <w:instrText xml:space="preserve"> PAGEREF _Toc32331 \h </w:instrText>
      </w:r>
      <w:r>
        <w:rPr>
          <w:highlight w:val="none"/>
        </w:rPr>
        <w:fldChar w:fldCharType="separate"/>
      </w:r>
      <w:r>
        <w:rPr>
          <w:highlight w:val="none"/>
        </w:rPr>
        <w:t>1</w:t>
      </w:r>
      <w:r>
        <w:rPr>
          <w:highlight w:val="none"/>
        </w:rPr>
        <w:fldChar w:fldCharType="end"/>
      </w:r>
      <w:r>
        <w:rPr>
          <w:highlight w:val="none"/>
        </w:rPr>
        <w:fldChar w:fldCharType="end"/>
      </w:r>
    </w:p>
    <w:p w14:paraId="20C4A2AF">
      <w:pPr>
        <w:pStyle w:val="17"/>
        <w:tabs>
          <w:tab w:val="right" w:leader="dot" w:pos="8306"/>
        </w:tabs>
        <w:rPr>
          <w:highlight w:val="none"/>
        </w:rPr>
      </w:pPr>
      <w:r>
        <w:rPr>
          <w:highlight w:val="none"/>
        </w:rPr>
        <w:fldChar w:fldCharType="begin"/>
      </w:r>
      <w:r>
        <w:rPr>
          <w:highlight w:val="none"/>
        </w:rPr>
        <w:instrText xml:space="preserve"> HYPERLINK \l "_Toc8888" </w:instrText>
      </w:r>
      <w:r>
        <w:rPr>
          <w:highlight w:val="none"/>
        </w:rPr>
        <w:fldChar w:fldCharType="separate"/>
      </w:r>
      <w:r>
        <w:rPr>
          <w:rFonts w:hint="eastAsia" w:asciiTheme="minorEastAsia" w:hAnsiTheme="minorEastAsia"/>
          <w:highlight w:val="none"/>
        </w:rPr>
        <w:t>第二章</w:t>
      </w:r>
      <w:r>
        <w:rPr>
          <w:rFonts w:asciiTheme="minorEastAsia" w:hAnsiTheme="minorEastAsia"/>
          <w:highlight w:val="none"/>
        </w:rPr>
        <w:t xml:space="preserve"> </w:t>
      </w:r>
      <w:r>
        <w:rPr>
          <w:rFonts w:hint="eastAsia" w:asciiTheme="minorEastAsia" w:hAnsiTheme="minorEastAsia"/>
          <w:highlight w:val="none"/>
        </w:rPr>
        <w:t xml:space="preserve"> </w:t>
      </w:r>
      <w:r>
        <w:rPr>
          <w:rFonts w:asciiTheme="minorEastAsia" w:hAnsiTheme="minorEastAsia"/>
          <w:highlight w:val="none"/>
        </w:rPr>
        <w:t>投标人须知</w:t>
      </w:r>
      <w:r>
        <w:rPr>
          <w:highlight w:val="none"/>
        </w:rPr>
        <w:tab/>
      </w:r>
      <w:r>
        <w:rPr>
          <w:highlight w:val="none"/>
        </w:rPr>
        <w:fldChar w:fldCharType="begin"/>
      </w:r>
      <w:r>
        <w:rPr>
          <w:highlight w:val="none"/>
        </w:rPr>
        <w:instrText xml:space="preserve"> PAGEREF _Toc8888 \h </w:instrText>
      </w:r>
      <w:r>
        <w:rPr>
          <w:highlight w:val="none"/>
        </w:rPr>
        <w:fldChar w:fldCharType="separate"/>
      </w:r>
      <w:r>
        <w:rPr>
          <w:highlight w:val="none"/>
        </w:rPr>
        <w:t>4</w:t>
      </w:r>
      <w:r>
        <w:rPr>
          <w:highlight w:val="none"/>
        </w:rPr>
        <w:fldChar w:fldCharType="end"/>
      </w:r>
      <w:r>
        <w:rPr>
          <w:highlight w:val="none"/>
        </w:rPr>
        <w:fldChar w:fldCharType="end"/>
      </w:r>
    </w:p>
    <w:p w14:paraId="32A1C63A">
      <w:pPr>
        <w:pStyle w:val="17"/>
        <w:tabs>
          <w:tab w:val="right" w:leader="dot" w:pos="8306"/>
        </w:tabs>
        <w:rPr>
          <w:highlight w:val="none"/>
        </w:rPr>
      </w:pPr>
      <w:r>
        <w:rPr>
          <w:highlight w:val="none"/>
        </w:rPr>
        <w:fldChar w:fldCharType="begin"/>
      </w:r>
      <w:r>
        <w:rPr>
          <w:highlight w:val="none"/>
        </w:rPr>
        <w:instrText xml:space="preserve"> HYPERLINK \l "_Toc22605" </w:instrText>
      </w:r>
      <w:r>
        <w:rPr>
          <w:highlight w:val="none"/>
        </w:rPr>
        <w:fldChar w:fldCharType="separate"/>
      </w:r>
      <w:r>
        <w:rPr>
          <w:rFonts w:hint="eastAsia" w:asciiTheme="minorEastAsia" w:hAnsiTheme="minorEastAsia"/>
          <w:highlight w:val="none"/>
        </w:rPr>
        <w:t>第三章  采购需求</w:t>
      </w:r>
      <w:r>
        <w:rPr>
          <w:highlight w:val="none"/>
        </w:rPr>
        <w:tab/>
      </w:r>
      <w:r>
        <w:rPr>
          <w:highlight w:val="none"/>
        </w:rPr>
        <w:fldChar w:fldCharType="begin"/>
      </w:r>
      <w:r>
        <w:rPr>
          <w:highlight w:val="none"/>
        </w:rPr>
        <w:instrText xml:space="preserve"> PAGEREF _Toc22605 \h </w:instrText>
      </w:r>
      <w:r>
        <w:rPr>
          <w:highlight w:val="none"/>
        </w:rPr>
        <w:fldChar w:fldCharType="separate"/>
      </w:r>
      <w:r>
        <w:rPr>
          <w:highlight w:val="none"/>
        </w:rPr>
        <w:t>20</w:t>
      </w:r>
      <w:r>
        <w:rPr>
          <w:highlight w:val="none"/>
        </w:rPr>
        <w:fldChar w:fldCharType="end"/>
      </w:r>
      <w:r>
        <w:rPr>
          <w:highlight w:val="none"/>
        </w:rPr>
        <w:fldChar w:fldCharType="end"/>
      </w:r>
    </w:p>
    <w:p w14:paraId="033E70D2">
      <w:pPr>
        <w:pStyle w:val="17"/>
        <w:tabs>
          <w:tab w:val="right" w:leader="dot" w:pos="8306"/>
        </w:tabs>
        <w:rPr>
          <w:highlight w:val="none"/>
        </w:rPr>
      </w:pPr>
      <w:r>
        <w:rPr>
          <w:highlight w:val="none"/>
        </w:rPr>
        <w:fldChar w:fldCharType="begin"/>
      </w:r>
      <w:r>
        <w:rPr>
          <w:highlight w:val="none"/>
        </w:rPr>
        <w:instrText xml:space="preserve"> HYPERLINK \l "_Toc30824" </w:instrText>
      </w:r>
      <w:r>
        <w:rPr>
          <w:highlight w:val="none"/>
        </w:rPr>
        <w:fldChar w:fldCharType="separate"/>
      </w:r>
      <w:r>
        <w:rPr>
          <w:rFonts w:hint="eastAsia" w:asciiTheme="minorEastAsia" w:hAnsiTheme="minorEastAsia"/>
          <w:highlight w:val="none"/>
        </w:rPr>
        <w:t>第四章  评标方法和标准（综合评分法）</w:t>
      </w:r>
      <w:r>
        <w:rPr>
          <w:highlight w:val="none"/>
        </w:rPr>
        <w:tab/>
      </w:r>
      <w:r>
        <w:rPr>
          <w:highlight w:val="none"/>
        </w:rPr>
        <w:fldChar w:fldCharType="begin"/>
      </w:r>
      <w:r>
        <w:rPr>
          <w:highlight w:val="none"/>
        </w:rPr>
        <w:instrText xml:space="preserve"> PAGEREF _Toc30824 \h </w:instrText>
      </w:r>
      <w:r>
        <w:rPr>
          <w:highlight w:val="none"/>
        </w:rPr>
        <w:fldChar w:fldCharType="separate"/>
      </w:r>
      <w:r>
        <w:rPr>
          <w:highlight w:val="none"/>
        </w:rPr>
        <w:t>2</w:t>
      </w:r>
      <w:r>
        <w:rPr>
          <w:rFonts w:hint="eastAsia"/>
          <w:highlight w:val="none"/>
          <w:lang w:val="en-US" w:eastAsia="zh-CN"/>
        </w:rPr>
        <w:t>9</w:t>
      </w:r>
      <w:r>
        <w:rPr>
          <w:highlight w:val="none"/>
        </w:rPr>
        <w:fldChar w:fldCharType="end"/>
      </w:r>
      <w:r>
        <w:rPr>
          <w:highlight w:val="none"/>
        </w:rPr>
        <w:fldChar w:fldCharType="end"/>
      </w:r>
    </w:p>
    <w:p w14:paraId="0D7AE249">
      <w:pPr>
        <w:pStyle w:val="17"/>
        <w:tabs>
          <w:tab w:val="right" w:leader="dot" w:pos="8306"/>
        </w:tabs>
        <w:rPr>
          <w:highlight w:val="none"/>
        </w:rPr>
      </w:pPr>
      <w:r>
        <w:rPr>
          <w:highlight w:val="none"/>
        </w:rPr>
        <w:fldChar w:fldCharType="begin"/>
      </w:r>
      <w:r>
        <w:rPr>
          <w:highlight w:val="none"/>
        </w:rPr>
        <w:instrText xml:space="preserve"> HYPERLINK \l "_Toc20405" </w:instrText>
      </w:r>
      <w:r>
        <w:rPr>
          <w:highlight w:val="none"/>
        </w:rPr>
        <w:fldChar w:fldCharType="separate"/>
      </w:r>
      <w:r>
        <w:rPr>
          <w:rFonts w:hint="eastAsia" w:asciiTheme="minorEastAsia" w:hAnsiTheme="minorEastAsia"/>
          <w:highlight w:val="none"/>
        </w:rPr>
        <w:t xml:space="preserve">第五章  </w:t>
      </w:r>
      <w:r>
        <w:rPr>
          <w:rFonts w:asciiTheme="minorEastAsia" w:hAnsiTheme="minorEastAsia"/>
          <w:highlight w:val="none"/>
        </w:rPr>
        <w:t>政府采购合同</w:t>
      </w:r>
      <w:r>
        <w:rPr>
          <w:highlight w:val="none"/>
        </w:rPr>
        <w:tab/>
      </w:r>
      <w:r>
        <w:rPr>
          <w:highlight w:val="none"/>
        </w:rPr>
        <w:fldChar w:fldCharType="begin"/>
      </w:r>
      <w:r>
        <w:rPr>
          <w:highlight w:val="none"/>
        </w:rPr>
        <w:instrText xml:space="preserve"> PAGEREF _Toc20405 \h </w:instrText>
      </w:r>
      <w:r>
        <w:rPr>
          <w:highlight w:val="none"/>
        </w:rPr>
        <w:fldChar w:fldCharType="separate"/>
      </w:r>
      <w:r>
        <w:rPr>
          <w:highlight w:val="none"/>
        </w:rPr>
        <w:t>39</w:t>
      </w:r>
      <w:r>
        <w:rPr>
          <w:highlight w:val="none"/>
        </w:rPr>
        <w:fldChar w:fldCharType="end"/>
      </w:r>
      <w:r>
        <w:rPr>
          <w:highlight w:val="none"/>
        </w:rPr>
        <w:fldChar w:fldCharType="end"/>
      </w:r>
    </w:p>
    <w:p w14:paraId="3E47D4A0">
      <w:pPr>
        <w:pStyle w:val="17"/>
        <w:tabs>
          <w:tab w:val="right" w:leader="dot" w:pos="8306"/>
        </w:tabs>
        <w:rPr>
          <w:highlight w:val="none"/>
        </w:rPr>
      </w:pPr>
      <w:r>
        <w:rPr>
          <w:highlight w:val="none"/>
        </w:rPr>
        <w:fldChar w:fldCharType="begin"/>
      </w:r>
      <w:r>
        <w:rPr>
          <w:highlight w:val="none"/>
        </w:rPr>
        <w:instrText xml:space="preserve"> HYPERLINK \l "_Toc13555" </w:instrText>
      </w:r>
      <w:r>
        <w:rPr>
          <w:highlight w:val="none"/>
        </w:rPr>
        <w:fldChar w:fldCharType="separate"/>
      </w:r>
      <w:r>
        <w:rPr>
          <w:rFonts w:hint="eastAsia" w:asciiTheme="minorEastAsia" w:hAnsiTheme="minorEastAsia"/>
          <w:highlight w:val="none"/>
        </w:rPr>
        <w:t>第六章  投标文件格式</w:t>
      </w:r>
      <w:r>
        <w:rPr>
          <w:highlight w:val="none"/>
        </w:rPr>
        <w:tab/>
      </w:r>
      <w:r>
        <w:rPr>
          <w:highlight w:val="none"/>
        </w:rPr>
        <w:fldChar w:fldCharType="begin"/>
      </w:r>
      <w:r>
        <w:rPr>
          <w:highlight w:val="none"/>
        </w:rPr>
        <w:instrText xml:space="preserve"> PAGEREF _Toc13555 \h </w:instrText>
      </w:r>
      <w:r>
        <w:rPr>
          <w:highlight w:val="none"/>
        </w:rPr>
        <w:fldChar w:fldCharType="separate"/>
      </w:r>
      <w:r>
        <w:rPr>
          <w:highlight w:val="none"/>
        </w:rPr>
        <w:t>48</w:t>
      </w:r>
      <w:r>
        <w:rPr>
          <w:highlight w:val="none"/>
        </w:rPr>
        <w:fldChar w:fldCharType="end"/>
      </w:r>
      <w:r>
        <w:rPr>
          <w:highlight w:val="none"/>
        </w:rPr>
        <w:fldChar w:fldCharType="end"/>
      </w:r>
    </w:p>
    <w:p w14:paraId="64B4E141">
      <w:pPr>
        <w:pStyle w:val="17"/>
        <w:tabs>
          <w:tab w:val="right" w:leader="dot" w:pos="8306"/>
        </w:tabs>
        <w:rPr>
          <w:highlight w:val="none"/>
        </w:rPr>
      </w:pPr>
      <w:r>
        <w:rPr>
          <w:highlight w:val="none"/>
        </w:rPr>
        <w:fldChar w:fldCharType="begin"/>
      </w:r>
      <w:r>
        <w:rPr>
          <w:highlight w:val="none"/>
        </w:rPr>
        <w:instrText xml:space="preserve"> HYPERLINK \l "_Toc20819" </w:instrText>
      </w:r>
      <w:r>
        <w:rPr>
          <w:highlight w:val="none"/>
        </w:rPr>
        <w:fldChar w:fldCharType="separate"/>
      </w:r>
      <w:r>
        <w:rPr>
          <w:rFonts w:hint="eastAsia" w:asciiTheme="minorEastAsia" w:hAnsiTheme="minorEastAsia"/>
          <w:highlight w:val="none"/>
        </w:rPr>
        <w:t>第七章</w:t>
      </w:r>
      <w:r>
        <w:rPr>
          <w:rFonts w:hint="eastAsia" w:ascii="宋体" w:hAnsi="宋体" w:eastAsia="宋体"/>
          <w:bCs/>
          <w:highlight w:val="none"/>
        </w:rPr>
        <w:t xml:space="preserve">  政府采购</w:t>
      </w:r>
      <w:r>
        <w:rPr>
          <w:rFonts w:hint="eastAsia" w:asciiTheme="minorEastAsia" w:hAnsiTheme="minorEastAsia"/>
          <w:highlight w:val="none"/>
        </w:rPr>
        <w:t>供应</w:t>
      </w:r>
      <w:r>
        <w:rPr>
          <w:rFonts w:hint="eastAsia" w:ascii="宋体" w:hAnsi="宋体" w:eastAsia="宋体"/>
          <w:bCs/>
          <w:highlight w:val="none"/>
        </w:rPr>
        <w:t>商询问函和质疑函范本</w:t>
      </w:r>
      <w:r>
        <w:rPr>
          <w:highlight w:val="none"/>
        </w:rPr>
        <w:tab/>
      </w:r>
      <w:r>
        <w:rPr>
          <w:highlight w:val="none"/>
        </w:rPr>
        <w:fldChar w:fldCharType="begin"/>
      </w:r>
      <w:r>
        <w:rPr>
          <w:highlight w:val="none"/>
        </w:rPr>
        <w:instrText xml:space="preserve"> PAGEREF _Toc20819 \h </w:instrText>
      </w:r>
      <w:r>
        <w:rPr>
          <w:highlight w:val="none"/>
        </w:rPr>
        <w:fldChar w:fldCharType="separate"/>
      </w:r>
      <w:r>
        <w:rPr>
          <w:highlight w:val="none"/>
        </w:rPr>
        <w:t>60</w:t>
      </w:r>
      <w:r>
        <w:rPr>
          <w:highlight w:val="none"/>
        </w:rPr>
        <w:fldChar w:fldCharType="end"/>
      </w:r>
      <w:r>
        <w:rPr>
          <w:highlight w:val="none"/>
        </w:rPr>
        <w:fldChar w:fldCharType="end"/>
      </w:r>
    </w:p>
    <w:p w14:paraId="0A32605F">
      <w:pPr>
        <w:spacing w:line="360" w:lineRule="auto"/>
        <w:rPr>
          <w:rFonts w:asciiTheme="minorEastAsia" w:hAnsiTheme="minorEastAsia" w:eastAsiaTheme="minorEastAsia"/>
          <w:b/>
          <w:sz w:val="32"/>
          <w:highlight w:val="none"/>
        </w:rPr>
      </w:pPr>
      <w:r>
        <w:rPr>
          <w:rFonts w:asciiTheme="minorEastAsia" w:hAnsiTheme="minorEastAsia" w:eastAsiaTheme="minorEastAsia"/>
          <w:szCs w:val="24"/>
          <w:highlight w:val="none"/>
        </w:rPr>
        <w:fldChar w:fldCharType="end"/>
      </w:r>
    </w:p>
    <w:p w14:paraId="49A7C340">
      <w:pPr>
        <w:spacing w:line="360" w:lineRule="auto"/>
        <w:jc w:val="center"/>
        <w:outlineLvl w:val="1"/>
        <w:rPr>
          <w:rFonts w:asciiTheme="minorEastAsia" w:hAnsiTheme="minorEastAsia" w:eastAsiaTheme="minorEastAsia"/>
          <w:b/>
          <w:sz w:val="28"/>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FA4491">
      <w:pPr>
        <w:spacing w:line="360" w:lineRule="auto"/>
        <w:jc w:val="center"/>
        <w:outlineLvl w:val="0"/>
        <w:rPr>
          <w:rFonts w:asciiTheme="minorEastAsia" w:hAnsiTheme="minorEastAsia" w:eastAsiaTheme="minorEastAsia"/>
          <w:b/>
          <w:sz w:val="28"/>
          <w:highlight w:val="none"/>
        </w:rPr>
      </w:pPr>
      <w:bookmarkStart w:id="1" w:name="_Toc32331"/>
      <w:r>
        <w:rPr>
          <w:rFonts w:hint="eastAsia" w:asciiTheme="minorEastAsia" w:hAnsiTheme="minorEastAsia" w:eastAsiaTheme="minorEastAsia"/>
          <w:b/>
          <w:sz w:val="28"/>
          <w:highlight w:val="none"/>
        </w:rPr>
        <w:t xml:space="preserve">第一章 </w:t>
      </w:r>
      <w:r>
        <w:rPr>
          <w:rFonts w:asciiTheme="minorEastAsia" w:hAnsiTheme="minorEastAsia" w:eastAsiaTheme="minorEastAsia"/>
          <w:b/>
          <w:sz w:val="28"/>
          <w:highlight w:val="none"/>
        </w:rPr>
        <w:t xml:space="preserve"> </w:t>
      </w:r>
      <w:bookmarkEnd w:id="1"/>
      <w:r>
        <w:rPr>
          <w:rFonts w:hint="eastAsia" w:asciiTheme="minorEastAsia" w:hAnsiTheme="minorEastAsia" w:eastAsiaTheme="minorEastAsia"/>
          <w:b/>
          <w:sz w:val="28"/>
          <w:highlight w:val="none"/>
        </w:rPr>
        <w:t>招标公告</w:t>
      </w:r>
    </w:p>
    <w:p w14:paraId="7325521A">
      <w:pPr>
        <w:pBdr>
          <w:top w:val="single" w:color="auto" w:sz="4" w:space="1"/>
          <w:left w:val="single" w:color="auto" w:sz="4" w:space="4"/>
          <w:bottom w:val="single" w:color="auto" w:sz="4" w:space="1"/>
          <w:right w:val="single" w:color="auto" w:sz="4" w:space="4"/>
        </w:pBdr>
        <w:rPr>
          <w:rFonts w:ascii="仿宋" w:hAnsi="仿宋" w:eastAsia="仿宋" w:cs="Times New Roman"/>
          <w:sz w:val="28"/>
          <w:szCs w:val="28"/>
          <w:highlight w:val="none"/>
        </w:rPr>
      </w:pPr>
      <w:r>
        <w:rPr>
          <w:rFonts w:hint="eastAsia" w:ascii="仿宋" w:hAnsi="仿宋" w:eastAsia="仿宋" w:cs="Times New Roman"/>
          <w:sz w:val="28"/>
          <w:szCs w:val="28"/>
          <w:highlight w:val="none"/>
        </w:rPr>
        <w:t>项目概况</w:t>
      </w:r>
    </w:p>
    <w:p w14:paraId="79CBB111">
      <w:pPr>
        <w:pBdr>
          <w:top w:val="single" w:color="auto" w:sz="4" w:space="1"/>
          <w:left w:val="single" w:color="auto" w:sz="4" w:space="4"/>
          <w:bottom w:val="single" w:color="auto" w:sz="4" w:space="1"/>
          <w:right w:val="single" w:color="auto" w:sz="4" w:space="4"/>
        </w:pBdr>
        <w:ind w:firstLine="560" w:firstLineChars="200"/>
        <w:rPr>
          <w:rFonts w:ascii="宋体" w:hAnsi="宋体" w:eastAsia="宋体" w:cs="宋体"/>
          <w:sz w:val="24"/>
          <w:szCs w:val="24"/>
          <w:highlight w:val="none"/>
        </w:rPr>
      </w:pPr>
      <w:r>
        <w:rPr>
          <w:rFonts w:hint="eastAsia" w:ascii="仿宋" w:hAnsi="仿宋" w:eastAsia="仿宋" w:cs="Times New Roman"/>
          <w:sz w:val="28"/>
          <w:szCs w:val="28"/>
          <w:highlight w:val="none"/>
        </w:rPr>
        <w:t>铜陵学院育秀校区维修改造工程全过程监理项目的潜在投标人应在安天e采电子交易系统（www.xinecai.com）获取采购文件，并于2025年</w:t>
      </w:r>
      <w:r>
        <w:rPr>
          <w:rFonts w:hint="eastAsia" w:ascii="仿宋" w:hAnsi="仿宋" w:eastAsia="仿宋" w:cs="Times New Roman"/>
          <w:sz w:val="28"/>
          <w:szCs w:val="28"/>
          <w:highlight w:val="none"/>
          <w:lang w:val="en-US" w:eastAsia="zh-CN"/>
        </w:rPr>
        <w:t>10</w:t>
      </w:r>
      <w:r>
        <w:rPr>
          <w:rFonts w:hint="eastAsia" w:ascii="仿宋" w:hAnsi="仿宋" w:eastAsia="仿宋" w:cs="Times New Roman"/>
          <w:sz w:val="28"/>
          <w:szCs w:val="28"/>
          <w:highlight w:val="none"/>
        </w:rPr>
        <w:t>月</w:t>
      </w:r>
      <w:r>
        <w:rPr>
          <w:rFonts w:hint="eastAsia" w:ascii="仿宋" w:hAnsi="仿宋" w:eastAsia="仿宋" w:cs="Times New Roman"/>
          <w:sz w:val="28"/>
          <w:szCs w:val="28"/>
          <w:highlight w:val="none"/>
          <w:lang w:val="en-US" w:eastAsia="zh-CN"/>
        </w:rPr>
        <w:t>9</w:t>
      </w:r>
      <w:r>
        <w:rPr>
          <w:rFonts w:hint="eastAsia" w:ascii="仿宋" w:hAnsi="仿宋" w:eastAsia="仿宋" w:cs="Times New Roman"/>
          <w:sz w:val="28"/>
          <w:szCs w:val="28"/>
          <w:highlight w:val="none"/>
        </w:rPr>
        <w:t>日</w:t>
      </w:r>
      <w:r>
        <w:rPr>
          <w:rFonts w:hint="eastAsia" w:ascii="仿宋" w:hAnsi="仿宋" w:eastAsia="仿宋" w:cs="Times New Roman"/>
          <w:sz w:val="28"/>
          <w:szCs w:val="28"/>
          <w:highlight w:val="none"/>
          <w:lang w:val="en-US" w:eastAsia="zh-CN"/>
        </w:rPr>
        <w:t>14</w:t>
      </w:r>
      <w:r>
        <w:rPr>
          <w:rFonts w:hint="eastAsia" w:ascii="仿宋" w:hAnsi="仿宋" w:eastAsia="仿宋" w:cs="Times New Roman"/>
          <w:sz w:val="28"/>
          <w:szCs w:val="28"/>
          <w:highlight w:val="none"/>
        </w:rPr>
        <w:t>点30分（北京时间）前提交投标文件。</w:t>
      </w:r>
    </w:p>
    <w:p w14:paraId="1654E2AC">
      <w:pPr>
        <w:pStyle w:val="8"/>
        <w:rPr>
          <w:highlight w:val="none"/>
          <w:lang w:val="en-US"/>
        </w:rPr>
      </w:pPr>
    </w:p>
    <w:p w14:paraId="51889FF3">
      <w:pPr>
        <w:spacing w:line="360" w:lineRule="auto"/>
        <w:ind w:firstLine="437"/>
        <w:outlineLvl w:val="1"/>
        <w:rPr>
          <w:rFonts w:ascii="黑体" w:hAnsi="黑体" w:eastAsia="黑体" w:cs="黑体"/>
          <w:b/>
          <w:bCs/>
          <w:sz w:val="28"/>
          <w:szCs w:val="28"/>
          <w:highlight w:val="none"/>
        </w:rPr>
      </w:pPr>
      <w:bookmarkStart w:id="2" w:name="_Toc1381"/>
      <w:bookmarkStart w:id="3" w:name="_Toc31518"/>
      <w:r>
        <w:rPr>
          <w:rFonts w:hint="eastAsia" w:ascii="黑体" w:hAnsi="黑体" w:eastAsia="黑体" w:cs="黑体"/>
          <w:b/>
          <w:bCs/>
          <w:sz w:val="28"/>
          <w:szCs w:val="28"/>
          <w:highlight w:val="none"/>
        </w:rPr>
        <w:t>一、</w:t>
      </w:r>
      <w:bookmarkEnd w:id="2"/>
      <w:r>
        <w:rPr>
          <w:rFonts w:hint="eastAsia" w:ascii="黑体" w:hAnsi="黑体" w:eastAsia="黑体" w:cs="黑体"/>
          <w:b/>
          <w:bCs/>
          <w:sz w:val="28"/>
          <w:szCs w:val="28"/>
          <w:highlight w:val="none"/>
        </w:rPr>
        <w:t>项目基本情况</w:t>
      </w:r>
      <w:bookmarkEnd w:id="3"/>
    </w:p>
    <w:p w14:paraId="016D015A">
      <w:pPr>
        <w:spacing w:line="360" w:lineRule="auto"/>
        <w:ind w:firstLine="435"/>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1.项目编号：FSSD34000120255779/</w:t>
      </w:r>
      <w:r>
        <w:rPr>
          <w:rFonts w:hint="eastAsia" w:ascii="仿宋" w:hAnsi="仿宋" w:eastAsia="仿宋" w:cs="仿宋"/>
          <w:sz w:val="28"/>
          <w:szCs w:val="28"/>
          <w:highlight w:val="none"/>
          <w:lang w:eastAsia="zh-CN"/>
        </w:rPr>
        <w:t>25AT186046906504</w:t>
      </w:r>
    </w:p>
    <w:p w14:paraId="4DD98587">
      <w:pPr>
        <w:spacing w:line="360" w:lineRule="auto"/>
        <w:ind w:firstLine="435"/>
        <w:rPr>
          <w:rFonts w:ascii="仿宋" w:hAnsi="仿宋" w:eastAsia="仿宋" w:cs="仿宋"/>
          <w:sz w:val="28"/>
          <w:szCs w:val="28"/>
          <w:highlight w:val="none"/>
          <w:u w:val="single"/>
        </w:rPr>
      </w:pPr>
      <w:r>
        <w:rPr>
          <w:rFonts w:hint="eastAsia" w:ascii="仿宋" w:hAnsi="仿宋" w:eastAsia="仿宋" w:cs="仿宋"/>
          <w:sz w:val="28"/>
          <w:szCs w:val="28"/>
          <w:highlight w:val="none"/>
        </w:rPr>
        <w:t>2.项目名称：铜陵学院育秀校区维修改造工程全过程监理项目</w:t>
      </w:r>
    </w:p>
    <w:p w14:paraId="2CE46FDA">
      <w:pPr>
        <w:spacing w:line="360" w:lineRule="auto"/>
        <w:ind w:firstLine="435"/>
        <w:rPr>
          <w:rFonts w:ascii="仿宋" w:hAnsi="仿宋" w:eastAsia="仿宋" w:cs="仿宋"/>
          <w:sz w:val="28"/>
          <w:szCs w:val="28"/>
          <w:highlight w:val="none"/>
        </w:rPr>
      </w:pPr>
      <w:r>
        <w:rPr>
          <w:rFonts w:hint="eastAsia" w:ascii="仿宋" w:hAnsi="仿宋" w:eastAsia="仿宋" w:cs="仿宋"/>
          <w:sz w:val="28"/>
          <w:szCs w:val="28"/>
          <w:highlight w:val="none"/>
        </w:rPr>
        <w:t>3.预算金额：714400.00元</w:t>
      </w:r>
    </w:p>
    <w:p w14:paraId="52A3BB09">
      <w:pPr>
        <w:spacing w:line="360" w:lineRule="auto"/>
        <w:ind w:firstLine="435"/>
        <w:rPr>
          <w:rFonts w:ascii="仿宋" w:hAnsi="仿宋" w:eastAsia="仿宋" w:cs="仿宋"/>
          <w:sz w:val="28"/>
          <w:szCs w:val="28"/>
          <w:highlight w:val="none"/>
        </w:rPr>
      </w:pPr>
      <w:r>
        <w:rPr>
          <w:rFonts w:hint="eastAsia" w:ascii="仿宋" w:hAnsi="仿宋" w:eastAsia="仿宋" w:cs="仿宋"/>
          <w:sz w:val="28"/>
          <w:szCs w:val="28"/>
          <w:highlight w:val="none"/>
        </w:rPr>
        <w:t>4.最高限价：0.94%</w:t>
      </w:r>
    </w:p>
    <w:p w14:paraId="6E4B34FD">
      <w:pPr>
        <w:spacing w:line="360" w:lineRule="auto"/>
        <w:ind w:firstLine="435"/>
        <w:rPr>
          <w:rFonts w:ascii="仿宋" w:hAnsi="仿宋" w:eastAsia="仿宋" w:cs="仿宋"/>
          <w:sz w:val="28"/>
          <w:szCs w:val="28"/>
          <w:highlight w:val="none"/>
        </w:rPr>
      </w:pPr>
      <w:r>
        <w:rPr>
          <w:rFonts w:hint="eastAsia" w:ascii="仿宋" w:hAnsi="仿宋" w:eastAsia="仿宋" w:cs="仿宋"/>
          <w:sz w:val="28"/>
          <w:szCs w:val="28"/>
          <w:highlight w:val="none"/>
        </w:rPr>
        <w:t>5.采购需求：铜陵学院育秀校区维修改造工程全过程监理项目，包括对建设工程质量、造价、进度进行控制，对合同、信息进行管理，对工程建设相关方的关系进行协调，并履行建设工程安全生产管理法定职责。育秀校区维修改造工程主要对育秀校区原有建筑进行维修改造约38693.80平方米，对育秀校区基础设施改造及环境提升总建设面积约120356.00平方米，工程总投资约7580.</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万元，监理服务费最高限价0.94%，详见采购需求。</w:t>
      </w:r>
    </w:p>
    <w:p w14:paraId="563CBD41">
      <w:pPr>
        <w:spacing w:line="360" w:lineRule="auto"/>
        <w:ind w:firstLine="435"/>
        <w:rPr>
          <w:rFonts w:ascii="仿宋" w:hAnsi="仿宋" w:eastAsia="仿宋" w:cs="仿宋"/>
          <w:sz w:val="28"/>
          <w:szCs w:val="28"/>
          <w:highlight w:val="none"/>
        </w:rPr>
      </w:pPr>
      <w:r>
        <w:rPr>
          <w:rFonts w:hint="eastAsia" w:ascii="仿宋" w:hAnsi="仿宋" w:eastAsia="仿宋" w:cs="仿宋"/>
          <w:sz w:val="28"/>
          <w:szCs w:val="28"/>
          <w:highlight w:val="none"/>
        </w:rPr>
        <w:t>6.合同履行期限：工程施工准备阶段至工程竣工备案（同施工工期，施工工期约180日历天）直至后期结算审计结束及缺陷责任期满。</w:t>
      </w:r>
    </w:p>
    <w:p w14:paraId="73353D74">
      <w:pPr>
        <w:spacing w:line="360" w:lineRule="auto"/>
        <w:ind w:firstLine="435"/>
        <w:rPr>
          <w:rFonts w:ascii="仿宋" w:hAnsi="仿宋" w:eastAsia="仿宋" w:cs="仿宋"/>
          <w:sz w:val="28"/>
          <w:szCs w:val="28"/>
          <w:highlight w:val="none"/>
        </w:rPr>
      </w:pPr>
      <w:r>
        <w:rPr>
          <w:rFonts w:hint="eastAsia" w:ascii="仿宋" w:hAnsi="仿宋" w:eastAsia="仿宋" w:cs="仿宋"/>
          <w:sz w:val="28"/>
          <w:szCs w:val="28"/>
          <w:highlight w:val="none"/>
        </w:rPr>
        <w:t>7.本项目是否接受联合体投标：否。</w:t>
      </w:r>
    </w:p>
    <w:p w14:paraId="5C8378FC">
      <w:pPr>
        <w:spacing w:line="360" w:lineRule="auto"/>
        <w:ind w:firstLine="437"/>
        <w:outlineLvl w:val="1"/>
        <w:rPr>
          <w:rFonts w:ascii="仿宋" w:hAnsi="仿宋" w:eastAsia="仿宋" w:cs="仿宋"/>
          <w:b/>
          <w:bCs/>
          <w:sz w:val="28"/>
          <w:szCs w:val="28"/>
          <w:highlight w:val="none"/>
        </w:rPr>
      </w:pPr>
      <w:bookmarkStart w:id="4" w:name="_Toc13530"/>
      <w:bookmarkStart w:id="5" w:name="_Toc9204"/>
      <w:r>
        <w:rPr>
          <w:rFonts w:hint="eastAsia" w:ascii="黑体" w:hAnsi="黑体" w:eastAsia="黑体" w:cs="黑体"/>
          <w:b/>
          <w:bCs/>
          <w:sz w:val="28"/>
          <w:szCs w:val="28"/>
          <w:highlight w:val="none"/>
        </w:rPr>
        <w:t>二、</w:t>
      </w:r>
      <w:bookmarkEnd w:id="4"/>
      <w:r>
        <w:rPr>
          <w:rFonts w:hint="eastAsia" w:ascii="黑体" w:hAnsi="黑体" w:eastAsia="黑体" w:cs="黑体"/>
          <w:b/>
          <w:bCs/>
          <w:sz w:val="28"/>
          <w:szCs w:val="28"/>
          <w:highlight w:val="none"/>
        </w:rPr>
        <w:t>申请人的资格要求</w:t>
      </w:r>
      <w:bookmarkEnd w:id="5"/>
    </w:p>
    <w:p w14:paraId="3AC5407A">
      <w:pPr>
        <w:spacing w:line="360" w:lineRule="auto"/>
        <w:ind w:firstLine="435"/>
        <w:rPr>
          <w:rFonts w:ascii="仿宋" w:hAnsi="仿宋" w:eastAsia="仿宋" w:cs="仿宋"/>
          <w:sz w:val="28"/>
          <w:szCs w:val="28"/>
          <w:highlight w:val="none"/>
        </w:rPr>
      </w:pPr>
      <w:bookmarkStart w:id="6" w:name="_Toc30110"/>
      <w:r>
        <w:rPr>
          <w:rFonts w:hint="eastAsia" w:ascii="仿宋" w:hAnsi="仿宋" w:eastAsia="仿宋" w:cs="仿宋"/>
          <w:sz w:val="28"/>
          <w:szCs w:val="28"/>
          <w:highlight w:val="none"/>
        </w:rPr>
        <w:t>1.满足《中华人民共和国政府采购法》第二十二条规定；</w:t>
      </w:r>
    </w:p>
    <w:p w14:paraId="3C47557F">
      <w:pPr>
        <w:spacing w:line="360" w:lineRule="auto"/>
        <w:ind w:firstLine="435"/>
        <w:rPr>
          <w:rFonts w:ascii="仿宋" w:hAnsi="仿宋" w:eastAsia="仿宋" w:cs="仿宋"/>
          <w:sz w:val="28"/>
          <w:szCs w:val="28"/>
          <w:highlight w:val="none"/>
        </w:rPr>
      </w:pPr>
      <w:r>
        <w:rPr>
          <w:rFonts w:hint="eastAsia" w:ascii="仿宋" w:hAnsi="仿宋" w:eastAsia="仿宋" w:cs="仿宋"/>
          <w:sz w:val="28"/>
          <w:szCs w:val="28"/>
          <w:highlight w:val="none"/>
        </w:rPr>
        <w:t>2.落实政府采购政策需满足的资格要求：</w:t>
      </w:r>
      <w:r>
        <w:rPr>
          <w:rFonts w:hint="eastAsia" w:ascii="仿宋" w:hAnsi="仿宋" w:eastAsia="仿宋" w:cs="Times New Roman"/>
          <w:sz w:val="28"/>
          <w:szCs w:val="28"/>
          <w:highlight w:val="none"/>
        </w:rPr>
        <w:t>本项目为专门面向中小企业采购项目，供应商应为中小微企业，本项目同时落实监狱企业、残疾人福利性单位扶持政策；</w:t>
      </w:r>
    </w:p>
    <w:p w14:paraId="17A7C66D">
      <w:pPr>
        <w:spacing w:line="360" w:lineRule="auto"/>
        <w:ind w:firstLine="435"/>
        <w:rPr>
          <w:rFonts w:ascii="仿宋" w:hAnsi="仿宋" w:eastAsia="仿宋" w:cs="仿宋"/>
          <w:sz w:val="28"/>
          <w:szCs w:val="28"/>
          <w:highlight w:val="none"/>
        </w:rPr>
      </w:pPr>
      <w:r>
        <w:rPr>
          <w:rFonts w:hint="eastAsia" w:ascii="仿宋" w:hAnsi="仿宋" w:eastAsia="仿宋" w:cs="仿宋"/>
          <w:sz w:val="28"/>
          <w:szCs w:val="28"/>
          <w:highlight w:val="none"/>
        </w:rPr>
        <w:t>3.本项目的特定资格要求：</w:t>
      </w:r>
      <w:bookmarkStart w:id="7" w:name="_Toc21681"/>
    </w:p>
    <w:p w14:paraId="1A73FC8C">
      <w:pPr>
        <w:spacing w:line="360" w:lineRule="auto"/>
        <w:ind w:firstLine="435"/>
        <w:rPr>
          <w:rFonts w:eastAsia="仿宋"/>
          <w:highlight w:val="none"/>
        </w:rPr>
      </w:pPr>
      <w:r>
        <w:rPr>
          <w:rFonts w:hint="eastAsia" w:ascii="仿宋" w:hAnsi="仿宋" w:eastAsia="仿宋" w:cs="仿宋"/>
          <w:sz w:val="28"/>
          <w:szCs w:val="28"/>
          <w:highlight w:val="none"/>
        </w:rPr>
        <w:t>（1）供应商须具备有效的房屋建筑工程专业监理甲级资质或工程监理综合资质。</w:t>
      </w:r>
    </w:p>
    <w:p w14:paraId="6EAC3C22">
      <w:pPr>
        <w:spacing w:line="360" w:lineRule="auto"/>
        <w:ind w:firstLine="435"/>
        <w:rPr>
          <w:rFonts w:ascii="仿宋" w:hAnsi="仿宋" w:eastAsia="仿宋" w:cs="仿宋"/>
          <w:sz w:val="28"/>
          <w:szCs w:val="28"/>
          <w:highlight w:val="none"/>
        </w:rPr>
      </w:pPr>
      <w:r>
        <w:rPr>
          <w:rFonts w:hint="eastAsia" w:ascii="仿宋" w:hAnsi="仿宋" w:eastAsia="仿宋" w:cs="仿宋"/>
          <w:sz w:val="28"/>
          <w:szCs w:val="28"/>
          <w:highlight w:val="none"/>
        </w:rPr>
        <w:t>（2）项目总监理工程师资格要求：供应商拟委任项目总监理工程师须具备有效的房屋建筑工程专业国家注册监理工程师资格。</w:t>
      </w:r>
    </w:p>
    <w:p w14:paraId="608BC3CF">
      <w:pPr>
        <w:spacing w:line="360" w:lineRule="auto"/>
        <w:ind w:firstLine="437"/>
        <w:outlineLvl w:val="1"/>
        <w:rPr>
          <w:rFonts w:ascii="仿宋" w:hAnsi="仿宋" w:eastAsia="仿宋" w:cs="仿宋"/>
          <w:b/>
          <w:bCs/>
          <w:sz w:val="28"/>
          <w:szCs w:val="28"/>
          <w:highlight w:val="none"/>
        </w:rPr>
      </w:pPr>
      <w:r>
        <w:rPr>
          <w:rFonts w:hint="eastAsia" w:ascii="黑体" w:hAnsi="黑体" w:eastAsia="黑体" w:cs="黑体"/>
          <w:b/>
          <w:bCs/>
          <w:sz w:val="28"/>
          <w:szCs w:val="28"/>
          <w:highlight w:val="none"/>
        </w:rPr>
        <w:t>三、</w:t>
      </w:r>
      <w:bookmarkEnd w:id="6"/>
      <w:r>
        <w:rPr>
          <w:rFonts w:hint="eastAsia" w:ascii="黑体" w:hAnsi="黑体" w:eastAsia="黑体" w:cs="黑体"/>
          <w:b/>
          <w:bCs/>
          <w:sz w:val="28"/>
          <w:szCs w:val="28"/>
          <w:highlight w:val="none"/>
        </w:rPr>
        <w:t>获取招标文件</w:t>
      </w:r>
      <w:bookmarkEnd w:id="7"/>
    </w:p>
    <w:p w14:paraId="6CE3C5EC">
      <w:pPr>
        <w:spacing w:line="360" w:lineRule="auto"/>
        <w:ind w:firstLine="540"/>
        <w:rPr>
          <w:rFonts w:ascii="仿宋" w:hAnsi="仿宋" w:eastAsia="仿宋" w:cs="仿宋"/>
          <w:sz w:val="28"/>
          <w:szCs w:val="28"/>
          <w:highlight w:val="none"/>
        </w:rPr>
      </w:pPr>
      <w:bookmarkStart w:id="8" w:name="_Toc7957"/>
      <w:r>
        <w:rPr>
          <w:rFonts w:hint="eastAsia" w:ascii="仿宋" w:hAnsi="仿宋" w:eastAsia="仿宋" w:cs="仿宋"/>
          <w:sz w:val="28"/>
          <w:szCs w:val="28"/>
          <w:highlight w:val="none"/>
        </w:rPr>
        <w:t>时间：2025年9月</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日至2025年</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22</w:t>
      </w:r>
      <w:r>
        <w:rPr>
          <w:rFonts w:hint="eastAsia" w:ascii="仿宋" w:hAnsi="仿宋" w:eastAsia="仿宋" w:cs="仿宋"/>
          <w:sz w:val="28"/>
          <w:szCs w:val="28"/>
          <w:highlight w:val="none"/>
        </w:rPr>
        <w:t>日17:00（北京时间）；在获取时间内登录安天e采电子交易系统（www.xinecai.com）下载。</w:t>
      </w:r>
    </w:p>
    <w:p w14:paraId="792CD3E2">
      <w:pPr>
        <w:spacing w:line="360" w:lineRule="auto"/>
        <w:ind w:firstLine="540"/>
        <w:rPr>
          <w:rFonts w:ascii="仿宋" w:hAnsi="仿宋" w:eastAsia="仿宋" w:cs="仿宋"/>
          <w:sz w:val="28"/>
          <w:szCs w:val="28"/>
          <w:highlight w:val="none"/>
        </w:rPr>
      </w:pPr>
      <w:r>
        <w:rPr>
          <w:rFonts w:hint="eastAsia" w:ascii="仿宋" w:hAnsi="仿宋" w:eastAsia="仿宋" w:cs="仿宋"/>
          <w:sz w:val="28"/>
          <w:szCs w:val="28"/>
          <w:highlight w:val="none"/>
        </w:rPr>
        <w:t>方式：网上获取。具体操作参见安天e采操作手册，安天e采服务热线：400-050-9988。</w:t>
      </w:r>
    </w:p>
    <w:p w14:paraId="47C98DB2">
      <w:pPr>
        <w:spacing w:line="360" w:lineRule="auto"/>
        <w:ind w:firstLine="540"/>
        <w:rPr>
          <w:rFonts w:ascii="仿宋" w:hAnsi="仿宋" w:eastAsia="仿宋" w:cs="仿宋"/>
          <w:sz w:val="28"/>
          <w:szCs w:val="28"/>
          <w:highlight w:val="none"/>
        </w:rPr>
      </w:pPr>
      <w:r>
        <w:rPr>
          <w:rFonts w:hint="eastAsia" w:ascii="仿宋" w:hAnsi="仿宋" w:eastAsia="仿宋" w:cs="仿宋"/>
          <w:sz w:val="28"/>
          <w:szCs w:val="28"/>
          <w:highlight w:val="none"/>
        </w:rPr>
        <w:t>售价：本项目免收招标文件费用。</w:t>
      </w:r>
    </w:p>
    <w:p w14:paraId="1A4DC49A">
      <w:pPr>
        <w:spacing w:line="360" w:lineRule="auto"/>
        <w:ind w:firstLine="437"/>
        <w:outlineLvl w:val="1"/>
        <w:rPr>
          <w:rFonts w:ascii="仿宋" w:hAnsi="仿宋" w:eastAsia="仿宋" w:cs="仿宋"/>
          <w:b/>
          <w:bCs/>
          <w:sz w:val="28"/>
          <w:szCs w:val="28"/>
          <w:highlight w:val="none"/>
        </w:rPr>
      </w:pPr>
      <w:bookmarkStart w:id="9" w:name="_Toc25902"/>
      <w:r>
        <w:rPr>
          <w:rFonts w:hint="eastAsia" w:ascii="黑体" w:hAnsi="黑体" w:eastAsia="黑体" w:cs="黑体"/>
          <w:b/>
          <w:bCs/>
          <w:sz w:val="28"/>
          <w:szCs w:val="28"/>
          <w:highlight w:val="none"/>
        </w:rPr>
        <w:t>四、</w:t>
      </w:r>
      <w:bookmarkEnd w:id="8"/>
      <w:r>
        <w:rPr>
          <w:rFonts w:hint="eastAsia" w:ascii="黑体" w:hAnsi="黑体" w:eastAsia="黑体" w:cs="黑体"/>
          <w:b/>
          <w:bCs/>
          <w:sz w:val="28"/>
          <w:szCs w:val="28"/>
          <w:highlight w:val="none"/>
        </w:rPr>
        <w:t>提交投标文件截止时间、开标时间和地点</w:t>
      </w:r>
      <w:bookmarkEnd w:id="9"/>
    </w:p>
    <w:p w14:paraId="347C00BE">
      <w:pPr>
        <w:spacing w:line="360" w:lineRule="auto"/>
        <w:ind w:firstLine="560" w:firstLineChars="200"/>
        <w:rPr>
          <w:rFonts w:ascii="仿宋" w:hAnsi="仿宋" w:eastAsia="仿宋" w:cs="仿宋"/>
          <w:bCs/>
          <w:sz w:val="28"/>
          <w:szCs w:val="28"/>
          <w:highlight w:val="none"/>
        </w:rPr>
      </w:pPr>
      <w:bookmarkStart w:id="10" w:name="_Toc5082"/>
      <w:r>
        <w:rPr>
          <w:rFonts w:hint="eastAsia" w:ascii="仿宋" w:hAnsi="仿宋" w:eastAsia="仿宋" w:cs="仿宋"/>
          <w:bCs/>
          <w:sz w:val="28"/>
          <w:szCs w:val="28"/>
          <w:highlight w:val="none"/>
        </w:rPr>
        <w:t>时间：2025年</w:t>
      </w:r>
      <w:r>
        <w:rPr>
          <w:rFonts w:hint="eastAsia" w:ascii="仿宋" w:hAnsi="仿宋" w:eastAsia="仿宋" w:cs="仿宋"/>
          <w:bCs/>
          <w:sz w:val="28"/>
          <w:szCs w:val="28"/>
          <w:highlight w:val="none"/>
          <w:lang w:val="en-US" w:eastAsia="zh-CN"/>
        </w:rPr>
        <w:t>10</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lang w:val="en-US" w:eastAsia="zh-CN"/>
        </w:rPr>
        <w:t>9</w:t>
      </w:r>
      <w:r>
        <w:rPr>
          <w:rFonts w:hint="eastAsia" w:ascii="仿宋" w:hAnsi="仿宋" w:eastAsia="仿宋" w:cs="仿宋"/>
          <w:bCs/>
          <w:sz w:val="28"/>
          <w:szCs w:val="28"/>
          <w:highlight w:val="none"/>
        </w:rPr>
        <w:t>日</w:t>
      </w:r>
      <w:r>
        <w:rPr>
          <w:rFonts w:hint="eastAsia" w:ascii="仿宋" w:hAnsi="仿宋" w:eastAsia="仿宋" w:cs="仿宋"/>
          <w:bCs/>
          <w:sz w:val="28"/>
          <w:szCs w:val="28"/>
          <w:highlight w:val="none"/>
          <w:lang w:val="en-US" w:eastAsia="zh-CN"/>
        </w:rPr>
        <w:t>14</w:t>
      </w:r>
      <w:r>
        <w:rPr>
          <w:rFonts w:hint="eastAsia" w:ascii="仿宋" w:hAnsi="仿宋" w:eastAsia="仿宋" w:cs="仿宋"/>
          <w:bCs/>
          <w:sz w:val="28"/>
          <w:szCs w:val="28"/>
          <w:highlight w:val="none"/>
        </w:rPr>
        <w:t>点30分（北京时间）</w:t>
      </w:r>
    </w:p>
    <w:p w14:paraId="143546BA">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地点：在提交截止时间前将加密的电子投标文件上传至电子交易系统，逾期提交的，电子交易系统将拒收。</w:t>
      </w:r>
    </w:p>
    <w:p w14:paraId="5AE70EE8">
      <w:pPr>
        <w:spacing w:line="360" w:lineRule="auto"/>
        <w:ind w:firstLine="437"/>
        <w:outlineLvl w:val="1"/>
        <w:rPr>
          <w:rFonts w:ascii="黑体" w:hAnsi="黑体" w:eastAsia="黑体" w:cs="黑体"/>
          <w:b/>
          <w:bCs/>
          <w:sz w:val="28"/>
          <w:szCs w:val="28"/>
          <w:highlight w:val="none"/>
        </w:rPr>
      </w:pPr>
      <w:bookmarkStart w:id="11" w:name="_Toc7753"/>
      <w:r>
        <w:rPr>
          <w:rFonts w:hint="eastAsia" w:ascii="黑体" w:hAnsi="黑体" w:eastAsia="黑体" w:cs="黑体"/>
          <w:b/>
          <w:bCs/>
          <w:sz w:val="28"/>
          <w:szCs w:val="28"/>
          <w:highlight w:val="none"/>
        </w:rPr>
        <w:t>五、</w:t>
      </w:r>
      <w:bookmarkEnd w:id="10"/>
      <w:r>
        <w:rPr>
          <w:rFonts w:hint="eastAsia" w:ascii="黑体" w:hAnsi="黑体" w:eastAsia="黑体" w:cs="黑体"/>
          <w:b/>
          <w:bCs/>
          <w:sz w:val="28"/>
          <w:szCs w:val="28"/>
          <w:highlight w:val="none"/>
        </w:rPr>
        <w:t>公告期限</w:t>
      </w:r>
      <w:bookmarkEnd w:id="11"/>
    </w:p>
    <w:p w14:paraId="6D33C31A">
      <w:pPr>
        <w:spacing w:line="360" w:lineRule="auto"/>
        <w:ind w:firstLine="437"/>
        <w:rPr>
          <w:rFonts w:ascii="仿宋" w:hAnsi="仿宋" w:eastAsia="仿宋" w:cs="仿宋"/>
          <w:sz w:val="28"/>
          <w:szCs w:val="28"/>
          <w:highlight w:val="none"/>
        </w:rPr>
      </w:pPr>
      <w:bookmarkStart w:id="12" w:name="_Toc1215"/>
      <w:r>
        <w:rPr>
          <w:rFonts w:hint="eastAsia" w:ascii="仿宋" w:hAnsi="仿宋" w:eastAsia="仿宋" w:cs="仿宋"/>
          <w:sz w:val="28"/>
          <w:szCs w:val="28"/>
          <w:highlight w:val="none"/>
        </w:rPr>
        <w:t>自本公告发布之日起5个工作日。</w:t>
      </w:r>
    </w:p>
    <w:p w14:paraId="75D0C111">
      <w:pPr>
        <w:spacing w:line="360" w:lineRule="auto"/>
        <w:ind w:firstLine="437"/>
        <w:outlineLvl w:val="1"/>
        <w:rPr>
          <w:rFonts w:ascii="仿宋" w:hAnsi="仿宋" w:eastAsia="仿宋" w:cs="仿宋"/>
          <w:b/>
          <w:bCs/>
          <w:sz w:val="28"/>
          <w:szCs w:val="28"/>
          <w:highlight w:val="none"/>
        </w:rPr>
      </w:pPr>
      <w:bookmarkStart w:id="13" w:name="_Toc31539"/>
      <w:bookmarkStart w:id="14" w:name="_Toc35393626"/>
      <w:bookmarkStart w:id="15" w:name="_Toc35393795"/>
      <w:r>
        <w:rPr>
          <w:rFonts w:hint="eastAsia" w:ascii="黑体" w:hAnsi="黑体" w:eastAsia="黑体" w:cs="黑体"/>
          <w:b/>
          <w:bCs/>
          <w:sz w:val="28"/>
          <w:szCs w:val="28"/>
          <w:highlight w:val="none"/>
        </w:rPr>
        <w:t>六、其他补充事宜</w:t>
      </w:r>
      <w:bookmarkEnd w:id="13"/>
      <w:bookmarkEnd w:id="14"/>
      <w:bookmarkEnd w:id="15"/>
    </w:p>
    <w:p w14:paraId="648B967F">
      <w:pPr>
        <w:spacing w:line="360" w:lineRule="auto"/>
        <w:ind w:firstLine="437"/>
        <w:rPr>
          <w:rFonts w:ascii="仿宋" w:hAnsi="仿宋" w:eastAsia="仿宋" w:cs="仿宋"/>
          <w:sz w:val="28"/>
          <w:szCs w:val="28"/>
          <w:highlight w:val="none"/>
        </w:rPr>
      </w:pPr>
      <w:r>
        <w:rPr>
          <w:rFonts w:hint="eastAsia" w:ascii="仿宋" w:hAnsi="仿宋" w:eastAsia="仿宋" w:cs="仿宋"/>
          <w:sz w:val="28"/>
          <w:szCs w:val="28"/>
          <w:highlight w:val="none"/>
        </w:rPr>
        <w:t>1.本项目落实节能环保、中小微型企业扶持等相关政府采购政策。</w:t>
      </w:r>
    </w:p>
    <w:p w14:paraId="5A196093">
      <w:pPr>
        <w:spacing w:line="360" w:lineRule="auto"/>
        <w:ind w:firstLine="437"/>
        <w:rPr>
          <w:rFonts w:ascii="仿宋" w:hAnsi="仿宋" w:eastAsia="仿宋" w:cs="仿宋"/>
          <w:sz w:val="28"/>
          <w:szCs w:val="28"/>
          <w:highlight w:val="none"/>
        </w:rPr>
      </w:pPr>
      <w:r>
        <w:rPr>
          <w:rFonts w:hint="eastAsia" w:ascii="仿宋" w:hAnsi="仿宋" w:eastAsia="仿宋" w:cs="仿宋"/>
          <w:sz w:val="28"/>
          <w:szCs w:val="28"/>
          <w:highlight w:val="none"/>
        </w:rPr>
        <w:t>2.本次招标公告同时在安徽省政府采购网、安天e采网站等网上发布。</w:t>
      </w:r>
    </w:p>
    <w:p w14:paraId="1A9ACA76">
      <w:pPr>
        <w:spacing w:line="360" w:lineRule="auto"/>
        <w:ind w:firstLine="437"/>
        <w:rPr>
          <w:rFonts w:ascii="仿宋" w:hAnsi="仿宋" w:eastAsia="仿宋" w:cs="仿宋"/>
          <w:sz w:val="28"/>
          <w:szCs w:val="28"/>
          <w:highlight w:val="none"/>
        </w:rPr>
      </w:pPr>
      <w:r>
        <w:rPr>
          <w:rFonts w:hint="eastAsia" w:ascii="仿宋" w:hAnsi="仿宋" w:eastAsia="仿宋" w:cs="仿宋"/>
          <w:sz w:val="28"/>
          <w:szCs w:val="28"/>
          <w:highlight w:val="none"/>
        </w:rPr>
        <w:t>3.投标人应合理安排招标文件获取时间，特别是网络速度慢的地区防止在系统关闭前网络拥堵无法操作。如果因计算机及网络故障造成无法完成招标文件获取，责任自负。</w:t>
      </w:r>
    </w:p>
    <w:p w14:paraId="3F55C94A">
      <w:pPr>
        <w:spacing w:line="360" w:lineRule="auto"/>
        <w:ind w:firstLine="437"/>
        <w:rPr>
          <w:rFonts w:ascii="仿宋" w:hAnsi="仿宋" w:eastAsia="仿宋" w:cs="仿宋"/>
          <w:sz w:val="28"/>
          <w:szCs w:val="28"/>
          <w:highlight w:val="none"/>
        </w:rPr>
      </w:pPr>
      <w:r>
        <w:rPr>
          <w:rFonts w:hint="eastAsia" w:ascii="仿宋" w:hAnsi="仿宋" w:eastAsia="仿宋" w:cs="仿宋"/>
          <w:sz w:val="28"/>
          <w:szCs w:val="28"/>
          <w:highlight w:val="none"/>
        </w:rPr>
        <w:t>4.本项目实施全流程电子化交易，投标文件实施网上远程解密，投标人无需前往开标现场。</w:t>
      </w:r>
    </w:p>
    <w:bookmarkEnd w:id="12"/>
    <w:p w14:paraId="5917ED1B">
      <w:pPr>
        <w:spacing w:line="360" w:lineRule="auto"/>
        <w:ind w:firstLine="437"/>
        <w:outlineLvl w:val="1"/>
        <w:rPr>
          <w:rFonts w:ascii="仿宋" w:hAnsi="仿宋" w:eastAsia="仿宋" w:cs="仿宋"/>
          <w:b/>
          <w:bCs/>
          <w:sz w:val="28"/>
          <w:szCs w:val="28"/>
          <w:highlight w:val="none"/>
        </w:rPr>
      </w:pPr>
      <w:bookmarkStart w:id="16" w:name="_Toc7265"/>
      <w:bookmarkStart w:id="17" w:name="_Toc13296"/>
      <w:r>
        <w:rPr>
          <w:rFonts w:hint="eastAsia" w:ascii="黑体" w:hAnsi="黑体" w:eastAsia="黑体" w:cs="黑体"/>
          <w:b/>
          <w:bCs/>
          <w:sz w:val="28"/>
          <w:szCs w:val="28"/>
          <w:highlight w:val="none"/>
        </w:rPr>
        <w:t>七、</w:t>
      </w:r>
      <w:bookmarkEnd w:id="16"/>
      <w:r>
        <w:rPr>
          <w:rFonts w:hint="eastAsia" w:ascii="黑体" w:hAnsi="黑体" w:eastAsia="黑体" w:cs="黑体"/>
          <w:b/>
          <w:bCs/>
          <w:sz w:val="28"/>
          <w:szCs w:val="28"/>
          <w:highlight w:val="none"/>
        </w:rPr>
        <w:t>对本次招标提出询问，请按以下方式联系</w:t>
      </w:r>
      <w:bookmarkEnd w:id="17"/>
    </w:p>
    <w:p w14:paraId="05EFFAC1">
      <w:pPr>
        <w:spacing w:line="360" w:lineRule="auto"/>
        <w:ind w:firstLine="437"/>
        <w:rPr>
          <w:rFonts w:ascii="仿宋" w:hAnsi="仿宋" w:eastAsia="仿宋" w:cs="仿宋"/>
          <w:sz w:val="28"/>
          <w:szCs w:val="28"/>
          <w:highlight w:val="none"/>
        </w:rPr>
      </w:pPr>
      <w:r>
        <w:rPr>
          <w:rFonts w:hint="eastAsia" w:ascii="仿宋" w:hAnsi="仿宋" w:eastAsia="仿宋" w:cs="仿宋"/>
          <w:sz w:val="28"/>
          <w:szCs w:val="28"/>
          <w:highlight w:val="none"/>
        </w:rPr>
        <w:t>1.招标人信息</w:t>
      </w:r>
    </w:p>
    <w:p w14:paraId="62737EB3">
      <w:pPr>
        <w:spacing w:line="360" w:lineRule="auto"/>
        <w:ind w:firstLine="437"/>
        <w:rPr>
          <w:rFonts w:ascii="仿宋" w:hAnsi="仿宋" w:eastAsia="仿宋" w:cs="仿宋"/>
          <w:sz w:val="28"/>
          <w:szCs w:val="28"/>
          <w:highlight w:val="none"/>
        </w:rPr>
      </w:pPr>
      <w:r>
        <w:rPr>
          <w:rFonts w:hint="eastAsia" w:ascii="仿宋" w:hAnsi="仿宋" w:eastAsia="仿宋" w:cs="仿宋"/>
          <w:sz w:val="28"/>
          <w:szCs w:val="28"/>
          <w:highlight w:val="none"/>
        </w:rPr>
        <w:t>名    称：铜陵学院</w:t>
      </w:r>
    </w:p>
    <w:p w14:paraId="03D088E6">
      <w:pPr>
        <w:spacing w:line="360" w:lineRule="auto"/>
        <w:ind w:firstLine="437"/>
        <w:rPr>
          <w:rFonts w:ascii="仿宋" w:hAnsi="仿宋" w:eastAsia="仿宋" w:cs="仿宋"/>
          <w:sz w:val="28"/>
          <w:szCs w:val="28"/>
          <w:highlight w:val="none"/>
        </w:rPr>
      </w:pPr>
      <w:r>
        <w:rPr>
          <w:rFonts w:hint="eastAsia" w:ascii="仿宋" w:hAnsi="仿宋" w:eastAsia="仿宋" w:cs="仿宋"/>
          <w:sz w:val="28"/>
          <w:szCs w:val="28"/>
          <w:highlight w:val="none"/>
        </w:rPr>
        <w:t>地    址：铜陵市铜官区翠湖四路1335号</w:t>
      </w:r>
    </w:p>
    <w:p w14:paraId="72209A4C">
      <w:pPr>
        <w:spacing w:line="360" w:lineRule="auto"/>
        <w:ind w:firstLine="437"/>
        <w:rPr>
          <w:rFonts w:ascii="仿宋" w:hAnsi="仿宋" w:eastAsia="仿宋" w:cs="仿宋"/>
          <w:sz w:val="28"/>
          <w:szCs w:val="28"/>
          <w:highlight w:val="none"/>
        </w:rPr>
      </w:pPr>
      <w:r>
        <w:rPr>
          <w:rFonts w:hint="eastAsia" w:ascii="仿宋" w:hAnsi="仿宋" w:eastAsia="仿宋" w:cs="仿宋"/>
          <w:sz w:val="28"/>
          <w:szCs w:val="28"/>
          <w:highlight w:val="none"/>
        </w:rPr>
        <w:t>联系方式：0562-5883540</w:t>
      </w:r>
    </w:p>
    <w:p w14:paraId="67CC3F08">
      <w:pPr>
        <w:spacing w:line="360" w:lineRule="auto"/>
        <w:ind w:firstLine="437"/>
        <w:rPr>
          <w:rFonts w:ascii="仿宋" w:hAnsi="仿宋" w:eastAsia="仿宋" w:cs="仿宋"/>
          <w:sz w:val="28"/>
          <w:szCs w:val="28"/>
          <w:highlight w:val="none"/>
        </w:rPr>
      </w:pPr>
      <w:r>
        <w:rPr>
          <w:rFonts w:hint="eastAsia" w:ascii="仿宋" w:hAnsi="仿宋" w:eastAsia="仿宋" w:cs="仿宋"/>
          <w:sz w:val="28"/>
          <w:szCs w:val="28"/>
          <w:highlight w:val="none"/>
        </w:rPr>
        <w:t>2.采购代理机构信息</w:t>
      </w:r>
    </w:p>
    <w:p w14:paraId="219B05A0">
      <w:pPr>
        <w:spacing w:line="360" w:lineRule="auto"/>
        <w:ind w:firstLine="437"/>
        <w:rPr>
          <w:rFonts w:ascii="仿宋" w:hAnsi="仿宋" w:eastAsia="仿宋" w:cs="仿宋"/>
          <w:sz w:val="28"/>
          <w:szCs w:val="28"/>
          <w:highlight w:val="none"/>
        </w:rPr>
      </w:pPr>
      <w:r>
        <w:rPr>
          <w:rFonts w:hint="eastAsia" w:ascii="仿宋" w:hAnsi="仿宋" w:eastAsia="仿宋" w:cs="仿宋"/>
          <w:sz w:val="28"/>
          <w:szCs w:val="28"/>
          <w:highlight w:val="none"/>
        </w:rPr>
        <w:t>名    称：安徽安天利信工程管理股份有限公司</w:t>
      </w:r>
    </w:p>
    <w:p w14:paraId="53339E4B">
      <w:pPr>
        <w:spacing w:line="360" w:lineRule="auto"/>
        <w:ind w:firstLine="437"/>
        <w:rPr>
          <w:rFonts w:ascii="仿宋" w:hAnsi="仿宋" w:eastAsia="仿宋" w:cs="仿宋"/>
          <w:sz w:val="28"/>
          <w:szCs w:val="28"/>
          <w:highlight w:val="none"/>
        </w:rPr>
      </w:pPr>
      <w:r>
        <w:rPr>
          <w:rFonts w:hint="eastAsia" w:ascii="仿宋" w:hAnsi="仿宋" w:eastAsia="仿宋" w:cs="仿宋"/>
          <w:sz w:val="28"/>
          <w:szCs w:val="28"/>
          <w:highlight w:val="none"/>
        </w:rPr>
        <w:t>地    址：合肥市蜀山区蜀鑫路69号6楼603室</w:t>
      </w:r>
    </w:p>
    <w:p w14:paraId="7E4C94E9">
      <w:pPr>
        <w:spacing w:line="360" w:lineRule="auto"/>
        <w:ind w:firstLine="437"/>
        <w:rPr>
          <w:rFonts w:ascii="仿宋" w:hAnsi="仿宋" w:eastAsia="仿宋" w:cs="仿宋"/>
          <w:sz w:val="28"/>
          <w:szCs w:val="28"/>
          <w:highlight w:val="none"/>
        </w:rPr>
      </w:pPr>
      <w:r>
        <w:rPr>
          <w:rFonts w:hint="eastAsia" w:ascii="仿宋" w:hAnsi="仿宋" w:eastAsia="仿宋" w:cs="仿宋"/>
          <w:sz w:val="28"/>
          <w:szCs w:val="28"/>
          <w:highlight w:val="none"/>
        </w:rPr>
        <w:t>联系方式：0551-63736783/18656633662</w:t>
      </w:r>
    </w:p>
    <w:p w14:paraId="5AF99D89">
      <w:pPr>
        <w:spacing w:line="360" w:lineRule="auto"/>
        <w:ind w:firstLine="437"/>
        <w:rPr>
          <w:rFonts w:ascii="仿宋" w:hAnsi="仿宋" w:eastAsia="仿宋" w:cs="仿宋"/>
          <w:sz w:val="28"/>
          <w:szCs w:val="28"/>
          <w:highlight w:val="none"/>
        </w:rPr>
      </w:pPr>
      <w:r>
        <w:rPr>
          <w:rFonts w:hint="eastAsia" w:ascii="仿宋" w:hAnsi="仿宋" w:eastAsia="仿宋" w:cs="仿宋"/>
          <w:sz w:val="28"/>
          <w:szCs w:val="28"/>
          <w:highlight w:val="none"/>
        </w:rPr>
        <w:t>3.项目联系方式</w:t>
      </w:r>
    </w:p>
    <w:p w14:paraId="351D8A61">
      <w:pPr>
        <w:spacing w:line="360" w:lineRule="auto"/>
        <w:ind w:firstLine="437"/>
        <w:rPr>
          <w:rFonts w:ascii="仿宋" w:hAnsi="仿宋" w:eastAsia="仿宋" w:cs="仿宋"/>
          <w:sz w:val="28"/>
          <w:szCs w:val="28"/>
          <w:highlight w:val="none"/>
        </w:rPr>
      </w:pPr>
      <w:r>
        <w:rPr>
          <w:rFonts w:hint="eastAsia" w:ascii="仿宋" w:hAnsi="仿宋" w:eastAsia="仿宋" w:cs="仿宋"/>
          <w:sz w:val="28"/>
          <w:szCs w:val="28"/>
          <w:highlight w:val="none"/>
        </w:rPr>
        <w:t>项目联系人：杨成龙</w:t>
      </w:r>
    </w:p>
    <w:p w14:paraId="49527D82">
      <w:pPr>
        <w:spacing w:line="360" w:lineRule="auto"/>
        <w:ind w:firstLine="437"/>
        <w:rPr>
          <w:rFonts w:ascii="宋体" w:hAnsi="宋体" w:eastAsia="宋体"/>
          <w:sz w:val="24"/>
          <w:szCs w:val="18"/>
          <w:highlight w:val="none"/>
        </w:rPr>
      </w:pPr>
      <w:r>
        <w:rPr>
          <w:rFonts w:hint="eastAsia" w:ascii="仿宋" w:hAnsi="仿宋" w:eastAsia="仿宋" w:cs="仿宋"/>
          <w:sz w:val="28"/>
          <w:szCs w:val="28"/>
          <w:highlight w:val="none"/>
        </w:rPr>
        <w:t>电    话：0551-63736783/18656633662</w:t>
      </w:r>
      <w:r>
        <w:rPr>
          <w:rFonts w:ascii="宋体" w:hAnsi="宋体" w:eastAsia="宋体"/>
          <w:sz w:val="24"/>
          <w:szCs w:val="18"/>
          <w:highlight w:val="none"/>
        </w:rPr>
        <w:br w:type="page"/>
      </w:r>
    </w:p>
    <w:p w14:paraId="7CA5CEFF">
      <w:pPr>
        <w:spacing w:line="360" w:lineRule="auto"/>
        <w:jc w:val="center"/>
        <w:outlineLvl w:val="0"/>
        <w:rPr>
          <w:rFonts w:asciiTheme="minorEastAsia" w:hAnsiTheme="minorEastAsia" w:eastAsiaTheme="minorEastAsia"/>
          <w:b/>
          <w:sz w:val="28"/>
          <w:highlight w:val="none"/>
        </w:rPr>
      </w:pPr>
      <w:bookmarkStart w:id="18" w:name="_Toc8888"/>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w:t>
      </w:r>
      <w:r>
        <w:rPr>
          <w:rFonts w:asciiTheme="minorEastAsia" w:hAnsiTheme="minorEastAsia" w:eastAsiaTheme="minorEastAsia"/>
          <w:b/>
          <w:sz w:val="28"/>
          <w:highlight w:val="none"/>
        </w:rPr>
        <w:t>投标人须知</w:t>
      </w:r>
      <w:bookmarkEnd w:id="18"/>
    </w:p>
    <w:p w14:paraId="000306A0">
      <w:pPr>
        <w:spacing w:line="360" w:lineRule="auto"/>
        <w:jc w:val="center"/>
        <w:outlineLvl w:val="1"/>
        <w:rPr>
          <w:rFonts w:asciiTheme="minorEastAsia" w:hAnsiTheme="minorEastAsia" w:eastAsiaTheme="minorEastAsia"/>
          <w:b/>
          <w:sz w:val="24"/>
          <w:highlight w:val="none"/>
        </w:rPr>
      </w:pPr>
      <w:bookmarkStart w:id="19" w:name="_Toc7178"/>
      <w:bookmarkStart w:id="20" w:name="_Toc13589"/>
      <w:r>
        <w:rPr>
          <w:rFonts w:hint="eastAsia" w:asciiTheme="minorEastAsia" w:hAnsiTheme="minorEastAsia" w:eastAsiaTheme="minorEastAsia"/>
          <w:b/>
          <w:sz w:val="24"/>
          <w:highlight w:val="none"/>
        </w:rPr>
        <w:t>一、</w:t>
      </w:r>
      <w:r>
        <w:rPr>
          <w:rFonts w:asciiTheme="minorEastAsia" w:hAnsiTheme="minorEastAsia" w:eastAsiaTheme="minorEastAsia"/>
          <w:b/>
          <w:sz w:val="24"/>
          <w:highlight w:val="none"/>
        </w:rPr>
        <w:t>投标人须知前附表</w:t>
      </w:r>
      <w:bookmarkEnd w:id="19"/>
      <w:bookmarkEnd w:id="20"/>
    </w:p>
    <w:p w14:paraId="0F21D084">
      <w:pPr>
        <w:spacing w:line="360" w:lineRule="auto"/>
        <w:ind w:firstLine="435"/>
        <w:rPr>
          <w:rFonts w:ascii="宋体" w:hAnsi="宋体" w:eastAsia="宋体"/>
          <w:sz w:val="24"/>
          <w:szCs w:val="18"/>
          <w:highlight w:val="none"/>
        </w:rPr>
      </w:pPr>
      <w:r>
        <w:rPr>
          <w:rFonts w:hint="eastAsia" w:ascii="宋体" w:hAnsi="宋体" w:eastAsia="宋体"/>
          <w:b/>
          <w:bCs/>
          <w:sz w:val="24"/>
          <w:szCs w:val="18"/>
          <w:highlight w:val="none"/>
        </w:rPr>
        <w:t>注：</w:t>
      </w:r>
      <w:r>
        <w:rPr>
          <w:rFonts w:hint="eastAsia" w:ascii="宋体" w:hAnsi="宋体" w:eastAsia="宋体"/>
          <w:sz w:val="24"/>
          <w:szCs w:val="18"/>
          <w:highlight w:val="none"/>
        </w:rPr>
        <w:t>本表是本项目的具体要求，是对投标人须知的具体补充和修改，如有不一致，以本表为准。</w:t>
      </w:r>
    </w:p>
    <w:tbl>
      <w:tblPr>
        <w:tblStyle w:val="24"/>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6F56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F4907C3">
            <w:pPr>
              <w:pStyle w:val="32"/>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条款号</w:t>
            </w:r>
          </w:p>
        </w:tc>
        <w:tc>
          <w:tcPr>
            <w:tcW w:w="1174" w:type="pct"/>
            <w:vAlign w:val="center"/>
          </w:tcPr>
          <w:p w14:paraId="4FBB80CB">
            <w:pPr>
              <w:pStyle w:val="32"/>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条款名称</w:t>
            </w:r>
          </w:p>
        </w:tc>
        <w:tc>
          <w:tcPr>
            <w:tcW w:w="3244" w:type="pct"/>
            <w:vAlign w:val="center"/>
          </w:tcPr>
          <w:p w14:paraId="6748CFBC">
            <w:pPr>
              <w:pStyle w:val="32"/>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内容、说明与要求</w:t>
            </w:r>
          </w:p>
        </w:tc>
      </w:tr>
      <w:tr w14:paraId="34C4E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07E9C4">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5</w:t>
            </w:r>
            <w:r>
              <w:rPr>
                <w:rFonts w:ascii="宋体" w:hAnsi="宋体" w:eastAsia="宋体"/>
                <w:bCs/>
                <w:kern w:val="2"/>
                <w:highlight w:val="none"/>
              </w:rPr>
              <w:t>.</w:t>
            </w:r>
            <w:r>
              <w:rPr>
                <w:rFonts w:hint="eastAsia" w:ascii="宋体" w:hAnsi="宋体" w:eastAsia="宋体"/>
                <w:bCs/>
                <w:kern w:val="2"/>
                <w:highlight w:val="none"/>
              </w:rPr>
              <w:t>2</w:t>
            </w:r>
          </w:p>
        </w:tc>
        <w:tc>
          <w:tcPr>
            <w:tcW w:w="1174" w:type="pct"/>
            <w:vAlign w:val="center"/>
          </w:tcPr>
          <w:p w14:paraId="4D9FF006">
            <w:pPr>
              <w:pStyle w:val="32"/>
              <w:widowControl w:val="0"/>
              <w:spacing w:before="0" w:beforeAutospacing="0" w:after="0" w:afterAutospacing="0" w:line="360" w:lineRule="auto"/>
              <w:jc w:val="left"/>
              <w:rPr>
                <w:rFonts w:ascii="宋体" w:hAnsi="宋体" w:eastAsia="宋体"/>
                <w:b w:val="0"/>
                <w:sz w:val="24"/>
                <w:highlight w:val="none"/>
              </w:rPr>
            </w:pPr>
            <w:r>
              <w:rPr>
                <w:rFonts w:hint="eastAsia" w:ascii="宋体" w:hAnsi="宋体" w:eastAsia="宋体"/>
                <w:b w:val="0"/>
                <w:kern w:val="2"/>
                <w:sz w:val="24"/>
                <w:szCs w:val="22"/>
                <w:highlight w:val="none"/>
              </w:rPr>
              <w:t>现场考察或标前答疑会</w:t>
            </w:r>
          </w:p>
        </w:tc>
        <w:tc>
          <w:tcPr>
            <w:tcW w:w="3244" w:type="pct"/>
            <w:vAlign w:val="center"/>
          </w:tcPr>
          <w:p w14:paraId="0BC7FEA2">
            <w:pPr>
              <w:spacing w:line="360" w:lineRule="auto"/>
              <w:rPr>
                <w:rFonts w:ascii="宋体" w:hAnsi="宋体" w:eastAsia="宋体"/>
                <w:bCs/>
                <w:sz w:val="24"/>
                <w:highlight w:val="none"/>
              </w:rPr>
            </w:pPr>
            <w:r>
              <w:rPr>
                <w:rFonts w:hint="eastAsia" w:ascii="宋体" w:hAnsi="宋体" w:eastAsia="宋体"/>
                <w:bCs/>
                <w:sz w:val="24"/>
                <w:szCs w:val="24"/>
                <w:highlight w:val="none"/>
              </w:rPr>
              <w:t>☑</w:t>
            </w:r>
            <w:r>
              <w:rPr>
                <w:rFonts w:hint="eastAsia" w:ascii="宋体" w:hAnsi="宋体" w:eastAsia="宋体"/>
                <w:sz w:val="24"/>
                <w:highlight w:val="none"/>
              </w:rPr>
              <w:t>不组织或不召开</w:t>
            </w:r>
          </w:p>
          <w:p w14:paraId="12804846">
            <w:pPr>
              <w:spacing w:line="360" w:lineRule="auto"/>
              <w:rPr>
                <w:rFonts w:ascii="宋体" w:hAnsi="宋体" w:eastAsia="宋体"/>
                <w:bCs/>
                <w:sz w:val="24"/>
                <w:highlight w:val="none"/>
              </w:rPr>
            </w:pPr>
            <w:r>
              <w:rPr>
                <w:rFonts w:hint="eastAsia" w:ascii="宋体" w:hAnsi="宋体" w:eastAsia="宋体"/>
                <w:sz w:val="24"/>
                <w:highlight w:val="none"/>
              </w:rPr>
              <w:t>□</w:t>
            </w:r>
            <w:r>
              <w:rPr>
                <w:rFonts w:hint="eastAsia" w:ascii="宋体" w:hAnsi="宋体" w:eastAsia="宋体"/>
                <w:bCs/>
                <w:sz w:val="24"/>
                <w:highlight w:val="none"/>
              </w:rPr>
              <w:t>统一组织或统一召开</w:t>
            </w:r>
          </w:p>
          <w:p w14:paraId="5E615A7A">
            <w:pPr>
              <w:spacing w:line="360" w:lineRule="auto"/>
              <w:rPr>
                <w:rFonts w:ascii="宋体" w:hAnsi="宋体" w:eastAsia="宋体"/>
                <w:bCs/>
                <w:sz w:val="24"/>
                <w:highlight w:val="none"/>
                <w:u w:val="single"/>
              </w:rPr>
            </w:pPr>
            <w:r>
              <w:rPr>
                <w:rFonts w:hint="eastAsia" w:ascii="宋体" w:hAnsi="宋体" w:eastAsia="宋体"/>
                <w:bCs/>
                <w:sz w:val="24"/>
                <w:highlight w:val="none"/>
              </w:rPr>
              <w:t>时间：</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rPr>
              <w:t>年</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rPr>
              <w:t>月</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rPr>
              <w:t>日</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rPr>
              <w:t>时</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rPr>
              <w:t>分</w:t>
            </w:r>
          </w:p>
          <w:p w14:paraId="57D8EB3C">
            <w:pPr>
              <w:spacing w:line="360" w:lineRule="auto"/>
              <w:rPr>
                <w:rFonts w:ascii="宋体" w:hAnsi="宋体" w:eastAsia="宋体"/>
                <w:bCs/>
                <w:sz w:val="24"/>
                <w:highlight w:val="none"/>
                <w:u w:val="single"/>
              </w:rPr>
            </w:pPr>
            <w:r>
              <w:rPr>
                <w:rFonts w:hint="eastAsia" w:ascii="宋体" w:hAnsi="宋体" w:eastAsia="宋体"/>
                <w:bCs/>
                <w:sz w:val="24"/>
                <w:highlight w:val="none"/>
              </w:rPr>
              <w:t>地点：</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p>
          <w:p w14:paraId="37C552BC">
            <w:pPr>
              <w:spacing w:line="360" w:lineRule="auto"/>
              <w:rPr>
                <w:rFonts w:ascii="宋体" w:hAnsi="宋体" w:eastAsia="宋体"/>
                <w:bCs/>
                <w:sz w:val="24"/>
                <w:highlight w:val="none"/>
                <w:u w:val="single"/>
              </w:rPr>
            </w:pPr>
            <w:r>
              <w:rPr>
                <w:rFonts w:hint="eastAsia" w:ascii="宋体" w:hAnsi="宋体" w:eastAsia="宋体"/>
                <w:bCs/>
                <w:sz w:val="24"/>
                <w:highlight w:val="none"/>
              </w:rPr>
              <w:t>联系人及联系电话：</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p>
          <w:p w14:paraId="2803CC64">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Cs w:val="0"/>
                <w:sz w:val="24"/>
                <w:highlight w:val="none"/>
              </w:rPr>
              <w:t>注：如投标人未参加招标人统一组织的现场考察或招标人统一召开的标前答疑会，视同放弃现场考察或标前答疑会，由此引起的一切责任由投标人自行承担。</w:t>
            </w:r>
          </w:p>
        </w:tc>
      </w:tr>
      <w:tr w14:paraId="6C8E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D920D3">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6</w:t>
            </w:r>
            <w:r>
              <w:rPr>
                <w:rFonts w:ascii="宋体" w:hAnsi="宋体" w:eastAsia="宋体"/>
                <w:bCs/>
                <w:kern w:val="2"/>
                <w:highlight w:val="none"/>
              </w:rPr>
              <w:t>.1</w:t>
            </w:r>
          </w:p>
        </w:tc>
        <w:tc>
          <w:tcPr>
            <w:tcW w:w="1174" w:type="pct"/>
            <w:vAlign w:val="center"/>
          </w:tcPr>
          <w:p w14:paraId="24CCFA26">
            <w:pPr>
              <w:pStyle w:val="32"/>
              <w:widowControl w:val="0"/>
              <w:spacing w:before="0" w:beforeAutospacing="0" w:after="0" w:afterAutospacing="0"/>
              <w:jc w:val="left"/>
              <w:rPr>
                <w:rFonts w:ascii="宋体" w:hAnsi="宋体" w:eastAsia="宋体"/>
                <w:b w:val="0"/>
                <w:sz w:val="24"/>
                <w:highlight w:val="none"/>
              </w:rPr>
            </w:pPr>
            <w:r>
              <w:rPr>
                <w:rFonts w:hint="eastAsia" w:ascii="宋体" w:hAnsi="宋体" w:eastAsia="宋体"/>
                <w:b w:val="0"/>
                <w:sz w:val="24"/>
                <w:highlight w:val="none"/>
              </w:rPr>
              <w:t>网上询问截止时间</w:t>
            </w:r>
          </w:p>
        </w:tc>
        <w:tc>
          <w:tcPr>
            <w:tcW w:w="3244" w:type="pct"/>
            <w:vAlign w:val="center"/>
          </w:tcPr>
          <w:p w14:paraId="66A53FD2">
            <w:pPr>
              <w:pStyle w:val="32"/>
              <w:widowControl w:val="0"/>
              <w:spacing w:before="0" w:beforeAutospacing="0" w:after="0" w:afterAutospacing="0"/>
              <w:jc w:val="both"/>
              <w:rPr>
                <w:rFonts w:ascii="宋体" w:hAnsi="宋体" w:eastAsia="宋体"/>
                <w:b w:val="0"/>
                <w:sz w:val="24"/>
                <w:highlight w:val="none"/>
              </w:rPr>
            </w:pPr>
            <w:r>
              <w:rPr>
                <w:rFonts w:hint="eastAsia" w:ascii="宋体" w:hAnsi="宋体" w:eastAsia="宋体"/>
                <w:b w:val="0"/>
                <w:sz w:val="24"/>
                <w:highlight w:val="none"/>
                <w:u w:val="single"/>
              </w:rPr>
              <w:t>2025</w:t>
            </w:r>
            <w:r>
              <w:rPr>
                <w:rFonts w:ascii="宋体" w:hAnsi="宋体" w:eastAsia="宋体"/>
                <w:b w:val="0"/>
                <w:sz w:val="24"/>
                <w:highlight w:val="none"/>
              </w:rPr>
              <w:t>年</w:t>
            </w:r>
            <w:r>
              <w:rPr>
                <w:rFonts w:hint="eastAsia" w:ascii="宋体" w:hAnsi="宋体" w:eastAsia="宋体"/>
                <w:b w:val="0"/>
                <w:sz w:val="24"/>
                <w:highlight w:val="none"/>
                <w:u w:val="single"/>
                <w:lang w:val="en-US" w:eastAsia="zh-CN"/>
              </w:rPr>
              <w:t>9</w:t>
            </w:r>
            <w:r>
              <w:rPr>
                <w:rFonts w:ascii="宋体" w:hAnsi="宋体" w:eastAsia="宋体"/>
                <w:b w:val="0"/>
                <w:sz w:val="24"/>
                <w:highlight w:val="none"/>
              </w:rPr>
              <w:t>月</w:t>
            </w:r>
            <w:r>
              <w:rPr>
                <w:rFonts w:hint="eastAsia" w:ascii="宋体" w:hAnsi="宋体" w:eastAsia="宋体"/>
                <w:b w:val="0"/>
                <w:sz w:val="24"/>
                <w:highlight w:val="none"/>
                <w:u w:val="single"/>
                <w:lang w:val="en-US" w:eastAsia="zh-CN"/>
              </w:rPr>
              <w:t>17</w:t>
            </w:r>
            <w:r>
              <w:rPr>
                <w:rFonts w:ascii="宋体" w:hAnsi="宋体" w:eastAsia="宋体"/>
                <w:b w:val="0"/>
                <w:sz w:val="24"/>
                <w:highlight w:val="none"/>
              </w:rPr>
              <w:t>日</w:t>
            </w:r>
            <w:r>
              <w:rPr>
                <w:rFonts w:hint="eastAsia" w:ascii="宋体" w:hAnsi="宋体" w:eastAsia="宋体"/>
                <w:b w:val="0"/>
                <w:sz w:val="24"/>
                <w:highlight w:val="none"/>
                <w:u w:val="single"/>
              </w:rPr>
              <w:t>17</w:t>
            </w:r>
            <w:r>
              <w:rPr>
                <w:rFonts w:ascii="宋体" w:hAnsi="宋体" w:eastAsia="宋体"/>
                <w:b w:val="0"/>
                <w:sz w:val="24"/>
                <w:highlight w:val="none"/>
              </w:rPr>
              <w:t>时</w:t>
            </w:r>
            <w:r>
              <w:rPr>
                <w:rFonts w:hint="eastAsia" w:ascii="宋体" w:hAnsi="宋体" w:eastAsia="宋体"/>
                <w:b w:val="0"/>
                <w:sz w:val="24"/>
                <w:highlight w:val="none"/>
                <w:u w:val="single"/>
              </w:rPr>
              <w:t>00</w:t>
            </w:r>
            <w:r>
              <w:rPr>
                <w:rFonts w:hint="eastAsia" w:ascii="宋体" w:hAnsi="宋体" w:eastAsia="宋体"/>
                <w:b w:val="0"/>
                <w:sz w:val="24"/>
                <w:highlight w:val="none"/>
              </w:rPr>
              <w:t>分</w:t>
            </w:r>
          </w:p>
        </w:tc>
      </w:tr>
      <w:tr w14:paraId="4324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B29800E">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7</w:t>
            </w:r>
            <w:r>
              <w:rPr>
                <w:rFonts w:ascii="宋体" w:hAnsi="宋体" w:eastAsia="宋体"/>
                <w:bCs/>
                <w:kern w:val="2"/>
                <w:highlight w:val="none"/>
              </w:rPr>
              <w:t>.1</w:t>
            </w:r>
          </w:p>
        </w:tc>
        <w:tc>
          <w:tcPr>
            <w:tcW w:w="1174" w:type="pct"/>
            <w:vAlign w:val="center"/>
          </w:tcPr>
          <w:p w14:paraId="7222558D">
            <w:pPr>
              <w:pStyle w:val="32"/>
              <w:widowControl w:val="0"/>
              <w:spacing w:before="0" w:beforeAutospacing="0" w:after="0" w:afterAutospacing="0"/>
              <w:jc w:val="left"/>
              <w:rPr>
                <w:rFonts w:ascii="宋体" w:hAnsi="宋体" w:eastAsia="宋体"/>
                <w:b w:val="0"/>
                <w:sz w:val="24"/>
                <w:highlight w:val="none"/>
              </w:rPr>
            </w:pPr>
            <w:r>
              <w:rPr>
                <w:rFonts w:hint="eastAsia" w:ascii="宋体" w:hAnsi="宋体" w:eastAsia="宋体"/>
                <w:b w:val="0"/>
                <w:sz w:val="24"/>
                <w:highlight w:val="none"/>
              </w:rPr>
              <w:t>包别划分</w:t>
            </w:r>
          </w:p>
        </w:tc>
        <w:tc>
          <w:tcPr>
            <w:tcW w:w="3244" w:type="pct"/>
            <w:vAlign w:val="center"/>
          </w:tcPr>
          <w:p w14:paraId="2A38F278">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bCs w:val="0"/>
                <w:sz w:val="24"/>
                <w:szCs w:val="24"/>
                <w:highlight w:val="none"/>
              </w:rPr>
              <w:t>☑</w:t>
            </w:r>
            <w:r>
              <w:rPr>
                <w:rFonts w:ascii="宋体" w:hAnsi="宋体" w:eastAsia="宋体"/>
                <w:b w:val="0"/>
                <w:sz w:val="24"/>
                <w:highlight w:val="none"/>
              </w:rPr>
              <w:t>不分包     □分为  个包</w:t>
            </w:r>
          </w:p>
          <w:p w14:paraId="65BA9CF7">
            <w:pPr>
              <w:pStyle w:val="32"/>
              <w:widowControl w:val="0"/>
              <w:spacing w:before="0" w:beforeAutospacing="0" w:after="0" w:afterAutospacing="0"/>
              <w:jc w:val="both"/>
              <w:rPr>
                <w:rFonts w:ascii="宋体" w:hAnsi="宋体" w:eastAsia="宋体"/>
                <w:b w:val="0"/>
                <w:sz w:val="24"/>
                <w:highlight w:val="none"/>
                <w:u w:val="single"/>
              </w:rPr>
            </w:pPr>
            <w:r>
              <w:rPr>
                <w:rFonts w:hint="eastAsia" w:ascii="宋体" w:hAnsi="宋体" w:eastAsia="宋体"/>
                <w:b w:val="0"/>
                <w:sz w:val="24"/>
                <w:highlight w:val="none"/>
              </w:rPr>
              <w:t>投标人对多个包进行投标的中标</w:t>
            </w:r>
            <w:r>
              <w:rPr>
                <w:rFonts w:ascii="宋体" w:hAnsi="宋体" w:eastAsia="宋体"/>
                <w:b w:val="0"/>
                <w:sz w:val="24"/>
                <w:highlight w:val="none"/>
              </w:rPr>
              <w:t>包</w:t>
            </w:r>
            <w:r>
              <w:rPr>
                <w:rFonts w:hint="eastAsia" w:ascii="宋体" w:hAnsi="宋体" w:eastAsia="宋体"/>
                <w:b w:val="0"/>
                <w:sz w:val="24"/>
                <w:highlight w:val="none"/>
              </w:rPr>
              <w:t>数规定：</w:t>
            </w:r>
            <w:r>
              <w:rPr>
                <w:rFonts w:hint="eastAsia" w:ascii="宋体" w:hAnsi="宋体" w:eastAsia="宋体"/>
                <w:b w:val="0"/>
                <w:bCs w:val="0"/>
                <w:sz w:val="24"/>
                <w:szCs w:val="18"/>
                <w:highlight w:val="none"/>
                <w:u w:val="single"/>
              </w:rPr>
              <w:t xml:space="preserve"> </w:t>
            </w:r>
            <w:r>
              <w:rPr>
                <w:rFonts w:ascii="宋体" w:hAnsi="宋体" w:eastAsia="宋体"/>
                <w:b w:val="0"/>
                <w:bCs w:val="0"/>
                <w:sz w:val="24"/>
                <w:szCs w:val="18"/>
                <w:highlight w:val="none"/>
                <w:u w:val="single"/>
              </w:rPr>
              <w:t xml:space="preserve">       </w:t>
            </w:r>
          </w:p>
        </w:tc>
      </w:tr>
      <w:tr w14:paraId="6486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81" w:type="pct"/>
            <w:vAlign w:val="center"/>
          </w:tcPr>
          <w:p w14:paraId="6D148852">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10</w:t>
            </w:r>
            <w:r>
              <w:rPr>
                <w:rFonts w:ascii="宋体" w:hAnsi="宋体" w:eastAsia="宋体"/>
                <w:bCs/>
                <w:kern w:val="2"/>
                <w:highlight w:val="none"/>
              </w:rPr>
              <w:t>.1</w:t>
            </w:r>
          </w:p>
        </w:tc>
        <w:tc>
          <w:tcPr>
            <w:tcW w:w="1174" w:type="pct"/>
            <w:vAlign w:val="center"/>
          </w:tcPr>
          <w:p w14:paraId="47BE937F">
            <w:pPr>
              <w:pStyle w:val="32"/>
              <w:widowControl w:val="0"/>
              <w:spacing w:before="0" w:beforeAutospacing="0" w:after="0" w:afterAutospacing="0" w:line="360" w:lineRule="auto"/>
              <w:jc w:val="left"/>
              <w:rPr>
                <w:rFonts w:ascii="宋体" w:hAnsi="宋体" w:eastAsia="宋体"/>
                <w:b w:val="0"/>
                <w:sz w:val="24"/>
                <w:highlight w:val="none"/>
              </w:rPr>
            </w:pPr>
            <w:r>
              <w:rPr>
                <w:rFonts w:hint="eastAsia" w:ascii="宋体" w:hAnsi="宋体" w:eastAsia="宋体"/>
                <w:b w:val="0"/>
                <w:sz w:val="24"/>
                <w:highlight w:val="none"/>
              </w:rPr>
              <w:t>投标保证金</w:t>
            </w:r>
          </w:p>
        </w:tc>
        <w:tc>
          <w:tcPr>
            <w:tcW w:w="3244" w:type="pct"/>
            <w:vAlign w:val="center"/>
          </w:tcPr>
          <w:p w14:paraId="752D4394">
            <w:pPr>
              <w:spacing w:line="360" w:lineRule="auto"/>
              <w:rPr>
                <w:highlight w:val="none"/>
              </w:rPr>
            </w:pPr>
            <w:r>
              <w:rPr>
                <w:rFonts w:hint="eastAsia" w:ascii="宋体" w:hAnsi="宋体" w:eastAsia="宋体"/>
                <w:bCs/>
                <w:kern w:val="0"/>
                <w:sz w:val="24"/>
                <w:szCs w:val="28"/>
                <w:highlight w:val="none"/>
              </w:rPr>
              <w:t>不收取</w:t>
            </w:r>
          </w:p>
        </w:tc>
      </w:tr>
      <w:tr w14:paraId="57A1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FBA330">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11</w:t>
            </w:r>
            <w:r>
              <w:rPr>
                <w:rFonts w:ascii="宋体" w:hAnsi="宋体" w:eastAsia="宋体"/>
                <w:bCs/>
                <w:kern w:val="2"/>
                <w:highlight w:val="none"/>
              </w:rPr>
              <w:t>.1</w:t>
            </w:r>
          </w:p>
        </w:tc>
        <w:tc>
          <w:tcPr>
            <w:tcW w:w="1174" w:type="pct"/>
            <w:vAlign w:val="center"/>
          </w:tcPr>
          <w:p w14:paraId="71B0299F">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投标有效期</w:t>
            </w:r>
          </w:p>
        </w:tc>
        <w:tc>
          <w:tcPr>
            <w:tcW w:w="3244" w:type="pct"/>
            <w:vAlign w:val="center"/>
          </w:tcPr>
          <w:p w14:paraId="0E39BA04">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u w:val="single"/>
              </w:rPr>
              <w:t>90</w:t>
            </w:r>
            <w:r>
              <w:rPr>
                <w:rFonts w:hint="eastAsia" w:ascii="宋体" w:hAnsi="宋体" w:eastAsia="宋体"/>
                <w:b w:val="0"/>
                <w:sz w:val="24"/>
                <w:highlight w:val="none"/>
              </w:rPr>
              <w:t>日历日</w:t>
            </w:r>
          </w:p>
        </w:tc>
      </w:tr>
      <w:tr w14:paraId="57BE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9DACC25">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13</w:t>
            </w:r>
            <w:r>
              <w:rPr>
                <w:rFonts w:ascii="宋体" w:hAnsi="宋体" w:eastAsia="宋体"/>
                <w:bCs/>
                <w:kern w:val="2"/>
                <w:highlight w:val="none"/>
              </w:rPr>
              <w:t>.</w:t>
            </w:r>
            <w:r>
              <w:rPr>
                <w:rFonts w:hint="eastAsia" w:ascii="宋体" w:hAnsi="宋体" w:eastAsia="宋体"/>
                <w:bCs/>
                <w:kern w:val="2"/>
                <w:highlight w:val="none"/>
              </w:rPr>
              <w:t>1</w:t>
            </w:r>
          </w:p>
        </w:tc>
        <w:tc>
          <w:tcPr>
            <w:tcW w:w="1174" w:type="pct"/>
            <w:vAlign w:val="center"/>
          </w:tcPr>
          <w:p w14:paraId="59D69D27">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投标文件解密时间</w:t>
            </w:r>
          </w:p>
        </w:tc>
        <w:tc>
          <w:tcPr>
            <w:tcW w:w="3244" w:type="pct"/>
            <w:vAlign w:val="center"/>
          </w:tcPr>
          <w:p w14:paraId="1957C8CC">
            <w:pPr>
              <w:pStyle w:val="32"/>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sz w:val="24"/>
                <w:highlight w:val="none"/>
              </w:rPr>
              <w:t>投标截止时间后</w:t>
            </w:r>
            <w:r>
              <w:rPr>
                <w:rFonts w:hint="eastAsia" w:ascii="宋体" w:hAnsi="宋体" w:eastAsia="宋体"/>
                <w:b w:val="0"/>
                <w:sz w:val="24"/>
                <w:highlight w:val="none"/>
                <w:u w:val="single"/>
              </w:rPr>
              <w:t>60</w:t>
            </w:r>
            <w:r>
              <w:rPr>
                <w:rFonts w:hint="eastAsia" w:ascii="宋体" w:hAnsi="宋体" w:eastAsia="宋体"/>
                <w:b w:val="0"/>
                <w:sz w:val="24"/>
                <w:highlight w:val="none"/>
              </w:rPr>
              <w:t>分钟内</w:t>
            </w:r>
          </w:p>
        </w:tc>
      </w:tr>
      <w:tr w14:paraId="244C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3E0F753">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14.1</w:t>
            </w:r>
          </w:p>
        </w:tc>
        <w:tc>
          <w:tcPr>
            <w:tcW w:w="1174" w:type="pct"/>
            <w:vAlign w:val="center"/>
          </w:tcPr>
          <w:p w14:paraId="787D17F2">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资格审查</w:t>
            </w:r>
          </w:p>
        </w:tc>
        <w:tc>
          <w:tcPr>
            <w:tcW w:w="3244" w:type="pct"/>
            <w:vAlign w:val="center"/>
          </w:tcPr>
          <w:p w14:paraId="720C9539">
            <w:pPr>
              <w:pStyle w:val="32"/>
              <w:widowControl w:val="0"/>
              <w:spacing w:before="0" w:beforeAutospacing="0" w:after="0" w:afterAutospacing="0" w:line="360" w:lineRule="auto"/>
              <w:jc w:val="both"/>
              <w:rPr>
                <w:rFonts w:ascii="宋体" w:hAnsi="宋体" w:eastAsia="宋体"/>
                <w:b w:val="0"/>
                <w:bCs w:val="0"/>
                <w:sz w:val="24"/>
                <w:highlight w:val="none"/>
              </w:rPr>
            </w:pPr>
            <w:r>
              <w:rPr>
                <w:rFonts w:hint="eastAsia" w:ascii="宋体" w:hAnsi="宋体" w:eastAsia="宋体"/>
                <w:b w:val="0"/>
                <w:bCs w:val="0"/>
                <w:sz w:val="24"/>
                <w:szCs w:val="24"/>
                <w:highlight w:val="none"/>
              </w:rPr>
              <w:t>☑</w:t>
            </w:r>
            <w:r>
              <w:rPr>
                <w:rFonts w:hint="eastAsia" w:ascii="宋体" w:hAnsi="宋体" w:eastAsia="宋体"/>
                <w:b w:val="0"/>
                <w:bCs w:val="0"/>
                <w:sz w:val="24"/>
                <w:highlight w:val="none"/>
              </w:rPr>
              <w:t>招标人审查</w:t>
            </w:r>
          </w:p>
          <w:p w14:paraId="67C5A4B7">
            <w:pPr>
              <w:pStyle w:val="32"/>
              <w:widowControl w:val="0"/>
              <w:spacing w:before="0" w:beforeAutospacing="0" w:after="0" w:afterAutospacing="0" w:line="360" w:lineRule="auto"/>
              <w:jc w:val="both"/>
              <w:rPr>
                <w:rFonts w:ascii="宋体" w:hAnsi="宋体" w:eastAsia="宋体"/>
                <w:b w:val="0"/>
                <w:sz w:val="24"/>
                <w:highlight w:val="none"/>
                <w:u w:val="single"/>
              </w:rPr>
            </w:pPr>
            <w:r>
              <w:rPr>
                <w:rFonts w:ascii="宋体" w:hAnsi="宋体" w:eastAsia="宋体"/>
                <w:b w:val="0"/>
                <w:bCs w:val="0"/>
                <w:sz w:val="24"/>
                <w:szCs w:val="24"/>
                <w:highlight w:val="none"/>
              </w:rPr>
              <w:t>□</w:t>
            </w:r>
            <w:r>
              <w:rPr>
                <w:rFonts w:hint="eastAsia" w:ascii="宋体" w:hAnsi="宋体" w:eastAsia="宋体"/>
                <w:b w:val="0"/>
                <w:bCs w:val="0"/>
                <w:sz w:val="24"/>
                <w:highlight w:val="none"/>
              </w:rPr>
              <w:t>招标人出具委托函委托采购代理机构进行审查</w:t>
            </w:r>
          </w:p>
        </w:tc>
      </w:tr>
      <w:tr w14:paraId="0679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565B62F">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17</w:t>
            </w:r>
            <w:r>
              <w:rPr>
                <w:rFonts w:ascii="宋体" w:hAnsi="宋体" w:eastAsia="宋体"/>
                <w:bCs/>
                <w:kern w:val="2"/>
                <w:highlight w:val="none"/>
              </w:rPr>
              <w:t>.2</w:t>
            </w:r>
          </w:p>
        </w:tc>
        <w:tc>
          <w:tcPr>
            <w:tcW w:w="1174" w:type="pct"/>
            <w:vAlign w:val="center"/>
          </w:tcPr>
          <w:p w14:paraId="1A0AF594">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评标方法</w:t>
            </w:r>
          </w:p>
        </w:tc>
        <w:tc>
          <w:tcPr>
            <w:tcW w:w="3244" w:type="pct"/>
            <w:vAlign w:val="center"/>
          </w:tcPr>
          <w:p w14:paraId="317BF3B3">
            <w:pPr>
              <w:pStyle w:val="32"/>
              <w:widowControl w:val="0"/>
              <w:spacing w:before="0" w:beforeAutospacing="0" w:after="0" w:afterAutospacing="0" w:line="360" w:lineRule="auto"/>
              <w:jc w:val="both"/>
              <w:rPr>
                <w:rFonts w:ascii="宋体" w:hAnsi="宋体" w:eastAsia="宋体"/>
                <w:b w:val="0"/>
                <w:sz w:val="24"/>
                <w:highlight w:val="none"/>
                <w:u w:val="single"/>
              </w:rPr>
            </w:pPr>
            <w:r>
              <w:rPr>
                <w:rFonts w:ascii="宋体" w:hAnsi="宋体" w:eastAsia="宋体"/>
                <w:b w:val="0"/>
                <w:bCs w:val="0"/>
                <w:sz w:val="24"/>
                <w:szCs w:val="24"/>
                <w:highlight w:val="none"/>
              </w:rPr>
              <w:t>□</w:t>
            </w:r>
            <w:r>
              <w:rPr>
                <w:rFonts w:hint="eastAsia" w:ascii="宋体" w:hAnsi="宋体" w:eastAsia="宋体"/>
                <w:b w:val="0"/>
                <w:sz w:val="24"/>
                <w:highlight w:val="none"/>
              </w:rPr>
              <w:t>最低评标价法</w:t>
            </w:r>
          </w:p>
          <w:p w14:paraId="7B40F80F">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bCs w:val="0"/>
                <w:sz w:val="24"/>
                <w:szCs w:val="24"/>
                <w:highlight w:val="none"/>
              </w:rPr>
              <w:t>☑</w:t>
            </w:r>
            <w:r>
              <w:rPr>
                <w:rFonts w:hint="eastAsia" w:ascii="宋体" w:hAnsi="宋体" w:eastAsia="宋体"/>
                <w:b w:val="0"/>
                <w:sz w:val="24"/>
                <w:highlight w:val="none"/>
              </w:rPr>
              <w:t>综合评分法</w:t>
            </w:r>
          </w:p>
        </w:tc>
      </w:tr>
      <w:tr w14:paraId="3380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7E81634">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17</w:t>
            </w:r>
            <w:r>
              <w:rPr>
                <w:rFonts w:ascii="宋体" w:hAnsi="宋体" w:eastAsia="宋体"/>
                <w:bCs/>
                <w:kern w:val="2"/>
                <w:highlight w:val="none"/>
              </w:rPr>
              <w:t>.3</w:t>
            </w:r>
          </w:p>
        </w:tc>
        <w:tc>
          <w:tcPr>
            <w:tcW w:w="1174" w:type="pct"/>
            <w:vAlign w:val="center"/>
          </w:tcPr>
          <w:p w14:paraId="1DA8BA09">
            <w:pPr>
              <w:pStyle w:val="32"/>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报价扣除</w:t>
            </w:r>
          </w:p>
          <w:p w14:paraId="6CF5A988">
            <w:pPr>
              <w:pStyle w:val="32"/>
              <w:widowControl w:val="0"/>
              <w:spacing w:before="0" w:beforeAutospacing="0" w:after="0" w:afterAutospacing="0" w:line="360" w:lineRule="auto"/>
              <w:jc w:val="both"/>
              <w:rPr>
                <w:rFonts w:ascii="宋体" w:hAnsi="宋体" w:eastAsia="宋体"/>
                <w:b w:val="0"/>
                <w:i/>
                <w:sz w:val="24"/>
                <w:highlight w:val="none"/>
              </w:rPr>
            </w:pPr>
            <w:r>
              <w:rPr>
                <w:rFonts w:hint="eastAsia" w:ascii="宋体" w:hAnsi="宋体" w:eastAsia="宋体"/>
                <w:b w:val="0"/>
                <w:i/>
                <w:sz w:val="24"/>
                <w:highlight w:val="none"/>
              </w:rPr>
              <w:t>（非专门面向中小企业采购项目适用）</w:t>
            </w:r>
          </w:p>
        </w:tc>
        <w:tc>
          <w:tcPr>
            <w:tcW w:w="3244" w:type="pct"/>
            <w:vAlign w:val="center"/>
          </w:tcPr>
          <w:p w14:paraId="2775C470">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w:t>
            </w:r>
            <w:r>
              <w:rPr>
                <w:rFonts w:ascii="宋体" w:hAnsi="宋体" w:eastAsia="宋体"/>
                <w:b w:val="0"/>
                <w:sz w:val="24"/>
                <w:highlight w:val="none"/>
              </w:rPr>
              <w:t>小型和微型</w:t>
            </w:r>
            <w:r>
              <w:rPr>
                <w:rFonts w:hint="eastAsia" w:ascii="宋体" w:hAnsi="宋体" w:eastAsia="宋体"/>
                <w:b w:val="0"/>
                <w:sz w:val="24"/>
                <w:highlight w:val="none"/>
              </w:rPr>
              <w:t>企业价格扣除：</w:t>
            </w:r>
            <w:r>
              <w:rPr>
                <w:rFonts w:hint="eastAsia" w:ascii="宋体" w:hAnsi="宋体" w:eastAsia="宋体"/>
                <w:b w:val="0"/>
                <w:sz w:val="24"/>
                <w:highlight w:val="none"/>
                <w:u w:val="single"/>
              </w:rPr>
              <w:t xml:space="preserve">    /    </w:t>
            </w:r>
            <w:r>
              <w:rPr>
                <w:rFonts w:hint="eastAsia" w:ascii="宋体" w:hAnsi="宋体" w:eastAsia="宋体"/>
                <w:b w:val="0"/>
                <w:sz w:val="24"/>
                <w:highlight w:val="none"/>
              </w:rPr>
              <w:t>。</w:t>
            </w:r>
          </w:p>
          <w:p w14:paraId="6BFDC43E">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（2）监狱企业价格扣除：同</w:t>
            </w:r>
            <w:r>
              <w:rPr>
                <w:rFonts w:ascii="宋体" w:hAnsi="宋体" w:eastAsia="宋体"/>
                <w:b w:val="0"/>
                <w:sz w:val="24"/>
                <w:highlight w:val="none"/>
              </w:rPr>
              <w:t>小型和微型企业</w:t>
            </w:r>
            <w:r>
              <w:rPr>
                <w:rFonts w:hint="eastAsia" w:ascii="宋体" w:hAnsi="宋体" w:eastAsia="宋体"/>
                <w:b w:val="0"/>
                <w:sz w:val="24"/>
                <w:highlight w:val="none"/>
              </w:rPr>
              <w:t>。</w:t>
            </w:r>
          </w:p>
          <w:p w14:paraId="015E6A46">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（3）残疾人福利性单位价格扣除：同</w:t>
            </w:r>
            <w:r>
              <w:rPr>
                <w:rFonts w:ascii="宋体" w:hAnsi="宋体" w:eastAsia="宋体"/>
                <w:b w:val="0"/>
                <w:sz w:val="24"/>
                <w:highlight w:val="none"/>
              </w:rPr>
              <w:t>小型和微型企业</w:t>
            </w:r>
            <w:r>
              <w:rPr>
                <w:rFonts w:hint="eastAsia" w:ascii="宋体" w:hAnsi="宋体" w:eastAsia="宋体"/>
                <w:b w:val="0"/>
                <w:sz w:val="24"/>
                <w:highlight w:val="none"/>
              </w:rPr>
              <w:t>。</w:t>
            </w:r>
          </w:p>
          <w:p w14:paraId="1E1FBAB3">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（4）符合条件的联合体价格扣除：</w:t>
            </w:r>
            <w:r>
              <w:rPr>
                <w:rFonts w:hint="eastAsia" w:ascii="宋体" w:hAnsi="宋体" w:eastAsia="宋体"/>
                <w:b w:val="0"/>
                <w:sz w:val="24"/>
                <w:highlight w:val="none"/>
                <w:u w:val="single"/>
              </w:rPr>
              <w:t xml:space="preserve">    /    </w:t>
            </w:r>
            <w:r>
              <w:rPr>
                <w:rFonts w:hint="eastAsia" w:ascii="宋体" w:hAnsi="宋体" w:eastAsia="宋体"/>
                <w:b w:val="0"/>
                <w:sz w:val="24"/>
                <w:highlight w:val="none"/>
              </w:rPr>
              <w:t>。</w:t>
            </w:r>
          </w:p>
          <w:p w14:paraId="424A3281">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（5）符合条件的向小微企业分包的大中型企业价格扣除：</w:t>
            </w:r>
            <w:r>
              <w:rPr>
                <w:rFonts w:hint="eastAsia" w:ascii="宋体" w:hAnsi="宋体" w:eastAsia="宋体"/>
                <w:b w:val="0"/>
                <w:sz w:val="24"/>
                <w:highlight w:val="none"/>
                <w:u w:val="single"/>
              </w:rPr>
              <w:t xml:space="preserve">      / </w:t>
            </w:r>
            <w:r>
              <w:rPr>
                <w:rFonts w:hint="eastAsia" w:ascii="宋体" w:hAnsi="宋体" w:eastAsia="宋体"/>
                <w:b w:val="0"/>
                <w:sz w:val="24"/>
                <w:highlight w:val="none"/>
              </w:rPr>
              <w:t>。</w:t>
            </w:r>
            <w:r>
              <w:rPr>
                <w:rFonts w:hint="eastAsia" w:ascii="宋体" w:hAnsi="宋体" w:eastAsia="宋体"/>
                <w:b w:val="0"/>
                <w:i/>
                <w:sz w:val="24"/>
                <w:highlight w:val="none"/>
              </w:rPr>
              <w:t>（允许大中型企业向小微企业分包的项目适用）</w:t>
            </w:r>
          </w:p>
        </w:tc>
      </w:tr>
      <w:tr w14:paraId="6C55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E82CB67">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21</w:t>
            </w:r>
            <w:r>
              <w:rPr>
                <w:rFonts w:ascii="宋体" w:hAnsi="宋体" w:eastAsia="宋体"/>
                <w:bCs/>
                <w:kern w:val="2"/>
                <w:highlight w:val="none"/>
              </w:rPr>
              <w:t>.</w:t>
            </w:r>
            <w:r>
              <w:rPr>
                <w:rFonts w:hint="eastAsia" w:ascii="宋体" w:hAnsi="宋体" w:eastAsia="宋体"/>
                <w:bCs/>
                <w:kern w:val="2"/>
                <w:highlight w:val="none"/>
              </w:rPr>
              <w:t>1</w:t>
            </w:r>
          </w:p>
        </w:tc>
        <w:tc>
          <w:tcPr>
            <w:tcW w:w="1174" w:type="pct"/>
            <w:vAlign w:val="center"/>
          </w:tcPr>
          <w:p w14:paraId="5AC222A1">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评标委员会推荐</w:t>
            </w:r>
            <w:r>
              <w:rPr>
                <w:rFonts w:ascii="宋体" w:hAnsi="宋体" w:eastAsia="宋体"/>
                <w:b w:val="0"/>
                <w:sz w:val="24"/>
                <w:highlight w:val="none"/>
              </w:rPr>
              <w:t>中标候选</w:t>
            </w:r>
            <w:r>
              <w:rPr>
                <w:rFonts w:hint="eastAsia" w:ascii="宋体" w:hAnsi="宋体" w:eastAsia="宋体"/>
                <w:b w:val="0"/>
                <w:sz w:val="24"/>
                <w:highlight w:val="none"/>
              </w:rPr>
              <w:t>人的</w:t>
            </w:r>
            <w:r>
              <w:rPr>
                <w:rFonts w:ascii="宋体" w:hAnsi="宋体" w:eastAsia="宋体"/>
                <w:b w:val="0"/>
                <w:sz w:val="24"/>
                <w:highlight w:val="none"/>
              </w:rPr>
              <w:t>数量</w:t>
            </w:r>
          </w:p>
        </w:tc>
        <w:tc>
          <w:tcPr>
            <w:tcW w:w="3244" w:type="pct"/>
            <w:vAlign w:val="center"/>
          </w:tcPr>
          <w:p w14:paraId="64B77020">
            <w:pPr>
              <w:pStyle w:val="32"/>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sz w:val="24"/>
                <w:highlight w:val="none"/>
                <w:u w:val="single"/>
              </w:rPr>
              <w:t xml:space="preserve"> </w:t>
            </w:r>
            <w:r>
              <w:rPr>
                <w:rFonts w:ascii="宋体" w:hAnsi="宋体" w:eastAsia="宋体"/>
                <w:b w:val="0"/>
                <w:sz w:val="24"/>
                <w:highlight w:val="none"/>
                <w:u w:val="single"/>
              </w:rPr>
              <w:t>3</w:t>
            </w:r>
            <w:r>
              <w:rPr>
                <w:rFonts w:hint="eastAsia" w:ascii="宋体" w:hAnsi="宋体" w:eastAsia="宋体"/>
                <w:b w:val="0"/>
                <w:sz w:val="24"/>
                <w:highlight w:val="none"/>
                <w:u w:val="single"/>
              </w:rPr>
              <w:t>家</w:t>
            </w:r>
          </w:p>
        </w:tc>
      </w:tr>
      <w:tr w14:paraId="14F4F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1BF3C44">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21</w:t>
            </w:r>
            <w:r>
              <w:rPr>
                <w:rFonts w:ascii="宋体" w:hAnsi="宋体" w:eastAsia="宋体"/>
                <w:bCs/>
                <w:kern w:val="2"/>
                <w:highlight w:val="none"/>
              </w:rPr>
              <w:t>.</w:t>
            </w:r>
            <w:r>
              <w:rPr>
                <w:rFonts w:hint="eastAsia" w:ascii="宋体" w:hAnsi="宋体" w:eastAsia="宋体"/>
                <w:bCs/>
                <w:kern w:val="2"/>
                <w:highlight w:val="none"/>
              </w:rPr>
              <w:t>2</w:t>
            </w:r>
          </w:p>
        </w:tc>
        <w:tc>
          <w:tcPr>
            <w:tcW w:w="1174" w:type="pct"/>
            <w:vAlign w:val="center"/>
          </w:tcPr>
          <w:p w14:paraId="4077BC78">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确定中标人</w:t>
            </w:r>
          </w:p>
        </w:tc>
        <w:tc>
          <w:tcPr>
            <w:tcW w:w="3244" w:type="pct"/>
            <w:vAlign w:val="center"/>
          </w:tcPr>
          <w:p w14:paraId="4C86112C">
            <w:pPr>
              <w:spacing w:line="360" w:lineRule="auto"/>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sym w:font="Wingdings" w:char="00FE"/>
            </w:r>
            <w:r>
              <w:rPr>
                <w:rFonts w:hint="eastAsia" w:asciiTheme="minorEastAsia" w:hAnsiTheme="minorEastAsia" w:eastAsiaTheme="minorEastAsia"/>
                <w:kern w:val="0"/>
                <w:sz w:val="24"/>
                <w:szCs w:val="24"/>
                <w:highlight w:val="none"/>
              </w:rPr>
              <w:t>招标人委托评标委员会确定</w:t>
            </w:r>
          </w:p>
          <w:p w14:paraId="4E4DAD0F">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Theme="minorEastAsia" w:hAnsiTheme="minorEastAsia" w:eastAsiaTheme="minorEastAsia"/>
                <w:b w:val="0"/>
                <w:bCs w:val="0"/>
                <w:kern w:val="2"/>
                <w:sz w:val="24"/>
                <w:szCs w:val="24"/>
                <w:highlight w:val="none"/>
              </w:rPr>
              <w:t>□招标人确定</w:t>
            </w:r>
          </w:p>
        </w:tc>
      </w:tr>
      <w:tr w14:paraId="042B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B79EC5">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ascii="宋体" w:hAnsi="宋体" w:eastAsia="宋体"/>
                <w:bCs/>
                <w:kern w:val="2"/>
                <w:highlight w:val="none"/>
              </w:rPr>
              <w:t>2</w:t>
            </w:r>
            <w:r>
              <w:rPr>
                <w:rFonts w:hint="eastAsia" w:ascii="宋体" w:hAnsi="宋体" w:eastAsia="宋体"/>
                <w:bCs/>
                <w:kern w:val="2"/>
                <w:highlight w:val="none"/>
              </w:rPr>
              <w:t>3</w:t>
            </w:r>
            <w:r>
              <w:rPr>
                <w:rFonts w:ascii="宋体" w:hAnsi="宋体" w:eastAsia="宋体"/>
                <w:bCs/>
                <w:kern w:val="2"/>
                <w:highlight w:val="none"/>
              </w:rPr>
              <w:t>.3</w:t>
            </w:r>
          </w:p>
        </w:tc>
        <w:tc>
          <w:tcPr>
            <w:tcW w:w="1174" w:type="pct"/>
            <w:vAlign w:val="center"/>
          </w:tcPr>
          <w:p w14:paraId="4052B43F">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随中标结果公告同时公告的内容</w:t>
            </w:r>
          </w:p>
        </w:tc>
        <w:tc>
          <w:tcPr>
            <w:tcW w:w="3244" w:type="pct"/>
            <w:vAlign w:val="center"/>
          </w:tcPr>
          <w:p w14:paraId="3FD9B612">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（1）中小企业声明函；</w:t>
            </w:r>
            <w:r>
              <w:rPr>
                <w:rFonts w:hint="eastAsia" w:ascii="宋体" w:hAnsi="宋体" w:eastAsia="宋体"/>
                <w:b w:val="0"/>
                <w:i/>
                <w:iCs/>
                <w:sz w:val="24"/>
                <w:highlight w:val="none"/>
              </w:rPr>
              <w:t>（如有）</w:t>
            </w:r>
          </w:p>
          <w:p w14:paraId="1E2A9A92">
            <w:pPr>
              <w:pStyle w:val="32"/>
              <w:widowControl w:val="0"/>
              <w:spacing w:before="0" w:beforeAutospacing="0" w:after="0" w:afterAutospacing="0" w:line="360" w:lineRule="auto"/>
              <w:jc w:val="both"/>
              <w:rPr>
                <w:rFonts w:ascii="宋体" w:hAnsi="宋体" w:eastAsia="宋体"/>
                <w:b w:val="0"/>
                <w:i/>
                <w:sz w:val="24"/>
                <w:highlight w:val="none"/>
              </w:rPr>
            </w:pPr>
            <w:r>
              <w:rPr>
                <w:rFonts w:hint="eastAsia" w:ascii="宋体" w:hAnsi="宋体" w:eastAsia="宋体"/>
                <w:b w:val="0"/>
                <w:sz w:val="24"/>
                <w:highlight w:val="none"/>
              </w:rPr>
              <w:t>（2）残疾人福利性单位声明函；</w:t>
            </w:r>
            <w:r>
              <w:rPr>
                <w:rFonts w:hint="eastAsia" w:ascii="宋体" w:hAnsi="宋体" w:eastAsia="宋体"/>
                <w:b w:val="0"/>
                <w:i/>
                <w:iCs/>
                <w:sz w:val="24"/>
                <w:highlight w:val="none"/>
              </w:rPr>
              <w:t>（如有）</w:t>
            </w:r>
          </w:p>
          <w:p w14:paraId="63789832">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（3）因落实政府采购政策等原因进行价格扣除后中标（成交）供应商的评审报价</w:t>
            </w:r>
            <w:r>
              <w:rPr>
                <w:rFonts w:hint="eastAsia" w:ascii="宋体" w:hAnsi="宋体" w:eastAsia="宋体"/>
                <w:b w:val="0"/>
                <w:i/>
                <w:iCs/>
                <w:sz w:val="24"/>
                <w:highlight w:val="none"/>
              </w:rPr>
              <w:t>（适用最低评标价法）</w:t>
            </w:r>
          </w:p>
          <w:p w14:paraId="2473A91B">
            <w:pPr>
              <w:pStyle w:val="32"/>
              <w:widowControl w:val="0"/>
              <w:spacing w:before="0" w:beforeAutospacing="0" w:after="0" w:afterAutospacing="0" w:line="360" w:lineRule="auto"/>
              <w:jc w:val="both"/>
              <w:rPr>
                <w:rFonts w:ascii="宋体" w:hAnsi="宋体" w:eastAsia="宋体"/>
                <w:b w:val="0"/>
                <w:bCs w:val="0"/>
                <w:sz w:val="24"/>
                <w:szCs w:val="24"/>
                <w:highlight w:val="none"/>
              </w:rPr>
            </w:pPr>
            <w:r>
              <w:rPr>
                <w:rFonts w:hint="eastAsia" w:ascii="宋体" w:hAnsi="宋体" w:eastAsia="宋体"/>
                <w:b w:val="0"/>
                <w:sz w:val="24"/>
                <w:highlight w:val="none"/>
              </w:rPr>
              <w:t>（4）中标（成交）供应商的评审总得分</w:t>
            </w:r>
            <w:r>
              <w:rPr>
                <w:rFonts w:hint="eastAsia" w:ascii="宋体" w:hAnsi="宋体" w:eastAsia="宋体"/>
                <w:b w:val="0"/>
                <w:i/>
                <w:iCs/>
                <w:sz w:val="24"/>
                <w:highlight w:val="none"/>
              </w:rPr>
              <w:t>（适用综合评分法）</w:t>
            </w:r>
          </w:p>
        </w:tc>
      </w:tr>
      <w:tr w14:paraId="5998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9C4EC09">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24</w:t>
            </w:r>
            <w:r>
              <w:rPr>
                <w:rFonts w:ascii="宋体" w:hAnsi="宋体" w:eastAsia="宋体"/>
                <w:bCs/>
                <w:kern w:val="2"/>
                <w:highlight w:val="none"/>
              </w:rPr>
              <w:t>.1</w:t>
            </w:r>
          </w:p>
        </w:tc>
        <w:tc>
          <w:tcPr>
            <w:tcW w:w="1174" w:type="pct"/>
            <w:vAlign w:val="center"/>
          </w:tcPr>
          <w:p w14:paraId="629FC78B">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中标通知书发出的形式</w:t>
            </w:r>
          </w:p>
        </w:tc>
        <w:tc>
          <w:tcPr>
            <w:tcW w:w="3244" w:type="pct"/>
            <w:vAlign w:val="center"/>
          </w:tcPr>
          <w:p w14:paraId="26B71B21">
            <w:pPr>
              <w:pStyle w:val="32"/>
              <w:widowControl w:val="0"/>
              <w:spacing w:before="0" w:beforeAutospacing="0" w:after="0" w:afterAutospacing="0" w:line="360" w:lineRule="auto"/>
              <w:jc w:val="both"/>
              <w:rPr>
                <w:rFonts w:ascii="宋体" w:hAnsi="宋体" w:eastAsia="宋体"/>
                <w:b w:val="0"/>
                <w:bCs w:val="0"/>
                <w:sz w:val="24"/>
                <w:szCs w:val="24"/>
                <w:highlight w:val="none"/>
              </w:rPr>
            </w:pPr>
            <w:r>
              <w:rPr>
                <w:rFonts w:hint="eastAsia" w:ascii="宋体" w:hAnsi="宋体" w:eastAsia="宋体"/>
                <w:b w:val="0"/>
                <w:bCs w:val="0"/>
                <w:sz w:val="24"/>
                <w:szCs w:val="24"/>
                <w:highlight w:val="none"/>
              </w:rPr>
              <w:t xml:space="preserve">□书面 </w:t>
            </w:r>
            <w:r>
              <w:rPr>
                <w:rFonts w:ascii="宋体" w:hAnsi="宋体" w:eastAsia="宋体"/>
                <w:b w:val="0"/>
                <w:bCs w:val="0"/>
                <w:sz w:val="24"/>
                <w:szCs w:val="24"/>
                <w:highlight w:val="none"/>
              </w:rPr>
              <w:t xml:space="preserve">    </w:t>
            </w:r>
            <w:r>
              <w:rPr>
                <w:rFonts w:hint="eastAsia" w:ascii="宋体" w:hAnsi="宋体" w:eastAsia="宋体"/>
                <w:b w:val="0"/>
                <w:bCs w:val="0"/>
                <w:sz w:val="24"/>
                <w:szCs w:val="24"/>
                <w:highlight w:val="none"/>
              </w:rPr>
              <w:sym w:font="Wingdings" w:char="00FE"/>
            </w:r>
            <w:r>
              <w:rPr>
                <w:rFonts w:hint="eastAsia" w:ascii="宋体" w:hAnsi="宋体" w:eastAsia="宋体"/>
                <w:b w:val="0"/>
                <w:bCs w:val="0"/>
                <w:sz w:val="24"/>
                <w:szCs w:val="24"/>
                <w:highlight w:val="none"/>
              </w:rPr>
              <w:t>数据电文</w:t>
            </w:r>
          </w:p>
        </w:tc>
      </w:tr>
      <w:tr w14:paraId="0583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CC95C16">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25</w:t>
            </w:r>
            <w:r>
              <w:rPr>
                <w:rFonts w:ascii="宋体" w:hAnsi="宋体" w:eastAsia="宋体"/>
                <w:bCs/>
                <w:kern w:val="2"/>
                <w:highlight w:val="none"/>
              </w:rPr>
              <w:t>.1</w:t>
            </w:r>
          </w:p>
        </w:tc>
        <w:tc>
          <w:tcPr>
            <w:tcW w:w="1174" w:type="pct"/>
            <w:vAlign w:val="center"/>
          </w:tcPr>
          <w:p w14:paraId="63DE95BA">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告知招标结果的形式</w:t>
            </w:r>
          </w:p>
        </w:tc>
        <w:tc>
          <w:tcPr>
            <w:tcW w:w="3244" w:type="pct"/>
            <w:vAlign w:val="center"/>
          </w:tcPr>
          <w:p w14:paraId="6D22E353">
            <w:pPr>
              <w:spacing w:line="360" w:lineRule="auto"/>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sym w:font="Wingdings" w:char="00FE"/>
            </w:r>
            <w:r>
              <w:rPr>
                <w:rFonts w:hint="eastAsia" w:asciiTheme="minorEastAsia" w:hAnsiTheme="minorEastAsia" w:eastAsiaTheme="minorEastAsia"/>
                <w:kern w:val="0"/>
                <w:sz w:val="24"/>
                <w:szCs w:val="24"/>
                <w:highlight w:val="none"/>
              </w:rPr>
              <w:t>投标人自行登录电子</w:t>
            </w:r>
            <w:r>
              <w:rPr>
                <w:rFonts w:hint="eastAsia" w:ascii="宋体" w:hAnsi="宋体" w:eastAsia="宋体" w:cs="宋体"/>
                <w:sz w:val="24"/>
                <w:szCs w:val="24"/>
                <w:highlight w:val="none"/>
              </w:rPr>
              <w:t>交易</w:t>
            </w:r>
            <w:r>
              <w:rPr>
                <w:rFonts w:hint="eastAsia" w:asciiTheme="minorEastAsia" w:hAnsiTheme="minorEastAsia" w:eastAsiaTheme="minorEastAsia"/>
                <w:kern w:val="0"/>
                <w:sz w:val="24"/>
                <w:szCs w:val="24"/>
                <w:highlight w:val="none"/>
              </w:rPr>
              <w:t>系统查看</w:t>
            </w:r>
          </w:p>
          <w:p w14:paraId="6E77D06D">
            <w:pPr>
              <w:pStyle w:val="32"/>
              <w:widowControl w:val="0"/>
              <w:spacing w:before="0" w:beforeAutospacing="0" w:after="0" w:afterAutospacing="0" w:line="360" w:lineRule="auto"/>
              <w:jc w:val="both"/>
              <w:rPr>
                <w:rFonts w:asciiTheme="minorEastAsia" w:hAnsiTheme="minorEastAsia" w:eastAsiaTheme="minorEastAsia"/>
                <w:b w:val="0"/>
                <w:bCs w:val="0"/>
                <w:kern w:val="2"/>
                <w:sz w:val="24"/>
                <w:szCs w:val="24"/>
                <w:highlight w:val="none"/>
              </w:rPr>
            </w:pPr>
            <w:r>
              <w:rPr>
                <w:rFonts w:hint="eastAsia" w:asciiTheme="minorEastAsia" w:hAnsiTheme="minorEastAsia" w:eastAsiaTheme="minorEastAsia"/>
                <w:b w:val="0"/>
                <w:bCs w:val="0"/>
                <w:kern w:val="2"/>
                <w:sz w:val="24"/>
                <w:szCs w:val="24"/>
                <w:highlight w:val="none"/>
              </w:rPr>
              <w:t>□评标现场告知</w:t>
            </w:r>
          </w:p>
        </w:tc>
      </w:tr>
      <w:tr w14:paraId="7DF5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1" w:type="pct"/>
            <w:vAlign w:val="center"/>
          </w:tcPr>
          <w:p w14:paraId="2B84AFBA">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26</w:t>
            </w:r>
            <w:r>
              <w:rPr>
                <w:rFonts w:ascii="宋体" w:hAnsi="宋体" w:eastAsia="宋体"/>
                <w:bCs/>
                <w:kern w:val="2"/>
                <w:highlight w:val="none"/>
              </w:rPr>
              <w:t>.1</w:t>
            </w:r>
          </w:p>
        </w:tc>
        <w:tc>
          <w:tcPr>
            <w:tcW w:w="1174" w:type="pct"/>
            <w:vAlign w:val="center"/>
          </w:tcPr>
          <w:p w14:paraId="1C564418">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履约保证金</w:t>
            </w:r>
          </w:p>
        </w:tc>
        <w:tc>
          <w:tcPr>
            <w:tcW w:w="3244" w:type="pct"/>
          </w:tcPr>
          <w:p w14:paraId="347F182C">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（1）金额：</w:t>
            </w:r>
          </w:p>
          <w:p w14:paraId="0ACF2675">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☑免收</w:t>
            </w:r>
          </w:p>
          <w:p w14:paraId="4802FB25">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□合同价的</w:t>
            </w:r>
            <w:r>
              <w:rPr>
                <w:rFonts w:hint="eastAsia" w:ascii="宋体" w:hAnsi="宋体" w:eastAsia="宋体"/>
                <w:bCs/>
                <w:kern w:val="0"/>
                <w:sz w:val="24"/>
                <w:szCs w:val="28"/>
                <w:highlight w:val="none"/>
                <w:u w:val="single"/>
              </w:rPr>
              <w:t>2</w:t>
            </w:r>
            <w:r>
              <w:rPr>
                <w:rFonts w:ascii="宋体" w:hAnsi="宋体" w:eastAsia="宋体"/>
                <w:bCs/>
                <w:kern w:val="0"/>
                <w:sz w:val="24"/>
                <w:szCs w:val="28"/>
                <w:highlight w:val="none"/>
              </w:rPr>
              <w:t>%</w:t>
            </w:r>
          </w:p>
          <w:p w14:paraId="35698D77">
            <w:pPr>
              <w:spacing w:line="360" w:lineRule="auto"/>
              <w:rPr>
                <w:rFonts w:ascii="宋体" w:hAnsi="宋体" w:eastAsia="宋体"/>
                <w:bCs/>
                <w:kern w:val="0"/>
                <w:sz w:val="24"/>
                <w:szCs w:val="28"/>
                <w:highlight w:val="none"/>
              </w:rPr>
            </w:pPr>
            <w:r>
              <w:rPr>
                <w:rFonts w:ascii="宋体" w:hAnsi="宋体" w:eastAsia="宋体"/>
                <w:bCs/>
                <w:kern w:val="0"/>
                <w:sz w:val="24"/>
                <w:szCs w:val="28"/>
                <w:highlight w:val="none"/>
              </w:rPr>
              <w:t>□</w:t>
            </w:r>
            <w:r>
              <w:rPr>
                <w:rFonts w:hint="eastAsia" w:ascii="宋体" w:hAnsi="宋体" w:eastAsia="宋体"/>
                <w:bCs/>
                <w:kern w:val="0"/>
                <w:sz w:val="24"/>
                <w:szCs w:val="28"/>
                <w:highlight w:val="none"/>
              </w:rPr>
              <w:t>定额收取：人民币</w:t>
            </w:r>
            <w:r>
              <w:rPr>
                <w:rFonts w:hint="eastAsia" w:ascii="宋体" w:hAnsi="宋体" w:eastAsia="宋体"/>
                <w:bCs/>
                <w:kern w:val="0"/>
                <w:sz w:val="24"/>
                <w:szCs w:val="28"/>
                <w:highlight w:val="none"/>
                <w:u w:val="single"/>
              </w:rPr>
              <w:t xml:space="preserve">              </w:t>
            </w:r>
            <w:r>
              <w:rPr>
                <w:rFonts w:hint="eastAsia" w:ascii="宋体" w:hAnsi="宋体" w:eastAsia="宋体"/>
                <w:bCs/>
                <w:kern w:val="0"/>
                <w:sz w:val="24"/>
                <w:szCs w:val="28"/>
                <w:highlight w:val="none"/>
              </w:rPr>
              <w:t>元</w:t>
            </w:r>
          </w:p>
          <w:p w14:paraId="2D64CB99">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（2）支付方式：</w:t>
            </w:r>
          </w:p>
          <w:p w14:paraId="0EE37D5C">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转账/电汇</w:t>
            </w:r>
            <w:r>
              <w:rPr>
                <w:rFonts w:hint="eastAsia" w:ascii="宋体" w:hAnsi="宋体" w:eastAsia="宋体"/>
                <w:bCs/>
                <w:kern w:val="0"/>
                <w:sz w:val="24"/>
                <w:szCs w:val="28"/>
                <w:highlight w:val="none"/>
              </w:rPr>
              <w:t xml:space="preserve"> </w:t>
            </w: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 xml:space="preserve">支票 </w:t>
            </w: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汇票</w:t>
            </w:r>
            <w:r>
              <w:rPr>
                <w:rFonts w:hint="eastAsia" w:ascii="宋体" w:hAnsi="宋体" w:eastAsia="宋体"/>
                <w:bCs/>
                <w:kern w:val="0"/>
                <w:sz w:val="24"/>
                <w:szCs w:val="28"/>
                <w:highlight w:val="none"/>
              </w:rPr>
              <w:t xml:space="preserve"> </w:t>
            </w:r>
            <w:r>
              <w:rPr>
                <w:rFonts w:hint="eastAsia" w:ascii="宋体" w:hAnsi="宋体" w:eastAsia="宋体"/>
                <w:bCs/>
                <w:kern w:val="0"/>
                <w:sz w:val="24"/>
                <w:szCs w:val="28"/>
                <w:highlight w:val="none"/>
              </w:rPr>
              <w:sym w:font="Wingdings" w:char="00FE"/>
            </w:r>
            <w:r>
              <w:rPr>
                <w:rFonts w:hint="eastAsia" w:ascii="宋体" w:hAnsi="宋体" w:eastAsia="宋体"/>
                <w:bCs/>
                <w:kern w:val="0"/>
                <w:sz w:val="24"/>
                <w:szCs w:val="28"/>
                <w:highlight w:val="none"/>
              </w:rPr>
              <w:t xml:space="preserve">本票 </w:t>
            </w: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保</w:t>
            </w:r>
            <w:r>
              <w:rPr>
                <w:rFonts w:hint="eastAsia" w:ascii="宋体" w:hAnsi="宋体" w:eastAsia="宋体"/>
                <w:bCs/>
                <w:kern w:val="0"/>
                <w:sz w:val="24"/>
                <w:szCs w:val="28"/>
                <w:highlight w:val="none"/>
              </w:rPr>
              <w:t xml:space="preserve">险 </w:t>
            </w:r>
            <w:r>
              <w:rPr>
                <w:rFonts w:hint="eastAsia" w:ascii="宋体" w:hAnsi="宋体" w:eastAsia="宋体"/>
                <w:bCs/>
                <w:kern w:val="0"/>
                <w:sz w:val="24"/>
                <w:szCs w:val="28"/>
                <w:highlight w:val="none"/>
              </w:rPr>
              <w:sym w:font="Wingdings" w:char="00FE"/>
            </w:r>
            <w:r>
              <w:rPr>
                <w:rFonts w:hint="eastAsia" w:ascii="宋体" w:hAnsi="宋体" w:eastAsia="宋体"/>
                <w:bCs/>
                <w:kern w:val="0"/>
                <w:sz w:val="24"/>
                <w:szCs w:val="28"/>
                <w:highlight w:val="none"/>
              </w:rPr>
              <w:t>保</w:t>
            </w:r>
            <w:r>
              <w:rPr>
                <w:rFonts w:ascii="宋体" w:hAnsi="宋体" w:eastAsia="宋体"/>
                <w:bCs/>
                <w:kern w:val="0"/>
                <w:sz w:val="24"/>
                <w:szCs w:val="28"/>
                <w:highlight w:val="none"/>
              </w:rPr>
              <w:t>函</w:t>
            </w:r>
          </w:p>
          <w:p w14:paraId="484CDE8E">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（3）收取单位：</w:t>
            </w:r>
            <w:r>
              <w:rPr>
                <w:rFonts w:hint="eastAsia" w:ascii="宋体" w:hAnsi="宋体" w:eastAsia="宋体"/>
                <w:bCs/>
                <w:kern w:val="0"/>
                <w:sz w:val="24"/>
                <w:szCs w:val="28"/>
                <w:highlight w:val="none"/>
                <w:u w:val="single"/>
              </w:rPr>
              <w:t xml:space="preserve"> 铜陵学院 </w:t>
            </w:r>
            <w:r>
              <w:rPr>
                <w:rFonts w:hint="eastAsia" w:ascii="宋体" w:hAnsi="宋体" w:eastAsia="宋体"/>
                <w:bCs/>
                <w:kern w:val="0"/>
                <w:sz w:val="24"/>
                <w:szCs w:val="28"/>
                <w:highlight w:val="none"/>
              </w:rPr>
              <w:t xml:space="preserve">              </w:t>
            </w:r>
          </w:p>
          <w:p w14:paraId="4802C6E6">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（4）收取账号：</w:t>
            </w:r>
            <w:r>
              <w:rPr>
                <w:rFonts w:hint="eastAsia" w:ascii="宋体" w:hAnsi="宋体" w:eastAsia="宋体"/>
                <w:bCs/>
                <w:kern w:val="0"/>
                <w:sz w:val="24"/>
                <w:szCs w:val="28"/>
                <w:highlight w:val="none"/>
                <w:u w:val="single"/>
              </w:rPr>
              <w:t xml:space="preserve"> 中标后提供 </w:t>
            </w:r>
          </w:p>
          <w:p w14:paraId="2D95532D">
            <w:pPr>
              <w:spacing w:line="360" w:lineRule="auto"/>
              <w:rPr>
                <w:rFonts w:ascii="宋体" w:hAnsi="宋体" w:eastAsia="宋体"/>
                <w:sz w:val="24"/>
                <w:highlight w:val="none"/>
              </w:rPr>
            </w:pPr>
            <w:r>
              <w:rPr>
                <w:rFonts w:hint="eastAsia" w:ascii="宋体" w:hAnsi="宋体" w:eastAsia="宋体"/>
                <w:bCs/>
                <w:kern w:val="0"/>
                <w:sz w:val="24"/>
                <w:szCs w:val="28"/>
                <w:highlight w:val="none"/>
              </w:rPr>
              <w:t>（5）</w:t>
            </w:r>
            <w:r>
              <w:rPr>
                <w:rFonts w:hint="eastAsia" w:ascii="宋体" w:hAnsi="宋体" w:eastAsia="宋体"/>
                <w:sz w:val="24"/>
                <w:highlight w:val="none"/>
              </w:rPr>
              <w:t>退还时间：</w:t>
            </w:r>
            <w:r>
              <w:rPr>
                <w:rFonts w:hint="eastAsia" w:ascii="宋体" w:hAnsi="宋体" w:eastAsia="宋体"/>
                <w:bCs/>
                <w:kern w:val="0"/>
                <w:sz w:val="24"/>
                <w:szCs w:val="28"/>
                <w:highlight w:val="none"/>
                <w:u w:val="single"/>
              </w:rPr>
              <w:t>服务期满且无违约情形后退还。</w:t>
            </w:r>
          </w:p>
          <w:p w14:paraId="54A4B538">
            <w:pPr>
              <w:spacing w:line="360" w:lineRule="auto"/>
              <w:rPr>
                <w:rFonts w:ascii="宋体" w:hAnsi="宋体" w:eastAsia="宋体"/>
                <w:bCs/>
                <w:kern w:val="0"/>
                <w:sz w:val="24"/>
                <w:szCs w:val="24"/>
                <w:highlight w:val="none"/>
              </w:rPr>
            </w:pPr>
            <w:r>
              <w:rPr>
                <w:rFonts w:hint="eastAsia" w:ascii="宋体" w:hAnsi="宋体" w:eastAsia="宋体"/>
                <w:bCs/>
                <w:kern w:val="0"/>
                <w:sz w:val="24"/>
                <w:szCs w:val="28"/>
                <w:highlight w:val="none"/>
              </w:rPr>
              <w:t>（6）</w:t>
            </w:r>
            <w:r>
              <w:rPr>
                <w:rFonts w:hint="eastAsia" w:ascii="宋体" w:hAnsi="宋体" w:eastAsia="宋体"/>
                <w:bCs/>
                <w:kern w:val="0"/>
                <w:sz w:val="24"/>
                <w:szCs w:val="24"/>
                <w:highlight w:val="none"/>
              </w:rPr>
              <w:t xml:space="preserve">缴纳时限要求 </w:t>
            </w:r>
          </w:p>
          <w:p w14:paraId="4DC9174F">
            <w:pPr>
              <w:spacing w:line="360" w:lineRule="auto"/>
              <w:ind w:firstLine="240" w:firstLineChars="100"/>
              <w:rPr>
                <w:rFonts w:ascii="宋体" w:hAnsi="宋体" w:eastAsia="宋体"/>
                <w:bCs/>
                <w:kern w:val="0"/>
                <w:sz w:val="24"/>
                <w:szCs w:val="24"/>
                <w:highlight w:val="none"/>
              </w:rPr>
            </w:pPr>
            <w:r>
              <w:rPr>
                <w:rFonts w:hint="eastAsia" w:ascii="宋体" w:hAnsi="宋体" w:eastAsia="宋体"/>
                <w:bCs/>
                <w:kern w:val="0"/>
                <w:sz w:val="24"/>
                <w:szCs w:val="24"/>
                <w:highlight w:val="none"/>
              </w:rPr>
              <w:t>乙方应于合同签订前完成保证金缴纳。</w:t>
            </w:r>
          </w:p>
          <w:p w14:paraId="3690161B">
            <w:pPr>
              <w:spacing w:line="360" w:lineRule="auto"/>
              <w:rPr>
                <w:rFonts w:ascii="宋体" w:hAnsi="宋体" w:eastAsia="宋体"/>
                <w:bCs/>
                <w:kern w:val="0"/>
                <w:sz w:val="24"/>
                <w:szCs w:val="24"/>
                <w:highlight w:val="none"/>
              </w:rPr>
            </w:pPr>
            <w:r>
              <w:rPr>
                <w:rFonts w:hint="eastAsia" w:ascii="宋体" w:hAnsi="宋体" w:eastAsia="宋体"/>
                <w:bCs/>
                <w:kern w:val="0"/>
                <w:sz w:val="24"/>
                <w:szCs w:val="28"/>
                <w:highlight w:val="none"/>
              </w:rPr>
              <w:t>（7）</w:t>
            </w:r>
            <w:r>
              <w:rPr>
                <w:rFonts w:hint="eastAsia" w:ascii="宋体" w:hAnsi="宋体" w:eastAsia="宋体"/>
                <w:bCs/>
                <w:kern w:val="0"/>
                <w:sz w:val="24"/>
                <w:szCs w:val="24"/>
                <w:highlight w:val="none"/>
              </w:rPr>
              <w:t xml:space="preserve">缴纳形式规范 </w:t>
            </w:r>
          </w:p>
          <w:p w14:paraId="50ACCC92">
            <w:pPr>
              <w:pStyle w:val="7"/>
              <w:spacing w:line="360" w:lineRule="auto"/>
              <w:rPr>
                <w:rFonts w:ascii="宋体" w:hAnsi="宋体" w:eastAsia="宋体"/>
                <w:bCs/>
                <w:kern w:val="0"/>
                <w:sz w:val="24"/>
                <w:szCs w:val="24"/>
                <w:highlight w:val="none"/>
              </w:rPr>
            </w:pPr>
            <w:r>
              <w:rPr>
                <w:rFonts w:hint="eastAsia" w:ascii="宋体" w:hAnsi="宋体" w:eastAsia="宋体"/>
                <w:bCs/>
                <w:kern w:val="0"/>
                <w:sz w:val="24"/>
                <w:szCs w:val="24"/>
                <w:highlight w:val="none"/>
              </w:rPr>
              <w:t>1、</w:t>
            </w:r>
            <w:r>
              <w:rPr>
                <w:rFonts w:hint="eastAsia" w:ascii="宋体" w:hAnsi="宋体" w:eastAsia="宋体" w:cs="宋体"/>
                <w:sz w:val="24"/>
                <w:szCs w:val="24"/>
                <w:highlight w:val="none"/>
              </w:rPr>
              <w:t>如采取转账形式的，</w:t>
            </w:r>
            <w:r>
              <w:rPr>
                <w:rFonts w:hint="eastAsia" w:ascii="宋体" w:hAnsi="宋体" w:eastAsia="宋体"/>
                <w:bCs/>
                <w:kern w:val="0"/>
                <w:sz w:val="24"/>
                <w:szCs w:val="24"/>
                <w:highlight w:val="none"/>
              </w:rPr>
              <w:t>转账凭证应包含完整项目编号、合同编号及"履约保证金"专项备注；</w:t>
            </w:r>
          </w:p>
          <w:p w14:paraId="1030D0D0">
            <w:pPr>
              <w:spacing w:line="360" w:lineRule="auto"/>
              <w:rPr>
                <w:rFonts w:ascii="宋体" w:hAnsi="宋体" w:eastAsia="宋体"/>
                <w:bCs/>
                <w:kern w:val="0"/>
                <w:sz w:val="24"/>
                <w:szCs w:val="24"/>
                <w:highlight w:val="none"/>
              </w:rPr>
            </w:pPr>
            <w:r>
              <w:rPr>
                <w:rFonts w:hint="eastAsia" w:ascii="宋体" w:hAnsi="宋体" w:eastAsia="宋体"/>
                <w:bCs/>
                <w:kern w:val="0"/>
                <w:sz w:val="24"/>
                <w:szCs w:val="24"/>
                <w:highlight w:val="none"/>
              </w:rPr>
              <w:t xml:space="preserve">2、相关费用（含转账手续费、跨境汇兑费等）由乙方自行承担。 </w:t>
            </w:r>
          </w:p>
          <w:p w14:paraId="3BC771E3">
            <w:pPr>
              <w:spacing w:line="360" w:lineRule="auto"/>
              <w:rPr>
                <w:rFonts w:ascii="宋体" w:hAnsi="宋体" w:eastAsia="宋体"/>
                <w:bCs/>
                <w:kern w:val="0"/>
                <w:sz w:val="24"/>
                <w:szCs w:val="24"/>
                <w:highlight w:val="none"/>
              </w:rPr>
            </w:pPr>
            <w:r>
              <w:rPr>
                <w:rFonts w:hint="eastAsia" w:ascii="宋体" w:hAnsi="宋体" w:eastAsia="宋体"/>
                <w:bCs/>
                <w:kern w:val="0"/>
                <w:sz w:val="24"/>
                <w:szCs w:val="24"/>
                <w:highlight w:val="none"/>
              </w:rPr>
              <w:t>注：本条款未尽事宜，按《政府采购法实施条例》及安徽省财政厅相关管理规定执行。</w:t>
            </w:r>
          </w:p>
          <w:p w14:paraId="6D68DF63">
            <w:pPr>
              <w:spacing w:line="360" w:lineRule="auto"/>
              <w:rPr>
                <w:rFonts w:ascii="宋体" w:hAnsi="宋体" w:eastAsia="宋体"/>
                <w:bCs/>
                <w:kern w:val="0"/>
                <w:sz w:val="24"/>
                <w:szCs w:val="24"/>
                <w:highlight w:val="none"/>
              </w:rPr>
            </w:pPr>
            <w:r>
              <w:rPr>
                <w:rFonts w:hint="eastAsia" w:ascii="宋体" w:hAnsi="宋体" w:eastAsia="宋体"/>
                <w:bCs/>
                <w:kern w:val="0"/>
                <w:sz w:val="24"/>
                <w:szCs w:val="28"/>
                <w:highlight w:val="none"/>
              </w:rPr>
              <w:t>（8）</w:t>
            </w:r>
            <w:r>
              <w:rPr>
                <w:rFonts w:hint="eastAsia" w:ascii="宋体" w:hAnsi="宋体" w:eastAsia="宋体"/>
                <w:bCs/>
                <w:kern w:val="0"/>
                <w:sz w:val="24"/>
                <w:szCs w:val="24"/>
                <w:highlight w:val="none"/>
              </w:rPr>
              <w:t>注意事项：</w:t>
            </w:r>
          </w:p>
          <w:p w14:paraId="6B4ED591">
            <w:pPr>
              <w:spacing w:line="360" w:lineRule="auto"/>
              <w:rPr>
                <w:rFonts w:ascii="宋体" w:hAnsi="宋体" w:eastAsia="宋体"/>
                <w:bCs/>
                <w:kern w:val="0"/>
                <w:sz w:val="24"/>
                <w:szCs w:val="24"/>
                <w:highlight w:val="none"/>
              </w:rPr>
            </w:pPr>
            <w:r>
              <w:rPr>
                <w:rFonts w:hint="eastAsia" w:ascii="宋体" w:hAnsi="宋体" w:eastAsia="宋体"/>
                <w:bCs/>
                <w:kern w:val="0"/>
                <w:sz w:val="24"/>
                <w:szCs w:val="24"/>
                <w:highlight w:val="none"/>
              </w:rPr>
              <w:t>1、以上各类机构出具的以担保函、保证保险承担责任的方式均须满足无条件见索即付条件。</w:t>
            </w:r>
          </w:p>
          <w:p w14:paraId="4A641E93">
            <w:pPr>
              <w:spacing w:line="360" w:lineRule="auto"/>
              <w:rPr>
                <w:rFonts w:ascii="宋体" w:hAnsi="宋体" w:eastAsia="宋体"/>
                <w:b/>
                <w:bCs/>
                <w:kern w:val="0"/>
                <w:sz w:val="24"/>
                <w:szCs w:val="24"/>
                <w:highlight w:val="none"/>
              </w:rPr>
            </w:pPr>
            <w:r>
              <w:rPr>
                <w:rFonts w:hint="eastAsia" w:ascii="宋体" w:hAnsi="宋体" w:eastAsia="宋体"/>
                <w:bCs/>
                <w:kern w:val="0"/>
                <w:sz w:val="24"/>
                <w:szCs w:val="24"/>
                <w:highlight w:val="none"/>
              </w:rPr>
              <w:t>2、以担保函、保证保险形式缴纳履约保证金的，受益人和收取单位须为招标人。</w:t>
            </w:r>
          </w:p>
        </w:tc>
      </w:tr>
      <w:tr w14:paraId="2C15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5ACC5178">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27</w:t>
            </w:r>
            <w:r>
              <w:rPr>
                <w:rFonts w:ascii="宋体" w:hAnsi="宋体" w:eastAsia="宋体"/>
                <w:bCs/>
                <w:kern w:val="2"/>
                <w:highlight w:val="none"/>
              </w:rPr>
              <w:t>.1</w:t>
            </w:r>
          </w:p>
        </w:tc>
        <w:tc>
          <w:tcPr>
            <w:tcW w:w="1174" w:type="pct"/>
            <w:vAlign w:val="center"/>
          </w:tcPr>
          <w:p w14:paraId="6B5E4055">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签订合同和合同公告时间</w:t>
            </w:r>
          </w:p>
        </w:tc>
        <w:tc>
          <w:tcPr>
            <w:tcW w:w="3244" w:type="pct"/>
          </w:tcPr>
          <w:p w14:paraId="19D6F19F">
            <w:pPr>
              <w:adjustRightInd w:val="0"/>
              <w:snapToGrid w:val="0"/>
              <w:spacing w:line="360" w:lineRule="auto"/>
              <w:rPr>
                <w:rFonts w:ascii="宋体" w:hAnsi="宋体" w:eastAsia="宋体" w:cs="宋体"/>
                <w:sz w:val="24"/>
                <w:szCs w:val="24"/>
                <w:highlight w:val="none"/>
              </w:rPr>
            </w:pPr>
            <w:r>
              <w:rPr>
                <w:rFonts w:ascii="宋体" w:hAnsi="宋体" w:eastAsia="宋体" w:cs="宋体"/>
                <w:sz w:val="24"/>
                <w:szCs w:val="24"/>
                <w:highlight w:val="none"/>
              </w:rPr>
              <w:t>（1）</w:t>
            </w:r>
            <w:r>
              <w:rPr>
                <w:rFonts w:hint="eastAsia" w:ascii="宋体" w:hAnsi="宋体" w:eastAsia="宋体" w:cs="宋体"/>
                <w:sz w:val="24"/>
                <w:szCs w:val="24"/>
                <w:highlight w:val="none"/>
              </w:rPr>
              <w:t>招标人</w:t>
            </w:r>
            <w:r>
              <w:rPr>
                <w:rFonts w:ascii="宋体" w:hAnsi="宋体" w:eastAsia="宋体" w:cs="宋体"/>
                <w:sz w:val="24"/>
                <w:szCs w:val="24"/>
                <w:highlight w:val="none"/>
              </w:rPr>
              <w:t>与中标人应当自发出中标通知书之日起7个工作日内签订合同，采购合同签订之日起2个工作日内完成政府采购合同公开。</w:t>
            </w:r>
          </w:p>
          <w:p w14:paraId="6600143C">
            <w:pPr>
              <w:adjustRightInd w:val="0"/>
              <w:snapToGrid w:val="0"/>
              <w:spacing w:line="360" w:lineRule="auto"/>
              <w:rPr>
                <w:rFonts w:ascii="宋体" w:hAnsi="宋体" w:eastAsia="宋体"/>
                <w:b/>
                <w:bCs/>
                <w:kern w:val="0"/>
                <w:sz w:val="24"/>
                <w:szCs w:val="24"/>
                <w:highlight w:val="none"/>
              </w:rPr>
            </w:pPr>
            <w:r>
              <w:rPr>
                <w:rFonts w:ascii="宋体" w:hAnsi="宋体" w:eastAsia="宋体" w:cs="宋体"/>
                <w:sz w:val="24"/>
                <w:szCs w:val="24"/>
                <w:highlight w:val="none"/>
              </w:rPr>
              <w:t>（2）</w:t>
            </w:r>
            <w:r>
              <w:rPr>
                <w:rFonts w:hint="eastAsia" w:ascii="宋体" w:hAnsi="宋体" w:eastAsia="宋体" w:cs="宋体"/>
                <w:sz w:val="24"/>
                <w:szCs w:val="24"/>
                <w:highlight w:val="none"/>
              </w:rPr>
              <w:t>招标人</w:t>
            </w:r>
            <w:r>
              <w:rPr>
                <w:rFonts w:ascii="宋体" w:hAnsi="宋体" w:eastAsia="宋体" w:cs="宋体"/>
                <w:sz w:val="24"/>
                <w:szCs w:val="24"/>
                <w:highlight w:val="none"/>
              </w:rPr>
              <w:t>与中标人不得擅自变更合同，依照政府采购法确需变更政府采购合同内容的，</w:t>
            </w:r>
            <w:r>
              <w:rPr>
                <w:rFonts w:hint="eastAsia" w:ascii="宋体" w:hAnsi="宋体" w:eastAsia="宋体" w:cs="宋体"/>
                <w:sz w:val="24"/>
                <w:szCs w:val="24"/>
                <w:highlight w:val="none"/>
              </w:rPr>
              <w:t>招标人</w:t>
            </w:r>
            <w:r>
              <w:rPr>
                <w:rFonts w:ascii="宋体" w:hAnsi="宋体" w:eastAsia="宋体" w:cs="宋体"/>
                <w:sz w:val="24"/>
                <w:szCs w:val="24"/>
                <w:highlight w:val="none"/>
              </w:rPr>
              <w:t>应当自合同变更之日起2个工作日内在安徽省政府采购网发布政府采购合同变更公告，但涉及国家秘密、商业秘密的信息和其他依法不得公开的信息除外。</w:t>
            </w:r>
          </w:p>
        </w:tc>
      </w:tr>
      <w:tr w14:paraId="44CE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55879C5">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28</w:t>
            </w:r>
            <w:r>
              <w:rPr>
                <w:rFonts w:ascii="宋体" w:hAnsi="宋体" w:eastAsia="宋体"/>
                <w:bCs/>
                <w:kern w:val="2"/>
                <w:highlight w:val="none"/>
              </w:rPr>
              <w:t>.1</w:t>
            </w:r>
          </w:p>
        </w:tc>
        <w:tc>
          <w:tcPr>
            <w:tcW w:w="1174" w:type="pct"/>
            <w:vAlign w:val="center"/>
          </w:tcPr>
          <w:p w14:paraId="6E4448CA">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代理费用</w:t>
            </w:r>
          </w:p>
        </w:tc>
        <w:tc>
          <w:tcPr>
            <w:tcW w:w="3244" w:type="pct"/>
            <w:vAlign w:val="center"/>
          </w:tcPr>
          <w:p w14:paraId="4CA95F80">
            <w:pPr>
              <w:spacing w:before="39" w:line="360" w:lineRule="auto"/>
              <w:rPr>
                <w:rFonts w:ascii="宋体" w:hAnsi="宋体" w:eastAsia="宋体" w:cs="宋体"/>
                <w:sz w:val="24"/>
                <w:szCs w:val="24"/>
                <w:highlight w:val="none"/>
              </w:rPr>
            </w:pPr>
            <w:r>
              <w:rPr>
                <w:rFonts w:hint="eastAsia" w:ascii="宋体" w:hAnsi="宋体" w:eastAsia="宋体"/>
                <w:bCs/>
                <w:kern w:val="0"/>
                <w:sz w:val="24"/>
                <w:szCs w:val="28"/>
                <w:highlight w:val="none"/>
              </w:rPr>
              <w:t>（1）</w:t>
            </w:r>
            <w:r>
              <w:rPr>
                <w:rFonts w:ascii="宋体" w:hAnsi="宋体" w:eastAsia="宋体"/>
                <w:bCs/>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kern w:val="0"/>
                <w:sz w:val="24"/>
                <w:szCs w:val="28"/>
                <w:highlight w:val="none"/>
              </w:rPr>
              <w:sym w:font="Wingdings" w:char="00A8"/>
            </w:r>
            <w:r>
              <w:rPr>
                <w:rFonts w:hint="eastAsia" w:ascii="宋体" w:hAnsi="宋体" w:eastAsia="宋体" w:cs="宋体"/>
                <w:spacing w:val="14"/>
                <w:sz w:val="24"/>
                <w:szCs w:val="24"/>
                <w:highlight w:val="none"/>
              </w:rPr>
              <w:t xml:space="preserve">招标人   </w:t>
            </w:r>
            <w:r>
              <w:rPr>
                <w:rFonts w:hint="eastAsia" w:ascii="宋体" w:hAnsi="宋体" w:eastAsia="宋体"/>
                <w:bCs/>
                <w:kern w:val="0"/>
                <w:sz w:val="24"/>
                <w:szCs w:val="28"/>
                <w:highlight w:val="none"/>
              </w:rPr>
              <w:sym w:font="Wingdings" w:char="00FE"/>
            </w:r>
            <w:r>
              <w:rPr>
                <w:rFonts w:ascii="宋体" w:hAnsi="宋体" w:eastAsia="宋体" w:cs="宋体"/>
                <w:spacing w:val="14"/>
                <w:sz w:val="24"/>
                <w:szCs w:val="24"/>
                <w:highlight w:val="none"/>
              </w:rPr>
              <w:t>中标人</w:t>
            </w:r>
          </w:p>
          <w:p w14:paraId="18C17D8E">
            <w:pPr>
              <w:spacing w:before="24"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（2）</w:t>
            </w:r>
            <w:r>
              <w:rPr>
                <w:rFonts w:ascii="宋体" w:hAnsi="宋体" w:eastAsia="宋体"/>
                <w:bCs/>
                <w:kern w:val="0"/>
                <w:sz w:val="24"/>
                <w:szCs w:val="28"/>
                <w:highlight w:val="none"/>
              </w:rPr>
              <w:t>收取方式</w:t>
            </w:r>
            <w:r>
              <w:rPr>
                <w:rFonts w:ascii="宋体" w:hAnsi="宋体" w:eastAsia="宋体" w:cs="宋体"/>
                <w:sz w:val="24"/>
                <w:szCs w:val="24"/>
                <w:highlight w:val="none"/>
              </w:rPr>
              <w:t>：</w:t>
            </w:r>
            <w:r>
              <w:rPr>
                <w:rFonts w:hint="eastAsia" w:ascii="宋体" w:hAnsi="宋体" w:eastAsia="宋体" w:cs="宋体"/>
                <w:bCs/>
                <w:kern w:val="0"/>
                <w:sz w:val="24"/>
                <w:szCs w:val="24"/>
                <w:highlight w:val="none"/>
              </w:rPr>
              <w:t>转账/电汇</w:t>
            </w:r>
          </w:p>
          <w:p w14:paraId="51FA7213">
            <w:pPr>
              <w:pStyle w:val="19"/>
              <w:widowControl/>
              <w:spacing w:before="0" w:beforeAutospacing="0" w:after="0" w:afterAutospacing="0" w:line="360" w:lineRule="auto"/>
              <w:rPr>
                <w:rFonts w:ascii="宋体" w:hAnsi="宋体" w:eastAsia="宋体" w:cs="宋体"/>
                <w:szCs w:val="24"/>
                <w:highlight w:val="none"/>
              </w:rPr>
            </w:pPr>
            <w:r>
              <w:rPr>
                <w:rFonts w:hint="eastAsia" w:ascii="宋体" w:hAnsi="宋体" w:eastAsia="宋体"/>
                <w:szCs w:val="28"/>
                <w:highlight w:val="none"/>
              </w:rPr>
              <w:t>（</w:t>
            </w:r>
            <w:r>
              <w:rPr>
                <w:rFonts w:hint="eastAsia" w:ascii="宋体" w:hAnsi="宋体" w:eastAsia="宋体" w:cs="宋体"/>
                <w:szCs w:val="24"/>
                <w:highlight w:val="none"/>
              </w:rPr>
              <w:t>3）</w:t>
            </w:r>
            <w:r>
              <w:rPr>
                <w:rFonts w:ascii="宋体" w:hAnsi="宋体" w:eastAsia="宋体" w:cs="宋体"/>
                <w:szCs w:val="24"/>
                <w:highlight w:val="none"/>
              </w:rPr>
              <w:t>收费标准：</w:t>
            </w:r>
            <w:r>
              <w:rPr>
                <w:rFonts w:hint="eastAsia" w:ascii="宋体" w:hAnsi="宋体" w:eastAsia="宋体" w:cs="宋体"/>
                <w:szCs w:val="24"/>
                <w:highlight w:val="none"/>
              </w:rPr>
              <w:t>以每包（标段）的中标（成交）价为计算基数，参照国家发改委（发改价格[2011]534号文件）的规定收费标准下浮30%，每包（标段）不足4000元的按照4000元最低标准收取。</w:t>
            </w:r>
          </w:p>
          <w:p w14:paraId="0FF7134E">
            <w:pPr>
              <w:pStyle w:val="19"/>
              <w:widowControl/>
              <w:spacing w:before="0" w:beforeAutospacing="0" w:after="0" w:afterAutospacing="0" w:line="360" w:lineRule="auto"/>
              <w:rPr>
                <w:rFonts w:ascii="宋体" w:hAnsi="宋体" w:eastAsia="宋体" w:cs="宋体"/>
                <w:szCs w:val="24"/>
                <w:highlight w:val="none"/>
              </w:rPr>
            </w:pPr>
            <w:r>
              <w:rPr>
                <w:rFonts w:hint="eastAsia" w:ascii="宋体" w:hAnsi="宋体" w:eastAsia="宋体" w:cs="宋体"/>
                <w:szCs w:val="24"/>
                <w:highlight w:val="none"/>
              </w:rPr>
              <w:t>注：计算基数=</w:t>
            </w:r>
            <w:r>
              <w:rPr>
                <w:rFonts w:ascii="宋体" w:hAnsi="宋体" w:eastAsia="宋体" w:cs="宋体"/>
                <w:szCs w:val="24"/>
                <w:highlight w:val="none"/>
              </w:rPr>
              <w:t>7580</w:t>
            </w:r>
            <w:r>
              <w:rPr>
                <w:rFonts w:hint="eastAsia" w:ascii="宋体" w:hAnsi="宋体" w:eastAsia="宋体" w:cs="宋体"/>
                <w:szCs w:val="24"/>
                <w:highlight w:val="none"/>
                <w:lang w:val="en-US" w:eastAsia="zh-CN"/>
              </w:rPr>
              <w:t>.30</w:t>
            </w:r>
            <w:r>
              <w:rPr>
                <w:rFonts w:hint="eastAsia" w:ascii="宋体" w:hAnsi="宋体" w:eastAsia="宋体" w:cs="宋体"/>
                <w:szCs w:val="24"/>
                <w:highlight w:val="none"/>
              </w:rPr>
              <w:t>万元</w:t>
            </w:r>
            <w:r>
              <w:rPr>
                <w:rFonts w:ascii="宋体" w:hAnsi="宋体" w:eastAsia="宋体" w:cs="宋体"/>
                <w:szCs w:val="24"/>
                <w:highlight w:val="none"/>
              </w:rPr>
              <w:t>*</w:t>
            </w:r>
            <w:r>
              <w:rPr>
                <w:rFonts w:hint="eastAsia" w:ascii="宋体" w:hAnsi="宋体" w:eastAsia="宋体" w:cs="宋体"/>
                <w:szCs w:val="24"/>
                <w:highlight w:val="none"/>
              </w:rPr>
              <w:t>中标费率</w:t>
            </w:r>
          </w:p>
          <w:p w14:paraId="14AC46FE">
            <w:pPr>
              <w:pStyle w:val="19"/>
              <w:widowControl/>
              <w:spacing w:before="0" w:beforeAutospacing="0" w:after="0" w:afterAutospacing="0" w:line="360" w:lineRule="auto"/>
              <w:rPr>
                <w:rFonts w:ascii="宋体" w:hAnsi="宋体" w:eastAsia="宋体" w:cs="宋体"/>
                <w:szCs w:val="24"/>
                <w:highlight w:val="none"/>
              </w:rPr>
            </w:pPr>
            <w:r>
              <w:rPr>
                <w:rFonts w:hint="eastAsia" w:ascii="宋体" w:hAnsi="宋体" w:eastAsia="宋体" w:cs="宋体"/>
                <w:szCs w:val="24"/>
                <w:highlight w:val="none"/>
              </w:rPr>
              <w:t>中标人在领取中标通知书时向以下账户缴纳代理服务费：</w:t>
            </w:r>
          </w:p>
          <w:p w14:paraId="302C45D5">
            <w:pPr>
              <w:pStyle w:val="19"/>
              <w:widowControl/>
              <w:spacing w:before="0" w:beforeAutospacing="0" w:after="0" w:afterAutospacing="0" w:line="360" w:lineRule="auto"/>
              <w:rPr>
                <w:rFonts w:ascii="宋体" w:hAnsi="宋体" w:eastAsia="宋体" w:cs="宋体"/>
                <w:szCs w:val="24"/>
                <w:highlight w:val="none"/>
              </w:rPr>
            </w:pPr>
            <w:r>
              <w:rPr>
                <w:rFonts w:hint="eastAsia" w:ascii="宋体" w:hAnsi="宋体" w:eastAsia="宋体" w:cs="宋体"/>
                <w:szCs w:val="24"/>
                <w:highlight w:val="none"/>
              </w:rPr>
              <w:t>开户名称：安徽安天利信工程管理股份有限公司</w:t>
            </w:r>
          </w:p>
          <w:p w14:paraId="2D7FC1C4">
            <w:pPr>
              <w:pStyle w:val="19"/>
              <w:widowControl/>
              <w:spacing w:before="0" w:beforeAutospacing="0" w:after="0" w:afterAutospacing="0" w:line="360" w:lineRule="auto"/>
              <w:rPr>
                <w:rFonts w:ascii="宋体" w:hAnsi="宋体" w:eastAsia="宋体" w:cs="宋体"/>
                <w:szCs w:val="24"/>
                <w:highlight w:val="none"/>
              </w:rPr>
            </w:pPr>
            <w:r>
              <w:rPr>
                <w:rFonts w:hint="eastAsia" w:ascii="宋体" w:hAnsi="宋体" w:eastAsia="宋体" w:cs="宋体"/>
                <w:szCs w:val="24"/>
                <w:highlight w:val="none"/>
              </w:rPr>
              <w:t>开户银行：招行合肥高新区支行</w:t>
            </w:r>
          </w:p>
          <w:p w14:paraId="19393753">
            <w:pPr>
              <w:pStyle w:val="19"/>
              <w:widowControl/>
              <w:spacing w:before="0" w:beforeAutospacing="0" w:after="0" w:afterAutospacing="0" w:line="360" w:lineRule="auto"/>
              <w:rPr>
                <w:rFonts w:ascii="宋体" w:hAnsi="宋体" w:eastAsia="宋体" w:cs="宋体"/>
                <w:szCs w:val="24"/>
                <w:highlight w:val="none"/>
              </w:rPr>
            </w:pPr>
            <w:r>
              <w:rPr>
                <w:rFonts w:hint="eastAsia" w:ascii="宋体" w:hAnsi="宋体" w:eastAsia="宋体" w:cs="宋体"/>
                <w:szCs w:val="24"/>
                <w:highlight w:val="none"/>
              </w:rPr>
              <w:t>帐号：5519 0430 8510 501</w:t>
            </w:r>
          </w:p>
          <w:p w14:paraId="430C2AB1">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cs="宋体"/>
                <w:b w:val="0"/>
                <w:bCs w:val="0"/>
                <w:sz w:val="24"/>
                <w:szCs w:val="24"/>
                <w:highlight w:val="none"/>
              </w:rPr>
              <w:t>（4）缴纳时间：领取中标通知书前</w:t>
            </w:r>
          </w:p>
        </w:tc>
      </w:tr>
      <w:tr w14:paraId="4D1F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65D0EAE">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31</w:t>
            </w:r>
            <w:r>
              <w:rPr>
                <w:rFonts w:ascii="宋体" w:hAnsi="宋体" w:eastAsia="宋体"/>
                <w:bCs/>
                <w:kern w:val="2"/>
                <w:highlight w:val="none"/>
              </w:rPr>
              <w:t>.</w:t>
            </w:r>
            <w:r>
              <w:rPr>
                <w:rFonts w:hint="eastAsia" w:ascii="宋体" w:hAnsi="宋体" w:eastAsia="宋体"/>
                <w:bCs/>
                <w:kern w:val="2"/>
                <w:highlight w:val="none"/>
              </w:rPr>
              <w:t>3</w:t>
            </w:r>
          </w:p>
        </w:tc>
        <w:tc>
          <w:tcPr>
            <w:tcW w:w="1174" w:type="pct"/>
            <w:vAlign w:val="center"/>
          </w:tcPr>
          <w:p w14:paraId="7B090D63">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质疑函递交方式、接收部门、联系电话和通讯地址</w:t>
            </w:r>
          </w:p>
        </w:tc>
        <w:tc>
          <w:tcPr>
            <w:tcW w:w="3244" w:type="pct"/>
            <w:vAlign w:val="center"/>
          </w:tcPr>
          <w:p w14:paraId="2553898D">
            <w:pPr>
              <w:pStyle w:val="32"/>
              <w:widowControl w:val="0"/>
              <w:spacing w:before="0" w:beforeAutospacing="0" w:after="0" w:afterAutospacing="0" w:line="360" w:lineRule="auto"/>
              <w:jc w:val="left"/>
              <w:rPr>
                <w:rFonts w:ascii="宋体" w:hAnsi="宋体" w:eastAsia="宋体" w:cs="宋体"/>
                <w:b w:val="0"/>
                <w:sz w:val="24"/>
                <w:szCs w:val="24"/>
                <w:highlight w:val="none"/>
              </w:rPr>
            </w:pPr>
            <w:r>
              <w:rPr>
                <w:rFonts w:hint="eastAsia" w:ascii="宋体" w:hAnsi="宋体" w:eastAsia="宋体" w:cs="宋体"/>
                <w:b w:val="0"/>
                <w:sz w:val="24"/>
                <w:szCs w:val="24"/>
                <w:highlight w:val="none"/>
              </w:rPr>
              <w:t>提交方式：书面形式</w:t>
            </w:r>
          </w:p>
          <w:p w14:paraId="10D09FFF">
            <w:pPr>
              <w:pStyle w:val="32"/>
              <w:widowControl w:val="0"/>
              <w:spacing w:before="0" w:beforeAutospacing="0" w:after="0" w:afterAutospacing="0" w:line="360" w:lineRule="auto"/>
              <w:jc w:val="left"/>
              <w:rPr>
                <w:rFonts w:ascii="宋体" w:hAnsi="宋体" w:eastAsia="宋体" w:cs="宋体"/>
                <w:b w:val="0"/>
                <w:bCs w:val="0"/>
                <w:sz w:val="24"/>
                <w:szCs w:val="24"/>
                <w:highlight w:val="none"/>
                <w:u w:val="single"/>
              </w:rPr>
            </w:pPr>
            <w:r>
              <w:rPr>
                <w:rFonts w:hint="eastAsia" w:ascii="宋体" w:hAnsi="宋体" w:eastAsia="宋体" w:cs="宋体"/>
                <w:b w:val="0"/>
                <w:sz w:val="24"/>
                <w:szCs w:val="24"/>
                <w:highlight w:val="none"/>
              </w:rPr>
              <w:t>接收部门：安徽安天利信工程管理股份有限公司</w:t>
            </w:r>
          </w:p>
          <w:p w14:paraId="2E96AED6">
            <w:pPr>
              <w:pStyle w:val="32"/>
              <w:widowControl w:val="0"/>
              <w:spacing w:before="0" w:beforeAutospacing="0" w:after="0" w:afterAutospacing="0" w:line="360" w:lineRule="auto"/>
              <w:jc w:val="left"/>
              <w:rPr>
                <w:rFonts w:ascii="宋体" w:hAnsi="宋体" w:eastAsia="宋体" w:cs="宋体"/>
                <w:b w:val="0"/>
                <w:bCs w:val="0"/>
                <w:sz w:val="24"/>
                <w:szCs w:val="24"/>
                <w:highlight w:val="none"/>
                <w:u w:val="single"/>
              </w:rPr>
            </w:pPr>
            <w:r>
              <w:rPr>
                <w:rFonts w:hint="eastAsia" w:ascii="宋体" w:hAnsi="宋体" w:eastAsia="宋体" w:cs="宋体"/>
                <w:b w:val="0"/>
                <w:sz w:val="24"/>
                <w:szCs w:val="24"/>
                <w:highlight w:val="none"/>
              </w:rPr>
              <w:t>联系电话：0551-63736783/18656633662</w:t>
            </w:r>
          </w:p>
          <w:p w14:paraId="65BE203B">
            <w:pPr>
              <w:pStyle w:val="32"/>
              <w:widowControl w:val="0"/>
              <w:spacing w:before="0" w:beforeAutospacing="0" w:after="0" w:afterAutospacing="0" w:line="360" w:lineRule="auto"/>
              <w:jc w:val="left"/>
              <w:rPr>
                <w:rFonts w:ascii="宋体" w:hAnsi="宋体" w:eastAsia="宋体" w:cs="宋体"/>
                <w:b w:val="0"/>
                <w:sz w:val="24"/>
                <w:szCs w:val="24"/>
                <w:highlight w:val="none"/>
              </w:rPr>
            </w:pPr>
            <w:r>
              <w:rPr>
                <w:rFonts w:hint="eastAsia" w:ascii="宋体" w:hAnsi="宋体" w:eastAsia="宋体" w:cs="宋体"/>
                <w:b w:val="0"/>
                <w:sz w:val="24"/>
                <w:szCs w:val="24"/>
                <w:highlight w:val="none"/>
              </w:rPr>
              <w:t>电子邮箱：clyang@ahbidding.com</w:t>
            </w:r>
          </w:p>
          <w:p w14:paraId="49E76521">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cs="宋体"/>
                <w:b w:val="0"/>
                <w:sz w:val="24"/>
                <w:szCs w:val="24"/>
                <w:highlight w:val="none"/>
              </w:rPr>
              <w:t>通讯地址：合肥市蜀山区蜀鑫路69号6楼603室</w:t>
            </w:r>
          </w:p>
        </w:tc>
      </w:tr>
      <w:tr w14:paraId="6376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B91A7DC">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32</w:t>
            </w:r>
          </w:p>
        </w:tc>
        <w:tc>
          <w:tcPr>
            <w:tcW w:w="1174" w:type="pct"/>
            <w:vAlign w:val="center"/>
          </w:tcPr>
          <w:p w14:paraId="2DE187B4">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其他内容</w:t>
            </w:r>
          </w:p>
        </w:tc>
        <w:tc>
          <w:tcPr>
            <w:tcW w:w="3244" w:type="pct"/>
            <w:vAlign w:val="center"/>
          </w:tcPr>
          <w:p w14:paraId="401FC3A1">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1、解释权：</w:t>
            </w:r>
          </w:p>
          <w:p w14:paraId="1DA0DD05">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w:t>
            </w:r>
            <w:r>
              <w:rPr>
                <w:rFonts w:asciiTheme="minorEastAsia" w:hAnsiTheme="minorEastAsia" w:eastAsiaTheme="minorEastAsia"/>
                <w:bCs/>
                <w:sz w:val="24"/>
                <w:szCs w:val="24"/>
                <w:highlight w:val="none"/>
              </w:rPr>
              <w:t>构成本招标文件的各个组成文件应互为解释，互为说明；</w:t>
            </w:r>
          </w:p>
          <w:p w14:paraId="3F4BC103">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w:t>
            </w:r>
            <w:r>
              <w:rPr>
                <w:rFonts w:asciiTheme="minorEastAsia" w:hAnsiTheme="minorEastAsia" w:eastAsiaTheme="minorEastAsia"/>
                <w:bCs/>
                <w:sz w:val="24"/>
                <w:szCs w:val="24"/>
                <w:highlight w:val="none"/>
              </w:rPr>
              <w:t>同一组成文件中就同一事项的规定或约定不一致的，以编排顺序在后者为准；</w:t>
            </w:r>
          </w:p>
          <w:p w14:paraId="583872C5">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（3）</w:t>
            </w:r>
            <w:r>
              <w:rPr>
                <w:rFonts w:asciiTheme="minorEastAsia" w:hAnsiTheme="minorEastAsia" w:eastAsiaTheme="minorEastAsia"/>
                <w:bCs/>
                <w:sz w:val="24"/>
                <w:szCs w:val="24"/>
                <w:highlight w:val="none"/>
              </w:rPr>
              <w:t>如有不明确或不一致，构成合同文件组成内容的，以合同文件约定内容为准，且以专用合同条款约定的合同文件优先顺序解释；</w:t>
            </w:r>
          </w:p>
          <w:p w14:paraId="0897D1E0">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（4）</w:t>
            </w:r>
            <w:r>
              <w:rPr>
                <w:rFonts w:asciiTheme="minorEastAsia" w:hAnsiTheme="minorEastAsia" w:eastAsiaTheme="minorEastAsia"/>
                <w:bCs/>
                <w:sz w:val="24"/>
                <w:szCs w:val="24"/>
                <w:highlight w:val="none"/>
              </w:rPr>
              <w:t>除招标文件中有特别规定外，仅适用于招标投标阶段的规定，按招标公告、</w:t>
            </w:r>
            <w:r>
              <w:rPr>
                <w:rFonts w:hint="eastAsia" w:asciiTheme="minorEastAsia" w:hAnsiTheme="minorEastAsia" w:eastAsiaTheme="minorEastAsia"/>
                <w:bCs/>
                <w:sz w:val="24"/>
                <w:szCs w:val="24"/>
                <w:highlight w:val="none"/>
              </w:rPr>
              <w:t>投标邀请、</w:t>
            </w:r>
            <w:r>
              <w:rPr>
                <w:rFonts w:asciiTheme="minorEastAsia" w:hAnsiTheme="minorEastAsia" w:eastAsiaTheme="minorEastAsia"/>
                <w:bCs/>
                <w:sz w:val="24"/>
                <w:szCs w:val="24"/>
                <w:highlight w:val="none"/>
              </w:rPr>
              <w:t>投标人须知、评标</w:t>
            </w:r>
            <w:r>
              <w:rPr>
                <w:rFonts w:hint="eastAsia" w:asciiTheme="minorEastAsia" w:hAnsiTheme="minorEastAsia" w:eastAsiaTheme="minorEastAsia"/>
                <w:bCs/>
                <w:sz w:val="24"/>
                <w:szCs w:val="24"/>
                <w:highlight w:val="none"/>
              </w:rPr>
              <w:t>方</w:t>
            </w:r>
            <w:r>
              <w:rPr>
                <w:rFonts w:asciiTheme="minorEastAsia" w:hAnsiTheme="minorEastAsia" w:eastAsiaTheme="minorEastAsia"/>
                <w:bCs/>
                <w:sz w:val="24"/>
                <w:szCs w:val="24"/>
                <w:highlight w:val="none"/>
              </w:rPr>
              <w:t>法</w:t>
            </w:r>
            <w:r>
              <w:rPr>
                <w:rFonts w:hint="eastAsia" w:asciiTheme="minorEastAsia" w:hAnsiTheme="minorEastAsia" w:eastAsiaTheme="minorEastAsia"/>
                <w:bCs/>
                <w:sz w:val="24"/>
                <w:szCs w:val="24"/>
                <w:highlight w:val="none"/>
              </w:rPr>
              <w:t>和标准</w:t>
            </w:r>
            <w:r>
              <w:rPr>
                <w:rFonts w:asciiTheme="minorEastAsia" w:hAnsiTheme="minorEastAsia" w:eastAsiaTheme="minorEastAsia"/>
                <w:bCs/>
                <w:sz w:val="24"/>
                <w:szCs w:val="24"/>
                <w:highlight w:val="none"/>
              </w:rPr>
              <w:t>、投标文件格式的先后顺序解释；</w:t>
            </w:r>
          </w:p>
          <w:p w14:paraId="435B3DD7">
            <w:pPr>
              <w:pStyle w:val="32"/>
              <w:widowControl w:val="0"/>
              <w:spacing w:before="0" w:beforeAutospacing="0" w:after="0" w:afterAutospacing="0" w:line="360" w:lineRule="auto"/>
              <w:jc w:val="both"/>
              <w:rPr>
                <w:rFonts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（5）</w:t>
            </w:r>
            <w:r>
              <w:rPr>
                <w:rFonts w:asciiTheme="minorEastAsia" w:hAnsiTheme="minorEastAsia" w:eastAsiaTheme="minorEastAsia"/>
                <w:b w:val="0"/>
                <w:kern w:val="2"/>
                <w:sz w:val="24"/>
                <w:szCs w:val="24"/>
                <w:highlight w:val="none"/>
              </w:rPr>
              <w:t>按本款前述规定仍不能形成结论的，由</w:t>
            </w:r>
            <w:r>
              <w:rPr>
                <w:rFonts w:hint="eastAsia" w:asciiTheme="minorEastAsia" w:hAnsiTheme="minorEastAsia" w:eastAsiaTheme="minorEastAsia"/>
                <w:b w:val="0"/>
                <w:kern w:val="2"/>
                <w:sz w:val="24"/>
                <w:szCs w:val="24"/>
                <w:highlight w:val="none"/>
              </w:rPr>
              <w:t>招标人</w:t>
            </w:r>
            <w:r>
              <w:rPr>
                <w:rFonts w:asciiTheme="minorEastAsia" w:hAnsiTheme="minorEastAsia" w:eastAsiaTheme="minorEastAsia"/>
                <w:b w:val="0"/>
                <w:kern w:val="2"/>
                <w:sz w:val="24"/>
                <w:szCs w:val="24"/>
                <w:highlight w:val="none"/>
              </w:rPr>
              <w:t>负责解释。</w:t>
            </w:r>
          </w:p>
          <w:p w14:paraId="1E60352D">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2、“政采贷”融资指引：有融资需求的</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融资申请信息推送第三方平台、意向金融机构。</w:t>
            </w:r>
          </w:p>
          <w:p w14:paraId="6BE4D18B">
            <w:pPr>
              <w:pStyle w:val="32"/>
              <w:widowControl w:val="0"/>
              <w:spacing w:before="0" w:beforeAutospacing="0" w:after="0" w:afterAutospacing="0" w:line="360" w:lineRule="auto"/>
              <w:jc w:val="both"/>
              <w:rPr>
                <w:rFonts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3、电子保函指引：中标人可访问安徽省政府采购网“融资/保函”栏目，申请办理电子保函（包括：履约保函、预付款保函）。</w:t>
            </w:r>
          </w:p>
          <w:p w14:paraId="4447A54D">
            <w:pPr>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4、本项目评审时将查询生成投标文件的硬件信息，如不同投标文件的硬件信息异常一致，相关投标将被认定为投标无效，并报政府采购监督管理部门处理。</w:t>
            </w:r>
          </w:p>
          <w:p w14:paraId="0B9D52B8">
            <w:pPr>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5、因电子服务系统或电子交易系统出现软件设计或功能缺陷、运行异常等情况，影响政府采购活动正常进行的，政府采购各方当事人免责。</w:t>
            </w:r>
          </w:p>
          <w:p w14:paraId="2D7B04DB">
            <w:pPr>
              <w:pStyle w:val="32"/>
              <w:widowControl w:val="0"/>
              <w:spacing w:before="0" w:beforeAutospacing="0" w:after="0" w:afterAutospacing="0" w:line="360" w:lineRule="auto"/>
              <w:jc w:val="both"/>
              <w:rPr>
                <w:rFonts w:asciiTheme="minorEastAsia" w:hAnsiTheme="minorEastAsia" w:eastAsiaTheme="minorEastAsia"/>
                <w:b w:val="0"/>
                <w:kern w:val="2"/>
                <w:sz w:val="24"/>
                <w:szCs w:val="24"/>
                <w:highlight w:val="none"/>
              </w:rPr>
            </w:pPr>
            <w:r>
              <w:rPr>
                <w:rFonts w:hint="eastAsia" w:ascii="宋体" w:hAnsi="宋体" w:eastAsia="宋体" w:cs="宋体"/>
                <w:sz w:val="24"/>
                <w:szCs w:val="24"/>
                <w:highlight w:val="none"/>
              </w:rPr>
              <w:t>6、投标人在“安天e采”电子系统中填写诸如“开标记录”等内容后应仔细核对其与投标文件内容的一致性；当“安天e采”电子系统中填写内容与电子投标文件中内容不一致时，以系统中提交的投标文件中载明的内容为准。</w:t>
            </w:r>
          </w:p>
        </w:tc>
      </w:tr>
    </w:tbl>
    <w:p w14:paraId="45999DFC">
      <w:pPr>
        <w:spacing w:line="360" w:lineRule="auto"/>
        <w:jc w:val="center"/>
        <w:outlineLvl w:val="1"/>
        <w:rPr>
          <w:rFonts w:asciiTheme="minorEastAsia" w:hAnsiTheme="minorEastAsia" w:eastAsiaTheme="minorEastAsia"/>
          <w:b/>
          <w:sz w:val="24"/>
          <w:highlight w:val="none"/>
        </w:rPr>
      </w:pPr>
      <w:r>
        <w:rPr>
          <w:rFonts w:asciiTheme="minorEastAsia" w:hAnsiTheme="minorEastAsia" w:eastAsiaTheme="minorEastAsia"/>
          <w:b/>
          <w:sz w:val="28"/>
          <w:highlight w:val="none"/>
        </w:rPr>
        <w:br w:type="page"/>
      </w:r>
      <w:bookmarkStart w:id="21" w:name="_Toc9427"/>
      <w:bookmarkStart w:id="22" w:name="_Toc24882"/>
      <w:r>
        <w:rPr>
          <w:rFonts w:hint="eastAsia" w:asciiTheme="minorEastAsia" w:hAnsiTheme="minorEastAsia" w:eastAsiaTheme="minorEastAsia"/>
          <w:b/>
          <w:sz w:val="24"/>
          <w:highlight w:val="none"/>
        </w:rPr>
        <w:t>二、</w:t>
      </w:r>
      <w:r>
        <w:rPr>
          <w:rFonts w:asciiTheme="minorEastAsia" w:hAnsiTheme="minorEastAsia" w:eastAsiaTheme="minorEastAsia"/>
          <w:b/>
          <w:sz w:val="24"/>
          <w:highlight w:val="none"/>
        </w:rPr>
        <w:t>投标人须知</w:t>
      </w:r>
      <w:r>
        <w:rPr>
          <w:rFonts w:hint="eastAsia" w:asciiTheme="minorEastAsia" w:hAnsiTheme="minorEastAsia" w:eastAsiaTheme="minorEastAsia"/>
          <w:b/>
          <w:sz w:val="24"/>
          <w:highlight w:val="none"/>
        </w:rPr>
        <w:t>正文</w:t>
      </w:r>
      <w:bookmarkEnd w:id="21"/>
      <w:bookmarkEnd w:id="22"/>
    </w:p>
    <w:p w14:paraId="314EAE2E">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1.招标人、采购代理机构及投标人</w:t>
      </w:r>
    </w:p>
    <w:p w14:paraId="327CE830">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.1</w:t>
      </w:r>
      <w:r>
        <w:rPr>
          <w:rFonts w:hint="eastAsia" w:ascii="宋体" w:hAnsi="宋体" w:eastAsia="宋体"/>
          <w:sz w:val="24"/>
          <w:highlight w:val="none"/>
        </w:rPr>
        <w:t>招标人</w:t>
      </w:r>
      <w:r>
        <w:rPr>
          <w:rFonts w:ascii="宋体" w:hAnsi="宋体" w:eastAsia="宋体"/>
          <w:sz w:val="24"/>
          <w:highlight w:val="none"/>
        </w:rPr>
        <w:t>：是指依法开展政府采购活动的国家机关、事业单位、团体组织。</w:t>
      </w:r>
    </w:p>
    <w:p w14:paraId="7CE44C3B">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.2采购代理机构：是指集中采购机构或从事采购代理业务的社会中介机构。</w:t>
      </w:r>
    </w:p>
    <w:p w14:paraId="5D4D689F">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.3政府采购监督管理部门：</w:t>
      </w:r>
      <w:r>
        <w:rPr>
          <w:rFonts w:hint="eastAsia" w:ascii="宋体" w:hAnsi="宋体" w:eastAsia="宋体"/>
          <w:sz w:val="24"/>
          <w:highlight w:val="none"/>
        </w:rPr>
        <w:t>各级人民政府指定的有关部门依法履行与政府采购活动有关的监督管理职责。</w:t>
      </w:r>
    </w:p>
    <w:p w14:paraId="7DB378E5">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.4投标人：是指向</w:t>
      </w:r>
      <w:r>
        <w:rPr>
          <w:rFonts w:hint="eastAsia" w:ascii="宋体" w:hAnsi="宋体" w:eastAsia="宋体"/>
          <w:sz w:val="24"/>
          <w:highlight w:val="none"/>
        </w:rPr>
        <w:t>招标人</w:t>
      </w:r>
      <w:r>
        <w:rPr>
          <w:rFonts w:ascii="宋体" w:hAnsi="宋体" w:eastAsia="宋体"/>
          <w:sz w:val="24"/>
          <w:highlight w:val="none"/>
        </w:rPr>
        <w:t>提供货物、工程或者服务的法人、</w:t>
      </w:r>
      <w:r>
        <w:rPr>
          <w:rFonts w:hint="eastAsia" w:ascii="宋体" w:hAnsi="宋体" w:eastAsia="宋体"/>
          <w:sz w:val="24"/>
          <w:highlight w:val="none"/>
        </w:rPr>
        <w:t>其他</w:t>
      </w:r>
      <w:r>
        <w:rPr>
          <w:rFonts w:ascii="宋体" w:hAnsi="宋体" w:eastAsia="宋体"/>
          <w:sz w:val="24"/>
          <w:highlight w:val="none"/>
        </w:rPr>
        <w:t>组织或者自然人。</w:t>
      </w:r>
      <w:r>
        <w:rPr>
          <w:rFonts w:hint="eastAsia" w:ascii="宋体" w:hAnsi="宋体" w:eastAsia="宋体"/>
          <w:sz w:val="24"/>
          <w:highlight w:val="none"/>
        </w:rPr>
        <w:t>分支机构不得参加政府采购活动，但银行、保险、石油石化、电力、电信等特殊行业除外。</w:t>
      </w:r>
      <w:r>
        <w:rPr>
          <w:rFonts w:ascii="宋体" w:hAnsi="宋体" w:eastAsia="宋体"/>
          <w:sz w:val="24"/>
          <w:highlight w:val="none"/>
        </w:rPr>
        <w:t>本项目的投标人须满足以下条件：</w:t>
      </w:r>
    </w:p>
    <w:p w14:paraId="6931E0ED">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1</w:t>
      </w:r>
      <w:r>
        <w:rPr>
          <w:rFonts w:ascii="宋体" w:hAnsi="宋体" w:eastAsia="宋体"/>
          <w:sz w:val="24"/>
          <w:highlight w:val="none"/>
        </w:rPr>
        <w:t>具备《中华人民共和国政府采购法》第二十二条关于供应商条件的规定，遵守本项目</w:t>
      </w:r>
      <w:r>
        <w:rPr>
          <w:rFonts w:hint="eastAsia" w:ascii="宋体" w:hAnsi="宋体" w:eastAsia="宋体"/>
          <w:sz w:val="24"/>
          <w:highlight w:val="none"/>
        </w:rPr>
        <w:t>招标人</w:t>
      </w:r>
      <w:r>
        <w:rPr>
          <w:rFonts w:ascii="宋体" w:hAnsi="宋体" w:eastAsia="宋体"/>
          <w:sz w:val="24"/>
          <w:highlight w:val="none"/>
        </w:rPr>
        <w:t>本级和上级财政部门政府采购的有关规定。</w:t>
      </w:r>
    </w:p>
    <w:p w14:paraId="398EC821">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2</w:t>
      </w:r>
      <w:r>
        <w:rPr>
          <w:rFonts w:ascii="宋体" w:hAnsi="宋体" w:eastAsia="宋体"/>
          <w:sz w:val="24"/>
          <w:highlight w:val="none"/>
        </w:rPr>
        <w:t>以采购代理机构认可的方式获得了本项目的招标文件。</w:t>
      </w:r>
    </w:p>
    <w:p w14:paraId="35A06046">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3</w:t>
      </w:r>
      <w:r>
        <w:rPr>
          <w:rFonts w:ascii="宋体" w:hAnsi="宋体" w:eastAsia="宋体"/>
          <w:sz w:val="24"/>
          <w:highlight w:val="none"/>
        </w:rPr>
        <w:t>若</w:t>
      </w:r>
      <w:r>
        <w:rPr>
          <w:rFonts w:hint="eastAsia" w:ascii="宋体" w:hAnsi="宋体" w:eastAsia="宋体"/>
          <w:sz w:val="24"/>
          <w:highlight w:val="none"/>
        </w:rPr>
        <w:t>采购需求</w:t>
      </w:r>
      <w:r>
        <w:rPr>
          <w:rFonts w:ascii="宋体" w:hAnsi="宋体" w:eastAsia="宋体"/>
          <w:sz w:val="24"/>
          <w:highlight w:val="none"/>
        </w:rPr>
        <w:t>中写明允许采购进口产品，投标人应保证所投产品可履行合法报通关手续进入中国关境内。</w:t>
      </w:r>
    </w:p>
    <w:p w14:paraId="649A1F71">
      <w:pPr>
        <w:spacing w:line="360" w:lineRule="auto"/>
        <w:ind w:firstLine="435"/>
        <w:rPr>
          <w:rFonts w:ascii="宋体" w:hAnsi="宋体" w:eastAsia="宋体"/>
          <w:sz w:val="24"/>
          <w:highlight w:val="none"/>
        </w:rPr>
      </w:pPr>
      <w:r>
        <w:rPr>
          <w:rFonts w:hint="eastAsia" w:ascii="宋体" w:hAnsi="宋体" w:eastAsia="宋体"/>
          <w:sz w:val="24"/>
          <w:highlight w:val="none"/>
        </w:rPr>
        <w:t>若采购需求中未写明允许采购进口产品，如投标人所投产品为进口产品，其投标将被认定为</w:t>
      </w:r>
      <w:r>
        <w:rPr>
          <w:rFonts w:hint="eastAsia" w:ascii="宋体" w:hAnsi="宋体" w:eastAsia="宋体"/>
          <w:b/>
          <w:sz w:val="24"/>
          <w:highlight w:val="none"/>
        </w:rPr>
        <w:t>投标无效</w:t>
      </w:r>
      <w:r>
        <w:rPr>
          <w:rFonts w:hint="eastAsia" w:ascii="宋体" w:hAnsi="宋体" w:eastAsia="宋体"/>
          <w:sz w:val="24"/>
          <w:highlight w:val="none"/>
        </w:rPr>
        <w:t>。</w:t>
      </w:r>
    </w:p>
    <w:p w14:paraId="07B50CDE">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w:t>
      </w:r>
      <w:r>
        <w:rPr>
          <w:rFonts w:hint="eastAsia" w:ascii="宋体" w:hAnsi="宋体" w:eastAsia="宋体"/>
          <w:sz w:val="24"/>
          <w:highlight w:val="none"/>
        </w:rPr>
        <w:t>若招标公告</w:t>
      </w:r>
      <w:r>
        <w:rPr>
          <w:rFonts w:ascii="宋体" w:hAnsi="宋体" w:eastAsia="宋体"/>
          <w:sz w:val="24"/>
          <w:highlight w:val="none"/>
        </w:rPr>
        <w:t>中允许联合体投标，对联合体规定如下：</w:t>
      </w:r>
    </w:p>
    <w:p w14:paraId="47BB59D2">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5.1两个以上供应商可以组成一个投标联合体，以一个投标人的身份投标。联合体投标的，</w:t>
      </w:r>
      <w:r>
        <w:rPr>
          <w:rFonts w:hint="eastAsia" w:ascii="宋体" w:hAnsi="宋体" w:eastAsia="宋体"/>
          <w:sz w:val="24"/>
          <w:highlight w:val="none"/>
        </w:rPr>
        <w:t>招标文件获取</w:t>
      </w:r>
      <w:r>
        <w:rPr>
          <w:rFonts w:ascii="宋体" w:hAnsi="宋体" w:eastAsia="宋体"/>
          <w:sz w:val="24"/>
          <w:highlight w:val="none"/>
        </w:rPr>
        <w:t>手续由联合体</w:t>
      </w:r>
      <w:r>
        <w:rPr>
          <w:rFonts w:hint="eastAsia" w:ascii="宋体" w:hAnsi="宋体" w:eastAsia="宋体"/>
          <w:sz w:val="24"/>
          <w:highlight w:val="none"/>
        </w:rPr>
        <w:t>中</w:t>
      </w:r>
      <w:r>
        <w:rPr>
          <w:rFonts w:ascii="宋体" w:hAnsi="宋体" w:eastAsia="宋体"/>
          <w:sz w:val="24"/>
          <w:highlight w:val="none"/>
        </w:rPr>
        <w:t>任</w:t>
      </w:r>
      <w:r>
        <w:rPr>
          <w:rFonts w:hint="eastAsia" w:ascii="宋体" w:hAnsi="宋体" w:eastAsia="宋体"/>
          <w:sz w:val="24"/>
          <w:highlight w:val="none"/>
        </w:rPr>
        <w:t>一成员单位</w:t>
      </w:r>
      <w:r>
        <w:rPr>
          <w:rFonts w:ascii="宋体" w:hAnsi="宋体" w:eastAsia="宋体"/>
          <w:sz w:val="24"/>
          <w:highlight w:val="none"/>
        </w:rPr>
        <w:t>办理均可。</w:t>
      </w:r>
    </w:p>
    <w:p w14:paraId="79719777">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5.2联合体各方均应符合《中华人民共和国政府采购法》第二十二条规定的条件。</w:t>
      </w:r>
    </w:p>
    <w:p w14:paraId="15CCA9B1">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5.3</w:t>
      </w:r>
      <w:r>
        <w:rPr>
          <w:rFonts w:hint="eastAsia" w:ascii="宋体" w:hAnsi="宋体" w:eastAsia="宋体"/>
          <w:sz w:val="24"/>
          <w:highlight w:val="none"/>
        </w:rPr>
        <w:t>招标人</w:t>
      </w:r>
      <w:r>
        <w:rPr>
          <w:rFonts w:ascii="宋体" w:hAnsi="宋体" w:eastAsia="宋体"/>
          <w:sz w:val="24"/>
          <w:highlight w:val="none"/>
        </w:rPr>
        <w:t>根据采购项目对投标人的特殊要求，联合体中至少应当有一方符合相关规定。</w:t>
      </w:r>
    </w:p>
    <w:p w14:paraId="6796AFB5">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5.4联合体各方应签订</w:t>
      </w:r>
      <w:r>
        <w:rPr>
          <w:rFonts w:hint="eastAsia" w:ascii="宋体" w:hAnsi="宋体" w:eastAsia="宋体"/>
          <w:sz w:val="24"/>
          <w:highlight w:val="none"/>
        </w:rPr>
        <w:t>联合协议</w:t>
      </w:r>
      <w:r>
        <w:rPr>
          <w:rFonts w:ascii="宋体" w:hAnsi="宋体" w:eastAsia="宋体"/>
          <w:sz w:val="24"/>
          <w:highlight w:val="none"/>
        </w:rPr>
        <w:t>，明确约定联合体各方承担的工作和相应的责任，并将</w:t>
      </w:r>
      <w:r>
        <w:rPr>
          <w:rFonts w:hint="eastAsia" w:ascii="宋体" w:hAnsi="宋体" w:eastAsia="宋体"/>
          <w:sz w:val="24"/>
          <w:highlight w:val="none"/>
        </w:rPr>
        <w:t>联合协议</w:t>
      </w:r>
      <w:r>
        <w:rPr>
          <w:rFonts w:ascii="宋体" w:hAnsi="宋体" w:eastAsia="宋体"/>
          <w:sz w:val="24"/>
          <w:highlight w:val="none"/>
        </w:rPr>
        <w:t>作为投标文件</w:t>
      </w:r>
      <w:r>
        <w:rPr>
          <w:rFonts w:hint="eastAsia" w:ascii="宋体" w:hAnsi="宋体" w:eastAsia="宋体"/>
          <w:sz w:val="24"/>
          <w:highlight w:val="none"/>
        </w:rPr>
        <w:t>的</w:t>
      </w:r>
      <w:r>
        <w:rPr>
          <w:rFonts w:ascii="宋体" w:hAnsi="宋体" w:eastAsia="宋体"/>
          <w:sz w:val="24"/>
          <w:highlight w:val="none"/>
        </w:rPr>
        <w:t>一部分提交。</w:t>
      </w:r>
    </w:p>
    <w:p w14:paraId="1ADFACBD">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5.5大中型企业、其他自然人、法人或者非法人组织与小型、微型企业组成联合体共同参加投标，</w:t>
      </w:r>
      <w:r>
        <w:rPr>
          <w:rFonts w:hint="eastAsia" w:ascii="宋体" w:hAnsi="宋体" w:eastAsia="宋体"/>
          <w:sz w:val="24"/>
          <w:highlight w:val="none"/>
        </w:rPr>
        <w:t>联合协议中</w:t>
      </w:r>
      <w:r>
        <w:rPr>
          <w:rFonts w:ascii="宋体" w:hAnsi="宋体" w:eastAsia="宋体"/>
          <w:sz w:val="24"/>
          <w:highlight w:val="none"/>
        </w:rPr>
        <w:t>应写明小型、微型企业的协议合同金额占到</w:t>
      </w:r>
      <w:r>
        <w:rPr>
          <w:rFonts w:hint="eastAsia" w:ascii="宋体" w:hAnsi="宋体" w:eastAsia="宋体"/>
          <w:sz w:val="24"/>
          <w:highlight w:val="none"/>
        </w:rPr>
        <w:t>联合协议</w:t>
      </w:r>
      <w:r>
        <w:rPr>
          <w:rFonts w:ascii="宋体" w:hAnsi="宋体" w:eastAsia="宋体"/>
          <w:sz w:val="24"/>
          <w:highlight w:val="none"/>
        </w:rPr>
        <w:t>投标总金额的比例。</w:t>
      </w:r>
    </w:p>
    <w:p w14:paraId="11F29D6A">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5.6</w:t>
      </w:r>
      <w:r>
        <w:rPr>
          <w:rFonts w:hint="eastAsia" w:ascii="宋体" w:hAnsi="宋体" w:eastAsia="宋体"/>
          <w:sz w:val="24"/>
          <w:highlight w:val="none"/>
        </w:rPr>
        <w:t>联合体中有同类资质的供应商按照联合体分工承担相同工作的，</w:t>
      </w:r>
      <w:r>
        <w:rPr>
          <w:rFonts w:ascii="宋体" w:hAnsi="宋体" w:eastAsia="宋体"/>
          <w:sz w:val="24"/>
          <w:highlight w:val="none"/>
        </w:rPr>
        <w:t>应当按照</w:t>
      </w:r>
      <w:r>
        <w:rPr>
          <w:rFonts w:hint="eastAsia" w:ascii="宋体" w:hAnsi="宋体" w:eastAsia="宋体"/>
          <w:sz w:val="24"/>
          <w:highlight w:val="none"/>
        </w:rPr>
        <w:t>资质等级较低的供应商确定资质等级。</w:t>
      </w:r>
    </w:p>
    <w:p w14:paraId="238D9B50">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sz w:val="24"/>
          <w:highlight w:val="none"/>
        </w:rPr>
        <w:t>投标无效</w:t>
      </w:r>
      <w:r>
        <w:rPr>
          <w:rFonts w:ascii="宋体" w:hAnsi="宋体" w:eastAsia="宋体"/>
          <w:sz w:val="24"/>
          <w:highlight w:val="none"/>
        </w:rPr>
        <w:t>。</w:t>
      </w:r>
    </w:p>
    <w:p w14:paraId="0A8C218F">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5.8对联合体投标的其他资格要求见</w:t>
      </w:r>
      <w:r>
        <w:rPr>
          <w:rFonts w:hint="eastAsia" w:ascii="宋体" w:hAnsi="宋体" w:eastAsia="宋体"/>
          <w:sz w:val="24"/>
          <w:highlight w:val="none"/>
        </w:rPr>
        <w:t>申请人的资格要求</w:t>
      </w:r>
      <w:r>
        <w:rPr>
          <w:rFonts w:ascii="宋体" w:hAnsi="宋体" w:eastAsia="宋体"/>
          <w:sz w:val="24"/>
          <w:highlight w:val="none"/>
        </w:rPr>
        <w:t>。</w:t>
      </w:r>
    </w:p>
    <w:p w14:paraId="3CF02817">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2.资金落实情况</w:t>
      </w:r>
    </w:p>
    <w:p w14:paraId="643EDC9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本</w:t>
      </w:r>
      <w:r>
        <w:rPr>
          <w:rFonts w:hint="eastAsia" w:ascii="宋体" w:hAnsi="宋体" w:eastAsia="宋体"/>
          <w:sz w:val="24"/>
          <w:highlight w:val="none"/>
        </w:rPr>
        <w:t>项目</w:t>
      </w:r>
      <w:r>
        <w:rPr>
          <w:rFonts w:hint="eastAsia" w:asciiTheme="minorEastAsia" w:hAnsiTheme="minorEastAsia" w:eastAsiaTheme="minorEastAsia"/>
          <w:sz w:val="24"/>
          <w:highlight w:val="none"/>
        </w:rPr>
        <w:t>的招标人已获得足以支付本次招标后所签订的合同项下的资金。</w:t>
      </w:r>
    </w:p>
    <w:p w14:paraId="5AA1455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3.投标费用</w:t>
      </w:r>
    </w:p>
    <w:p w14:paraId="77EE65E2">
      <w:pPr>
        <w:spacing w:line="360" w:lineRule="auto"/>
        <w:ind w:firstLine="435"/>
        <w:rPr>
          <w:rFonts w:ascii="宋体" w:hAnsi="宋体" w:eastAsia="宋体"/>
          <w:sz w:val="24"/>
          <w:highlight w:val="none"/>
        </w:rPr>
      </w:pPr>
      <w:r>
        <w:rPr>
          <w:rFonts w:hint="eastAsia" w:ascii="宋体" w:hAnsi="宋体" w:eastAsia="宋体"/>
          <w:sz w:val="24"/>
          <w:highlight w:val="none"/>
        </w:rPr>
        <w:t>不论投标的结果如何，投标人应承担所有与准备和参加投标有关的费用。</w:t>
      </w:r>
    </w:p>
    <w:p w14:paraId="0FC7874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4.适用法律</w:t>
      </w:r>
    </w:p>
    <w:p w14:paraId="749DE2D8">
      <w:pPr>
        <w:spacing w:line="360" w:lineRule="auto"/>
        <w:ind w:firstLine="435"/>
        <w:rPr>
          <w:rFonts w:asciiTheme="minorEastAsia" w:hAnsiTheme="minorEastAsia" w:eastAsiaTheme="minorEastAsia"/>
          <w:sz w:val="24"/>
          <w:highlight w:val="none"/>
        </w:rPr>
      </w:pPr>
      <w:r>
        <w:rPr>
          <w:rFonts w:hint="eastAsia" w:ascii="宋体" w:hAnsi="宋体" w:eastAsia="宋体"/>
          <w:sz w:val="24"/>
          <w:highlight w:val="none"/>
        </w:rPr>
        <w:t>本项目招标人、采购代理机构、投标人、评标委员会的相关行为均受《中华人民共和国政府采购法》、《中</w:t>
      </w:r>
      <w:r>
        <w:rPr>
          <w:rFonts w:hint="eastAsia" w:ascii="宋体" w:hAnsi="宋体" w:eastAsia="宋体"/>
          <w:sz w:val="24"/>
          <w:szCs w:val="22"/>
          <w:highlight w:val="none"/>
        </w:rPr>
        <w:t>华人民共和国政府采购法实施条例》及本项目本级和上级财政部门、政府采购监督管理部门的政府采购有关规定的约束，其权利受到上述法律法规的保护。</w:t>
      </w:r>
    </w:p>
    <w:p w14:paraId="681464D0">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5.招标文件构成</w:t>
      </w:r>
    </w:p>
    <w:p w14:paraId="716C7293">
      <w:pPr>
        <w:spacing w:line="360" w:lineRule="auto"/>
        <w:ind w:firstLine="435"/>
        <w:rPr>
          <w:rFonts w:ascii="宋体" w:hAnsi="宋体" w:eastAsia="宋体"/>
          <w:sz w:val="24"/>
          <w:highlight w:val="none"/>
        </w:rPr>
      </w:pPr>
      <w:r>
        <w:rPr>
          <w:rFonts w:hint="eastAsia" w:ascii="宋体" w:hAnsi="宋体" w:eastAsia="宋体"/>
          <w:sz w:val="24"/>
          <w:highlight w:val="none"/>
        </w:rPr>
        <w:t>5.1招标文件包括下列内容：</w:t>
      </w:r>
    </w:p>
    <w:p w14:paraId="68746AA2">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第一章</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招标公告</w:t>
      </w:r>
    </w:p>
    <w:p w14:paraId="552BC528">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第二章</w:t>
      </w:r>
      <w:r>
        <w:rPr>
          <w:rFonts w:asciiTheme="minorEastAsia" w:hAnsiTheme="minorEastAsia" w:eastAsiaTheme="minorEastAsia"/>
          <w:sz w:val="24"/>
          <w:highlight w:val="none"/>
        </w:rPr>
        <w:t xml:space="preserve">  投标人须知</w:t>
      </w:r>
    </w:p>
    <w:p w14:paraId="0B37767C">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第三章</w:t>
      </w:r>
      <w:r>
        <w:rPr>
          <w:rFonts w:asciiTheme="minorEastAsia" w:hAnsiTheme="minorEastAsia" w:eastAsiaTheme="minorEastAsia"/>
          <w:sz w:val="24"/>
          <w:highlight w:val="none"/>
        </w:rPr>
        <w:t xml:space="preserve">  采购需求</w:t>
      </w:r>
    </w:p>
    <w:p w14:paraId="69C93C8D">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第四章</w:t>
      </w:r>
      <w:r>
        <w:rPr>
          <w:rFonts w:asciiTheme="minorEastAsia" w:hAnsiTheme="minorEastAsia" w:eastAsiaTheme="minorEastAsia"/>
          <w:sz w:val="24"/>
          <w:highlight w:val="none"/>
        </w:rPr>
        <w:t xml:space="preserve">  评标</w:t>
      </w:r>
      <w:r>
        <w:rPr>
          <w:rFonts w:hint="eastAsia" w:asciiTheme="minorEastAsia" w:hAnsiTheme="minorEastAsia" w:eastAsiaTheme="minorEastAsia"/>
          <w:sz w:val="24"/>
          <w:highlight w:val="none"/>
        </w:rPr>
        <w:t>方法</w:t>
      </w:r>
      <w:r>
        <w:rPr>
          <w:rFonts w:asciiTheme="minorEastAsia" w:hAnsiTheme="minorEastAsia" w:eastAsiaTheme="minorEastAsia"/>
          <w:sz w:val="24"/>
          <w:highlight w:val="none"/>
        </w:rPr>
        <w:t>和标准</w:t>
      </w:r>
    </w:p>
    <w:p w14:paraId="6824CE54">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第五章</w:t>
      </w:r>
      <w:r>
        <w:rPr>
          <w:rFonts w:asciiTheme="minorEastAsia" w:hAnsiTheme="minorEastAsia" w:eastAsiaTheme="minorEastAsia"/>
          <w:sz w:val="24"/>
          <w:highlight w:val="none"/>
        </w:rPr>
        <w:t xml:space="preserve">  政府采购合同</w:t>
      </w:r>
    </w:p>
    <w:p w14:paraId="670C55F0">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第六章</w:t>
      </w:r>
      <w:r>
        <w:rPr>
          <w:rFonts w:asciiTheme="minorEastAsia" w:hAnsiTheme="minorEastAsia" w:eastAsiaTheme="minorEastAsia"/>
          <w:sz w:val="24"/>
          <w:highlight w:val="none"/>
        </w:rPr>
        <w:t xml:space="preserve">  投标文件格式</w:t>
      </w:r>
    </w:p>
    <w:p w14:paraId="5F49C7D4">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第七章</w:t>
      </w:r>
      <w:r>
        <w:rPr>
          <w:rFonts w:asciiTheme="minorEastAsia" w:hAnsiTheme="minorEastAsia" w:eastAsiaTheme="minorEastAsia"/>
          <w:sz w:val="24"/>
          <w:highlight w:val="none"/>
        </w:rPr>
        <w:t xml:space="preserve">  政府采购</w:t>
      </w:r>
      <w:r>
        <w:rPr>
          <w:rFonts w:hint="eastAsia" w:asciiTheme="minorEastAsia" w:hAnsiTheme="minorEastAsia" w:eastAsiaTheme="minorEastAsia"/>
          <w:sz w:val="24"/>
          <w:highlight w:val="none"/>
        </w:rPr>
        <w:t>询问函和</w:t>
      </w:r>
      <w:r>
        <w:rPr>
          <w:rFonts w:asciiTheme="minorEastAsia" w:hAnsiTheme="minorEastAsia" w:eastAsiaTheme="minorEastAsia"/>
          <w:sz w:val="24"/>
          <w:highlight w:val="none"/>
        </w:rPr>
        <w:t>质疑函范本</w:t>
      </w:r>
    </w:p>
    <w:p w14:paraId="2C84029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现场</w:t>
      </w:r>
      <w:r>
        <w:rPr>
          <w:rFonts w:hint="eastAsia" w:asciiTheme="minorEastAsia" w:hAnsiTheme="minorEastAsia" w:eastAsiaTheme="minorEastAsia"/>
          <w:sz w:val="24"/>
          <w:highlight w:val="none"/>
        </w:rPr>
        <w:t>考察（</w:t>
      </w:r>
      <w:r>
        <w:rPr>
          <w:rFonts w:hint="eastAsia" w:ascii="宋体" w:hAnsi="宋体" w:eastAsia="宋体"/>
          <w:bCs/>
          <w:sz w:val="24"/>
          <w:szCs w:val="22"/>
          <w:highlight w:val="none"/>
        </w:rPr>
        <w:t>标前答疑会</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及相关事项见</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w:t>
      </w:r>
    </w:p>
    <w:p w14:paraId="5F63DD8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投标人应认真阅读招标文件所有的事项、格式、条款和技术规范等。</w:t>
      </w:r>
    </w:p>
    <w:p w14:paraId="153758BF">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招标文件的澄清与修改</w:t>
      </w:r>
    </w:p>
    <w:p w14:paraId="075447C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投标人如对招标文件内容有疑问，必须在</w:t>
      </w:r>
      <w:r>
        <w:rPr>
          <w:rFonts w:ascii="宋体" w:hAnsi="宋体" w:eastAsia="宋体"/>
          <w:sz w:val="24"/>
          <w:highlight w:val="none"/>
          <w:u w:val="single"/>
        </w:rPr>
        <w:t>投标人须知前附表</w:t>
      </w:r>
      <w:r>
        <w:rPr>
          <w:rFonts w:asciiTheme="minorEastAsia" w:hAnsiTheme="minorEastAsia" w:eastAsiaTheme="minorEastAsia"/>
          <w:sz w:val="24"/>
          <w:highlight w:val="none"/>
        </w:rPr>
        <w:t>规定的</w:t>
      </w:r>
      <w:r>
        <w:rPr>
          <w:rFonts w:hint="eastAsia" w:asciiTheme="minorEastAsia" w:hAnsiTheme="minorEastAsia" w:eastAsiaTheme="minorEastAsia"/>
          <w:sz w:val="24"/>
          <w:highlight w:val="none"/>
        </w:rPr>
        <w:t>网上询问</w:t>
      </w:r>
      <w:r>
        <w:rPr>
          <w:rFonts w:asciiTheme="minorEastAsia" w:hAnsiTheme="minorEastAsia" w:eastAsiaTheme="minorEastAsia"/>
          <w:sz w:val="24"/>
          <w:highlight w:val="none"/>
        </w:rPr>
        <w:t>截止时间前以网上提问形式</w:t>
      </w:r>
      <w:r>
        <w:rPr>
          <w:rFonts w:hint="eastAsia" w:asciiTheme="minorEastAsia" w:hAnsiTheme="minorEastAsia" w:eastAsiaTheme="minorEastAsia"/>
          <w:sz w:val="24"/>
          <w:highlight w:val="none"/>
        </w:rPr>
        <w:t>（电子交易系统）</w:t>
      </w:r>
      <w:r>
        <w:rPr>
          <w:rFonts w:asciiTheme="minorEastAsia" w:hAnsiTheme="minorEastAsia" w:eastAsiaTheme="minorEastAsia"/>
          <w:sz w:val="24"/>
          <w:highlight w:val="none"/>
        </w:rPr>
        <w:t>提交给采购代理机构。</w:t>
      </w:r>
    </w:p>
    <w:p w14:paraId="4752F74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2招标人可主动地或在答复投标人提出的询问时对招标文件进行澄清与修改。</w:t>
      </w:r>
      <w:r>
        <w:rPr>
          <w:rFonts w:asciiTheme="minorEastAsia" w:hAnsiTheme="minorEastAsia" w:eastAsiaTheme="minorEastAsia"/>
          <w:sz w:val="24"/>
          <w:highlight w:val="none"/>
        </w:rPr>
        <w:t>采购代理机构将</w:t>
      </w:r>
      <w:r>
        <w:rPr>
          <w:rFonts w:hint="eastAsia" w:asciiTheme="minorEastAsia" w:hAnsiTheme="minorEastAsia" w:eastAsiaTheme="minorEastAsia"/>
          <w:sz w:val="24"/>
          <w:highlight w:val="none"/>
        </w:rPr>
        <w:t>在安徽省政府采购网以发布更正公告的方式</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澄清或修改招标文件，更正公告的</w:t>
      </w:r>
      <w:r>
        <w:rPr>
          <w:rFonts w:asciiTheme="minorEastAsia" w:hAnsiTheme="minorEastAsia" w:eastAsiaTheme="minorEastAsia"/>
          <w:sz w:val="24"/>
          <w:highlight w:val="none"/>
        </w:rPr>
        <w:t>内容</w:t>
      </w:r>
      <w:r>
        <w:rPr>
          <w:rFonts w:hint="eastAsia" w:asciiTheme="minorEastAsia" w:hAnsiTheme="minorEastAsia" w:eastAsiaTheme="minorEastAsia"/>
          <w:sz w:val="24"/>
          <w:highlight w:val="none"/>
        </w:rPr>
        <w:t>作</w:t>
      </w:r>
      <w:r>
        <w:rPr>
          <w:rFonts w:asciiTheme="minorEastAsia" w:hAnsiTheme="minorEastAsia" w:eastAsiaTheme="minorEastAsia"/>
          <w:sz w:val="24"/>
          <w:highlight w:val="none"/>
        </w:rPr>
        <w:t>为招标文件</w:t>
      </w:r>
      <w:r>
        <w:rPr>
          <w:rFonts w:hint="eastAsia" w:asciiTheme="minorEastAsia" w:hAnsiTheme="minorEastAsia" w:eastAsiaTheme="minorEastAsia"/>
          <w:sz w:val="24"/>
          <w:highlight w:val="none"/>
        </w:rPr>
        <w:t>的</w:t>
      </w:r>
      <w:r>
        <w:rPr>
          <w:rFonts w:asciiTheme="minorEastAsia" w:hAnsiTheme="minorEastAsia" w:eastAsiaTheme="minorEastAsia"/>
          <w:sz w:val="24"/>
          <w:highlight w:val="none"/>
        </w:rPr>
        <w:t>组成部分，对投标人起约束作用</w:t>
      </w:r>
      <w:r>
        <w:rPr>
          <w:rFonts w:hint="eastAsia" w:asciiTheme="minorEastAsia" w:hAnsiTheme="minorEastAsia" w:eastAsiaTheme="minorEastAsia"/>
          <w:sz w:val="24"/>
          <w:highlight w:val="none"/>
        </w:rPr>
        <w:t>。投标人应主动上网查询。采购代理机构不承担投标人未及时关注相关信息引发的相关责任。</w:t>
      </w:r>
    </w:p>
    <w:p w14:paraId="54E487E0">
      <w:pPr>
        <w:spacing w:line="360" w:lineRule="auto"/>
        <w:ind w:firstLine="435"/>
        <w:rPr>
          <w:rFonts w:ascii="宋体" w:hAnsi="宋体" w:eastAsia="宋体"/>
          <w:sz w:val="24"/>
          <w:highlight w:val="none"/>
        </w:rPr>
      </w:pPr>
      <w:r>
        <w:rPr>
          <w:rFonts w:hint="eastAsia" w:ascii="宋体" w:hAnsi="宋体" w:eastAsia="宋体"/>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E3D819A">
      <w:pPr>
        <w:spacing w:line="360" w:lineRule="auto"/>
        <w:ind w:firstLine="435"/>
        <w:rPr>
          <w:rFonts w:asciiTheme="minorEastAsia" w:hAnsiTheme="minorEastAsia" w:eastAsiaTheme="minorEastAsia"/>
          <w:i/>
          <w:iCs/>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对于</w:t>
      </w:r>
      <w:r>
        <w:rPr>
          <w:rFonts w:ascii="宋体" w:hAnsi="宋体" w:eastAsia="宋体"/>
          <w:sz w:val="24"/>
          <w:highlight w:val="none"/>
        </w:rPr>
        <w:t>没有</w:t>
      </w:r>
      <w:r>
        <w:rPr>
          <w:rFonts w:asciiTheme="minorEastAsia" w:hAnsiTheme="minorEastAsia" w:eastAsiaTheme="minorEastAsia"/>
          <w:sz w:val="24"/>
          <w:highlight w:val="none"/>
        </w:rPr>
        <w:t>提出</w:t>
      </w:r>
      <w:r>
        <w:rPr>
          <w:rFonts w:hint="eastAsia" w:asciiTheme="minorEastAsia" w:hAnsiTheme="minorEastAsia" w:eastAsiaTheme="minorEastAsia"/>
          <w:sz w:val="24"/>
          <w:highlight w:val="none"/>
        </w:rPr>
        <w:t>疑问</w:t>
      </w:r>
      <w:r>
        <w:rPr>
          <w:rFonts w:asciiTheme="minorEastAsia" w:hAnsiTheme="minorEastAsia" w:eastAsiaTheme="minorEastAsia"/>
          <w:sz w:val="24"/>
          <w:highlight w:val="none"/>
        </w:rPr>
        <w:t>又参与了</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项目投标的</w:t>
      </w:r>
      <w:r>
        <w:rPr>
          <w:rFonts w:hint="eastAsia" w:asciiTheme="minorEastAsia" w:hAnsiTheme="minorEastAsia" w:eastAsiaTheme="minorEastAsia"/>
          <w:sz w:val="24"/>
          <w:highlight w:val="none"/>
        </w:rPr>
        <w:t>投标人</w:t>
      </w:r>
      <w:r>
        <w:rPr>
          <w:rFonts w:asciiTheme="minorEastAsia" w:hAnsiTheme="minorEastAsia" w:eastAsiaTheme="minorEastAsia"/>
          <w:sz w:val="24"/>
          <w:highlight w:val="none"/>
        </w:rPr>
        <w:t>将被视为完全认同</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招标文件（含</w:t>
      </w:r>
      <w:r>
        <w:rPr>
          <w:rFonts w:hint="eastAsia" w:asciiTheme="minorEastAsia" w:hAnsiTheme="minorEastAsia" w:eastAsiaTheme="minorEastAsia"/>
          <w:sz w:val="24"/>
          <w:highlight w:val="none"/>
        </w:rPr>
        <w:t>更正公告的</w:t>
      </w:r>
      <w:r>
        <w:rPr>
          <w:rFonts w:asciiTheme="minorEastAsia" w:hAnsiTheme="minorEastAsia" w:eastAsiaTheme="minorEastAsia"/>
          <w:sz w:val="24"/>
          <w:highlight w:val="none"/>
        </w:rPr>
        <w:t>内容）</w:t>
      </w:r>
      <w:r>
        <w:rPr>
          <w:rFonts w:hint="eastAsia" w:asciiTheme="minorEastAsia" w:hAnsiTheme="minorEastAsia" w:eastAsiaTheme="minorEastAsia"/>
          <w:i/>
          <w:sz w:val="24"/>
          <w:highlight w:val="none"/>
        </w:rPr>
        <w:t>。</w:t>
      </w:r>
    </w:p>
    <w:p w14:paraId="78A1D9FE">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7</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投标范围及投标文件中标准和计量单位的使用</w:t>
      </w:r>
    </w:p>
    <w:p w14:paraId="7434D86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.1</w:t>
      </w:r>
      <w:r>
        <w:rPr>
          <w:rFonts w:ascii="宋体" w:hAnsi="宋体" w:eastAsia="宋体"/>
          <w:sz w:val="24"/>
          <w:highlight w:val="none"/>
        </w:rPr>
        <w:t>项目</w:t>
      </w:r>
      <w:r>
        <w:rPr>
          <w:rFonts w:asciiTheme="minorEastAsia" w:hAnsiTheme="minorEastAsia" w:eastAsiaTheme="minorEastAsia"/>
          <w:sz w:val="24"/>
          <w:highlight w:val="none"/>
        </w:rPr>
        <w:t>有分包的，投标人可对招标文件其中某一个或几个分包进行投标，除非在</w:t>
      </w:r>
      <w:r>
        <w:rPr>
          <w:rFonts w:asciiTheme="minorEastAsia" w:hAnsiTheme="minorEastAsia" w:eastAsiaTheme="minorEastAsia"/>
          <w:sz w:val="24"/>
          <w:highlight w:val="none"/>
          <w:u w:val="single"/>
        </w:rPr>
        <w:t>投标人须知前附表</w:t>
      </w:r>
      <w:r>
        <w:rPr>
          <w:rFonts w:asciiTheme="minorEastAsia" w:hAnsiTheme="minorEastAsia" w:eastAsiaTheme="minorEastAsia"/>
          <w:sz w:val="24"/>
          <w:highlight w:val="none"/>
        </w:rPr>
        <w:t>中另有规定。</w:t>
      </w:r>
    </w:p>
    <w:p w14:paraId="2A60219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.2投标人应当对所投分包招标文件中“</w:t>
      </w:r>
      <w:r>
        <w:rPr>
          <w:rFonts w:hint="eastAsia" w:asciiTheme="minorEastAsia" w:hAnsiTheme="minorEastAsia" w:eastAsiaTheme="minorEastAsia"/>
          <w:sz w:val="24"/>
          <w:highlight w:val="none"/>
        </w:rPr>
        <w:t>采购</w:t>
      </w:r>
      <w:r>
        <w:rPr>
          <w:rFonts w:asciiTheme="minorEastAsia" w:hAnsiTheme="minorEastAsia" w:eastAsiaTheme="minorEastAsia"/>
          <w:sz w:val="24"/>
          <w:highlight w:val="none"/>
        </w:rPr>
        <w:t>需求”所列的所有内容进行投标，如仅响应</w:t>
      </w:r>
      <w:r>
        <w:rPr>
          <w:rFonts w:hint="eastAsia" w:asciiTheme="minorEastAsia" w:hAnsiTheme="minorEastAsia" w:eastAsiaTheme="minorEastAsia"/>
          <w:sz w:val="24"/>
          <w:highlight w:val="none"/>
        </w:rPr>
        <w:t>所投包别</w:t>
      </w:r>
      <w:r>
        <w:rPr>
          <w:rFonts w:asciiTheme="minorEastAsia" w:hAnsiTheme="minorEastAsia" w:eastAsiaTheme="minorEastAsia"/>
          <w:sz w:val="24"/>
          <w:highlight w:val="none"/>
        </w:rPr>
        <w:t>中的部分内容，其</w:t>
      </w:r>
      <w:r>
        <w:rPr>
          <w:rFonts w:hint="eastAsia" w:asciiTheme="minorEastAsia" w:hAnsiTheme="minorEastAsia" w:eastAsiaTheme="minorEastAsia"/>
          <w:sz w:val="24"/>
          <w:highlight w:val="none"/>
        </w:rPr>
        <w:t>所投包别的</w:t>
      </w:r>
      <w:r>
        <w:rPr>
          <w:rFonts w:asciiTheme="minorEastAsia" w:hAnsiTheme="minorEastAsia" w:eastAsiaTheme="minorEastAsia"/>
          <w:sz w:val="24"/>
          <w:highlight w:val="none"/>
        </w:rPr>
        <w:t>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44F4B2A2">
      <w:pPr>
        <w:spacing w:line="360" w:lineRule="auto"/>
        <w:ind w:firstLine="435"/>
        <w:rPr>
          <w:rFonts w:asciiTheme="minorEastAsia" w:hAnsiTheme="minorEastAsia" w:eastAsiaTheme="minorEastAsia"/>
          <w:sz w:val="24"/>
          <w:highlight w:val="none"/>
        </w:rPr>
      </w:pPr>
      <w:bookmarkStart w:id="23" w:name="_Hlk16458980"/>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.3无论招标文件中是否要求，</w:t>
      </w:r>
      <w:r>
        <w:rPr>
          <w:rFonts w:hint="eastAsia" w:asciiTheme="minorEastAsia" w:hAnsiTheme="minorEastAsia" w:eastAsiaTheme="minorEastAsia"/>
          <w:sz w:val="24"/>
          <w:highlight w:val="none"/>
        </w:rPr>
        <w:t>投标人所投货物、服务及工程（如有）均应符合国家强制性标准。</w:t>
      </w:r>
    </w:p>
    <w:bookmarkEnd w:id="23"/>
    <w:p w14:paraId="7A75CD7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投标人与采购</w:t>
      </w:r>
      <w:r>
        <w:rPr>
          <w:rFonts w:hint="eastAsia" w:asciiTheme="minorEastAsia" w:hAnsiTheme="minorEastAsia" w:eastAsiaTheme="minorEastAsia"/>
          <w:sz w:val="24"/>
          <w:highlight w:val="none"/>
        </w:rPr>
        <w:t>代理</w:t>
      </w:r>
      <w:r>
        <w:rPr>
          <w:rFonts w:asciiTheme="minorEastAsia" w:hAnsiTheme="minorEastAsia" w:eastAsiaTheme="minorEastAsia"/>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458153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除</w:t>
      </w:r>
      <w:r>
        <w:rPr>
          <w:rFonts w:ascii="宋体" w:hAnsi="宋体" w:eastAsia="宋体"/>
          <w:sz w:val="24"/>
          <w:highlight w:val="none"/>
        </w:rPr>
        <w:t>招标文件</w:t>
      </w:r>
      <w:r>
        <w:rPr>
          <w:rFonts w:asciiTheme="minorEastAsia" w:hAnsiTheme="minorEastAsia" w:eastAsiaTheme="minorEastAsia"/>
          <w:sz w:val="24"/>
          <w:highlight w:val="none"/>
        </w:rPr>
        <w:t>中有特殊要求外，投标文件中所使用的计量单位，应采用中华人民共和国法定计量单位。</w:t>
      </w:r>
    </w:p>
    <w:p w14:paraId="1231ACE1">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投标文件构成</w:t>
      </w:r>
    </w:p>
    <w:p w14:paraId="16C1F06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w:t>
      </w:r>
      <w:r>
        <w:rPr>
          <w:rFonts w:asciiTheme="minorEastAsia" w:hAnsiTheme="minorEastAsia" w:eastAsiaTheme="minorEastAsia"/>
          <w:sz w:val="24"/>
          <w:highlight w:val="none"/>
        </w:rPr>
        <w:t>.1</w:t>
      </w:r>
      <w:r>
        <w:rPr>
          <w:rFonts w:ascii="宋体" w:hAnsi="宋体" w:eastAsia="宋体"/>
          <w:sz w:val="24"/>
          <w:highlight w:val="none"/>
        </w:rPr>
        <w:t>投标人</w:t>
      </w:r>
      <w:r>
        <w:rPr>
          <w:rFonts w:asciiTheme="minorEastAsia" w:hAnsiTheme="minorEastAsia" w:eastAsiaTheme="minorEastAsia"/>
          <w:sz w:val="24"/>
          <w:highlight w:val="none"/>
        </w:rPr>
        <w:t>应完整地按招标文件提供的投标文件格式及要求</w:t>
      </w:r>
      <w:r>
        <w:rPr>
          <w:rFonts w:hint="eastAsia" w:asciiTheme="minorEastAsia" w:hAnsiTheme="minorEastAsia" w:eastAsiaTheme="minorEastAsia"/>
          <w:sz w:val="24"/>
          <w:highlight w:val="none"/>
        </w:rPr>
        <w:t>编</w:t>
      </w:r>
      <w:r>
        <w:rPr>
          <w:rFonts w:asciiTheme="minorEastAsia" w:hAnsiTheme="minorEastAsia" w:eastAsiaTheme="minorEastAsia"/>
          <w:sz w:val="24"/>
          <w:highlight w:val="none"/>
        </w:rPr>
        <w:t>写投标文件，</w:t>
      </w:r>
      <w:r>
        <w:rPr>
          <w:rFonts w:hint="eastAsia" w:asciiTheme="minorEastAsia" w:hAnsiTheme="minorEastAsia" w:eastAsiaTheme="minorEastAsia"/>
          <w:sz w:val="24"/>
          <w:highlight w:val="none"/>
        </w:rPr>
        <w:t>具体内容详见本项目投标文件格式的相关内容。</w:t>
      </w:r>
    </w:p>
    <w:p w14:paraId="29318AB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8.2</w:t>
      </w:r>
      <w:r>
        <w:rPr>
          <w:rFonts w:ascii="宋体" w:hAnsi="宋体" w:eastAsia="宋体"/>
          <w:sz w:val="24"/>
          <w:highlight w:val="none"/>
        </w:rPr>
        <w:t>投标人</w:t>
      </w:r>
      <w:r>
        <w:rPr>
          <w:rFonts w:asciiTheme="minorEastAsia" w:hAnsiTheme="minorEastAsia" w:eastAsiaTheme="minorEastAsia"/>
          <w:sz w:val="24"/>
          <w:highlight w:val="none"/>
        </w:rPr>
        <w:t>应提交</w:t>
      </w:r>
      <w:r>
        <w:rPr>
          <w:rFonts w:hint="eastAsia" w:asciiTheme="minorEastAsia" w:hAnsiTheme="minorEastAsia" w:eastAsiaTheme="minorEastAsia"/>
          <w:sz w:val="24"/>
          <w:highlight w:val="none"/>
        </w:rPr>
        <w:t>招标文件要求的</w:t>
      </w:r>
      <w:r>
        <w:rPr>
          <w:rFonts w:asciiTheme="minorEastAsia" w:hAnsiTheme="minorEastAsia" w:eastAsiaTheme="minorEastAsia"/>
          <w:sz w:val="24"/>
          <w:highlight w:val="none"/>
        </w:rPr>
        <w:t>证明文件，证明其投标内容符合招标文件规定</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该证明文件是投标文件的一部分</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证明文件</w:t>
      </w:r>
      <w:r>
        <w:rPr>
          <w:rFonts w:hint="eastAsia" w:asciiTheme="minorEastAsia" w:hAnsiTheme="minorEastAsia" w:eastAsiaTheme="minorEastAsia"/>
          <w:sz w:val="24"/>
          <w:highlight w:val="none"/>
        </w:rPr>
        <w:t>形式</w:t>
      </w:r>
      <w:r>
        <w:rPr>
          <w:rFonts w:asciiTheme="minorEastAsia" w:hAnsiTheme="minorEastAsia" w:eastAsiaTheme="minorEastAsia"/>
          <w:sz w:val="24"/>
          <w:highlight w:val="none"/>
        </w:rPr>
        <w:t>可以是文字资料、图纸和数据</w:t>
      </w:r>
      <w:bookmarkStart w:id="24" w:name="_Hlk11703583"/>
      <w:r>
        <w:rPr>
          <w:rFonts w:hint="eastAsia" w:asciiTheme="minorEastAsia" w:hAnsiTheme="minorEastAsia" w:eastAsiaTheme="minorEastAsia"/>
          <w:sz w:val="24"/>
          <w:highlight w:val="none"/>
        </w:rPr>
        <w:t>等。</w:t>
      </w:r>
    </w:p>
    <w:bookmarkEnd w:id="24"/>
    <w:p w14:paraId="6CA4929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8.3</w:t>
      </w:r>
      <w:r>
        <w:rPr>
          <w:rFonts w:asciiTheme="minorEastAsia" w:hAnsiTheme="minorEastAsia" w:eastAsiaTheme="minorEastAsia"/>
          <w:sz w:val="24"/>
          <w:highlight w:val="none"/>
        </w:rPr>
        <w:t>为保证</w:t>
      </w:r>
      <w:r>
        <w:rPr>
          <w:rFonts w:ascii="宋体" w:hAnsi="宋体" w:eastAsia="宋体"/>
          <w:sz w:val="24"/>
          <w:highlight w:val="none"/>
        </w:rPr>
        <w:t>公平</w:t>
      </w:r>
      <w:r>
        <w:rPr>
          <w:rFonts w:asciiTheme="minorEastAsia" w:hAnsiTheme="minorEastAsia" w:eastAsiaTheme="minorEastAsia"/>
          <w:sz w:val="24"/>
          <w:highlight w:val="none"/>
        </w:rPr>
        <w:t>公正，除非另有规定或说明，投标人对同一项目投标时，不得同时提供</w:t>
      </w:r>
      <w:r>
        <w:rPr>
          <w:rFonts w:hint="eastAsia" w:asciiTheme="minorEastAsia" w:hAnsiTheme="minorEastAsia" w:eastAsiaTheme="minorEastAsia"/>
          <w:sz w:val="24"/>
          <w:highlight w:val="none"/>
        </w:rPr>
        <w:t>备选</w:t>
      </w:r>
      <w:r>
        <w:rPr>
          <w:rFonts w:asciiTheme="minorEastAsia" w:hAnsiTheme="minorEastAsia" w:eastAsiaTheme="minorEastAsia"/>
          <w:sz w:val="24"/>
          <w:highlight w:val="none"/>
        </w:rPr>
        <w:t>投标方案。</w:t>
      </w:r>
    </w:p>
    <w:p w14:paraId="0099409E">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投标报价</w:t>
      </w:r>
    </w:p>
    <w:p w14:paraId="1250AE1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2.1投标人的报价应当包括满足本次招标全部采购需求</w:t>
      </w:r>
      <w:r>
        <w:rPr>
          <w:rFonts w:hint="eastAsia" w:asciiTheme="minorEastAsia" w:hAnsiTheme="minorEastAsia" w:eastAsiaTheme="minorEastAsia"/>
          <w:sz w:val="24"/>
          <w:highlight w:val="none"/>
        </w:rPr>
        <w:t>。除招标文件另有规定外，所有投标均应以人民币报价。投标人的投标报价应遵守《中华人民共和国价格法》。</w:t>
      </w:r>
    </w:p>
    <w:p w14:paraId="3C326C4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.2投标人报价超过招标文件规定的预算金额或者分项、分包最高限价，其投标将被认定为</w:t>
      </w:r>
      <w:r>
        <w:rPr>
          <w:rFonts w:asciiTheme="minorEastAsia" w:hAnsiTheme="minorEastAsia" w:eastAsiaTheme="minorEastAsia"/>
          <w:b/>
          <w:bCs/>
          <w:sz w:val="24"/>
          <w:highlight w:val="none"/>
        </w:rPr>
        <w:t>投标无效</w:t>
      </w:r>
      <w:r>
        <w:rPr>
          <w:rFonts w:asciiTheme="minorEastAsia" w:hAnsiTheme="minorEastAsia" w:eastAsiaTheme="minorEastAsia"/>
          <w:sz w:val="24"/>
          <w:highlight w:val="none"/>
        </w:rPr>
        <w:t>。</w:t>
      </w:r>
    </w:p>
    <w:p w14:paraId="7571150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3投标报价</w:t>
      </w:r>
      <w:r>
        <w:rPr>
          <w:rFonts w:asciiTheme="minorEastAsia" w:hAnsiTheme="minorEastAsia" w:eastAsiaTheme="minorEastAsia"/>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0E3FBFDA">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highlight w:val="none"/>
        </w:rPr>
        <w:t>必要时提交相关证明材料；投标人不能证明其报价合理性的，其投标将被认定为</w:t>
      </w:r>
      <w:r>
        <w:rPr>
          <w:rFonts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3EAFC4A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5招标人</w:t>
      </w:r>
      <w:r>
        <w:rPr>
          <w:rFonts w:asciiTheme="minorEastAsia" w:hAnsiTheme="minorEastAsia" w:eastAsiaTheme="minorEastAsia"/>
          <w:sz w:val="24"/>
          <w:highlight w:val="none"/>
        </w:rPr>
        <w:t>不接受具有附加条件的报价。</w:t>
      </w:r>
    </w:p>
    <w:p w14:paraId="7818AFFB">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投标保证金</w:t>
      </w:r>
    </w:p>
    <w:p w14:paraId="6624248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10.1本项目不收取投标保证金。</w:t>
      </w:r>
    </w:p>
    <w:p w14:paraId="139AEC26">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投标有效期</w:t>
      </w:r>
    </w:p>
    <w:p w14:paraId="396226C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11.1投标有效期为从投标截止之日算起的日历天数，投标有效期详见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05756F6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053F086D">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特殊原因，招标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5E3300CF">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投标文件的递交、修改与撤回</w:t>
      </w:r>
    </w:p>
    <w:p w14:paraId="65B2DC6A">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2.1投标人应当在招标公告规定的投标截止时间前</w:t>
      </w:r>
      <w:r>
        <w:rPr>
          <w:rFonts w:asciiTheme="minorEastAsia" w:hAnsiTheme="minorEastAsia" w:eastAsiaTheme="minorEastAsia"/>
          <w:sz w:val="24"/>
          <w:highlight w:val="none"/>
        </w:rPr>
        <w:t>，将加密的投标文件</w:t>
      </w:r>
      <w:r>
        <w:rPr>
          <w:rFonts w:hint="eastAsia" w:asciiTheme="minorEastAsia" w:hAnsiTheme="minorEastAsia" w:eastAsiaTheme="minorEastAsia"/>
          <w:sz w:val="24"/>
          <w:highlight w:val="none"/>
        </w:rPr>
        <w:t>在电子交易系统</w:t>
      </w:r>
      <w:r>
        <w:rPr>
          <w:rFonts w:asciiTheme="minorEastAsia" w:hAnsiTheme="minorEastAsia" w:eastAsiaTheme="minorEastAsia"/>
          <w:sz w:val="24"/>
          <w:highlight w:val="none"/>
        </w:rPr>
        <w:t>上传。</w:t>
      </w:r>
    </w:p>
    <w:p w14:paraId="19BEB8D5">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44C5938D">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开标</w:t>
      </w:r>
    </w:p>
    <w:p w14:paraId="6ABA6FB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开标时，</w:t>
      </w:r>
      <w:r>
        <w:rPr>
          <w:rFonts w:ascii="宋体" w:hAnsi="宋体" w:eastAsia="宋体" w:cs="宋体"/>
          <w:sz w:val="24"/>
          <w:szCs w:val="24"/>
          <w:highlight w:val="none"/>
        </w:rPr>
        <w:t>各投标人应在</w:t>
      </w:r>
      <w:r>
        <w:rPr>
          <w:rFonts w:ascii="宋体" w:hAnsi="宋体" w:eastAsia="宋体" w:cs="宋体"/>
          <w:sz w:val="24"/>
          <w:szCs w:val="24"/>
          <w:highlight w:val="none"/>
          <w:u w:val="single"/>
        </w:rPr>
        <w:t>投标人须知前附表</w:t>
      </w:r>
      <w:r>
        <w:rPr>
          <w:rFonts w:ascii="宋体" w:hAnsi="宋体" w:eastAsia="宋体" w:cs="宋体"/>
          <w:sz w:val="24"/>
          <w:szCs w:val="24"/>
          <w:highlight w:val="none"/>
        </w:rPr>
        <w:t>规定的解密时间前</w:t>
      </w:r>
      <w:r>
        <w:rPr>
          <w:rFonts w:asciiTheme="minorEastAsia" w:hAnsiTheme="minorEastAsia" w:eastAsiaTheme="minorEastAsia"/>
          <w:sz w:val="24"/>
          <w:highlight w:val="none"/>
        </w:rPr>
        <w:t>对</w:t>
      </w:r>
      <w:r>
        <w:rPr>
          <w:rFonts w:hint="eastAsia" w:ascii="宋体" w:hAnsi="宋体" w:eastAsia="宋体" w:cs="宋体"/>
          <w:sz w:val="24"/>
          <w:szCs w:val="24"/>
          <w:highlight w:val="none"/>
        </w:rPr>
        <w:t>其</w:t>
      </w:r>
      <w:r>
        <w:rPr>
          <w:rFonts w:asciiTheme="minorEastAsia" w:hAnsiTheme="minorEastAsia" w:eastAsiaTheme="minorEastAsia"/>
          <w:sz w:val="24"/>
          <w:highlight w:val="none"/>
        </w:rPr>
        <w:t>投标文件</w:t>
      </w:r>
      <w:r>
        <w:rPr>
          <w:rFonts w:hint="eastAsia" w:asciiTheme="minorEastAsia" w:hAnsiTheme="minorEastAsia" w:eastAsiaTheme="minorEastAsia"/>
          <w:sz w:val="24"/>
          <w:highlight w:val="none"/>
        </w:rPr>
        <w:t>进行</w:t>
      </w:r>
      <w:r>
        <w:rPr>
          <w:rFonts w:asciiTheme="minorEastAsia" w:hAnsiTheme="minorEastAsia" w:eastAsiaTheme="minorEastAsia"/>
          <w:sz w:val="24"/>
          <w:highlight w:val="none"/>
        </w:rPr>
        <w:t>解密。</w:t>
      </w:r>
    </w:p>
    <w:p w14:paraId="0D5BF9F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开标时，采购代理机构将通过网上开标系统公布</w:t>
      </w:r>
      <w:r>
        <w:rPr>
          <w:rFonts w:hint="eastAsia" w:asciiTheme="minorEastAsia" w:hAnsiTheme="minorEastAsia" w:eastAsiaTheme="minorEastAsia"/>
          <w:sz w:val="24"/>
          <w:highlight w:val="none"/>
        </w:rPr>
        <w:t>开标结果，公布内容包括投标人名称、投标价格及招标文件规定的内容。</w:t>
      </w:r>
    </w:p>
    <w:p w14:paraId="1C90A38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13.3招标人或采购代理机构将对开标过程进行记录，由参加开标的各投标人代表和相关工作人员签字确认，并存档备查。</w:t>
      </w:r>
    </w:p>
    <w:p w14:paraId="73DEAAD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投标人未派代表参加开标的，视同投标人认可开标结果。</w:t>
      </w:r>
    </w:p>
    <w:p w14:paraId="404BEAEB">
      <w:pPr>
        <w:spacing w:line="360" w:lineRule="auto"/>
        <w:ind w:firstLine="435"/>
        <w:rPr>
          <w:rFonts w:asciiTheme="minorEastAsia" w:hAnsiTheme="minorEastAsia" w:eastAsiaTheme="minorEastAsia"/>
          <w:sz w:val="28"/>
          <w:highlight w:val="none"/>
        </w:rPr>
      </w:pPr>
      <w:r>
        <w:rPr>
          <w:rFonts w:hint="eastAsia" w:asciiTheme="minorEastAsia" w:hAnsiTheme="minorEastAsia" w:eastAsiaTheme="minorEastAsia"/>
          <w:sz w:val="24"/>
          <w:highlight w:val="none"/>
        </w:rPr>
        <w:t>13.4投标人代表对开标过程和开标记录有疑义，以及认为招标人、采购代理机构相关工作人员有需要回避的情形的，应当场提出询问或者回避申请。</w:t>
      </w:r>
    </w:p>
    <w:p w14:paraId="3B800EDD">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资格审查及组建评标委员会</w:t>
      </w:r>
    </w:p>
    <w:p w14:paraId="3AC717C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14.1招标人或采购代理机构依据法律法规和招标文件中规定的内</w:t>
      </w:r>
      <w:r>
        <w:rPr>
          <w:rFonts w:asciiTheme="minorEastAsia" w:hAnsiTheme="minorEastAsia" w:eastAsiaTheme="minorEastAsia"/>
          <w:sz w:val="24"/>
          <w:highlight w:val="none"/>
        </w:rPr>
        <w:t>容</w:t>
      </w:r>
      <w:r>
        <w:rPr>
          <w:rFonts w:hint="eastAsia" w:asciiTheme="minorEastAsia" w:hAnsiTheme="minorEastAsia" w:eastAsiaTheme="minorEastAsia"/>
          <w:sz w:val="24"/>
          <w:highlight w:val="none"/>
        </w:rPr>
        <w:t>，对投标人资格进行审查，未</w:t>
      </w:r>
      <w:r>
        <w:rPr>
          <w:rFonts w:asciiTheme="minorEastAsia" w:hAnsiTheme="minorEastAsia" w:eastAsiaTheme="minorEastAsia"/>
          <w:sz w:val="24"/>
          <w:highlight w:val="none"/>
        </w:rPr>
        <w:t>通过资格审查的投标人</w:t>
      </w:r>
      <w:r>
        <w:rPr>
          <w:rFonts w:hint="eastAsia" w:asciiTheme="minorEastAsia" w:hAnsiTheme="minorEastAsia" w:eastAsiaTheme="minorEastAsia"/>
          <w:sz w:val="24"/>
          <w:highlight w:val="none"/>
        </w:rPr>
        <w:t>不</w:t>
      </w:r>
      <w:r>
        <w:rPr>
          <w:rFonts w:asciiTheme="minorEastAsia" w:hAnsiTheme="minorEastAsia" w:eastAsiaTheme="minorEastAsia"/>
          <w:sz w:val="24"/>
          <w:highlight w:val="none"/>
        </w:rPr>
        <w:t>进入评标</w:t>
      </w:r>
      <w:r>
        <w:rPr>
          <w:rFonts w:hint="eastAsia" w:asciiTheme="minorEastAsia" w:hAnsiTheme="minorEastAsia" w:eastAsiaTheme="minorEastAsia"/>
          <w:sz w:val="24"/>
          <w:highlight w:val="none"/>
        </w:rPr>
        <w:t>。</w:t>
      </w:r>
    </w:p>
    <w:p w14:paraId="02E8829E">
      <w:pPr>
        <w:spacing w:line="360" w:lineRule="auto"/>
        <w:ind w:firstLine="435"/>
        <w:rPr>
          <w:rFonts w:ascii="宋体" w:hAnsi="宋体" w:eastAsia="宋体" w:cs="宋体"/>
          <w:sz w:val="24"/>
          <w:szCs w:val="24"/>
          <w:highlight w:val="none"/>
        </w:rPr>
      </w:pPr>
      <w:bookmarkStart w:id="25" w:name="_Hlk24663244"/>
      <w:r>
        <w:rPr>
          <w:rFonts w:hint="eastAsia" w:ascii="宋体" w:hAnsi="宋体" w:eastAsia="宋体" w:cs="宋体"/>
          <w:sz w:val="24"/>
          <w:szCs w:val="24"/>
          <w:highlight w:val="none"/>
        </w:rPr>
        <w:t>14.2招标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失信主体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p w14:paraId="2CE79FE5">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以联合体形式参加投标的，联合体成员存在以上不良信用记录的，联合体投标将被认定为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p w14:paraId="4CEDEC62">
      <w:pPr>
        <w:spacing w:line="360" w:lineRule="auto"/>
        <w:ind w:firstLine="435"/>
        <w:rPr>
          <w:rFonts w:asciiTheme="minorEastAsia" w:hAnsiTheme="minorEastAsia" w:eastAsiaTheme="minorEastAsia"/>
          <w:sz w:val="24"/>
          <w:highlight w:val="none"/>
        </w:rPr>
      </w:pPr>
      <w:r>
        <w:rPr>
          <w:rFonts w:hint="eastAsia" w:ascii="宋体" w:hAnsi="宋体" w:eastAsia="宋体" w:cs="宋体"/>
          <w:sz w:val="24"/>
          <w:szCs w:val="24"/>
          <w:highlight w:val="none"/>
        </w:rPr>
        <w:t>以上信用查询记录，招标人或采购代理机构将下载查询结果页面后与其他采购文件一并保存。投标人不良信用记录以招标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5E92546D">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14.3按照</w:t>
      </w:r>
      <w:r>
        <w:rPr>
          <w:rFonts w:hint="eastAsia" w:ascii="宋体" w:hAnsi="宋体" w:eastAsia="宋体"/>
          <w:sz w:val="24"/>
          <w:highlight w:val="none"/>
        </w:rPr>
        <w:t>《</w:t>
      </w:r>
      <w:r>
        <w:rPr>
          <w:rFonts w:ascii="宋体" w:hAnsi="宋体" w:eastAsia="宋体"/>
          <w:sz w:val="24"/>
          <w:highlight w:val="none"/>
        </w:rPr>
        <w:t>中华人民共和国政府采购法》</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《中华人民共和国政府采购</w:t>
      </w:r>
      <w:r>
        <w:rPr>
          <w:rFonts w:hint="eastAsia" w:asciiTheme="minorEastAsia" w:hAnsiTheme="minorEastAsia" w:eastAsiaTheme="minorEastAsia"/>
          <w:sz w:val="24"/>
          <w:highlight w:val="none"/>
        </w:rPr>
        <w:t>法</w:t>
      </w:r>
      <w:r>
        <w:rPr>
          <w:rFonts w:asciiTheme="minorEastAsia" w:hAnsiTheme="minorEastAsia" w:eastAsiaTheme="minorEastAsia"/>
          <w:sz w:val="24"/>
          <w:highlight w:val="none"/>
        </w:rPr>
        <w:t>实施条例》</w:t>
      </w:r>
      <w:r>
        <w:rPr>
          <w:rFonts w:hint="eastAsia" w:asciiTheme="minorEastAsia" w:hAnsiTheme="minorEastAsia" w:eastAsiaTheme="minorEastAsia"/>
          <w:sz w:val="24"/>
          <w:highlight w:val="none"/>
        </w:rPr>
        <w:t>及本项目本级</w:t>
      </w:r>
      <w:r>
        <w:rPr>
          <w:rFonts w:asciiTheme="minorEastAsia" w:hAnsiTheme="minorEastAsia" w:eastAsiaTheme="minorEastAsia"/>
          <w:sz w:val="24"/>
          <w:highlight w:val="none"/>
        </w:rPr>
        <w:t>和上级财政部门</w:t>
      </w:r>
      <w:r>
        <w:rPr>
          <w:rFonts w:hint="eastAsia" w:asciiTheme="minorEastAsia" w:hAnsiTheme="minorEastAsia" w:eastAsiaTheme="minorEastAsia"/>
          <w:sz w:val="24"/>
          <w:highlight w:val="none"/>
        </w:rPr>
        <w:t>、政府采购监督管理部门的有关规定依法组建的</w:t>
      </w:r>
      <w:r>
        <w:rPr>
          <w:rFonts w:asciiTheme="minorEastAsia" w:hAnsiTheme="minorEastAsia" w:eastAsiaTheme="minorEastAsia"/>
          <w:sz w:val="24"/>
          <w:highlight w:val="none"/>
        </w:rPr>
        <w:t>评标委员会</w:t>
      </w:r>
      <w:r>
        <w:rPr>
          <w:rFonts w:hint="eastAsia" w:asciiTheme="minorEastAsia" w:hAnsiTheme="minorEastAsia" w:eastAsiaTheme="minorEastAsia"/>
          <w:sz w:val="24"/>
          <w:highlight w:val="none"/>
        </w:rPr>
        <w:t>，负责本项目评标工作。</w:t>
      </w:r>
    </w:p>
    <w:p w14:paraId="2EBDB7DC">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投标文件符合性审查与澄清</w:t>
      </w:r>
    </w:p>
    <w:p w14:paraId="3F4339B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.1符合性审查是指依据招标文件的规定，从投标文件的有效性和完整性对招标文件的响应程度</w:t>
      </w:r>
      <w:r>
        <w:rPr>
          <w:rFonts w:ascii="宋体" w:hAnsi="宋体" w:eastAsia="宋体"/>
          <w:sz w:val="24"/>
          <w:highlight w:val="none"/>
        </w:rPr>
        <w:t>进行</w:t>
      </w:r>
      <w:r>
        <w:rPr>
          <w:rFonts w:asciiTheme="minorEastAsia" w:hAnsiTheme="minorEastAsia" w:eastAsiaTheme="minorEastAsia"/>
          <w:sz w:val="24"/>
          <w:highlight w:val="none"/>
        </w:rPr>
        <w:t>审查，以确定是否对招标文件的实质性要求做出响应。</w:t>
      </w:r>
    </w:p>
    <w:p w14:paraId="110A875D">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w:t>
      </w:r>
      <w:r>
        <w:rPr>
          <w:rFonts w:hint="eastAsia" w:ascii="宋体" w:hAnsi="宋体" w:eastAsia="宋体"/>
          <w:sz w:val="24"/>
          <w:highlight w:val="none"/>
        </w:rPr>
        <w:t>2投标文件的澄清</w:t>
      </w:r>
    </w:p>
    <w:p w14:paraId="5BF7B8C0">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w:t>
      </w:r>
      <w:r>
        <w:rPr>
          <w:rFonts w:hint="eastAsia" w:ascii="宋体" w:hAnsi="宋体" w:eastAsia="宋体"/>
          <w:sz w:val="24"/>
          <w:highlight w:val="none"/>
        </w:rPr>
        <w:t>2</w:t>
      </w:r>
      <w:r>
        <w:rPr>
          <w:rFonts w:ascii="宋体" w:hAnsi="宋体" w:eastAsia="宋体"/>
          <w:sz w:val="24"/>
          <w:highlight w:val="none"/>
        </w:rPr>
        <w:t>.1为有助于投标</w:t>
      </w:r>
      <w:r>
        <w:rPr>
          <w:rFonts w:hint="eastAsia" w:ascii="宋体" w:hAnsi="宋体" w:eastAsia="宋体"/>
          <w:sz w:val="24"/>
          <w:highlight w:val="none"/>
        </w:rPr>
        <w:t>文件</w:t>
      </w:r>
      <w:r>
        <w:rPr>
          <w:rFonts w:ascii="宋体" w:hAnsi="宋体" w:eastAsia="宋体"/>
          <w:sz w:val="24"/>
          <w:highlight w:val="none"/>
        </w:rPr>
        <w:t>的审查、评价和比较，在评标期间，评标委员会将以书面</w:t>
      </w:r>
      <w:r>
        <w:rPr>
          <w:rFonts w:hint="eastAsia" w:ascii="宋体" w:hAnsi="宋体" w:eastAsia="宋体"/>
          <w:sz w:val="24"/>
          <w:highlight w:val="none"/>
        </w:rPr>
        <w:t>方式（询标）</w:t>
      </w:r>
      <w:r>
        <w:rPr>
          <w:rFonts w:ascii="宋体" w:hAnsi="宋体" w:eastAsia="宋体"/>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highlight w:val="none"/>
        </w:rPr>
        <w:t>审</w:t>
      </w:r>
      <w:r>
        <w:rPr>
          <w:rFonts w:ascii="宋体" w:hAnsi="宋体" w:eastAsia="宋体"/>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sz w:val="24"/>
          <w:highlight w:val="none"/>
        </w:rPr>
        <w:t>方式</w:t>
      </w:r>
      <w:r>
        <w:rPr>
          <w:rFonts w:ascii="宋体" w:hAnsi="宋体" w:eastAsia="宋体"/>
          <w:sz w:val="24"/>
          <w:highlight w:val="none"/>
        </w:rPr>
        <w:t>进行，并不得超出投标文件范围或者改变投标文件的实质性内容。</w:t>
      </w:r>
    </w:p>
    <w:p w14:paraId="49777FE8">
      <w:pPr>
        <w:spacing w:line="360" w:lineRule="auto"/>
        <w:ind w:firstLine="435"/>
        <w:rPr>
          <w:rFonts w:ascii="宋体" w:hAnsi="宋体" w:eastAsia="宋体"/>
          <w:sz w:val="24"/>
          <w:highlight w:val="none"/>
        </w:rPr>
      </w:pPr>
      <w:r>
        <w:rPr>
          <w:rFonts w:hint="eastAsia" w:ascii="宋体" w:hAnsi="宋体" w:eastAsia="宋体"/>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0872BF2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15.2</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投标人的澄清、说明或补正将作为投标文件的一部分。</w:t>
      </w:r>
    </w:p>
    <w:p w14:paraId="351CD74C">
      <w:pPr>
        <w:spacing w:line="360" w:lineRule="auto"/>
        <w:ind w:firstLine="435"/>
        <w:rPr>
          <w:rFonts w:ascii="宋体" w:hAnsi="宋体" w:eastAsia="宋体"/>
          <w:sz w:val="24"/>
          <w:highlight w:val="none"/>
        </w:rPr>
      </w:pPr>
      <w:r>
        <w:rPr>
          <w:rFonts w:hint="eastAsia" w:ascii="宋体" w:hAnsi="宋体" w:eastAsia="宋体"/>
          <w:sz w:val="24"/>
          <w:highlight w:val="none"/>
        </w:rPr>
        <w:t>15.2</w:t>
      </w:r>
      <w:r>
        <w:rPr>
          <w:rFonts w:ascii="宋体" w:hAnsi="宋体" w:eastAsia="宋体"/>
          <w:sz w:val="24"/>
          <w:highlight w:val="none"/>
        </w:rPr>
        <w:t>.3评标委员会对投标人提交的澄清、说明或补正有疑问的，可以要求投标人进一步澄清、说明或补正，直至满足评标委员会的要求。</w:t>
      </w:r>
    </w:p>
    <w:p w14:paraId="2E7C500F">
      <w:pPr>
        <w:spacing w:line="360" w:lineRule="auto"/>
        <w:ind w:firstLine="435"/>
        <w:rPr>
          <w:rFonts w:ascii="宋体" w:hAnsi="宋体" w:eastAsia="宋体"/>
          <w:sz w:val="24"/>
          <w:highlight w:val="none"/>
        </w:rPr>
      </w:pPr>
      <w:r>
        <w:rPr>
          <w:rFonts w:hint="eastAsia" w:ascii="宋体" w:hAnsi="宋体" w:eastAsia="宋体"/>
          <w:sz w:val="24"/>
          <w:highlight w:val="none"/>
        </w:rPr>
        <w:t>15.3</w:t>
      </w:r>
      <w:r>
        <w:rPr>
          <w:rFonts w:ascii="宋体" w:hAnsi="宋体" w:eastAsia="宋体"/>
          <w:sz w:val="24"/>
          <w:highlight w:val="none"/>
        </w:rPr>
        <w:t>投标文件报价出现前后不一致的，按照下列规定修正：</w:t>
      </w:r>
    </w:p>
    <w:p w14:paraId="721813EE">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1</w:t>
      </w:r>
      <w:r>
        <w:rPr>
          <w:rFonts w:ascii="宋体" w:hAnsi="宋体" w:eastAsia="宋体"/>
          <w:sz w:val="24"/>
          <w:highlight w:val="none"/>
        </w:rPr>
        <w:t>）投标文件中开标一览表内容与投标文件中相应内容不一致的，以开标一览表为准；</w:t>
      </w:r>
    </w:p>
    <w:p w14:paraId="20C1926A">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2</w:t>
      </w:r>
      <w:r>
        <w:rPr>
          <w:rFonts w:ascii="宋体" w:hAnsi="宋体" w:eastAsia="宋体"/>
          <w:sz w:val="24"/>
          <w:highlight w:val="none"/>
        </w:rPr>
        <w:t>）大写金额和小写金额不一致的，以大写金额为准；</w:t>
      </w:r>
    </w:p>
    <w:p w14:paraId="3D1AB736">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3</w:t>
      </w:r>
      <w:r>
        <w:rPr>
          <w:rFonts w:ascii="宋体" w:hAnsi="宋体" w:eastAsia="宋体"/>
          <w:sz w:val="24"/>
          <w:highlight w:val="none"/>
        </w:rPr>
        <w:t>）单价金额小数点或者百分比有明显错位的，以开标一览表的总价为准，并修改单价；</w:t>
      </w:r>
    </w:p>
    <w:p w14:paraId="44F37021">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4</w:t>
      </w:r>
      <w:r>
        <w:rPr>
          <w:rFonts w:ascii="宋体" w:hAnsi="宋体" w:eastAsia="宋体"/>
          <w:sz w:val="24"/>
          <w:highlight w:val="none"/>
        </w:rPr>
        <w:t>）总价金额与按单价汇总金额不一致的，以单价金额计算结果为准。</w:t>
      </w:r>
    </w:p>
    <w:p w14:paraId="4A216FD7">
      <w:pPr>
        <w:spacing w:line="360" w:lineRule="auto"/>
        <w:ind w:firstLine="435"/>
        <w:rPr>
          <w:rFonts w:ascii="宋体" w:hAnsi="宋体" w:eastAsia="宋体"/>
          <w:sz w:val="24"/>
          <w:highlight w:val="none"/>
        </w:rPr>
      </w:pPr>
      <w:r>
        <w:rPr>
          <w:rFonts w:ascii="宋体" w:hAnsi="宋体" w:eastAsia="宋体"/>
          <w:sz w:val="24"/>
          <w:highlight w:val="none"/>
        </w:rPr>
        <w:t>同时出现两种以上不一致的，按照前款规定的顺序修正。修正后的报价按照第</w:t>
      </w:r>
      <w:r>
        <w:rPr>
          <w:rFonts w:hint="eastAsia" w:ascii="宋体" w:hAnsi="宋体" w:eastAsia="宋体"/>
          <w:sz w:val="24"/>
          <w:highlight w:val="none"/>
        </w:rPr>
        <w:t>15.</w:t>
      </w:r>
      <w:r>
        <w:rPr>
          <w:rFonts w:ascii="宋体" w:hAnsi="宋体" w:eastAsia="宋体"/>
          <w:sz w:val="24"/>
          <w:highlight w:val="none"/>
        </w:rPr>
        <w:t>4条的规定经投标人确认后产生约束力，投标人不确认的，其投标将被认定为</w:t>
      </w:r>
      <w:r>
        <w:rPr>
          <w:rFonts w:ascii="宋体" w:hAnsi="宋体" w:eastAsia="宋体"/>
          <w:b/>
          <w:sz w:val="24"/>
          <w:highlight w:val="none"/>
        </w:rPr>
        <w:t>投标无效</w:t>
      </w:r>
      <w:r>
        <w:rPr>
          <w:rFonts w:ascii="宋体" w:hAnsi="宋体" w:eastAsia="宋体"/>
          <w:sz w:val="24"/>
          <w:highlight w:val="none"/>
        </w:rPr>
        <w:t>。</w:t>
      </w:r>
    </w:p>
    <w:p w14:paraId="7FCC5A60">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对不同文字文本投标文件的解释发生异议的，以中文文本为准。</w:t>
      </w:r>
    </w:p>
    <w:p w14:paraId="5DB41BD2">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16.投标无效</w:t>
      </w:r>
    </w:p>
    <w:p w14:paraId="619C265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1根据本</w:t>
      </w:r>
      <w:r>
        <w:rPr>
          <w:rFonts w:hint="eastAsia" w:asciiTheme="minorEastAsia" w:hAnsiTheme="minorEastAsia" w:eastAsiaTheme="minorEastAsia"/>
          <w:sz w:val="24"/>
          <w:highlight w:val="none"/>
        </w:rPr>
        <w:t>招标文件</w:t>
      </w:r>
      <w:r>
        <w:rPr>
          <w:rFonts w:asciiTheme="minorEastAsia" w:hAnsiTheme="minorEastAsia" w:eastAsiaTheme="minorEastAsia"/>
          <w:sz w:val="24"/>
          <w:highlight w:val="none"/>
        </w:rPr>
        <w:t>的规定，评标委员会要审查每份投标文件是否实质上响应了招标文件的要求。投标人不得通过修正或撤销不符合要求的偏离，从而使其投标成为实质上响应的投标。</w:t>
      </w:r>
    </w:p>
    <w:p w14:paraId="3E78F79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评标委员会决定投标的响应性只根据招标文件要求和投标文件内容。</w:t>
      </w:r>
    </w:p>
    <w:p w14:paraId="41BFE12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无论何种原因，即使投标人投标时携带了证书材料的原件，但投标文件中未提供与之内容完全一致的扫描件的，评标委员会视同其未提供。</w:t>
      </w:r>
    </w:p>
    <w:p w14:paraId="792C976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2如发现下列情况之一的，其投标将被认定为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3EBA857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1）投标文件未按照招标文件规定要求签署、盖章的；</w:t>
      </w:r>
    </w:p>
    <w:p w14:paraId="149F281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2）不具备招标文件中规定的资格要求的；</w:t>
      </w:r>
    </w:p>
    <w:p w14:paraId="38D17F2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3）报价超过招标文件中规定的预算金额或者最高限价的；</w:t>
      </w:r>
    </w:p>
    <w:p w14:paraId="5807C69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4）投标文件含有</w:t>
      </w:r>
      <w:r>
        <w:rPr>
          <w:rFonts w:hint="eastAsia" w:asciiTheme="minorEastAsia" w:hAnsiTheme="minorEastAsia" w:eastAsiaTheme="minorEastAsia"/>
          <w:sz w:val="24"/>
          <w:highlight w:val="none"/>
        </w:rPr>
        <w:t>招标人</w:t>
      </w:r>
      <w:r>
        <w:rPr>
          <w:rFonts w:asciiTheme="minorEastAsia" w:hAnsiTheme="minorEastAsia" w:eastAsiaTheme="minorEastAsia"/>
          <w:sz w:val="24"/>
          <w:highlight w:val="none"/>
        </w:rPr>
        <w:t>不能接受的附加条件的；</w:t>
      </w:r>
    </w:p>
    <w:p w14:paraId="3D5B983B">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5）法律、法规和招标文件规定的其他无效情形。</w:t>
      </w:r>
    </w:p>
    <w:p w14:paraId="7DEBDA6F">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17.比较与评价</w:t>
      </w:r>
    </w:p>
    <w:p w14:paraId="5C27CDB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17.1经符合性审查合格的投标文件，评标委员会将根据招标文件确定的评标方法和标准，对其投标文件作进一步的比较与评价。</w:t>
      </w:r>
    </w:p>
    <w:p w14:paraId="7E0B7C7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17.2评标严格按照</w:t>
      </w:r>
      <w:r>
        <w:rPr>
          <w:rFonts w:hint="eastAsia" w:ascii="宋体" w:hAnsi="宋体" w:eastAsia="宋体"/>
          <w:sz w:val="24"/>
          <w:highlight w:val="none"/>
        </w:rPr>
        <w:t>招标文件</w:t>
      </w:r>
      <w:r>
        <w:rPr>
          <w:rFonts w:hint="eastAsia" w:asciiTheme="minorEastAsia" w:hAnsiTheme="minorEastAsia" w:eastAsiaTheme="minorEastAsia"/>
          <w:sz w:val="24"/>
          <w:highlight w:val="none"/>
        </w:rPr>
        <w:t>的要求和条件进行。根据实际情况，在</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中规定采用下列一种评标方法，详细评标方法和标准见招标文件第四章：</w:t>
      </w:r>
    </w:p>
    <w:p w14:paraId="19B371D2">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w:t>
      </w:r>
      <w:r>
        <w:rPr>
          <w:rFonts w:hint="eastAsia" w:ascii="宋体" w:hAnsi="宋体" w:eastAsia="宋体"/>
          <w:sz w:val="24"/>
          <w:highlight w:val="none"/>
        </w:rPr>
        <w:t>1）最低评标价法，是指</w:t>
      </w:r>
      <w:r>
        <w:rPr>
          <w:rFonts w:ascii="宋体" w:hAnsi="宋体" w:eastAsia="宋体"/>
          <w:sz w:val="24"/>
          <w:highlight w:val="none"/>
        </w:rPr>
        <w:t>投标文件满足招标文件全部实质性要求</w:t>
      </w:r>
      <w:r>
        <w:rPr>
          <w:rFonts w:hint="eastAsia" w:ascii="宋体" w:hAnsi="宋体" w:eastAsia="宋体"/>
          <w:sz w:val="24"/>
          <w:highlight w:val="none"/>
        </w:rPr>
        <w:t>，</w:t>
      </w:r>
      <w:r>
        <w:rPr>
          <w:rFonts w:ascii="宋体" w:hAnsi="宋体" w:eastAsia="宋体"/>
          <w:sz w:val="24"/>
          <w:highlight w:val="none"/>
        </w:rPr>
        <w:t>且投标报价最低的</w:t>
      </w:r>
      <w:r>
        <w:rPr>
          <w:rFonts w:hint="eastAsia" w:ascii="宋体" w:hAnsi="宋体" w:eastAsia="宋体"/>
          <w:sz w:val="24"/>
          <w:highlight w:val="none"/>
        </w:rPr>
        <w:t>投标人</w:t>
      </w:r>
      <w:r>
        <w:rPr>
          <w:rFonts w:ascii="宋体" w:hAnsi="宋体" w:eastAsia="宋体"/>
          <w:sz w:val="24"/>
          <w:highlight w:val="none"/>
        </w:rPr>
        <w:t>为中标</w:t>
      </w:r>
      <w:r>
        <w:rPr>
          <w:rFonts w:hint="eastAsia" w:ascii="宋体" w:hAnsi="宋体" w:eastAsia="宋体"/>
          <w:sz w:val="24"/>
          <w:highlight w:val="none"/>
        </w:rPr>
        <w:t>候选</w:t>
      </w:r>
      <w:r>
        <w:rPr>
          <w:rFonts w:ascii="宋体" w:hAnsi="宋体" w:eastAsia="宋体"/>
          <w:sz w:val="24"/>
          <w:highlight w:val="none"/>
        </w:rPr>
        <w:t>人的评标方法</w:t>
      </w:r>
      <w:r>
        <w:rPr>
          <w:rFonts w:hint="eastAsia" w:ascii="宋体" w:hAnsi="宋体" w:eastAsia="宋体"/>
          <w:sz w:val="24"/>
          <w:highlight w:val="none"/>
        </w:rPr>
        <w:t>。</w:t>
      </w:r>
    </w:p>
    <w:p w14:paraId="142257F0">
      <w:pPr>
        <w:spacing w:line="360" w:lineRule="auto"/>
        <w:ind w:firstLine="435"/>
        <w:rPr>
          <w:rFonts w:ascii="宋体" w:hAnsi="宋体" w:eastAsia="宋体"/>
          <w:sz w:val="24"/>
          <w:highlight w:val="none"/>
        </w:rPr>
      </w:pPr>
      <w:r>
        <w:rPr>
          <w:rFonts w:hint="eastAsia" w:ascii="宋体" w:hAnsi="宋体" w:eastAsia="宋体"/>
          <w:sz w:val="24"/>
          <w:highlight w:val="none"/>
        </w:rPr>
        <w:t>（2）综合评分法，是</w:t>
      </w:r>
      <w:r>
        <w:rPr>
          <w:rFonts w:ascii="宋体" w:hAnsi="宋体" w:eastAsia="宋体"/>
          <w:sz w:val="24"/>
          <w:highlight w:val="none"/>
        </w:rPr>
        <w:t>指投标文件满足招标</w:t>
      </w:r>
      <w:r>
        <w:rPr>
          <w:rFonts w:hint="eastAsia" w:ascii="宋体" w:hAnsi="宋体" w:eastAsia="宋体"/>
          <w:sz w:val="24"/>
          <w:highlight w:val="none"/>
        </w:rPr>
        <w:t>文件</w:t>
      </w:r>
      <w:r>
        <w:rPr>
          <w:rFonts w:ascii="宋体" w:hAnsi="宋体" w:eastAsia="宋体"/>
          <w:sz w:val="24"/>
          <w:highlight w:val="none"/>
        </w:rPr>
        <w:t>全部实质性要求</w:t>
      </w:r>
      <w:r>
        <w:rPr>
          <w:rFonts w:hint="eastAsia" w:ascii="宋体" w:hAnsi="宋体" w:eastAsia="宋体"/>
          <w:sz w:val="24"/>
          <w:highlight w:val="none"/>
        </w:rPr>
        <w:t>，</w:t>
      </w:r>
      <w:r>
        <w:rPr>
          <w:rFonts w:ascii="宋体" w:hAnsi="宋体" w:eastAsia="宋体"/>
          <w:sz w:val="24"/>
          <w:highlight w:val="none"/>
        </w:rPr>
        <w:t>且按照评审因素的</w:t>
      </w:r>
      <w:r>
        <w:rPr>
          <w:rFonts w:hint="eastAsia" w:ascii="宋体" w:hAnsi="宋体" w:eastAsia="宋体"/>
          <w:sz w:val="24"/>
          <w:highlight w:val="none"/>
        </w:rPr>
        <w:t>量化</w:t>
      </w:r>
      <w:r>
        <w:rPr>
          <w:rFonts w:ascii="宋体" w:hAnsi="宋体" w:eastAsia="宋体"/>
          <w:sz w:val="24"/>
          <w:highlight w:val="none"/>
        </w:rPr>
        <w:t>指标评审得分最高的</w:t>
      </w:r>
      <w:r>
        <w:rPr>
          <w:rFonts w:hint="eastAsia" w:ascii="宋体" w:hAnsi="宋体" w:eastAsia="宋体"/>
          <w:sz w:val="24"/>
          <w:highlight w:val="none"/>
        </w:rPr>
        <w:t>投标人</w:t>
      </w:r>
      <w:r>
        <w:rPr>
          <w:rFonts w:ascii="宋体" w:hAnsi="宋体" w:eastAsia="宋体"/>
          <w:sz w:val="24"/>
          <w:highlight w:val="none"/>
        </w:rPr>
        <w:t>为中标候选人的评标方法。</w:t>
      </w:r>
    </w:p>
    <w:p w14:paraId="04945314">
      <w:pPr>
        <w:spacing w:line="360" w:lineRule="auto"/>
        <w:ind w:firstLine="435"/>
        <w:rPr>
          <w:rFonts w:ascii="宋体" w:hAnsi="宋体" w:eastAsia="宋体"/>
          <w:sz w:val="24"/>
          <w:highlight w:val="none"/>
        </w:rPr>
      </w:pPr>
      <w:r>
        <w:rPr>
          <w:rFonts w:hint="eastAsia" w:ascii="宋体" w:hAnsi="宋体" w:eastAsia="宋体"/>
          <w:sz w:val="24"/>
          <w:highlight w:val="none"/>
        </w:rPr>
        <w:t>17.</w:t>
      </w:r>
      <w:r>
        <w:rPr>
          <w:rFonts w:ascii="宋体" w:hAnsi="宋体" w:eastAsia="宋体"/>
          <w:sz w:val="24"/>
          <w:highlight w:val="none"/>
        </w:rPr>
        <w:t>3根据《政府采购促进中小企业发展管理办法》（财库〔2020〕46号）、《三部门联合发布关于促进残疾人就业政府采购政策的通知》（财库〔2017〕141号）</w:t>
      </w:r>
      <w:r>
        <w:rPr>
          <w:rFonts w:hint="eastAsia" w:ascii="宋体" w:hAnsi="宋体" w:eastAsia="宋体"/>
          <w:sz w:val="24"/>
          <w:highlight w:val="none"/>
        </w:rPr>
        <w:t>和</w:t>
      </w:r>
      <w:r>
        <w:rPr>
          <w:rFonts w:ascii="宋体" w:hAnsi="宋体" w:eastAsia="宋体"/>
          <w:sz w:val="24"/>
          <w:highlight w:val="none"/>
        </w:rPr>
        <w:t>《财政部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highlight w:val="none"/>
          <w:u w:val="single"/>
        </w:rPr>
        <w:t>投标人须知前附表</w:t>
      </w:r>
      <w:r>
        <w:rPr>
          <w:rFonts w:ascii="宋体" w:hAnsi="宋体" w:eastAsia="宋体"/>
          <w:sz w:val="24"/>
          <w:highlight w:val="none"/>
        </w:rPr>
        <w:t>中规定的标准扣除后的价格参与评审。对于同时属于小微企</w:t>
      </w:r>
      <w:r>
        <w:rPr>
          <w:rFonts w:hint="eastAsia" w:ascii="宋体" w:hAnsi="宋体" w:eastAsia="宋体"/>
          <w:sz w:val="24"/>
          <w:highlight w:val="none"/>
        </w:rPr>
        <w:t>业、监狱企业或残疾人福利性单位的，不重复进行投标报价扣除。</w:t>
      </w:r>
    </w:p>
    <w:p w14:paraId="4943E548">
      <w:pPr>
        <w:spacing w:line="360" w:lineRule="auto"/>
        <w:ind w:firstLine="435"/>
        <w:rPr>
          <w:rFonts w:ascii="宋体" w:hAnsi="宋体" w:eastAsia="宋体"/>
          <w:sz w:val="24"/>
          <w:highlight w:val="none"/>
        </w:rPr>
      </w:pPr>
      <w:r>
        <w:rPr>
          <w:rFonts w:hint="eastAsia" w:ascii="宋体" w:hAnsi="宋体" w:eastAsia="宋体"/>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highlight w:val="none"/>
        </w:rPr>
        <w:t>30%以上的，可给予联合体或者大中型企业的投标报价按照</w:t>
      </w:r>
      <w:r>
        <w:rPr>
          <w:rFonts w:ascii="宋体" w:hAnsi="宋体" w:eastAsia="宋体"/>
          <w:sz w:val="24"/>
          <w:highlight w:val="none"/>
          <w:u w:val="single"/>
        </w:rPr>
        <w:t>投标人须知前附表</w:t>
      </w:r>
      <w:r>
        <w:rPr>
          <w:rFonts w:ascii="宋体" w:hAnsi="宋体" w:eastAsia="宋体"/>
          <w:sz w:val="24"/>
          <w:highlight w:val="none"/>
        </w:rPr>
        <w:t>中规定的标准扣除后的价格参与评审。组成联合体或者接受分包的小微企业与联合体内其他企业、分包企业之间存在直接控股、管理关系的，不享受价格扣除优惠政策。</w:t>
      </w:r>
    </w:p>
    <w:p w14:paraId="4CBFCBC7">
      <w:pPr>
        <w:spacing w:line="360" w:lineRule="auto"/>
        <w:ind w:firstLine="435"/>
        <w:rPr>
          <w:rFonts w:ascii="宋体" w:hAnsi="宋体" w:eastAsia="宋体"/>
          <w:sz w:val="24"/>
          <w:highlight w:val="none"/>
        </w:rPr>
      </w:pPr>
      <w:r>
        <w:rPr>
          <w:rFonts w:hint="eastAsia" w:ascii="宋体" w:hAnsi="宋体" w:eastAsia="宋体"/>
          <w:sz w:val="24"/>
          <w:highlight w:val="none"/>
        </w:rPr>
        <w:t>以联合体形式参加政府采购活动，联合体各方均为中小企业的，联合体视同中小企业。其中，联合体各方均为小微企业的，联合体视同小微企业。</w:t>
      </w:r>
    </w:p>
    <w:p w14:paraId="74F97C36">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废标、重新招标与变更采购方式</w:t>
      </w:r>
    </w:p>
    <w:p w14:paraId="221F2B8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18.1出现下列情形之一，将导致项目废标：</w:t>
      </w:r>
    </w:p>
    <w:p w14:paraId="20D613CB">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w:t>
      </w:r>
      <w:r>
        <w:rPr>
          <w:rFonts w:hint="eastAsia" w:ascii="宋体" w:hAnsi="宋体" w:eastAsia="宋体"/>
          <w:sz w:val="24"/>
          <w:highlight w:val="none"/>
        </w:rPr>
        <w:t>1）符合专业条件的供应商或者对招标文件做实质性响应的供应商不足规定数量的；</w:t>
      </w:r>
    </w:p>
    <w:p w14:paraId="4FC2113C">
      <w:pPr>
        <w:spacing w:line="360" w:lineRule="auto"/>
        <w:ind w:firstLine="435"/>
        <w:rPr>
          <w:rFonts w:ascii="宋体" w:hAnsi="宋体" w:eastAsia="宋体"/>
          <w:sz w:val="24"/>
          <w:highlight w:val="none"/>
        </w:rPr>
      </w:pPr>
      <w:r>
        <w:rPr>
          <w:rFonts w:hint="eastAsia" w:ascii="宋体" w:hAnsi="宋体" w:eastAsia="宋体"/>
          <w:sz w:val="24"/>
          <w:highlight w:val="none"/>
        </w:rPr>
        <w:t>（2）出现影响采购公正的违法、违规行为的；</w:t>
      </w:r>
    </w:p>
    <w:p w14:paraId="631C175E">
      <w:pPr>
        <w:spacing w:line="360" w:lineRule="auto"/>
        <w:ind w:firstLine="435"/>
        <w:rPr>
          <w:rFonts w:ascii="宋体" w:hAnsi="宋体" w:eastAsia="宋体"/>
          <w:sz w:val="24"/>
          <w:highlight w:val="none"/>
        </w:rPr>
      </w:pPr>
      <w:r>
        <w:rPr>
          <w:rFonts w:hint="eastAsia" w:ascii="宋体" w:hAnsi="宋体" w:eastAsia="宋体"/>
          <w:sz w:val="24"/>
          <w:highlight w:val="none"/>
        </w:rPr>
        <w:t>（3）投标人的报价均超过了采购预算，招标人不能支付的；</w:t>
      </w:r>
    </w:p>
    <w:p w14:paraId="47B9528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（4）因重大变故，采购任务取消的。</w:t>
      </w:r>
    </w:p>
    <w:p w14:paraId="2BA0F08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18.2公开招标数额标准以上的采购项目，投标截止后投标人不足</w:t>
      </w:r>
      <w:r>
        <w:rPr>
          <w:rFonts w:asciiTheme="minorEastAsia" w:hAnsiTheme="minorEastAsia" w:eastAsiaTheme="minorEastAsia"/>
          <w:sz w:val="24"/>
          <w:highlight w:val="none"/>
        </w:rPr>
        <w:t>3家或者通过</w:t>
      </w:r>
      <w:r>
        <w:rPr>
          <w:rFonts w:hint="eastAsia" w:asciiTheme="minorEastAsia" w:hAnsiTheme="minorEastAsia" w:eastAsiaTheme="minorEastAsia"/>
          <w:sz w:val="24"/>
          <w:highlight w:val="none"/>
        </w:rPr>
        <w:t>资格审查或符合性审查的投标人不足</w:t>
      </w:r>
      <w:r>
        <w:rPr>
          <w:rFonts w:asciiTheme="minorEastAsia" w:hAnsiTheme="minorEastAsia" w:eastAsiaTheme="minorEastAsia"/>
          <w:sz w:val="24"/>
          <w:highlight w:val="none"/>
        </w:rPr>
        <w:t>3家的，除采购任务取消情形外，按照以下方式处理：</w:t>
      </w:r>
    </w:p>
    <w:p w14:paraId="5837FD7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（1）招标文件存在不合理条款或者招标程序不符合规定的，招标人、采购代理机构改正后依法重新招标；</w:t>
      </w:r>
    </w:p>
    <w:p w14:paraId="7703FF0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（2）招标文件没有不合理条款、招标程序符合规定，需要采用其他采购方式采购的，招标人应当依法报</w:t>
      </w:r>
      <w:r>
        <w:rPr>
          <w:rFonts w:hint="eastAsia" w:ascii="宋体" w:hAnsi="宋体" w:eastAsia="宋体" w:cs="宋体"/>
          <w:color w:val="000000"/>
          <w:sz w:val="24"/>
          <w:szCs w:val="24"/>
          <w:highlight w:val="none"/>
        </w:rPr>
        <w:t>政府采购监督管理部门</w:t>
      </w:r>
      <w:r>
        <w:rPr>
          <w:rFonts w:hint="eastAsia" w:asciiTheme="minorEastAsia" w:hAnsiTheme="minorEastAsia" w:eastAsiaTheme="minorEastAsia"/>
          <w:sz w:val="24"/>
          <w:highlight w:val="none"/>
        </w:rPr>
        <w:t>批准。</w:t>
      </w:r>
    </w:p>
    <w:p w14:paraId="6F5B4A84">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保密要求</w:t>
      </w:r>
    </w:p>
    <w:p w14:paraId="1C4692C8">
      <w:pPr>
        <w:spacing w:line="360" w:lineRule="auto"/>
        <w:ind w:firstLine="435"/>
        <w:rPr>
          <w:rFonts w:ascii="宋体" w:hAnsi="宋体" w:eastAsia="宋体"/>
          <w:sz w:val="24"/>
          <w:highlight w:val="none"/>
        </w:rPr>
      </w:pPr>
      <w:r>
        <w:rPr>
          <w:rFonts w:hint="eastAsia" w:ascii="宋体" w:hAnsi="宋体" w:eastAsia="宋体"/>
          <w:sz w:val="24"/>
          <w:highlight w:val="none"/>
        </w:rPr>
        <w:t>19.1评标将在严格保密的情况下进行。</w:t>
      </w:r>
    </w:p>
    <w:p w14:paraId="5A79BAA0">
      <w:pPr>
        <w:spacing w:line="360" w:lineRule="auto"/>
        <w:ind w:firstLine="435"/>
        <w:rPr>
          <w:rFonts w:ascii="宋体" w:hAnsi="宋体" w:eastAsia="宋体"/>
          <w:sz w:val="24"/>
          <w:highlight w:val="none"/>
        </w:rPr>
      </w:pPr>
      <w:r>
        <w:rPr>
          <w:rFonts w:hint="eastAsia" w:ascii="宋体" w:hAnsi="宋体" w:eastAsia="宋体"/>
          <w:sz w:val="24"/>
          <w:highlight w:val="none"/>
        </w:rPr>
        <w:t>19.2有关人员</w:t>
      </w:r>
      <w:r>
        <w:rPr>
          <w:rFonts w:ascii="宋体" w:hAnsi="宋体" w:eastAsia="宋体"/>
          <w:sz w:val="24"/>
          <w:highlight w:val="none"/>
        </w:rPr>
        <w:t>应当</w:t>
      </w:r>
      <w:r>
        <w:rPr>
          <w:rFonts w:hint="eastAsia" w:ascii="宋体" w:hAnsi="宋体" w:eastAsia="宋体"/>
          <w:sz w:val="24"/>
          <w:highlight w:val="none"/>
        </w:rPr>
        <w:t>遵</w:t>
      </w:r>
      <w:r>
        <w:rPr>
          <w:rFonts w:ascii="宋体" w:hAnsi="宋体" w:eastAsia="宋体"/>
          <w:sz w:val="24"/>
          <w:highlight w:val="none"/>
        </w:rPr>
        <w:t>守评</w:t>
      </w:r>
      <w:r>
        <w:rPr>
          <w:rFonts w:hint="eastAsia" w:ascii="宋体" w:hAnsi="宋体" w:eastAsia="宋体"/>
          <w:sz w:val="24"/>
          <w:highlight w:val="none"/>
        </w:rPr>
        <w:t>标</w:t>
      </w:r>
      <w:r>
        <w:rPr>
          <w:rFonts w:ascii="宋体" w:hAnsi="宋体" w:eastAsia="宋体"/>
          <w:sz w:val="24"/>
          <w:highlight w:val="none"/>
        </w:rPr>
        <w:t>工作纪律，不得</w:t>
      </w:r>
      <w:r>
        <w:rPr>
          <w:rFonts w:hint="eastAsia" w:ascii="宋体" w:hAnsi="宋体" w:eastAsia="宋体"/>
          <w:sz w:val="24"/>
          <w:highlight w:val="none"/>
        </w:rPr>
        <w:t>泄露</w:t>
      </w:r>
      <w:r>
        <w:rPr>
          <w:rFonts w:ascii="宋体" w:hAnsi="宋体" w:eastAsia="宋体"/>
          <w:sz w:val="24"/>
          <w:highlight w:val="none"/>
        </w:rPr>
        <w:t>评</w:t>
      </w:r>
      <w:r>
        <w:rPr>
          <w:rFonts w:hint="eastAsia" w:ascii="宋体" w:hAnsi="宋体" w:eastAsia="宋体"/>
          <w:sz w:val="24"/>
          <w:highlight w:val="none"/>
        </w:rPr>
        <w:t>标文件</w:t>
      </w:r>
      <w:r>
        <w:rPr>
          <w:rFonts w:ascii="宋体" w:hAnsi="宋体" w:eastAsia="宋体"/>
          <w:sz w:val="24"/>
          <w:highlight w:val="none"/>
        </w:rPr>
        <w:t>、评</w:t>
      </w:r>
      <w:r>
        <w:rPr>
          <w:rFonts w:hint="eastAsia" w:ascii="宋体" w:hAnsi="宋体" w:eastAsia="宋体"/>
          <w:sz w:val="24"/>
          <w:highlight w:val="none"/>
        </w:rPr>
        <w:t>标</w:t>
      </w:r>
      <w:r>
        <w:rPr>
          <w:rFonts w:ascii="宋体" w:hAnsi="宋体" w:eastAsia="宋体"/>
          <w:sz w:val="24"/>
          <w:highlight w:val="none"/>
        </w:rPr>
        <w:t>情况和评</w:t>
      </w:r>
      <w:r>
        <w:rPr>
          <w:rFonts w:hint="eastAsia" w:ascii="宋体" w:hAnsi="宋体" w:eastAsia="宋体"/>
          <w:sz w:val="24"/>
          <w:highlight w:val="none"/>
        </w:rPr>
        <w:t>标</w:t>
      </w:r>
      <w:r>
        <w:rPr>
          <w:rFonts w:ascii="宋体" w:hAnsi="宋体" w:eastAsia="宋体"/>
          <w:sz w:val="24"/>
          <w:highlight w:val="none"/>
        </w:rPr>
        <w:t>中获悉的</w:t>
      </w:r>
      <w:r>
        <w:rPr>
          <w:rFonts w:hint="eastAsia" w:ascii="宋体" w:hAnsi="宋体" w:eastAsia="宋体"/>
          <w:sz w:val="24"/>
          <w:highlight w:val="none"/>
        </w:rPr>
        <w:t>国家秘密、</w:t>
      </w:r>
      <w:r>
        <w:rPr>
          <w:rFonts w:ascii="宋体" w:hAnsi="宋体" w:eastAsia="宋体"/>
          <w:sz w:val="24"/>
          <w:highlight w:val="none"/>
        </w:rPr>
        <w:t>商业秘密。</w:t>
      </w:r>
    </w:p>
    <w:p w14:paraId="0AF98044">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中标候选人的确定原则及标准</w:t>
      </w:r>
    </w:p>
    <w:p w14:paraId="20BA790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20.1</w:t>
      </w:r>
      <w:r>
        <w:rPr>
          <w:rFonts w:asciiTheme="minorEastAsia" w:hAnsiTheme="minorEastAsia" w:eastAsiaTheme="minorEastAsia"/>
          <w:sz w:val="24"/>
          <w:highlight w:val="none"/>
        </w:rPr>
        <w:t>评</w:t>
      </w:r>
      <w:r>
        <w:rPr>
          <w:rFonts w:hint="eastAsia" w:asciiTheme="minorEastAsia" w:hAnsiTheme="minorEastAsia" w:eastAsiaTheme="minorEastAsia"/>
          <w:sz w:val="24"/>
          <w:highlight w:val="none"/>
        </w:rPr>
        <w:t>标</w:t>
      </w:r>
      <w:r>
        <w:rPr>
          <w:rFonts w:asciiTheme="minorEastAsia" w:hAnsiTheme="minorEastAsia" w:eastAsiaTheme="minorEastAsia"/>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sz w:val="24"/>
          <w:highlight w:val="none"/>
        </w:rPr>
        <w:t>，确定中标候选人</w:t>
      </w:r>
      <w:r>
        <w:rPr>
          <w:rFonts w:asciiTheme="minorEastAsia" w:hAnsiTheme="minorEastAsia" w:eastAsiaTheme="minorEastAsia"/>
          <w:sz w:val="24"/>
          <w:highlight w:val="none"/>
        </w:rPr>
        <w:t>：</w:t>
      </w:r>
    </w:p>
    <w:p w14:paraId="2CC1266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sz w:val="24"/>
          <w:highlight w:val="none"/>
        </w:rPr>
        <w:t>出现两家或两家以上相同者，采取评标委员会随机抽取的方式确定中标候选顺序。</w:t>
      </w:r>
    </w:p>
    <w:p w14:paraId="08EC2899">
      <w:pPr>
        <w:spacing w:line="360" w:lineRule="auto"/>
        <w:ind w:firstLine="435"/>
        <w:rPr>
          <w:rFonts w:eastAsiaTheme="minorEastAsia"/>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2）采用综合评分法的，评标结果按评审后得分由高到低顺序排列。得分相同的，</w:t>
      </w:r>
      <w:r>
        <w:rPr>
          <w:rFonts w:hint="eastAsia" w:asciiTheme="minorEastAsia" w:hAnsiTheme="minorEastAsia" w:eastAsiaTheme="minorEastAsia"/>
          <w:sz w:val="24"/>
          <w:highlight w:val="none"/>
        </w:rPr>
        <w:t>按投标报价由低到高顺序排列。</w:t>
      </w:r>
      <w:r>
        <w:rPr>
          <w:rFonts w:asciiTheme="minorEastAsia" w:hAnsiTheme="minorEastAsia" w:eastAsiaTheme="minorEastAsia"/>
          <w:sz w:val="24"/>
          <w:highlight w:val="none"/>
        </w:rPr>
        <w:t>得分与投标报价均相同的</w:t>
      </w:r>
      <w:r>
        <w:rPr>
          <w:rFonts w:hint="eastAsia" w:asciiTheme="minorEastAsia" w:hAnsiTheme="minorEastAsia" w:eastAsiaTheme="minorEastAsia"/>
          <w:sz w:val="24"/>
          <w:highlight w:val="none"/>
        </w:rPr>
        <w:t>，则采取评标委员会随机抽取的方式确定中标候选顺序。</w:t>
      </w:r>
    </w:p>
    <w:p w14:paraId="66DE38DE">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确定中标候选人和中标人</w:t>
      </w:r>
    </w:p>
    <w:p w14:paraId="76387AD5">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.1评标委员会将根据评标标准，按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中规定数量推荐中标候选人。</w:t>
      </w:r>
    </w:p>
    <w:p w14:paraId="6FCD239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21.2按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hint="eastAsia" w:asciiTheme="minorEastAsia" w:hAnsiTheme="minorEastAsia" w:eastAsiaTheme="minorEastAsia"/>
          <w:sz w:val="24"/>
          <w:highlight w:val="none"/>
        </w:rPr>
        <w:t>中规定，</w:t>
      </w:r>
      <w:r>
        <w:rPr>
          <w:rFonts w:asciiTheme="minorEastAsia" w:hAnsiTheme="minorEastAsia" w:eastAsiaTheme="minorEastAsia"/>
          <w:sz w:val="24"/>
          <w:highlight w:val="none"/>
        </w:rPr>
        <w:t>由评标委员会或</w:t>
      </w:r>
      <w:r>
        <w:rPr>
          <w:rFonts w:hint="eastAsia" w:asciiTheme="minorEastAsia" w:hAnsiTheme="minorEastAsia" w:eastAsiaTheme="minorEastAsia"/>
          <w:sz w:val="24"/>
          <w:highlight w:val="none"/>
        </w:rPr>
        <w:t>招标人</w:t>
      </w:r>
      <w:r>
        <w:rPr>
          <w:rFonts w:asciiTheme="minorEastAsia" w:hAnsiTheme="minorEastAsia" w:eastAsiaTheme="minorEastAsia"/>
          <w:sz w:val="24"/>
          <w:highlight w:val="none"/>
        </w:rPr>
        <w:t>确定中标人。</w:t>
      </w:r>
    </w:p>
    <w:p w14:paraId="2BDADBA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因重大变故采购任务取消时，招标人有权拒绝任何投标人中标，且对受影响的投标人不承担任何责任。</w:t>
      </w:r>
    </w:p>
    <w:p w14:paraId="062A5FE1">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编写评标报告</w:t>
      </w:r>
    </w:p>
    <w:p w14:paraId="22AD010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20D0531">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中标结果公告</w:t>
      </w:r>
    </w:p>
    <w:p w14:paraId="288D039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除</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规定由评标委员会直接确定中标</w:t>
      </w:r>
      <w:r>
        <w:rPr>
          <w:rFonts w:hint="eastAsia" w:asciiTheme="minorEastAsia" w:hAnsiTheme="minorEastAsia" w:eastAsiaTheme="minorEastAsia"/>
          <w:sz w:val="24"/>
          <w:highlight w:val="none"/>
        </w:rPr>
        <w:t>人外，</w:t>
      </w:r>
      <w:r>
        <w:rPr>
          <w:rFonts w:asciiTheme="minorEastAsia" w:hAnsiTheme="minorEastAsia" w:eastAsiaTheme="minorEastAsia"/>
          <w:sz w:val="24"/>
          <w:highlight w:val="none"/>
        </w:rPr>
        <w:t>在评标结束后2个工作日内</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采购代理机构将评标报告送</w:t>
      </w:r>
      <w:r>
        <w:rPr>
          <w:rFonts w:hint="eastAsia" w:asciiTheme="minorEastAsia" w:hAnsiTheme="minorEastAsia" w:eastAsiaTheme="minorEastAsia"/>
          <w:sz w:val="24"/>
          <w:highlight w:val="none"/>
        </w:rPr>
        <w:t>招标人</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招标人</w:t>
      </w:r>
      <w:r>
        <w:rPr>
          <w:rFonts w:asciiTheme="minorEastAsia" w:hAnsiTheme="minorEastAsia" w:eastAsiaTheme="minorEastAsia"/>
          <w:sz w:val="24"/>
          <w:highlight w:val="none"/>
        </w:rPr>
        <w:t>应当自收到评标报告之日起</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个工作日内，在评标报告确定的中标候选人名单中按顺序确定中标人。中标候选人并列的，由</w:t>
      </w:r>
      <w:r>
        <w:rPr>
          <w:rFonts w:hint="eastAsia" w:asciiTheme="minorEastAsia" w:hAnsiTheme="minorEastAsia" w:eastAsiaTheme="minorEastAsia"/>
          <w:sz w:val="24"/>
          <w:highlight w:val="none"/>
        </w:rPr>
        <w:t>招标人</w:t>
      </w:r>
      <w:r>
        <w:rPr>
          <w:rFonts w:asciiTheme="minorEastAsia" w:hAnsiTheme="minorEastAsia" w:eastAsiaTheme="minorEastAsia"/>
          <w:sz w:val="24"/>
          <w:highlight w:val="none"/>
        </w:rPr>
        <w:t>或者</w:t>
      </w:r>
      <w:r>
        <w:rPr>
          <w:rFonts w:hint="eastAsia" w:asciiTheme="minorEastAsia" w:hAnsiTheme="minorEastAsia" w:eastAsiaTheme="minorEastAsia"/>
          <w:sz w:val="24"/>
          <w:highlight w:val="none"/>
        </w:rPr>
        <w:t>招标人</w:t>
      </w:r>
      <w:r>
        <w:rPr>
          <w:rFonts w:asciiTheme="minorEastAsia" w:hAnsiTheme="minorEastAsia" w:eastAsiaTheme="minorEastAsia"/>
          <w:sz w:val="24"/>
          <w:highlight w:val="none"/>
        </w:rPr>
        <w:t>委托评标委员会按照招标文件规定的方式确定中标人；招标文件未规定的，采取随机抽取的方式确定。</w:t>
      </w:r>
    </w:p>
    <w:p w14:paraId="44D07D92">
      <w:pPr>
        <w:spacing w:line="360" w:lineRule="auto"/>
        <w:ind w:firstLine="435"/>
        <w:rPr>
          <w:rFonts w:ascii="宋体" w:hAnsi="宋体" w:eastAsia="宋体"/>
          <w:sz w:val="24"/>
          <w:szCs w:val="18"/>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.2</w:t>
      </w:r>
      <w:r>
        <w:rPr>
          <w:rFonts w:hint="eastAsia" w:ascii="宋体" w:hAnsi="宋体" w:eastAsia="宋体"/>
          <w:sz w:val="24"/>
          <w:szCs w:val="18"/>
          <w:highlight w:val="none"/>
        </w:rPr>
        <w:t>自中标人确定之日起2个工作日内，采购代理机构将在安徽省政府采购网（www.ccgp-anhui.gov.cn）上发布中标结果公告。</w:t>
      </w:r>
    </w:p>
    <w:p w14:paraId="0D6E143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23.3</w:t>
      </w:r>
      <w:r>
        <w:rPr>
          <w:rFonts w:asciiTheme="minorEastAsia" w:hAnsiTheme="minorEastAsia" w:eastAsiaTheme="minorEastAsia"/>
          <w:sz w:val="24"/>
          <w:highlight w:val="none"/>
        </w:rPr>
        <w:t>中标结果公告内容应当包括</w:t>
      </w:r>
      <w:r>
        <w:rPr>
          <w:rFonts w:hint="eastAsia" w:asciiTheme="minorEastAsia" w:hAnsiTheme="minorEastAsia" w:eastAsiaTheme="minorEastAsia"/>
          <w:sz w:val="24"/>
          <w:highlight w:val="none"/>
        </w:rPr>
        <w:t>招标人</w:t>
      </w:r>
      <w:r>
        <w:rPr>
          <w:rFonts w:asciiTheme="minorEastAsia" w:hAnsiTheme="minorEastAsia" w:eastAsiaTheme="minorEastAsia"/>
          <w:sz w:val="24"/>
          <w:highlight w:val="none"/>
        </w:rPr>
        <w:t>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sz w:val="24"/>
          <w:highlight w:val="none"/>
          <w:u w:val="single"/>
        </w:rPr>
        <w:t>投标人须知前附表</w:t>
      </w:r>
      <w:r>
        <w:rPr>
          <w:rFonts w:asciiTheme="minorEastAsia" w:hAnsiTheme="minorEastAsia" w:eastAsiaTheme="minorEastAsia"/>
          <w:sz w:val="24"/>
          <w:highlight w:val="none"/>
        </w:rPr>
        <w:t>中约定进行公告的内容。中标公告期限为1个工作日。</w:t>
      </w:r>
    </w:p>
    <w:p w14:paraId="530A7B70">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中标通知书</w:t>
      </w:r>
    </w:p>
    <w:p w14:paraId="542E6262">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.1采购代理机构</w:t>
      </w:r>
      <w:r>
        <w:rPr>
          <w:rFonts w:ascii="宋体" w:hAnsi="宋体" w:eastAsia="宋体"/>
          <w:sz w:val="24"/>
          <w:highlight w:val="none"/>
        </w:rPr>
        <w:t>发布</w:t>
      </w:r>
      <w:r>
        <w:rPr>
          <w:rFonts w:asciiTheme="minorEastAsia" w:hAnsiTheme="minorEastAsia" w:eastAsiaTheme="minorEastAsia"/>
          <w:sz w:val="24"/>
          <w:highlight w:val="none"/>
        </w:rPr>
        <w:t>中标结果公告</w:t>
      </w:r>
      <w:r>
        <w:rPr>
          <w:rFonts w:hint="eastAsia" w:asciiTheme="minorEastAsia" w:hAnsiTheme="minorEastAsia" w:eastAsiaTheme="minorEastAsia"/>
          <w:iCs/>
          <w:sz w:val="24"/>
          <w:highlight w:val="none"/>
        </w:rPr>
        <w:t>的</w:t>
      </w:r>
      <w:r>
        <w:rPr>
          <w:rFonts w:asciiTheme="minorEastAsia" w:hAnsiTheme="minorEastAsia" w:eastAsiaTheme="minorEastAsia"/>
          <w:sz w:val="24"/>
          <w:highlight w:val="none"/>
        </w:rPr>
        <w:t>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形式向中标人发出中标通知书。</w:t>
      </w:r>
    </w:p>
    <w:p w14:paraId="12813C9F">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.2中标通知书对</w:t>
      </w:r>
      <w:r>
        <w:rPr>
          <w:rFonts w:hint="eastAsia" w:asciiTheme="minorEastAsia" w:hAnsiTheme="minorEastAsia" w:eastAsiaTheme="minorEastAsia"/>
          <w:sz w:val="24"/>
          <w:highlight w:val="none"/>
        </w:rPr>
        <w:t>招标人</w:t>
      </w:r>
      <w:r>
        <w:rPr>
          <w:rFonts w:asciiTheme="minorEastAsia" w:hAnsiTheme="minorEastAsia" w:eastAsiaTheme="minorEastAsia"/>
          <w:sz w:val="24"/>
          <w:highlight w:val="none"/>
        </w:rPr>
        <w:t>和中标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具有同等法律效力。中标通知书发出以后，</w:t>
      </w:r>
      <w:r>
        <w:rPr>
          <w:rFonts w:hint="eastAsia" w:asciiTheme="minorEastAsia" w:hAnsiTheme="minorEastAsia" w:eastAsiaTheme="minorEastAsia"/>
          <w:sz w:val="24"/>
          <w:highlight w:val="none"/>
        </w:rPr>
        <w:t>招标人</w:t>
      </w:r>
      <w:r>
        <w:rPr>
          <w:rFonts w:asciiTheme="minorEastAsia" w:hAnsiTheme="minorEastAsia" w:eastAsiaTheme="minorEastAsia"/>
          <w:sz w:val="24"/>
          <w:highlight w:val="none"/>
        </w:rPr>
        <w:t>改变中标结果或者中标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放弃中标，应当承担相应的法律责任。</w:t>
      </w:r>
    </w:p>
    <w:p w14:paraId="02FF4C46">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.3中标通知书是</w:t>
      </w:r>
      <w:r>
        <w:rPr>
          <w:rFonts w:ascii="宋体" w:hAnsi="宋体" w:eastAsia="宋体"/>
          <w:sz w:val="24"/>
          <w:highlight w:val="none"/>
        </w:rPr>
        <w:t>合同</w:t>
      </w:r>
      <w:r>
        <w:rPr>
          <w:rFonts w:asciiTheme="minorEastAsia" w:hAnsiTheme="minorEastAsia" w:eastAsiaTheme="minorEastAsia"/>
          <w:sz w:val="24"/>
          <w:highlight w:val="none"/>
        </w:rPr>
        <w:t>的组成部分。</w:t>
      </w:r>
    </w:p>
    <w:p w14:paraId="171DC8DD">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告知招标结果</w:t>
      </w:r>
    </w:p>
    <w:p w14:paraId="6CAF78F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25</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在公告</w:t>
      </w:r>
      <w:r>
        <w:rPr>
          <w:rFonts w:asciiTheme="minorEastAsia" w:hAnsiTheme="minorEastAsia" w:eastAsiaTheme="minorEastAsia"/>
          <w:sz w:val="24"/>
          <w:highlight w:val="none"/>
        </w:rPr>
        <w:t>中标结果的同时，采购代理机构同时以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w:t>
      </w:r>
      <w:r>
        <w:rPr>
          <w:rFonts w:hint="eastAsia" w:asciiTheme="minorEastAsia" w:hAnsiTheme="minorEastAsia" w:eastAsiaTheme="minorEastAsia"/>
          <w:sz w:val="24"/>
          <w:highlight w:val="none"/>
        </w:rPr>
        <w:t>告知未通过资格审查的投标人未通过的原因；采用综合评分法评审的，还将告知未中标人本人的评审得分和排序。</w:t>
      </w:r>
    </w:p>
    <w:p w14:paraId="22BF77F0">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26</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履约保证金</w:t>
      </w:r>
    </w:p>
    <w:p w14:paraId="266909A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26.1中标人应按照</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规定缴纳履约保证金。</w:t>
      </w:r>
    </w:p>
    <w:p w14:paraId="26A33E5B">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26.</w:t>
      </w:r>
      <w:r>
        <w:rPr>
          <w:rFonts w:asciiTheme="minorEastAsia" w:hAnsiTheme="minorEastAsia" w:eastAsiaTheme="minorEastAsia"/>
          <w:sz w:val="24"/>
          <w:highlight w:val="none"/>
        </w:rPr>
        <w:t>2</w:t>
      </w:r>
      <w:r>
        <w:rPr>
          <w:rFonts w:hint="eastAsia" w:ascii="宋体" w:hAnsi="宋体" w:eastAsia="宋体"/>
          <w:sz w:val="24"/>
          <w:highlight w:val="none"/>
        </w:rPr>
        <w:t>如果</w:t>
      </w:r>
      <w:r>
        <w:rPr>
          <w:rFonts w:hint="eastAsia" w:asciiTheme="minorEastAsia" w:hAnsiTheme="minorEastAsia" w:eastAsiaTheme="minorEastAsia"/>
          <w:sz w:val="24"/>
          <w:highlight w:val="none"/>
        </w:rPr>
        <w:t>中标人没有按照上述履约保证金的规定执行，将视为放弃中标资格。在此情况下，招标人可</w:t>
      </w:r>
      <w:r>
        <w:rPr>
          <w:rFonts w:asciiTheme="minorEastAsia" w:hAnsiTheme="minorEastAsia" w:eastAsiaTheme="minorEastAsia"/>
          <w:sz w:val="24"/>
          <w:highlight w:val="none"/>
        </w:rPr>
        <w:t>确定下一</w:t>
      </w:r>
      <w:r>
        <w:rPr>
          <w:rFonts w:hint="eastAsia" w:ascii="宋体" w:hAnsi="宋体" w:eastAsia="宋体"/>
          <w:sz w:val="24"/>
          <w:highlight w:val="none"/>
        </w:rPr>
        <w:t>中标</w:t>
      </w:r>
      <w:r>
        <w:rPr>
          <w:rFonts w:hint="eastAsia" w:asciiTheme="minorEastAsia" w:hAnsiTheme="minorEastAsia" w:eastAsiaTheme="minorEastAsia"/>
          <w:sz w:val="24"/>
          <w:highlight w:val="none"/>
        </w:rPr>
        <w:t>候选</w:t>
      </w:r>
      <w:r>
        <w:rPr>
          <w:rFonts w:asciiTheme="minorEastAsia" w:hAnsiTheme="minorEastAsia" w:eastAsiaTheme="minorEastAsia"/>
          <w:sz w:val="24"/>
          <w:highlight w:val="none"/>
        </w:rPr>
        <w:t>人为中标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，也可以重新开展采购活动。</w:t>
      </w:r>
    </w:p>
    <w:p w14:paraId="5F9BECDE">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27</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签订合同</w:t>
      </w:r>
    </w:p>
    <w:p w14:paraId="7BDAE93F">
      <w:pPr>
        <w:spacing w:line="360" w:lineRule="auto"/>
        <w:ind w:firstLine="435"/>
        <w:rPr>
          <w:rFonts w:ascii="宋体" w:hAnsi="宋体" w:eastAsia="宋体"/>
          <w:sz w:val="24"/>
          <w:highlight w:val="none"/>
        </w:rPr>
      </w:pPr>
      <w:r>
        <w:rPr>
          <w:rFonts w:hint="eastAsia" w:ascii="宋体" w:hAnsi="宋体" w:eastAsia="宋体"/>
          <w:sz w:val="24"/>
          <w:highlight w:val="none"/>
        </w:rPr>
        <w:t>27.1</w:t>
      </w:r>
      <w:r>
        <w:rPr>
          <w:rFonts w:hint="eastAsia" w:ascii="宋体" w:hAnsi="宋体" w:eastAsia="宋体" w:cs="宋体"/>
          <w:sz w:val="24"/>
          <w:szCs w:val="24"/>
          <w:highlight w:val="none"/>
        </w:rPr>
        <w:t>招标人与中标人应当按照</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规定的时间内完成政府采购合同签订及合同公告。</w:t>
      </w:r>
    </w:p>
    <w:p w14:paraId="1833059C">
      <w:pPr>
        <w:spacing w:line="360" w:lineRule="auto"/>
        <w:ind w:firstLine="435"/>
        <w:rPr>
          <w:rFonts w:ascii="宋体" w:hAnsi="宋体" w:eastAsia="宋体"/>
          <w:sz w:val="24"/>
          <w:highlight w:val="none"/>
        </w:rPr>
      </w:pPr>
      <w:r>
        <w:rPr>
          <w:rFonts w:hint="eastAsia" w:ascii="宋体" w:hAnsi="宋体" w:eastAsia="宋体"/>
          <w:sz w:val="24"/>
          <w:highlight w:val="none"/>
        </w:rPr>
        <w:t>27.2招标文件、中标人的投标文件及其澄清文件等，均为签订合同的依据。</w:t>
      </w:r>
    </w:p>
    <w:p w14:paraId="786ADE8D">
      <w:pPr>
        <w:spacing w:line="360" w:lineRule="auto"/>
        <w:ind w:firstLine="435"/>
        <w:rPr>
          <w:rFonts w:ascii="宋体" w:hAnsi="宋体" w:eastAsia="宋体"/>
          <w:sz w:val="24"/>
          <w:highlight w:val="none"/>
        </w:rPr>
      </w:pPr>
      <w:r>
        <w:rPr>
          <w:rFonts w:hint="eastAsia" w:ascii="宋体" w:hAnsi="宋体" w:eastAsia="宋体"/>
          <w:sz w:val="24"/>
          <w:highlight w:val="none"/>
        </w:rPr>
        <w:t>27.3中</w:t>
      </w:r>
      <w:r>
        <w:rPr>
          <w:rFonts w:ascii="宋体" w:hAnsi="宋体" w:eastAsia="宋体"/>
          <w:sz w:val="24"/>
          <w:highlight w:val="none"/>
        </w:rPr>
        <w:t>标</w:t>
      </w:r>
      <w:r>
        <w:rPr>
          <w:rFonts w:hint="eastAsia" w:ascii="宋体" w:hAnsi="宋体" w:eastAsia="宋体"/>
          <w:sz w:val="24"/>
          <w:highlight w:val="none"/>
        </w:rPr>
        <w:t>人</w:t>
      </w:r>
      <w:r>
        <w:rPr>
          <w:rFonts w:ascii="宋体" w:hAnsi="宋体" w:eastAsia="宋体"/>
          <w:sz w:val="24"/>
          <w:highlight w:val="none"/>
        </w:rPr>
        <w:t>拒绝与</w:t>
      </w:r>
      <w:r>
        <w:rPr>
          <w:rFonts w:hint="eastAsia" w:ascii="宋体" w:hAnsi="宋体" w:eastAsia="宋体"/>
          <w:sz w:val="24"/>
          <w:highlight w:val="none"/>
        </w:rPr>
        <w:t>招标人</w:t>
      </w:r>
      <w:r>
        <w:rPr>
          <w:rFonts w:ascii="宋体" w:hAnsi="宋体" w:eastAsia="宋体"/>
          <w:sz w:val="24"/>
          <w:highlight w:val="none"/>
        </w:rPr>
        <w:t>签订合同的，</w:t>
      </w:r>
      <w:r>
        <w:rPr>
          <w:rFonts w:hint="eastAsia" w:ascii="宋体" w:hAnsi="宋体" w:eastAsia="宋体"/>
          <w:sz w:val="24"/>
          <w:highlight w:val="none"/>
        </w:rPr>
        <w:t>招标人</w:t>
      </w:r>
      <w:r>
        <w:rPr>
          <w:rFonts w:ascii="宋体" w:hAnsi="宋体" w:eastAsia="宋体"/>
          <w:sz w:val="24"/>
          <w:highlight w:val="none"/>
        </w:rPr>
        <w:t>可以按照评审报告推荐的中标候选人</w:t>
      </w:r>
      <w:r>
        <w:rPr>
          <w:rFonts w:hint="eastAsia" w:ascii="宋体" w:hAnsi="宋体" w:eastAsia="宋体"/>
          <w:sz w:val="24"/>
          <w:highlight w:val="none"/>
        </w:rPr>
        <w:t>名单</w:t>
      </w:r>
      <w:r>
        <w:rPr>
          <w:rFonts w:ascii="宋体" w:hAnsi="宋体" w:eastAsia="宋体"/>
          <w:sz w:val="24"/>
          <w:highlight w:val="none"/>
        </w:rPr>
        <w:t>排序</w:t>
      </w:r>
      <w:r>
        <w:rPr>
          <w:rFonts w:hint="eastAsia" w:ascii="宋体" w:hAnsi="宋体" w:eastAsia="宋体"/>
          <w:sz w:val="24"/>
          <w:highlight w:val="none"/>
        </w:rPr>
        <w:t>，</w:t>
      </w:r>
      <w:r>
        <w:rPr>
          <w:rFonts w:ascii="宋体" w:hAnsi="宋体" w:eastAsia="宋体"/>
          <w:sz w:val="24"/>
          <w:highlight w:val="none"/>
        </w:rPr>
        <w:t>确定下一</w:t>
      </w:r>
      <w:r>
        <w:rPr>
          <w:rFonts w:hint="eastAsia" w:ascii="宋体" w:hAnsi="宋体" w:eastAsia="宋体"/>
          <w:sz w:val="24"/>
          <w:highlight w:val="none"/>
        </w:rPr>
        <w:t>中标候选</w:t>
      </w:r>
      <w:r>
        <w:rPr>
          <w:rFonts w:ascii="宋体" w:hAnsi="宋体" w:eastAsia="宋体"/>
          <w:sz w:val="24"/>
          <w:highlight w:val="none"/>
        </w:rPr>
        <w:t>人为中标</w:t>
      </w:r>
      <w:r>
        <w:rPr>
          <w:rFonts w:hint="eastAsia" w:ascii="宋体" w:hAnsi="宋体" w:eastAsia="宋体"/>
          <w:sz w:val="24"/>
          <w:highlight w:val="none"/>
        </w:rPr>
        <w:t>人</w:t>
      </w:r>
      <w:r>
        <w:rPr>
          <w:rFonts w:ascii="宋体" w:hAnsi="宋体" w:eastAsia="宋体"/>
          <w:sz w:val="24"/>
          <w:highlight w:val="none"/>
        </w:rPr>
        <w:t>，也可以重新开展政府采购活动。</w:t>
      </w:r>
    </w:p>
    <w:p w14:paraId="36E8BFDC">
      <w:pPr>
        <w:spacing w:line="360" w:lineRule="auto"/>
        <w:ind w:firstLine="435"/>
        <w:rPr>
          <w:rFonts w:ascii="宋体" w:hAnsi="宋体" w:eastAsia="宋体"/>
          <w:sz w:val="24"/>
          <w:highlight w:val="none"/>
        </w:rPr>
      </w:pPr>
      <w:r>
        <w:rPr>
          <w:rFonts w:hint="eastAsia" w:ascii="宋体" w:hAnsi="宋体" w:eastAsia="宋体"/>
          <w:sz w:val="24"/>
          <w:highlight w:val="none"/>
        </w:rPr>
        <w:t>27.4依据《政府采购促进中小企业发展管理办法》（财库〔</w:t>
      </w:r>
      <w:r>
        <w:rPr>
          <w:rFonts w:ascii="宋体" w:hAnsi="宋体" w:eastAsia="宋体"/>
          <w:sz w:val="24"/>
          <w:highlight w:val="none"/>
        </w:rPr>
        <w:t>2020〕46号</w:t>
      </w:r>
      <w:r>
        <w:rPr>
          <w:rFonts w:hint="eastAsia" w:ascii="宋体" w:hAnsi="宋体" w:eastAsia="宋体"/>
          <w:sz w:val="24"/>
          <w:highlight w:val="none"/>
        </w:rPr>
        <w:t>）规定享受扶持政策获得政府采购合同的，小微企业不得将合同分包给大中型企业，中型企业不得将合同分包给大型企业。</w:t>
      </w:r>
    </w:p>
    <w:p w14:paraId="1A151F7C">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代理费用</w:t>
      </w:r>
    </w:p>
    <w:p w14:paraId="3765933E">
      <w:pPr>
        <w:spacing w:line="360" w:lineRule="auto"/>
        <w:ind w:firstLine="435"/>
        <w:rPr>
          <w:rFonts w:ascii="宋体" w:hAnsi="宋体" w:eastAsia="宋体"/>
          <w:sz w:val="24"/>
          <w:highlight w:val="none"/>
        </w:rPr>
      </w:pPr>
      <w:r>
        <w:rPr>
          <w:rFonts w:hint="eastAsia" w:ascii="宋体" w:hAnsi="宋体" w:eastAsia="宋体"/>
          <w:sz w:val="24"/>
          <w:highlight w:val="none"/>
        </w:rPr>
        <w:t>28</w:t>
      </w:r>
      <w:r>
        <w:rPr>
          <w:rFonts w:ascii="宋体" w:hAnsi="宋体" w:eastAsia="宋体"/>
          <w:sz w:val="24"/>
          <w:highlight w:val="none"/>
        </w:rPr>
        <w:t>.1</w:t>
      </w:r>
      <w:r>
        <w:rPr>
          <w:rFonts w:hint="eastAsia" w:ascii="宋体" w:hAnsi="宋体" w:eastAsia="宋体"/>
          <w:sz w:val="24"/>
          <w:highlight w:val="none"/>
        </w:rPr>
        <w:t>本项目代理费用的收取按</w:t>
      </w:r>
      <w:r>
        <w:rPr>
          <w:rFonts w:hint="eastAsia" w:asciiTheme="minorEastAsia" w:hAnsiTheme="minorEastAsia" w:eastAsiaTheme="minorEastAsia"/>
          <w:sz w:val="24"/>
          <w:highlight w:val="none"/>
          <w:u w:val="single"/>
        </w:rPr>
        <w:t>投标人须知前附表的</w:t>
      </w:r>
      <w:r>
        <w:rPr>
          <w:rFonts w:hint="eastAsia" w:ascii="宋体" w:hAnsi="宋体" w:eastAsia="宋体"/>
          <w:sz w:val="24"/>
          <w:highlight w:val="none"/>
        </w:rPr>
        <w:t>规定执行</w:t>
      </w:r>
      <w:r>
        <w:rPr>
          <w:rFonts w:hint="eastAsia" w:asciiTheme="minorEastAsia" w:hAnsiTheme="minorEastAsia" w:eastAsiaTheme="minorEastAsia"/>
          <w:sz w:val="24"/>
          <w:highlight w:val="none"/>
        </w:rPr>
        <w:t>。</w:t>
      </w:r>
    </w:p>
    <w:p w14:paraId="4ECE7808">
      <w:pPr>
        <w:spacing w:line="360" w:lineRule="auto"/>
        <w:ind w:firstLine="437"/>
        <w:outlineLvl w:val="2"/>
        <w:rPr>
          <w:rFonts w:asciiTheme="minorEastAsia" w:hAnsiTheme="minorEastAsia" w:eastAsiaTheme="minorEastAsia"/>
          <w:b/>
          <w:sz w:val="24"/>
          <w:highlight w:val="none"/>
        </w:rPr>
      </w:pPr>
      <w:bookmarkStart w:id="26" w:name="_Toc518923100"/>
      <w:bookmarkStart w:id="27" w:name="_Toc2583661"/>
      <w:r>
        <w:rPr>
          <w:rFonts w:hint="eastAsia" w:asciiTheme="minorEastAsia" w:hAnsiTheme="minorEastAsia" w:eastAsiaTheme="minorEastAsia"/>
          <w:b/>
          <w:sz w:val="24"/>
          <w:highlight w:val="none"/>
        </w:rPr>
        <w:t>29.廉洁自律</w:t>
      </w:r>
      <w:r>
        <w:rPr>
          <w:rFonts w:asciiTheme="minorEastAsia" w:hAnsiTheme="minorEastAsia" w:eastAsiaTheme="minorEastAsia"/>
          <w:b/>
          <w:sz w:val="24"/>
          <w:highlight w:val="none"/>
        </w:rPr>
        <w:t>规定</w:t>
      </w:r>
      <w:bookmarkEnd w:id="26"/>
      <w:bookmarkEnd w:id="27"/>
    </w:p>
    <w:p w14:paraId="61DFA1D2">
      <w:pPr>
        <w:spacing w:line="360" w:lineRule="auto"/>
        <w:ind w:firstLine="435"/>
        <w:rPr>
          <w:rFonts w:ascii="宋体" w:hAnsi="宋体" w:eastAsia="宋体"/>
          <w:sz w:val="24"/>
          <w:highlight w:val="none"/>
        </w:rPr>
      </w:pPr>
      <w:r>
        <w:rPr>
          <w:rFonts w:hint="eastAsia" w:ascii="宋体" w:hAnsi="宋体" w:eastAsia="宋体"/>
          <w:sz w:val="24"/>
          <w:highlight w:val="none"/>
        </w:rPr>
        <w:t>29.1采购代理机构</w:t>
      </w:r>
      <w:r>
        <w:rPr>
          <w:rFonts w:ascii="宋体" w:hAnsi="宋体" w:eastAsia="宋体"/>
          <w:sz w:val="24"/>
          <w:highlight w:val="none"/>
        </w:rPr>
        <w:t>工作人员</w:t>
      </w:r>
      <w:r>
        <w:rPr>
          <w:rFonts w:hint="eastAsia" w:ascii="宋体" w:hAnsi="宋体" w:eastAsia="宋体"/>
          <w:sz w:val="24"/>
          <w:highlight w:val="none"/>
        </w:rPr>
        <w:t>不得以不正当手段获取政府采购代理业务，不得与招标人、供应商恶意串通。</w:t>
      </w:r>
    </w:p>
    <w:p w14:paraId="5B4FEA1A">
      <w:pPr>
        <w:spacing w:line="360" w:lineRule="auto"/>
        <w:ind w:firstLine="435"/>
        <w:rPr>
          <w:rFonts w:ascii="宋体" w:hAnsi="宋体" w:eastAsia="宋体"/>
          <w:sz w:val="24"/>
          <w:highlight w:val="none"/>
        </w:rPr>
      </w:pPr>
      <w:r>
        <w:rPr>
          <w:rFonts w:hint="eastAsia" w:ascii="宋体" w:hAnsi="宋体" w:eastAsia="宋体"/>
          <w:sz w:val="24"/>
          <w:highlight w:val="none"/>
        </w:rPr>
        <w:t>29.</w:t>
      </w:r>
      <w:r>
        <w:rPr>
          <w:rFonts w:ascii="宋体" w:hAnsi="宋体" w:eastAsia="宋体"/>
          <w:sz w:val="24"/>
          <w:highlight w:val="none"/>
        </w:rPr>
        <w:t>2</w:t>
      </w:r>
      <w:r>
        <w:rPr>
          <w:rFonts w:hint="eastAsia" w:ascii="宋体" w:hAnsi="宋体" w:eastAsia="宋体"/>
          <w:sz w:val="24"/>
          <w:highlight w:val="none"/>
        </w:rPr>
        <w:t>采购代理机构工作人员不得接受招标人或者供应商组织的宴请、旅游、娱乐，不得收受礼品、现金、有价证券等，不得向招标人或者供应商报销应当由个人承担的费用。</w:t>
      </w:r>
    </w:p>
    <w:p w14:paraId="23D4C81B">
      <w:pPr>
        <w:spacing w:line="360" w:lineRule="auto"/>
        <w:ind w:firstLine="437"/>
        <w:outlineLvl w:val="2"/>
        <w:rPr>
          <w:rFonts w:asciiTheme="minorEastAsia" w:hAnsiTheme="minorEastAsia" w:eastAsiaTheme="minorEastAsia"/>
          <w:b/>
          <w:sz w:val="24"/>
          <w:highlight w:val="none"/>
        </w:rPr>
      </w:pPr>
      <w:bookmarkStart w:id="28" w:name="_Toc2583662"/>
      <w:bookmarkStart w:id="29" w:name="_Toc518923101"/>
      <w:r>
        <w:rPr>
          <w:rFonts w:hint="eastAsia" w:asciiTheme="minorEastAsia" w:hAnsiTheme="minorEastAsia" w:eastAsiaTheme="minorEastAsia"/>
          <w:b/>
          <w:sz w:val="24"/>
          <w:highlight w:val="none"/>
        </w:rPr>
        <w:t>30.人员回避</w:t>
      </w:r>
      <w:bookmarkEnd w:id="28"/>
      <w:bookmarkEnd w:id="29"/>
    </w:p>
    <w:p w14:paraId="350D736C">
      <w:pPr>
        <w:spacing w:line="360" w:lineRule="auto"/>
        <w:ind w:firstLine="435"/>
        <w:rPr>
          <w:rFonts w:ascii="仿宋_GB2312" w:hAnsi="宋体" w:eastAsia="仿宋_GB2312"/>
          <w:sz w:val="24"/>
          <w:highlight w:val="none"/>
        </w:rPr>
      </w:pPr>
      <w:r>
        <w:rPr>
          <w:rFonts w:hint="eastAsia" w:ascii="宋体" w:hAnsi="宋体" w:eastAsia="宋体"/>
          <w:sz w:val="24"/>
          <w:highlight w:val="none"/>
        </w:rPr>
        <w:t>投标人</w:t>
      </w:r>
      <w:r>
        <w:rPr>
          <w:rFonts w:ascii="宋体" w:hAnsi="宋体" w:eastAsia="宋体"/>
          <w:sz w:val="24"/>
          <w:highlight w:val="none"/>
        </w:rPr>
        <w:t>认为</w:t>
      </w:r>
      <w:r>
        <w:rPr>
          <w:rFonts w:hint="eastAsia" w:ascii="宋体" w:hAnsi="宋体" w:eastAsia="宋体"/>
          <w:sz w:val="24"/>
          <w:highlight w:val="none"/>
        </w:rPr>
        <w:t>招标人</w:t>
      </w:r>
      <w:r>
        <w:rPr>
          <w:rFonts w:ascii="宋体" w:hAnsi="宋体" w:eastAsia="宋体"/>
          <w:sz w:val="24"/>
          <w:highlight w:val="none"/>
        </w:rPr>
        <w:t>员</w:t>
      </w:r>
      <w:r>
        <w:rPr>
          <w:rFonts w:hint="eastAsia" w:ascii="宋体" w:hAnsi="宋体" w:eastAsia="宋体"/>
          <w:sz w:val="24"/>
          <w:highlight w:val="none"/>
        </w:rPr>
        <w:t>及其</w:t>
      </w:r>
      <w:r>
        <w:rPr>
          <w:rFonts w:ascii="宋体" w:hAnsi="宋体" w:eastAsia="宋体"/>
          <w:sz w:val="24"/>
          <w:highlight w:val="none"/>
        </w:rPr>
        <w:t>相关人员有</w:t>
      </w:r>
      <w:r>
        <w:rPr>
          <w:rFonts w:hint="eastAsia" w:ascii="宋体" w:hAnsi="宋体" w:eastAsia="宋体"/>
          <w:sz w:val="24"/>
          <w:highlight w:val="none"/>
        </w:rPr>
        <w:t>法律</w:t>
      </w:r>
      <w:r>
        <w:rPr>
          <w:rFonts w:ascii="宋体" w:hAnsi="宋体" w:eastAsia="宋体"/>
          <w:sz w:val="24"/>
          <w:highlight w:val="none"/>
        </w:rPr>
        <w:t>法规所列与其他供应商</w:t>
      </w:r>
      <w:r>
        <w:rPr>
          <w:rFonts w:hint="eastAsia" w:ascii="宋体" w:hAnsi="宋体" w:eastAsia="宋体"/>
          <w:sz w:val="24"/>
          <w:highlight w:val="none"/>
        </w:rPr>
        <w:t>有</w:t>
      </w:r>
      <w:r>
        <w:rPr>
          <w:rFonts w:ascii="宋体" w:hAnsi="宋体" w:eastAsia="宋体"/>
          <w:sz w:val="24"/>
          <w:highlight w:val="none"/>
        </w:rPr>
        <w:t>利害关系的，可以向</w:t>
      </w:r>
      <w:r>
        <w:rPr>
          <w:rFonts w:hint="eastAsia" w:ascii="宋体" w:hAnsi="宋体" w:eastAsia="宋体"/>
          <w:sz w:val="24"/>
          <w:highlight w:val="none"/>
        </w:rPr>
        <w:t>招标人或</w:t>
      </w:r>
      <w:r>
        <w:rPr>
          <w:rFonts w:ascii="宋体" w:hAnsi="宋体" w:eastAsia="宋体"/>
          <w:sz w:val="24"/>
          <w:highlight w:val="none"/>
        </w:rPr>
        <w:t>采购代理机构书面提出回避申请，并说明理由。</w:t>
      </w:r>
    </w:p>
    <w:p w14:paraId="6011D83D">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质疑的提出与接收</w:t>
      </w:r>
    </w:p>
    <w:p w14:paraId="27A18C7B">
      <w:pPr>
        <w:spacing w:line="360" w:lineRule="auto"/>
        <w:ind w:firstLine="435"/>
        <w:rPr>
          <w:rFonts w:ascii="宋体" w:hAnsi="宋体" w:eastAsia="宋体"/>
          <w:sz w:val="24"/>
          <w:highlight w:val="none"/>
        </w:rPr>
      </w:pPr>
      <w:r>
        <w:rPr>
          <w:rFonts w:hint="eastAsia" w:ascii="宋体" w:hAnsi="宋体" w:eastAsia="宋体"/>
          <w:sz w:val="24"/>
          <w:highlight w:val="none"/>
        </w:rPr>
        <w:t>31.1投标人认为招标文件、招标过程和中标结果使自己的权益受到损害的，可以在知道或者应知其权益受到损害之日起七个工作日内，以书面形式向招标人或其委托的采购代理机构提出质疑。</w:t>
      </w:r>
    </w:p>
    <w:p w14:paraId="7B9708DF">
      <w:pPr>
        <w:spacing w:line="360" w:lineRule="auto"/>
        <w:ind w:firstLine="435"/>
        <w:rPr>
          <w:rFonts w:ascii="宋体" w:hAnsi="宋体" w:eastAsia="宋体"/>
          <w:sz w:val="24"/>
          <w:highlight w:val="none"/>
        </w:rPr>
      </w:pPr>
      <w:r>
        <w:rPr>
          <w:rFonts w:hint="eastAsia" w:ascii="宋体" w:hAnsi="宋体" w:eastAsia="宋体"/>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6C3C4A12">
      <w:pPr>
        <w:spacing w:line="360" w:lineRule="auto"/>
        <w:ind w:firstLine="435"/>
        <w:rPr>
          <w:rFonts w:ascii="宋体" w:hAnsi="宋体" w:eastAsia="宋体"/>
          <w:sz w:val="24"/>
          <w:highlight w:val="none"/>
        </w:rPr>
      </w:pPr>
      <w:r>
        <w:rPr>
          <w:rFonts w:hint="eastAsia" w:ascii="宋体" w:hAnsi="宋体" w:eastAsia="宋体"/>
          <w:sz w:val="24"/>
          <w:highlight w:val="none"/>
        </w:rPr>
        <w:t>31.3采购代理机构质疑函接收部门、联系电话和通讯地址，见</w:t>
      </w:r>
      <w:r>
        <w:rPr>
          <w:rFonts w:hint="eastAsia" w:ascii="宋体" w:hAnsi="宋体" w:eastAsia="宋体"/>
          <w:sz w:val="24"/>
          <w:highlight w:val="none"/>
          <w:u w:val="single"/>
        </w:rPr>
        <w:t>投标人须知前附表</w:t>
      </w:r>
      <w:r>
        <w:rPr>
          <w:rFonts w:hint="eastAsia" w:ascii="宋体" w:hAnsi="宋体" w:eastAsia="宋体"/>
          <w:sz w:val="24"/>
          <w:highlight w:val="none"/>
        </w:rPr>
        <w:t>。</w:t>
      </w:r>
    </w:p>
    <w:p w14:paraId="5FF28681">
      <w:pPr>
        <w:spacing w:line="360" w:lineRule="auto"/>
        <w:ind w:firstLine="435"/>
        <w:rPr>
          <w:rFonts w:ascii="宋体" w:hAnsi="宋体" w:eastAsia="宋体"/>
          <w:sz w:val="24"/>
          <w:highlight w:val="none"/>
        </w:rPr>
      </w:pPr>
      <w:r>
        <w:rPr>
          <w:rFonts w:hint="eastAsia" w:ascii="宋体" w:hAnsi="宋体" w:eastAsia="宋体"/>
          <w:sz w:val="24"/>
          <w:highlight w:val="none"/>
        </w:rPr>
        <w:t>注：上述条款中所要求的书面形式包含通过电子交易系统递交方式。</w:t>
      </w:r>
    </w:p>
    <w:p w14:paraId="761EE757">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需要补充的其他内容</w:t>
      </w:r>
    </w:p>
    <w:p w14:paraId="1A9DE4B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需要补充的其他内容，见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365B76AD">
      <w:pPr>
        <w:widowControl/>
        <w:jc w:val="left"/>
        <w:rPr>
          <w:rFonts w:asciiTheme="minorEastAsia" w:hAnsiTheme="minorEastAsia" w:eastAsiaTheme="minorEastAsia"/>
          <w:b/>
          <w:sz w:val="28"/>
          <w:highlight w:val="none"/>
        </w:rPr>
      </w:pPr>
      <w:r>
        <w:rPr>
          <w:rFonts w:asciiTheme="minorEastAsia" w:hAnsiTheme="minorEastAsia" w:eastAsiaTheme="minorEastAsia"/>
          <w:sz w:val="24"/>
          <w:highlight w:val="none"/>
        </w:rPr>
        <w:br w:type="page"/>
      </w:r>
    </w:p>
    <w:p w14:paraId="6DE4A7E8">
      <w:pPr>
        <w:numPr>
          <w:ilvl w:val="0"/>
          <w:numId w:val="1"/>
        </w:numPr>
        <w:spacing w:line="360" w:lineRule="auto"/>
        <w:jc w:val="center"/>
        <w:outlineLvl w:val="0"/>
        <w:rPr>
          <w:rFonts w:asciiTheme="minorEastAsia" w:hAnsiTheme="minorEastAsia" w:eastAsiaTheme="minorEastAsia"/>
          <w:b/>
          <w:sz w:val="28"/>
          <w:highlight w:val="none"/>
        </w:rPr>
      </w:pPr>
      <w:r>
        <w:rPr>
          <w:rFonts w:hint="eastAsia" w:asciiTheme="minorEastAsia" w:hAnsiTheme="minorEastAsia" w:eastAsiaTheme="minorEastAsia"/>
          <w:b/>
          <w:sz w:val="28"/>
          <w:highlight w:val="none"/>
        </w:rPr>
        <w:t xml:space="preserve"> </w:t>
      </w:r>
      <w:bookmarkStart w:id="30" w:name="_Toc22605"/>
      <w:r>
        <w:rPr>
          <w:rFonts w:hint="eastAsia" w:asciiTheme="minorEastAsia" w:hAnsiTheme="minorEastAsia" w:eastAsiaTheme="minorEastAsia"/>
          <w:b/>
          <w:sz w:val="28"/>
          <w:highlight w:val="none"/>
        </w:rPr>
        <w:t>采购需求</w:t>
      </w:r>
      <w:bookmarkEnd w:id="30"/>
    </w:p>
    <w:p w14:paraId="780A600C">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前注：</w:t>
      </w:r>
    </w:p>
    <w:p w14:paraId="4113946F">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1.本采购需求中提出的服务方案仅为参考，如无明确限制，投标人可以进行优化，提供满足招标人实际需要的更优（或者性能实质上不低于的）服务方案，且此方案须经评标委员会评审认可。</w:t>
      </w:r>
    </w:p>
    <w:p w14:paraId="27324BB4">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rPr>
        <w:t>）：</w:t>
      </w:r>
    </w:p>
    <w:p w14:paraId="4F8F0903">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3D59A303">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招标人将对包装材料和运输环节作为履约验收条款进行验收。</w:t>
      </w:r>
    </w:p>
    <w:p w14:paraId="32CF8BA6">
      <w:pPr>
        <w:spacing w:line="360" w:lineRule="auto"/>
        <w:ind w:firstLine="437"/>
        <w:outlineLvl w:val="1"/>
        <w:rPr>
          <w:rFonts w:ascii="宋体" w:hAnsi="宋体" w:eastAsia="宋体"/>
          <w:b/>
          <w:sz w:val="24"/>
          <w:szCs w:val="18"/>
          <w:highlight w:val="none"/>
        </w:rPr>
      </w:pPr>
      <w:bookmarkStart w:id="31" w:name="_Toc4148"/>
      <w:bookmarkStart w:id="32" w:name="_Toc21798"/>
      <w:bookmarkStart w:id="33" w:name="_Hlk23621890"/>
      <w:r>
        <w:rPr>
          <w:rFonts w:hint="eastAsia" w:ascii="宋体" w:hAnsi="宋体" w:eastAsia="宋体"/>
          <w:b/>
          <w:sz w:val="24"/>
          <w:szCs w:val="18"/>
          <w:highlight w:val="none"/>
        </w:rPr>
        <w:t>一、采购需求前附表</w:t>
      </w:r>
      <w:bookmarkEnd w:id="31"/>
      <w:bookmarkEnd w:id="32"/>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094A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F2D25D0">
            <w:pPr>
              <w:pStyle w:val="33"/>
              <w:pBdr>
                <w:bottom w:val="none" w:color="auto" w:sz="0" w:space="0"/>
              </w:pBdr>
              <w:tabs>
                <w:tab w:val="clear" w:pos="4153"/>
                <w:tab w:val="clear" w:pos="8306"/>
              </w:tabs>
              <w:adjustRightInd/>
              <w:spacing w:line="240" w:lineRule="auto"/>
              <w:textAlignment w:val="auto"/>
              <w:rPr>
                <w:rFonts w:ascii="宋体" w:hAnsi="宋体" w:eastAsia="宋体"/>
                <w:b/>
                <w:kern w:val="2"/>
                <w:highlight w:val="none"/>
              </w:rPr>
            </w:pPr>
            <w:r>
              <w:rPr>
                <w:rFonts w:hint="eastAsia" w:ascii="宋体" w:hAnsi="宋体" w:eastAsia="宋体"/>
                <w:b/>
                <w:kern w:val="2"/>
                <w:highlight w:val="none"/>
              </w:rPr>
              <w:t>序号</w:t>
            </w:r>
          </w:p>
        </w:tc>
        <w:tc>
          <w:tcPr>
            <w:tcW w:w="1192" w:type="pct"/>
            <w:vAlign w:val="center"/>
          </w:tcPr>
          <w:p w14:paraId="6210737A">
            <w:pPr>
              <w:pStyle w:val="32"/>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条款名称</w:t>
            </w:r>
          </w:p>
        </w:tc>
        <w:tc>
          <w:tcPr>
            <w:tcW w:w="3217" w:type="pct"/>
            <w:vAlign w:val="center"/>
          </w:tcPr>
          <w:p w14:paraId="2C2B0423">
            <w:pPr>
              <w:pStyle w:val="32"/>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内容、说明与要求</w:t>
            </w:r>
          </w:p>
        </w:tc>
      </w:tr>
      <w:tr w14:paraId="593A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0" w:type="pct"/>
            <w:vAlign w:val="center"/>
          </w:tcPr>
          <w:p w14:paraId="0744CBB5">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w:t>
            </w:r>
          </w:p>
        </w:tc>
        <w:tc>
          <w:tcPr>
            <w:tcW w:w="1192" w:type="pct"/>
            <w:vAlign w:val="center"/>
          </w:tcPr>
          <w:p w14:paraId="75479A65">
            <w:pPr>
              <w:pStyle w:val="32"/>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付款方式</w:t>
            </w:r>
          </w:p>
        </w:tc>
        <w:tc>
          <w:tcPr>
            <w:tcW w:w="3217" w:type="pct"/>
            <w:vAlign w:val="center"/>
          </w:tcPr>
          <w:p w14:paraId="56FB0502">
            <w:pPr>
              <w:pStyle w:val="32"/>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sz w:val="24"/>
                <w:highlight w:val="none"/>
                <w:u w:val="single"/>
              </w:rPr>
              <w:t>(1)根据施工单位进度，随施工进度款支付比例每月/每节点支付1次。每次支付当期已完合格工程对应监理费用的85%；待工程竣工验收及结算完成后对监理费用进行总结算，在监理人提供合法有效增值税专用发票后支付至监理费用总额的97%，待工程缺陷责任期满后，付至项目结算监理费用的100%。</w:t>
            </w:r>
          </w:p>
          <w:p w14:paraId="76FC025A">
            <w:pPr>
              <w:pStyle w:val="32"/>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sz w:val="24"/>
                <w:highlight w:val="none"/>
                <w:u w:val="single"/>
              </w:rPr>
              <w:t>（2）每笔监理费进度款结算金额根据施工单位进度款结算金额计算。</w:t>
            </w:r>
          </w:p>
          <w:p w14:paraId="3CF334BA">
            <w:pPr>
              <w:pStyle w:val="32"/>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sz w:val="24"/>
                <w:highlight w:val="none"/>
                <w:u w:val="single"/>
              </w:rPr>
              <w:t>(3)当期结算金额=当期核定已完工程量价款×中标监理费费率×85%。</w:t>
            </w:r>
          </w:p>
        </w:tc>
      </w:tr>
      <w:tr w14:paraId="76D6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5F8365F">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w:t>
            </w:r>
          </w:p>
        </w:tc>
        <w:tc>
          <w:tcPr>
            <w:tcW w:w="1192" w:type="pct"/>
            <w:vAlign w:val="center"/>
          </w:tcPr>
          <w:p w14:paraId="0E4ABBFF">
            <w:pPr>
              <w:pStyle w:val="32"/>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服务地点</w:t>
            </w:r>
          </w:p>
        </w:tc>
        <w:tc>
          <w:tcPr>
            <w:tcW w:w="3217" w:type="pct"/>
            <w:vAlign w:val="center"/>
          </w:tcPr>
          <w:p w14:paraId="641AE52D">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u w:val="single"/>
              </w:rPr>
              <w:t>铜陵学院</w:t>
            </w:r>
          </w:p>
        </w:tc>
      </w:tr>
      <w:tr w14:paraId="153B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590" w:type="pct"/>
            <w:vAlign w:val="center"/>
          </w:tcPr>
          <w:p w14:paraId="291F060B">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w:t>
            </w:r>
          </w:p>
        </w:tc>
        <w:tc>
          <w:tcPr>
            <w:tcW w:w="1192" w:type="pct"/>
            <w:vAlign w:val="center"/>
          </w:tcPr>
          <w:p w14:paraId="263791F7">
            <w:pPr>
              <w:pStyle w:val="32"/>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服务期限</w:t>
            </w:r>
          </w:p>
        </w:tc>
        <w:tc>
          <w:tcPr>
            <w:tcW w:w="3217" w:type="pct"/>
            <w:vAlign w:val="center"/>
          </w:tcPr>
          <w:p w14:paraId="3CE76C86">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工程施工准备阶段至工程竣工备案（同施工工期，施工工期约180日历天）直至后期结算审计结束及缺陷责任期满。</w:t>
            </w:r>
          </w:p>
        </w:tc>
      </w:tr>
      <w:tr w14:paraId="495F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990455A">
            <w:pPr>
              <w:pStyle w:val="32"/>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4</w:t>
            </w:r>
          </w:p>
        </w:tc>
        <w:tc>
          <w:tcPr>
            <w:tcW w:w="1192" w:type="pct"/>
            <w:vAlign w:val="center"/>
          </w:tcPr>
          <w:p w14:paraId="4EC15F24">
            <w:pPr>
              <w:pStyle w:val="32"/>
              <w:widowControl w:val="0"/>
              <w:spacing w:before="0" w:beforeAutospacing="0" w:after="0" w:afterAutospacing="0" w:line="360" w:lineRule="auto"/>
              <w:jc w:val="left"/>
              <w:rPr>
                <w:rFonts w:ascii="宋体" w:hAnsi="宋体" w:eastAsia="宋体"/>
                <w:b w:val="0"/>
                <w:sz w:val="24"/>
                <w:highlight w:val="none"/>
              </w:rPr>
            </w:pPr>
            <w:r>
              <w:rPr>
                <w:rFonts w:hint="eastAsia" w:ascii="宋体" w:hAnsi="宋体" w:eastAsia="宋体"/>
                <w:b w:val="0"/>
                <w:sz w:val="24"/>
                <w:highlight w:val="none"/>
              </w:rPr>
              <w:t>本项目采购标的名称及所属行业</w:t>
            </w:r>
          </w:p>
        </w:tc>
        <w:tc>
          <w:tcPr>
            <w:tcW w:w="3217" w:type="pct"/>
            <w:vAlign w:val="center"/>
          </w:tcPr>
          <w:p w14:paraId="6B6BD2EC">
            <w:pPr>
              <w:pStyle w:val="32"/>
              <w:widowControl w:val="0"/>
              <w:spacing w:before="0" w:beforeAutospacing="0" w:after="0" w:afterAutospacing="0" w:line="360" w:lineRule="auto"/>
              <w:jc w:val="left"/>
              <w:rPr>
                <w:rFonts w:ascii="宋体" w:hAnsi="宋体" w:eastAsia="宋体"/>
                <w:b w:val="0"/>
                <w:sz w:val="24"/>
                <w:highlight w:val="none"/>
              </w:rPr>
            </w:pPr>
            <w:r>
              <w:rPr>
                <w:rFonts w:hint="eastAsia" w:ascii="宋体" w:hAnsi="宋体" w:eastAsia="宋体"/>
                <w:b w:val="0"/>
                <w:sz w:val="24"/>
                <w:highlight w:val="none"/>
              </w:rPr>
              <w:t>标的名称：铜陵学院育秀校区维修改造工程全过程监理项目</w:t>
            </w:r>
          </w:p>
          <w:p w14:paraId="2287A8B0">
            <w:pPr>
              <w:pStyle w:val="32"/>
              <w:widowControl w:val="0"/>
              <w:spacing w:before="0" w:beforeAutospacing="0" w:after="0" w:afterAutospacing="0" w:line="360" w:lineRule="auto"/>
              <w:jc w:val="left"/>
              <w:rPr>
                <w:rFonts w:ascii="宋体" w:hAnsi="宋体" w:eastAsia="宋体"/>
                <w:b w:val="0"/>
                <w:sz w:val="24"/>
                <w:highlight w:val="none"/>
              </w:rPr>
            </w:pPr>
            <w:r>
              <w:rPr>
                <w:rFonts w:hint="eastAsia" w:ascii="宋体" w:hAnsi="宋体" w:eastAsia="宋体"/>
                <w:b w:val="0"/>
                <w:sz w:val="24"/>
                <w:highlight w:val="none"/>
              </w:rPr>
              <w:t>所属行业：其他未列明行业</w:t>
            </w:r>
          </w:p>
        </w:tc>
      </w:tr>
    </w:tbl>
    <w:p w14:paraId="64269B16">
      <w:pPr>
        <w:rPr>
          <w:rFonts w:ascii="宋体" w:hAnsi="宋体" w:eastAsia="宋体"/>
          <w:b/>
          <w:sz w:val="24"/>
          <w:szCs w:val="18"/>
          <w:highlight w:val="none"/>
        </w:rPr>
      </w:pPr>
      <w:bookmarkStart w:id="34" w:name="_Toc16543"/>
      <w:bookmarkStart w:id="35" w:name="_Toc8753"/>
      <w:bookmarkStart w:id="36" w:name="_Hlk16461016"/>
      <w:r>
        <w:rPr>
          <w:rFonts w:hint="eastAsia" w:ascii="宋体" w:hAnsi="宋体" w:eastAsia="宋体"/>
          <w:b/>
          <w:sz w:val="24"/>
          <w:szCs w:val="18"/>
          <w:highlight w:val="none"/>
        </w:rPr>
        <w:br w:type="page"/>
      </w:r>
    </w:p>
    <w:p w14:paraId="38188F35">
      <w:pPr>
        <w:spacing w:line="360" w:lineRule="auto"/>
        <w:ind w:firstLine="482" w:firstLineChars="200"/>
        <w:outlineLvl w:val="1"/>
        <w:rPr>
          <w:rFonts w:ascii="宋体" w:hAnsi="宋体" w:eastAsia="宋体" w:cs="宋体"/>
          <w:b/>
          <w:sz w:val="24"/>
          <w:szCs w:val="24"/>
          <w:highlight w:val="none"/>
        </w:rPr>
      </w:pPr>
      <w:r>
        <w:rPr>
          <w:rFonts w:hint="eastAsia" w:ascii="宋体" w:hAnsi="宋体" w:eastAsia="宋体" w:cs="宋体"/>
          <w:b/>
          <w:sz w:val="24"/>
          <w:szCs w:val="24"/>
          <w:highlight w:val="none"/>
        </w:rPr>
        <w:t>二、项目概况</w:t>
      </w:r>
      <w:bookmarkEnd w:id="34"/>
      <w:bookmarkEnd w:id="35"/>
    </w:p>
    <w:p w14:paraId="213AB388">
      <w:pPr>
        <w:pStyle w:val="32"/>
        <w:widowControl w:val="0"/>
        <w:spacing w:before="0" w:beforeAutospacing="0" w:after="0" w:afterAutospacing="0" w:line="360" w:lineRule="auto"/>
        <w:ind w:firstLine="480" w:firstLineChars="200"/>
        <w:jc w:val="left"/>
        <w:rPr>
          <w:rFonts w:ascii="宋体" w:hAnsi="宋体" w:eastAsia="宋体" w:cs="宋体"/>
          <w:sz w:val="24"/>
          <w:szCs w:val="24"/>
          <w:highlight w:val="none"/>
        </w:rPr>
      </w:pPr>
      <w:r>
        <w:rPr>
          <w:rFonts w:hint="eastAsia" w:ascii="宋体" w:hAnsi="宋体" w:eastAsia="宋体" w:cs="宋体"/>
          <w:b w:val="0"/>
          <w:sz w:val="24"/>
          <w:szCs w:val="24"/>
          <w:highlight w:val="none"/>
        </w:rPr>
        <w:t>铜陵学院育秀校区维修改造工程全过程监理项目，包括对建设工程质量、造价、进度进行控制，对合同、信息进行管理，对工程建设相关方的关系进行协调，并履行建设工程安全生产管理法定职责。育秀校区维修改造工程主要对育秀校区原有建筑进行维修改造约38693.80平方米，对育秀校区基础设施改造及环境提升总建设面积约120356.00平方米，工程总投资约7580.3</w:t>
      </w:r>
      <w:r>
        <w:rPr>
          <w:rFonts w:hint="eastAsia" w:ascii="宋体" w:hAnsi="宋体" w:eastAsia="宋体" w:cs="宋体"/>
          <w:b w:val="0"/>
          <w:sz w:val="24"/>
          <w:szCs w:val="24"/>
          <w:highlight w:val="none"/>
          <w:lang w:val="en-US" w:eastAsia="zh-CN"/>
        </w:rPr>
        <w:t>0</w:t>
      </w:r>
      <w:r>
        <w:rPr>
          <w:rFonts w:hint="eastAsia" w:ascii="宋体" w:hAnsi="宋体" w:eastAsia="宋体" w:cs="宋体"/>
          <w:b w:val="0"/>
          <w:sz w:val="24"/>
          <w:szCs w:val="24"/>
          <w:highlight w:val="none"/>
        </w:rPr>
        <w:t>万元，监理服务费最高限价0.94%。</w:t>
      </w:r>
    </w:p>
    <w:p w14:paraId="640622A0">
      <w:pPr>
        <w:adjustRightInd w:val="0"/>
        <w:snapToGrid w:val="0"/>
        <w:spacing w:line="400" w:lineRule="exact"/>
        <w:ind w:firstLine="482" w:firstLineChars="200"/>
        <w:outlineLvl w:val="1"/>
        <w:rPr>
          <w:rFonts w:ascii="宋体" w:hAnsi="宋体" w:eastAsia="宋体" w:cs="宋体"/>
          <w:b/>
          <w:sz w:val="24"/>
          <w:szCs w:val="24"/>
          <w:highlight w:val="none"/>
        </w:rPr>
      </w:pPr>
      <w:bookmarkStart w:id="37" w:name="_Toc16414"/>
      <w:bookmarkStart w:id="38" w:name="_Toc20717"/>
      <w:r>
        <w:rPr>
          <w:rFonts w:hint="eastAsia" w:ascii="宋体" w:hAnsi="宋体" w:eastAsia="宋体" w:cs="宋体"/>
          <w:b/>
          <w:sz w:val="24"/>
          <w:szCs w:val="24"/>
          <w:highlight w:val="none"/>
        </w:rPr>
        <w:t>三、服务的主要内容</w:t>
      </w:r>
    </w:p>
    <w:p w14:paraId="5A6B3322">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1．本次监理工程主要范围为述工程施工阶段、质保期等全过程监理，包括该项目图纸审查、工程量清单及控制价审查、土建、安装、装饰装修、道路、排水、强弱电、景观绿化及其他所有配套建设项目全部工程竣工验收合格为止以及建设工程项目施工阶段的质量、进度、费用控制管理和安全、合同、信息等方面协调管理等服务，并完成设计变更协调、经济签证审核、验收和决算初审等工作。在项目实施中如有增减项，中标人的服务内容则相应予以增加或减少，并作为本次采购的组成部分，监理费率一律不予调整。</w:t>
      </w:r>
    </w:p>
    <w:p w14:paraId="5D95857A">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2．中标人要提供正常监理服务以外其他的相关服务，包括但不限于配合招标人办理报建、报批、报审、施工采购过程的技术服务、施工图纸复核、施工合同的拟定、洽谈以及施工许可证申请办理、工程现场前期的准备工作、设计协调、竣工验收、工程结算初审、工程备案以及工期控制等全过程服务。</w:t>
      </w:r>
    </w:p>
    <w:p w14:paraId="4C2E8943">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3.工程施工监理具体内容：</w:t>
      </w:r>
    </w:p>
    <w:p w14:paraId="3054B76B">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（1）根据国家现行的技术标准、规范、规程为招标人提供工程建设项目监理服务，《建设工程监理规范》（GB/T 50319-2013）中规定的工作内容；</w:t>
      </w:r>
    </w:p>
    <w:p w14:paraId="3D0D42D0">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（2）根据工程建设项目内容及要求为招标人提供管理及技术咨询服务，包括但不限于以下内容：</w:t>
      </w:r>
    </w:p>
    <w:p w14:paraId="40C8EF38">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1）实施监理工作前，编写监理规划和监理实施细则；确定监理部组成人员和职能分工。</w:t>
      </w:r>
    </w:p>
    <w:p w14:paraId="778E0005">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2）协助委托人召开第一次工地会议，起草会议纪要。</w:t>
      </w:r>
    </w:p>
    <w:p w14:paraId="1DA3C75D">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3）定期主持召开工地例会、专项会议。</w:t>
      </w:r>
    </w:p>
    <w:p w14:paraId="2F2404E4">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4）组织项目监理人员熟悉图纸，参加施工图会审和设计交底，提出监理意见。</w:t>
      </w:r>
    </w:p>
    <w:p w14:paraId="13DC6AF5">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5）审查承包人项目现场管理机构的质量管理体系、技术管理体系、质量保证体系和安全保证体系。</w:t>
      </w:r>
    </w:p>
    <w:p w14:paraId="0A000177">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6）审查承包人提交的施工组织设计、施工方案、总进度计划，提出审查意见。</w:t>
      </w:r>
    </w:p>
    <w:p w14:paraId="3D44D825">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7）审查承包人开工申请报告，审查承包人各项施工准备工作，下达开工令。</w:t>
      </w:r>
    </w:p>
    <w:p w14:paraId="1524D9D6">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8）审核和确认承包人选择的分包单位、试验单位的资质及分包项目。</w:t>
      </w:r>
    </w:p>
    <w:p w14:paraId="41C5AAC7">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9）审查承包人测量放线成果并检查对成果的保护措施；做好施工过程中测量复核、交验工作。</w:t>
      </w:r>
    </w:p>
    <w:p w14:paraId="57356B6F">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10）督促承包人报送重点部位、关键工序的施工工艺和确保工程质量的措施，监理审核签认。</w:t>
      </w:r>
    </w:p>
    <w:p w14:paraId="376764AE">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11）审核承包人采用新材料、新设备、新技术、新工艺，组织专题论证，提出监理意见。</w:t>
      </w:r>
    </w:p>
    <w:p w14:paraId="148E3B82">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12）检查承包人拟进场工程材料、半成品、成品、构配件、设备的质量，审查质量证明资料，需要时采用见证取样方式进行监控。</w:t>
      </w:r>
    </w:p>
    <w:p w14:paraId="2F8DAAF7">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13）监督承包人按施工规范和设计文件施工，对施工过程进行巡视和检查，对隐蔽工程施工质量进行验收。施工中的重点部位、关键部位安排项目监理人员旁站。</w:t>
      </w:r>
    </w:p>
    <w:p w14:paraId="68E49D2B">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14）从安全、质量、工期、造价等方面审查设计变更，并提出监理建议。</w:t>
      </w:r>
    </w:p>
    <w:p w14:paraId="256E79DA">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15）对施工中出现的质量缺陷下达整改通知，督促整改，检查验收。</w:t>
      </w:r>
    </w:p>
    <w:p w14:paraId="1A456402">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16）对重大质量隐患可能造成（或已发生）质量事故时，及时下达工程暂停令。下达工程暂停令应当事先向招标人报告，如在紧急情况下未能书面报告时，立即向招标人口头汇报并在24小时内作出书面报告。</w:t>
      </w:r>
    </w:p>
    <w:p w14:paraId="731A62F6">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17）对需返工处理或加固补强的质量事故，责令承包人报送质量事故报告，组织工程质量事故分析。督促承包人按设计认可的处理方案进行整改，对质量事故的处理过程和结果跟踪检查和验收，及时记录归档资料。</w:t>
      </w:r>
    </w:p>
    <w:p w14:paraId="56536716">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18）协助招标人对工程项目造价目标进行风险分析，制定防范对策。</w:t>
      </w:r>
    </w:p>
    <w:p w14:paraId="58A68A3D">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19）审核承包人的施工图预算，设计变更、现场签证调整预算。</w:t>
      </w:r>
    </w:p>
    <w:p w14:paraId="0812186F">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20）审核已完合格工程的工作量，签署工程款支付证书，报送招标人。</w:t>
      </w:r>
    </w:p>
    <w:p w14:paraId="39401EBC">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21）审核承包人编制的工程结算。</w:t>
      </w:r>
    </w:p>
    <w:p w14:paraId="6BE7E5EA">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22）审查工程总进度计划及年、季、月、周施工进度计划，并督促实施。</w:t>
      </w:r>
    </w:p>
    <w:p w14:paraId="3A6C371F">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23）根据施工合同条款、施工图及施工组织设计制定进度控制方案，对进度目标进行风险分析，制定防范对策，报招标人。</w:t>
      </w:r>
    </w:p>
    <w:p w14:paraId="648B7681">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24）分阶段检查进度控制情况，书面向招标人和承包人提出进度偏差的分析报告及调整意见。实际进度滞后于计划进度时，要求承包人提出纠偏措施并监督实施。</w:t>
      </w:r>
    </w:p>
    <w:p w14:paraId="554E0F53">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25）建立合同台帐，收集整理相关资料，为处理费用索赔提供证据；协调处理合同纠纷和索赔事宜。</w:t>
      </w:r>
    </w:p>
    <w:p w14:paraId="2EAEC28A">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26）审查承包人人员、设备的安全资格和安全专项方案，监督安全生产、文明施工。加强日常安全管理，定期组织有关单位进行安全大检查，发现问题督促责任方整改。</w:t>
      </w:r>
    </w:p>
    <w:p w14:paraId="0169E461">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27）协调施工中相关方工作。</w:t>
      </w:r>
    </w:p>
    <w:p w14:paraId="566B1236">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28）编报监理月报、监理工作阶段总结和专题报告。重点报告施工安全管理，工程质量、进度、投资控制的执行情况，提出工程中存在的问题及处理建议。</w:t>
      </w:r>
    </w:p>
    <w:p w14:paraId="64A68B91">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29）审查竣工资料，组织单位工程竣工预验收，签署工程竣工报验单，提出工程质量评估报告。</w:t>
      </w:r>
    </w:p>
    <w:p w14:paraId="644518D5">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30）参加招标人组织的竣工验收，提交相关的监理资料，签署竣工验收报告。</w:t>
      </w:r>
    </w:p>
    <w:p w14:paraId="49D69771">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31）对保修期间质量问题提出监理意见，审核修复方案，监督修复过程并验收。</w:t>
      </w:r>
    </w:p>
    <w:p w14:paraId="487CB1C0">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32）提出存在的问题和解决建议。监理单位应运用在建设项目中的专业知识以及工程建设管理中的经验，提出存在的问题和解决建议，避免本项目在建筑工程中出现的问题。亦可综合考虑各特殊专业提前介入的时间节点，完成前期所有准备工作。</w:t>
      </w:r>
    </w:p>
    <w:p w14:paraId="72BBFB92">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33）实现项目前期设定的投资、进度、质量总目标，而且更能以更优的设计方案、合理的工程造价、合格的工程质量在目标工期内完成项目的全部建设工作。</w:t>
      </w:r>
    </w:p>
    <w:p w14:paraId="30AF14AA">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34）为项目建设附属设施、办公设施采购提供合理化建议及服务；</w:t>
      </w:r>
    </w:p>
    <w:p w14:paraId="47B884B7">
      <w:pPr>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35）为项目建设给排水，强弱电建设与施工提供合理化建议及服务；</w:t>
      </w:r>
    </w:p>
    <w:p w14:paraId="0CC83AD9">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bCs/>
          <w:kern w:val="0"/>
          <w:sz w:val="24"/>
          <w:szCs w:val="24"/>
          <w:highlight w:val="none"/>
        </w:rPr>
        <w:t>4．工程质量监理及检查验收标准、招标人的项目实施目标、拟采用的具体项目控制手段：本工程以工程施工设计图纸、图纸会审记录、设计变更通知书、技术联系单、各类试验报告、产品合格证书等有关资料和合同规定的条款为依据，按国家颁布的工程施工验收规范及监理大纲进行监理、检查、验收。</w:t>
      </w:r>
    </w:p>
    <w:p w14:paraId="78864C8D">
      <w:pPr>
        <w:spacing w:line="400" w:lineRule="exact"/>
        <w:ind w:firstLine="472" w:firstLineChars="196"/>
        <w:outlineLvl w:val="1"/>
        <w:rPr>
          <w:rFonts w:ascii="宋体" w:hAnsi="宋体" w:eastAsia="宋体" w:cs="宋体"/>
          <w:b/>
          <w:sz w:val="24"/>
          <w:szCs w:val="24"/>
          <w:highlight w:val="none"/>
        </w:rPr>
      </w:pPr>
      <w:r>
        <w:rPr>
          <w:rFonts w:hint="eastAsia" w:ascii="宋体" w:hAnsi="宋体" w:eastAsia="宋体" w:cs="宋体"/>
          <w:b/>
          <w:sz w:val="24"/>
          <w:szCs w:val="24"/>
          <w:highlight w:val="none"/>
        </w:rPr>
        <w:t>四、服务要求</w:t>
      </w:r>
    </w:p>
    <w:p w14:paraId="5333C67E">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1．中标人应具备保证施工质量的监理管理体系。</w:t>
      </w:r>
    </w:p>
    <w:p w14:paraId="0452A0A0">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2．中标人在本工程中配备的总监理工程师、监理工程师，应具有丰富的监理经验、身体健康、年龄适中、有良好职业道德的专职人员。</w:t>
      </w:r>
    </w:p>
    <w:p w14:paraId="70E8CD39">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在建设过程中，中标人必须按响应文件中配备及承诺的人员及时到位，配备专业人员，未经招标人同意，中标人不得擅自更换或者减少上述人员。根据现场施工情况，保证监理人员每天到场数量，招标人有权根据监理现场人员到位情况，要求其增加专业人员，监理单位必须服从，否则，视同中标人违约，招标人有权解除合同履行。</w:t>
      </w:r>
    </w:p>
    <w:p w14:paraId="2E15FF44">
      <w:pPr>
        <w:spacing w:line="360" w:lineRule="auto"/>
        <w:ind w:firstLine="480" w:firstLineChars="200"/>
        <w:rPr>
          <w:rFonts w:ascii="仿宋" w:hAnsi="仿宋" w:eastAsia="仿宋" w:cs="仿宋"/>
          <w:sz w:val="24"/>
          <w:szCs w:val="24"/>
          <w:highlight w:val="none"/>
        </w:rPr>
      </w:pPr>
      <w:r>
        <w:rPr>
          <w:rFonts w:hint="eastAsia" w:ascii="宋体" w:hAnsi="宋体" w:eastAsia="宋体" w:cs="宋体"/>
          <w:sz w:val="24"/>
          <w:szCs w:val="24"/>
          <w:highlight w:val="none"/>
        </w:rPr>
        <w:t>4.工程施工监理内容：工程建设全过程监理，包括工程项目的施工图内审、清单控制价编制配合、前期报建手续办理、道路、排水、交通土建、管线综合以及附属工程等全部工程（不包含水、电、气等专项监理要求项目）；建设工程项目施工阶段的质量、进度、费用控制、竣工验收、工程决算初审、工程备案管理和安全、合同、信息等方面协调管理服务。</w:t>
      </w:r>
    </w:p>
    <w:p w14:paraId="1CEE9B69">
      <w:pPr>
        <w:spacing w:line="400" w:lineRule="exact"/>
        <w:outlineLvl w:val="1"/>
        <w:rPr>
          <w:rFonts w:ascii="宋体" w:hAnsi="宋体" w:eastAsia="宋体" w:cs="宋体"/>
          <w:b/>
          <w:sz w:val="24"/>
          <w:szCs w:val="24"/>
          <w:highlight w:val="none"/>
        </w:rPr>
      </w:pPr>
      <w:r>
        <w:rPr>
          <w:rFonts w:hint="eastAsia" w:ascii="宋体" w:hAnsi="宋体" w:eastAsia="宋体" w:cs="宋体"/>
          <w:b/>
          <w:sz w:val="24"/>
          <w:szCs w:val="24"/>
          <w:highlight w:val="none"/>
        </w:rPr>
        <w:t>五、对供应商的要求</w:t>
      </w:r>
    </w:p>
    <w:p w14:paraId="08CCDE78">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1．各供应商必须按本工程的特点，认真阅读采购文件内容，按照采购文件要求编写响应文件，内容详尽。</w:t>
      </w:r>
    </w:p>
    <w:p w14:paraId="367F5479">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供应商应认真对现场进行踏勘，对建设场地的地理位置、施工现场的一切情况和影响施工的因素以及困难条件进行周密的勘察和研究，作出自己的判断结论和估价，报价时要充分考虑上述因素。中标后签订监理合同时和实施监理过程中，供应商不得以不完全了解现场情况为由，提出任何形式的增加监理服务收费用的要求。</w:t>
      </w:r>
    </w:p>
    <w:p w14:paraId="4DD8663F">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3.其他要求：</w:t>
      </w:r>
    </w:p>
    <w:p w14:paraId="01D752E3">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（1）监理人不得对本工程监理工作进行分包或转包。</w:t>
      </w:r>
    </w:p>
    <w:p w14:paraId="3C937355">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监理人必须按响应文件上确定的监理人员凭身份证、职称证、监理工程师注册证书上岗，若响应文件所承诺的监理人员在合同规定的时间内不能到场、或者各种证件与响应文件内容不一致，则视为违约，监理合同立即自行终止，并赔偿委托人损失。</w:t>
      </w:r>
    </w:p>
    <w:p w14:paraId="7FBC4571">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（3）监理人在响应文件中承诺用于本工程的仪器设备，必须与监理人员同时到场，并服务到工程竣工，否则视为违约，委托人有权拒绝支付监理费或解除合同。</w:t>
      </w:r>
    </w:p>
    <w:p w14:paraId="74C0EE6B">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（4）监理人员在责任期内的人身保险和人身伤害由监理人承担，委托人概不负责。</w:t>
      </w:r>
    </w:p>
    <w:p w14:paraId="28876E24">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（5）承包人采购的材料设备在使用前，由监理工程师负责检验或试验。</w:t>
      </w:r>
    </w:p>
    <w:p w14:paraId="6E992AE0">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（6）承包人未能按合同约定履行自己的各项义务或发生错误，给发包人造成经济损失，监理工程师应代表发包人向承包人提出索赔。</w:t>
      </w:r>
    </w:p>
    <w:p w14:paraId="050EBE60">
      <w:pPr>
        <w:spacing w:line="360" w:lineRule="auto"/>
        <w:ind w:firstLine="480" w:firstLineChars="200"/>
        <w:rPr>
          <w:rFonts w:ascii="宋体" w:hAnsi="宋体" w:eastAsia="宋体" w:cs="宋体"/>
          <w:b/>
          <w:bCs/>
          <w:color w:val="0000FF"/>
          <w:sz w:val="24"/>
          <w:szCs w:val="24"/>
          <w:highlight w:val="none"/>
        </w:rPr>
      </w:pPr>
      <w:r>
        <w:rPr>
          <w:rFonts w:hint="eastAsia" w:ascii="宋体" w:hAnsi="宋体" w:eastAsia="宋体" w:cs="宋体"/>
          <w:sz w:val="24"/>
          <w:szCs w:val="24"/>
          <w:highlight w:val="none"/>
        </w:rPr>
        <w:t>（7）监理单位对工程竣工结算必须认真进行初步审核，严格把关，并提交初步审核结果。</w:t>
      </w:r>
    </w:p>
    <w:p w14:paraId="21AA2B0A">
      <w:pPr>
        <w:spacing w:line="360" w:lineRule="auto"/>
        <w:ind w:firstLine="480" w:firstLineChars="200"/>
        <w:rPr>
          <w:rFonts w:ascii="宋体" w:hAnsi="宋体" w:eastAsia="宋体" w:cs="宋体"/>
          <w:b/>
          <w:bCs/>
          <w:color w:val="0000FF"/>
          <w:sz w:val="24"/>
          <w:szCs w:val="24"/>
          <w:highlight w:val="none"/>
        </w:rPr>
      </w:pPr>
      <w:r>
        <w:rPr>
          <w:rFonts w:hint="eastAsia" w:ascii="宋体" w:hAnsi="宋体" w:eastAsia="宋体" w:cs="宋体"/>
          <w:sz w:val="24"/>
          <w:szCs w:val="24"/>
          <w:highlight w:val="none"/>
        </w:rPr>
        <w:t>（8）监理驻场服务期延长的，相关费用由投标单位在投标报价中自行考虑，工程结算时费用不予增加。</w:t>
      </w:r>
    </w:p>
    <w:p w14:paraId="1841E106">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（9）监理人员在责任期内的人身保险和人身伤害由监理人承担，委托人概不负责。</w:t>
      </w:r>
    </w:p>
    <w:p w14:paraId="3262541C">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（10）办理施工许可证时，总监备案条件满足要求。若不能满足备案要求，招标人有权提出中标资格无效，解除服务关系，因此产生不利后果的，由中标人承担。</w:t>
      </w:r>
    </w:p>
    <w:p w14:paraId="0141811B">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（11）以上各类处置因不可抗力因素除外。</w:t>
      </w:r>
    </w:p>
    <w:p w14:paraId="49028E7F">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4．对本项目人员的配备要求详见下表：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859"/>
        <w:gridCol w:w="3460"/>
        <w:gridCol w:w="2398"/>
      </w:tblGrid>
      <w:tr w14:paraId="14B8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shd w:val="clear" w:color="auto" w:fill="auto"/>
            <w:vAlign w:val="center"/>
          </w:tcPr>
          <w:p w14:paraId="022185FE">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091" w:type="pct"/>
            <w:shd w:val="clear" w:color="auto" w:fill="auto"/>
            <w:vAlign w:val="center"/>
          </w:tcPr>
          <w:p w14:paraId="5B1E16C5">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岗位</w:t>
            </w:r>
          </w:p>
        </w:tc>
        <w:tc>
          <w:tcPr>
            <w:tcW w:w="2031" w:type="pct"/>
            <w:shd w:val="clear" w:color="auto" w:fill="auto"/>
            <w:vAlign w:val="center"/>
          </w:tcPr>
          <w:p w14:paraId="2C5C77EF">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资历要求</w:t>
            </w:r>
          </w:p>
        </w:tc>
        <w:tc>
          <w:tcPr>
            <w:tcW w:w="1406" w:type="pct"/>
            <w:shd w:val="clear" w:color="auto" w:fill="auto"/>
            <w:vAlign w:val="center"/>
          </w:tcPr>
          <w:p w14:paraId="7271D9AC">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人员配额</w:t>
            </w:r>
          </w:p>
        </w:tc>
      </w:tr>
      <w:tr w14:paraId="4D28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71" w:type="pct"/>
            <w:shd w:val="clear" w:color="auto" w:fill="auto"/>
            <w:vAlign w:val="center"/>
          </w:tcPr>
          <w:p w14:paraId="07A432FF">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1091" w:type="pct"/>
            <w:shd w:val="clear" w:color="auto" w:fill="auto"/>
            <w:vAlign w:val="center"/>
          </w:tcPr>
          <w:p w14:paraId="41452738">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总监</w:t>
            </w:r>
          </w:p>
        </w:tc>
        <w:tc>
          <w:tcPr>
            <w:tcW w:w="2031" w:type="pct"/>
            <w:shd w:val="clear" w:color="auto" w:fill="auto"/>
            <w:vAlign w:val="center"/>
          </w:tcPr>
          <w:p w14:paraId="14FE6D3B">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不可兼任，具有房屋建筑工程专业注册监理工程师证书</w:t>
            </w:r>
          </w:p>
        </w:tc>
        <w:tc>
          <w:tcPr>
            <w:tcW w:w="1406" w:type="pct"/>
            <w:shd w:val="clear" w:color="auto" w:fill="auto"/>
            <w:vAlign w:val="center"/>
          </w:tcPr>
          <w:p w14:paraId="7FB13AC2">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1人（不允许外聘，需长期驻场）</w:t>
            </w:r>
          </w:p>
        </w:tc>
      </w:tr>
      <w:tr w14:paraId="0FB3A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shd w:val="clear" w:color="auto" w:fill="auto"/>
            <w:vAlign w:val="center"/>
          </w:tcPr>
          <w:p w14:paraId="1927EC8C">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2</w:t>
            </w:r>
          </w:p>
        </w:tc>
        <w:tc>
          <w:tcPr>
            <w:tcW w:w="1091" w:type="pct"/>
            <w:shd w:val="clear" w:color="auto" w:fill="auto"/>
            <w:vAlign w:val="center"/>
          </w:tcPr>
          <w:p w14:paraId="2BAA64DE">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土建监理工程师</w:t>
            </w:r>
          </w:p>
        </w:tc>
        <w:tc>
          <w:tcPr>
            <w:tcW w:w="2031" w:type="pct"/>
            <w:shd w:val="clear" w:color="auto" w:fill="auto"/>
            <w:vAlign w:val="center"/>
          </w:tcPr>
          <w:p w14:paraId="42EC605B">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不可兼任，具有房屋建筑工程专业注册监理工程师证书</w:t>
            </w:r>
          </w:p>
        </w:tc>
        <w:tc>
          <w:tcPr>
            <w:tcW w:w="1406" w:type="pct"/>
            <w:shd w:val="clear" w:color="auto" w:fill="auto"/>
            <w:vAlign w:val="center"/>
          </w:tcPr>
          <w:p w14:paraId="01395662">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1人（不允许外聘，需长期驻场）</w:t>
            </w:r>
          </w:p>
        </w:tc>
      </w:tr>
      <w:tr w14:paraId="7D04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shd w:val="clear" w:color="auto" w:fill="auto"/>
            <w:vAlign w:val="center"/>
          </w:tcPr>
          <w:p w14:paraId="79204EF8">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3</w:t>
            </w:r>
          </w:p>
        </w:tc>
        <w:tc>
          <w:tcPr>
            <w:tcW w:w="1091" w:type="pct"/>
            <w:shd w:val="clear" w:color="auto" w:fill="auto"/>
            <w:vAlign w:val="center"/>
          </w:tcPr>
          <w:p w14:paraId="678285F3">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安装监理工程师</w:t>
            </w:r>
          </w:p>
        </w:tc>
        <w:tc>
          <w:tcPr>
            <w:tcW w:w="2031" w:type="pct"/>
            <w:shd w:val="clear" w:color="auto" w:fill="auto"/>
            <w:vAlign w:val="center"/>
          </w:tcPr>
          <w:p w14:paraId="1559BBA2">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不可兼任，具有机电安装工程专业注册监理工程师证书</w:t>
            </w:r>
          </w:p>
        </w:tc>
        <w:tc>
          <w:tcPr>
            <w:tcW w:w="1406" w:type="pct"/>
            <w:shd w:val="clear" w:color="auto" w:fill="auto"/>
            <w:vAlign w:val="center"/>
          </w:tcPr>
          <w:p w14:paraId="2E7FEF19">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1人（不允许外聘，需长期驻场）</w:t>
            </w:r>
          </w:p>
        </w:tc>
      </w:tr>
      <w:tr w14:paraId="5865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shd w:val="clear" w:color="auto" w:fill="auto"/>
            <w:vAlign w:val="center"/>
          </w:tcPr>
          <w:p w14:paraId="2C5F9D69">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4</w:t>
            </w:r>
          </w:p>
        </w:tc>
        <w:tc>
          <w:tcPr>
            <w:tcW w:w="1091" w:type="pct"/>
            <w:shd w:val="clear" w:color="auto" w:fill="auto"/>
            <w:vAlign w:val="center"/>
          </w:tcPr>
          <w:p w14:paraId="6B268A00">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景观监理工程师</w:t>
            </w:r>
          </w:p>
        </w:tc>
        <w:tc>
          <w:tcPr>
            <w:tcW w:w="2031" w:type="pct"/>
            <w:shd w:val="clear" w:color="auto" w:fill="auto"/>
            <w:vAlign w:val="center"/>
          </w:tcPr>
          <w:p w14:paraId="40891F6E">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不可兼任，具有城市园林专业中级及以上职称（提供职称证书即可）</w:t>
            </w:r>
          </w:p>
        </w:tc>
        <w:tc>
          <w:tcPr>
            <w:tcW w:w="1406" w:type="pct"/>
            <w:shd w:val="clear" w:color="auto" w:fill="auto"/>
            <w:vAlign w:val="center"/>
          </w:tcPr>
          <w:p w14:paraId="67879B7F">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1人（不允许外聘，景观绿化施工期间需驻场）</w:t>
            </w:r>
          </w:p>
        </w:tc>
      </w:tr>
      <w:tr w14:paraId="01A3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471" w:type="pct"/>
            <w:shd w:val="clear" w:color="auto" w:fill="auto"/>
            <w:vAlign w:val="center"/>
          </w:tcPr>
          <w:p w14:paraId="3EF4C2E5">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5</w:t>
            </w:r>
          </w:p>
        </w:tc>
        <w:tc>
          <w:tcPr>
            <w:tcW w:w="1091" w:type="pct"/>
            <w:shd w:val="clear" w:color="auto" w:fill="auto"/>
            <w:vAlign w:val="center"/>
          </w:tcPr>
          <w:p w14:paraId="4EE5A6E7">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一级注册造价工程师</w:t>
            </w:r>
          </w:p>
        </w:tc>
        <w:tc>
          <w:tcPr>
            <w:tcW w:w="2031" w:type="pct"/>
            <w:shd w:val="clear" w:color="auto" w:fill="auto"/>
            <w:vAlign w:val="center"/>
          </w:tcPr>
          <w:p w14:paraId="5B40D258">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不可兼任，具有一级注册造价工程师证书</w:t>
            </w:r>
          </w:p>
        </w:tc>
        <w:tc>
          <w:tcPr>
            <w:tcW w:w="1406" w:type="pct"/>
            <w:shd w:val="clear" w:color="auto" w:fill="auto"/>
            <w:vAlign w:val="center"/>
          </w:tcPr>
          <w:p w14:paraId="60D25F6C">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1人（不允许外聘）</w:t>
            </w:r>
          </w:p>
        </w:tc>
      </w:tr>
      <w:tr w14:paraId="40A0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471" w:type="pct"/>
            <w:shd w:val="clear" w:color="auto" w:fill="auto"/>
            <w:vAlign w:val="center"/>
          </w:tcPr>
          <w:p w14:paraId="79EB4A73">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6</w:t>
            </w:r>
          </w:p>
        </w:tc>
        <w:tc>
          <w:tcPr>
            <w:tcW w:w="1091" w:type="pct"/>
            <w:shd w:val="clear" w:color="auto" w:fill="auto"/>
            <w:vAlign w:val="center"/>
          </w:tcPr>
          <w:p w14:paraId="52942613">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监理员</w:t>
            </w:r>
          </w:p>
        </w:tc>
        <w:tc>
          <w:tcPr>
            <w:tcW w:w="2031" w:type="pct"/>
            <w:shd w:val="clear" w:color="auto" w:fill="auto"/>
            <w:vAlign w:val="center"/>
          </w:tcPr>
          <w:p w14:paraId="18857581">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不可兼任</w:t>
            </w:r>
          </w:p>
        </w:tc>
        <w:tc>
          <w:tcPr>
            <w:tcW w:w="1406" w:type="pct"/>
            <w:shd w:val="clear" w:color="auto" w:fill="auto"/>
            <w:vAlign w:val="center"/>
          </w:tcPr>
          <w:p w14:paraId="52F99E18">
            <w:pPr>
              <w:spacing w:line="360" w:lineRule="auto"/>
              <w:jc w:val="center"/>
              <w:rPr>
                <w:rFonts w:ascii="宋体" w:hAnsi="宋体" w:eastAsia="宋体" w:cs="宋体"/>
                <w:sz w:val="24"/>
                <w:szCs w:val="24"/>
                <w:highlight w:val="none"/>
              </w:rPr>
            </w:pPr>
          </w:p>
          <w:p w14:paraId="4D32DC74">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2人（不允许外聘）</w:t>
            </w:r>
          </w:p>
          <w:p w14:paraId="334030E6">
            <w:pPr>
              <w:rPr>
                <w:highlight w:val="none"/>
              </w:rPr>
            </w:pPr>
          </w:p>
        </w:tc>
      </w:tr>
      <w:tr w14:paraId="3BE5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shd w:val="clear" w:color="auto" w:fill="auto"/>
            <w:vAlign w:val="center"/>
          </w:tcPr>
          <w:p w14:paraId="6EB878EF">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7</w:t>
            </w:r>
          </w:p>
        </w:tc>
        <w:tc>
          <w:tcPr>
            <w:tcW w:w="1091" w:type="pct"/>
            <w:shd w:val="clear" w:color="auto" w:fill="auto"/>
            <w:vAlign w:val="center"/>
          </w:tcPr>
          <w:p w14:paraId="360463A2">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资料员</w:t>
            </w:r>
          </w:p>
        </w:tc>
        <w:tc>
          <w:tcPr>
            <w:tcW w:w="2031" w:type="pct"/>
            <w:shd w:val="clear" w:color="auto" w:fill="auto"/>
            <w:vAlign w:val="center"/>
          </w:tcPr>
          <w:p w14:paraId="616F0C99">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不可兼任</w:t>
            </w:r>
          </w:p>
        </w:tc>
        <w:tc>
          <w:tcPr>
            <w:tcW w:w="1406" w:type="pct"/>
            <w:shd w:val="clear" w:color="auto" w:fill="auto"/>
            <w:vAlign w:val="center"/>
          </w:tcPr>
          <w:p w14:paraId="7C43461C">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1人（不允许外聘）</w:t>
            </w:r>
          </w:p>
        </w:tc>
      </w:tr>
      <w:tr w14:paraId="7035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shd w:val="clear" w:color="auto" w:fill="auto"/>
            <w:vAlign w:val="center"/>
          </w:tcPr>
          <w:p w14:paraId="729F9C1F">
            <w:pPr>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人员配备通则：</w:t>
            </w:r>
            <w:r>
              <w:rPr>
                <w:rFonts w:hint="eastAsia" w:ascii="宋体" w:hAnsi="宋体" w:eastAsia="宋体" w:cs="宋体"/>
                <w:b/>
                <w:bCs/>
                <w:sz w:val="24"/>
                <w:szCs w:val="24"/>
                <w:highlight w:val="none"/>
              </w:rPr>
              <w:t>1.表中所列监理人员配额及资格要求为最低限度。2.各类助理人员配额由监理单位根据采购文件要求及项目实际情况提供。</w:t>
            </w:r>
            <w:r>
              <w:rPr>
                <w:rFonts w:hint="eastAsia" w:ascii="宋体" w:hAnsi="宋体" w:eastAsia="宋体" w:cs="宋体"/>
                <w:b/>
                <w:bCs/>
                <w:sz w:val="24"/>
                <w:szCs w:val="24"/>
                <w:highlight w:val="none"/>
                <w:u w:val="single"/>
              </w:rPr>
              <w:t>3.上表中要求证书的人员须同时提供人员证书及社保证明（2025年1月至投标截止时间任意一个月的社保），监理员和资料员提供人员名单及社保证明（2025年1月至投标截止时间任意一个月的社保）即可。</w:t>
            </w:r>
          </w:p>
        </w:tc>
      </w:tr>
    </w:tbl>
    <w:p w14:paraId="45109B9B">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注：本次投标总监在中标后必须能满足报建要求，并常驻现场，满足招标人管理考核规定。中标后，组织机构人员必须严格按照响应文件及采购文件要求全部到位，一经发现擅自撤换或更改人员的，将按违约处理。</w:t>
      </w:r>
    </w:p>
    <w:p w14:paraId="292E61F3">
      <w:pPr>
        <w:numPr>
          <w:ilvl w:val="0"/>
          <w:numId w:val="2"/>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对办公设备及检测设备的配备要求</w:t>
      </w:r>
    </w:p>
    <w:p w14:paraId="73707C8B">
      <w:pPr>
        <w:spacing w:line="360" w:lineRule="auto"/>
        <w:ind w:firstLine="480" w:firstLineChars="200"/>
        <w:rPr>
          <w:rFonts w:ascii="宋体" w:hAnsi="宋体" w:cs="宋体" w:eastAsiaTheme="minorEastAsia"/>
          <w:sz w:val="24"/>
          <w:szCs w:val="24"/>
          <w:highlight w:val="none"/>
        </w:rPr>
      </w:pPr>
      <w:r>
        <w:rPr>
          <w:rFonts w:hint="eastAsia" w:ascii="宋体" w:hAnsi="宋体" w:eastAsia="宋体" w:cs="宋体"/>
          <w:sz w:val="24"/>
          <w:szCs w:val="24"/>
          <w:highlight w:val="none"/>
        </w:rPr>
        <w:t>中标人在监理服务期内自行解决办公场所及食宿（不得在施工区域内），并配备必要的办公设备和检测设备，一切费用由中标人自行承担。</w:t>
      </w:r>
    </w:p>
    <w:p w14:paraId="3D66D576">
      <w:pPr>
        <w:adjustRightInd w:val="0"/>
        <w:snapToGrid w:val="0"/>
        <w:outlineLvl w:val="1"/>
        <w:rPr>
          <w:rFonts w:ascii="宋体" w:hAnsi="宋体" w:eastAsia="宋体" w:cs="宋体"/>
          <w:b/>
          <w:sz w:val="24"/>
          <w:szCs w:val="24"/>
          <w:highlight w:val="none"/>
        </w:rPr>
      </w:pPr>
    </w:p>
    <w:bookmarkEnd w:id="33"/>
    <w:bookmarkEnd w:id="36"/>
    <w:bookmarkEnd w:id="37"/>
    <w:bookmarkEnd w:id="38"/>
    <w:p w14:paraId="2D17D82D">
      <w:pPr>
        <w:widowControl/>
        <w:jc w:val="left"/>
        <w:rPr>
          <w:highlight w:val="none"/>
        </w:rPr>
      </w:pPr>
      <w:bookmarkStart w:id="39" w:name="_Toc30824"/>
      <w:r>
        <w:rPr>
          <w:rFonts w:hint="eastAsia" w:ascii="宋体" w:hAnsi="宋体" w:eastAsia="宋体" w:cs="宋体"/>
          <w:b/>
          <w:bCs/>
          <w:color w:val="000000"/>
          <w:kern w:val="0"/>
          <w:sz w:val="24"/>
          <w:szCs w:val="24"/>
          <w:highlight w:val="none"/>
          <w:lang w:bidi="ar"/>
        </w:rPr>
        <w:t xml:space="preserve">六、报价要求 </w:t>
      </w:r>
    </w:p>
    <w:p w14:paraId="06CCF4B1">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本项目采用费率报价，报价费率不得高于0.94%。 </w:t>
      </w:r>
    </w:p>
    <w:p w14:paraId="7FD3E292">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投标人的报价应结合本项目的区域特点、自身综合实力、市场行情，自行以费率的方式进行报价，但不得超过0.94%，否则响应无效。本项目预算仅作为报价参考，不作为结算依据，成交费率作为合同签订及结算的依据。</w:t>
      </w:r>
    </w:p>
    <w:p w14:paraId="7EA7E4AF">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服务费用=EPC总承包合同中建安工程费的结算审定价格×监理服务的中标费率。合同须注明监理费率，无论项目增减，监理费率不做调整，最终结算不超过本项目预算（超出部分由中标人承担）。 </w:t>
      </w:r>
    </w:p>
    <w:p w14:paraId="09FD1247">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投标人自行进行现场勘查，各种风险须充分考虑，请投标人谨慎报价。中标</w:t>
      </w:r>
    </w:p>
    <w:p w14:paraId="4CB2D548">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后不得以任何理由提出变更等理由增加费用、调整价格。中标人须充分考虑本项 </w:t>
      </w:r>
    </w:p>
    <w:p w14:paraId="03ACFA6F">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目服务成本，合同履约期内，不得以任何理由要求费用变更或拒绝服务。</w:t>
      </w:r>
    </w:p>
    <w:p w14:paraId="1E102E8C">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七、其他要求</w:t>
      </w:r>
    </w:p>
    <w:p w14:paraId="6DD66981">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在建设过程中，中标人必须按投标时承诺配备的人员及时到位，配备专业人员，未经招标人同意，中标人不得擅自更换或者减少上述人员。根据现场施工情况，保证人员每天到场数量，招标人有权根据监理现场人员到位情况，要求其增加专业人员，中标人必须服从，否则，视同中标人违约，招标人有权解除合同履行。</w:t>
      </w:r>
    </w:p>
    <w:p w14:paraId="559A5FFD">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供应商应认真对现场进行踏勘，对建设场地的地理位置、施工现场的一切情况和影响施工的因素以及困难条件进行周密的察勘和研究，作出自己的判断结论。中标后签订合同时和实施管理过程中，中标人不得以不完全了解现场情况为由，提出任何形式的增加服务费用的要求。</w:t>
      </w:r>
    </w:p>
    <w:p w14:paraId="1E615CEE">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3．招标人不提供交通、通讯、办公等设施，不提供人员的食宿等条件，因此增加的费用由中标人承担。</w:t>
      </w:r>
    </w:p>
    <w:p w14:paraId="1836DF25">
      <w:pPr>
        <w:spacing w:line="360" w:lineRule="auto"/>
        <w:ind w:firstLine="480" w:firstLineChars="200"/>
        <w:rPr>
          <w:rFonts w:ascii="宋体" w:hAnsi="宋体" w:eastAsia="宋体" w:cs="宋体"/>
          <w:b/>
          <w:bCs/>
          <w:color w:val="0000FF"/>
          <w:sz w:val="24"/>
          <w:szCs w:val="24"/>
          <w:highlight w:val="none"/>
        </w:rPr>
      </w:pPr>
      <w:r>
        <w:rPr>
          <w:rFonts w:hint="eastAsia" w:ascii="宋体" w:hAnsi="宋体" w:eastAsia="宋体" w:cs="宋体"/>
          <w:sz w:val="24"/>
          <w:szCs w:val="24"/>
          <w:highlight w:val="none"/>
        </w:rPr>
        <w:t>4.根据现场施工情况，保证监理人员每天到场数量，招标人有权根据监理现场人员到位情况，要求其增加专业人员，监理单位必须服从，否则，视同中标人违约，招标人有权解除合同履行。</w:t>
      </w:r>
    </w:p>
    <w:p w14:paraId="0C1B4943">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5．服务时间为</w:t>
      </w:r>
      <w:r>
        <w:rPr>
          <w:rFonts w:hint="eastAsia" w:ascii="宋体" w:hAnsi="宋体" w:eastAsia="宋体"/>
          <w:sz w:val="24"/>
          <w:highlight w:val="none"/>
        </w:rPr>
        <w:t>工程施工准备阶段至工程竣工备案（同施工工期，施工工期约180日历天）直至后期结算审计结束及缺陷责任期满。</w:t>
      </w:r>
    </w:p>
    <w:p w14:paraId="0DD6595F">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6．中标人应妥善保管工程管理实施过程中所有管理资料及有关文件。</w:t>
      </w:r>
    </w:p>
    <w:p w14:paraId="732F56AB">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7．配备必要的检测仪器，确保全过程项目管理工作质量。</w:t>
      </w:r>
    </w:p>
    <w:p w14:paraId="7A1CD10F">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8．中标人应对重要部位、重要工序加强跟踪，对较易出现的质量通病要做到事前预测、事中控制、事后检查，并有相关的预防措施以确保工程质量。</w:t>
      </w:r>
    </w:p>
    <w:p w14:paraId="3E8D1EDD">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9．拟任总监需满足国家及省市有关法律、法规等相关要求。</w:t>
      </w:r>
    </w:p>
    <w:p w14:paraId="46E5EC36">
      <w:pPr>
        <w:spacing w:line="360" w:lineRule="auto"/>
        <w:ind w:firstLine="480" w:firstLineChars="200"/>
        <w:rPr>
          <w:rFonts w:ascii="仿宋" w:hAnsi="仿宋" w:eastAsia="仿宋" w:cs="仿宋"/>
          <w:sz w:val="24"/>
          <w:szCs w:val="24"/>
          <w:highlight w:val="none"/>
        </w:rPr>
      </w:pPr>
      <w:r>
        <w:rPr>
          <w:rFonts w:hint="eastAsia" w:ascii="宋体" w:hAnsi="宋体" w:eastAsia="宋体" w:cs="宋体"/>
          <w:sz w:val="24"/>
          <w:szCs w:val="24"/>
          <w:highlight w:val="none"/>
        </w:rPr>
        <w:t>10．执行铜陵市相关工程管理规定等。</w:t>
      </w:r>
    </w:p>
    <w:p w14:paraId="7DA3AAFB">
      <w:pPr>
        <w:spacing w:line="360" w:lineRule="auto"/>
        <w:ind w:firstLine="482" w:firstLineChars="200"/>
        <w:rPr>
          <w:rFonts w:asciiTheme="minorEastAsia" w:hAnsiTheme="minorEastAsia" w:eastAsiaTheme="minorEastAsia"/>
          <w:b/>
          <w:sz w:val="24"/>
          <w:szCs w:val="18"/>
          <w:highlight w:val="none"/>
          <w:u w:val="single"/>
        </w:rPr>
      </w:pPr>
    </w:p>
    <w:p w14:paraId="0AE35772">
      <w:pPr>
        <w:rPr>
          <w:rFonts w:asciiTheme="minorEastAsia" w:hAnsiTheme="minorEastAsia" w:eastAsiaTheme="minorEastAsia"/>
          <w:b/>
          <w:sz w:val="28"/>
          <w:highlight w:val="none"/>
        </w:rPr>
      </w:pPr>
      <w:r>
        <w:rPr>
          <w:rFonts w:hint="eastAsia" w:asciiTheme="minorEastAsia" w:hAnsiTheme="minorEastAsia" w:eastAsiaTheme="minorEastAsia"/>
          <w:b/>
          <w:sz w:val="28"/>
          <w:highlight w:val="none"/>
        </w:rPr>
        <w:br w:type="page"/>
      </w:r>
    </w:p>
    <w:p w14:paraId="4E9E786B">
      <w:pPr>
        <w:spacing w:line="360" w:lineRule="auto"/>
        <w:jc w:val="center"/>
        <w:outlineLvl w:val="0"/>
        <w:rPr>
          <w:rFonts w:asciiTheme="minorEastAsia" w:hAnsiTheme="minorEastAsia" w:eastAsiaTheme="minorEastAsia"/>
          <w:b/>
          <w:sz w:val="28"/>
          <w:highlight w:val="none"/>
        </w:rPr>
      </w:pPr>
      <w:r>
        <w:rPr>
          <w:rFonts w:hint="eastAsia" w:asciiTheme="minorEastAsia" w:hAnsiTheme="minorEastAsia" w:eastAsiaTheme="minorEastAsia"/>
          <w:b/>
          <w:sz w:val="28"/>
          <w:highlight w:val="none"/>
        </w:rPr>
        <w:t>第四章  评标方法和标准（综合评分法）</w:t>
      </w:r>
      <w:bookmarkEnd w:id="39"/>
    </w:p>
    <w:p w14:paraId="307E9011">
      <w:pPr>
        <w:spacing w:line="360" w:lineRule="auto"/>
        <w:ind w:firstLine="437"/>
        <w:outlineLvl w:val="1"/>
        <w:rPr>
          <w:rFonts w:asciiTheme="minorEastAsia" w:hAnsiTheme="minorEastAsia" w:eastAsiaTheme="minorEastAsia"/>
          <w:b/>
          <w:sz w:val="24"/>
          <w:highlight w:val="none"/>
        </w:rPr>
      </w:pPr>
      <w:bookmarkStart w:id="40" w:name="_Toc11823"/>
      <w:bookmarkStart w:id="41" w:name="_Toc4705"/>
      <w:r>
        <w:rPr>
          <w:rFonts w:hint="eastAsia" w:asciiTheme="minorEastAsia" w:hAnsiTheme="minorEastAsia" w:eastAsiaTheme="minorEastAsia"/>
          <w:b/>
          <w:sz w:val="24"/>
          <w:highlight w:val="none"/>
        </w:rPr>
        <w:t>一、总则</w:t>
      </w:r>
      <w:bookmarkEnd w:id="40"/>
      <w:bookmarkEnd w:id="41"/>
    </w:p>
    <w:p w14:paraId="0269A4E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本项目将按照招标文件第二章 投标人须知的相关要求</w:t>
      </w:r>
      <w:r>
        <w:rPr>
          <w:rFonts w:asciiTheme="minorEastAsia" w:hAnsiTheme="minorEastAsia" w:eastAsiaTheme="minorEastAsia"/>
          <w:sz w:val="24"/>
          <w:highlight w:val="none"/>
        </w:rPr>
        <w:t>及本章的规定评标。</w:t>
      </w:r>
    </w:p>
    <w:p w14:paraId="29E9269D">
      <w:pPr>
        <w:spacing w:line="360" w:lineRule="auto"/>
        <w:ind w:firstLine="437"/>
        <w:outlineLvl w:val="1"/>
        <w:rPr>
          <w:rFonts w:asciiTheme="minorEastAsia" w:hAnsiTheme="minorEastAsia" w:eastAsiaTheme="minorEastAsia"/>
          <w:b/>
          <w:sz w:val="24"/>
          <w:highlight w:val="none"/>
        </w:rPr>
      </w:pPr>
      <w:bookmarkStart w:id="42" w:name="_Toc31871"/>
      <w:bookmarkStart w:id="43" w:name="_Toc32410"/>
      <w:r>
        <w:rPr>
          <w:rFonts w:hint="eastAsia" w:asciiTheme="minorEastAsia" w:hAnsiTheme="minorEastAsia" w:eastAsiaTheme="minorEastAsia"/>
          <w:b/>
          <w:sz w:val="24"/>
          <w:highlight w:val="none"/>
        </w:rPr>
        <w:t>二、评标方法</w:t>
      </w:r>
      <w:bookmarkEnd w:id="42"/>
      <w:bookmarkEnd w:id="43"/>
    </w:p>
    <w:p w14:paraId="707B1AF1">
      <w:pPr>
        <w:spacing w:line="360" w:lineRule="auto"/>
        <w:ind w:firstLine="437"/>
        <w:outlineLvl w:val="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2.1资格审查</w:t>
      </w:r>
    </w:p>
    <w:tbl>
      <w:tblPr>
        <w:tblStyle w:val="24"/>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666"/>
        <w:gridCol w:w="4557"/>
        <w:gridCol w:w="1895"/>
      </w:tblGrid>
      <w:tr w14:paraId="5F90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DC59273">
            <w:pPr>
              <w:adjustRightInd w:val="0"/>
              <w:snapToGrid w:val="0"/>
              <w:spacing w:line="360" w:lineRule="auto"/>
              <w:ind w:right="-10"/>
              <w:jc w:val="center"/>
              <w:rPr>
                <w:rFonts w:ascii="宋体" w:hAnsi="宋体" w:eastAsia="宋体"/>
                <w:sz w:val="24"/>
                <w:highlight w:val="none"/>
              </w:rPr>
            </w:pPr>
            <w:r>
              <w:rPr>
                <w:rFonts w:hint="eastAsia" w:ascii="宋体" w:hAnsi="宋体" w:eastAsia="宋体"/>
                <w:b/>
                <w:sz w:val="24"/>
                <w:szCs w:val="22"/>
                <w:highlight w:val="none"/>
              </w:rPr>
              <w:t>资格审查表</w:t>
            </w:r>
          </w:p>
        </w:tc>
      </w:tr>
      <w:tr w14:paraId="4B81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tcBorders>
              <w:bottom w:val="single" w:color="auto" w:sz="4" w:space="0"/>
            </w:tcBorders>
            <w:vAlign w:val="center"/>
          </w:tcPr>
          <w:p w14:paraId="38FCAC58">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序号</w:t>
            </w:r>
          </w:p>
        </w:tc>
        <w:tc>
          <w:tcPr>
            <w:tcW w:w="951" w:type="pct"/>
            <w:tcBorders>
              <w:bottom w:val="single" w:color="auto" w:sz="4" w:space="0"/>
            </w:tcBorders>
            <w:vAlign w:val="center"/>
          </w:tcPr>
          <w:p w14:paraId="506C838F">
            <w:pPr>
              <w:pStyle w:val="33"/>
              <w:pBdr>
                <w:bottom w:val="none" w:color="auto" w:sz="0" w:space="0"/>
              </w:pBdr>
              <w:tabs>
                <w:tab w:val="clear" w:pos="4153"/>
                <w:tab w:val="clear" w:pos="8306"/>
              </w:tabs>
              <w:snapToGrid w:val="0"/>
              <w:spacing w:line="360" w:lineRule="auto"/>
              <w:ind w:right="-10"/>
              <w:textAlignment w:val="auto"/>
              <w:rPr>
                <w:rFonts w:ascii="宋体" w:hAnsi="宋体" w:eastAsia="宋体"/>
                <w:kern w:val="2"/>
                <w:szCs w:val="24"/>
                <w:highlight w:val="none"/>
              </w:rPr>
            </w:pPr>
            <w:r>
              <w:rPr>
                <w:rFonts w:hint="eastAsia" w:ascii="宋体" w:hAnsi="宋体" w:eastAsia="宋体"/>
                <w:kern w:val="2"/>
                <w:szCs w:val="24"/>
                <w:highlight w:val="none"/>
              </w:rPr>
              <w:t>审查因素</w:t>
            </w:r>
          </w:p>
        </w:tc>
        <w:tc>
          <w:tcPr>
            <w:tcW w:w="2601" w:type="pct"/>
            <w:tcBorders>
              <w:bottom w:val="single" w:color="auto" w:sz="4" w:space="0"/>
            </w:tcBorders>
            <w:vAlign w:val="center"/>
          </w:tcPr>
          <w:p w14:paraId="6DFFEBC0">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审查内容</w:t>
            </w:r>
          </w:p>
        </w:tc>
        <w:tc>
          <w:tcPr>
            <w:tcW w:w="1079" w:type="pct"/>
            <w:tcBorders>
              <w:bottom w:val="single" w:color="auto" w:sz="4" w:space="0"/>
            </w:tcBorders>
            <w:vAlign w:val="center"/>
          </w:tcPr>
          <w:p w14:paraId="0E0406AF">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格式要求</w:t>
            </w:r>
          </w:p>
        </w:tc>
      </w:tr>
      <w:tr w14:paraId="2F1D6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67" w:type="pct"/>
            <w:tcBorders>
              <w:bottom w:val="single" w:color="auto" w:sz="4" w:space="0"/>
            </w:tcBorders>
            <w:vAlign w:val="center"/>
          </w:tcPr>
          <w:p w14:paraId="354D787F">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1</w:t>
            </w:r>
          </w:p>
        </w:tc>
        <w:tc>
          <w:tcPr>
            <w:tcW w:w="951" w:type="pct"/>
            <w:tcBorders>
              <w:bottom w:val="single" w:color="auto" w:sz="4" w:space="0"/>
            </w:tcBorders>
            <w:vAlign w:val="center"/>
          </w:tcPr>
          <w:p w14:paraId="78146C56">
            <w:pPr>
              <w:spacing w:after="50" w:line="360" w:lineRule="auto"/>
              <w:ind w:right="-10"/>
              <w:jc w:val="center"/>
              <w:rPr>
                <w:rFonts w:ascii="宋体" w:hAnsi="宋体" w:eastAsia="宋体"/>
                <w:sz w:val="24"/>
                <w:szCs w:val="28"/>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601" w:type="pct"/>
            <w:tcBorders>
              <w:bottom w:val="single" w:color="auto" w:sz="4" w:space="0"/>
            </w:tcBorders>
            <w:vAlign w:val="center"/>
          </w:tcPr>
          <w:p w14:paraId="428D1508">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供有效的营业执照；</w:t>
            </w:r>
          </w:p>
          <w:p w14:paraId="396C9C10">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供有效的事业单位法人证书；</w:t>
            </w:r>
          </w:p>
          <w:p w14:paraId="16ABE895">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rPr>
              <w:t>或</w:t>
            </w:r>
            <w:r>
              <w:rPr>
                <w:rFonts w:ascii="宋体" w:hAnsi="宋体" w:eastAsia="宋体" w:cs="宋体"/>
                <w:sz w:val="24"/>
                <w:szCs w:val="24"/>
                <w:highlight w:val="none"/>
              </w:rPr>
              <w:t>登记证书等证明文件；</w:t>
            </w:r>
          </w:p>
          <w:p w14:paraId="5C065CA4">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投标人是个体工商户的，应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供有效的个体工商户营业执照；</w:t>
            </w:r>
          </w:p>
          <w:p w14:paraId="7B1CE879">
            <w:pPr>
              <w:spacing w:after="50" w:line="360" w:lineRule="auto"/>
              <w:ind w:right="-10"/>
              <w:jc w:val="left"/>
              <w:rPr>
                <w:rFonts w:ascii="宋体" w:hAnsi="宋体" w:eastAsia="宋体"/>
                <w:sz w:val="24"/>
                <w:szCs w:val="28"/>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投标人是自然人的，应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供有效的自然人身份证明。</w:t>
            </w:r>
          </w:p>
        </w:tc>
        <w:tc>
          <w:tcPr>
            <w:tcW w:w="1079" w:type="pct"/>
            <w:vAlign w:val="center"/>
          </w:tcPr>
          <w:p w14:paraId="1F0F758D">
            <w:pPr>
              <w:spacing w:line="360" w:lineRule="auto"/>
              <w:jc w:val="left"/>
              <w:rPr>
                <w:rFonts w:ascii="宋体" w:hAnsi="宋体" w:eastAsia="宋体"/>
                <w:sz w:val="24"/>
                <w:highlight w:val="none"/>
              </w:rPr>
            </w:pPr>
            <w:r>
              <w:rPr>
                <w:rFonts w:hint="eastAsia" w:ascii="宋体" w:hAnsi="宋体" w:eastAsia="宋体" w:cs="宋体"/>
                <w:sz w:val="24"/>
                <w:szCs w:val="24"/>
                <w:highlight w:val="none"/>
              </w:rPr>
              <w:t>提供材料扫描件或电子证照，应完整的体现出材料或电子证照全部内容。联合体投标的联合体各方均须提供。</w:t>
            </w:r>
          </w:p>
        </w:tc>
      </w:tr>
      <w:tr w14:paraId="6A9B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67" w:type="pct"/>
            <w:tcBorders>
              <w:bottom w:val="single" w:color="auto" w:sz="4" w:space="0"/>
            </w:tcBorders>
            <w:vAlign w:val="center"/>
          </w:tcPr>
          <w:p w14:paraId="15B7EB52">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2</w:t>
            </w:r>
          </w:p>
        </w:tc>
        <w:tc>
          <w:tcPr>
            <w:tcW w:w="951" w:type="pct"/>
            <w:tcBorders>
              <w:bottom w:val="single" w:color="auto" w:sz="4" w:space="0"/>
            </w:tcBorders>
            <w:vAlign w:val="center"/>
          </w:tcPr>
          <w:p w14:paraId="4BCB5F1D">
            <w:pPr>
              <w:spacing w:after="50" w:line="360" w:lineRule="auto"/>
              <w:ind w:right="-10"/>
              <w:jc w:val="center"/>
              <w:rPr>
                <w:rFonts w:ascii="宋体" w:hAnsi="宋体" w:eastAsia="宋体"/>
                <w:sz w:val="24"/>
                <w:szCs w:val="28"/>
                <w:highlight w:val="none"/>
              </w:rPr>
            </w:pPr>
            <w:r>
              <w:rPr>
                <w:rFonts w:hint="eastAsia" w:ascii="宋体" w:hAnsi="宋体" w:eastAsia="宋体"/>
                <w:sz w:val="24"/>
                <w:szCs w:val="18"/>
                <w:highlight w:val="none"/>
              </w:rPr>
              <w:t>投标人资格声明书</w:t>
            </w:r>
          </w:p>
        </w:tc>
        <w:tc>
          <w:tcPr>
            <w:tcW w:w="2601" w:type="pct"/>
            <w:tcBorders>
              <w:bottom w:val="single" w:color="auto" w:sz="4" w:space="0"/>
            </w:tcBorders>
            <w:vAlign w:val="center"/>
          </w:tcPr>
          <w:p w14:paraId="540CA976">
            <w:pPr>
              <w:spacing w:after="50" w:line="360" w:lineRule="auto"/>
              <w:ind w:right="-10"/>
              <w:jc w:val="left"/>
              <w:rPr>
                <w:rFonts w:ascii="宋体" w:hAnsi="宋体" w:eastAsia="宋体"/>
                <w:sz w:val="24"/>
                <w:szCs w:val="28"/>
                <w:highlight w:val="none"/>
              </w:rPr>
            </w:pPr>
            <w:r>
              <w:rPr>
                <w:rFonts w:hint="eastAsia" w:ascii="宋体" w:hAnsi="宋体" w:eastAsia="宋体" w:cs="宋体"/>
                <w:sz w:val="24"/>
                <w:szCs w:val="24"/>
                <w:highlight w:val="none"/>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rPr>
              <w:t>。</w:t>
            </w:r>
          </w:p>
        </w:tc>
        <w:tc>
          <w:tcPr>
            <w:tcW w:w="1079" w:type="pct"/>
            <w:vAlign w:val="center"/>
          </w:tcPr>
          <w:p w14:paraId="04CDEA1D">
            <w:pPr>
              <w:spacing w:line="360" w:lineRule="auto"/>
              <w:jc w:val="left"/>
              <w:rPr>
                <w:rFonts w:ascii="宋体" w:hAnsi="宋体" w:eastAsia="宋体" w:cs="宋体"/>
                <w:sz w:val="24"/>
                <w:szCs w:val="24"/>
                <w:highlight w:val="none"/>
              </w:rPr>
            </w:pPr>
            <w:r>
              <w:rPr>
                <w:rFonts w:hint="eastAsia" w:ascii="宋体" w:hAnsi="宋体" w:eastAsia="宋体"/>
                <w:sz w:val="24"/>
                <w:highlight w:val="none"/>
              </w:rPr>
              <w:t>详见第六章投标文件格式。</w:t>
            </w:r>
          </w:p>
        </w:tc>
      </w:tr>
      <w:tr w14:paraId="1C37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tcBorders>
              <w:bottom w:val="single" w:color="auto" w:sz="4" w:space="0"/>
            </w:tcBorders>
            <w:vAlign w:val="center"/>
          </w:tcPr>
          <w:p w14:paraId="59D9F63C">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3</w:t>
            </w:r>
          </w:p>
        </w:tc>
        <w:tc>
          <w:tcPr>
            <w:tcW w:w="951" w:type="pct"/>
            <w:tcBorders>
              <w:bottom w:val="single" w:color="auto" w:sz="4" w:space="0"/>
            </w:tcBorders>
            <w:vAlign w:val="center"/>
          </w:tcPr>
          <w:p w14:paraId="19C83E68">
            <w:pPr>
              <w:spacing w:after="50" w:line="360" w:lineRule="auto"/>
              <w:ind w:right="-10"/>
              <w:jc w:val="center"/>
              <w:rPr>
                <w:rFonts w:ascii="宋体" w:hAnsi="宋体" w:eastAsia="宋体"/>
                <w:sz w:val="24"/>
                <w:szCs w:val="28"/>
                <w:highlight w:val="none"/>
              </w:rPr>
            </w:pPr>
            <w:r>
              <w:rPr>
                <w:rFonts w:hint="eastAsia" w:ascii="宋体" w:hAnsi="宋体" w:eastAsia="宋体" w:cs="宋体"/>
                <w:sz w:val="24"/>
                <w:szCs w:val="24"/>
                <w:highlight w:val="none"/>
              </w:rPr>
              <w:t>投标人信用记录</w:t>
            </w:r>
          </w:p>
        </w:tc>
        <w:tc>
          <w:tcPr>
            <w:tcW w:w="2601" w:type="pct"/>
            <w:tcBorders>
              <w:bottom w:val="single" w:color="auto" w:sz="4" w:space="0"/>
            </w:tcBorders>
            <w:vAlign w:val="center"/>
          </w:tcPr>
          <w:p w14:paraId="320ED0C2">
            <w:pPr>
              <w:spacing w:after="50" w:line="360" w:lineRule="auto"/>
              <w:ind w:right="-10"/>
              <w:jc w:val="left"/>
              <w:rPr>
                <w:highlight w:val="none"/>
              </w:rPr>
            </w:pPr>
            <w:r>
              <w:rPr>
                <w:rFonts w:hint="eastAsia" w:ascii="宋体" w:hAnsi="宋体" w:eastAsia="宋体" w:cs="宋体"/>
                <w:sz w:val="24"/>
                <w:szCs w:val="24"/>
                <w:highlight w:val="none"/>
                <w:lang w:val="zh-CN"/>
              </w:rPr>
              <w:t>投标人不得存在投标人须知正文第1</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zh-CN"/>
              </w:rPr>
              <w:t>.2</w:t>
            </w:r>
            <w:r>
              <w:rPr>
                <w:rFonts w:hint="eastAsia" w:ascii="宋体" w:hAnsi="宋体" w:eastAsia="宋体" w:cs="宋体"/>
                <w:sz w:val="24"/>
                <w:szCs w:val="24"/>
                <w:highlight w:val="none"/>
              </w:rPr>
              <w:t>条中</w:t>
            </w:r>
            <w:r>
              <w:rPr>
                <w:rFonts w:hint="eastAsia" w:ascii="宋体" w:hAnsi="宋体" w:eastAsia="宋体"/>
                <w:sz w:val="24"/>
                <w:szCs w:val="28"/>
                <w:highlight w:val="none"/>
              </w:rPr>
              <w:t>的</w:t>
            </w:r>
            <w:r>
              <w:rPr>
                <w:rFonts w:hint="eastAsia" w:ascii="宋体" w:hAnsi="宋体" w:eastAsia="宋体"/>
                <w:sz w:val="24"/>
                <w:szCs w:val="18"/>
                <w:highlight w:val="none"/>
              </w:rPr>
              <w:t>不良信用记录情形</w:t>
            </w:r>
          </w:p>
        </w:tc>
        <w:tc>
          <w:tcPr>
            <w:tcW w:w="1079" w:type="pct"/>
            <w:tcBorders>
              <w:bottom w:val="single" w:color="auto" w:sz="4" w:space="0"/>
            </w:tcBorders>
            <w:vAlign w:val="center"/>
          </w:tcPr>
          <w:p w14:paraId="7D6B660F">
            <w:pPr>
              <w:spacing w:line="360" w:lineRule="auto"/>
              <w:jc w:val="left"/>
              <w:rPr>
                <w:highlight w:val="none"/>
              </w:rPr>
            </w:pPr>
            <w:r>
              <w:rPr>
                <w:rFonts w:hint="eastAsia" w:ascii="宋体" w:hAnsi="宋体" w:eastAsia="宋体" w:cs="宋体"/>
                <w:sz w:val="24"/>
                <w:szCs w:val="24"/>
                <w:highlight w:val="none"/>
              </w:rPr>
              <w:t>无须投标人提供，由招标人或采购代理机构查询。</w:t>
            </w:r>
          </w:p>
        </w:tc>
      </w:tr>
      <w:tr w14:paraId="3E02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tcBorders>
              <w:bottom w:val="single" w:color="auto" w:sz="4" w:space="0"/>
            </w:tcBorders>
            <w:vAlign w:val="center"/>
          </w:tcPr>
          <w:p w14:paraId="0FBF1C06">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4</w:t>
            </w:r>
          </w:p>
        </w:tc>
        <w:tc>
          <w:tcPr>
            <w:tcW w:w="951" w:type="pct"/>
            <w:tcBorders>
              <w:bottom w:val="single" w:color="auto" w:sz="4" w:space="0"/>
            </w:tcBorders>
            <w:vAlign w:val="center"/>
          </w:tcPr>
          <w:p w14:paraId="31A2C4D5">
            <w:pPr>
              <w:spacing w:after="50" w:line="360" w:lineRule="auto"/>
              <w:ind w:right="-10"/>
              <w:jc w:val="center"/>
              <w:rPr>
                <w:rFonts w:ascii="宋体" w:hAnsi="宋体" w:eastAsia="宋体" w:cs="宋体"/>
                <w:sz w:val="24"/>
                <w:szCs w:val="24"/>
                <w:highlight w:val="none"/>
              </w:rPr>
            </w:pPr>
            <w:r>
              <w:rPr>
                <w:rFonts w:hint="eastAsia" w:ascii="宋体" w:hAnsi="宋体" w:eastAsia="宋体" w:cs="宋体"/>
                <w:sz w:val="24"/>
                <w:szCs w:val="24"/>
                <w:highlight w:val="none"/>
              </w:rPr>
              <w:t>中小企业证明文件（</w:t>
            </w:r>
            <w:r>
              <w:rPr>
                <w:rFonts w:hint="eastAsia" w:ascii="宋体" w:hAnsi="宋体" w:eastAsia="宋体" w:cs="宋体"/>
                <w:i/>
                <w:iCs/>
                <w:sz w:val="24"/>
                <w:szCs w:val="24"/>
                <w:highlight w:val="none"/>
              </w:rPr>
              <w:t>适用于专门面向中小企业采购项目或预留中小企业采购份额项目</w:t>
            </w:r>
            <w:r>
              <w:rPr>
                <w:rFonts w:hint="eastAsia" w:ascii="宋体" w:hAnsi="宋体" w:eastAsia="宋体" w:cs="宋体"/>
                <w:sz w:val="24"/>
                <w:szCs w:val="24"/>
                <w:highlight w:val="none"/>
              </w:rPr>
              <w:t>）</w:t>
            </w:r>
          </w:p>
        </w:tc>
        <w:tc>
          <w:tcPr>
            <w:tcW w:w="2601" w:type="pct"/>
            <w:tcBorders>
              <w:bottom w:val="single" w:color="auto" w:sz="4" w:space="0"/>
            </w:tcBorders>
          </w:tcPr>
          <w:p w14:paraId="4C65F120">
            <w:pPr>
              <w:spacing w:after="50" w:line="360" w:lineRule="auto"/>
              <w:ind w:right="-10"/>
              <w:jc w:val="left"/>
              <w:rPr>
                <w:rFonts w:ascii="宋体" w:hAnsi="宋体" w:eastAsia="宋体" w:cs="宋体"/>
                <w:sz w:val="24"/>
                <w:szCs w:val="24"/>
                <w:highlight w:val="none"/>
              </w:rPr>
            </w:pPr>
            <w:r>
              <w:rPr>
                <w:rFonts w:hint="eastAsia" w:ascii="宋体" w:hAnsi="宋体" w:eastAsia="宋体"/>
                <w:sz w:val="24"/>
                <w:szCs w:val="28"/>
                <w:highlight w:val="none"/>
              </w:rPr>
              <w:t>符合申请人的资格要求中落实政府采购政策需满足的资格要求：</w:t>
            </w:r>
          </w:p>
          <w:p w14:paraId="7DE038FB">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（1）专门面向中小企业采购的，</w:t>
            </w:r>
            <w:r>
              <w:rPr>
                <w:rFonts w:hint="eastAsia" w:ascii="宋体" w:hAnsi="宋体" w:eastAsia="宋体" w:cs="宋体"/>
                <w:sz w:val="24"/>
                <w:szCs w:val="24"/>
                <w:highlight w:val="none"/>
                <w:lang w:val="zh-CN"/>
              </w:rPr>
              <w:t>投标人</w:t>
            </w:r>
            <w:r>
              <w:rPr>
                <w:rFonts w:hint="eastAsia" w:ascii="宋体" w:hAnsi="宋体" w:eastAsia="宋体" w:cs="宋体"/>
                <w:sz w:val="24"/>
                <w:szCs w:val="24"/>
                <w:highlight w:val="none"/>
              </w:rPr>
              <w:t>应提供《中小企业声明函》或《残疾人福利性单位声明函》或由省级以上监狱管理局、戒毒管理局（含新疆 生产建设兵团）出具的属于监狱企业的证明文件。</w:t>
            </w:r>
          </w:p>
          <w:p w14:paraId="1DF6E5A7">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079" w:type="pct"/>
            <w:tcBorders>
              <w:bottom w:val="single" w:color="auto" w:sz="4" w:space="0"/>
            </w:tcBorders>
            <w:vAlign w:val="center"/>
          </w:tcPr>
          <w:p w14:paraId="23D503DF">
            <w:pPr>
              <w:spacing w:after="50" w:line="360" w:lineRule="auto"/>
              <w:ind w:right="-10"/>
              <w:jc w:val="center"/>
              <w:rPr>
                <w:rFonts w:ascii="宋体" w:hAnsi="宋体" w:eastAsia="宋体" w:cs="宋体"/>
                <w:sz w:val="24"/>
                <w:szCs w:val="24"/>
                <w:highlight w:val="none"/>
              </w:rPr>
            </w:pPr>
            <w:r>
              <w:rPr>
                <w:rFonts w:hint="eastAsia" w:ascii="宋体" w:hAnsi="宋体" w:eastAsia="宋体"/>
                <w:sz w:val="24"/>
                <w:highlight w:val="none"/>
              </w:rPr>
              <w:t>详见第六章投标文件格式。</w:t>
            </w:r>
          </w:p>
        </w:tc>
      </w:tr>
      <w:tr w14:paraId="5631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79FAFDD7">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5</w:t>
            </w:r>
          </w:p>
        </w:tc>
        <w:tc>
          <w:tcPr>
            <w:tcW w:w="951" w:type="pct"/>
            <w:vAlign w:val="center"/>
          </w:tcPr>
          <w:p w14:paraId="2CE91E3D">
            <w:pPr>
              <w:spacing w:after="50" w:line="360" w:lineRule="auto"/>
              <w:ind w:right="-10"/>
              <w:rPr>
                <w:rFonts w:ascii="宋体" w:hAnsi="宋体" w:eastAsia="宋体" w:cs="宋体"/>
                <w:spacing w:val="10"/>
                <w:sz w:val="24"/>
                <w:szCs w:val="24"/>
                <w:highlight w:val="none"/>
              </w:rPr>
            </w:pPr>
            <w:r>
              <w:rPr>
                <w:rFonts w:ascii="宋体" w:hAnsi="宋体" w:eastAsia="宋体" w:cs="宋体"/>
                <w:spacing w:val="10"/>
                <w:sz w:val="24"/>
                <w:szCs w:val="24"/>
                <w:highlight w:val="none"/>
              </w:rPr>
              <w:t>其他特定资格要求</w:t>
            </w:r>
          </w:p>
        </w:tc>
        <w:tc>
          <w:tcPr>
            <w:tcW w:w="2601" w:type="pct"/>
            <w:vAlign w:val="center"/>
          </w:tcPr>
          <w:p w14:paraId="0639CAD4">
            <w:pPr>
              <w:spacing w:after="50" w:line="360" w:lineRule="auto"/>
              <w:ind w:right="-10"/>
              <w:rPr>
                <w:rFonts w:ascii="宋体" w:hAnsi="宋体" w:eastAsia="宋体" w:cs="宋体"/>
                <w:spacing w:val="10"/>
                <w:sz w:val="24"/>
                <w:szCs w:val="24"/>
                <w:highlight w:val="none"/>
              </w:rPr>
            </w:pPr>
            <w:r>
              <w:rPr>
                <w:rFonts w:ascii="宋体" w:hAnsi="宋体" w:eastAsia="宋体" w:cs="宋体"/>
                <w:spacing w:val="10"/>
                <w:sz w:val="24"/>
                <w:szCs w:val="24"/>
                <w:highlight w:val="none"/>
              </w:rPr>
              <w:t>如有，见第一章《</w:t>
            </w:r>
            <w:r>
              <w:rPr>
                <w:rFonts w:hint="eastAsia" w:ascii="宋体" w:hAnsi="宋体" w:eastAsia="宋体" w:cs="宋体"/>
                <w:spacing w:val="10"/>
                <w:sz w:val="24"/>
                <w:szCs w:val="24"/>
                <w:highlight w:val="none"/>
              </w:rPr>
              <w:t>招标公告</w:t>
            </w:r>
            <w:r>
              <w:rPr>
                <w:rFonts w:ascii="宋体" w:hAnsi="宋体" w:eastAsia="宋体" w:cs="宋体"/>
                <w:spacing w:val="10"/>
                <w:sz w:val="24"/>
                <w:szCs w:val="24"/>
                <w:highlight w:val="none"/>
              </w:rPr>
              <w:t>》</w:t>
            </w:r>
          </w:p>
        </w:tc>
        <w:tc>
          <w:tcPr>
            <w:tcW w:w="1079" w:type="pct"/>
            <w:vAlign w:val="center"/>
          </w:tcPr>
          <w:p w14:paraId="7226D11F">
            <w:pPr>
              <w:spacing w:after="50" w:line="360" w:lineRule="auto"/>
              <w:ind w:right="-10"/>
              <w:rPr>
                <w:rFonts w:ascii="宋体" w:hAnsi="宋体" w:eastAsia="宋体" w:cs="宋体"/>
                <w:spacing w:val="10"/>
                <w:sz w:val="24"/>
                <w:szCs w:val="24"/>
                <w:highlight w:val="none"/>
              </w:rPr>
            </w:pPr>
            <w:r>
              <w:rPr>
                <w:rFonts w:hint="eastAsia" w:ascii="宋体" w:hAnsi="宋体" w:eastAsia="宋体" w:cs="宋体"/>
                <w:sz w:val="24"/>
                <w:szCs w:val="24"/>
                <w:highlight w:val="none"/>
              </w:rPr>
              <w:t>提供材料扫描件或电子证照，应完整的体现出材料或电子证照全部内容。</w:t>
            </w:r>
          </w:p>
        </w:tc>
      </w:tr>
    </w:tbl>
    <w:p w14:paraId="47456B8C">
      <w:pPr>
        <w:spacing w:line="360" w:lineRule="auto"/>
        <w:ind w:firstLine="435"/>
        <w:rPr>
          <w:rFonts w:asciiTheme="minorEastAsia" w:hAnsiTheme="minorEastAsia" w:eastAsiaTheme="minorEastAsia"/>
          <w:sz w:val="24"/>
          <w:highlight w:val="none"/>
        </w:rPr>
      </w:pPr>
      <w:r>
        <w:rPr>
          <w:rFonts w:hint="eastAsia" w:ascii="宋体" w:hAnsi="宋体" w:eastAsia="宋体"/>
          <w:b/>
          <w:bCs/>
          <w:sz w:val="24"/>
          <w:highlight w:val="none"/>
        </w:rPr>
        <w:t>资格审查指标通过标准：</w:t>
      </w:r>
      <w:r>
        <w:rPr>
          <w:rFonts w:hint="eastAsia" w:ascii="宋体" w:hAnsi="宋体" w:eastAsia="宋体"/>
          <w:sz w:val="24"/>
          <w:highlight w:val="none"/>
        </w:rPr>
        <w:t>投标人必须通过资格审查表中的全部评审指标。</w:t>
      </w:r>
    </w:p>
    <w:p w14:paraId="4D3BA696">
      <w:pPr>
        <w:spacing w:line="360" w:lineRule="auto"/>
        <w:ind w:firstLine="437"/>
        <w:outlineLvl w:val="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2.2符合性审查</w:t>
      </w:r>
    </w:p>
    <w:p w14:paraId="0472A25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评标委员会对通过资格审查的投标人的投标文件进行符合性审查，以确定其是否满足招标文件的实质性要求。符合性审查表如下：</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3C19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3CCA688D">
            <w:pPr>
              <w:adjustRightInd w:val="0"/>
              <w:snapToGrid w:val="0"/>
              <w:spacing w:line="360" w:lineRule="auto"/>
              <w:ind w:right="-10"/>
              <w:jc w:val="center"/>
              <w:rPr>
                <w:rFonts w:ascii="宋体" w:hAnsi="宋体" w:eastAsia="宋体"/>
                <w:b/>
                <w:bCs/>
                <w:sz w:val="24"/>
                <w:highlight w:val="none"/>
              </w:rPr>
            </w:pPr>
            <w:r>
              <w:rPr>
                <w:rFonts w:hint="eastAsia" w:ascii="宋体" w:hAnsi="宋体" w:eastAsia="宋体"/>
                <w:b/>
                <w:bCs/>
                <w:sz w:val="24"/>
                <w:highlight w:val="none"/>
              </w:rPr>
              <w:t>符合性审查表</w:t>
            </w:r>
          </w:p>
        </w:tc>
      </w:tr>
      <w:tr w14:paraId="5EEF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434BCF43">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序号</w:t>
            </w:r>
          </w:p>
        </w:tc>
        <w:tc>
          <w:tcPr>
            <w:tcW w:w="1242" w:type="pct"/>
            <w:tcBorders>
              <w:bottom w:val="single" w:color="auto" w:sz="4" w:space="0"/>
            </w:tcBorders>
            <w:vAlign w:val="center"/>
          </w:tcPr>
          <w:p w14:paraId="4E5B0918">
            <w:pPr>
              <w:pStyle w:val="33"/>
              <w:pBdr>
                <w:bottom w:val="none" w:color="auto" w:sz="0" w:space="0"/>
              </w:pBdr>
              <w:tabs>
                <w:tab w:val="clear" w:pos="4153"/>
                <w:tab w:val="clear" w:pos="8306"/>
              </w:tabs>
              <w:snapToGrid w:val="0"/>
              <w:spacing w:line="360" w:lineRule="auto"/>
              <w:ind w:right="-10"/>
              <w:textAlignment w:val="auto"/>
              <w:rPr>
                <w:rFonts w:ascii="宋体" w:hAnsi="宋体" w:eastAsia="宋体"/>
                <w:kern w:val="2"/>
                <w:highlight w:val="none"/>
              </w:rPr>
            </w:pPr>
            <w:r>
              <w:rPr>
                <w:rFonts w:hint="eastAsia" w:ascii="宋体" w:hAnsi="宋体" w:eastAsia="宋体"/>
                <w:kern w:val="2"/>
                <w:highlight w:val="none"/>
              </w:rPr>
              <w:t>审查指标</w:t>
            </w:r>
          </w:p>
        </w:tc>
        <w:tc>
          <w:tcPr>
            <w:tcW w:w="1835" w:type="pct"/>
            <w:tcBorders>
              <w:bottom w:val="single" w:color="auto" w:sz="4" w:space="0"/>
            </w:tcBorders>
            <w:vAlign w:val="center"/>
          </w:tcPr>
          <w:p w14:paraId="1578A9B3">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审查标准</w:t>
            </w:r>
          </w:p>
        </w:tc>
        <w:tc>
          <w:tcPr>
            <w:tcW w:w="1473" w:type="pct"/>
            <w:tcBorders>
              <w:bottom w:val="single" w:color="auto" w:sz="4" w:space="0"/>
            </w:tcBorders>
            <w:vAlign w:val="center"/>
          </w:tcPr>
          <w:p w14:paraId="5112F28C">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格式要求</w:t>
            </w:r>
          </w:p>
        </w:tc>
      </w:tr>
      <w:tr w14:paraId="4DA8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2DA793E2">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242" w:type="pct"/>
            <w:vAlign w:val="center"/>
          </w:tcPr>
          <w:p w14:paraId="10E1102F">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highlight w:val="none"/>
              </w:rPr>
              <w:t>开标一览表</w:t>
            </w:r>
          </w:p>
        </w:tc>
        <w:tc>
          <w:tcPr>
            <w:tcW w:w="1835" w:type="pct"/>
            <w:vAlign w:val="center"/>
          </w:tcPr>
          <w:p w14:paraId="25368EB4">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1473" w:type="pct"/>
            <w:vAlign w:val="center"/>
          </w:tcPr>
          <w:p w14:paraId="390D48A3">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2F06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06BCCC2">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242" w:type="pct"/>
            <w:vAlign w:val="center"/>
          </w:tcPr>
          <w:p w14:paraId="529B198C">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投标函</w:t>
            </w:r>
          </w:p>
        </w:tc>
        <w:tc>
          <w:tcPr>
            <w:tcW w:w="1835" w:type="pct"/>
            <w:vAlign w:val="center"/>
          </w:tcPr>
          <w:p w14:paraId="232FFF5B">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1473" w:type="pct"/>
            <w:vAlign w:val="center"/>
          </w:tcPr>
          <w:p w14:paraId="03640454">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4731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0602EB2">
            <w:pPr>
              <w:adjustRightInd w:val="0"/>
              <w:snapToGrid w:val="0"/>
              <w:spacing w:line="360" w:lineRule="auto"/>
              <w:ind w:right="-10"/>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3</w:t>
            </w:r>
          </w:p>
        </w:tc>
        <w:tc>
          <w:tcPr>
            <w:tcW w:w="1242" w:type="pct"/>
            <w:vAlign w:val="center"/>
          </w:tcPr>
          <w:p w14:paraId="74EC4079">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授权书</w:t>
            </w:r>
          </w:p>
        </w:tc>
        <w:tc>
          <w:tcPr>
            <w:tcW w:w="1835" w:type="pct"/>
            <w:vAlign w:val="center"/>
          </w:tcPr>
          <w:p w14:paraId="26724BAF">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1473" w:type="pct"/>
            <w:vAlign w:val="center"/>
          </w:tcPr>
          <w:p w14:paraId="09CE3771">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法定代表人参加投标的无需此件，提供身份证明即可。详见第六章投标文件格式。</w:t>
            </w:r>
          </w:p>
        </w:tc>
      </w:tr>
      <w:tr w14:paraId="77D5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7BC9B76">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242" w:type="pct"/>
            <w:vAlign w:val="center"/>
          </w:tcPr>
          <w:p w14:paraId="79A4DEAC">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投标报价</w:t>
            </w:r>
          </w:p>
        </w:tc>
        <w:tc>
          <w:tcPr>
            <w:tcW w:w="1835" w:type="pct"/>
            <w:vAlign w:val="center"/>
          </w:tcPr>
          <w:p w14:paraId="44FF6066">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w:t>
            </w:r>
            <w:r>
              <w:rPr>
                <w:rFonts w:hint="eastAsia" w:asciiTheme="minorEastAsia" w:hAnsiTheme="minorEastAsia" w:eastAsiaTheme="minorEastAsia"/>
                <w:sz w:val="24"/>
                <w:highlight w:val="none"/>
              </w:rPr>
              <w:t>招标文件投标人须知正文第9条要求</w:t>
            </w:r>
          </w:p>
        </w:tc>
        <w:tc>
          <w:tcPr>
            <w:tcW w:w="1473" w:type="pct"/>
            <w:vAlign w:val="center"/>
          </w:tcPr>
          <w:p w14:paraId="142202E6">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45C4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286E3AC">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p>
        </w:tc>
        <w:tc>
          <w:tcPr>
            <w:tcW w:w="1242" w:type="pct"/>
            <w:vAlign w:val="center"/>
          </w:tcPr>
          <w:p w14:paraId="6BD93225">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商务响应情况</w:t>
            </w:r>
          </w:p>
        </w:tc>
        <w:tc>
          <w:tcPr>
            <w:tcW w:w="1835" w:type="pct"/>
            <w:vAlign w:val="center"/>
          </w:tcPr>
          <w:p w14:paraId="0665AE88">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符合招标文件采购需求中对付款方式、服务地点、服务期限等实质性要求</w:t>
            </w:r>
          </w:p>
        </w:tc>
        <w:tc>
          <w:tcPr>
            <w:tcW w:w="1473" w:type="pct"/>
            <w:vAlign w:val="center"/>
          </w:tcPr>
          <w:p w14:paraId="05E538E7">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2804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25BFEC90">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p>
        </w:tc>
        <w:tc>
          <w:tcPr>
            <w:tcW w:w="1242" w:type="pct"/>
            <w:vAlign w:val="center"/>
          </w:tcPr>
          <w:p w14:paraId="4EE3115A">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其他要求</w:t>
            </w:r>
          </w:p>
        </w:tc>
        <w:tc>
          <w:tcPr>
            <w:tcW w:w="1835" w:type="pct"/>
            <w:vAlign w:val="center"/>
          </w:tcPr>
          <w:p w14:paraId="781D76A5">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符合法律、行政法规规定的其他条件或招标文件列明的其他实质性要求</w:t>
            </w:r>
          </w:p>
        </w:tc>
        <w:tc>
          <w:tcPr>
            <w:tcW w:w="1473" w:type="pct"/>
            <w:vAlign w:val="center"/>
          </w:tcPr>
          <w:p w14:paraId="1D5D86B0">
            <w:pPr>
              <w:adjustRightInd w:val="0"/>
              <w:snapToGrid w:val="0"/>
              <w:spacing w:line="360" w:lineRule="auto"/>
              <w:ind w:right="-10"/>
              <w:jc w:val="center"/>
              <w:rPr>
                <w:rFonts w:asciiTheme="minorEastAsia" w:hAnsiTheme="minorEastAsia" w:eastAsiaTheme="minorEastAsia"/>
                <w:sz w:val="24"/>
                <w:highlight w:val="none"/>
              </w:rPr>
            </w:pPr>
          </w:p>
        </w:tc>
      </w:tr>
    </w:tbl>
    <w:p w14:paraId="5C2EB22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b/>
          <w:bCs/>
          <w:sz w:val="24"/>
          <w:highlight w:val="none"/>
        </w:rPr>
        <w:t>符合性审查指标通过标准：</w:t>
      </w:r>
      <w:r>
        <w:rPr>
          <w:rFonts w:hint="eastAsia" w:asciiTheme="minorEastAsia" w:hAnsiTheme="minorEastAsia" w:eastAsiaTheme="minorEastAsia"/>
          <w:sz w:val="24"/>
          <w:highlight w:val="none"/>
        </w:rPr>
        <w:t>投标人必须通过符合性审查表中的全部评审指标。</w:t>
      </w:r>
    </w:p>
    <w:p w14:paraId="0674F0DD">
      <w:pPr>
        <w:spacing w:line="360" w:lineRule="auto"/>
        <w:ind w:firstLine="437"/>
        <w:outlineLvl w:val="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2.3详细审查</w:t>
      </w:r>
    </w:p>
    <w:p w14:paraId="4F49035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.3.1</w:t>
      </w:r>
      <w:r>
        <w:rPr>
          <w:rFonts w:hint="eastAsia" w:asciiTheme="minorEastAsia" w:hAnsiTheme="minorEastAsia" w:eastAsiaTheme="minorEastAsia"/>
          <w:sz w:val="24"/>
          <w:highlight w:val="none"/>
        </w:rPr>
        <w:t>评标委员会按照下表对投标文件进行详细审查和评分。</w:t>
      </w:r>
    </w:p>
    <w:p w14:paraId="3F11C4C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.3.2</w:t>
      </w:r>
      <w:r>
        <w:rPr>
          <w:rFonts w:hint="eastAsia" w:asciiTheme="minorEastAsia" w:hAnsiTheme="minorEastAsia" w:eastAsiaTheme="minorEastAsia"/>
          <w:sz w:val="24"/>
          <w:highlight w:val="none"/>
        </w:rPr>
        <w:t>本项目综合评分满分为1</w:t>
      </w:r>
      <w:r>
        <w:rPr>
          <w:rFonts w:asciiTheme="minorEastAsia" w:hAnsiTheme="minorEastAsia" w:eastAsiaTheme="minorEastAsia"/>
          <w:sz w:val="24"/>
          <w:highlight w:val="none"/>
        </w:rPr>
        <w:t>00</w:t>
      </w:r>
      <w:r>
        <w:rPr>
          <w:rFonts w:hint="eastAsia" w:asciiTheme="minorEastAsia" w:hAnsiTheme="minorEastAsia" w:eastAsiaTheme="minorEastAsia"/>
          <w:sz w:val="24"/>
          <w:highlight w:val="none"/>
        </w:rPr>
        <w:t>分，其中：技术资信分值占总分值的权重为</w:t>
      </w:r>
      <w:r>
        <w:rPr>
          <w:rFonts w:hint="eastAsia" w:asciiTheme="minorEastAsia" w:hAnsiTheme="minorEastAsia" w:eastAsiaTheme="minorEastAsia"/>
          <w:sz w:val="24"/>
          <w:highlight w:val="none"/>
          <w:u w:val="single"/>
        </w:rPr>
        <w:t>90</w:t>
      </w:r>
      <w:r>
        <w:rPr>
          <w:rFonts w:asciiTheme="minorEastAsia" w:hAnsiTheme="minorEastAsia" w:eastAsiaTheme="minorEastAsia"/>
          <w:sz w:val="24"/>
          <w:highlight w:val="none"/>
        </w:rPr>
        <w:t>%，价格分值占总分值的权重为</w:t>
      </w:r>
      <w:r>
        <w:rPr>
          <w:rFonts w:hint="eastAsia" w:asciiTheme="minorEastAsia" w:hAnsiTheme="minorEastAsia" w:eastAsiaTheme="minorEastAsia"/>
          <w:sz w:val="24"/>
          <w:highlight w:val="none"/>
          <w:u w:val="single"/>
        </w:rPr>
        <w:t>10</w:t>
      </w:r>
      <w:r>
        <w:rPr>
          <w:rFonts w:asciiTheme="minorEastAsia" w:hAnsiTheme="minorEastAsia" w:eastAsiaTheme="minorEastAsia"/>
          <w:sz w:val="24"/>
          <w:highlight w:val="none"/>
        </w:rPr>
        <w:t>%。具体评分细则如下：</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1350"/>
        <w:gridCol w:w="5218"/>
        <w:gridCol w:w="812"/>
      </w:tblGrid>
      <w:tr w14:paraId="2265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670" w:type="pct"/>
            <w:tcBorders>
              <w:top w:val="single" w:color="auto" w:sz="4" w:space="0"/>
              <w:left w:val="single" w:color="auto" w:sz="4" w:space="0"/>
              <w:bottom w:val="single" w:color="auto" w:sz="4" w:space="0"/>
              <w:right w:val="single" w:color="auto" w:sz="4" w:space="0"/>
            </w:tcBorders>
            <w:vAlign w:val="center"/>
          </w:tcPr>
          <w:p w14:paraId="27B795AF">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类别</w:t>
            </w:r>
          </w:p>
        </w:tc>
        <w:tc>
          <w:tcPr>
            <w:tcW w:w="792" w:type="pct"/>
            <w:tcBorders>
              <w:top w:val="single" w:color="auto" w:sz="4" w:space="0"/>
              <w:left w:val="single" w:color="auto" w:sz="4" w:space="0"/>
              <w:bottom w:val="single" w:color="auto" w:sz="4" w:space="0"/>
              <w:right w:val="single" w:color="auto" w:sz="4" w:space="0"/>
            </w:tcBorders>
            <w:vAlign w:val="center"/>
          </w:tcPr>
          <w:p w14:paraId="48F630AB">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评分内容</w:t>
            </w:r>
          </w:p>
        </w:tc>
        <w:tc>
          <w:tcPr>
            <w:tcW w:w="3061" w:type="pct"/>
            <w:tcBorders>
              <w:top w:val="single" w:color="auto" w:sz="4" w:space="0"/>
              <w:left w:val="single" w:color="auto" w:sz="4" w:space="0"/>
              <w:bottom w:val="single" w:color="auto" w:sz="4" w:space="0"/>
              <w:right w:val="single" w:color="auto" w:sz="4" w:space="0"/>
            </w:tcBorders>
            <w:vAlign w:val="center"/>
          </w:tcPr>
          <w:p w14:paraId="27B5DEA6">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评分标准</w:t>
            </w:r>
          </w:p>
        </w:tc>
        <w:tc>
          <w:tcPr>
            <w:tcW w:w="476" w:type="pct"/>
            <w:tcBorders>
              <w:top w:val="single" w:color="auto" w:sz="4" w:space="0"/>
              <w:left w:val="single" w:color="auto" w:sz="4" w:space="0"/>
              <w:bottom w:val="single" w:color="auto" w:sz="4" w:space="0"/>
              <w:right w:val="single" w:color="auto" w:sz="4" w:space="0"/>
            </w:tcBorders>
            <w:vAlign w:val="center"/>
          </w:tcPr>
          <w:p w14:paraId="072B4792">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分值范围</w:t>
            </w:r>
          </w:p>
        </w:tc>
      </w:tr>
      <w:tr w14:paraId="3784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pct"/>
            <w:vMerge w:val="restart"/>
            <w:tcBorders>
              <w:top w:val="single" w:color="auto" w:sz="4" w:space="0"/>
              <w:left w:val="single" w:color="auto" w:sz="4" w:space="0"/>
              <w:right w:val="single" w:color="auto" w:sz="4" w:space="0"/>
            </w:tcBorders>
            <w:vAlign w:val="center"/>
          </w:tcPr>
          <w:p w14:paraId="2741AECA">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技术资信分</w:t>
            </w:r>
          </w:p>
          <w:p w14:paraId="1DDB41D1">
            <w:pPr>
              <w:spacing w:line="360" w:lineRule="auto"/>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90</w:t>
            </w:r>
            <w:r>
              <w:rPr>
                <w:rFonts w:hint="eastAsia" w:asciiTheme="minorEastAsia" w:hAnsiTheme="minorEastAsia" w:eastAsiaTheme="minorEastAsia"/>
                <w:sz w:val="24"/>
                <w:highlight w:val="none"/>
              </w:rPr>
              <w:t>分）</w:t>
            </w:r>
          </w:p>
        </w:tc>
        <w:tc>
          <w:tcPr>
            <w:tcW w:w="792" w:type="pct"/>
            <w:tcBorders>
              <w:top w:val="single" w:color="auto" w:sz="4" w:space="0"/>
              <w:left w:val="single" w:color="auto" w:sz="4" w:space="0"/>
              <w:bottom w:val="single" w:color="auto" w:sz="4" w:space="0"/>
              <w:right w:val="single" w:color="auto" w:sz="4" w:space="0"/>
            </w:tcBorders>
            <w:vAlign w:val="center"/>
          </w:tcPr>
          <w:p w14:paraId="7F78BEDF">
            <w:pPr>
              <w:spacing w:line="360" w:lineRule="auto"/>
              <w:ind w:left="6" w:right="-109" w:rightChars="-52"/>
              <w:rPr>
                <w:rFonts w:ascii="宋体" w:hAnsi="宋体" w:eastAsia="宋体" w:cs="宋体"/>
                <w:bCs/>
                <w:sz w:val="24"/>
                <w:szCs w:val="24"/>
                <w:highlight w:val="none"/>
              </w:rPr>
            </w:pPr>
            <w:r>
              <w:rPr>
                <w:rFonts w:hint="eastAsia" w:ascii="宋体" w:hAnsi="宋体" w:eastAsia="宋体" w:cs="宋体"/>
                <w:sz w:val="24"/>
                <w:szCs w:val="24"/>
                <w:highlight w:val="none"/>
              </w:rPr>
              <w:t>投标人业绩</w:t>
            </w:r>
          </w:p>
        </w:tc>
        <w:tc>
          <w:tcPr>
            <w:tcW w:w="3061" w:type="pct"/>
            <w:tcBorders>
              <w:top w:val="single" w:color="auto" w:sz="4" w:space="0"/>
              <w:left w:val="single" w:color="auto" w:sz="4" w:space="0"/>
              <w:bottom w:val="single" w:color="auto" w:sz="4" w:space="0"/>
              <w:right w:val="single" w:color="auto" w:sz="4" w:space="0"/>
            </w:tcBorders>
            <w:vAlign w:val="center"/>
          </w:tcPr>
          <w:p w14:paraId="563F69F2">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2020年1月1日以来（以合同签订时间为准），投标人具有房屋建筑工程监理业绩，每提供一个得4分，满分12分。</w:t>
            </w:r>
          </w:p>
          <w:p w14:paraId="59D04958">
            <w:pPr>
              <w:spacing w:line="360" w:lineRule="auto"/>
              <w:ind w:left="6" w:right="-109" w:rightChars="-52"/>
              <w:rPr>
                <w:rFonts w:ascii="宋体" w:hAnsi="宋体" w:eastAsia="宋体" w:cs="宋体"/>
                <w:b/>
                <w:bCs/>
                <w:sz w:val="24"/>
                <w:szCs w:val="24"/>
                <w:highlight w:val="none"/>
              </w:rPr>
            </w:pPr>
            <w:r>
              <w:rPr>
                <w:rFonts w:hint="eastAsia" w:ascii="宋体" w:hAnsi="宋体" w:eastAsia="宋体" w:cs="宋体"/>
                <w:b/>
                <w:bCs/>
                <w:sz w:val="24"/>
                <w:szCs w:val="24"/>
                <w:highlight w:val="none"/>
              </w:rPr>
              <w:t>注：</w:t>
            </w:r>
          </w:p>
          <w:p w14:paraId="269AAC68">
            <w:pPr>
              <w:spacing w:line="360" w:lineRule="auto"/>
              <w:ind w:left="6" w:right="-109" w:rightChars="-52"/>
              <w:rPr>
                <w:rFonts w:ascii="宋体" w:hAnsi="宋体" w:eastAsia="宋体" w:cs="宋体"/>
                <w:b/>
                <w:bCs/>
                <w:sz w:val="24"/>
                <w:szCs w:val="24"/>
                <w:highlight w:val="none"/>
              </w:rPr>
            </w:pPr>
            <w:r>
              <w:rPr>
                <w:rFonts w:hint="eastAsia" w:ascii="宋体" w:hAnsi="宋体" w:eastAsia="宋体" w:cs="宋体"/>
                <w:b/>
                <w:bCs/>
                <w:sz w:val="24"/>
                <w:szCs w:val="24"/>
                <w:highlight w:val="none"/>
              </w:rPr>
              <w:t>（1）提供业绩合同扫描件</w:t>
            </w:r>
          </w:p>
          <w:p w14:paraId="16D4D9CA">
            <w:pPr>
              <w:spacing w:line="360" w:lineRule="auto"/>
              <w:ind w:left="6" w:right="-109" w:rightChars="-52"/>
              <w:rPr>
                <w:rFonts w:ascii="宋体" w:hAnsi="宋体" w:eastAsia="宋体" w:cs="宋体"/>
                <w:b/>
                <w:bCs/>
                <w:sz w:val="24"/>
                <w:szCs w:val="24"/>
                <w:highlight w:val="none"/>
              </w:rPr>
            </w:pPr>
            <w:r>
              <w:rPr>
                <w:rFonts w:hint="eastAsia" w:ascii="宋体" w:hAnsi="宋体" w:eastAsia="宋体" w:cs="宋体"/>
                <w:b/>
                <w:bCs/>
                <w:sz w:val="24"/>
                <w:szCs w:val="24"/>
                <w:highlight w:val="none"/>
              </w:rPr>
              <w:t>（2）提供竣工验收证明文件（至少有建设单位、设计单位、监理单位、施工单位四方参与竣工验收并盖单位章）或监理业务手册或总监信用手册。</w:t>
            </w:r>
          </w:p>
          <w:p w14:paraId="7EB3E336">
            <w:pPr>
              <w:spacing w:line="360" w:lineRule="auto"/>
              <w:ind w:left="6" w:right="-109" w:rightChars="-52"/>
              <w:rPr>
                <w:rFonts w:ascii="宋体" w:hAnsi="宋体" w:eastAsia="宋体" w:cs="宋体"/>
                <w:bCs/>
                <w:sz w:val="24"/>
                <w:szCs w:val="24"/>
                <w:highlight w:val="none"/>
              </w:rPr>
            </w:pPr>
            <w:r>
              <w:rPr>
                <w:rFonts w:hint="eastAsia" w:ascii="宋体" w:hAnsi="宋体" w:eastAsia="宋体" w:cs="宋体"/>
                <w:b/>
                <w:bCs/>
                <w:sz w:val="24"/>
                <w:szCs w:val="24"/>
                <w:highlight w:val="none"/>
              </w:rPr>
              <w:t>（3）如投标人提供的上述业绩证明材料未能完整或充分反映评审因素（如项目类型等）的，应另附合同甲方证明材料（须加盖合同甲方单位章）予以明确说明，否则评标委员会不予认可。</w:t>
            </w:r>
          </w:p>
        </w:tc>
        <w:tc>
          <w:tcPr>
            <w:tcW w:w="476" w:type="pct"/>
            <w:tcBorders>
              <w:top w:val="single" w:color="auto" w:sz="4" w:space="0"/>
              <w:left w:val="single" w:color="auto" w:sz="4" w:space="0"/>
              <w:bottom w:val="single" w:color="auto" w:sz="4" w:space="0"/>
              <w:right w:val="single" w:color="auto" w:sz="4" w:space="0"/>
            </w:tcBorders>
            <w:vAlign w:val="center"/>
          </w:tcPr>
          <w:p w14:paraId="56207DBC">
            <w:pPr>
              <w:spacing w:line="360" w:lineRule="auto"/>
              <w:jc w:val="center"/>
              <w:rPr>
                <w:rFonts w:asciiTheme="minorEastAsia" w:hAnsiTheme="minorEastAsia" w:eastAsiaTheme="minorEastAsia"/>
                <w:bCs/>
                <w:sz w:val="24"/>
                <w:highlight w:val="none"/>
              </w:rPr>
            </w:pPr>
            <w:r>
              <w:rPr>
                <w:rFonts w:hint="eastAsia" w:ascii="宋体" w:hAnsi="宋体" w:eastAsia="宋体" w:cs="宋体"/>
                <w:sz w:val="24"/>
                <w:szCs w:val="24"/>
                <w:highlight w:val="none"/>
              </w:rPr>
              <w:t>0-12分</w:t>
            </w:r>
          </w:p>
        </w:tc>
      </w:tr>
      <w:tr w14:paraId="6AB1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pct"/>
            <w:vMerge w:val="continue"/>
            <w:tcBorders>
              <w:left w:val="single" w:color="auto" w:sz="4" w:space="0"/>
              <w:right w:val="single" w:color="auto" w:sz="4" w:space="0"/>
            </w:tcBorders>
            <w:vAlign w:val="center"/>
          </w:tcPr>
          <w:p w14:paraId="70D04A8E">
            <w:pPr>
              <w:spacing w:line="360" w:lineRule="auto"/>
              <w:ind w:firstLine="435"/>
              <w:jc w:val="center"/>
              <w:rPr>
                <w:rFonts w:asciiTheme="minorEastAsia" w:hAnsiTheme="minorEastAsia" w:eastAsiaTheme="minorEastAsia"/>
                <w:b/>
                <w:bCs/>
                <w:sz w:val="24"/>
                <w:highlight w:val="none"/>
              </w:rPr>
            </w:pPr>
          </w:p>
        </w:tc>
        <w:tc>
          <w:tcPr>
            <w:tcW w:w="792" w:type="pct"/>
            <w:tcBorders>
              <w:top w:val="single" w:color="auto" w:sz="4" w:space="0"/>
              <w:left w:val="single" w:color="auto" w:sz="4" w:space="0"/>
              <w:bottom w:val="single" w:color="auto" w:sz="4" w:space="0"/>
              <w:right w:val="single" w:color="auto" w:sz="4" w:space="0"/>
            </w:tcBorders>
            <w:vAlign w:val="center"/>
          </w:tcPr>
          <w:p w14:paraId="01C9115E">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拟任总监业绩</w:t>
            </w:r>
          </w:p>
        </w:tc>
        <w:tc>
          <w:tcPr>
            <w:tcW w:w="3061" w:type="pct"/>
            <w:tcBorders>
              <w:top w:val="single" w:color="auto" w:sz="4" w:space="0"/>
              <w:left w:val="single" w:color="auto" w:sz="4" w:space="0"/>
              <w:bottom w:val="single" w:color="auto" w:sz="4" w:space="0"/>
              <w:right w:val="single" w:color="auto" w:sz="4" w:space="0"/>
            </w:tcBorders>
            <w:vAlign w:val="center"/>
          </w:tcPr>
          <w:p w14:paraId="19ABE64B">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2020年1月1日以来（以合同签订时间为准），拟任总监以项目总监身份承担过房屋建筑工程监理业绩，每提供一个得4分，满分12分。</w:t>
            </w:r>
          </w:p>
          <w:p w14:paraId="72AE85FD">
            <w:pPr>
              <w:spacing w:line="360" w:lineRule="auto"/>
              <w:ind w:left="6" w:right="-109" w:rightChars="-52"/>
              <w:rPr>
                <w:rFonts w:ascii="宋体" w:hAnsi="宋体" w:eastAsia="宋体" w:cs="宋体"/>
                <w:b/>
                <w:bCs/>
                <w:sz w:val="24"/>
                <w:szCs w:val="24"/>
                <w:highlight w:val="none"/>
              </w:rPr>
            </w:pPr>
            <w:r>
              <w:rPr>
                <w:rFonts w:hint="eastAsia" w:ascii="宋体" w:hAnsi="宋体" w:eastAsia="宋体" w:cs="宋体"/>
                <w:b/>
                <w:bCs/>
                <w:sz w:val="24"/>
                <w:szCs w:val="24"/>
                <w:highlight w:val="none"/>
              </w:rPr>
              <w:t>注：</w:t>
            </w:r>
          </w:p>
          <w:p w14:paraId="2C573B57">
            <w:pPr>
              <w:spacing w:line="360" w:lineRule="auto"/>
              <w:ind w:left="6" w:right="-109" w:rightChars="-52"/>
              <w:rPr>
                <w:rFonts w:ascii="宋体" w:hAnsi="宋体" w:eastAsia="宋体" w:cs="宋体"/>
                <w:b/>
                <w:bCs/>
                <w:sz w:val="24"/>
                <w:szCs w:val="24"/>
                <w:highlight w:val="none"/>
              </w:rPr>
            </w:pPr>
            <w:r>
              <w:rPr>
                <w:rFonts w:hint="eastAsia" w:ascii="宋体" w:hAnsi="宋体" w:eastAsia="宋体" w:cs="宋体"/>
                <w:b/>
                <w:bCs/>
                <w:sz w:val="24"/>
                <w:szCs w:val="24"/>
                <w:highlight w:val="none"/>
              </w:rPr>
              <w:t>（1）提供业绩合同扫描件。</w:t>
            </w:r>
          </w:p>
          <w:p w14:paraId="298C38F8">
            <w:pPr>
              <w:spacing w:line="360" w:lineRule="auto"/>
              <w:ind w:left="6" w:right="-109" w:rightChars="-52"/>
              <w:rPr>
                <w:rFonts w:ascii="宋体" w:hAnsi="宋体" w:eastAsia="宋体" w:cs="宋体"/>
                <w:b/>
                <w:bCs/>
                <w:sz w:val="24"/>
                <w:szCs w:val="24"/>
                <w:highlight w:val="none"/>
              </w:rPr>
            </w:pPr>
            <w:r>
              <w:rPr>
                <w:rFonts w:hint="eastAsia" w:ascii="宋体" w:hAnsi="宋体" w:eastAsia="宋体" w:cs="宋体"/>
                <w:b/>
                <w:bCs/>
                <w:sz w:val="24"/>
                <w:szCs w:val="24"/>
                <w:highlight w:val="none"/>
              </w:rPr>
              <w:t>（2）提供竣工验收证明文件（至少有建设单位、设计单位、监理单位、施工单位四方参与竣工验收并盖单位章）或监理业务手册或总监信用手册。</w:t>
            </w:r>
          </w:p>
          <w:p w14:paraId="03725D10">
            <w:pPr>
              <w:spacing w:line="360" w:lineRule="auto"/>
              <w:ind w:left="6" w:right="-109" w:rightChars="-52"/>
              <w:rPr>
                <w:rFonts w:ascii="宋体" w:hAnsi="宋体" w:eastAsia="宋体" w:cs="宋体"/>
                <w:b/>
                <w:bCs/>
                <w:sz w:val="24"/>
                <w:szCs w:val="24"/>
                <w:highlight w:val="none"/>
              </w:rPr>
            </w:pPr>
            <w:r>
              <w:rPr>
                <w:rFonts w:hint="eastAsia" w:ascii="宋体" w:hAnsi="宋体" w:eastAsia="宋体" w:cs="宋体"/>
                <w:b/>
                <w:bCs/>
                <w:sz w:val="24"/>
                <w:szCs w:val="24"/>
                <w:highlight w:val="none"/>
              </w:rPr>
              <w:t>（3）如投标人提供的上述业绩证明材料未能完整或充分反映评审因素（如项目类型等）的，应另附合同甲方证明材料（须加盖合同甲方单位章）予以明确说明，否则评标委员会不予认可。</w:t>
            </w:r>
          </w:p>
          <w:p w14:paraId="5568CF8E">
            <w:pPr>
              <w:spacing w:line="360" w:lineRule="auto"/>
              <w:ind w:left="6" w:right="-109" w:rightChars="-52"/>
              <w:rPr>
                <w:rFonts w:ascii="宋体" w:hAnsi="宋体" w:eastAsia="宋体" w:cs="宋体"/>
                <w:sz w:val="24"/>
                <w:szCs w:val="24"/>
                <w:highlight w:val="none"/>
              </w:rPr>
            </w:pPr>
            <w:r>
              <w:rPr>
                <w:rFonts w:hint="eastAsia" w:ascii="宋体" w:hAnsi="宋体" w:eastAsia="宋体" w:cs="宋体"/>
                <w:b/>
                <w:bCs/>
                <w:sz w:val="24"/>
                <w:szCs w:val="24"/>
                <w:highlight w:val="none"/>
              </w:rPr>
              <w:t>（4）拟任总监业绩可与投标人业绩重复计分。</w:t>
            </w:r>
          </w:p>
        </w:tc>
        <w:tc>
          <w:tcPr>
            <w:tcW w:w="476" w:type="pct"/>
            <w:tcBorders>
              <w:top w:val="single" w:color="auto" w:sz="4" w:space="0"/>
              <w:left w:val="single" w:color="auto" w:sz="4" w:space="0"/>
              <w:bottom w:val="single" w:color="auto" w:sz="4" w:space="0"/>
              <w:right w:val="single" w:color="auto" w:sz="4" w:space="0"/>
            </w:tcBorders>
            <w:vAlign w:val="center"/>
          </w:tcPr>
          <w:p w14:paraId="30EF62E3">
            <w:pPr>
              <w:spacing w:line="360" w:lineRule="auto"/>
              <w:jc w:val="center"/>
              <w:rPr>
                <w:rFonts w:asciiTheme="minorEastAsia" w:hAnsiTheme="minorEastAsia" w:eastAsiaTheme="minorEastAsia"/>
                <w:bCs/>
                <w:sz w:val="24"/>
                <w:highlight w:val="none"/>
              </w:rPr>
            </w:pPr>
            <w:r>
              <w:rPr>
                <w:rFonts w:hint="eastAsia" w:ascii="宋体" w:hAnsi="宋体" w:eastAsia="宋体" w:cs="宋体"/>
                <w:sz w:val="24"/>
                <w:szCs w:val="24"/>
                <w:highlight w:val="none"/>
              </w:rPr>
              <w:t>0-12分</w:t>
            </w:r>
          </w:p>
        </w:tc>
      </w:tr>
      <w:tr w14:paraId="7676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pct"/>
            <w:vMerge w:val="continue"/>
            <w:tcBorders>
              <w:left w:val="single" w:color="auto" w:sz="4" w:space="0"/>
              <w:right w:val="single" w:color="auto" w:sz="4" w:space="0"/>
            </w:tcBorders>
            <w:vAlign w:val="center"/>
          </w:tcPr>
          <w:p w14:paraId="347B245B">
            <w:pPr>
              <w:spacing w:line="360" w:lineRule="auto"/>
              <w:ind w:firstLine="435"/>
              <w:jc w:val="center"/>
              <w:rPr>
                <w:rFonts w:asciiTheme="minorEastAsia" w:hAnsiTheme="minorEastAsia" w:eastAsiaTheme="minorEastAsia"/>
                <w:b/>
                <w:bCs/>
                <w:sz w:val="24"/>
                <w:highlight w:val="none"/>
              </w:rPr>
            </w:pPr>
          </w:p>
        </w:tc>
        <w:tc>
          <w:tcPr>
            <w:tcW w:w="792" w:type="pct"/>
            <w:tcBorders>
              <w:top w:val="single" w:color="auto" w:sz="4" w:space="0"/>
              <w:left w:val="single" w:color="auto" w:sz="4" w:space="0"/>
              <w:bottom w:val="single" w:color="auto" w:sz="4" w:space="0"/>
              <w:right w:val="single" w:color="auto" w:sz="4" w:space="0"/>
            </w:tcBorders>
            <w:vAlign w:val="center"/>
          </w:tcPr>
          <w:p w14:paraId="732E80DC">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投标人奖项、荣誉</w:t>
            </w:r>
          </w:p>
        </w:tc>
        <w:tc>
          <w:tcPr>
            <w:tcW w:w="3061" w:type="pct"/>
            <w:tcBorders>
              <w:top w:val="single" w:color="auto" w:sz="4" w:space="0"/>
              <w:left w:val="single" w:color="auto" w:sz="4" w:space="0"/>
              <w:bottom w:val="single" w:color="auto" w:sz="4" w:space="0"/>
              <w:right w:val="single" w:color="auto" w:sz="4" w:space="0"/>
            </w:tcBorders>
            <w:vAlign w:val="center"/>
          </w:tcPr>
          <w:p w14:paraId="5A1274E7">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1、自2020年1月1日以来（以颁奖时间为准），投标人获得过行政主管部门或在国内依法登记注册的行业协（学）会颁发的先进（或优秀）监理企业荣誉称号：地市级及以上的，1个得4分，本小项满分8分。</w:t>
            </w:r>
          </w:p>
          <w:p w14:paraId="111B9ADC">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2、2020年1月1日以来（以颁奖时间为准），投标人监理的项目获得过行政主管部门或在国内依法登记注册的行业协（学）会颁发的优质工程奖荣誉：地市级及以上的，得4分，本小项满分4分。</w:t>
            </w:r>
          </w:p>
          <w:p w14:paraId="6B10B4B3">
            <w:pPr>
              <w:spacing w:line="360" w:lineRule="auto"/>
              <w:ind w:left="6" w:right="-109" w:rightChars="-52"/>
              <w:rPr>
                <w:rFonts w:ascii="宋体" w:hAnsi="宋体" w:eastAsia="宋体" w:cs="宋体"/>
                <w:b/>
                <w:bCs/>
                <w:sz w:val="24"/>
                <w:szCs w:val="24"/>
                <w:highlight w:val="none"/>
              </w:rPr>
            </w:pPr>
            <w:r>
              <w:rPr>
                <w:rFonts w:hint="eastAsia" w:ascii="宋体" w:hAnsi="宋体" w:eastAsia="宋体" w:cs="宋体"/>
                <w:b/>
                <w:bCs/>
                <w:sz w:val="24"/>
                <w:szCs w:val="24"/>
                <w:highlight w:val="none"/>
              </w:rPr>
              <w:t xml:space="preserve">注：（1）时间以颁奖时间为准，同一项目多次获奖仅计分一次并以最高表彰计； </w:t>
            </w:r>
          </w:p>
          <w:p w14:paraId="7AF11B81">
            <w:pPr>
              <w:spacing w:line="360" w:lineRule="auto"/>
              <w:ind w:left="6" w:right="-109" w:rightChars="-52"/>
              <w:rPr>
                <w:rFonts w:ascii="宋体" w:hAnsi="宋体" w:eastAsia="宋体" w:cs="宋体"/>
                <w:b/>
                <w:bCs/>
                <w:sz w:val="24"/>
                <w:szCs w:val="24"/>
                <w:highlight w:val="none"/>
              </w:rPr>
            </w:pPr>
            <w:r>
              <w:rPr>
                <w:rFonts w:hint="eastAsia" w:ascii="宋体" w:hAnsi="宋体" w:eastAsia="宋体" w:cs="宋体"/>
                <w:b/>
                <w:bCs/>
                <w:sz w:val="24"/>
                <w:szCs w:val="24"/>
                <w:highlight w:val="none"/>
              </w:rPr>
              <w:t xml:space="preserve">（2）投标文件中须提供颁奖单位的颁奖文件或颁奖单位官网文件截图（颁奖文件不含荣誉证书、奖杯、奖牌、奖状）；以上材料须能体现投标人名称、颁奖时间等评审因素，如无法体现，须另附相关证明材料（如获奖项目业绩合同等）予以辅证，但辅证材料须经评标委员会认可，未提供或提供不全的不得分。 </w:t>
            </w:r>
          </w:p>
          <w:p w14:paraId="0EB91409">
            <w:pPr>
              <w:spacing w:line="360" w:lineRule="auto"/>
              <w:ind w:left="6" w:right="-109" w:rightChars="-52"/>
              <w:rPr>
                <w:rFonts w:ascii="宋体" w:hAnsi="宋体" w:eastAsia="宋体" w:cs="宋体"/>
                <w:b/>
                <w:bCs/>
                <w:sz w:val="24"/>
                <w:szCs w:val="24"/>
                <w:highlight w:val="none"/>
              </w:rPr>
            </w:pPr>
            <w:r>
              <w:rPr>
                <w:rFonts w:hint="eastAsia" w:ascii="宋体" w:hAnsi="宋体" w:eastAsia="宋体" w:cs="宋体"/>
                <w:b/>
                <w:bCs/>
                <w:sz w:val="24"/>
                <w:szCs w:val="24"/>
                <w:highlight w:val="none"/>
              </w:rPr>
              <w:t xml:space="preserve">（3）“国内依法登记注册”以中国社会组织政务服务平台中“全国社会 组织信用信息公示平台”查询结果 为准。针对国内依法登记注册的行业协会（或学会）颁发的奖项、荣誉，投标文件中须提供提供该协会在中国社会组织政务服务平台中“全国社 会组织信用信息公示平台”查询结果截图。 </w:t>
            </w:r>
          </w:p>
          <w:p w14:paraId="6D424D99">
            <w:pPr>
              <w:spacing w:line="360" w:lineRule="auto"/>
              <w:ind w:left="6" w:right="-109" w:rightChars="-52"/>
              <w:rPr>
                <w:rFonts w:ascii="宋体" w:hAnsi="宋体" w:eastAsia="宋体" w:cs="宋体"/>
                <w:sz w:val="24"/>
                <w:szCs w:val="24"/>
                <w:highlight w:val="none"/>
              </w:rPr>
            </w:pPr>
            <w:r>
              <w:rPr>
                <w:rFonts w:hint="eastAsia" w:ascii="宋体" w:hAnsi="宋体" w:eastAsia="宋体" w:cs="宋体"/>
                <w:b/>
                <w:bCs/>
                <w:sz w:val="24"/>
                <w:szCs w:val="24"/>
                <w:highlight w:val="none"/>
              </w:rPr>
              <w:t>（4）民政部公布的“离岸社团”、“山寨社团”或中国社会组织政务服务平台中“全国社会组织信用信息公示平台”公示的“涉嫌非法社会组织”颁发的荣誉、奖励均无效。</w:t>
            </w:r>
          </w:p>
        </w:tc>
        <w:tc>
          <w:tcPr>
            <w:tcW w:w="476" w:type="pct"/>
            <w:tcBorders>
              <w:top w:val="single" w:color="auto" w:sz="4" w:space="0"/>
              <w:left w:val="single" w:color="auto" w:sz="4" w:space="0"/>
              <w:bottom w:val="single" w:color="auto" w:sz="4" w:space="0"/>
              <w:right w:val="single" w:color="auto" w:sz="4" w:space="0"/>
            </w:tcBorders>
            <w:vAlign w:val="center"/>
          </w:tcPr>
          <w:p w14:paraId="23A7C67E">
            <w:pPr>
              <w:spacing w:line="360" w:lineRule="auto"/>
              <w:jc w:val="center"/>
              <w:rPr>
                <w:rFonts w:asciiTheme="minorEastAsia" w:hAnsiTheme="minorEastAsia" w:eastAsiaTheme="minorEastAsia"/>
                <w:bCs/>
                <w:sz w:val="24"/>
                <w:highlight w:val="none"/>
              </w:rPr>
            </w:pPr>
            <w:r>
              <w:rPr>
                <w:rFonts w:hint="eastAsia" w:ascii="宋体" w:hAnsi="宋体" w:eastAsia="宋体" w:cs="宋体"/>
                <w:sz w:val="24"/>
                <w:szCs w:val="24"/>
                <w:highlight w:val="none"/>
              </w:rPr>
              <w:t>0-12分</w:t>
            </w:r>
          </w:p>
        </w:tc>
      </w:tr>
      <w:tr w14:paraId="24A3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pct"/>
            <w:vMerge w:val="continue"/>
            <w:tcBorders>
              <w:left w:val="single" w:color="auto" w:sz="4" w:space="0"/>
              <w:right w:val="single" w:color="auto" w:sz="4" w:space="0"/>
            </w:tcBorders>
            <w:vAlign w:val="center"/>
          </w:tcPr>
          <w:p w14:paraId="3E75DED1">
            <w:pPr>
              <w:spacing w:line="360" w:lineRule="auto"/>
              <w:ind w:firstLine="435"/>
              <w:jc w:val="center"/>
              <w:rPr>
                <w:rFonts w:asciiTheme="minorEastAsia" w:hAnsiTheme="minorEastAsia" w:eastAsiaTheme="minorEastAsia"/>
                <w:b/>
                <w:bCs/>
                <w:sz w:val="24"/>
                <w:highlight w:val="none"/>
              </w:rPr>
            </w:pPr>
          </w:p>
        </w:tc>
        <w:tc>
          <w:tcPr>
            <w:tcW w:w="792" w:type="pct"/>
            <w:tcBorders>
              <w:top w:val="single" w:color="auto" w:sz="4" w:space="0"/>
              <w:left w:val="single" w:color="auto" w:sz="4" w:space="0"/>
              <w:bottom w:val="single" w:color="auto" w:sz="4" w:space="0"/>
              <w:right w:val="single" w:color="auto" w:sz="4" w:space="0"/>
            </w:tcBorders>
            <w:vAlign w:val="center"/>
          </w:tcPr>
          <w:p w14:paraId="4AF1BE48">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拟派总监荣誉</w:t>
            </w:r>
          </w:p>
        </w:tc>
        <w:tc>
          <w:tcPr>
            <w:tcW w:w="3061" w:type="pct"/>
            <w:tcBorders>
              <w:top w:val="single" w:color="auto" w:sz="4" w:space="0"/>
              <w:left w:val="single" w:color="auto" w:sz="4" w:space="0"/>
              <w:bottom w:val="single" w:color="auto" w:sz="4" w:space="0"/>
              <w:right w:val="single" w:color="auto" w:sz="4" w:space="0"/>
            </w:tcBorders>
            <w:vAlign w:val="center"/>
          </w:tcPr>
          <w:p w14:paraId="371DBF80">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自2020 年 1 月 1 日以来（以颁奖时间为准），拟派总监理工程师获得过行政主管部门或在国内依法登记注册的行业协（学）会颁发的优秀监理工程师或优秀总监理工程师荣誉的：地市级及以上的得4分，本项满分4分。</w:t>
            </w:r>
          </w:p>
          <w:p w14:paraId="72B1AECD">
            <w:pPr>
              <w:spacing w:line="360" w:lineRule="auto"/>
              <w:ind w:left="6" w:right="-109" w:rightChars="-5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注：（1）投标文件中须提供颁奖单位的颁奖文件或颁奖单位官网文件截图。注：颁奖文件不含荣誉证书、 奖杯、奖牌、奖状；颁奖文件或颁奖单位官网文件截图中须体现总监的姓名，否则须另行提供获奖项目合同扫描件或业主单位出具的证明资料（加盖公章）来证明拟任总监在提供的获奖项目中须担任总监岗位。 </w:t>
            </w:r>
          </w:p>
          <w:p w14:paraId="73D1FFB5">
            <w:pPr>
              <w:spacing w:line="360" w:lineRule="auto"/>
              <w:ind w:left="6" w:right="-109" w:rightChars="-52"/>
              <w:rPr>
                <w:rFonts w:ascii="宋体" w:hAnsi="宋体" w:eastAsia="宋体" w:cs="宋体"/>
                <w:sz w:val="24"/>
                <w:szCs w:val="24"/>
                <w:highlight w:val="none"/>
              </w:rPr>
            </w:pPr>
            <w:r>
              <w:rPr>
                <w:rFonts w:hint="eastAsia" w:ascii="宋体" w:hAnsi="宋体" w:eastAsia="宋体" w:cs="宋体"/>
                <w:b/>
                <w:bCs/>
                <w:sz w:val="24"/>
                <w:szCs w:val="24"/>
                <w:highlight w:val="none"/>
              </w:rPr>
              <w:t>（2）a.“国内依法登记注册”以中国社会组织网或中国社会组织政务服务平台中“全国社会组织信用信息公示平台”查询结果为准。b.投标文件中须提供该协（学）会在中国社会组织网或中国社会组织政务服务平台中“全国社会组织信用信息公示平 台”查询结果截图。c.民政部公布的“离岸社团”、“山寨社团”或中国社会组织政务服务平台中“全国社会组织信用信息公示平台”公示的“涉嫌非法社会组织”颁发的荣誉、奖励均无效”。</w:t>
            </w:r>
          </w:p>
        </w:tc>
        <w:tc>
          <w:tcPr>
            <w:tcW w:w="476" w:type="pct"/>
            <w:tcBorders>
              <w:top w:val="single" w:color="auto" w:sz="4" w:space="0"/>
              <w:left w:val="single" w:color="auto" w:sz="4" w:space="0"/>
              <w:bottom w:val="single" w:color="auto" w:sz="4" w:space="0"/>
              <w:right w:val="single" w:color="auto" w:sz="4" w:space="0"/>
            </w:tcBorders>
            <w:vAlign w:val="center"/>
          </w:tcPr>
          <w:p w14:paraId="5A4BAFC6">
            <w:pPr>
              <w:jc w:val="center"/>
              <w:rPr>
                <w:rFonts w:ascii="宋体" w:hAnsi="宋体" w:eastAsia="宋体" w:cs="宋体"/>
                <w:b/>
                <w:bCs/>
                <w:sz w:val="24"/>
                <w:highlight w:val="none"/>
              </w:rPr>
            </w:pPr>
            <w:r>
              <w:rPr>
                <w:rFonts w:hint="eastAsia" w:ascii="宋体" w:hAnsi="宋体" w:eastAsia="宋体" w:cs="宋体"/>
                <w:sz w:val="24"/>
                <w:szCs w:val="24"/>
                <w:highlight w:val="none"/>
              </w:rPr>
              <w:t>0-4分</w:t>
            </w:r>
          </w:p>
        </w:tc>
      </w:tr>
      <w:tr w14:paraId="2B58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pct"/>
            <w:vMerge w:val="continue"/>
            <w:tcBorders>
              <w:left w:val="single" w:color="auto" w:sz="4" w:space="0"/>
              <w:right w:val="single" w:color="auto" w:sz="4" w:space="0"/>
            </w:tcBorders>
            <w:vAlign w:val="center"/>
          </w:tcPr>
          <w:p w14:paraId="21A37C1A">
            <w:pPr>
              <w:spacing w:line="360" w:lineRule="auto"/>
              <w:ind w:firstLine="435"/>
              <w:jc w:val="center"/>
              <w:rPr>
                <w:rFonts w:asciiTheme="minorEastAsia" w:hAnsiTheme="minorEastAsia" w:eastAsiaTheme="minorEastAsia"/>
                <w:b/>
                <w:bCs/>
                <w:sz w:val="24"/>
                <w:highlight w:val="none"/>
              </w:rPr>
            </w:pPr>
          </w:p>
        </w:tc>
        <w:tc>
          <w:tcPr>
            <w:tcW w:w="792" w:type="pct"/>
            <w:vMerge w:val="restart"/>
            <w:tcBorders>
              <w:top w:val="single" w:color="auto" w:sz="4" w:space="0"/>
              <w:left w:val="single" w:color="auto" w:sz="4" w:space="0"/>
              <w:right w:val="single" w:color="auto" w:sz="4" w:space="0"/>
            </w:tcBorders>
            <w:vAlign w:val="center"/>
          </w:tcPr>
          <w:p w14:paraId="69ED93C6">
            <w:pPr>
              <w:spacing w:line="360" w:lineRule="auto"/>
              <w:ind w:right="-109" w:rightChars="-52"/>
              <w:jc w:val="center"/>
              <w:rPr>
                <w:rFonts w:ascii="宋体" w:hAnsi="宋体" w:eastAsia="宋体" w:cs="宋体"/>
                <w:sz w:val="24"/>
                <w:szCs w:val="24"/>
                <w:highlight w:val="none"/>
              </w:rPr>
            </w:pPr>
            <w:r>
              <w:rPr>
                <w:rFonts w:hint="eastAsia" w:ascii="宋体" w:hAnsi="宋体" w:eastAsia="宋体" w:cs="宋体"/>
                <w:sz w:val="24"/>
                <w:szCs w:val="24"/>
                <w:highlight w:val="none"/>
              </w:rPr>
              <w:t>监理大纲</w:t>
            </w:r>
          </w:p>
        </w:tc>
        <w:tc>
          <w:tcPr>
            <w:tcW w:w="3061" w:type="pct"/>
            <w:tcBorders>
              <w:top w:val="single" w:color="auto" w:sz="4" w:space="0"/>
              <w:left w:val="single" w:color="auto" w:sz="4" w:space="0"/>
              <w:bottom w:val="single" w:color="auto" w:sz="4" w:space="0"/>
              <w:right w:val="single" w:color="auto" w:sz="4" w:space="0"/>
            </w:tcBorders>
            <w:vAlign w:val="center"/>
          </w:tcPr>
          <w:p w14:paraId="778CE8E6">
            <w:pPr>
              <w:spacing w:line="360" w:lineRule="auto"/>
              <w:ind w:left="6" w:right="-109" w:rightChars="-52"/>
              <w:rPr>
                <w:rFonts w:ascii="宋体" w:hAnsi="宋体" w:eastAsia="宋体" w:cs="宋体"/>
                <w:b/>
                <w:bCs/>
                <w:sz w:val="24"/>
                <w:szCs w:val="24"/>
                <w:highlight w:val="none"/>
              </w:rPr>
            </w:pPr>
            <w:r>
              <w:rPr>
                <w:rFonts w:hint="eastAsia" w:ascii="宋体" w:hAnsi="宋体" w:eastAsia="宋体" w:cs="宋体"/>
                <w:b/>
                <w:bCs/>
                <w:sz w:val="24"/>
                <w:szCs w:val="24"/>
                <w:highlight w:val="none"/>
              </w:rPr>
              <w:t>监理大纲内容的完整性和针对性（5分）</w:t>
            </w:r>
          </w:p>
          <w:p w14:paraId="0733FD76">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各分部分项工程监理，从准备、施工、竣工验收各主要工序，阐述监理工作计划及其拟采用的监理方法和控制措施以及需要实现的监理效果。</w:t>
            </w:r>
          </w:p>
          <w:p w14:paraId="708F4D23">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（1）内容科学、合理、详尽，内容全面完善细致，可行性强，利于本项目顺利实施，得5分；</w:t>
            </w:r>
          </w:p>
          <w:p w14:paraId="448F3D89">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（2）内容能够保障本项目实施，方案内容全面、合理，得3分；</w:t>
            </w:r>
          </w:p>
          <w:p w14:paraId="46389A7E">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（3）内容能够满足采购项目基本需求，响应中包含整体方案，但缺少项目针对性、合理性，得1分；</w:t>
            </w:r>
          </w:p>
          <w:p w14:paraId="048BB8EE">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（4）未提供此措施方案，得0分。</w:t>
            </w:r>
          </w:p>
        </w:tc>
        <w:tc>
          <w:tcPr>
            <w:tcW w:w="476" w:type="pct"/>
            <w:tcBorders>
              <w:top w:val="single" w:color="auto" w:sz="4" w:space="0"/>
              <w:left w:val="single" w:color="auto" w:sz="4" w:space="0"/>
              <w:bottom w:val="single" w:color="auto" w:sz="4" w:space="0"/>
              <w:right w:val="single" w:color="auto" w:sz="4" w:space="0"/>
            </w:tcBorders>
            <w:vAlign w:val="center"/>
          </w:tcPr>
          <w:p w14:paraId="7F423E2D">
            <w:pPr>
              <w:jc w:val="center"/>
              <w:rPr>
                <w:rFonts w:ascii="宋体" w:hAnsi="宋体" w:eastAsia="宋体" w:cs="宋体"/>
                <w:b/>
                <w:bCs/>
                <w:sz w:val="24"/>
                <w:highlight w:val="none"/>
              </w:rPr>
            </w:pPr>
            <w:r>
              <w:rPr>
                <w:rFonts w:hint="eastAsia" w:ascii="宋体" w:hAnsi="宋体" w:eastAsia="宋体" w:cs="宋体"/>
                <w:sz w:val="24"/>
                <w:szCs w:val="24"/>
                <w:highlight w:val="none"/>
              </w:rPr>
              <w:t>0-</w:t>
            </w:r>
            <w:r>
              <w:rPr>
                <w:rFonts w:hint="eastAsia" w:ascii="宋体" w:hAnsi="宋体" w:eastAsia="宋体" w:cs="宋体"/>
                <w:kern w:val="0"/>
                <w:sz w:val="24"/>
                <w:szCs w:val="24"/>
                <w:highlight w:val="none"/>
              </w:rPr>
              <w:t>5分</w:t>
            </w:r>
          </w:p>
        </w:tc>
      </w:tr>
      <w:tr w14:paraId="3D66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pct"/>
            <w:vMerge w:val="continue"/>
            <w:tcBorders>
              <w:left w:val="single" w:color="auto" w:sz="4" w:space="0"/>
              <w:right w:val="single" w:color="auto" w:sz="4" w:space="0"/>
            </w:tcBorders>
            <w:vAlign w:val="center"/>
          </w:tcPr>
          <w:p w14:paraId="72F49648">
            <w:pPr>
              <w:spacing w:line="360" w:lineRule="auto"/>
              <w:ind w:firstLine="435"/>
              <w:jc w:val="center"/>
              <w:rPr>
                <w:rFonts w:asciiTheme="minorEastAsia" w:hAnsiTheme="minorEastAsia" w:eastAsiaTheme="minorEastAsia"/>
                <w:b/>
                <w:bCs/>
                <w:sz w:val="24"/>
                <w:highlight w:val="none"/>
              </w:rPr>
            </w:pPr>
          </w:p>
        </w:tc>
        <w:tc>
          <w:tcPr>
            <w:tcW w:w="792" w:type="pct"/>
            <w:vMerge w:val="continue"/>
            <w:tcBorders>
              <w:left w:val="single" w:color="auto" w:sz="4" w:space="0"/>
              <w:right w:val="single" w:color="auto" w:sz="4" w:space="0"/>
            </w:tcBorders>
            <w:vAlign w:val="center"/>
          </w:tcPr>
          <w:p w14:paraId="38327260">
            <w:pPr>
              <w:spacing w:line="360" w:lineRule="auto"/>
              <w:ind w:left="6" w:right="-109" w:rightChars="-52"/>
              <w:jc w:val="center"/>
              <w:rPr>
                <w:rFonts w:ascii="宋体" w:hAnsi="宋体" w:eastAsia="宋体" w:cs="宋体"/>
                <w:sz w:val="24"/>
                <w:szCs w:val="24"/>
                <w:highlight w:val="none"/>
              </w:rPr>
            </w:pPr>
          </w:p>
        </w:tc>
        <w:tc>
          <w:tcPr>
            <w:tcW w:w="3061" w:type="pct"/>
            <w:tcBorders>
              <w:top w:val="single" w:color="auto" w:sz="4" w:space="0"/>
              <w:left w:val="single" w:color="auto" w:sz="4" w:space="0"/>
              <w:bottom w:val="single" w:color="auto" w:sz="4" w:space="0"/>
              <w:right w:val="single" w:color="auto" w:sz="4" w:space="0"/>
            </w:tcBorders>
            <w:vAlign w:val="center"/>
          </w:tcPr>
          <w:p w14:paraId="384F6D19">
            <w:pPr>
              <w:spacing w:line="360" w:lineRule="auto"/>
              <w:ind w:left="6" w:right="-109" w:rightChars="-52"/>
              <w:rPr>
                <w:rFonts w:ascii="宋体" w:hAnsi="宋体" w:eastAsia="宋体" w:cs="宋体"/>
                <w:b/>
                <w:bCs/>
                <w:sz w:val="24"/>
                <w:szCs w:val="24"/>
                <w:highlight w:val="none"/>
              </w:rPr>
            </w:pPr>
            <w:r>
              <w:rPr>
                <w:rFonts w:hint="eastAsia" w:ascii="宋体" w:hAnsi="宋体" w:eastAsia="宋体" w:cs="宋体"/>
                <w:b/>
                <w:bCs/>
                <w:sz w:val="24"/>
                <w:szCs w:val="24"/>
                <w:highlight w:val="none"/>
              </w:rPr>
              <w:t xml:space="preserve">质量控制(5分) </w:t>
            </w:r>
          </w:p>
          <w:p w14:paraId="025AA3A5">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质量控制目标明确、方法得当、措施得力，各分部分项工程的主要施工工序、质量控制应有具体的方法和措施，且可行。</w:t>
            </w:r>
          </w:p>
          <w:p w14:paraId="6A44B174">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（1）措施科学、合理、详尽，内容全面完善细致，可行性强，利于本项目顺利实施，得5分；</w:t>
            </w:r>
          </w:p>
          <w:p w14:paraId="6858980A">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（2）措施能够保障本项目实施，方案内容全面、合理，得3分；</w:t>
            </w:r>
          </w:p>
          <w:p w14:paraId="29CDB3DE">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（3）措施能够满足采购项目基本需求，响应中包含整体方案，但缺少项目针对性、合理性，得1分；</w:t>
            </w:r>
          </w:p>
          <w:p w14:paraId="537A0544">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（4）未提供此措施方案，得0分。</w:t>
            </w:r>
          </w:p>
        </w:tc>
        <w:tc>
          <w:tcPr>
            <w:tcW w:w="476" w:type="pct"/>
            <w:tcBorders>
              <w:top w:val="single" w:color="auto" w:sz="4" w:space="0"/>
              <w:left w:val="single" w:color="auto" w:sz="4" w:space="0"/>
              <w:bottom w:val="single" w:color="auto" w:sz="4" w:space="0"/>
              <w:right w:val="single" w:color="auto" w:sz="4" w:space="0"/>
            </w:tcBorders>
            <w:vAlign w:val="center"/>
          </w:tcPr>
          <w:p w14:paraId="0B28F5B2">
            <w:pPr>
              <w:jc w:val="center"/>
              <w:rPr>
                <w:rFonts w:ascii="宋体" w:hAnsi="宋体" w:eastAsia="宋体" w:cs="宋体"/>
                <w:b/>
                <w:bCs/>
                <w:sz w:val="24"/>
                <w:highlight w:val="none"/>
              </w:rPr>
            </w:pPr>
            <w:r>
              <w:rPr>
                <w:rFonts w:hint="eastAsia" w:ascii="宋体" w:hAnsi="宋体" w:eastAsia="宋体" w:cs="宋体"/>
                <w:kern w:val="0"/>
                <w:sz w:val="24"/>
                <w:szCs w:val="24"/>
                <w:highlight w:val="none"/>
              </w:rPr>
              <w:t>0-5分</w:t>
            </w:r>
          </w:p>
        </w:tc>
      </w:tr>
      <w:tr w14:paraId="67F3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pct"/>
            <w:vMerge w:val="continue"/>
            <w:tcBorders>
              <w:left w:val="single" w:color="auto" w:sz="4" w:space="0"/>
              <w:right w:val="single" w:color="auto" w:sz="4" w:space="0"/>
            </w:tcBorders>
            <w:vAlign w:val="center"/>
          </w:tcPr>
          <w:p w14:paraId="1CB1E7DB">
            <w:pPr>
              <w:spacing w:line="360" w:lineRule="auto"/>
              <w:ind w:firstLine="435"/>
              <w:jc w:val="center"/>
              <w:rPr>
                <w:rFonts w:asciiTheme="minorEastAsia" w:hAnsiTheme="minorEastAsia" w:eastAsiaTheme="minorEastAsia"/>
                <w:b/>
                <w:bCs/>
                <w:sz w:val="24"/>
                <w:highlight w:val="none"/>
              </w:rPr>
            </w:pPr>
          </w:p>
        </w:tc>
        <w:tc>
          <w:tcPr>
            <w:tcW w:w="792" w:type="pct"/>
            <w:vMerge w:val="continue"/>
            <w:tcBorders>
              <w:left w:val="single" w:color="auto" w:sz="4" w:space="0"/>
              <w:right w:val="single" w:color="auto" w:sz="4" w:space="0"/>
            </w:tcBorders>
            <w:vAlign w:val="center"/>
          </w:tcPr>
          <w:p w14:paraId="70187414">
            <w:pPr>
              <w:spacing w:line="360" w:lineRule="auto"/>
              <w:ind w:left="6" w:right="-109" w:rightChars="-52"/>
              <w:jc w:val="center"/>
              <w:rPr>
                <w:rFonts w:ascii="宋体" w:hAnsi="宋体" w:eastAsia="宋体" w:cs="宋体"/>
                <w:sz w:val="24"/>
                <w:szCs w:val="24"/>
                <w:highlight w:val="none"/>
              </w:rPr>
            </w:pPr>
          </w:p>
        </w:tc>
        <w:tc>
          <w:tcPr>
            <w:tcW w:w="3061" w:type="pct"/>
            <w:tcBorders>
              <w:top w:val="single" w:color="auto" w:sz="4" w:space="0"/>
              <w:left w:val="single" w:color="auto" w:sz="4" w:space="0"/>
              <w:bottom w:val="single" w:color="auto" w:sz="4" w:space="0"/>
              <w:right w:val="single" w:color="auto" w:sz="4" w:space="0"/>
            </w:tcBorders>
            <w:vAlign w:val="center"/>
          </w:tcPr>
          <w:p w14:paraId="228861CA">
            <w:pPr>
              <w:spacing w:line="360" w:lineRule="auto"/>
              <w:ind w:left="6" w:right="-109" w:rightChars="-52"/>
              <w:rPr>
                <w:rFonts w:ascii="宋体" w:hAnsi="宋体" w:eastAsia="宋体" w:cs="宋体"/>
                <w:b/>
                <w:bCs/>
                <w:sz w:val="24"/>
                <w:szCs w:val="24"/>
                <w:highlight w:val="none"/>
              </w:rPr>
            </w:pPr>
            <w:r>
              <w:rPr>
                <w:rFonts w:hint="eastAsia" w:ascii="宋体" w:hAnsi="宋体" w:eastAsia="宋体" w:cs="宋体"/>
                <w:b/>
                <w:bCs/>
                <w:sz w:val="24"/>
                <w:szCs w:val="24"/>
                <w:highlight w:val="none"/>
              </w:rPr>
              <w:t xml:space="preserve">安全控制(5分) </w:t>
            </w:r>
          </w:p>
          <w:p w14:paraId="752A13F4">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安全控制目标明确、方法得当、措施得力，各分部分项工程的主要施工工序、安全控制应有具体的方法和措施，且可行。</w:t>
            </w:r>
          </w:p>
          <w:p w14:paraId="6A4C7F09">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（1）措施科学、合理、详尽，内容全面完善细致，可行性强，利于本项目顺利实施，得5分；</w:t>
            </w:r>
          </w:p>
          <w:p w14:paraId="13B25ECE">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（2）措施能够保障本项目实施，方案内容全面、合理，得3分；</w:t>
            </w:r>
          </w:p>
          <w:p w14:paraId="3CEBB2D8">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（3）措施能够满足采购项目基本需求，响应中包含整体方案，但缺少项目针对性、合理性，得1分；</w:t>
            </w:r>
          </w:p>
          <w:p w14:paraId="3938D02D">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（4）未提供此措施方案，得0分。</w:t>
            </w:r>
          </w:p>
        </w:tc>
        <w:tc>
          <w:tcPr>
            <w:tcW w:w="476" w:type="pct"/>
            <w:tcBorders>
              <w:top w:val="single" w:color="auto" w:sz="4" w:space="0"/>
              <w:left w:val="single" w:color="auto" w:sz="4" w:space="0"/>
              <w:bottom w:val="single" w:color="auto" w:sz="4" w:space="0"/>
              <w:right w:val="single" w:color="auto" w:sz="4" w:space="0"/>
            </w:tcBorders>
            <w:vAlign w:val="center"/>
          </w:tcPr>
          <w:p w14:paraId="539721AB">
            <w:pPr>
              <w:jc w:val="center"/>
              <w:rPr>
                <w:rFonts w:ascii="宋体" w:hAnsi="宋体" w:eastAsia="宋体" w:cs="宋体"/>
                <w:b/>
                <w:bCs/>
                <w:sz w:val="24"/>
                <w:highlight w:val="none"/>
              </w:rPr>
            </w:pPr>
            <w:r>
              <w:rPr>
                <w:rFonts w:hint="eastAsia" w:ascii="宋体" w:hAnsi="宋体" w:eastAsia="宋体" w:cs="宋体"/>
                <w:kern w:val="0"/>
                <w:sz w:val="24"/>
                <w:szCs w:val="24"/>
                <w:highlight w:val="none"/>
              </w:rPr>
              <w:t>0-5分</w:t>
            </w:r>
          </w:p>
        </w:tc>
      </w:tr>
      <w:tr w14:paraId="4D77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pct"/>
            <w:vMerge w:val="continue"/>
            <w:tcBorders>
              <w:left w:val="single" w:color="auto" w:sz="4" w:space="0"/>
              <w:right w:val="single" w:color="auto" w:sz="4" w:space="0"/>
            </w:tcBorders>
            <w:vAlign w:val="center"/>
          </w:tcPr>
          <w:p w14:paraId="02108E14">
            <w:pPr>
              <w:spacing w:line="360" w:lineRule="auto"/>
              <w:ind w:firstLine="435"/>
              <w:jc w:val="center"/>
              <w:rPr>
                <w:rFonts w:asciiTheme="minorEastAsia" w:hAnsiTheme="minorEastAsia" w:eastAsiaTheme="minorEastAsia"/>
                <w:b/>
                <w:bCs/>
                <w:sz w:val="24"/>
                <w:highlight w:val="none"/>
              </w:rPr>
            </w:pPr>
          </w:p>
        </w:tc>
        <w:tc>
          <w:tcPr>
            <w:tcW w:w="792" w:type="pct"/>
            <w:vMerge w:val="continue"/>
            <w:tcBorders>
              <w:left w:val="single" w:color="auto" w:sz="4" w:space="0"/>
              <w:right w:val="single" w:color="auto" w:sz="4" w:space="0"/>
            </w:tcBorders>
            <w:vAlign w:val="center"/>
          </w:tcPr>
          <w:p w14:paraId="502742E5">
            <w:pPr>
              <w:spacing w:line="360" w:lineRule="auto"/>
              <w:ind w:left="6" w:right="-109" w:rightChars="-52"/>
              <w:jc w:val="center"/>
              <w:rPr>
                <w:rFonts w:ascii="宋体" w:hAnsi="宋体" w:eastAsia="宋体" w:cs="宋体"/>
                <w:sz w:val="24"/>
                <w:szCs w:val="24"/>
                <w:highlight w:val="none"/>
              </w:rPr>
            </w:pPr>
          </w:p>
        </w:tc>
        <w:tc>
          <w:tcPr>
            <w:tcW w:w="3061" w:type="pct"/>
            <w:tcBorders>
              <w:top w:val="single" w:color="auto" w:sz="4" w:space="0"/>
              <w:left w:val="single" w:color="auto" w:sz="4" w:space="0"/>
              <w:bottom w:val="single" w:color="auto" w:sz="4" w:space="0"/>
              <w:right w:val="single" w:color="auto" w:sz="4" w:space="0"/>
            </w:tcBorders>
            <w:vAlign w:val="center"/>
          </w:tcPr>
          <w:p w14:paraId="3787CD61">
            <w:pPr>
              <w:spacing w:line="360" w:lineRule="auto"/>
              <w:ind w:left="6" w:right="-109" w:rightChars="-52"/>
              <w:rPr>
                <w:rFonts w:ascii="宋体" w:hAnsi="宋体" w:eastAsia="宋体" w:cs="宋体"/>
                <w:b/>
                <w:bCs/>
                <w:sz w:val="24"/>
                <w:szCs w:val="24"/>
                <w:highlight w:val="none"/>
              </w:rPr>
            </w:pPr>
            <w:r>
              <w:rPr>
                <w:rFonts w:hint="eastAsia" w:ascii="宋体" w:hAnsi="宋体" w:eastAsia="宋体" w:cs="宋体"/>
                <w:b/>
                <w:bCs/>
                <w:sz w:val="24"/>
                <w:szCs w:val="24"/>
                <w:highlight w:val="none"/>
              </w:rPr>
              <w:t xml:space="preserve">进度控制(5分) </w:t>
            </w:r>
          </w:p>
          <w:p w14:paraId="0D3E3CCA">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进度控制目标明确，措施具体针对性较强，管理制度完善。</w:t>
            </w:r>
          </w:p>
          <w:p w14:paraId="27AEC396">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（1）进度方案科学、合理、详尽，内容全面完善细致，可行性强，利于本项目顺利实施，得5分；</w:t>
            </w:r>
          </w:p>
          <w:p w14:paraId="76921FCA">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（2）进度方案能够保障本项目实施，方案内容全面、合理，得3分；</w:t>
            </w:r>
          </w:p>
          <w:p w14:paraId="5EDA8177">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（3）进度方案能够满足采购项目基本需求，响应中包含整体方案，但缺少项目针对性、合理性，得1分；</w:t>
            </w:r>
          </w:p>
          <w:p w14:paraId="7FA5A072">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（4）未提供此进度方案，得0分。</w:t>
            </w:r>
          </w:p>
        </w:tc>
        <w:tc>
          <w:tcPr>
            <w:tcW w:w="476" w:type="pct"/>
            <w:tcBorders>
              <w:top w:val="single" w:color="auto" w:sz="4" w:space="0"/>
              <w:left w:val="single" w:color="auto" w:sz="4" w:space="0"/>
              <w:bottom w:val="single" w:color="auto" w:sz="4" w:space="0"/>
              <w:right w:val="single" w:color="auto" w:sz="4" w:space="0"/>
            </w:tcBorders>
            <w:vAlign w:val="center"/>
          </w:tcPr>
          <w:p w14:paraId="10093D0A">
            <w:pPr>
              <w:jc w:val="center"/>
              <w:rPr>
                <w:rFonts w:ascii="宋体" w:hAnsi="宋体" w:eastAsia="宋体" w:cs="宋体"/>
                <w:b/>
                <w:bCs/>
                <w:sz w:val="24"/>
                <w:highlight w:val="none"/>
              </w:rPr>
            </w:pPr>
            <w:r>
              <w:rPr>
                <w:rFonts w:hint="eastAsia" w:ascii="宋体" w:hAnsi="宋体" w:eastAsia="宋体" w:cs="宋体"/>
                <w:kern w:val="0"/>
                <w:sz w:val="24"/>
                <w:szCs w:val="24"/>
                <w:highlight w:val="none"/>
              </w:rPr>
              <w:t>0-5分</w:t>
            </w:r>
          </w:p>
        </w:tc>
      </w:tr>
      <w:tr w14:paraId="61C7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pct"/>
            <w:vMerge w:val="continue"/>
            <w:tcBorders>
              <w:left w:val="single" w:color="auto" w:sz="4" w:space="0"/>
              <w:right w:val="single" w:color="auto" w:sz="4" w:space="0"/>
            </w:tcBorders>
            <w:vAlign w:val="center"/>
          </w:tcPr>
          <w:p w14:paraId="75C7FED8">
            <w:pPr>
              <w:spacing w:line="360" w:lineRule="auto"/>
              <w:ind w:firstLine="435"/>
              <w:jc w:val="center"/>
              <w:rPr>
                <w:rFonts w:asciiTheme="minorEastAsia" w:hAnsiTheme="minorEastAsia" w:eastAsiaTheme="minorEastAsia"/>
                <w:b/>
                <w:bCs/>
                <w:sz w:val="24"/>
                <w:highlight w:val="none"/>
              </w:rPr>
            </w:pPr>
          </w:p>
        </w:tc>
        <w:tc>
          <w:tcPr>
            <w:tcW w:w="792" w:type="pct"/>
            <w:vMerge w:val="continue"/>
            <w:tcBorders>
              <w:left w:val="single" w:color="auto" w:sz="4" w:space="0"/>
              <w:right w:val="single" w:color="auto" w:sz="4" w:space="0"/>
            </w:tcBorders>
            <w:vAlign w:val="center"/>
          </w:tcPr>
          <w:p w14:paraId="14888F8B">
            <w:pPr>
              <w:spacing w:line="360" w:lineRule="auto"/>
              <w:ind w:left="6" w:right="-109" w:rightChars="-52"/>
              <w:jc w:val="center"/>
              <w:rPr>
                <w:rFonts w:ascii="宋体" w:hAnsi="宋体" w:eastAsia="宋体" w:cs="宋体"/>
                <w:sz w:val="24"/>
                <w:szCs w:val="24"/>
                <w:highlight w:val="none"/>
              </w:rPr>
            </w:pPr>
          </w:p>
        </w:tc>
        <w:tc>
          <w:tcPr>
            <w:tcW w:w="3061" w:type="pct"/>
            <w:tcBorders>
              <w:top w:val="single" w:color="auto" w:sz="4" w:space="0"/>
              <w:left w:val="single" w:color="auto" w:sz="4" w:space="0"/>
              <w:bottom w:val="single" w:color="auto" w:sz="4" w:space="0"/>
              <w:right w:val="single" w:color="auto" w:sz="4" w:space="0"/>
            </w:tcBorders>
            <w:vAlign w:val="center"/>
          </w:tcPr>
          <w:p w14:paraId="6F7CF34F">
            <w:pPr>
              <w:spacing w:line="360" w:lineRule="auto"/>
              <w:ind w:left="6" w:right="-109" w:rightChars="-52"/>
              <w:rPr>
                <w:rFonts w:ascii="宋体" w:hAnsi="宋体" w:eastAsia="宋体" w:cs="宋体"/>
                <w:b/>
                <w:bCs/>
                <w:sz w:val="24"/>
                <w:szCs w:val="24"/>
                <w:highlight w:val="none"/>
              </w:rPr>
            </w:pPr>
            <w:r>
              <w:rPr>
                <w:rFonts w:hint="eastAsia" w:ascii="宋体" w:hAnsi="宋体" w:eastAsia="宋体" w:cs="宋体"/>
                <w:b/>
                <w:bCs/>
                <w:sz w:val="24"/>
                <w:szCs w:val="24"/>
                <w:highlight w:val="none"/>
              </w:rPr>
              <w:t xml:space="preserve">造价控制(5分) </w:t>
            </w:r>
          </w:p>
          <w:p w14:paraId="55F790B3">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造价控制有针对性的具体措施和完善的管理制度，误差控制方法得当，办结时间要求明确。</w:t>
            </w:r>
          </w:p>
          <w:p w14:paraId="15770EA1">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（1）造价控制方案科学、合理、详尽，内容全面完善细致，可行性强，利于本项目顺利实施，得5分；</w:t>
            </w:r>
          </w:p>
          <w:p w14:paraId="1378E3AC">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（2）造价控制方案能够保障本项目实施，方案内容全面、合理，得3分；</w:t>
            </w:r>
          </w:p>
          <w:p w14:paraId="1FC30545">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（3）造价控制方案能够满足采购项目基本需求，响应中包含整体方案，但缺少项目针对性、合理性，得1分；</w:t>
            </w:r>
          </w:p>
          <w:p w14:paraId="17ADDBFF">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（4）未提供此造价控制方案，得0分。</w:t>
            </w:r>
          </w:p>
        </w:tc>
        <w:tc>
          <w:tcPr>
            <w:tcW w:w="476" w:type="pct"/>
            <w:tcBorders>
              <w:top w:val="single" w:color="auto" w:sz="4" w:space="0"/>
              <w:left w:val="single" w:color="auto" w:sz="4" w:space="0"/>
              <w:bottom w:val="single" w:color="auto" w:sz="4" w:space="0"/>
              <w:right w:val="single" w:color="auto" w:sz="4" w:space="0"/>
            </w:tcBorders>
            <w:vAlign w:val="center"/>
          </w:tcPr>
          <w:p w14:paraId="03DD7465">
            <w:pPr>
              <w:jc w:val="center"/>
              <w:rPr>
                <w:rFonts w:ascii="宋体" w:hAnsi="宋体" w:eastAsia="宋体" w:cs="宋体"/>
                <w:b/>
                <w:bCs/>
                <w:sz w:val="24"/>
                <w:highlight w:val="none"/>
              </w:rPr>
            </w:pPr>
            <w:r>
              <w:rPr>
                <w:rFonts w:hint="eastAsia" w:ascii="宋体" w:hAnsi="宋体" w:eastAsia="宋体" w:cs="宋体"/>
                <w:kern w:val="0"/>
                <w:sz w:val="24"/>
                <w:szCs w:val="24"/>
                <w:highlight w:val="none"/>
              </w:rPr>
              <w:t>0-5分</w:t>
            </w:r>
          </w:p>
        </w:tc>
      </w:tr>
      <w:tr w14:paraId="319E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pct"/>
            <w:vMerge w:val="continue"/>
            <w:tcBorders>
              <w:left w:val="single" w:color="auto" w:sz="4" w:space="0"/>
              <w:right w:val="single" w:color="auto" w:sz="4" w:space="0"/>
            </w:tcBorders>
            <w:vAlign w:val="center"/>
          </w:tcPr>
          <w:p w14:paraId="2B71FE88">
            <w:pPr>
              <w:spacing w:line="360" w:lineRule="auto"/>
              <w:ind w:firstLine="435"/>
              <w:jc w:val="center"/>
              <w:rPr>
                <w:rFonts w:asciiTheme="minorEastAsia" w:hAnsiTheme="minorEastAsia" w:eastAsiaTheme="minorEastAsia"/>
                <w:b/>
                <w:bCs/>
                <w:sz w:val="24"/>
                <w:highlight w:val="none"/>
              </w:rPr>
            </w:pPr>
          </w:p>
        </w:tc>
        <w:tc>
          <w:tcPr>
            <w:tcW w:w="792" w:type="pct"/>
            <w:vMerge w:val="continue"/>
            <w:tcBorders>
              <w:left w:val="single" w:color="auto" w:sz="4" w:space="0"/>
              <w:right w:val="single" w:color="auto" w:sz="4" w:space="0"/>
            </w:tcBorders>
            <w:vAlign w:val="center"/>
          </w:tcPr>
          <w:p w14:paraId="4F3E8464">
            <w:pPr>
              <w:spacing w:line="360" w:lineRule="auto"/>
              <w:ind w:left="6" w:right="-109" w:rightChars="-52"/>
              <w:jc w:val="center"/>
              <w:rPr>
                <w:rFonts w:ascii="宋体" w:hAnsi="宋体" w:eastAsia="宋体" w:cs="宋体"/>
                <w:sz w:val="24"/>
                <w:szCs w:val="24"/>
                <w:highlight w:val="none"/>
              </w:rPr>
            </w:pPr>
          </w:p>
        </w:tc>
        <w:tc>
          <w:tcPr>
            <w:tcW w:w="3061" w:type="pct"/>
            <w:tcBorders>
              <w:top w:val="single" w:color="auto" w:sz="4" w:space="0"/>
              <w:left w:val="single" w:color="auto" w:sz="4" w:space="0"/>
              <w:bottom w:val="single" w:color="auto" w:sz="4" w:space="0"/>
              <w:right w:val="single" w:color="auto" w:sz="4" w:space="0"/>
            </w:tcBorders>
            <w:vAlign w:val="center"/>
          </w:tcPr>
          <w:p w14:paraId="541E3343">
            <w:pPr>
              <w:spacing w:line="360" w:lineRule="auto"/>
              <w:ind w:left="6" w:right="-109" w:rightChars="-52"/>
              <w:rPr>
                <w:rFonts w:ascii="宋体" w:hAnsi="宋体" w:eastAsia="宋体" w:cs="宋体"/>
                <w:b/>
                <w:bCs/>
                <w:sz w:val="24"/>
                <w:szCs w:val="24"/>
                <w:highlight w:val="none"/>
              </w:rPr>
            </w:pPr>
            <w:r>
              <w:rPr>
                <w:rFonts w:hint="eastAsia" w:ascii="宋体" w:hAnsi="宋体" w:eastAsia="宋体" w:cs="宋体"/>
                <w:b/>
                <w:bCs/>
                <w:sz w:val="24"/>
                <w:szCs w:val="24"/>
                <w:highlight w:val="none"/>
              </w:rPr>
              <w:t xml:space="preserve">关键部位监理方案可行性（5分） </w:t>
            </w:r>
          </w:p>
          <w:p w14:paraId="2C69DA21">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由评标委员会成员根据投标人提供质量安全控制方案针对性强、质量通病防治阐述清晰，相应的施工、对本项目图纸中的危险性较大工程有专项监理控制方案等主要方面进行综合评审。</w:t>
            </w:r>
          </w:p>
          <w:p w14:paraId="73E1E9BE">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（1）方案科学、合理、详尽，内容全面完善细致，可行性强，利于本项目顺利实施，得5分；</w:t>
            </w:r>
          </w:p>
          <w:p w14:paraId="3CD12259">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（2）方案能够保障本项目实施，方案内容全面、合理，得3分；</w:t>
            </w:r>
          </w:p>
          <w:p w14:paraId="3E1F81C8">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（3）方案能够满足采购项目基本需求，响应中包含整体方案，但缺少项目针对性、合理性，得1分；</w:t>
            </w:r>
          </w:p>
          <w:p w14:paraId="59C29A24">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（4）未提供此方案，得0分。</w:t>
            </w:r>
          </w:p>
        </w:tc>
        <w:tc>
          <w:tcPr>
            <w:tcW w:w="476" w:type="pct"/>
            <w:tcBorders>
              <w:top w:val="single" w:color="auto" w:sz="4" w:space="0"/>
              <w:left w:val="single" w:color="auto" w:sz="4" w:space="0"/>
              <w:bottom w:val="single" w:color="auto" w:sz="4" w:space="0"/>
              <w:right w:val="single" w:color="auto" w:sz="4" w:space="0"/>
            </w:tcBorders>
            <w:vAlign w:val="center"/>
          </w:tcPr>
          <w:p w14:paraId="19A031AB">
            <w:pPr>
              <w:jc w:val="center"/>
              <w:rPr>
                <w:rFonts w:ascii="宋体" w:hAnsi="宋体" w:eastAsia="宋体" w:cs="宋体"/>
                <w:b/>
                <w:bCs/>
                <w:sz w:val="24"/>
                <w:highlight w:val="none"/>
              </w:rPr>
            </w:pPr>
            <w:r>
              <w:rPr>
                <w:rFonts w:hint="eastAsia" w:ascii="宋体" w:hAnsi="宋体" w:eastAsia="宋体" w:cs="宋体"/>
                <w:kern w:val="0"/>
                <w:sz w:val="24"/>
                <w:szCs w:val="24"/>
                <w:highlight w:val="none"/>
              </w:rPr>
              <w:t>0-5分</w:t>
            </w:r>
          </w:p>
        </w:tc>
      </w:tr>
      <w:tr w14:paraId="5557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pct"/>
            <w:vMerge w:val="continue"/>
            <w:tcBorders>
              <w:left w:val="single" w:color="auto" w:sz="4" w:space="0"/>
              <w:right w:val="single" w:color="auto" w:sz="4" w:space="0"/>
            </w:tcBorders>
            <w:vAlign w:val="center"/>
          </w:tcPr>
          <w:p w14:paraId="1DCD974B">
            <w:pPr>
              <w:spacing w:line="360" w:lineRule="auto"/>
              <w:ind w:firstLine="435"/>
              <w:jc w:val="center"/>
              <w:rPr>
                <w:rFonts w:asciiTheme="minorEastAsia" w:hAnsiTheme="minorEastAsia" w:eastAsiaTheme="minorEastAsia"/>
                <w:b/>
                <w:bCs/>
                <w:sz w:val="24"/>
                <w:highlight w:val="none"/>
              </w:rPr>
            </w:pPr>
          </w:p>
        </w:tc>
        <w:tc>
          <w:tcPr>
            <w:tcW w:w="792" w:type="pct"/>
            <w:vMerge w:val="continue"/>
            <w:tcBorders>
              <w:left w:val="single" w:color="auto" w:sz="4" w:space="0"/>
              <w:right w:val="single" w:color="auto" w:sz="4" w:space="0"/>
            </w:tcBorders>
            <w:vAlign w:val="center"/>
          </w:tcPr>
          <w:p w14:paraId="7331EA37">
            <w:pPr>
              <w:spacing w:line="360" w:lineRule="auto"/>
              <w:ind w:left="6" w:right="-109" w:rightChars="-52"/>
              <w:jc w:val="center"/>
              <w:rPr>
                <w:rFonts w:ascii="宋体" w:hAnsi="宋体" w:eastAsia="宋体" w:cs="宋体"/>
                <w:sz w:val="24"/>
                <w:szCs w:val="24"/>
                <w:highlight w:val="none"/>
              </w:rPr>
            </w:pPr>
          </w:p>
        </w:tc>
        <w:tc>
          <w:tcPr>
            <w:tcW w:w="3061" w:type="pct"/>
            <w:tcBorders>
              <w:top w:val="single" w:color="auto" w:sz="4" w:space="0"/>
              <w:left w:val="single" w:color="auto" w:sz="4" w:space="0"/>
              <w:bottom w:val="single" w:color="auto" w:sz="4" w:space="0"/>
              <w:right w:val="single" w:color="auto" w:sz="4" w:space="0"/>
            </w:tcBorders>
            <w:vAlign w:val="center"/>
          </w:tcPr>
          <w:p w14:paraId="0BB14340">
            <w:pPr>
              <w:spacing w:line="360" w:lineRule="auto"/>
              <w:ind w:left="6" w:right="-109" w:rightChars="-52"/>
              <w:rPr>
                <w:rFonts w:hint="eastAsia" w:ascii="宋体" w:hAnsi="宋体" w:eastAsia="宋体" w:cs="宋体"/>
                <w:sz w:val="24"/>
                <w:szCs w:val="24"/>
                <w:highlight w:val="none"/>
              </w:rPr>
            </w:pPr>
            <w:r>
              <w:rPr>
                <w:rFonts w:hint="eastAsia" w:ascii="宋体" w:hAnsi="宋体" w:eastAsia="宋体" w:cs="宋体"/>
                <w:b/>
                <w:bCs/>
                <w:sz w:val="24"/>
                <w:szCs w:val="24"/>
                <w:highlight w:val="none"/>
              </w:rPr>
              <w:t>监理机构设置和岗位职责（5分）</w:t>
            </w:r>
            <w:r>
              <w:rPr>
                <w:rFonts w:hint="eastAsia" w:ascii="宋体" w:hAnsi="宋体" w:eastAsia="宋体" w:cs="宋体"/>
                <w:sz w:val="24"/>
                <w:szCs w:val="24"/>
                <w:highlight w:val="none"/>
              </w:rPr>
              <w:t xml:space="preserve"> </w:t>
            </w:r>
          </w:p>
          <w:p w14:paraId="5CF3353E">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有明确的组织形式、项目监理班子人员结构、岗位职责任务明确，评标委员会根据内容情况进行综合评审。</w:t>
            </w:r>
          </w:p>
          <w:p w14:paraId="794E6FB3">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（1）机构设置方案内容科学、合理、详尽，内容全面完善细致，可行性强，利于本项目顺利实施，得5分；</w:t>
            </w:r>
          </w:p>
          <w:p w14:paraId="588FE0CE">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（2）机构设置方案内容能够保障本项目实施，方案内容全面、合理，得3分；</w:t>
            </w:r>
          </w:p>
          <w:p w14:paraId="22B01A67">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（3）机构设置方案内容能够满足采购项目基本需求，响应中包含整体方案，但缺少项目针对性、合理性，得1分；</w:t>
            </w:r>
          </w:p>
          <w:p w14:paraId="58F1938B">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（4）未提供此机构设置方案，得0分。</w:t>
            </w:r>
          </w:p>
        </w:tc>
        <w:tc>
          <w:tcPr>
            <w:tcW w:w="476" w:type="pct"/>
            <w:tcBorders>
              <w:top w:val="single" w:color="auto" w:sz="4" w:space="0"/>
              <w:left w:val="single" w:color="auto" w:sz="4" w:space="0"/>
              <w:bottom w:val="single" w:color="auto" w:sz="4" w:space="0"/>
              <w:right w:val="single" w:color="auto" w:sz="4" w:space="0"/>
            </w:tcBorders>
            <w:vAlign w:val="center"/>
          </w:tcPr>
          <w:p w14:paraId="46B62931">
            <w:pPr>
              <w:jc w:val="center"/>
              <w:rPr>
                <w:rFonts w:ascii="宋体" w:hAnsi="宋体" w:eastAsia="宋体" w:cs="宋体"/>
                <w:b/>
                <w:bCs/>
                <w:sz w:val="24"/>
                <w:highlight w:val="none"/>
              </w:rPr>
            </w:pPr>
            <w:r>
              <w:rPr>
                <w:rFonts w:hint="eastAsia" w:ascii="宋体" w:hAnsi="宋体" w:eastAsia="宋体" w:cs="宋体"/>
                <w:kern w:val="0"/>
                <w:sz w:val="24"/>
                <w:szCs w:val="24"/>
                <w:highlight w:val="none"/>
              </w:rPr>
              <w:t>0-5分</w:t>
            </w:r>
          </w:p>
        </w:tc>
      </w:tr>
      <w:tr w14:paraId="656B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pct"/>
            <w:vMerge w:val="continue"/>
            <w:tcBorders>
              <w:left w:val="single" w:color="auto" w:sz="4" w:space="0"/>
              <w:right w:val="single" w:color="auto" w:sz="4" w:space="0"/>
            </w:tcBorders>
            <w:vAlign w:val="center"/>
          </w:tcPr>
          <w:p w14:paraId="0899686D">
            <w:pPr>
              <w:spacing w:line="360" w:lineRule="auto"/>
              <w:ind w:firstLine="435"/>
              <w:jc w:val="center"/>
              <w:rPr>
                <w:rFonts w:asciiTheme="minorEastAsia" w:hAnsiTheme="minorEastAsia" w:eastAsiaTheme="minorEastAsia"/>
                <w:b/>
                <w:bCs/>
                <w:sz w:val="24"/>
                <w:highlight w:val="none"/>
              </w:rPr>
            </w:pPr>
          </w:p>
        </w:tc>
        <w:tc>
          <w:tcPr>
            <w:tcW w:w="792" w:type="pct"/>
            <w:vMerge w:val="continue"/>
            <w:tcBorders>
              <w:left w:val="single" w:color="auto" w:sz="4" w:space="0"/>
              <w:bottom w:val="single" w:color="auto" w:sz="4" w:space="0"/>
              <w:right w:val="single" w:color="auto" w:sz="4" w:space="0"/>
            </w:tcBorders>
            <w:vAlign w:val="center"/>
          </w:tcPr>
          <w:p w14:paraId="0047DC04">
            <w:pPr>
              <w:spacing w:line="360" w:lineRule="auto"/>
              <w:ind w:left="6" w:right="-109" w:rightChars="-52"/>
              <w:jc w:val="center"/>
              <w:rPr>
                <w:rFonts w:ascii="宋体" w:hAnsi="宋体" w:eastAsia="宋体" w:cs="宋体"/>
                <w:sz w:val="24"/>
                <w:szCs w:val="24"/>
                <w:highlight w:val="none"/>
              </w:rPr>
            </w:pPr>
          </w:p>
        </w:tc>
        <w:tc>
          <w:tcPr>
            <w:tcW w:w="3061" w:type="pct"/>
            <w:tcBorders>
              <w:top w:val="single" w:color="auto" w:sz="4" w:space="0"/>
              <w:left w:val="single" w:color="auto" w:sz="4" w:space="0"/>
              <w:bottom w:val="single" w:color="auto" w:sz="4" w:space="0"/>
              <w:right w:val="single" w:color="auto" w:sz="4" w:space="0"/>
            </w:tcBorders>
            <w:vAlign w:val="center"/>
          </w:tcPr>
          <w:p w14:paraId="2410AE20">
            <w:pPr>
              <w:widowControl/>
              <w:jc w:val="left"/>
              <w:rPr>
                <w:highlight w:val="none"/>
              </w:rPr>
            </w:pPr>
            <w:r>
              <w:rPr>
                <w:rFonts w:hint="eastAsia" w:ascii="宋体" w:hAnsi="宋体" w:eastAsia="宋体" w:cs="宋体"/>
                <w:b/>
                <w:bCs/>
                <w:sz w:val="24"/>
                <w:szCs w:val="24"/>
                <w:highlight w:val="none"/>
              </w:rPr>
              <w:t>信息档案管理措施(（5分）</w:t>
            </w:r>
            <w:r>
              <w:rPr>
                <w:rFonts w:ascii="仿宋" w:hAnsi="仿宋" w:eastAsia="仿宋" w:cs="仿宋"/>
                <w:b/>
                <w:bCs/>
                <w:kern w:val="0"/>
                <w:sz w:val="28"/>
                <w:szCs w:val="28"/>
                <w:highlight w:val="none"/>
              </w:rPr>
              <w:t xml:space="preserve"> </w:t>
            </w:r>
          </w:p>
          <w:p w14:paraId="5FD044B1">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针对本项目提出完善的信息档案管理的措施及建议，评标委员会根据内容情况进行综合评审。</w:t>
            </w:r>
          </w:p>
          <w:p w14:paraId="53E81FD4">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（1）内容科学、合理、详尽，内容全面完善细致，可行性强，利于本项目顺利实施，得5分；</w:t>
            </w:r>
          </w:p>
          <w:p w14:paraId="0B19F4F7">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（2）内容能够保障本项目实施，方案内容全面、合理，得3分；</w:t>
            </w:r>
          </w:p>
          <w:p w14:paraId="7DD75F40">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（3）内容能够满足采购项目基本需求，响应中包含整体方案，但缺少项目针对性、合理性，得1分；</w:t>
            </w:r>
          </w:p>
          <w:p w14:paraId="4A6E0AF1">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（4）未提供此措施方案，得0分。</w:t>
            </w:r>
          </w:p>
        </w:tc>
        <w:tc>
          <w:tcPr>
            <w:tcW w:w="476" w:type="pct"/>
            <w:tcBorders>
              <w:top w:val="single" w:color="auto" w:sz="4" w:space="0"/>
              <w:left w:val="single" w:color="auto" w:sz="4" w:space="0"/>
              <w:bottom w:val="single" w:color="auto" w:sz="4" w:space="0"/>
              <w:right w:val="single" w:color="auto" w:sz="4" w:space="0"/>
            </w:tcBorders>
            <w:vAlign w:val="center"/>
          </w:tcPr>
          <w:p w14:paraId="7AA6A094">
            <w:pPr>
              <w:jc w:val="center"/>
              <w:rPr>
                <w:rFonts w:ascii="宋体" w:hAnsi="宋体" w:eastAsia="宋体" w:cs="宋体"/>
                <w:b/>
                <w:bCs/>
                <w:sz w:val="24"/>
                <w:highlight w:val="none"/>
              </w:rPr>
            </w:pPr>
            <w:r>
              <w:rPr>
                <w:rFonts w:hint="eastAsia" w:ascii="宋体" w:hAnsi="宋体" w:eastAsia="宋体" w:cs="宋体"/>
                <w:kern w:val="0"/>
                <w:sz w:val="24"/>
                <w:szCs w:val="24"/>
                <w:highlight w:val="none"/>
              </w:rPr>
              <w:t>0-5分</w:t>
            </w:r>
          </w:p>
        </w:tc>
      </w:tr>
      <w:tr w14:paraId="2758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pct"/>
            <w:vMerge w:val="continue"/>
            <w:tcBorders>
              <w:left w:val="single" w:color="auto" w:sz="4" w:space="0"/>
              <w:right w:val="single" w:color="auto" w:sz="4" w:space="0"/>
            </w:tcBorders>
            <w:vAlign w:val="center"/>
          </w:tcPr>
          <w:p w14:paraId="0A2D57C8">
            <w:pPr>
              <w:spacing w:line="360" w:lineRule="auto"/>
              <w:ind w:firstLine="435"/>
              <w:jc w:val="center"/>
              <w:rPr>
                <w:rFonts w:asciiTheme="minorEastAsia" w:hAnsiTheme="minorEastAsia" w:eastAsiaTheme="minorEastAsia"/>
                <w:b/>
                <w:bCs/>
                <w:sz w:val="24"/>
                <w:highlight w:val="none"/>
              </w:rPr>
            </w:pPr>
          </w:p>
        </w:tc>
        <w:tc>
          <w:tcPr>
            <w:tcW w:w="792" w:type="pct"/>
            <w:tcBorders>
              <w:left w:val="single" w:color="auto" w:sz="4" w:space="0"/>
              <w:bottom w:val="single" w:color="auto" w:sz="4" w:space="0"/>
              <w:right w:val="single" w:color="auto" w:sz="4" w:space="0"/>
            </w:tcBorders>
            <w:vAlign w:val="center"/>
          </w:tcPr>
          <w:p w14:paraId="6DC6FD50">
            <w:pPr>
              <w:spacing w:line="360" w:lineRule="auto"/>
              <w:ind w:left="6" w:right="-109" w:rightChars="-52"/>
              <w:jc w:val="center"/>
              <w:rPr>
                <w:rFonts w:ascii="宋体" w:hAnsi="宋体" w:eastAsia="宋体" w:cs="宋体"/>
                <w:sz w:val="24"/>
                <w:szCs w:val="24"/>
                <w:highlight w:val="none"/>
              </w:rPr>
            </w:pPr>
          </w:p>
        </w:tc>
        <w:tc>
          <w:tcPr>
            <w:tcW w:w="3061" w:type="pct"/>
            <w:tcBorders>
              <w:top w:val="single" w:color="auto" w:sz="4" w:space="0"/>
              <w:left w:val="single" w:color="auto" w:sz="4" w:space="0"/>
              <w:bottom w:val="single" w:color="auto" w:sz="4" w:space="0"/>
              <w:right w:val="single" w:color="auto" w:sz="4" w:space="0"/>
            </w:tcBorders>
            <w:vAlign w:val="center"/>
          </w:tcPr>
          <w:p w14:paraId="02F4AE95">
            <w:pPr>
              <w:widowControl/>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 xml:space="preserve">监理工作制度服务方案（5分） </w:t>
            </w:r>
          </w:p>
          <w:p w14:paraId="60FB2B6A">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针对本项目特点提供工作制度服务方案(附框图、表格等)，评标委员会根据方案情况进行综合评审。</w:t>
            </w:r>
          </w:p>
          <w:p w14:paraId="5BC9C368">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（1）方案内容科学、合理、详尽，内容全面完善细致，可行性强，利于本项目顺利实施，得5分；</w:t>
            </w:r>
          </w:p>
          <w:p w14:paraId="47C82D4F">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（2）方案内容能够保障本项目实施，方案内容全面、合理，得3分；</w:t>
            </w:r>
          </w:p>
          <w:p w14:paraId="7A65DC94">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（3）方案内容能够满足采购项目基本需求，响应中包含整体方案，但缺少项目针对性、合理性，得1分；</w:t>
            </w:r>
          </w:p>
          <w:p w14:paraId="321F658A">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（4）未提供此措施方案，得0分。</w:t>
            </w:r>
          </w:p>
        </w:tc>
        <w:tc>
          <w:tcPr>
            <w:tcW w:w="476" w:type="pct"/>
            <w:tcBorders>
              <w:top w:val="single" w:color="auto" w:sz="4" w:space="0"/>
              <w:left w:val="single" w:color="auto" w:sz="4" w:space="0"/>
              <w:bottom w:val="single" w:color="auto" w:sz="4" w:space="0"/>
              <w:right w:val="single" w:color="auto" w:sz="4" w:space="0"/>
            </w:tcBorders>
            <w:vAlign w:val="center"/>
          </w:tcPr>
          <w:p w14:paraId="56C98589">
            <w:pPr>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0-5分</w:t>
            </w:r>
          </w:p>
        </w:tc>
      </w:tr>
      <w:tr w14:paraId="6C8B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pct"/>
            <w:vMerge w:val="continue"/>
            <w:tcBorders>
              <w:left w:val="single" w:color="auto" w:sz="4" w:space="0"/>
              <w:right w:val="single" w:color="auto" w:sz="4" w:space="0"/>
            </w:tcBorders>
            <w:vAlign w:val="center"/>
          </w:tcPr>
          <w:p w14:paraId="38F77738">
            <w:pPr>
              <w:spacing w:line="360" w:lineRule="auto"/>
              <w:ind w:firstLine="435"/>
              <w:jc w:val="center"/>
              <w:rPr>
                <w:rFonts w:asciiTheme="minorEastAsia" w:hAnsiTheme="minorEastAsia" w:eastAsiaTheme="minorEastAsia"/>
                <w:b/>
                <w:bCs/>
                <w:sz w:val="24"/>
                <w:highlight w:val="none"/>
              </w:rPr>
            </w:pPr>
          </w:p>
        </w:tc>
        <w:tc>
          <w:tcPr>
            <w:tcW w:w="792" w:type="pct"/>
            <w:tcBorders>
              <w:left w:val="single" w:color="auto" w:sz="4" w:space="0"/>
              <w:bottom w:val="single" w:color="auto" w:sz="4" w:space="0"/>
              <w:right w:val="single" w:color="auto" w:sz="4" w:space="0"/>
            </w:tcBorders>
            <w:vAlign w:val="center"/>
          </w:tcPr>
          <w:p w14:paraId="7149166F">
            <w:pPr>
              <w:spacing w:line="360" w:lineRule="auto"/>
              <w:ind w:left="6" w:right="-109" w:rightChars="-52"/>
              <w:jc w:val="center"/>
              <w:rPr>
                <w:rFonts w:ascii="宋体" w:hAnsi="宋体" w:eastAsia="宋体" w:cs="宋体"/>
                <w:sz w:val="24"/>
                <w:szCs w:val="24"/>
                <w:highlight w:val="none"/>
              </w:rPr>
            </w:pPr>
          </w:p>
        </w:tc>
        <w:tc>
          <w:tcPr>
            <w:tcW w:w="3061" w:type="pct"/>
            <w:tcBorders>
              <w:top w:val="single" w:color="auto" w:sz="4" w:space="0"/>
              <w:left w:val="single" w:color="auto" w:sz="4" w:space="0"/>
              <w:bottom w:val="single" w:color="auto" w:sz="4" w:space="0"/>
              <w:right w:val="single" w:color="auto" w:sz="4" w:space="0"/>
            </w:tcBorders>
            <w:vAlign w:val="center"/>
          </w:tcPr>
          <w:p w14:paraId="38C5C1E0">
            <w:pPr>
              <w:spacing w:line="360" w:lineRule="auto"/>
              <w:ind w:left="6" w:right="-109" w:rightChars="-52"/>
              <w:rPr>
                <w:rFonts w:ascii="宋体" w:hAnsi="宋体" w:eastAsia="宋体" w:cs="宋体"/>
                <w:b/>
                <w:bCs/>
                <w:sz w:val="24"/>
                <w:szCs w:val="24"/>
                <w:highlight w:val="none"/>
              </w:rPr>
            </w:pPr>
            <w:r>
              <w:rPr>
                <w:rFonts w:hint="eastAsia" w:ascii="宋体" w:hAnsi="宋体" w:eastAsia="宋体" w:cs="宋体"/>
                <w:b/>
                <w:bCs/>
                <w:sz w:val="24"/>
                <w:szCs w:val="24"/>
                <w:highlight w:val="none"/>
              </w:rPr>
              <w:t xml:space="preserve">本工程监理工作的重点与难点分析(5分) </w:t>
            </w:r>
          </w:p>
          <w:p w14:paraId="69567CCF">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根据本项目特点，制定项目重点难点分析方案，评标委员会根据投标人提供的项目重点难点分析方案情况进行综合评审。</w:t>
            </w:r>
          </w:p>
          <w:p w14:paraId="7E746ED4">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 xml:space="preserve">（1）对本监理项目特点和难点理解准确，重点与难点分析优于本项目采购需求，完整详细，可行性、实用性、针对性强，得 5 分； </w:t>
            </w:r>
          </w:p>
          <w:p w14:paraId="29B25C81">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 xml:space="preserve">（2）对本监理项目特点和难点理解基本准确，重点与难点分析适合本项目采购需求，完整详细，具有可行性、实用性和针对性，得 3 分； </w:t>
            </w:r>
          </w:p>
          <w:p w14:paraId="4EB0DC77">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 xml:space="preserve">（3）对本监理项目特点和难点理解有待提升，重点与难点分析基本适合本项目采购需求，可行性、实用性、针对性有待改善，得 1 分； </w:t>
            </w:r>
          </w:p>
          <w:p w14:paraId="0B675025">
            <w:pPr>
              <w:spacing w:line="360" w:lineRule="auto"/>
              <w:ind w:left="6" w:right="-109" w:rightChars="-52"/>
              <w:rPr>
                <w:rFonts w:ascii="宋体" w:hAnsi="宋体" w:eastAsia="宋体" w:cs="宋体"/>
                <w:sz w:val="24"/>
                <w:szCs w:val="24"/>
                <w:highlight w:val="none"/>
              </w:rPr>
            </w:pPr>
            <w:r>
              <w:rPr>
                <w:rFonts w:hint="eastAsia" w:ascii="宋体" w:hAnsi="宋体" w:eastAsia="宋体" w:cs="宋体"/>
                <w:sz w:val="24"/>
                <w:szCs w:val="24"/>
                <w:highlight w:val="none"/>
              </w:rPr>
              <w:t>（4）未提供此方案或不满足采购需求，得 0 分。</w:t>
            </w:r>
          </w:p>
        </w:tc>
        <w:tc>
          <w:tcPr>
            <w:tcW w:w="476" w:type="pct"/>
            <w:tcBorders>
              <w:top w:val="single" w:color="auto" w:sz="4" w:space="0"/>
              <w:left w:val="single" w:color="auto" w:sz="4" w:space="0"/>
              <w:bottom w:val="single" w:color="auto" w:sz="4" w:space="0"/>
              <w:right w:val="single" w:color="auto" w:sz="4" w:space="0"/>
            </w:tcBorders>
            <w:vAlign w:val="center"/>
          </w:tcPr>
          <w:p w14:paraId="56262C45">
            <w:pPr>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0-5分</w:t>
            </w:r>
          </w:p>
        </w:tc>
      </w:tr>
      <w:tr w14:paraId="15D2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pct"/>
            <w:tcBorders>
              <w:left w:val="single" w:color="auto" w:sz="4" w:space="0"/>
              <w:right w:val="single" w:color="auto" w:sz="4" w:space="0"/>
            </w:tcBorders>
            <w:vAlign w:val="center"/>
          </w:tcPr>
          <w:p w14:paraId="3B9F731C">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价格分</w:t>
            </w:r>
          </w:p>
          <w:p w14:paraId="6F0FB9E8">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10</w:t>
            </w:r>
            <w:r>
              <w:rPr>
                <w:rFonts w:hint="eastAsia" w:asciiTheme="minorEastAsia" w:hAnsiTheme="minorEastAsia" w:eastAsiaTheme="minorEastAsia"/>
                <w:sz w:val="24"/>
                <w:highlight w:val="none"/>
              </w:rPr>
              <w:t>分）</w:t>
            </w:r>
          </w:p>
        </w:tc>
        <w:tc>
          <w:tcPr>
            <w:tcW w:w="4329" w:type="pct"/>
            <w:gridSpan w:val="3"/>
            <w:tcBorders>
              <w:top w:val="single" w:color="auto" w:sz="4" w:space="0"/>
              <w:left w:val="single" w:color="auto" w:sz="4" w:space="0"/>
              <w:bottom w:val="single" w:color="auto" w:sz="4" w:space="0"/>
              <w:right w:val="single" w:color="auto" w:sz="4" w:space="0"/>
            </w:tcBorders>
            <w:vAlign w:val="center"/>
          </w:tcPr>
          <w:p w14:paraId="495BF716">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sz w:val="24"/>
                <w:highlight w:val="none"/>
                <w:u w:val="single"/>
              </w:rPr>
              <w:t>10</w:t>
            </w:r>
            <w:r>
              <w:rPr>
                <w:rFonts w:hint="eastAsia" w:asciiTheme="minorEastAsia" w:hAnsiTheme="minorEastAsia" w:eastAsiaTheme="minorEastAsia"/>
                <w:sz w:val="24"/>
                <w:highlight w:val="none"/>
              </w:rPr>
              <w:t>分。其他投标人的价格分统一按照下列公式计算：</w:t>
            </w:r>
          </w:p>
          <w:p w14:paraId="6822DFEE">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投标报价得分＝（评标基准价/投标报价）×</w:t>
            </w:r>
            <w:r>
              <w:rPr>
                <w:rFonts w:hint="eastAsia" w:asciiTheme="minorEastAsia" w:hAnsiTheme="minorEastAsia" w:eastAsiaTheme="minorEastAsia"/>
                <w:sz w:val="24"/>
                <w:highlight w:val="none"/>
                <w:u w:val="single"/>
              </w:rPr>
              <w:t>10</w:t>
            </w:r>
            <w:r>
              <w:rPr>
                <w:rFonts w:hint="eastAsia" w:asciiTheme="minorEastAsia" w:hAnsiTheme="minorEastAsia" w:eastAsiaTheme="minorEastAsia"/>
                <w:sz w:val="24"/>
                <w:highlight w:val="none"/>
              </w:rPr>
              <w:t>％×100</w:t>
            </w:r>
          </w:p>
          <w:p w14:paraId="1CF59E9B">
            <w:pPr>
              <w:spacing w:line="360" w:lineRule="auto"/>
              <w:rPr>
                <w:highlight w:val="none"/>
              </w:rPr>
            </w:pPr>
            <w:r>
              <w:rPr>
                <w:rFonts w:hint="eastAsia" w:asciiTheme="minorEastAsia" w:hAnsiTheme="minorEastAsia" w:eastAsiaTheme="minorEastAsia"/>
                <w:sz w:val="24"/>
                <w:highlight w:val="none"/>
              </w:rPr>
              <w:t>（投标报价得分计算保留小数点后两位，小数点后第三位“四舍五入”）</w:t>
            </w:r>
          </w:p>
        </w:tc>
      </w:tr>
    </w:tbl>
    <w:p w14:paraId="427D455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.3.3</w:t>
      </w:r>
      <w:r>
        <w:rPr>
          <w:rFonts w:hint="eastAsia" w:asciiTheme="minorEastAsia" w:hAnsiTheme="minorEastAsia" w:eastAsiaTheme="minorEastAsia"/>
          <w:sz w:val="24"/>
          <w:highlight w:val="none"/>
        </w:rPr>
        <w:t>分值汇总</w:t>
      </w:r>
    </w:p>
    <w:p w14:paraId="5AD9772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评标委员会各成员应当独立对每个</w:t>
      </w:r>
      <w:r>
        <w:rPr>
          <w:rFonts w:hint="eastAsia" w:asciiTheme="minorEastAsia" w:hAnsiTheme="minorEastAsia" w:eastAsiaTheme="minorEastAsia"/>
          <w:sz w:val="24"/>
          <w:highlight w:val="none"/>
        </w:rPr>
        <w:t>有效</w:t>
      </w:r>
      <w:r>
        <w:rPr>
          <w:rFonts w:asciiTheme="minorEastAsia" w:hAnsiTheme="minorEastAsia" w:eastAsiaTheme="minorEastAsia"/>
          <w:sz w:val="24"/>
          <w:highlight w:val="none"/>
        </w:rPr>
        <w:t>投标人的投标文件进行评</w:t>
      </w:r>
      <w:r>
        <w:rPr>
          <w:rFonts w:hint="eastAsia" w:asciiTheme="minorEastAsia" w:hAnsiTheme="minorEastAsia" w:eastAsiaTheme="minorEastAsia"/>
          <w:sz w:val="24"/>
          <w:highlight w:val="none"/>
        </w:rPr>
        <w:t>分</w:t>
      </w:r>
      <w:r>
        <w:rPr>
          <w:rFonts w:asciiTheme="minorEastAsia" w:hAnsiTheme="minorEastAsia" w:eastAsiaTheme="minorEastAsia"/>
          <w:sz w:val="24"/>
          <w:highlight w:val="none"/>
        </w:rPr>
        <w:t>，并汇总每个投</w:t>
      </w:r>
      <w:r>
        <w:rPr>
          <w:rFonts w:hint="eastAsia" w:asciiTheme="minorEastAsia" w:hAnsiTheme="minorEastAsia" w:eastAsiaTheme="minorEastAsia"/>
          <w:sz w:val="24"/>
          <w:highlight w:val="none"/>
        </w:rPr>
        <w:t>标人的得分。取各位评委评分之平均值，四舍五入保留至小数点后两位数，</w:t>
      </w:r>
      <w:r>
        <w:rPr>
          <w:rFonts w:asciiTheme="minorEastAsia" w:hAnsiTheme="minorEastAsia" w:eastAsiaTheme="minorEastAsia"/>
          <w:sz w:val="24"/>
          <w:highlight w:val="none"/>
        </w:rPr>
        <w:t>得到该投标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的技术资信分</w:t>
      </w:r>
      <w:r>
        <w:rPr>
          <w:rFonts w:hint="eastAsia" w:asciiTheme="minorEastAsia" w:hAnsiTheme="minorEastAsia" w:eastAsiaTheme="minorEastAsia"/>
          <w:sz w:val="24"/>
          <w:highlight w:val="none"/>
        </w:rPr>
        <w:t>。</w:t>
      </w:r>
    </w:p>
    <w:p w14:paraId="63BD635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将投标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的技术资信分加上根据上述标准计算出的价格分，即为该投标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的综合总得分。</w:t>
      </w:r>
    </w:p>
    <w:p w14:paraId="73980B31">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2AF23ECE">
      <w:pPr>
        <w:spacing w:line="360" w:lineRule="auto"/>
        <w:jc w:val="center"/>
        <w:outlineLvl w:val="0"/>
        <w:rPr>
          <w:rFonts w:asciiTheme="minorEastAsia" w:hAnsiTheme="minorEastAsia" w:eastAsiaTheme="minorEastAsia"/>
          <w:b/>
          <w:sz w:val="28"/>
          <w:highlight w:val="none"/>
        </w:rPr>
      </w:pPr>
      <w:bookmarkStart w:id="44" w:name="_Toc20405"/>
      <w:r>
        <w:rPr>
          <w:rFonts w:hint="eastAsia" w:asciiTheme="minorEastAsia" w:hAnsiTheme="minorEastAsia" w:eastAsiaTheme="minorEastAsia"/>
          <w:b/>
          <w:sz w:val="28"/>
          <w:highlight w:val="none"/>
        </w:rPr>
        <w:t xml:space="preserve">第五章  </w:t>
      </w:r>
      <w:r>
        <w:rPr>
          <w:rFonts w:asciiTheme="minorEastAsia" w:hAnsiTheme="minorEastAsia" w:eastAsiaTheme="minorEastAsia"/>
          <w:b/>
          <w:sz w:val="28"/>
          <w:highlight w:val="none"/>
        </w:rPr>
        <w:t>政府采购合同</w:t>
      </w:r>
      <w:bookmarkEnd w:id="44"/>
    </w:p>
    <w:p w14:paraId="2A601CCF">
      <w:pPr>
        <w:spacing w:line="480" w:lineRule="auto"/>
        <w:jc w:val="center"/>
        <w:rPr>
          <w:rFonts w:cs="Times New Roman" w:asciiTheme="minorEastAsia" w:hAnsiTheme="minorEastAsia" w:eastAsiaTheme="minorEastAsia"/>
          <w:b/>
          <w:color w:val="000000" w:themeColor="text1"/>
          <w:sz w:val="28"/>
          <w:szCs w:val="28"/>
          <w:highlight w:val="none"/>
          <w14:textFill>
            <w14:solidFill>
              <w14:schemeClr w14:val="tx1"/>
            </w14:solidFill>
          </w14:textFill>
        </w:rPr>
      </w:pPr>
      <w:bookmarkStart w:id="45" w:name="_Toc331685784"/>
    </w:p>
    <w:p w14:paraId="443DFEFA">
      <w:pPr>
        <w:spacing w:line="480" w:lineRule="auto"/>
        <w:jc w:val="center"/>
        <w:rPr>
          <w:rFonts w:cs="Times New Roman" w:asciiTheme="minorEastAsia" w:hAnsiTheme="minorEastAsia" w:eastAsiaTheme="minorEastAsia"/>
          <w:b/>
          <w:color w:val="000000" w:themeColor="text1"/>
          <w:sz w:val="28"/>
          <w:szCs w:val="28"/>
          <w:highlight w:val="none"/>
          <w14:textFill>
            <w14:solidFill>
              <w14:schemeClr w14:val="tx1"/>
            </w14:solidFill>
          </w14:textFill>
        </w:rPr>
      </w:pPr>
    </w:p>
    <w:p w14:paraId="196B8521">
      <w:pPr>
        <w:pStyle w:val="8"/>
        <w:rPr>
          <w:highlight w:val="none"/>
        </w:rPr>
      </w:pPr>
    </w:p>
    <w:p w14:paraId="4CDF0154">
      <w:pPr>
        <w:spacing w:line="480" w:lineRule="auto"/>
        <w:jc w:val="center"/>
        <w:outlineLvl w:val="1"/>
        <w:rPr>
          <w:rFonts w:cs="Times New Roman" w:asciiTheme="minorEastAsia" w:hAnsiTheme="minorEastAsia" w:eastAsiaTheme="minorEastAsia"/>
          <w:b/>
          <w:color w:val="000000" w:themeColor="text1"/>
          <w:sz w:val="28"/>
          <w:szCs w:val="28"/>
          <w:highlight w:val="none"/>
          <w14:textFill>
            <w14:solidFill>
              <w14:schemeClr w14:val="tx1"/>
            </w14:solidFill>
          </w14:textFill>
        </w:rPr>
      </w:pPr>
      <w:bookmarkStart w:id="46" w:name="_Toc3714"/>
      <w:r>
        <w:rPr>
          <w:rFonts w:cs="Times New Roman" w:asciiTheme="minorEastAsia" w:hAnsiTheme="minorEastAsia" w:eastAsiaTheme="minorEastAsia"/>
          <w:b/>
          <w:color w:val="000000" w:themeColor="text1"/>
          <w:sz w:val="28"/>
          <w:szCs w:val="28"/>
          <w:highlight w:val="none"/>
          <w14:textFill>
            <w14:solidFill>
              <w14:schemeClr w14:val="tx1"/>
            </w14:solidFill>
          </w14:textFill>
        </w:rPr>
        <w:t>政府采购合同</w:t>
      </w:r>
      <w:r>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t>参考范本</w:t>
      </w:r>
      <w:bookmarkEnd w:id="46"/>
    </w:p>
    <w:p w14:paraId="2242D227">
      <w:pPr>
        <w:spacing w:line="480" w:lineRule="auto"/>
        <w:jc w:val="center"/>
        <w:outlineLvl w:val="1"/>
        <w:rPr>
          <w:rFonts w:cs="Times New Roman" w:asciiTheme="minorEastAsia" w:hAnsiTheme="minorEastAsia" w:eastAsiaTheme="minorEastAsia"/>
          <w:b/>
          <w:color w:val="000000" w:themeColor="text1"/>
          <w:sz w:val="28"/>
          <w:szCs w:val="28"/>
          <w:highlight w:val="none"/>
          <w14:textFill>
            <w14:solidFill>
              <w14:schemeClr w14:val="tx1"/>
            </w14:solidFill>
          </w14:textFill>
        </w:rPr>
      </w:pPr>
      <w:bookmarkStart w:id="47" w:name="_Toc8560"/>
      <w:r>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t>（服务类）</w:t>
      </w:r>
      <w:bookmarkEnd w:id="47"/>
    </w:p>
    <w:p w14:paraId="7884E573">
      <w:pPr>
        <w:spacing w:line="480" w:lineRule="auto"/>
        <w:jc w:val="center"/>
        <w:rPr>
          <w:rFonts w:cs="Times New Roman" w:asciiTheme="minorEastAsia" w:hAnsiTheme="minorEastAsia" w:eastAsiaTheme="minorEastAsia"/>
          <w:b/>
          <w:color w:val="000000" w:themeColor="text1"/>
          <w:sz w:val="24"/>
          <w:szCs w:val="24"/>
          <w:highlight w:val="none"/>
          <w14:textFill>
            <w14:solidFill>
              <w14:schemeClr w14:val="tx1"/>
            </w14:solidFill>
          </w14:textFill>
        </w:rPr>
      </w:pPr>
    </w:p>
    <w:p w14:paraId="1D637154">
      <w:pPr>
        <w:spacing w:line="480" w:lineRule="auto"/>
        <w:jc w:val="center"/>
        <w:rPr>
          <w:rFonts w:cs="Times New Roman" w:asciiTheme="minorEastAsia" w:hAnsiTheme="minorEastAsia" w:eastAsiaTheme="minorEastAsia"/>
          <w:b/>
          <w:color w:val="000000" w:themeColor="text1"/>
          <w:sz w:val="24"/>
          <w:szCs w:val="24"/>
          <w:highlight w:val="none"/>
          <w14:textFill>
            <w14:solidFill>
              <w14:schemeClr w14:val="tx1"/>
            </w14:solidFill>
          </w14:textFill>
        </w:rPr>
      </w:pPr>
    </w:p>
    <w:p w14:paraId="0AFF636F">
      <w:pPr>
        <w:spacing w:line="480" w:lineRule="auto"/>
        <w:jc w:val="center"/>
        <w:rPr>
          <w:rFonts w:cs="Times New Roman" w:asciiTheme="minorEastAsia" w:hAnsiTheme="minorEastAsia" w:eastAsiaTheme="minorEastAsia"/>
          <w:b/>
          <w:color w:val="000000" w:themeColor="text1"/>
          <w:sz w:val="24"/>
          <w:szCs w:val="24"/>
          <w:highlight w:val="none"/>
          <w14:textFill>
            <w14:solidFill>
              <w14:schemeClr w14:val="tx1"/>
            </w14:solidFill>
          </w14:textFill>
        </w:rPr>
      </w:pPr>
    </w:p>
    <w:p w14:paraId="02964A7B">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48" w:name="_Toc2449"/>
      <w:r>
        <w:rPr>
          <w:rFonts w:hint="eastAsia" w:asciiTheme="minorEastAsia" w:hAnsiTheme="minorEastAsia" w:eastAsiaTheme="minorEastAsia"/>
          <w:b/>
          <w:color w:val="000000" w:themeColor="text1"/>
          <w:sz w:val="24"/>
          <w:highlight w:val="none"/>
          <w14:textFill>
            <w14:solidFill>
              <w14:schemeClr w14:val="tx1"/>
            </w14:solidFill>
          </w14:textFill>
        </w:rPr>
        <w:t>第一部分 合同书</w:t>
      </w:r>
      <w:bookmarkEnd w:id="48"/>
    </w:p>
    <w:p w14:paraId="5AB40A27">
      <w:pPr>
        <w:spacing w:line="480" w:lineRule="auto"/>
        <w:jc w:val="center"/>
        <w:rPr>
          <w:rFonts w:cs="Times New Roman" w:asciiTheme="minorEastAsia" w:hAnsiTheme="minorEastAsia" w:eastAsiaTheme="minorEastAsia"/>
          <w:b/>
          <w:color w:val="000000" w:themeColor="text1"/>
          <w:sz w:val="24"/>
          <w:szCs w:val="24"/>
          <w:highlight w:val="none"/>
          <w14:textFill>
            <w14:solidFill>
              <w14:schemeClr w14:val="tx1"/>
            </w14:solidFill>
          </w14:textFill>
        </w:rPr>
      </w:pPr>
    </w:p>
    <w:p w14:paraId="47F66039">
      <w:pPr>
        <w:spacing w:line="480" w:lineRule="auto"/>
        <w:jc w:val="center"/>
        <w:rPr>
          <w:rFonts w:cs="Times New Roman" w:asciiTheme="minorEastAsia" w:hAnsiTheme="minorEastAsia" w:eastAsiaTheme="minorEastAsia"/>
          <w:b/>
          <w:color w:val="000000" w:themeColor="text1"/>
          <w:sz w:val="24"/>
          <w:szCs w:val="24"/>
          <w:highlight w:val="none"/>
          <w14:textFill>
            <w14:solidFill>
              <w14:schemeClr w14:val="tx1"/>
            </w14:solidFill>
          </w14:textFill>
        </w:rPr>
      </w:pPr>
    </w:p>
    <w:p w14:paraId="51D64452">
      <w:pPr>
        <w:pStyle w:val="8"/>
        <w:rPr>
          <w:highlight w:val="none"/>
        </w:rPr>
      </w:pPr>
    </w:p>
    <w:p w14:paraId="2407E0EC">
      <w:pPr>
        <w:pStyle w:val="8"/>
        <w:rPr>
          <w:highlight w:val="none"/>
        </w:rPr>
      </w:pPr>
    </w:p>
    <w:p w14:paraId="5D4C7D1F">
      <w:pPr>
        <w:spacing w:before="120" w:line="480" w:lineRule="auto"/>
        <w:ind w:left="960"/>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项目名称：</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铜陵学院育秀校区维修改造工程全过程监理项目</w:t>
      </w:r>
    </w:p>
    <w:p w14:paraId="5A6901BA">
      <w:pPr>
        <w:spacing w:before="120" w:line="480" w:lineRule="auto"/>
        <w:ind w:left="960"/>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项目编号：</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097412E4">
      <w:pPr>
        <w:spacing w:before="120" w:line="480" w:lineRule="auto"/>
        <w:ind w:left="960"/>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甲方（招标人）：</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铜陵学院 </w:t>
      </w:r>
    </w:p>
    <w:p w14:paraId="450571E5">
      <w:pPr>
        <w:spacing w:before="120" w:line="480" w:lineRule="auto"/>
        <w:ind w:left="960"/>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乙方（中标人）：</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7CEF3973">
      <w:pPr>
        <w:spacing w:before="120" w:line="480" w:lineRule="auto"/>
        <w:ind w:firstLine="960" w:firstLineChars="400"/>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签订地：</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007BFA20">
      <w:pPr>
        <w:spacing w:before="120" w:line="480" w:lineRule="auto"/>
        <w:ind w:firstLine="960" w:firstLineChars="400"/>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签订日期：</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年</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月</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日</w:t>
      </w:r>
    </w:p>
    <w:p w14:paraId="2F374F27">
      <w:pPr>
        <w:widowControl/>
        <w:jc w:val="left"/>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br w:type="page"/>
      </w:r>
    </w:p>
    <w:p w14:paraId="77E4677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u w:val="single"/>
          <w14:textFill>
            <w14:solidFill>
              <w14:schemeClr w14:val="tx1"/>
            </w14:solidFill>
          </w14:textFill>
        </w:rPr>
        <w:t>铜陵学院</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以下简称：甲方</w:t>
      </w:r>
      <w:r>
        <w:rPr>
          <w:rFonts w:hint="eastAsia" w:asciiTheme="minorEastAsia" w:hAnsiTheme="minorEastAsia" w:eastAsiaTheme="minorEastAsia"/>
          <w:color w:val="000000" w:themeColor="text1"/>
          <w:sz w:val="24"/>
          <w:highlight w:val="none"/>
          <w14:textFill>
            <w14:solidFill>
              <w14:schemeClr w14:val="tx1"/>
            </w14:solidFill>
          </w14:textFill>
        </w:rPr>
        <w:t>）通过</w:t>
      </w:r>
      <w:r>
        <w:rPr>
          <w:rFonts w:hint="eastAsia" w:asciiTheme="minorEastAsia" w:hAnsiTheme="minorEastAsia" w:eastAsiaTheme="minorEastAsia"/>
          <w:color w:val="000000" w:themeColor="text1"/>
          <w:sz w:val="24"/>
          <w:highlight w:val="none"/>
          <w:u w:val="single"/>
          <w14:textFill>
            <w14:solidFill>
              <w14:schemeClr w14:val="tx1"/>
            </w14:solidFill>
          </w14:textFill>
        </w:rPr>
        <w:t>安徽安天利信工程管理股份有限公司</w:t>
      </w:r>
      <w:r>
        <w:rPr>
          <w:rFonts w:hint="eastAsia" w:asciiTheme="minorEastAsia" w:hAnsiTheme="minorEastAsia" w:eastAsiaTheme="minorEastAsia"/>
          <w:color w:val="000000" w:themeColor="text1"/>
          <w:sz w:val="24"/>
          <w:highlight w:val="none"/>
          <w14:textFill>
            <w14:solidFill>
              <w14:schemeClr w14:val="tx1"/>
            </w14:solidFill>
          </w14:textFill>
        </w:rPr>
        <w:t>组织的</w:t>
      </w:r>
      <w:r>
        <w:rPr>
          <w:rFonts w:hint="eastAsia" w:asciiTheme="minorEastAsia" w:hAnsiTheme="minorEastAsia" w:eastAsiaTheme="minorEastAsia"/>
          <w:color w:val="000000" w:themeColor="text1"/>
          <w:sz w:val="24"/>
          <w:highlight w:val="none"/>
          <w:u w:val="single"/>
          <w14:textFill>
            <w14:solidFill>
              <w14:schemeClr w14:val="tx1"/>
            </w14:solidFill>
          </w14:textFill>
        </w:rPr>
        <w:t>公开招标</w:t>
      </w:r>
      <w:r>
        <w:rPr>
          <w:rFonts w:hint="eastAsia" w:asciiTheme="minorEastAsia" w:hAnsiTheme="minorEastAsia" w:eastAsiaTheme="minorEastAsia"/>
          <w:color w:val="000000" w:themeColor="text1"/>
          <w:sz w:val="24"/>
          <w:highlight w:val="none"/>
          <w14:textFill>
            <w14:solidFill>
              <w14:schemeClr w14:val="tx1"/>
            </w14:solidFill>
          </w14:textFill>
        </w:rPr>
        <w:t>方式采购活动，经</w:t>
      </w:r>
      <w:r>
        <w:rPr>
          <w:rFonts w:hint="eastAsia" w:asciiTheme="minorEastAsia" w:hAnsiTheme="minorEastAsia" w:eastAsiaTheme="minorEastAsia"/>
          <w:color w:val="000000" w:themeColor="text1"/>
          <w:sz w:val="24"/>
          <w:highlight w:val="none"/>
          <w:u w:val="single"/>
          <w14:textFill>
            <w14:solidFill>
              <w14:schemeClr w14:val="tx1"/>
            </w14:solidFill>
          </w14:textFill>
        </w:rPr>
        <w:t>评标委员会</w:t>
      </w:r>
      <w:r>
        <w:rPr>
          <w:rFonts w:hint="eastAsia" w:asciiTheme="minorEastAsia" w:hAnsiTheme="minorEastAsia" w:eastAsiaTheme="minorEastAsia"/>
          <w:color w:val="000000" w:themeColor="text1"/>
          <w:sz w:val="24"/>
          <w:highlight w:val="none"/>
          <w14:textFill>
            <w14:solidFill>
              <w14:schemeClr w14:val="tx1"/>
            </w14:solidFill>
          </w14:textFill>
        </w:rPr>
        <w:t>评定，</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以下简称：乙方</w:t>
      </w:r>
      <w:r>
        <w:rPr>
          <w:rFonts w:hint="eastAsia" w:asciiTheme="minorEastAsia" w:hAnsiTheme="minorEastAsia" w:eastAsiaTheme="minorEastAsia"/>
          <w:color w:val="000000" w:themeColor="text1"/>
          <w:sz w:val="24"/>
          <w:highlight w:val="none"/>
          <w14:textFill>
            <w14:solidFill>
              <w14:schemeClr w14:val="tx1"/>
            </w14:solidFill>
          </w14:textFill>
        </w:rPr>
        <w:t>）为本项目中标人，现</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按照采购文件确定的事项签订本合同。</w:t>
      </w:r>
    </w:p>
    <w:p w14:paraId="1062B6A3">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36053819">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49" w:name="_Toc2232"/>
      <w:bookmarkStart w:id="50" w:name="_Toc3029"/>
      <w:bookmarkStart w:id="51" w:name="_Toc24059"/>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合同组成部分</w:t>
      </w:r>
      <w:bookmarkEnd w:id="49"/>
      <w:bookmarkEnd w:id="50"/>
      <w:bookmarkEnd w:id="51"/>
    </w:p>
    <w:p w14:paraId="0145E95C">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72160C77">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1.1.1本合同及其补充合同、变更协议；</w:t>
      </w:r>
    </w:p>
    <w:p w14:paraId="52E92B37">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1.1.2中标通知书；</w:t>
      </w:r>
    </w:p>
    <w:p w14:paraId="562BB745">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1.1.3投标文件（含澄清或者说明文件）；</w:t>
      </w:r>
    </w:p>
    <w:p w14:paraId="6622A72F">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1.1.4招标文件（含澄清或者修改文件）；</w:t>
      </w:r>
    </w:p>
    <w:p w14:paraId="5A749D19">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1.1.5其他相关采购文件。</w:t>
      </w:r>
    </w:p>
    <w:p w14:paraId="46BBBEEB">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52" w:name="_Toc6311"/>
      <w:bookmarkStart w:id="53" w:name="_Toc22185"/>
      <w:bookmarkStart w:id="54" w:name="_Toc2918"/>
      <w:bookmarkStart w:id="55" w:name="_Toc6773"/>
      <w:bookmarkStart w:id="56" w:name="_Toc1858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1.2 </w:t>
      </w:r>
      <w:bookmarkEnd w:id="52"/>
      <w:bookmarkEnd w:id="53"/>
      <w:bookmarkEnd w:id="54"/>
      <w:bookmarkEnd w:id="55"/>
      <w:bookmarkEnd w:id="56"/>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服务</w:t>
      </w:r>
    </w:p>
    <w:p w14:paraId="2B981A5C">
      <w:pPr>
        <w:spacing w:line="360" w:lineRule="auto"/>
        <w:ind w:firstLine="435"/>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1.2.1服务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名称：</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0537FEDC">
      <w:pPr>
        <w:spacing w:line="360" w:lineRule="auto"/>
        <w:ind w:firstLine="435"/>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1.2.2服务内容</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503903AE">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1.2.3服务质量：</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64F082C">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57" w:name="_Toc21631"/>
      <w:bookmarkStart w:id="58" w:name="_Toc21551"/>
      <w:bookmarkStart w:id="59" w:name="_Toc23292"/>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3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价款</w:t>
      </w:r>
      <w:bookmarkEnd w:id="57"/>
      <w:bookmarkEnd w:id="58"/>
      <w:bookmarkEnd w:id="59"/>
    </w:p>
    <w:p w14:paraId="10F95149">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本合同总价为</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14:textFill>
            <w14:solidFill>
              <w14:schemeClr w14:val="tx1"/>
            </w14:solidFill>
          </w14:textFill>
        </w:rPr>
        <w:t>元</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（大写：人民币</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元）</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47B01411">
      <w:pPr>
        <w:spacing w:line="360" w:lineRule="auto"/>
        <w:ind w:firstLine="435"/>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分项价格：</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150B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48FEB302">
            <w:pPr>
              <w:jc w:val="cente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t>序号</w:t>
            </w:r>
          </w:p>
        </w:tc>
        <w:tc>
          <w:tcPr>
            <w:tcW w:w="4316" w:type="dxa"/>
            <w:vAlign w:val="center"/>
          </w:tcPr>
          <w:p w14:paraId="6E261D9A">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分项名称</w:t>
            </w:r>
          </w:p>
        </w:tc>
        <w:tc>
          <w:tcPr>
            <w:tcW w:w="3237" w:type="dxa"/>
            <w:gridSpan w:val="2"/>
            <w:vAlign w:val="center"/>
          </w:tcPr>
          <w:p w14:paraId="474AA0E5">
            <w:pPr>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分项价格</w:t>
            </w:r>
          </w:p>
        </w:tc>
      </w:tr>
      <w:tr w14:paraId="4948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C8C8C1C">
            <w:pPr>
              <w:jc w:val="cente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w:t>
            </w:r>
          </w:p>
        </w:tc>
        <w:tc>
          <w:tcPr>
            <w:tcW w:w="4316" w:type="dxa"/>
            <w:vAlign w:val="center"/>
          </w:tcPr>
          <w:p w14:paraId="66E8115F">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3237" w:type="dxa"/>
            <w:gridSpan w:val="2"/>
            <w:vAlign w:val="center"/>
          </w:tcPr>
          <w:p w14:paraId="6FEF4572">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464D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F4375A0">
            <w:pPr>
              <w:jc w:val="cente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2</w:t>
            </w:r>
          </w:p>
        </w:tc>
        <w:tc>
          <w:tcPr>
            <w:tcW w:w="4316" w:type="dxa"/>
            <w:vAlign w:val="center"/>
          </w:tcPr>
          <w:p w14:paraId="0A0461C8">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3237" w:type="dxa"/>
            <w:gridSpan w:val="2"/>
            <w:vAlign w:val="center"/>
          </w:tcPr>
          <w:p w14:paraId="6527E36F">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6B43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6BF42E2">
            <w:pPr>
              <w:jc w:val="cente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t>3</w:t>
            </w:r>
          </w:p>
        </w:tc>
        <w:tc>
          <w:tcPr>
            <w:tcW w:w="4316" w:type="dxa"/>
            <w:vAlign w:val="center"/>
          </w:tcPr>
          <w:p w14:paraId="427589DB">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3237" w:type="dxa"/>
            <w:gridSpan w:val="2"/>
            <w:vAlign w:val="center"/>
          </w:tcPr>
          <w:p w14:paraId="3236616A">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7E03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6A560D4">
            <w:pPr>
              <w:jc w:val="cente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w:t>
            </w:r>
          </w:p>
        </w:tc>
        <w:tc>
          <w:tcPr>
            <w:tcW w:w="4316" w:type="dxa"/>
            <w:vAlign w:val="center"/>
          </w:tcPr>
          <w:p w14:paraId="3180751D">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3237" w:type="dxa"/>
            <w:gridSpan w:val="2"/>
            <w:vAlign w:val="center"/>
          </w:tcPr>
          <w:p w14:paraId="2819BA0B">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1E6B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568B1384">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总价</w:t>
            </w:r>
          </w:p>
        </w:tc>
        <w:tc>
          <w:tcPr>
            <w:tcW w:w="3237" w:type="dxa"/>
            <w:gridSpan w:val="2"/>
            <w:vAlign w:val="center"/>
          </w:tcPr>
          <w:p w14:paraId="30789EAC">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bl>
    <w:p w14:paraId="303B9B56">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0" w:name="_Toc22618"/>
      <w:bookmarkStart w:id="61" w:name="_Toc1814"/>
      <w:bookmarkStart w:id="62" w:name="_Toc10340"/>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4 付款方式和发票开具方式</w:t>
      </w:r>
      <w:bookmarkEnd w:id="60"/>
      <w:bookmarkEnd w:id="61"/>
      <w:bookmarkEnd w:id="62"/>
    </w:p>
    <w:p w14:paraId="79C2FAC5">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1.4.1</w:t>
      </w:r>
      <w:r>
        <w:rPr>
          <w:rFonts w:cs="Times New Roman" w:asciiTheme="minorEastAsia" w:hAnsiTheme="minorEastAsia" w:eastAsiaTheme="minorEastAsia"/>
          <w:color w:val="000000" w:themeColor="text1"/>
          <w:sz w:val="24"/>
          <w:szCs w:val="24"/>
          <w:highlight w:val="none"/>
          <w14:textFill>
            <w14:solidFill>
              <w14:schemeClr w14:val="tx1"/>
            </w14:solidFill>
          </w14:textFill>
        </w:rPr>
        <w:t>付款方式：</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481B512D">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1.4.2发票开具方式：</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5B05FDB1">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3" w:name="_Toc32071"/>
      <w:bookmarkStart w:id="64" w:name="_Toc19304"/>
      <w:bookmarkStart w:id="65" w:name="_Toc2846"/>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5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服务</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期限</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、地点和方式</w:t>
      </w:r>
      <w:bookmarkEnd w:id="63"/>
      <w:bookmarkEnd w:id="64"/>
      <w:bookmarkEnd w:id="65"/>
    </w:p>
    <w:p w14:paraId="0FE2610C">
      <w:pPr>
        <w:spacing w:line="360" w:lineRule="auto"/>
        <w:ind w:firstLine="435"/>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1.5.1服务期限</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7AB1B27E">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1.5.2服务地点</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0E198144">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1.5.3服务方式：</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0380B9FD">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6" w:name="_Toc27250"/>
      <w:bookmarkStart w:id="67" w:name="_Toc19554"/>
      <w:bookmarkStart w:id="68" w:name="_Toc21423"/>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1.6 违约责任</w:t>
      </w:r>
      <w:bookmarkEnd w:id="66"/>
      <w:bookmarkEnd w:id="67"/>
      <w:bookmarkEnd w:id="68"/>
    </w:p>
    <w:p w14:paraId="7C6BDFCB">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1.6.1</w:t>
      </w:r>
      <w:r>
        <w:rPr>
          <w:rFonts w:cs="Times New Roman" w:asciiTheme="minorEastAsia" w:hAnsiTheme="minorEastAsia" w:eastAsiaTheme="minorEastAsia"/>
          <w:color w:val="000000" w:themeColor="text1"/>
          <w:sz w:val="24"/>
          <w:szCs w:val="24"/>
          <w:highlight w:val="none"/>
          <w14:textFill>
            <w14:solidFill>
              <w14:schemeClr w14:val="tx1"/>
            </w14:solidFill>
          </w14:textFill>
        </w:rPr>
        <w:t>除不可抗力外，如果乙方没有按照本合同约定的期限</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地点和方式</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，那么甲方可要求乙方支付违约金</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违约金按每迟延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一日的应提供而未</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服务价格的</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0.5</w:t>
      </w:r>
      <w:r>
        <w:rPr>
          <w:rFonts w:cs="Times New Roman" w:asciiTheme="minorEastAsia" w:hAnsiTheme="minorEastAsia" w:eastAsiaTheme="minorEastAsia"/>
          <w:color w:val="000000" w:themeColor="text1"/>
          <w:sz w:val="24"/>
          <w:szCs w:val="24"/>
          <w:highlight w:val="none"/>
          <w14:textFill>
            <w14:solidFill>
              <w14:schemeClr w14:val="tx1"/>
            </w14:solidFill>
          </w14:textFill>
        </w:rPr>
        <w:t>%计算</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最高限额为</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本</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合同总价的</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5</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迟延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的违约金计算数额达到前述最高限额之日起</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甲方有权在要求乙方支付违约金的同时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，书面通知乙方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解除本合同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51757A7D">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1.6.2</w:t>
      </w:r>
      <w:r>
        <w:rPr>
          <w:rFonts w:cs="Times New Roman" w:asciiTheme="minorEastAsia" w:hAnsiTheme="minorEastAsia" w:eastAsiaTheme="minorEastAsia"/>
          <w:color w:val="000000" w:themeColor="text1"/>
          <w:sz w:val="24"/>
          <w:szCs w:val="24"/>
          <w:highlight w:val="none"/>
          <w14:textFill>
            <w14:solidFill>
              <w14:schemeClr w14:val="tx1"/>
            </w14:solidFill>
          </w14:textFill>
        </w:rPr>
        <w:t>除不可抗力外，如果甲方没有按照本合同约定的付款方式付款，那么乙方可要求甲方支付违约金</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违约金按每迟延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付款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一日的应付而未付款的</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0.5</w:t>
      </w:r>
      <w:r>
        <w:rPr>
          <w:rFonts w:cs="Times New Roman" w:asciiTheme="minorEastAsia" w:hAnsiTheme="minorEastAsia" w:eastAsiaTheme="minorEastAsia"/>
          <w:color w:val="000000" w:themeColor="text1"/>
          <w:sz w:val="24"/>
          <w:szCs w:val="24"/>
          <w:highlight w:val="none"/>
          <w14:textFill>
            <w14:solidFill>
              <w14:schemeClr w14:val="tx1"/>
            </w14:solidFill>
          </w14:textFill>
        </w:rPr>
        <w:t>%计算</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最高限额为</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本</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合同总价的</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5</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迟延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付款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的违约金计算数额达到前述最高限额之日起</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w:t>
      </w:r>
      <w:r>
        <w:rPr>
          <w:rFonts w:cs="Times New Roman" w:asciiTheme="minorEastAsia" w:hAnsiTheme="minorEastAsia" w:eastAsiaTheme="minorEastAsia"/>
          <w:color w:val="000000" w:themeColor="text1"/>
          <w:sz w:val="24"/>
          <w:szCs w:val="24"/>
          <w:highlight w:val="none"/>
          <w14:textFill>
            <w14:solidFill>
              <w14:schemeClr w14:val="tx1"/>
            </w14:solidFill>
          </w14:textFill>
        </w:rPr>
        <w:t>方有权在要求甲方支付违约金的同时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，书面通知甲方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解除本合同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22E8DE1C">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A9DA3B3">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C9DE776">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0C5871E">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1.6.6如果出现政府采购监督管理部门在处理投诉事项期间，书面通知甲方暂停采购活动的情形，或者询问或质疑事项可能影响中标结果的，导致甲方中止履行合同的情形，均不视为甲方违约。</w:t>
      </w:r>
    </w:p>
    <w:p w14:paraId="34DD3715">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2596E86A">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9" w:name="_Toc16021"/>
      <w:bookmarkStart w:id="70" w:name="_Toc15583"/>
      <w:bookmarkStart w:id="71" w:name="_Toc2837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1.7</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争议的解决</w:t>
      </w:r>
      <w:bookmarkEnd w:id="69"/>
      <w:bookmarkEnd w:id="70"/>
      <w:bookmarkEnd w:id="71"/>
    </w:p>
    <w:p w14:paraId="295EE9F0">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本合</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同履行过程中发生的任何争议，双方当事人均可</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通过和解或者调解解决；不愿和解、调解或者和解、调解不成的，可以选择下列第</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2</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种方式解决：</w:t>
      </w:r>
    </w:p>
    <w:p w14:paraId="39415998">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1.7.1将争议提交</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仲裁委员会依申请仲裁时其现行有效的仲裁规则裁决；</w:t>
      </w:r>
    </w:p>
    <w:p w14:paraId="1B16DD4C">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1.7.2向</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项目所在地</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人民法院起诉。</w:t>
      </w:r>
    </w:p>
    <w:p w14:paraId="573469E6">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72" w:name="_Toc15322"/>
      <w:bookmarkStart w:id="73" w:name="_Toc7245"/>
      <w:bookmarkStart w:id="74" w:name="_Toc11173"/>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1.8</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合同生效</w:t>
      </w:r>
      <w:bookmarkEnd w:id="72"/>
      <w:bookmarkEnd w:id="73"/>
      <w:bookmarkEnd w:id="74"/>
    </w:p>
    <w:p w14:paraId="10CF8CBA">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本合同自</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双方当事人盖章时</w:t>
      </w:r>
      <w:r>
        <w:rPr>
          <w:rFonts w:cs="Times New Roman" w:asciiTheme="minorEastAsia" w:hAnsiTheme="minorEastAsia" w:eastAsiaTheme="minorEastAsia"/>
          <w:color w:val="000000" w:themeColor="text1"/>
          <w:sz w:val="24"/>
          <w:szCs w:val="24"/>
          <w:highlight w:val="none"/>
          <w14:textFill>
            <w14:solidFill>
              <w14:schemeClr w14:val="tx1"/>
            </w14:solidFill>
          </w14:textFill>
        </w:rPr>
        <w:t>生效。</w:t>
      </w:r>
    </w:p>
    <w:p w14:paraId="05566BD4">
      <w:pPr>
        <w:autoSpaceDE w:val="0"/>
        <w:autoSpaceDN w:val="0"/>
        <w:adjustRightInd w:val="0"/>
        <w:spacing w:line="560" w:lineRule="exact"/>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p>
    <w:p w14:paraId="5F735697">
      <w:pPr>
        <w:autoSpaceDE w:val="0"/>
        <w:autoSpaceDN w:val="0"/>
        <w:adjustRightInd w:val="0"/>
        <w:spacing w:line="560" w:lineRule="exact"/>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p>
    <w:p w14:paraId="66CDCFFF">
      <w:pPr>
        <w:autoSpaceDE w:val="0"/>
        <w:autoSpaceDN w:val="0"/>
        <w:adjustRightInd w:val="0"/>
        <w:spacing w:line="560" w:lineRule="exact"/>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p>
    <w:p w14:paraId="00B14E1F">
      <w:pPr>
        <w:autoSpaceDE w:val="0"/>
        <w:autoSpaceDN w:val="0"/>
        <w:adjustRightInd w:val="0"/>
        <w:spacing w:line="560" w:lineRule="exact"/>
        <w:rPr>
          <w:rFonts w:cs="Times New Roman" w:asciiTheme="minorEastAsia" w:hAnsiTheme="minorEastAsia" w:eastAsiaTheme="minorEastAsia"/>
          <w:bCs/>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 xml:space="preserve">甲 </w:t>
      </w:r>
      <w:r>
        <w:rPr>
          <w:rFonts w:cs="Times New Roman" w:asciiTheme="minorEastAsia" w:hAnsiTheme="minorEastAsia" w:eastAsiaTheme="minorEastAsia"/>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方：</w:t>
      </w:r>
      <w:r>
        <w:rPr>
          <w:rFonts w:hint="eastAsia" w:cs="Times New Roman" w:asciiTheme="minorEastAsia" w:hAnsiTheme="minorEastAsia" w:eastAsiaTheme="minorEastAsia"/>
          <w:bCs/>
          <w:color w:val="000000" w:themeColor="text1"/>
          <w:sz w:val="24"/>
          <w:szCs w:val="24"/>
          <w:highlight w:val="none"/>
          <w:u w:val="single"/>
          <w:lang w:val="zh-CN"/>
          <w14:textFill>
            <w14:solidFill>
              <w14:schemeClr w14:val="tx1"/>
            </w14:solidFill>
          </w14:textFill>
        </w:rPr>
        <w:t xml:space="preserve">    （单位盖章）     </w:t>
      </w: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 xml:space="preserve">          乙方：</w:t>
      </w:r>
      <w:r>
        <w:rPr>
          <w:rFonts w:hint="eastAsia" w:cs="Times New Roman" w:asciiTheme="minorEastAsia" w:hAnsiTheme="minorEastAsia" w:eastAsiaTheme="minorEastAsia"/>
          <w:bCs/>
          <w:color w:val="000000" w:themeColor="text1"/>
          <w:sz w:val="24"/>
          <w:szCs w:val="24"/>
          <w:highlight w:val="none"/>
          <w:u w:val="single"/>
          <w:lang w:val="zh-CN"/>
          <w14:textFill>
            <w14:solidFill>
              <w14:schemeClr w14:val="tx1"/>
            </w14:solidFill>
          </w14:textFill>
        </w:rPr>
        <w:t xml:space="preserve">    （单位盖章）     </w:t>
      </w:r>
    </w:p>
    <w:p w14:paraId="2D0E9EA1">
      <w:pPr>
        <w:autoSpaceDE w:val="0"/>
        <w:autoSpaceDN w:val="0"/>
        <w:adjustRightInd w:val="0"/>
        <w:spacing w:line="560" w:lineRule="exact"/>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 xml:space="preserve">法定代表人                             </w:t>
      </w:r>
      <w: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法定代表人</w:t>
      </w:r>
    </w:p>
    <w:p w14:paraId="24E85624">
      <w:pPr>
        <w:autoSpaceDE w:val="0"/>
        <w:autoSpaceDN w:val="0"/>
        <w:adjustRightInd w:val="0"/>
        <w:spacing w:line="560" w:lineRule="exact"/>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或授权代表（签字）：                      或授权代表（签字）：</w:t>
      </w:r>
    </w:p>
    <w:p w14:paraId="003D6548">
      <w:pPr>
        <w:widowControl/>
        <w:spacing w:line="560" w:lineRule="exact"/>
        <w:jc w:val="left"/>
        <w:rPr>
          <w:rFonts w:cs="Times New Roman" w:asciiTheme="minorEastAsia" w:hAnsiTheme="minorEastAsia" w:eastAsiaTheme="minorEastAsia"/>
          <w:bCs/>
          <w:color w:val="000000" w:themeColor="text1"/>
          <w:sz w:val="24"/>
          <w:szCs w:val="24"/>
          <w:highlight w:val="none"/>
          <w14:textFill>
            <w14:solidFill>
              <w14:schemeClr w14:val="tx1"/>
            </w14:solidFill>
          </w14:textFill>
        </w:rPr>
      </w:pPr>
      <w:bookmarkStart w:id="75" w:name="_Toc331685783"/>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时间：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日               时间：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日</w:t>
      </w:r>
    </w:p>
    <w:p w14:paraId="4E632DD8">
      <w:pPr>
        <w:spacing w:line="5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 xml:space="preserve"> </w:t>
      </w:r>
      <w:bookmarkStart w:id="76" w:name="_Hlk110099149"/>
      <w:r>
        <w:rPr>
          <w:rFonts w:hint="eastAsia" w:ascii="宋体" w:hAnsi="宋体" w:eastAsia="宋体"/>
          <w:color w:val="000000" w:themeColor="text1"/>
          <w:sz w:val="24"/>
          <w:szCs w:val="24"/>
          <w:highlight w:val="none"/>
          <w14:textFill>
            <w14:solidFill>
              <w14:schemeClr w14:val="tx1"/>
            </w14:solidFill>
          </w14:textFill>
        </w:rPr>
        <w:t>乙方账户信息</w:t>
      </w:r>
    </w:p>
    <w:p w14:paraId="4DE29FE2">
      <w:pPr>
        <w:spacing w:line="5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 xml:space="preserve"> 户名：</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0A1C7A92">
      <w:pPr>
        <w:spacing w:line="5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账号：</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0196E1E0">
      <w:pPr>
        <w:spacing w:line="5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开户银行：</w:t>
      </w:r>
      <w:r>
        <w:rPr>
          <w:rFonts w:hint="eastAsia" w:ascii="宋体" w:hAnsi="宋体" w:eastAsia="宋体"/>
          <w:color w:val="000000" w:themeColor="text1"/>
          <w:sz w:val="24"/>
          <w:szCs w:val="24"/>
          <w:highlight w:val="none"/>
          <w:u w:val="single"/>
          <w14:textFill>
            <w14:solidFill>
              <w14:schemeClr w14:val="tx1"/>
            </w14:solidFill>
          </w14:textFill>
        </w:rPr>
        <w:t xml:space="preserve">        </w:t>
      </w:r>
    </w:p>
    <w:bookmarkEnd w:id="76"/>
    <w:p w14:paraId="1463EFA5">
      <w:pPr>
        <w:widowControl/>
        <w:jc w:val="left"/>
        <w:rPr>
          <w:rFonts w:cs="Times New Roman" w:asciiTheme="minorEastAsia" w:hAnsiTheme="minorEastAsia" w:eastAsiaTheme="minorEastAsia"/>
          <w:b/>
          <w:color w:val="000000" w:themeColor="text1"/>
          <w:sz w:val="24"/>
          <w:szCs w:val="24"/>
          <w:highlight w:val="none"/>
          <w14:textFill>
            <w14:solidFill>
              <w14:schemeClr w14:val="tx1"/>
            </w14:solidFill>
          </w14:textFill>
        </w:rPr>
      </w:pPr>
      <w:r>
        <w:rPr>
          <w:rFonts w:cs="Times New Roman" w:asciiTheme="minorEastAsia" w:hAnsiTheme="minorEastAsia" w:eastAsiaTheme="minorEastAsia"/>
          <w:b/>
          <w:color w:val="000000" w:themeColor="text1"/>
          <w:sz w:val="24"/>
          <w:szCs w:val="24"/>
          <w:highlight w:val="none"/>
          <w14:textFill>
            <w14:solidFill>
              <w14:schemeClr w14:val="tx1"/>
            </w14:solidFill>
          </w14:textFill>
        </w:rPr>
        <w:br w:type="page"/>
      </w:r>
    </w:p>
    <w:p w14:paraId="58ED594B">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77" w:name="_Toc415"/>
      <w:r>
        <w:rPr>
          <w:rFonts w:hint="eastAsia" w:asciiTheme="minorEastAsia" w:hAnsiTheme="minorEastAsia" w:eastAsiaTheme="minorEastAsia"/>
          <w:b/>
          <w:color w:val="000000" w:themeColor="text1"/>
          <w:sz w:val="24"/>
          <w:highlight w:val="none"/>
          <w14:textFill>
            <w14:solidFill>
              <w14:schemeClr w14:val="tx1"/>
            </w14:solidFill>
          </w14:textFill>
        </w:rPr>
        <w:t>第二部分</w:t>
      </w:r>
      <w:r>
        <w:rPr>
          <w:rFonts w:asciiTheme="minorEastAsia" w:hAnsiTheme="minorEastAsia" w:eastAsiaTheme="minorEastAsia"/>
          <w:b/>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4"/>
          <w:highlight w:val="none"/>
          <w14:textFill>
            <w14:solidFill>
              <w14:schemeClr w14:val="tx1"/>
            </w14:solidFill>
          </w14:textFill>
        </w:rPr>
        <w:t>合同一般条款</w:t>
      </w:r>
      <w:bookmarkEnd w:id="75"/>
      <w:bookmarkEnd w:id="77"/>
    </w:p>
    <w:p w14:paraId="24877B1C">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78" w:name="_Ref467379225"/>
      <w:bookmarkStart w:id="79" w:name="_Toc28763"/>
      <w:bookmarkStart w:id="80" w:name="_Ref467379109"/>
      <w:bookmarkStart w:id="81" w:name="_Toc487900349"/>
      <w:bookmarkStart w:id="82" w:name="_Ref467379214"/>
      <w:bookmarkStart w:id="83" w:name="_Ref467378463"/>
      <w:bookmarkStart w:id="84" w:name="_Toc19614"/>
      <w:bookmarkStart w:id="85" w:name="_Ref467379195"/>
      <w:bookmarkStart w:id="86" w:name="_Ref467379094"/>
      <w:bookmarkStart w:id="87" w:name="_Toc259093669"/>
      <w:bookmarkStart w:id="88" w:name="_Toc279701240"/>
      <w:bookmarkStart w:id="89" w:name="_Ref467378404"/>
      <w:bookmarkStart w:id="90" w:name="_Toc16917"/>
      <w:bookmarkStart w:id="91" w:name="_Ref467379205"/>
      <w:bookmarkStart w:id="92" w:name="_Ref467378499"/>
      <w:bookmarkStart w:id="93" w:name="_Ref46737910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定义</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7C8AAFB1">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本合同中的下列</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词</w:t>
      </w:r>
      <w:r>
        <w:rPr>
          <w:rFonts w:cs="Times New Roman" w:asciiTheme="minorEastAsia" w:hAnsiTheme="minorEastAsia" w:eastAsiaTheme="minorEastAsia"/>
          <w:color w:val="000000" w:themeColor="text1"/>
          <w:sz w:val="24"/>
          <w:szCs w:val="24"/>
          <w:highlight w:val="none"/>
          <w14:textFill>
            <w14:solidFill>
              <w14:schemeClr w14:val="tx1"/>
            </w14:solidFill>
          </w14:textFill>
        </w:rPr>
        <w:t>语应</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按以下内容进行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解释：</w:t>
      </w:r>
    </w:p>
    <w:p w14:paraId="6F83274A">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“合同”系指</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招标人</w:t>
      </w:r>
      <w:r>
        <w:rPr>
          <w:rFonts w:cs="Times New Roman" w:asciiTheme="minorEastAsia" w:hAnsiTheme="minorEastAsia" w:eastAsiaTheme="minorEastAsia"/>
          <w:color w:val="000000" w:themeColor="text1"/>
          <w:sz w:val="24"/>
          <w:szCs w:val="24"/>
          <w:highlight w:val="none"/>
          <w14:textFill>
            <w14:solidFill>
              <w14:schemeClr w14:val="tx1"/>
            </w14:solidFill>
          </w14:textFill>
        </w:rPr>
        <w:t>和中标人签订的载明双方当事人所达成的协议，并包括所有的附件、附录和构成合同的其他文件。</w:t>
      </w:r>
    </w:p>
    <w:p w14:paraId="158723D1">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1.2“合同价”系指根据合同约定，中标人在完全履行合同义务后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，招标人</w:t>
      </w:r>
      <w:r>
        <w:rPr>
          <w:rFonts w:cs="Times New Roman" w:asciiTheme="minorEastAsia" w:hAnsiTheme="minorEastAsia" w:eastAsiaTheme="minorEastAsia"/>
          <w:color w:val="000000" w:themeColor="text1"/>
          <w:sz w:val="24"/>
          <w:szCs w:val="24"/>
          <w:highlight w:val="none"/>
          <w14:textFill>
            <w14:solidFill>
              <w14:schemeClr w14:val="tx1"/>
            </w14:solidFill>
          </w14:textFill>
        </w:rPr>
        <w:t>应支付给中标人的价格。</w:t>
      </w:r>
    </w:p>
    <w:p w14:paraId="7C75CBFC">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1.3“</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”系指</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中标人</w:t>
      </w:r>
      <w:r>
        <w:rPr>
          <w:rFonts w:cs="Times New Roman" w:asciiTheme="minorEastAsia" w:hAnsiTheme="minorEastAsia" w:eastAsiaTheme="minorEastAsia"/>
          <w:color w:val="000000" w:themeColor="text1"/>
          <w:sz w:val="24"/>
          <w:szCs w:val="24"/>
          <w:highlight w:val="none"/>
          <w14:textFill>
            <w14:solidFill>
              <w14:schemeClr w14:val="tx1"/>
            </w14:solidFill>
          </w14:textFill>
        </w:rPr>
        <w:t>根据合同约定应向</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招标人履行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除货物和工程以外的其他政府采购对象，包括招标人自身需要的服务和向社会公众提供的公共服务。</w:t>
      </w:r>
    </w:p>
    <w:p w14:paraId="4E1F7231">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bookmarkStart w:id="94" w:name="_Ref467378840"/>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”系指与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中标人</w:t>
      </w:r>
      <w:r>
        <w:rPr>
          <w:rFonts w:cs="Times New Roman" w:asciiTheme="minorEastAsia" w:hAnsiTheme="minorEastAsia" w:eastAsiaTheme="minorEastAsia"/>
          <w:color w:val="000000" w:themeColor="text1"/>
          <w:sz w:val="24"/>
          <w:szCs w:val="24"/>
          <w:highlight w:val="none"/>
          <w14:textFill>
            <w14:solidFill>
              <w14:schemeClr w14:val="tx1"/>
            </w14:solidFill>
          </w14:textFill>
        </w:rPr>
        <w:t>签署合同的</w:t>
      </w:r>
      <w:bookmarkEnd w:id="94"/>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招标人；招标人委托采购代理机构代表其与乙方签订合同的，招标人的授权委托书作为合同附件。</w:t>
      </w:r>
    </w:p>
    <w:p w14:paraId="276C8E28">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bookmarkStart w:id="95" w:name="_Ref467379400"/>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5</w:t>
      </w:r>
      <w:r>
        <w:rPr>
          <w:rFonts w:cs="Times New Roman" w:asciiTheme="minorEastAsia" w:hAnsiTheme="minorEastAsia" w:eastAsiaTheme="minorEastAsia"/>
          <w:color w:val="000000" w:themeColor="text1"/>
          <w:sz w:val="24"/>
          <w:szCs w:val="24"/>
          <w:highlight w:val="none"/>
          <w14:textFill>
            <w14:solidFill>
              <w14:schemeClr w14:val="tx1"/>
            </w14:solidFill>
          </w14:textFill>
        </w:rPr>
        <w:t>“乙方”系指根据合同约定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的中标人</w:t>
      </w:r>
      <w:bookmarkEnd w:id="95"/>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A964B88">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bookmarkStart w:id="96" w:name="_Ref467379436"/>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6</w:t>
      </w:r>
      <w:r>
        <w:rPr>
          <w:rFonts w:cs="Times New Roman" w:asciiTheme="minorEastAsia" w:hAnsiTheme="minorEastAsia" w:eastAsiaTheme="minorEastAsia"/>
          <w:color w:val="000000" w:themeColor="text1"/>
          <w:sz w:val="24"/>
          <w:szCs w:val="24"/>
          <w:highlight w:val="none"/>
          <w14:textFill>
            <w14:solidFill>
              <w14:schemeClr w14:val="tx1"/>
            </w14:solidFill>
          </w14:textFill>
        </w:rPr>
        <w:t>“现场”系指合同约定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的地点。</w:t>
      </w:r>
      <w:bookmarkEnd w:id="96"/>
    </w:p>
    <w:p w14:paraId="42DC6052">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97" w:name="_Toc27635"/>
      <w:bookmarkStart w:id="98" w:name="_Toc487900350"/>
      <w:bookmarkStart w:id="99" w:name="_Toc279701241"/>
      <w:bookmarkStart w:id="100" w:name="_Toc259093670"/>
      <w:bookmarkStart w:id="101" w:name="_Toc13336"/>
      <w:bookmarkStart w:id="102" w:name="_Toc3250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 技术规范</w:t>
      </w:r>
      <w:bookmarkEnd w:id="97"/>
      <w:bookmarkEnd w:id="98"/>
      <w:bookmarkEnd w:id="99"/>
      <w:bookmarkEnd w:id="100"/>
      <w:bookmarkEnd w:id="101"/>
      <w:bookmarkEnd w:id="102"/>
    </w:p>
    <w:p w14:paraId="1B68014F">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如果采购文件中没有技术规范的相应说明，那么应以国家有关部门最新颁布的相应标准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和</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规范为准。</w:t>
      </w:r>
    </w:p>
    <w:p w14:paraId="0006ED2C">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03" w:name="_Toc279701242"/>
      <w:bookmarkStart w:id="104" w:name="_Toc31634"/>
      <w:bookmarkStart w:id="105" w:name="_Toc487900351"/>
      <w:bookmarkStart w:id="106" w:name="_Toc27853"/>
      <w:bookmarkStart w:id="107" w:name="_Toc9829"/>
      <w:bookmarkStart w:id="108" w:name="_Toc25909367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3 知识产权</w:t>
      </w:r>
      <w:bookmarkEnd w:id="103"/>
      <w:bookmarkEnd w:id="104"/>
      <w:bookmarkEnd w:id="105"/>
      <w:bookmarkEnd w:id="106"/>
      <w:bookmarkEnd w:id="107"/>
      <w:bookmarkEnd w:id="108"/>
    </w:p>
    <w:p w14:paraId="24C570AD">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2.3.1乙</w:t>
      </w:r>
      <w:r>
        <w:rPr>
          <w:rFonts w:cs="Times New Roman" w:asciiTheme="minorEastAsia" w:hAnsiTheme="minorEastAsia" w:eastAsiaTheme="minorEastAsia"/>
          <w:color w:val="000000" w:themeColor="text1"/>
          <w:sz w:val="24"/>
          <w:szCs w:val="24"/>
          <w:highlight w:val="none"/>
          <w14:textFill>
            <w14:solidFill>
              <w14:schemeClr w14:val="tx1"/>
            </w14:solidFill>
          </w14:textFill>
        </w:rPr>
        <w:t>方应保证</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其提供的服务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不受任何第三方提出的侵犯其著作权、商标权、专利权等知识产权方面的起诉</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如果任何第三方提出侵权</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指控</w:t>
      </w:r>
      <w:r>
        <w:rPr>
          <w:rFonts w:cs="Times New Roman" w:asciiTheme="minorEastAsia" w:hAnsiTheme="minorEastAsia" w:eastAsiaTheme="minorEastAsia"/>
          <w:color w:val="000000" w:themeColor="text1"/>
          <w:sz w:val="24"/>
          <w:szCs w:val="24"/>
          <w:highlight w:val="none"/>
          <w14:textFill>
            <w14:solidFill>
              <w14:schemeClr w14:val="tx1"/>
            </w14:solidFill>
          </w14:textFill>
        </w:rPr>
        <w:t>，那么乙方须与该第三方交涉并承担由此发生的一切责任、费用和赔偿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45805F76">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2.3.2具有知识产权的计算机软件等货物的知识产权归属，</w:t>
      </w:r>
      <w:r>
        <w:rPr>
          <w:rFonts w:cs="Times New Roman" w:asciiTheme="minorEastAsia" w:hAnsiTheme="minorEastAsia" w:eastAsiaTheme="minorEastAsia"/>
          <w:color w:val="000000" w:themeColor="text1"/>
          <w:sz w:val="24"/>
          <w:szCs w:val="24"/>
          <w:highlight w:val="none"/>
          <w14:textFill>
            <w14:solidFill>
              <w14:schemeClr w14:val="tx1"/>
            </w14:solidFill>
          </w14:textFill>
        </w:rPr>
        <w:t>详见</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68DB0556">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09" w:name="_Ref467379542"/>
      <w:bookmarkStart w:id="110" w:name="_Ref467379536"/>
      <w:bookmarkStart w:id="111" w:name="_Toc487900354"/>
      <w:bookmarkStart w:id="112" w:name="_Toc259093674"/>
      <w:bookmarkStart w:id="113" w:name="_Ref467379527"/>
      <w:bookmarkStart w:id="114" w:name="_Ref467378591"/>
      <w:bookmarkStart w:id="115" w:name="_Toc279701245"/>
      <w:bookmarkStart w:id="116" w:name="_Ref467378541"/>
      <w:bookmarkStart w:id="117" w:name="_Toc30272"/>
      <w:bookmarkStart w:id="118" w:name="_Toc26182"/>
      <w:bookmarkStart w:id="119" w:name="_Toc1907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bookmarkEnd w:id="109"/>
      <w:bookmarkEnd w:id="110"/>
      <w:bookmarkEnd w:id="111"/>
      <w:bookmarkEnd w:id="112"/>
      <w:bookmarkEnd w:id="113"/>
      <w:bookmarkEnd w:id="114"/>
      <w:bookmarkEnd w:id="115"/>
      <w:bookmarkEnd w:id="116"/>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4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履约检查和问题反馈</w:t>
      </w:r>
      <w:bookmarkEnd w:id="117"/>
      <w:bookmarkEnd w:id="118"/>
      <w:bookmarkEnd w:id="119"/>
    </w:p>
    <w:p w14:paraId="35689B6B">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bookmarkStart w:id="120" w:name="_Toc186431854"/>
      <w:bookmarkStart w:id="121" w:name="_Ref467379807"/>
      <w:bookmarkStart w:id="122" w:name="_Toc259093676"/>
      <w:bookmarkStart w:id="123" w:name="_Toc279701247"/>
      <w:bookmarkStart w:id="124" w:name="_Ref467379793"/>
      <w:bookmarkStart w:id="125" w:name="_Toc487900357"/>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2.4</w:t>
      </w:r>
      <w:r>
        <w:rPr>
          <w:rFonts w:cs="Times New Roman" w:asciiTheme="minorEastAsia" w:hAnsiTheme="minorEastAsia" w:eastAsiaTheme="minorEastAsia"/>
          <w:color w:val="000000" w:themeColor="text1"/>
          <w:sz w:val="24"/>
          <w:szCs w:val="24"/>
          <w:highlight w:val="none"/>
          <w14:textFill>
            <w14:solidFill>
              <w14:schemeClr w14:val="tx1"/>
            </w14:solidFill>
          </w14:textFill>
        </w:rPr>
        <w:t>.1甲方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有权</w:t>
      </w:r>
      <w:r>
        <w:rPr>
          <w:rFonts w:cs="Times New Roman" w:asciiTheme="minorEastAsia" w:hAnsiTheme="minorEastAsia" w:eastAsiaTheme="minorEastAsia"/>
          <w:color w:val="000000" w:themeColor="text1"/>
          <w:sz w:val="24"/>
          <w:szCs w:val="24"/>
          <w:highlight w:val="none"/>
          <w14:textFill>
            <w14:solidFill>
              <w14:schemeClr w14:val="tx1"/>
            </w14:solidFill>
          </w14:textFill>
        </w:rPr>
        <w:t>在其认为必要时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091F3649">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.2合同履行期间，甲方有权将履行过程中出现的问题反馈给乙方，双方当事人应以书面形式约定需要完善和改进的内容</w:t>
      </w:r>
      <w:bookmarkEnd w:id="120"/>
      <w:bookmarkStart w:id="126" w:name="_Toc186431855"/>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bookmarkEnd w:id="126"/>
    <w:p w14:paraId="0D723CE7">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27" w:name="_Toc19219"/>
      <w:bookmarkStart w:id="128" w:name="_Toc28451"/>
      <w:bookmarkStart w:id="129" w:name="_Toc7836"/>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结算方式和付款条件</w:t>
      </w:r>
      <w:bookmarkEnd w:id="121"/>
      <w:bookmarkEnd w:id="122"/>
      <w:bookmarkEnd w:id="123"/>
      <w:bookmarkEnd w:id="124"/>
      <w:bookmarkEnd w:id="125"/>
      <w:bookmarkEnd w:id="127"/>
      <w:bookmarkEnd w:id="128"/>
      <w:bookmarkEnd w:id="129"/>
    </w:p>
    <w:p w14:paraId="72972E1A">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详见</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2CD08086">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30" w:name="_Ref467379923"/>
      <w:bookmarkStart w:id="131" w:name="_Ref467379863"/>
      <w:bookmarkStart w:id="132" w:name="_Toc279701248"/>
      <w:bookmarkStart w:id="133" w:name="_Toc259093677"/>
      <w:bookmarkStart w:id="134" w:name="_Toc487900358"/>
      <w:bookmarkStart w:id="135" w:name="_Ref467379852"/>
      <w:bookmarkStart w:id="136" w:name="_Toc774"/>
      <w:bookmarkStart w:id="137" w:name="_Toc16110"/>
      <w:bookmarkStart w:id="138" w:name="_Toc322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6</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技术资料</w:t>
      </w:r>
      <w:bookmarkEnd w:id="130"/>
      <w:bookmarkEnd w:id="131"/>
      <w:bookmarkEnd w:id="132"/>
      <w:bookmarkEnd w:id="133"/>
      <w:bookmarkEnd w:id="134"/>
      <w:bookmarkEnd w:id="135"/>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和保密义务</w:t>
      </w:r>
      <w:bookmarkEnd w:id="136"/>
      <w:bookmarkEnd w:id="137"/>
      <w:bookmarkEnd w:id="138"/>
    </w:p>
    <w:p w14:paraId="55DF6FDE">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6.1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乙方有权依据合同约定和项目需要，向甲方了解有关情况，调阅有关资料等，甲方应予积极配合；</w:t>
      </w:r>
    </w:p>
    <w:p w14:paraId="77D373A8">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6</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.2乙方有义务妥善保管和保护由甲方提供的前款信息和资料等；</w:t>
      </w:r>
    </w:p>
    <w:p w14:paraId="0608F656">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6.</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000000" w:themeColor="text1"/>
          <w:sz w:val="24"/>
          <w:szCs w:val="24"/>
          <w:highlight w:val="none"/>
          <w14:textFill>
            <w14:solidFill>
              <w14:schemeClr w14:val="tx1"/>
            </w14:solidFill>
          </w14:textFill>
        </w:rPr>
        <w:t>技术情报</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技术资料</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、商业秘密和商业信息等，并采取一切合理和必要措施和方式防止任何第三方接触到对方当事人的上述保密信息和资料。</w:t>
      </w:r>
    </w:p>
    <w:p w14:paraId="20DEEFED">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39" w:name="_Toc7860"/>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2.7 质量保证</w:t>
      </w:r>
      <w:bookmarkEnd w:id="139"/>
    </w:p>
    <w:p w14:paraId="23A710CB">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.1乙方应建立和完善履行合同的内部质量保证体系，并提供相关内部规章制度给甲方，以便甲方进行监督检查；</w:t>
      </w:r>
    </w:p>
    <w:p w14:paraId="5B3C1057">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.2乙方应保证履行合同的人员数量和素质、软件和硬件设备的配置、场地、环境和设施等满足全面履行合同的要求，并应接受甲方的监督检查。</w:t>
      </w:r>
    </w:p>
    <w:p w14:paraId="2A4BB638">
      <w:pPr>
        <w:spacing w:line="360" w:lineRule="auto"/>
        <w:ind w:firstLine="437"/>
        <w:outlineLvl w:val="2"/>
        <w:rPr>
          <w:rFonts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40" w:name="_Toc22267"/>
      <w: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t>2.8 延迟履行</w:t>
      </w:r>
      <w:bookmarkEnd w:id="140"/>
    </w:p>
    <w:p w14:paraId="359A494D">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在合同履行过程中，如果乙方遇到不能按时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的情况，应及时以书面形式将不能按时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的理由、预期延误时间通知甲方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w:t>
      </w:r>
      <w:r>
        <w:rPr>
          <w:rFonts w:cs="Times New Roman" w:asciiTheme="minorEastAsia" w:hAnsiTheme="minorEastAsia" w:eastAsiaTheme="minorEastAsia"/>
          <w:color w:val="000000" w:themeColor="text1"/>
          <w:sz w:val="24"/>
          <w:szCs w:val="24"/>
          <w:highlight w:val="none"/>
          <w14:textFill>
            <w14:solidFill>
              <w14:schemeClr w14:val="tx1"/>
            </w14:solidFill>
          </w14:textFill>
        </w:rPr>
        <w:t>方收到乙方通知后，认为其理由正当的，可以书面形式酌情同意乙方可以延长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的具体时间。</w:t>
      </w:r>
    </w:p>
    <w:p w14:paraId="7AFAE955">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41" w:name="_Toc7502"/>
      <w:bookmarkStart w:id="142" w:name="_Ref467378121"/>
      <w:bookmarkStart w:id="143" w:name="_Toc259093683"/>
      <w:bookmarkStart w:id="144" w:name="_Toc487900364"/>
      <w:bookmarkStart w:id="145" w:name="_Toc279701254"/>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2.9 合同变更</w:t>
      </w:r>
      <w:bookmarkEnd w:id="141"/>
    </w:p>
    <w:p w14:paraId="06D66455">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9</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.1双方当事人协商一致，可以签订书面补充合同的形式变更合同，但不得违背采购文件确定的事项；</w:t>
      </w:r>
    </w:p>
    <w:p w14:paraId="69D3CD7E">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9</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46" w:name="_Toc259093688"/>
      <w:bookmarkStart w:id="147" w:name="_Toc487900369"/>
      <w:bookmarkStart w:id="148" w:name="_Toc279701259"/>
    </w:p>
    <w:p w14:paraId="7D7F58F3">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49" w:name="_Toc15237"/>
      <w:bookmarkStart w:id="150" w:name="_Toc22955"/>
      <w:bookmarkStart w:id="151" w:name="_Toc10366"/>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0</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合同转让</w:t>
      </w:r>
      <w:bookmarkEnd w:id="146"/>
      <w:bookmarkEnd w:id="147"/>
      <w:bookmarkEnd w:id="148"/>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和分包</w:t>
      </w:r>
      <w:bookmarkEnd w:id="149"/>
      <w:bookmarkEnd w:id="150"/>
      <w:bookmarkEnd w:id="151"/>
    </w:p>
    <w:p w14:paraId="19845DFD">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合同的权利义务依法不</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得</w:t>
      </w:r>
      <w:r>
        <w:rPr>
          <w:rFonts w:cs="Times New Roman" w:asciiTheme="minorEastAsia" w:hAnsiTheme="minorEastAsia" w:eastAsiaTheme="minorEastAsia"/>
          <w:color w:val="000000" w:themeColor="text1"/>
          <w:sz w:val="24"/>
          <w:szCs w:val="24"/>
          <w:highlight w:val="none"/>
          <w14:textFill>
            <w14:solidFill>
              <w14:schemeClr w14:val="tx1"/>
            </w14:solidFill>
          </w14:textFill>
        </w:rPr>
        <w:t>转让</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但经甲方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同意，乙方可以依法采取分包方式履行合同，即：依法可以</w:t>
      </w:r>
      <w:r>
        <w:rPr>
          <w:rFonts w:cs="Times New Roman" w:asciiTheme="minorEastAsia" w:hAnsiTheme="minorEastAsia" w:eastAsiaTheme="minorEastAsia"/>
          <w:color w:val="000000" w:themeColor="text1"/>
          <w:sz w:val="24"/>
          <w:szCs w:val="24"/>
          <w:highlight w:val="none"/>
          <w14:textFill>
            <w14:solidFill>
              <w14:schemeClr w14:val="tx1"/>
            </w14:solidFill>
          </w14:textFill>
        </w:rPr>
        <w:t>将合同项下的部分非主体、非关键性工作分包给他人完成</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接受分包的人应当具备相应的资格条件，并不得再次分包</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且乙方应就分包项目向甲方负责</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与分包供应商就分包项目向甲方承担连带责任。</w:t>
      </w:r>
    </w:p>
    <w:p w14:paraId="06166232">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52" w:name="_Toc14066"/>
      <w:bookmarkStart w:id="153" w:name="_Toc13566"/>
      <w:bookmarkStart w:id="154" w:name="_Toc16508"/>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 不可抗力</w:t>
      </w:r>
      <w:bookmarkEnd w:id="152"/>
      <w:bookmarkEnd w:id="153"/>
      <w:bookmarkEnd w:id="154"/>
    </w:p>
    <w:p w14:paraId="23C1BCE2">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5A77DDBA">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.2因不可抗力致使不能实现合同目的的，当事人可以解除合同；</w:t>
      </w:r>
    </w:p>
    <w:p w14:paraId="4382082E">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.3因</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不可抗力致使合同有变更必要的，双方当事人应在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约定时间内以书面形式变更合同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6E809DDB">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cs="Times New Roman" w:asciiTheme="minorEastAsia" w:hAnsiTheme="minorEastAsia" w:eastAsiaTheme="minorEastAsia"/>
          <w:color w:val="000000" w:themeColor="text1"/>
          <w:sz w:val="24"/>
          <w:szCs w:val="24"/>
          <w:highlight w:val="none"/>
          <w14:textFill>
            <w14:solidFill>
              <w14:schemeClr w14:val="tx1"/>
            </w14:solidFill>
          </w14:textFill>
        </w:rPr>
        <w:t>受</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不可抗力</w:t>
      </w:r>
      <w:r>
        <w:rPr>
          <w:rFonts w:cs="Times New Roman" w:asciiTheme="minorEastAsia" w:hAnsiTheme="minorEastAsia" w:eastAsiaTheme="minorEastAsia"/>
          <w:color w:val="000000" w:themeColor="text1"/>
          <w:sz w:val="24"/>
          <w:szCs w:val="24"/>
          <w:highlight w:val="none"/>
          <w14:textFill>
            <w14:solidFill>
              <w14:schemeClr w14:val="tx1"/>
            </w14:solidFill>
          </w14:textFill>
        </w:rPr>
        <w:t>影响的一方在不可抗力发生后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应在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约定时间内以书面形式通知</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对</w:t>
      </w:r>
      <w:r>
        <w:rPr>
          <w:rFonts w:cs="Times New Roman" w:asciiTheme="minorEastAsia" w:hAnsiTheme="minorEastAsia" w:eastAsiaTheme="minorEastAsia"/>
          <w:color w:val="000000" w:themeColor="text1"/>
          <w:sz w:val="24"/>
          <w:szCs w:val="24"/>
          <w:highlight w:val="none"/>
          <w14:textFill>
            <w14:solidFill>
              <w14:schemeClr w14:val="tx1"/>
            </w14:solidFill>
          </w14:textFill>
        </w:rPr>
        <w:t>方当事人，并在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约定时间内，将有关部门出具的证明文件送达</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对方当事人</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5734CFE5">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55" w:name="_Toc6969"/>
      <w:bookmarkStart w:id="156" w:name="_Toc279701255"/>
      <w:bookmarkStart w:id="157" w:name="_Toc689"/>
      <w:bookmarkStart w:id="158" w:name="_Toc487900365"/>
      <w:bookmarkStart w:id="159" w:name="_Toc30676"/>
      <w:bookmarkStart w:id="160" w:name="_Toc25909368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12</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税费</w:t>
      </w:r>
      <w:bookmarkEnd w:id="155"/>
      <w:bookmarkEnd w:id="156"/>
      <w:bookmarkEnd w:id="157"/>
      <w:bookmarkEnd w:id="158"/>
      <w:bookmarkEnd w:id="159"/>
      <w:bookmarkEnd w:id="160"/>
    </w:p>
    <w:p w14:paraId="20186F6B">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与合同有关的一切税费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均按照中华人民共和国法律的相关规定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缴纳</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64770C93">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61" w:name="_Toc16959"/>
      <w:bookmarkStart w:id="162" w:name="_Toc279701258"/>
      <w:bookmarkStart w:id="163" w:name="_Toc259093687"/>
      <w:bookmarkStart w:id="164" w:name="_Toc8298"/>
      <w:bookmarkStart w:id="165" w:name="_Toc7102"/>
      <w:bookmarkStart w:id="166" w:name="_Toc487900368"/>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13</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乙方破产</w:t>
      </w:r>
      <w:bookmarkEnd w:id="161"/>
      <w:bookmarkEnd w:id="162"/>
      <w:bookmarkEnd w:id="163"/>
      <w:bookmarkEnd w:id="164"/>
      <w:bookmarkEnd w:id="165"/>
      <w:bookmarkEnd w:id="166"/>
    </w:p>
    <w:p w14:paraId="462A3FCA">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，但合同的</w:t>
      </w:r>
      <w:r>
        <w:rPr>
          <w:rFonts w:cs="Times New Roman" w:asciiTheme="minorEastAsia" w:hAnsiTheme="minorEastAsia" w:eastAsiaTheme="minorEastAsia"/>
          <w:color w:val="000000" w:themeColor="text1"/>
          <w:sz w:val="24"/>
          <w:szCs w:val="24"/>
          <w:highlight w:val="none"/>
          <w14:textFill>
            <w14:solidFill>
              <w14:schemeClr w14:val="tx1"/>
            </w14:solidFill>
          </w14:textFill>
        </w:rPr>
        <w:t>终止不损害或不影响甲方已经采取或将要采取的任何要求乙方支付违约金</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赔偿损失等的行动或补救措施的权利</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5DDE00CC">
      <w:pPr>
        <w:spacing w:line="360" w:lineRule="auto"/>
        <w:ind w:firstLine="437"/>
        <w:outlineLvl w:val="2"/>
        <w:rPr>
          <w:rFonts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67" w:name="_Toc6134"/>
      <w:bookmarkStart w:id="168" w:name="_Toc15387"/>
      <w:bookmarkStart w:id="169" w:name="_Toc29333"/>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4</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合同中止、终止</w:t>
      </w:r>
      <w:bookmarkEnd w:id="167"/>
      <w:bookmarkEnd w:id="168"/>
      <w:bookmarkEnd w:id="169"/>
    </w:p>
    <w:p w14:paraId="28D178D6">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.1双方当事人不得擅自中止或者终止合同；</w:t>
      </w:r>
    </w:p>
    <w:p w14:paraId="071584B5">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5F90DADC">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70" w:name="_Toc14563"/>
      <w:bookmarkStart w:id="171" w:name="_Toc1125"/>
      <w:bookmarkStart w:id="172" w:name="_Toc6596"/>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检验和验收</w:t>
      </w:r>
      <w:bookmarkEnd w:id="170"/>
      <w:bookmarkEnd w:id="171"/>
      <w:bookmarkEnd w:id="172"/>
    </w:p>
    <w:p w14:paraId="53291239">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5</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1乙方按照</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的约定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定期提交服务报告</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，甲方按照</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的约定进行定期验收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69ACE88D">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9624CE1">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2.15.3检验和验收标准、程序等具体内容以及前述验收书的效力详见</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hint="eastAsia" w:cs="Times New Roman" w:asciiTheme="minorEastAsia" w:hAnsiTheme="minorEastAsia" w:eastAsiaTheme="minorEastAsia"/>
          <w:i/>
          <w:color w:val="000000" w:themeColor="text1"/>
          <w:sz w:val="24"/>
          <w:szCs w:val="24"/>
          <w:highlight w:val="none"/>
          <w14:textFill>
            <w14:solidFill>
              <w14:schemeClr w14:val="tx1"/>
            </w14:solidFill>
          </w14:textFill>
        </w:rPr>
        <w:t>。</w:t>
      </w:r>
    </w:p>
    <w:bookmarkEnd w:id="142"/>
    <w:bookmarkEnd w:id="143"/>
    <w:bookmarkEnd w:id="144"/>
    <w:bookmarkEnd w:id="145"/>
    <w:p w14:paraId="3B2C1D8B">
      <w:pPr>
        <w:spacing w:line="360" w:lineRule="auto"/>
        <w:ind w:firstLine="437"/>
        <w:outlineLvl w:val="2"/>
        <w:rPr>
          <w:rFonts w:cs="Times New Roman" w:asciiTheme="minorEastAsia" w:hAnsiTheme="minorEastAsia" w:eastAsiaTheme="minorEastAsia"/>
          <w:b/>
          <w:bCs/>
          <w:color w:val="000000" w:themeColor="text1"/>
          <w:sz w:val="24"/>
          <w:szCs w:val="24"/>
          <w:highlight w:val="none"/>
          <w14:textFill>
            <w14:solidFill>
              <w14:schemeClr w14:val="tx1"/>
            </w14:solidFill>
          </w14:textFill>
        </w:rPr>
      </w:pPr>
      <w:bookmarkStart w:id="173" w:name="_Toc10330"/>
      <w:bookmarkStart w:id="174" w:name="_Toc12773"/>
      <w:bookmarkStart w:id="175" w:name="_Toc487900373"/>
      <w:bookmarkStart w:id="176" w:name="_Toc279701263"/>
      <w:bookmarkStart w:id="177" w:name="_Toc259093692"/>
      <w:bookmarkStart w:id="178" w:name="_Toc18567"/>
      <w:r>
        <w:rPr>
          <w:rFonts w:hint="eastAsia" w:cs="Times New Roman" w:asciiTheme="minorEastAsia" w:hAnsiTheme="minorEastAsia" w:eastAsiaTheme="minorEastAsia"/>
          <w:b/>
          <w:bCs/>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14:textFill>
            <w14:solidFill>
              <w14:schemeClr w14:val="tx1"/>
            </w14:solidFill>
          </w14:textFill>
        </w:rPr>
        <w:t>16</w:t>
      </w:r>
      <w:r>
        <w:rPr>
          <w:rFonts w:hint="eastAsia" w:cs="Times New Roman" w:asciiTheme="minorEastAsia" w:hAnsiTheme="minorEastAsia" w:eastAsiaTheme="minorEastAsia"/>
          <w:b/>
          <w:bCs/>
          <w:color w:val="000000" w:themeColor="text1"/>
          <w:sz w:val="24"/>
          <w:szCs w:val="24"/>
          <w:highlight w:val="none"/>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合同使用的文字和</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适用的法律</w:t>
      </w:r>
      <w:bookmarkEnd w:id="173"/>
      <w:bookmarkEnd w:id="174"/>
      <w:bookmarkEnd w:id="175"/>
      <w:bookmarkEnd w:id="176"/>
      <w:bookmarkEnd w:id="177"/>
      <w:bookmarkEnd w:id="178"/>
    </w:p>
    <w:p w14:paraId="2676341D">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16.1合同使用汉语书就</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变更和解释</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1FBA157A">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16</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.2合同适用</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中华人民共和国法律。</w:t>
      </w:r>
    </w:p>
    <w:p w14:paraId="40D6B419">
      <w:pPr>
        <w:spacing w:line="360" w:lineRule="auto"/>
        <w:ind w:firstLine="437"/>
        <w:outlineLvl w:val="2"/>
        <w:rPr>
          <w:rFonts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79" w:name="_Toc16673"/>
      <w:bookmarkStart w:id="180" w:name="_Toc279701264"/>
      <w:bookmarkStart w:id="181" w:name="_Toc259093693"/>
      <w:bookmarkStart w:id="182" w:name="_Toc3148"/>
      <w:bookmarkStart w:id="183" w:name="_Toc12004"/>
      <w:bookmarkStart w:id="184" w:name="_Toc48790037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17</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履约保证金</w:t>
      </w:r>
      <w:bookmarkEnd w:id="179"/>
      <w:bookmarkEnd w:id="180"/>
      <w:bookmarkEnd w:id="181"/>
      <w:bookmarkEnd w:id="182"/>
      <w:bookmarkEnd w:id="183"/>
    </w:p>
    <w:p w14:paraId="07C80791">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.1采购文件要求乙方提交履约保证金的，乙方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应按</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约定的方式</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，以支票、汇票、本票或者金融机构、担保机构出具的保函等非现金形式提交；</w:t>
      </w:r>
    </w:p>
    <w:p w14:paraId="1FD6E90B">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17.2履约保证金在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约定期间内不予退还或者应完全有效</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，前述约定期间届满</w:t>
      </w:r>
      <w:r>
        <w:rPr>
          <w:rFonts w:cs="Times New Roman" w:asciiTheme="minorEastAsia" w:hAnsiTheme="minorEastAsia" w:eastAsiaTheme="minorEastAsia"/>
          <w:color w:val="000000" w:themeColor="text1"/>
          <w:sz w:val="24"/>
          <w:szCs w:val="24"/>
          <w:highlight w:val="none"/>
          <w14:textFill>
            <w14:solidFill>
              <w14:schemeClr w14:val="tx1"/>
            </w14:solidFill>
          </w14:textFill>
        </w:rPr>
        <w:t>之日起</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w:t>
      </w:r>
      <w:r>
        <w:rPr>
          <w:rFonts w:cs="Times New Roman" w:asciiTheme="minorEastAsia" w:hAnsiTheme="minorEastAsia" w:eastAsiaTheme="minorEastAsia"/>
          <w:color w:val="000000" w:themeColor="text1"/>
          <w:sz w:val="24"/>
          <w:szCs w:val="24"/>
          <w:highlight w:val="none"/>
          <w14:textFill>
            <w14:solidFill>
              <w14:schemeClr w14:val="tx1"/>
            </w14:solidFill>
          </w14:textFill>
        </w:rPr>
        <w:t>工作日内，甲方应将履约保证金退还乙方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，甲方逾期退还履约保证金应承担违约责任。</w:t>
      </w:r>
    </w:p>
    <w:p w14:paraId="12B71AA6">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如果乙方不履行合同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，履约保证金不予退还；如果乙方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未能按合同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约</w:t>
      </w:r>
      <w:r>
        <w:rPr>
          <w:rFonts w:cs="Times New Roman" w:asciiTheme="minorEastAsia" w:hAnsiTheme="minorEastAsia" w:eastAsiaTheme="minorEastAsia"/>
          <w:color w:val="000000" w:themeColor="text1"/>
          <w:sz w:val="24"/>
          <w:szCs w:val="24"/>
          <w:highlight w:val="none"/>
          <w14:textFill>
            <w14:solidFill>
              <w14:schemeClr w14:val="tx1"/>
            </w14:solidFill>
          </w14:textFill>
        </w:rPr>
        <w:t>定全面履行义务，那么甲方有权从履约保证金中取得补偿或赔偿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，同时不影响甲方要求乙方承担合同约定的超过履约保证金的违约责任的权利。</w:t>
      </w:r>
    </w:p>
    <w:bookmarkEnd w:id="184"/>
    <w:p w14:paraId="15860901">
      <w:pPr>
        <w:spacing w:line="360" w:lineRule="auto"/>
        <w:ind w:firstLine="437"/>
        <w:outlineLvl w:val="2"/>
        <w:rPr>
          <w:rFonts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85" w:name="_Toc19890"/>
      <w:bookmarkStart w:id="186" w:name="_Toc6885"/>
      <w:bookmarkStart w:id="187" w:name="_Toc1400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18</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合同份数</w:t>
      </w:r>
      <w:bookmarkEnd w:id="185"/>
      <w:bookmarkEnd w:id="186"/>
      <w:bookmarkEnd w:id="187"/>
    </w:p>
    <w:p w14:paraId="521435C4">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合同份数按</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规定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每份均具有同等法律效力</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6C5F8834">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br w:type="page"/>
      </w:r>
      <w:bookmarkStart w:id="188" w:name="_Toc3736"/>
      <w:r>
        <w:rPr>
          <w:rFonts w:hint="eastAsia" w:asciiTheme="minorEastAsia" w:hAnsiTheme="minorEastAsia" w:eastAsiaTheme="minorEastAsia"/>
          <w:b/>
          <w:color w:val="000000" w:themeColor="text1"/>
          <w:sz w:val="24"/>
          <w:highlight w:val="none"/>
          <w14:textFill>
            <w14:solidFill>
              <w14:schemeClr w14:val="tx1"/>
            </w14:solidFill>
          </w14:textFill>
        </w:rPr>
        <w:t>第三部分</w:t>
      </w:r>
      <w:r>
        <w:rPr>
          <w:rFonts w:asciiTheme="minorEastAsia" w:hAnsiTheme="minorEastAsia" w:eastAsiaTheme="minorEastAsia"/>
          <w:b/>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4"/>
          <w:highlight w:val="none"/>
          <w14:textFill>
            <w14:solidFill>
              <w14:schemeClr w14:val="tx1"/>
            </w14:solidFill>
          </w14:textFill>
        </w:rPr>
        <w:t>合同专用条款</w:t>
      </w:r>
      <w:bookmarkEnd w:id="188"/>
    </w:p>
    <w:p w14:paraId="27F9113A">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本部分</w:t>
      </w:r>
      <w:r>
        <w:rPr>
          <w:rFonts w:cs="Times New Roman" w:asciiTheme="minorEastAsia" w:hAnsiTheme="minorEastAsia" w:eastAsiaTheme="minorEastAsia"/>
          <w:color w:val="000000" w:themeColor="text1"/>
          <w:sz w:val="24"/>
          <w:szCs w:val="24"/>
          <w:highlight w:val="none"/>
          <w14:textFill>
            <w14:solidFill>
              <w14:schemeClr w14:val="tx1"/>
            </w14:solidFill>
          </w14:textFill>
        </w:rPr>
        <w:t>是对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前两</w:t>
      </w:r>
      <w:r>
        <w:rPr>
          <w:rFonts w:cs="Times New Roman" w:asciiTheme="minorEastAsia" w:hAnsiTheme="minorEastAsia" w:eastAsiaTheme="minorEastAsia"/>
          <w:color w:val="000000" w:themeColor="text1"/>
          <w:sz w:val="24"/>
          <w:szCs w:val="24"/>
          <w:highlight w:val="none"/>
          <w14:textFill>
            <w14:solidFill>
              <w14:schemeClr w14:val="tx1"/>
            </w14:solidFill>
          </w14:textFill>
        </w:rPr>
        <w:t>部分的补充和修改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前两</w:t>
      </w:r>
      <w:r>
        <w:rPr>
          <w:rFonts w:cs="Times New Roman" w:asciiTheme="minorEastAsia" w:hAnsiTheme="minorEastAsia" w:eastAsiaTheme="minorEastAsia"/>
          <w:color w:val="000000" w:themeColor="text1"/>
          <w:sz w:val="24"/>
          <w:szCs w:val="24"/>
          <w:highlight w:val="none"/>
          <w14:textFill>
            <w14:solidFill>
              <w14:schemeClr w14:val="tx1"/>
            </w14:solidFill>
          </w14:textFill>
        </w:rPr>
        <w:t>部分和本部分的约定不一致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应以本部分的约定为准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本部分的条款号应与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前两部分</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的条款号保持对应</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；与前两部分</w:t>
      </w:r>
      <w:r>
        <w:rPr>
          <w:rFonts w:cs="Times New Roman" w:asciiTheme="minorEastAsia" w:hAnsiTheme="minorEastAsia" w:eastAsiaTheme="minorEastAsia"/>
          <w:color w:val="000000" w:themeColor="text1"/>
          <w:sz w:val="24"/>
          <w:szCs w:val="24"/>
          <w:highlight w:val="none"/>
          <w14:textFill>
            <w14:solidFill>
              <w14:schemeClr w14:val="tx1"/>
            </w14:solidFill>
          </w14:textFill>
        </w:rPr>
        <w:t>无对应关系的内容可另行编制条款号</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tbl>
      <w:tblPr>
        <w:tblStyle w:val="24"/>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2646C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1" w:hRule="atLeast"/>
          <w:jc w:val="center"/>
        </w:trPr>
        <w:tc>
          <w:tcPr>
            <w:tcW w:w="794" w:type="dxa"/>
            <w:tcBorders>
              <w:left w:val="single" w:color="auto" w:sz="4" w:space="0"/>
            </w:tcBorders>
            <w:vAlign w:val="center"/>
          </w:tcPr>
          <w:p w14:paraId="1916ABEC">
            <w:pPr>
              <w:jc w:val="center"/>
              <w:rPr>
                <w:rFonts w:cs="Times New Roman" w:asciiTheme="minorEastAsia" w:hAnsiTheme="minorEastAsia" w:eastAsiaTheme="minorEastAsia"/>
                <w:b/>
                <w:color w:val="000000" w:themeColor="text1"/>
                <w:sz w:val="24"/>
                <w:szCs w:val="24"/>
                <w:highlight w:val="none"/>
                <w14:textFill>
                  <w14:solidFill>
                    <w14:schemeClr w14:val="tx1"/>
                  </w14:solidFill>
                </w14:textFill>
              </w:rPr>
            </w:pPr>
            <w:r>
              <w:rPr>
                <w:rFonts w:cs="Times New Roman" w:asciiTheme="minorEastAsia" w:hAnsiTheme="minorEastAsia" w:eastAsiaTheme="minorEastAsia"/>
                <w:b/>
                <w:color w:val="000000" w:themeColor="text1"/>
                <w:sz w:val="24"/>
                <w:szCs w:val="24"/>
                <w:highlight w:val="none"/>
                <w14:textFill>
                  <w14:solidFill>
                    <w14:schemeClr w14:val="tx1"/>
                  </w14:solidFill>
                </w14:textFill>
              </w:rPr>
              <w:t>条款号</w:t>
            </w:r>
          </w:p>
        </w:tc>
        <w:tc>
          <w:tcPr>
            <w:tcW w:w="7568" w:type="dxa"/>
            <w:vAlign w:val="center"/>
          </w:tcPr>
          <w:p w14:paraId="15CE4C03">
            <w:pPr>
              <w:jc w:val="center"/>
              <w:rPr>
                <w:rFonts w:cs="Times New Roman" w:asciiTheme="minorEastAsia" w:hAnsiTheme="minorEastAsia" w:eastAsiaTheme="minorEastAsia"/>
                <w:b/>
                <w:color w:val="000000" w:themeColor="text1"/>
                <w:sz w:val="24"/>
                <w:szCs w:val="24"/>
                <w:highlight w:val="none"/>
                <w14:textFill>
                  <w14:solidFill>
                    <w14:schemeClr w14:val="tx1"/>
                  </w14:solidFill>
                </w14:textFill>
              </w:rPr>
            </w:pPr>
            <w:r>
              <w:rPr>
                <w:rFonts w:cs="Times New Roman" w:asciiTheme="minorEastAsia" w:hAnsiTheme="minorEastAsia" w:eastAsiaTheme="minorEastAsia"/>
                <w:b/>
                <w:color w:val="000000" w:themeColor="text1"/>
                <w:sz w:val="24"/>
                <w:szCs w:val="24"/>
                <w:highlight w:val="none"/>
                <w14:textFill>
                  <w14:solidFill>
                    <w14:schemeClr w14:val="tx1"/>
                  </w14:solidFill>
                </w14:textFill>
              </w:rPr>
              <w:t>约定内容</w:t>
            </w:r>
          </w:p>
        </w:tc>
      </w:tr>
      <w:tr w14:paraId="2FE78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shd w:val="clear" w:color="auto" w:fill="auto"/>
            <w:vAlign w:val="center"/>
          </w:tcPr>
          <w:p w14:paraId="04A5BAB6">
            <w:pPr>
              <w:spacing w:line="560" w:lineRule="exact"/>
              <w:jc w:val="left"/>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2.3.2</w:t>
            </w:r>
          </w:p>
        </w:tc>
        <w:tc>
          <w:tcPr>
            <w:tcW w:w="7568" w:type="dxa"/>
            <w:shd w:val="clear" w:color="auto" w:fill="auto"/>
            <w:vAlign w:val="center"/>
          </w:tcPr>
          <w:p w14:paraId="64F897E1">
            <w:pPr>
              <w:spacing w:line="560" w:lineRule="exact"/>
              <w:jc w:val="left"/>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具有知识产权的计算机软件等货物的知识产权归属:无。</w:t>
            </w:r>
          </w:p>
        </w:tc>
      </w:tr>
      <w:tr w14:paraId="4D726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shd w:val="clear" w:color="auto" w:fill="auto"/>
            <w:vAlign w:val="center"/>
          </w:tcPr>
          <w:p w14:paraId="5F8D3549">
            <w:pPr>
              <w:spacing w:line="560" w:lineRule="exact"/>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2.5</w:t>
            </w:r>
          </w:p>
        </w:tc>
        <w:tc>
          <w:tcPr>
            <w:tcW w:w="7568" w:type="dxa"/>
            <w:shd w:val="clear" w:color="auto" w:fill="auto"/>
            <w:vAlign w:val="center"/>
          </w:tcPr>
          <w:p w14:paraId="474216D3">
            <w:pPr>
              <w:spacing w:line="560" w:lineRule="exact"/>
              <w:jc w:val="left"/>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按该项目采购文件第三章-采购需求执行。</w:t>
            </w:r>
          </w:p>
        </w:tc>
      </w:tr>
      <w:tr w14:paraId="0F725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shd w:val="clear" w:color="auto" w:fill="auto"/>
            <w:vAlign w:val="center"/>
          </w:tcPr>
          <w:p w14:paraId="38CBAD61">
            <w:pPr>
              <w:spacing w:line="560" w:lineRule="exact"/>
              <w:jc w:val="left"/>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2.11.3</w:t>
            </w:r>
          </w:p>
        </w:tc>
        <w:tc>
          <w:tcPr>
            <w:tcW w:w="7568" w:type="dxa"/>
            <w:shd w:val="clear" w:color="auto" w:fill="auto"/>
            <w:vAlign w:val="center"/>
          </w:tcPr>
          <w:p w14:paraId="78C7436B">
            <w:pPr>
              <w:spacing w:line="560" w:lineRule="exact"/>
              <w:jc w:val="left"/>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因</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不可抗力致使合同有变更必要的，双方当事人应在</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30个日历天</w:t>
            </w:r>
            <w:r>
              <w:rPr>
                <w:rFonts w:cs="Times New Roman" w:asciiTheme="minorEastAsia" w:hAnsiTheme="minorEastAsia" w:eastAsiaTheme="minorEastAsia"/>
                <w:color w:val="000000" w:themeColor="text1"/>
                <w:sz w:val="24"/>
                <w:szCs w:val="24"/>
                <w:highlight w:val="none"/>
                <w14:textFill>
                  <w14:solidFill>
                    <w14:schemeClr w14:val="tx1"/>
                  </w14:solidFill>
                </w14:textFill>
              </w:rPr>
              <w:t>以书面形式变更合同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tc>
      </w:tr>
      <w:tr w14:paraId="5A3AD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shd w:val="clear" w:color="auto" w:fill="auto"/>
            <w:vAlign w:val="center"/>
          </w:tcPr>
          <w:p w14:paraId="2F7E05DD">
            <w:pPr>
              <w:spacing w:line="560" w:lineRule="exact"/>
              <w:jc w:val="left"/>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2.11.4</w:t>
            </w:r>
          </w:p>
        </w:tc>
        <w:tc>
          <w:tcPr>
            <w:tcW w:w="7568" w:type="dxa"/>
            <w:shd w:val="clear" w:color="auto" w:fill="auto"/>
            <w:vAlign w:val="center"/>
          </w:tcPr>
          <w:p w14:paraId="10B3BBDD">
            <w:pPr>
              <w:spacing w:line="560" w:lineRule="exact"/>
              <w:jc w:val="left"/>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受</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不可抗力</w:t>
            </w:r>
            <w:r>
              <w:rPr>
                <w:rFonts w:cs="Times New Roman" w:asciiTheme="minorEastAsia" w:hAnsiTheme="minorEastAsia" w:eastAsiaTheme="minorEastAsia"/>
                <w:color w:val="000000" w:themeColor="text1"/>
                <w:sz w:val="24"/>
                <w:szCs w:val="24"/>
                <w:highlight w:val="none"/>
                <w14:textFill>
                  <w14:solidFill>
                    <w14:schemeClr w14:val="tx1"/>
                  </w14:solidFill>
                </w14:textFill>
              </w:rPr>
              <w:t>影响的一方在不可抗力发生后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应在</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7个日历天</w:t>
            </w:r>
            <w:r>
              <w:rPr>
                <w:rFonts w:cs="Times New Roman" w:asciiTheme="minorEastAsia" w:hAnsiTheme="minorEastAsia" w:eastAsiaTheme="minorEastAsia"/>
                <w:color w:val="000000" w:themeColor="text1"/>
                <w:sz w:val="24"/>
                <w:szCs w:val="24"/>
                <w:highlight w:val="none"/>
                <w14:textFill>
                  <w14:solidFill>
                    <w14:schemeClr w14:val="tx1"/>
                  </w14:solidFill>
                </w14:textFill>
              </w:rPr>
              <w:t>内以书面形式通知</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对</w:t>
            </w:r>
            <w:r>
              <w:rPr>
                <w:rFonts w:cs="Times New Roman" w:asciiTheme="minorEastAsia" w:hAnsiTheme="minorEastAsia" w:eastAsiaTheme="minorEastAsia"/>
                <w:color w:val="000000" w:themeColor="text1"/>
                <w:sz w:val="24"/>
                <w:szCs w:val="24"/>
                <w:highlight w:val="none"/>
                <w14:textFill>
                  <w14:solidFill>
                    <w14:schemeClr w14:val="tx1"/>
                  </w14:solidFill>
                </w14:textFill>
              </w:rPr>
              <w:t>方当事人，并在</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14个日历天</w:t>
            </w:r>
            <w:r>
              <w:rPr>
                <w:rFonts w:cs="Times New Roman" w:asciiTheme="minorEastAsia" w:hAnsiTheme="minorEastAsia" w:eastAsiaTheme="minorEastAsia"/>
                <w:color w:val="000000" w:themeColor="text1"/>
                <w:sz w:val="24"/>
                <w:szCs w:val="24"/>
                <w:highlight w:val="none"/>
                <w14:textFill>
                  <w14:solidFill>
                    <w14:schemeClr w14:val="tx1"/>
                  </w14:solidFill>
                </w14:textFill>
              </w:rPr>
              <w:t>内，将有关部门出具的证明文件送达</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对方当事人。</w:t>
            </w:r>
          </w:p>
        </w:tc>
      </w:tr>
      <w:tr w14:paraId="37D27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shd w:val="clear" w:color="auto" w:fill="auto"/>
            <w:vAlign w:val="center"/>
          </w:tcPr>
          <w:p w14:paraId="1EAAE05B">
            <w:pPr>
              <w:spacing w:line="560" w:lineRule="exact"/>
              <w:jc w:val="left"/>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2.15.1</w:t>
            </w:r>
          </w:p>
        </w:tc>
        <w:tc>
          <w:tcPr>
            <w:tcW w:w="7568" w:type="dxa"/>
            <w:shd w:val="clear" w:color="auto" w:fill="auto"/>
            <w:vAlign w:val="center"/>
          </w:tcPr>
          <w:p w14:paraId="1C6DB557">
            <w:pPr>
              <w:spacing w:line="560" w:lineRule="exact"/>
              <w:jc w:val="left"/>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按甲方要求。</w:t>
            </w:r>
          </w:p>
        </w:tc>
      </w:tr>
      <w:tr w14:paraId="7DE9F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shd w:val="clear" w:color="auto" w:fill="auto"/>
            <w:vAlign w:val="center"/>
          </w:tcPr>
          <w:p w14:paraId="208C6531">
            <w:pPr>
              <w:spacing w:line="560" w:lineRule="exact"/>
              <w:jc w:val="left"/>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2.15.3</w:t>
            </w:r>
          </w:p>
        </w:tc>
        <w:tc>
          <w:tcPr>
            <w:tcW w:w="7568" w:type="dxa"/>
            <w:shd w:val="clear" w:color="auto" w:fill="auto"/>
            <w:vAlign w:val="center"/>
          </w:tcPr>
          <w:p w14:paraId="4512D108">
            <w:pPr>
              <w:spacing w:line="560" w:lineRule="exact"/>
              <w:jc w:val="left"/>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按甲方要求。</w:t>
            </w:r>
          </w:p>
        </w:tc>
      </w:tr>
      <w:tr w14:paraId="0ECF5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shd w:val="clear" w:color="auto" w:fill="auto"/>
            <w:vAlign w:val="center"/>
          </w:tcPr>
          <w:p w14:paraId="14B45F56">
            <w:pPr>
              <w:spacing w:line="560" w:lineRule="exact"/>
              <w:jc w:val="left"/>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2.17.1</w:t>
            </w:r>
          </w:p>
        </w:tc>
        <w:tc>
          <w:tcPr>
            <w:tcW w:w="7568" w:type="dxa"/>
            <w:shd w:val="clear" w:color="auto" w:fill="auto"/>
            <w:vAlign w:val="center"/>
          </w:tcPr>
          <w:p w14:paraId="66BA294D">
            <w:pPr>
              <w:spacing w:line="560" w:lineRule="exact"/>
              <w:jc w:val="left"/>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ascii="宋体" w:hAnsi="宋体" w:eastAsia="宋体" w:cs="宋体"/>
                <w:sz w:val="24"/>
                <w:szCs w:val="24"/>
                <w:highlight w:val="none"/>
              </w:rPr>
              <w:t>按该项目采购文件第二章-投标人须知执行。</w:t>
            </w:r>
          </w:p>
        </w:tc>
      </w:tr>
      <w:tr w14:paraId="05E09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shd w:val="clear" w:color="auto" w:fill="auto"/>
            <w:vAlign w:val="center"/>
          </w:tcPr>
          <w:p w14:paraId="28AF40E4">
            <w:pPr>
              <w:spacing w:line="560" w:lineRule="exact"/>
              <w:jc w:val="left"/>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2.18</w:t>
            </w:r>
          </w:p>
        </w:tc>
        <w:tc>
          <w:tcPr>
            <w:tcW w:w="7568" w:type="dxa"/>
            <w:shd w:val="clear" w:color="auto" w:fill="auto"/>
            <w:vAlign w:val="center"/>
          </w:tcPr>
          <w:p w14:paraId="66592B57">
            <w:pPr>
              <w:spacing w:line="560" w:lineRule="exact"/>
              <w:jc w:val="left"/>
              <w:rPr>
                <w:rFonts w:eastAsia="宋体" w:cs="Times New Roman" w:asciiTheme="minorEastAsia" w:hAnsiTheme="minorEastAsia"/>
                <w:color w:val="000000" w:themeColor="text1"/>
                <w:sz w:val="24"/>
                <w:szCs w:val="24"/>
                <w:highlight w:val="none"/>
                <w14:textFill>
                  <w14:solidFill>
                    <w14:schemeClr w14:val="tx1"/>
                  </w14:solidFill>
                </w14:textFill>
              </w:rPr>
            </w:pPr>
            <w:r>
              <w:rPr>
                <w:rFonts w:hint="eastAsia" w:ascii="宋体" w:hAnsi="宋体" w:eastAsia="宋体" w:cs="宋体"/>
                <w:bCs/>
                <w:sz w:val="24"/>
                <w:szCs w:val="24"/>
                <w:highlight w:val="none"/>
              </w:rPr>
              <w:t>本合同一式</w:t>
            </w:r>
            <w:r>
              <w:rPr>
                <w:rFonts w:hint="eastAsia" w:ascii="宋体" w:hAnsi="宋体" w:eastAsia="宋体" w:cs="宋体"/>
                <w:bCs/>
                <w:sz w:val="24"/>
                <w:szCs w:val="24"/>
                <w:highlight w:val="none"/>
                <w:u w:val="single"/>
              </w:rPr>
              <w:t xml:space="preserve"> 捌 </w:t>
            </w:r>
            <w:r>
              <w:rPr>
                <w:rFonts w:hint="eastAsia" w:ascii="宋体" w:hAnsi="宋体" w:eastAsia="宋体" w:cs="宋体"/>
                <w:bCs/>
                <w:sz w:val="24"/>
                <w:szCs w:val="24"/>
                <w:highlight w:val="none"/>
              </w:rPr>
              <w:t>份，均具有同等法律效力，甲方执</w:t>
            </w:r>
            <w:r>
              <w:rPr>
                <w:rFonts w:hint="eastAsia" w:ascii="宋体" w:hAnsi="宋体" w:eastAsia="宋体" w:cs="宋体"/>
                <w:bCs/>
                <w:sz w:val="24"/>
                <w:szCs w:val="24"/>
                <w:highlight w:val="none"/>
                <w:u w:val="single"/>
              </w:rPr>
              <w:t xml:space="preserve"> 陆</w:t>
            </w:r>
            <w:r>
              <w:rPr>
                <w:rFonts w:hint="eastAsia" w:ascii="宋体" w:hAnsi="宋体" w:cs="宋体"/>
                <w:bCs/>
                <w:sz w:val="24"/>
                <w:szCs w:val="24"/>
                <w:highlight w:val="none"/>
                <w:u w:val="single"/>
              </w:rPr>
              <w:t xml:space="preserve"> </w:t>
            </w:r>
            <w:r>
              <w:rPr>
                <w:rFonts w:hint="eastAsia" w:ascii="宋体" w:hAnsi="宋体" w:eastAsia="宋体" w:cs="宋体"/>
                <w:bCs/>
                <w:sz w:val="24"/>
                <w:szCs w:val="24"/>
                <w:highlight w:val="none"/>
              </w:rPr>
              <w:t>份，乙方执</w:t>
            </w:r>
            <w:r>
              <w:rPr>
                <w:rFonts w:hint="eastAsia" w:ascii="宋体" w:hAnsi="宋体" w:eastAsia="宋体" w:cs="宋体"/>
                <w:bCs/>
                <w:sz w:val="24"/>
                <w:szCs w:val="24"/>
                <w:highlight w:val="none"/>
                <w:u w:val="single"/>
              </w:rPr>
              <w:t xml:space="preserve"> 贰 </w:t>
            </w:r>
            <w:r>
              <w:rPr>
                <w:rFonts w:hint="eastAsia" w:ascii="宋体" w:hAnsi="宋体" w:eastAsia="宋体" w:cs="宋体"/>
                <w:bCs/>
                <w:sz w:val="24"/>
                <w:szCs w:val="24"/>
                <w:highlight w:val="none"/>
              </w:rPr>
              <w:t>份。</w:t>
            </w:r>
          </w:p>
        </w:tc>
      </w:tr>
      <w:tr w14:paraId="4C59D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33AE718">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55C04667">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69414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2CA3C4F0">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21C6F8BE">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542B4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7EAD44E">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56DF6B7B">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bl>
    <w:p w14:paraId="65A2C9CD">
      <w:pPr>
        <w:spacing w:line="360" w:lineRule="auto"/>
        <w:rPr>
          <w:rFonts w:asciiTheme="minorEastAsia" w:hAnsiTheme="minorEastAsia" w:eastAsiaTheme="minorEastAsia"/>
          <w:color w:val="000000" w:themeColor="text1"/>
          <w:sz w:val="24"/>
          <w:highlight w:val="none"/>
          <w14:textFill>
            <w14:solidFill>
              <w14:schemeClr w14:val="tx1"/>
            </w14:solidFill>
          </w14:textFill>
        </w:rPr>
      </w:pPr>
    </w:p>
    <w:p w14:paraId="03B01C9A">
      <w:pPr>
        <w:adjustRightInd w:val="0"/>
        <w:snapToGrid w:val="0"/>
        <w:spacing w:line="440" w:lineRule="atLeast"/>
        <w:ind w:firstLine="480" w:firstLineChars="200"/>
        <w:jc w:val="left"/>
        <w:rPr>
          <w:rFonts w:ascii="宋体" w:hAnsi="宋体" w:eastAsia="宋体" w:cs="宋体"/>
          <w:kern w:val="0"/>
          <w:sz w:val="24"/>
          <w:szCs w:val="24"/>
          <w:highlight w:val="none"/>
        </w:rPr>
        <w:sectPr>
          <w:footerReference r:id="rId5" w:type="default"/>
          <w:pgSz w:w="11906" w:h="16838"/>
          <w:pgMar w:top="1440" w:right="1800" w:bottom="1440" w:left="1800" w:header="851" w:footer="992" w:gutter="0"/>
          <w:pgNumType w:start="1"/>
          <w:cols w:space="720" w:num="1"/>
          <w:docGrid w:type="lines" w:linePitch="312" w:charSpace="0"/>
        </w:sectPr>
      </w:pPr>
      <w:r>
        <w:rPr>
          <w:rFonts w:asciiTheme="minorEastAsia" w:hAnsiTheme="minorEastAsia" w:eastAsiaTheme="minorEastAsia"/>
          <w:color w:val="000000" w:themeColor="text1"/>
          <w:sz w:val="24"/>
          <w:highlight w:val="none"/>
          <w14:textFill>
            <w14:solidFill>
              <w14:schemeClr w14:val="tx1"/>
            </w14:solidFill>
          </w14:textFill>
        </w:rPr>
        <w:br w:type="page"/>
      </w:r>
    </w:p>
    <w:p w14:paraId="1645F898">
      <w:pPr>
        <w:widowControl/>
        <w:jc w:val="left"/>
        <w:rPr>
          <w:rFonts w:asciiTheme="minorEastAsia" w:hAnsiTheme="minorEastAsia" w:eastAsiaTheme="minorEastAsia"/>
          <w:color w:val="000000" w:themeColor="text1"/>
          <w:sz w:val="24"/>
          <w:highlight w:val="none"/>
          <w14:textFill>
            <w14:solidFill>
              <w14:schemeClr w14:val="tx1"/>
            </w14:solidFill>
          </w14:textFill>
        </w:rPr>
      </w:pPr>
    </w:p>
    <w:bookmarkEnd w:id="45"/>
    <w:p w14:paraId="155E9EFC">
      <w:pPr>
        <w:spacing w:line="360" w:lineRule="auto"/>
        <w:jc w:val="center"/>
        <w:outlineLvl w:val="0"/>
        <w:rPr>
          <w:rFonts w:asciiTheme="minorEastAsia" w:hAnsiTheme="minorEastAsia" w:eastAsiaTheme="minorEastAsia"/>
          <w:b/>
          <w:sz w:val="28"/>
          <w:highlight w:val="none"/>
        </w:rPr>
      </w:pPr>
      <w:bookmarkStart w:id="189" w:name="_Toc13555"/>
      <w:r>
        <w:rPr>
          <w:rFonts w:hint="eastAsia" w:asciiTheme="minorEastAsia" w:hAnsiTheme="minorEastAsia" w:eastAsiaTheme="minorEastAsia"/>
          <w:b/>
          <w:sz w:val="28"/>
          <w:highlight w:val="none"/>
        </w:rPr>
        <w:t>第六章  投标文件格式</w:t>
      </w:r>
      <w:bookmarkEnd w:id="189"/>
    </w:p>
    <w:p w14:paraId="6A05F320">
      <w:pPr>
        <w:spacing w:line="900" w:lineRule="exact"/>
        <w:jc w:val="center"/>
        <w:rPr>
          <w:rFonts w:asciiTheme="minorEastAsia" w:hAnsiTheme="minorEastAsia" w:eastAsiaTheme="minorEastAsia"/>
          <w:b/>
          <w:sz w:val="72"/>
          <w:highlight w:val="none"/>
        </w:rPr>
      </w:pPr>
    </w:p>
    <w:p w14:paraId="014CFAB4">
      <w:pPr>
        <w:spacing w:line="900" w:lineRule="exact"/>
        <w:jc w:val="center"/>
        <w:outlineLvl w:val="1"/>
        <w:rPr>
          <w:rFonts w:asciiTheme="minorEastAsia" w:hAnsiTheme="minorEastAsia" w:eastAsiaTheme="minorEastAsia"/>
          <w:b/>
          <w:sz w:val="72"/>
          <w:highlight w:val="none"/>
        </w:rPr>
      </w:pPr>
      <w:bookmarkStart w:id="190" w:name="_Toc5119"/>
      <w:r>
        <w:rPr>
          <w:rFonts w:hint="eastAsia" w:asciiTheme="minorEastAsia" w:hAnsiTheme="minorEastAsia" w:eastAsiaTheme="minorEastAsia"/>
          <w:b/>
          <w:sz w:val="72"/>
          <w:highlight w:val="none"/>
        </w:rPr>
        <w:t>投</w:t>
      </w:r>
      <w:bookmarkEnd w:id="190"/>
    </w:p>
    <w:p w14:paraId="013A8A56">
      <w:pPr>
        <w:spacing w:line="900" w:lineRule="exact"/>
        <w:jc w:val="center"/>
        <w:rPr>
          <w:rFonts w:asciiTheme="minorEastAsia" w:hAnsiTheme="minorEastAsia" w:eastAsiaTheme="minorEastAsia"/>
          <w:b/>
          <w:sz w:val="72"/>
          <w:highlight w:val="none"/>
        </w:rPr>
      </w:pPr>
    </w:p>
    <w:p w14:paraId="3DD9A889">
      <w:pPr>
        <w:spacing w:line="900" w:lineRule="exact"/>
        <w:jc w:val="center"/>
        <w:outlineLvl w:val="1"/>
        <w:rPr>
          <w:rFonts w:asciiTheme="minorEastAsia" w:hAnsiTheme="minorEastAsia" w:eastAsiaTheme="minorEastAsia"/>
          <w:b/>
          <w:sz w:val="72"/>
          <w:highlight w:val="none"/>
        </w:rPr>
      </w:pPr>
      <w:bookmarkStart w:id="191" w:name="_Toc4782"/>
      <w:r>
        <w:rPr>
          <w:rFonts w:hint="eastAsia" w:asciiTheme="minorEastAsia" w:hAnsiTheme="minorEastAsia" w:eastAsiaTheme="minorEastAsia"/>
          <w:b/>
          <w:sz w:val="72"/>
          <w:highlight w:val="none"/>
        </w:rPr>
        <w:t>标</w:t>
      </w:r>
      <w:bookmarkEnd w:id="191"/>
    </w:p>
    <w:p w14:paraId="622363F3">
      <w:pPr>
        <w:spacing w:line="900" w:lineRule="exact"/>
        <w:jc w:val="center"/>
        <w:rPr>
          <w:rFonts w:asciiTheme="minorEastAsia" w:hAnsiTheme="minorEastAsia" w:eastAsiaTheme="minorEastAsia"/>
          <w:b/>
          <w:sz w:val="72"/>
          <w:highlight w:val="none"/>
        </w:rPr>
      </w:pPr>
    </w:p>
    <w:p w14:paraId="02BE3A25">
      <w:pPr>
        <w:spacing w:line="900" w:lineRule="exact"/>
        <w:jc w:val="center"/>
        <w:outlineLvl w:val="1"/>
        <w:rPr>
          <w:rFonts w:asciiTheme="minorEastAsia" w:hAnsiTheme="minorEastAsia" w:eastAsiaTheme="minorEastAsia"/>
          <w:b/>
          <w:sz w:val="72"/>
          <w:highlight w:val="none"/>
        </w:rPr>
      </w:pPr>
      <w:bookmarkStart w:id="192" w:name="_Toc19607"/>
      <w:r>
        <w:rPr>
          <w:rFonts w:hint="eastAsia" w:asciiTheme="minorEastAsia" w:hAnsiTheme="minorEastAsia" w:eastAsiaTheme="minorEastAsia"/>
          <w:b/>
          <w:sz w:val="72"/>
          <w:highlight w:val="none"/>
        </w:rPr>
        <w:t>文</w:t>
      </w:r>
      <w:bookmarkEnd w:id="192"/>
    </w:p>
    <w:p w14:paraId="56C96140">
      <w:pPr>
        <w:spacing w:line="900" w:lineRule="exact"/>
        <w:jc w:val="center"/>
        <w:rPr>
          <w:rFonts w:asciiTheme="minorEastAsia" w:hAnsiTheme="minorEastAsia" w:eastAsiaTheme="minorEastAsia"/>
          <w:b/>
          <w:sz w:val="72"/>
          <w:highlight w:val="none"/>
        </w:rPr>
      </w:pPr>
    </w:p>
    <w:p w14:paraId="06A4BCDB">
      <w:pPr>
        <w:jc w:val="center"/>
        <w:outlineLvl w:val="1"/>
        <w:rPr>
          <w:rFonts w:asciiTheme="minorEastAsia" w:hAnsiTheme="minorEastAsia" w:eastAsiaTheme="minorEastAsia"/>
          <w:b/>
          <w:sz w:val="72"/>
          <w:highlight w:val="none"/>
        </w:rPr>
      </w:pPr>
      <w:bookmarkStart w:id="193" w:name="_Toc8365"/>
      <w:r>
        <w:rPr>
          <w:rFonts w:hint="eastAsia" w:asciiTheme="minorEastAsia" w:hAnsiTheme="minorEastAsia" w:eastAsiaTheme="minorEastAsia"/>
          <w:b/>
          <w:sz w:val="72"/>
          <w:highlight w:val="none"/>
        </w:rPr>
        <w:t>件</w:t>
      </w:r>
      <w:bookmarkEnd w:id="193"/>
    </w:p>
    <w:p w14:paraId="78EDD78D">
      <w:pPr>
        <w:spacing w:after="156" w:afterLines="50"/>
        <w:jc w:val="center"/>
        <w:rPr>
          <w:rFonts w:asciiTheme="minorEastAsia" w:hAnsiTheme="minorEastAsia" w:eastAsiaTheme="minorEastAsia"/>
          <w:b/>
          <w:sz w:val="72"/>
          <w:highlight w:val="none"/>
        </w:rPr>
      </w:pPr>
    </w:p>
    <w:p w14:paraId="57732CB0">
      <w:pPr>
        <w:spacing w:before="156" w:beforeLines="50" w:after="156" w:afterLines="50"/>
        <w:jc w:val="center"/>
        <w:rPr>
          <w:rFonts w:asciiTheme="minorEastAsia" w:hAnsiTheme="minorEastAsia" w:eastAsiaTheme="minorEastAsia"/>
          <w:b/>
          <w:sz w:val="32"/>
          <w:szCs w:val="32"/>
          <w:highlight w:val="none"/>
        </w:rPr>
      </w:pPr>
    </w:p>
    <w:p w14:paraId="78864E80">
      <w:pPr>
        <w:spacing w:after="156" w:afterLines="50" w:line="500" w:lineRule="exact"/>
        <w:jc w:val="center"/>
        <w:rPr>
          <w:rFonts w:asciiTheme="minorEastAsia" w:hAnsiTheme="minorEastAsia" w:eastAsiaTheme="minorEastAsia"/>
          <w:b/>
          <w:sz w:val="28"/>
          <w:szCs w:val="28"/>
          <w:highlight w:val="none"/>
        </w:rPr>
      </w:pPr>
    </w:p>
    <w:p w14:paraId="537E7A49">
      <w:pPr>
        <w:tabs>
          <w:tab w:val="left" w:pos="2410"/>
        </w:tabs>
        <w:autoSpaceDE w:val="0"/>
        <w:autoSpaceDN w:val="0"/>
        <w:adjustRightInd w:val="0"/>
        <w:snapToGrid w:val="0"/>
        <w:spacing w:line="360" w:lineRule="auto"/>
        <w:ind w:firstLine="1928" w:firstLineChars="600"/>
        <w:rPr>
          <w:rFonts w:ascii="宋体" w:hAnsi="宋体" w:eastAsia="宋体"/>
          <w:b/>
          <w:spacing w:val="20"/>
          <w:kern w:val="0"/>
          <w:sz w:val="32"/>
          <w:szCs w:val="32"/>
          <w:highlight w:val="none"/>
        </w:rPr>
      </w:pPr>
      <w:r>
        <w:rPr>
          <w:rFonts w:hint="eastAsia" w:asciiTheme="minorEastAsia" w:hAnsiTheme="minorEastAsia" w:eastAsiaTheme="minorEastAsia"/>
          <w:b/>
          <w:sz w:val="32"/>
          <w:highlight w:val="none"/>
        </w:rPr>
        <w:t>项目名称：</w:t>
      </w:r>
      <w:r>
        <w:rPr>
          <w:rFonts w:hint="eastAsia" w:asciiTheme="minorEastAsia" w:hAnsiTheme="minorEastAsia" w:eastAsiaTheme="minorEastAsia"/>
          <w:b/>
          <w:sz w:val="32"/>
          <w:highlight w:val="none"/>
          <w:u w:val="single"/>
        </w:rPr>
        <w:t xml:space="preserve">                  </w:t>
      </w:r>
    </w:p>
    <w:p w14:paraId="3626310A">
      <w:pPr>
        <w:tabs>
          <w:tab w:val="left" w:pos="2410"/>
        </w:tabs>
        <w:autoSpaceDE w:val="0"/>
        <w:autoSpaceDN w:val="0"/>
        <w:adjustRightInd w:val="0"/>
        <w:snapToGrid w:val="0"/>
        <w:spacing w:line="360" w:lineRule="auto"/>
        <w:ind w:firstLine="1928" w:firstLineChars="600"/>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项目编号：</w:t>
      </w:r>
      <w:r>
        <w:rPr>
          <w:rFonts w:hint="eastAsia" w:asciiTheme="minorEastAsia" w:hAnsiTheme="minorEastAsia" w:eastAsiaTheme="minorEastAsia"/>
          <w:b/>
          <w:sz w:val="32"/>
          <w:highlight w:val="none"/>
          <w:u w:val="single"/>
        </w:rPr>
        <w:t xml:space="preserve">                  </w:t>
      </w:r>
    </w:p>
    <w:p w14:paraId="72342366">
      <w:pPr>
        <w:tabs>
          <w:tab w:val="left" w:pos="2410"/>
        </w:tabs>
        <w:autoSpaceDE w:val="0"/>
        <w:autoSpaceDN w:val="0"/>
        <w:adjustRightInd w:val="0"/>
        <w:snapToGrid w:val="0"/>
        <w:spacing w:line="360" w:lineRule="auto"/>
        <w:ind w:firstLine="1928" w:firstLineChars="600"/>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投 标 人：</w:t>
      </w:r>
      <w:r>
        <w:rPr>
          <w:rFonts w:hint="eastAsia" w:asciiTheme="minorEastAsia" w:hAnsiTheme="minorEastAsia" w:eastAsiaTheme="minorEastAsia"/>
          <w:b/>
          <w:sz w:val="32"/>
          <w:highlight w:val="none"/>
          <w:u w:val="single"/>
        </w:rPr>
        <w:t xml:space="preserve">                  </w:t>
      </w:r>
    </w:p>
    <w:p w14:paraId="553EE6EE">
      <w:pPr>
        <w:spacing w:after="156" w:afterLines="50" w:line="500" w:lineRule="exact"/>
        <w:jc w:val="center"/>
        <w:outlineLvl w:val="1"/>
        <w:rPr>
          <w:rFonts w:asciiTheme="minorEastAsia" w:hAnsiTheme="minorEastAsia" w:eastAsiaTheme="minorEastAsia"/>
          <w:b/>
          <w:sz w:val="32"/>
          <w:highlight w:val="none"/>
        </w:rPr>
      </w:pPr>
      <w:r>
        <w:rPr>
          <w:rFonts w:hint="eastAsia" w:asciiTheme="minorEastAsia" w:hAnsiTheme="minorEastAsia" w:eastAsiaTheme="minorEastAsia"/>
          <w:b/>
          <w:sz w:val="32"/>
          <w:highlight w:val="none"/>
          <w:u w:val="single"/>
        </w:rPr>
        <w:t xml:space="preserve">  </w:t>
      </w:r>
      <w:bookmarkStart w:id="194" w:name="_Toc8037"/>
      <w:bookmarkStart w:id="195" w:name="_Toc19687"/>
      <w:r>
        <w:rPr>
          <w:rFonts w:hint="eastAsia" w:asciiTheme="minorEastAsia" w:hAnsiTheme="minorEastAsia" w:eastAsiaTheme="minorEastAsia"/>
          <w:b/>
          <w:sz w:val="32"/>
          <w:highlight w:val="none"/>
        </w:rPr>
        <w:t>年</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月</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日</w:t>
      </w:r>
      <w:bookmarkEnd w:id="194"/>
      <w:bookmarkEnd w:id="195"/>
    </w:p>
    <w:p w14:paraId="692E216F">
      <w:pPr>
        <w:widowControl/>
        <w:jc w:val="left"/>
        <w:rPr>
          <w:rFonts w:asciiTheme="minorEastAsia" w:hAnsiTheme="minorEastAsia" w:eastAsiaTheme="minorEastAsia"/>
          <w:b/>
          <w:sz w:val="28"/>
          <w:highlight w:val="none"/>
        </w:rPr>
      </w:pPr>
      <w:r>
        <w:rPr>
          <w:rFonts w:asciiTheme="minorEastAsia" w:hAnsiTheme="minorEastAsia" w:eastAsiaTheme="minorEastAsia"/>
          <w:b/>
          <w:sz w:val="28"/>
          <w:highlight w:val="none"/>
        </w:rPr>
        <w:br w:type="page"/>
      </w:r>
    </w:p>
    <w:p w14:paraId="29C58B86">
      <w:pPr>
        <w:spacing w:line="360" w:lineRule="auto"/>
        <w:jc w:val="center"/>
        <w:outlineLvl w:val="1"/>
        <w:rPr>
          <w:rFonts w:asciiTheme="minorEastAsia" w:hAnsiTheme="minorEastAsia" w:eastAsiaTheme="minorEastAsia"/>
          <w:b/>
          <w:sz w:val="24"/>
          <w:highlight w:val="none"/>
        </w:rPr>
      </w:pPr>
      <w:bookmarkStart w:id="196" w:name="_Toc28960"/>
      <w:bookmarkStart w:id="197" w:name="_Toc17986"/>
      <w:r>
        <w:rPr>
          <w:rFonts w:hint="eastAsia" w:asciiTheme="minorEastAsia" w:hAnsiTheme="minorEastAsia" w:eastAsiaTheme="minorEastAsia"/>
          <w:b/>
          <w:sz w:val="24"/>
          <w:highlight w:val="none"/>
        </w:rPr>
        <w:t>一、开标一览表</w:t>
      </w:r>
      <w:bookmarkEnd w:id="196"/>
      <w:bookmarkEnd w:id="197"/>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6B58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1A86523F">
            <w:pPr>
              <w:widowControl/>
              <w:spacing w:line="36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项目名称</w:t>
            </w:r>
          </w:p>
        </w:tc>
        <w:tc>
          <w:tcPr>
            <w:tcW w:w="3648" w:type="pct"/>
            <w:tcBorders>
              <w:top w:val="single" w:color="auto" w:sz="4" w:space="0"/>
              <w:bottom w:val="single" w:color="auto" w:sz="4" w:space="0"/>
              <w:right w:val="single" w:color="auto" w:sz="4" w:space="0"/>
            </w:tcBorders>
            <w:vAlign w:val="center"/>
          </w:tcPr>
          <w:p w14:paraId="2E0E0810">
            <w:pPr>
              <w:spacing w:line="360" w:lineRule="exact"/>
              <w:jc w:val="center"/>
              <w:rPr>
                <w:rFonts w:asciiTheme="minorEastAsia" w:hAnsiTheme="minorEastAsia" w:eastAsiaTheme="minorEastAsia"/>
                <w:bCs/>
                <w:sz w:val="24"/>
                <w:highlight w:val="none"/>
                <w:u w:val="single"/>
              </w:rPr>
            </w:pPr>
          </w:p>
        </w:tc>
      </w:tr>
      <w:tr w14:paraId="683B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07A3D64">
            <w:pPr>
              <w:spacing w:line="36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投标人全称</w:t>
            </w:r>
          </w:p>
        </w:tc>
        <w:tc>
          <w:tcPr>
            <w:tcW w:w="3648" w:type="pct"/>
            <w:tcBorders>
              <w:top w:val="nil"/>
            </w:tcBorders>
            <w:vAlign w:val="center"/>
          </w:tcPr>
          <w:p w14:paraId="5C9200F7">
            <w:pPr>
              <w:spacing w:line="360" w:lineRule="auto"/>
              <w:rPr>
                <w:rFonts w:asciiTheme="minorEastAsia" w:hAnsiTheme="minorEastAsia" w:eastAsiaTheme="minorEastAsia"/>
                <w:sz w:val="24"/>
                <w:highlight w:val="none"/>
              </w:rPr>
            </w:pPr>
          </w:p>
        </w:tc>
      </w:tr>
      <w:tr w14:paraId="1324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352" w:type="pct"/>
            <w:tcBorders>
              <w:top w:val="nil"/>
            </w:tcBorders>
            <w:vAlign w:val="center"/>
          </w:tcPr>
          <w:p w14:paraId="5C879203">
            <w:pPr>
              <w:spacing w:line="36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投标范围</w:t>
            </w:r>
          </w:p>
        </w:tc>
        <w:tc>
          <w:tcPr>
            <w:tcW w:w="3648" w:type="pct"/>
            <w:tcBorders>
              <w:top w:val="nil"/>
            </w:tcBorders>
            <w:vAlign w:val="center"/>
          </w:tcPr>
          <w:p w14:paraId="57F9544E">
            <w:pPr>
              <w:widowControl/>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szCs w:val="28"/>
                <w:highlight w:val="none"/>
              </w:rPr>
              <w:t>全部/第</w:t>
            </w:r>
            <w:r>
              <w:rPr>
                <w:rFonts w:hint="eastAsia" w:asciiTheme="minorEastAsia" w:hAnsiTheme="minorEastAsia" w:eastAsiaTheme="minorEastAsia"/>
                <w:sz w:val="24"/>
                <w:szCs w:val="28"/>
                <w:highlight w:val="none"/>
                <w:u w:val="single"/>
              </w:rPr>
              <w:t xml:space="preserve">   </w:t>
            </w:r>
            <w:r>
              <w:rPr>
                <w:rFonts w:hint="eastAsia" w:asciiTheme="minorEastAsia" w:hAnsiTheme="minorEastAsia" w:eastAsiaTheme="minorEastAsia"/>
                <w:sz w:val="24"/>
                <w:szCs w:val="28"/>
                <w:highlight w:val="none"/>
              </w:rPr>
              <w:t>包</w:t>
            </w:r>
          </w:p>
        </w:tc>
      </w:tr>
      <w:tr w14:paraId="08D3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BB90991">
            <w:pPr>
              <w:spacing w:line="36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投标报价（费率）</w:t>
            </w:r>
          </w:p>
        </w:tc>
        <w:tc>
          <w:tcPr>
            <w:tcW w:w="3648" w:type="pct"/>
            <w:tcBorders>
              <w:top w:val="nil"/>
            </w:tcBorders>
            <w:vAlign w:val="center"/>
          </w:tcPr>
          <w:p w14:paraId="34B0E727">
            <w:pPr>
              <w:snapToGrid w:val="0"/>
              <w:spacing w:line="360" w:lineRule="auto"/>
              <w:jc w:val="left"/>
              <w:rPr>
                <w:rFonts w:ascii="宋体" w:hAnsi="宋体" w:eastAsia="宋体" w:cs="宋体"/>
                <w:bCs/>
                <w:sz w:val="24"/>
                <w:szCs w:val="24"/>
                <w:highlight w:val="none"/>
                <w:u w:val="single"/>
              </w:rPr>
            </w:pPr>
            <w:r>
              <w:rPr>
                <w:rFonts w:hint="eastAsia" w:ascii="宋体" w:hAnsi="宋体" w:eastAsia="宋体" w:cs="宋体"/>
                <w:bCs/>
                <w:sz w:val="24"/>
                <w:szCs w:val="24"/>
                <w:highlight w:val="none"/>
              </w:rPr>
              <w:t>大写：</w:t>
            </w:r>
            <w:r>
              <w:rPr>
                <w:rFonts w:hint="eastAsia" w:ascii="宋体" w:hAnsi="宋体" w:eastAsia="宋体" w:cs="宋体"/>
                <w:bCs/>
                <w:sz w:val="24"/>
                <w:szCs w:val="24"/>
                <w:highlight w:val="none"/>
                <w:u w:val="single"/>
              </w:rPr>
              <w:t xml:space="preserve">                     </w:t>
            </w:r>
          </w:p>
          <w:p w14:paraId="01A0972B">
            <w:pPr>
              <w:spacing w:line="360" w:lineRule="auto"/>
              <w:ind w:right="-670"/>
              <w:rPr>
                <w:rFonts w:asciiTheme="minorEastAsia" w:hAnsiTheme="minorEastAsia" w:eastAsiaTheme="minorEastAsia"/>
                <w:sz w:val="24"/>
                <w:highlight w:val="none"/>
              </w:rPr>
            </w:pPr>
            <w:r>
              <w:rPr>
                <w:rFonts w:hint="eastAsia" w:ascii="宋体" w:hAnsi="宋体" w:eastAsia="宋体" w:cs="宋体"/>
                <w:bCs/>
                <w:sz w:val="24"/>
                <w:szCs w:val="24"/>
                <w:highlight w:val="none"/>
              </w:rPr>
              <w:t>小写：</w:t>
            </w:r>
            <w:r>
              <w:rPr>
                <w:rFonts w:hint="eastAsia" w:ascii="宋体" w:hAnsi="宋体" w:eastAsia="宋体" w:cs="宋体"/>
                <w:bCs/>
                <w:sz w:val="24"/>
                <w:szCs w:val="24"/>
                <w:highlight w:val="none"/>
                <w:u w:val="single"/>
              </w:rPr>
              <w:t xml:space="preserve">                     </w:t>
            </w:r>
          </w:p>
        </w:tc>
      </w:tr>
      <w:tr w14:paraId="6197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45E409F9">
            <w:pPr>
              <w:spacing w:line="360" w:lineRule="auto"/>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其他</w:t>
            </w:r>
          </w:p>
        </w:tc>
        <w:tc>
          <w:tcPr>
            <w:tcW w:w="3648" w:type="pct"/>
            <w:tcBorders>
              <w:top w:val="nil"/>
            </w:tcBorders>
            <w:vAlign w:val="center"/>
          </w:tcPr>
          <w:p w14:paraId="585F7853">
            <w:pPr>
              <w:spacing w:line="360" w:lineRule="auto"/>
              <w:jc w:val="left"/>
              <w:rPr>
                <w:rFonts w:asciiTheme="minorEastAsia" w:hAnsiTheme="minorEastAsia" w:eastAsiaTheme="minorEastAsia"/>
                <w:sz w:val="24"/>
                <w:szCs w:val="28"/>
                <w:highlight w:val="none"/>
              </w:rPr>
            </w:pPr>
          </w:p>
        </w:tc>
      </w:tr>
    </w:tbl>
    <w:p w14:paraId="1BC57370">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p>
    <w:p w14:paraId="00EA5394">
      <w:pPr>
        <w:tabs>
          <w:tab w:val="left" w:pos="630"/>
        </w:tabs>
        <w:spacing w:line="360" w:lineRule="auto"/>
        <w:ind w:firstLine="4800" w:firstLineChars="2000"/>
        <w:rPr>
          <w:rFonts w:asciiTheme="minorEastAsia" w:hAnsiTheme="minorEastAsia" w:eastAsiaTheme="minorEastAsia"/>
          <w:sz w:val="24"/>
          <w:highlight w:val="none"/>
        </w:rPr>
      </w:pPr>
      <w:r>
        <w:rPr>
          <w:rFonts w:hint="eastAsia" w:ascii="宋体" w:hAnsi="宋体" w:eastAsia="宋体"/>
          <w:sz w:val="24"/>
          <w:highlight w:val="none"/>
        </w:rPr>
        <w:t xml:space="preserve">日     </w:t>
      </w:r>
      <w:r>
        <w:rPr>
          <w:rFonts w:ascii="宋体" w:hAnsi="宋体" w:eastAsia="宋体"/>
          <w:sz w:val="24"/>
          <w:highlight w:val="none"/>
        </w:rPr>
        <w:t xml:space="preserve">    </w:t>
      </w:r>
      <w:r>
        <w:rPr>
          <w:rFonts w:hint="eastAsia" w:ascii="宋体" w:hAnsi="宋体" w:eastAsia="宋体"/>
          <w:sz w:val="24"/>
          <w:highlight w:val="none"/>
        </w:rPr>
        <w:t xml:space="preserve"> 期：</w:t>
      </w:r>
      <w:r>
        <w:rPr>
          <w:rFonts w:hint="eastAsia" w:ascii="宋体" w:hAnsi="宋体" w:eastAsia="宋体"/>
          <w:sz w:val="24"/>
          <w:highlight w:val="none"/>
          <w:u w:val="single"/>
        </w:rPr>
        <w:t xml:space="preserve">             </w:t>
      </w:r>
    </w:p>
    <w:p w14:paraId="3894F79C">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注：</w:t>
      </w:r>
    </w:p>
    <w:p w14:paraId="45EBE0E8">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此表用于开标唱标之用。</w:t>
      </w:r>
    </w:p>
    <w:p w14:paraId="0520034B">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表中投标报价即为优惠后报价，并作为评审及定标依据。任何有选择或有条件的投标报价，或者表中某一包别填写多个报价，均为无效报价。</w:t>
      </w:r>
    </w:p>
    <w:p w14:paraId="382B140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3.表中大写金额与小写金额不一致的，以大写金额为准。</w:t>
      </w:r>
      <w:r>
        <w:rPr>
          <w:rFonts w:asciiTheme="minorEastAsia" w:hAnsiTheme="minorEastAsia" w:eastAsiaTheme="minorEastAsia"/>
          <w:sz w:val="24"/>
          <w:highlight w:val="none"/>
        </w:rPr>
        <w:br w:type="page"/>
      </w:r>
    </w:p>
    <w:p w14:paraId="67AB80AB">
      <w:pPr>
        <w:spacing w:line="360" w:lineRule="auto"/>
        <w:jc w:val="center"/>
        <w:outlineLvl w:val="1"/>
        <w:rPr>
          <w:rFonts w:asciiTheme="minorEastAsia" w:hAnsiTheme="minorEastAsia" w:eastAsiaTheme="minorEastAsia"/>
          <w:b/>
          <w:sz w:val="24"/>
          <w:highlight w:val="none"/>
        </w:rPr>
      </w:pPr>
      <w:bookmarkStart w:id="198" w:name="_Toc6441"/>
      <w:bookmarkStart w:id="199" w:name="_Toc6120"/>
      <w:r>
        <w:rPr>
          <w:rFonts w:hint="eastAsia" w:asciiTheme="minorEastAsia" w:hAnsiTheme="minorEastAsia" w:eastAsiaTheme="minorEastAsia"/>
          <w:b/>
          <w:sz w:val="24"/>
          <w:highlight w:val="none"/>
        </w:rPr>
        <w:t>二、投标函</w:t>
      </w:r>
      <w:bookmarkEnd w:id="198"/>
      <w:bookmarkEnd w:id="199"/>
    </w:p>
    <w:p w14:paraId="39740832">
      <w:pPr>
        <w:pStyle w:val="13"/>
        <w:spacing w:line="360" w:lineRule="auto"/>
        <w:rPr>
          <w:rFonts w:ascii="宋体" w:hAnsi="宋体"/>
          <w:sz w:val="24"/>
          <w:highlight w:val="none"/>
          <w:u w:val="single"/>
        </w:rPr>
      </w:pPr>
      <w:r>
        <w:rPr>
          <w:rFonts w:hint="eastAsia" w:ascii="宋体" w:hAnsi="宋体"/>
          <w:sz w:val="24"/>
          <w:highlight w:val="none"/>
        </w:rPr>
        <w:t>致：</w:t>
      </w:r>
      <w:r>
        <w:rPr>
          <w:rFonts w:hint="eastAsia" w:ascii="宋体" w:hAnsi="宋体"/>
          <w:sz w:val="24"/>
          <w:highlight w:val="none"/>
          <w:u w:val="single"/>
        </w:rPr>
        <w:t>招标人</w:t>
      </w:r>
    </w:p>
    <w:p w14:paraId="336B4B7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根据贵方的招标公告和投标邀请，我方兹宣布同意如下：</w:t>
      </w:r>
    </w:p>
    <w:p w14:paraId="363B044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宋体" w:hAnsi="宋体" w:eastAsia="宋体" w:cs="宋体"/>
          <w:sz w:val="24"/>
          <w:szCs w:val="24"/>
          <w:highlight w:val="none"/>
        </w:rPr>
        <w:t>我方根据招标文件的规定，严格履行合同的责任和义务,并保证于买方要求的日期内完成，并通过买方验收。</w:t>
      </w:r>
    </w:p>
    <w:p w14:paraId="111ED3E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2.我方已详细审核全部招标文件，包括招标文件附件及更正公告（如有），我方正式认可并遵守本次招标文件，并对招标文件各项条款、规定及要求均无异议。</w:t>
      </w:r>
    </w:p>
    <w:p w14:paraId="66B532A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3.我方同意从招标文件规定的开标日期起遵循本招标文件，并在招标文件规定的投标有效期之前均具有约束力。</w:t>
      </w:r>
    </w:p>
    <w:p w14:paraId="5064ADF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4172EE9E">
      <w:pPr>
        <w:spacing w:line="360" w:lineRule="auto"/>
        <w:ind w:firstLine="4800" w:firstLineChars="2000"/>
        <w:rPr>
          <w:rFonts w:ascii="宋体" w:hAnsi="宋体" w:eastAsia="宋体"/>
          <w:sz w:val="24"/>
          <w:highlight w:val="none"/>
        </w:rPr>
      </w:pPr>
    </w:p>
    <w:p w14:paraId="7138EFF9">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p>
    <w:p w14:paraId="305B15B9">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315D3432">
      <w:pPr>
        <w:widowControl/>
        <w:jc w:val="left"/>
        <w:rPr>
          <w:rFonts w:ascii="宋体" w:hAnsi="宋体" w:eastAsia="宋体"/>
          <w:sz w:val="24"/>
          <w:highlight w:val="none"/>
          <w:u w:val="single"/>
        </w:rPr>
      </w:pPr>
      <w:r>
        <w:rPr>
          <w:rFonts w:ascii="宋体" w:hAnsi="宋体" w:eastAsia="宋体"/>
          <w:sz w:val="24"/>
          <w:highlight w:val="none"/>
          <w:u w:val="single"/>
        </w:rPr>
        <w:br w:type="page"/>
      </w:r>
    </w:p>
    <w:p w14:paraId="5FA841C5">
      <w:pPr>
        <w:spacing w:line="360" w:lineRule="auto"/>
        <w:jc w:val="center"/>
        <w:outlineLvl w:val="1"/>
        <w:rPr>
          <w:rFonts w:asciiTheme="minorEastAsia" w:hAnsiTheme="minorEastAsia" w:eastAsiaTheme="minorEastAsia"/>
          <w:b/>
          <w:sz w:val="24"/>
          <w:highlight w:val="none"/>
        </w:rPr>
      </w:pPr>
      <w:bookmarkStart w:id="200" w:name="_Toc18881"/>
      <w:r>
        <w:rPr>
          <w:rFonts w:hint="eastAsia" w:asciiTheme="minorEastAsia" w:hAnsiTheme="minorEastAsia" w:eastAsiaTheme="minorEastAsia"/>
          <w:b/>
          <w:sz w:val="24"/>
          <w:highlight w:val="none"/>
        </w:rPr>
        <w:t>三．投标人资格声明书</w:t>
      </w:r>
      <w:bookmarkEnd w:id="200"/>
      <w:r>
        <w:rPr>
          <w:rFonts w:hint="eastAsia" w:asciiTheme="minorEastAsia" w:hAnsiTheme="minorEastAsia" w:eastAsiaTheme="minorEastAsia"/>
          <w:b/>
          <w:sz w:val="24"/>
          <w:highlight w:val="none"/>
        </w:rPr>
        <w:t xml:space="preserve"> </w:t>
      </w:r>
    </w:p>
    <w:p w14:paraId="54F01A13">
      <w:pPr>
        <w:pStyle w:val="13"/>
        <w:spacing w:line="360" w:lineRule="auto"/>
        <w:rPr>
          <w:rFonts w:asciiTheme="minorEastAsia" w:hAnsiTheme="minorEastAsia" w:cstheme="minorEastAsia"/>
          <w:sz w:val="24"/>
          <w:szCs w:val="24"/>
          <w:highlight w:val="none"/>
        </w:rPr>
      </w:pPr>
      <w:r>
        <w:rPr>
          <w:rFonts w:hint="eastAsia" w:ascii="宋体" w:hAnsi="宋体"/>
          <w:sz w:val="24"/>
          <w:highlight w:val="none"/>
        </w:rPr>
        <w:t>致：</w:t>
      </w:r>
      <w:r>
        <w:rPr>
          <w:rFonts w:hint="eastAsia" w:ascii="宋体" w:hAnsi="宋体"/>
          <w:sz w:val="24"/>
          <w:highlight w:val="none"/>
          <w:u w:val="single"/>
        </w:rPr>
        <w:t>招标人</w:t>
      </w:r>
    </w:p>
    <w:p w14:paraId="1A25403E">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在参与本次项目投标中，我单位承诺：</w:t>
      </w:r>
    </w:p>
    <w:p w14:paraId="221E4F3C">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（一）具有良好的商业信誉和健全的财务会计制度；</w:t>
      </w:r>
    </w:p>
    <w:p w14:paraId="7FD279EC">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（二）具有履行合同所必需的设备和专业技术能力；</w:t>
      </w:r>
    </w:p>
    <w:p w14:paraId="489C5DBA">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（三）有依法缴纳税收和社会保障资金的良好记录；</w:t>
      </w:r>
    </w:p>
    <w:p w14:paraId="31C48050">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A7B4B70">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 xml:space="preserve">（五）我单位不属于政府采购法律、行政法规规定的公益一类事业单位、或使用事业编制且由财政拨款保障的群团组织（仅适用于政府购买服务项目）； </w:t>
      </w:r>
    </w:p>
    <w:p w14:paraId="4709E160">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（六）我单位不存在为采购项目提供整体设计、规范编制或者项目管理、监理、检测等服务后，再参加该采购项目的其他采购活动的情形（单一来源采购项目除外）；</w:t>
      </w:r>
    </w:p>
    <w:p w14:paraId="611809F9">
      <w:pPr>
        <w:widowControl/>
        <w:spacing w:line="360" w:lineRule="auto"/>
        <w:ind w:firstLine="480" w:firstLineChars="200"/>
        <w:jc w:val="left"/>
        <w:rPr>
          <w:rFonts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（七）与我单位存在单位负责人为同一人或者存在直接控股、管理关系的其他法人单位信息如下（如有，不论其是否参加同一合同项下的政府采购活动均须填写）：</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31C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2437716">
            <w:pPr>
              <w:widowControl/>
              <w:spacing w:before="156" w:beforeLines="50" w:after="10"/>
              <w:jc w:val="center"/>
              <w:rPr>
                <w:rFonts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序号</w:t>
            </w:r>
          </w:p>
        </w:tc>
        <w:tc>
          <w:tcPr>
            <w:tcW w:w="2841" w:type="dxa"/>
          </w:tcPr>
          <w:p w14:paraId="213C7AD5">
            <w:pPr>
              <w:pStyle w:val="8"/>
              <w:spacing w:before="156" w:beforeLines="50" w:after="10"/>
              <w:jc w:val="center"/>
              <w:rPr>
                <w:rFonts w:asciiTheme="minorEastAsia" w:hAnsiTheme="minorEastAsia" w:eastAsiaTheme="minorEastAsia" w:cstheme="minorEastAsia"/>
                <w:color w:val="000000"/>
                <w:kern w:val="0"/>
                <w:sz w:val="24"/>
                <w:highlight w:val="none"/>
                <w:lang w:val="en-US" w:bidi="ar"/>
              </w:rPr>
            </w:pPr>
            <w:r>
              <w:rPr>
                <w:rFonts w:hint="eastAsia" w:asciiTheme="minorEastAsia" w:hAnsiTheme="minorEastAsia" w:eastAsiaTheme="minorEastAsia" w:cstheme="minorEastAsia"/>
                <w:color w:val="000000"/>
                <w:kern w:val="0"/>
                <w:sz w:val="24"/>
                <w:highlight w:val="none"/>
                <w:lang w:val="en-US" w:bidi="ar"/>
              </w:rPr>
              <w:t>单位名称</w:t>
            </w:r>
          </w:p>
        </w:tc>
        <w:tc>
          <w:tcPr>
            <w:tcW w:w="2841" w:type="dxa"/>
          </w:tcPr>
          <w:p w14:paraId="28411054">
            <w:pPr>
              <w:pStyle w:val="8"/>
              <w:spacing w:before="156" w:beforeLines="50" w:after="10"/>
              <w:jc w:val="center"/>
              <w:rPr>
                <w:rFonts w:asciiTheme="minorEastAsia" w:hAnsiTheme="minorEastAsia" w:eastAsiaTheme="minorEastAsia" w:cstheme="minorEastAsia"/>
                <w:color w:val="000000"/>
                <w:kern w:val="0"/>
                <w:sz w:val="24"/>
                <w:highlight w:val="none"/>
                <w:lang w:val="en-US" w:bidi="ar"/>
              </w:rPr>
            </w:pPr>
            <w:r>
              <w:rPr>
                <w:rFonts w:hint="eastAsia" w:asciiTheme="minorEastAsia" w:hAnsiTheme="minorEastAsia" w:eastAsiaTheme="minorEastAsia" w:cstheme="minorEastAsia"/>
                <w:color w:val="000000"/>
                <w:kern w:val="0"/>
                <w:sz w:val="24"/>
                <w:highlight w:val="none"/>
                <w:lang w:val="en-US" w:bidi="ar"/>
              </w:rPr>
              <w:t>相互关系</w:t>
            </w:r>
          </w:p>
        </w:tc>
      </w:tr>
      <w:tr w14:paraId="69FB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88E11E7">
            <w:pPr>
              <w:pStyle w:val="8"/>
              <w:spacing w:before="156" w:beforeLines="50" w:after="10"/>
              <w:jc w:val="center"/>
              <w:rPr>
                <w:rFonts w:asciiTheme="minorEastAsia" w:hAnsiTheme="minorEastAsia" w:eastAsiaTheme="minorEastAsia" w:cstheme="minorEastAsia"/>
                <w:color w:val="000000"/>
                <w:kern w:val="0"/>
                <w:sz w:val="24"/>
                <w:highlight w:val="none"/>
                <w:lang w:val="en-US" w:bidi="ar"/>
              </w:rPr>
            </w:pPr>
            <w:r>
              <w:rPr>
                <w:rFonts w:hint="eastAsia" w:asciiTheme="minorEastAsia" w:hAnsiTheme="minorEastAsia" w:eastAsiaTheme="minorEastAsia" w:cstheme="minorEastAsia"/>
                <w:color w:val="000000"/>
                <w:kern w:val="0"/>
                <w:sz w:val="24"/>
                <w:highlight w:val="none"/>
                <w:lang w:val="en-US" w:bidi="ar"/>
              </w:rPr>
              <w:t>1</w:t>
            </w:r>
          </w:p>
        </w:tc>
        <w:tc>
          <w:tcPr>
            <w:tcW w:w="2841" w:type="dxa"/>
          </w:tcPr>
          <w:p w14:paraId="0D519D0B">
            <w:pPr>
              <w:pStyle w:val="8"/>
              <w:spacing w:before="156" w:beforeLines="50" w:after="10"/>
              <w:jc w:val="center"/>
              <w:rPr>
                <w:rFonts w:asciiTheme="minorEastAsia" w:hAnsiTheme="minorEastAsia" w:eastAsiaTheme="minorEastAsia" w:cstheme="minorEastAsia"/>
                <w:color w:val="000000"/>
                <w:kern w:val="0"/>
                <w:sz w:val="24"/>
                <w:highlight w:val="none"/>
                <w:lang w:val="en-US" w:bidi="ar"/>
              </w:rPr>
            </w:pPr>
          </w:p>
        </w:tc>
        <w:tc>
          <w:tcPr>
            <w:tcW w:w="2841" w:type="dxa"/>
          </w:tcPr>
          <w:p w14:paraId="0F026579">
            <w:pPr>
              <w:pStyle w:val="8"/>
              <w:spacing w:before="156" w:beforeLines="50" w:after="10"/>
              <w:jc w:val="center"/>
              <w:rPr>
                <w:rFonts w:asciiTheme="minorEastAsia" w:hAnsiTheme="minorEastAsia" w:eastAsiaTheme="minorEastAsia" w:cstheme="minorEastAsia"/>
                <w:color w:val="000000"/>
                <w:kern w:val="0"/>
                <w:sz w:val="24"/>
                <w:highlight w:val="none"/>
                <w:lang w:val="en-US" w:bidi="ar"/>
              </w:rPr>
            </w:pPr>
          </w:p>
        </w:tc>
      </w:tr>
      <w:tr w14:paraId="7A1A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1AEBE80">
            <w:pPr>
              <w:pStyle w:val="8"/>
              <w:spacing w:before="156" w:beforeLines="50" w:after="10"/>
              <w:jc w:val="center"/>
              <w:rPr>
                <w:rFonts w:asciiTheme="minorEastAsia" w:hAnsiTheme="minorEastAsia" w:eastAsiaTheme="minorEastAsia" w:cstheme="minorEastAsia"/>
                <w:color w:val="000000"/>
                <w:kern w:val="0"/>
                <w:sz w:val="24"/>
                <w:highlight w:val="none"/>
                <w:lang w:val="en-US" w:bidi="ar"/>
              </w:rPr>
            </w:pPr>
            <w:r>
              <w:rPr>
                <w:rFonts w:hint="eastAsia" w:asciiTheme="minorEastAsia" w:hAnsiTheme="minorEastAsia" w:eastAsiaTheme="minorEastAsia" w:cstheme="minorEastAsia"/>
                <w:color w:val="000000"/>
                <w:kern w:val="0"/>
                <w:sz w:val="24"/>
                <w:highlight w:val="none"/>
                <w:lang w:val="en-US" w:bidi="ar"/>
              </w:rPr>
              <w:t>2</w:t>
            </w:r>
          </w:p>
        </w:tc>
        <w:tc>
          <w:tcPr>
            <w:tcW w:w="2841" w:type="dxa"/>
          </w:tcPr>
          <w:p w14:paraId="57CF3813">
            <w:pPr>
              <w:pStyle w:val="8"/>
              <w:spacing w:before="156" w:beforeLines="50" w:after="10"/>
              <w:jc w:val="center"/>
              <w:rPr>
                <w:rFonts w:asciiTheme="minorEastAsia" w:hAnsiTheme="minorEastAsia" w:eastAsiaTheme="minorEastAsia" w:cstheme="minorEastAsia"/>
                <w:color w:val="000000"/>
                <w:kern w:val="0"/>
                <w:sz w:val="24"/>
                <w:highlight w:val="none"/>
                <w:lang w:val="en-US" w:bidi="ar"/>
              </w:rPr>
            </w:pPr>
          </w:p>
        </w:tc>
        <w:tc>
          <w:tcPr>
            <w:tcW w:w="2841" w:type="dxa"/>
          </w:tcPr>
          <w:p w14:paraId="43A7093E">
            <w:pPr>
              <w:pStyle w:val="8"/>
              <w:spacing w:before="156" w:beforeLines="50" w:after="10"/>
              <w:jc w:val="center"/>
              <w:rPr>
                <w:rFonts w:asciiTheme="minorEastAsia" w:hAnsiTheme="minorEastAsia" w:eastAsiaTheme="minorEastAsia" w:cstheme="minorEastAsia"/>
                <w:color w:val="000000"/>
                <w:kern w:val="0"/>
                <w:sz w:val="24"/>
                <w:highlight w:val="none"/>
                <w:lang w:val="en-US" w:bidi="ar"/>
              </w:rPr>
            </w:pPr>
          </w:p>
        </w:tc>
      </w:tr>
    </w:tbl>
    <w:p w14:paraId="632BFC3D">
      <w:pPr>
        <w:spacing w:line="360" w:lineRule="auto"/>
        <w:ind w:firstLine="435"/>
        <w:rPr>
          <w:rFonts w:ascii="宋体" w:hAnsi="宋体" w:eastAsia="宋体"/>
          <w:sz w:val="24"/>
          <w:highlight w:val="none"/>
        </w:rPr>
      </w:pPr>
      <w:r>
        <w:rPr>
          <w:rFonts w:hint="eastAsia" w:ascii="宋体" w:hAnsi="宋体" w:eastAsia="宋体"/>
          <w:sz w:val="24"/>
          <w:highlight w:val="none"/>
        </w:rPr>
        <w:t>本单位对</w:t>
      </w:r>
      <w:r>
        <w:rPr>
          <w:rFonts w:hint="eastAsia" w:asciiTheme="minorEastAsia" w:hAnsiTheme="minorEastAsia" w:eastAsiaTheme="minorEastAsia"/>
          <w:sz w:val="24"/>
          <w:highlight w:val="none"/>
        </w:rPr>
        <w:t>上述</w:t>
      </w:r>
      <w:r>
        <w:rPr>
          <w:rFonts w:hint="eastAsia" w:ascii="宋体" w:hAnsi="宋体" w:eastAsia="宋体"/>
          <w:sz w:val="24"/>
          <w:highlight w:val="none"/>
        </w:rPr>
        <w:t>声明的真实性负责。如有虚假，将依法承担相应责任。</w:t>
      </w:r>
    </w:p>
    <w:p w14:paraId="29789D55">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p>
    <w:p w14:paraId="1338924F">
      <w:pPr>
        <w:tabs>
          <w:tab w:val="left" w:pos="630"/>
        </w:tabs>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 xml:space="preserve">日     </w:t>
      </w:r>
      <w:r>
        <w:rPr>
          <w:rFonts w:ascii="宋体" w:hAnsi="宋体" w:eastAsia="宋体"/>
          <w:sz w:val="24"/>
          <w:highlight w:val="none"/>
        </w:rPr>
        <w:t xml:space="preserve">    </w:t>
      </w:r>
      <w:r>
        <w:rPr>
          <w:rFonts w:hint="eastAsia" w:ascii="宋体" w:hAnsi="宋体" w:eastAsia="宋体"/>
          <w:sz w:val="24"/>
          <w:highlight w:val="none"/>
        </w:rPr>
        <w:t xml:space="preserve"> 期：</w:t>
      </w:r>
      <w:r>
        <w:rPr>
          <w:rFonts w:hint="eastAsia" w:ascii="宋体" w:hAnsi="宋体" w:eastAsia="宋体"/>
          <w:sz w:val="24"/>
          <w:highlight w:val="none"/>
          <w:u w:val="single"/>
        </w:rPr>
        <w:t xml:space="preserve">             </w:t>
      </w:r>
    </w:p>
    <w:p w14:paraId="7C519EA9">
      <w:pPr>
        <w:rPr>
          <w:rFonts w:asciiTheme="minorEastAsia" w:hAnsiTheme="minorEastAsia" w:eastAsiaTheme="minorEastAsia"/>
          <w:b/>
          <w:sz w:val="24"/>
          <w:highlight w:val="none"/>
        </w:rPr>
      </w:pPr>
      <w:bookmarkStart w:id="201" w:name="_Toc11607"/>
      <w:r>
        <w:rPr>
          <w:rFonts w:hint="eastAsia" w:asciiTheme="minorEastAsia" w:hAnsiTheme="minorEastAsia" w:eastAsiaTheme="minorEastAsia"/>
          <w:b/>
          <w:sz w:val="24"/>
          <w:highlight w:val="none"/>
        </w:rPr>
        <w:br w:type="page"/>
      </w:r>
    </w:p>
    <w:p w14:paraId="6240C1EA">
      <w:pPr>
        <w:spacing w:line="360" w:lineRule="auto"/>
        <w:jc w:val="center"/>
        <w:outlineLvl w:val="1"/>
        <w:rPr>
          <w:rFonts w:asciiTheme="minorEastAsia" w:hAnsiTheme="minorEastAsia" w:eastAsiaTheme="minorEastAsia"/>
          <w:b/>
          <w:sz w:val="24"/>
          <w:highlight w:val="none"/>
        </w:rPr>
      </w:pPr>
      <w:bookmarkStart w:id="202" w:name="_Toc24583"/>
      <w:r>
        <w:rPr>
          <w:rFonts w:hint="eastAsia" w:asciiTheme="minorEastAsia" w:hAnsiTheme="minorEastAsia" w:eastAsiaTheme="minorEastAsia"/>
          <w:b/>
          <w:sz w:val="24"/>
          <w:highlight w:val="none"/>
        </w:rPr>
        <w:t>四、授权书</w:t>
      </w:r>
      <w:bookmarkEnd w:id="201"/>
      <w:bookmarkEnd w:id="202"/>
    </w:p>
    <w:p w14:paraId="695C060C">
      <w:pPr>
        <w:pStyle w:val="12"/>
        <w:snapToGrid w:val="0"/>
        <w:spacing w:line="360" w:lineRule="auto"/>
        <w:ind w:firstLine="480" w:firstLineChars="200"/>
        <w:jc w:val="left"/>
        <w:rPr>
          <w:rFonts w:hAnsi="宋体" w:eastAsia="宋体"/>
          <w:sz w:val="24"/>
          <w:szCs w:val="28"/>
          <w:highlight w:val="none"/>
        </w:rPr>
      </w:pPr>
    </w:p>
    <w:p w14:paraId="0A60E49C">
      <w:pPr>
        <w:spacing w:line="360" w:lineRule="auto"/>
        <w:ind w:firstLine="435"/>
        <w:rPr>
          <w:rFonts w:hAnsi="宋体" w:eastAsia="宋体"/>
          <w:sz w:val="24"/>
          <w:szCs w:val="28"/>
          <w:highlight w:val="none"/>
        </w:rPr>
      </w:pPr>
      <w:r>
        <w:rPr>
          <w:rFonts w:hint="eastAsia" w:hAnsi="宋体" w:eastAsia="宋体"/>
          <w:sz w:val="24"/>
          <w:szCs w:val="28"/>
          <w:highlight w:val="none"/>
        </w:rPr>
        <w:t>本</w:t>
      </w:r>
      <w:r>
        <w:rPr>
          <w:rFonts w:hint="eastAsia" w:asciiTheme="minorEastAsia" w:hAnsiTheme="minorEastAsia" w:eastAsiaTheme="minorEastAsia"/>
          <w:sz w:val="24"/>
          <w:highlight w:val="none"/>
        </w:rPr>
        <w:t>授权</w:t>
      </w:r>
      <w:r>
        <w:rPr>
          <w:rFonts w:hint="eastAsia" w:hAnsi="宋体" w:eastAsia="宋体"/>
          <w:sz w:val="24"/>
          <w:szCs w:val="28"/>
          <w:highlight w:val="none"/>
        </w:rPr>
        <w:t>书声明：</w:t>
      </w:r>
      <w:r>
        <w:rPr>
          <w:rFonts w:hint="eastAsia" w:hAnsi="宋体" w:eastAsia="宋体"/>
          <w:sz w:val="24"/>
          <w:szCs w:val="28"/>
          <w:highlight w:val="none"/>
          <w:u w:val="single"/>
        </w:rPr>
        <w:t xml:space="preserve">           </w:t>
      </w:r>
      <w:r>
        <w:rPr>
          <w:rFonts w:hint="eastAsia" w:hAnsi="宋体" w:eastAsia="宋体"/>
          <w:sz w:val="24"/>
          <w:szCs w:val="28"/>
          <w:highlight w:val="none"/>
        </w:rPr>
        <w:t>（投标人名称）授权</w:t>
      </w:r>
      <w:r>
        <w:rPr>
          <w:rFonts w:hint="eastAsia" w:hAnsi="宋体" w:eastAsia="宋体"/>
          <w:sz w:val="24"/>
          <w:szCs w:val="28"/>
          <w:highlight w:val="none"/>
          <w:u w:val="single"/>
        </w:rPr>
        <w:t xml:space="preserve">       </w:t>
      </w:r>
      <w:r>
        <w:rPr>
          <w:rFonts w:hint="eastAsia" w:hAnsi="宋体" w:eastAsia="宋体"/>
          <w:sz w:val="24"/>
          <w:szCs w:val="28"/>
          <w:highlight w:val="none"/>
        </w:rPr>
        <w:t>（投标人授权代表姓名）代表我方参加本项目</w:t>
      </w:r>
      <w:r>
        <w:rPr>
          <w:rFonts w:hint="eastAsia" w:hAnsi="宋体" w:eastAsia="宋体"/>
          <w:bCs/>
          <w:sz w:val="24"/>
          <w:szCs w:val="28"/>
          <w:highlight w:val="none"/>
        </w:rPr>
        <w:t>采购活动</w:t>
      </w:r>
      <w:r>
        <w:rPr>
          <w:rFonts w:hint="eastAsia" w:hAnsi="宋体" w:eastAsia="宋体"/>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422EFDE1">
      <w:pPr>
        <w:spacing w:line="360" w:lineRule="auto"/>
        <w:ind w:firstLine="435"/>
        <w:rPr>
          <w:rFonts w:hAnsi="宋体" w:eastAsia="宋体"/>
          <w:sz w:val="24"/>
          <w:szCs w:val="28"/>
          <w:highlight w:val="none"/>
        </w:rPr>
      </w:pPr>
      <w:r>
        <w:rPr>
          <w:rFonts w:hint="eastAsia" w:hAnsi="宋体" w:eastAsia="宋体"/>
          <w:sz w:val="24"/>
          <w:szCs w:val="28"/>
          <w:highlight w:val="none"/>
        </w:rPr>
        <w:t>本授权书自出具之日起生效。</w:t>
      </w:r>
    </w:p>
    <w:p w14:paraId="1FCE65F9">
      <w:pPr>
        <w:spacing w:line="360" w:lineRule="auto"/>
        <w:ind w:firstLine="435"/>
        <w:rPr>
          <w:rFonts w:hAnsi="宋体" w:eastAsia="宋体"/>
          <w:sz w:val="24"/>
          <w:highlight w:val="none"/>
        </w:rPr>
      </w:pPr>
      <w:r>
        <w:rPr>
          <w:rFonts w:hint="eastAsia" w:hAnsi="宋体" w:eastAsia="宋体"/>
          <w:sz w:val="24"/>
          <w:szCs w:val="28"/>
          <w:highlight w:val="none"/>
        </w:rPr>
        <w:t>授权</w:t>
      </w:r>
      <w:r>
        <w:rPr>
          <w:rFonts w:hint="eastAsia" w:asciiTheme="minorEastAsia" w:hAnsiTheme="minorEastAsia" w:eastAsiaTheme="minorEastAsia"/>
          <w:sz w:val="24"/>
          <w:highlight w:val="none"/>
        </w:rPr>
        <w:t>代表</w:t>
      </w:r>
      <w:r>
        <w:rPr>
          <w:rFonts w:hint="eastAsia" w:hAnsi="宋体" w:eastAsia="宋体"/>
          <w:sz w:val="24"/>
          <w:highlight w:val="none"/>
        </w:rPr>
        <w:t>身份证明扫描件：</w:t>
      </w:r>
    </w:p>
    <w:p w14:paraId="4C2AD500">
      <w:pPr>
        <w:spacing w:line="360" w:lineRule="auto"/>
        <w:ind w:firstLine="435"/>
        <w:rPr>
          <w:rFonts w:asciiTheme="minorEastAsia" w:hAnsiTheme="minorEastAsia" w:eastAsiaTheme="minorEastAsia"/>
          <w:sz w:val="24"/>
          <w:highlight w:val="none"/>
        </w:rPr>
      </w:pPr>
    </w:p>
    <w:p w14:paraId="223A4F26">
      <w:pPr>
        <w:spacing w:line="360" w:lineRule="auto"/>
        <w:ind w:firstLine="435"/>
        <w:rPr>
          <w:rFonts w:asciiTheme="minorEastAsia" w:hAnsiTheme="minorEastAsia" w:eastAsiaTheme="minorEastAsia"/>
          <w:sz w:val="24"/>
          <w:highlight w:val="none"/>
        </w:rPr>
      </w:pPr>
    </w:p>
    <w:p w14:paraId="31FB18BB">
      <w:pPr>
        <w:spacing w:line="360" w:lineRule="auto"/>
        <w:ind w:firstLine="435"/>
        <w:rPr>
          <w:rFonts w:asciiTheme="minorEastAsia" w:hAnsiTheme="minorEastAsia" w:eastAsiaTheme="minorEastAsia"/>
          <w:sz w:val="24"/>
          <w:highlight w:val="none"/>
        </w:rPr>
      </w:pPr>
    </w:p>
    <w:p w14:paraId="08F0930E">
      <w:pPr>
        <w:spacing w:line="360" w:lineRule="auto"/>
        <w:ind w:firstLine="435"/>
        <w:rPr>
          <w:rFonts w:hAnsi="宋体" w:eastAsia="宋体"/>
          <w:sz w:val="24"/>
          <w:szCs w:val="28"/>
          <w:highlight w:val="none"/>
          <w:u w:val="single"/>
          <w:lang w:val="zh-CN"/>
        </w:rPr>
      </w:pPr>
      <w:r>
        <w:rPr>
          <w:rFonts w:hint="eastAsia" w:hAnsi="宋体" w:eastAsia="宋体"/>
          <w:sz w:val="24"/>
          <w:szCs w:val="28"/>
          <w:highlight w:val="none"/>
        </w:rPr>
        <w:t>授权代表联系方式：</w:t>
      </w:r>
      <w:r>
        <w:rPr>
          <w:rFonts w:hint="eastAsia" w:hAnsi="宋体" w:eastAsia="宋体"/>
          <w:sz w:val="24"/>
          <w:szCs w:val="28"/>
          <w:highlight w:val="none"/>
          <w:u w:val="single"/>
        </w:rPr>
        <w:t xml:space="preserve">          （请填写手机号码）</w:t>
      </w:r>
    </w:p>
    <w:p w14:paraId="104640C1">
      <w:pPr>
        <w:spacing w:line="360" w:lineRule="auto"/>
        <w:ind w:firstLine="435"/>
        <w:rPr>
          <w:rFonts w:hAnsi="宋体" w:eastAsia="宋体"/>
          <w:sz w:val="24"/>
          <w:szCs w:val="28"/>
          <w:highlight w:val="none"/>
          <w:lang w:val="zh-CN"/>
        </w:rPr>
      </w:pPr>
    </w:p>
    <w:p w14:paraId="722ED638">
      <w:pPr>
        <w:spacing w:line="360" w:lineRule="auto"/>
        <w:ind w:firstLine="435"/>
        <w:rPr>
          <w:rFonts w:ascii="宋体" w:hAnsi="宋体" w:eastAsia="宋体"/>
          <w:sz w:val="24"/>
          <w:szCs w:val="28"/>
          <w:highlight w:val="none"/>
        </w:rPr>
      </w:pPr>
      <w:r>
        <w:rPr>
          <w:rFonts w:hint="eastAsia" w:asciiTheme="minorEastAsia" w:hAnsiTheme="minorEastAsia" w:eastAsiaTheme="minorEastAsia"/>
          <w:sz w:val="24"/>
          <w:highlight w:val="none"/>
        </w:rPr>
        <w:t>特此</w:t>
      </w:r>
      <w:r>
        <w:rPr>
          <w:rFonts w:hint="eastAsia" w:ascii="宋体" w:hAnsi="宋体" w:eastAsia="宋体"/>
          <w:sz w:val="24"/>
          <w:szCs w:val="28"/>
          <w:highlight w:val="none"/>
        </w:rPr>
        <w:t>声明。</w:t>
      </w:r>
    </w:p>
    <w:p w14:paraId="09DD25B2">
      <w:pPr>
        <w:spacing w:line="360" w:lineRule="auto"/>
        <w:rPr>
          <w:rFonts w:ascii="宋体" w:hAnsi="宋体" w:eastAsia="宋体"/>
          <w:sz w:val="24"/>
          <w:szCs w:val="28"/>
          <w:highlight w:val="none"/>
        </w:rPr>
      </w:pPr>
    </w:p>
    <w:p w14:paraId="03FBE12E">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p>
    <w:p w14:paraId="70FA4812">
      <w:pPr>
        <w:tabs>
          <w:tab w:val="left" w:pos="630"/>
        </w:tabs>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 xml:space="preserve">日     </w:t>
      </w:r>
      <w:r>
        <w:rPr>
          <w:rFonts w:ascii="宋体" w:hAnsi="宋体" w:eastAsia="宋体"/>
          <w:sz w:val="24"/>
          <w:highlight w:val="none"/>
        </w:rPr>
        <w:t xml:space="preserve">    </w:t>
      </w:r>
      <w:r>
        <w:rPr>
          <w:rFonts w:hint="eastAsia" w:ascii="宋体" w:hAnsi="宋体" w:eastAsia="宋体"/>
          <w:sz w:val="24"/>
          <w:highlight w:val="none"/>
        </w:rPr>
        <w:t xml:space="preserve"> 期：</w:t>
      </w:r>
      <w:r>
        <w:rPr>
          <w:rFonts w:hint="eastAsia" w:ascii="宋体" w:hAnsi="宋体" w:eastAsia="宋体"/>
          <w:sz w:val="24"/>
          <w:highlight w:val="none"/>
          <w:u w:val="single"/>
        </w:rPr>
        <w:t xml:space="preserve">             </w:t>
      </w:r>
    </w:p>
    <w:p w14:paraId="4CABDABE">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注：</w:t>
      </w:r>
    </w:p>
    <w:p w14:paraId="77F37CC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1.本项目只允许有唯一的投标人授权代表，提供身份证明扫描件；</w:t>
      </w:r>
    </w:p>
    <w:p w14:paraId="530671E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2.法定代表人参加投标的无需提供授权书，提供身份证明扫描件。</w:t>
      </w:r>
    </w:p>
    <w:p w14:paraId="394D5B5A">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67B665C2">
      <w:pPr>
        <w:spacing w:line="360" w:lineRule="auto"/>
        <w:jc w:val="center"/>
        <w:outlineLvl w:val="1"/>
        <w:rPr>
          <w:rFonts w:asciiTheme="minorEastAsia" w:hAnsiTheme="minorEastAsia" w:eastAsiaTheme="minorEastAsia"/>
          <w:b/>
          <w:sz w:val="24"/>
          <w:highlight w:val="none"/>
        </w:rPr>
      </w:pPr>
      <w:bookmarkStart w:id="203" w:name="_Toc31027"/>
      <w:bookmarkStart w:id="204" w:name="_Toc32226"/>
      <w:r>
        <w:rPr>
          <w:rFonts w:hint="eastAsia" w:asciiTheme="minorEastAsia" w:hAnsiTheme="minorEastAsia" w:eastAsiaTheme="minorEastAsia"/>
          <w:b/>
          <w:sz w:val="24"/>
          <w:highlight w:val="none"/>
        </w:rPr>
        <w:t>五、投标分项报价表</w:t>
      </w:r>
      <w:bookmarkEnd w:id="203"/>
      <w:bookmarkEnd w:id="204"/>
    </w:p>
    <w:p w14:paraId="5B6AAA0D">
      <w:pPr>
        <w:spacing w:line="360" w:lineRule="auto"/>
        <w:ind w:firstLine="435"/>
        <w:jc w:val="center"/>
        <w:rPr>
          <w:rFonts w:asciiTheme="minorEastAsia" w:hAnsiTheme="minorEastAsia" w:eastAsiaTheme="minorEastAsia"/>
          <w:b/>
          <w:sz w:val="24"/>
          <w:highlight w:val="none"/>
        </w:rPr>
      </w:pPr>
      <w:r>
        <w:rPr>
          <w:rFonts w:hint="eastAsia" w:asciiTheme="minorEastAsia" w:hAnsiTheme="minorEastAsia" w:eastAsiaTheme="minorEastAsia"/>
          <w:i/>
          <w:sz w:val="24"/>
          <w:highlight w:val="none"/>
        </w:rPr>
        <w:t>（不适用，可以不填写）</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3109"/>
        <w:gridCol w:w="1357"/>
        <w:gridCol w:w="1698"/>
        <w:gridCol w:w="1568"/>
      </w:tblGrid>
      <w:tr w14:paraId="3F5D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4" w:type="pct"/>
            <w:vAlign w:val="center"/>
          </w:tcPr>
          <w:p w14:paraId="260AA81D">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序号</w:t>
            </w:r>
          </w:p>
        </w:tc>
        <w:tc>
          <w:tcPr>
            <w:tcW w:w="1824" w:type="pct"/>
            <w:vAlign w:val="center"/>
          </w:tcPr>
          <w:p w14:paraId="01E02FE3">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服务内容</w:t>
            </w:r>
          </w:p>
        </w:tc>
        <w:tc>
          <w:tcPr>
            <w:tcW w:w="796" w:type="pct"/>
            <w:vAlign w:val="center"/>
          </w:tcPr>
          <w:p w14:paraId="1099D8A8">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项</w:t>
            </w:r>
          </w:p>
        </w:tc>
        <w:tc>
          <w:tcPr>
            <w:tcW w:w="995" w:type="pct"/>
            <w:vAlign w:val="center"/>
          </w:tcPr>
          <w:p w14:paraId="7919598E">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单价</w:t>
            </w:r>
          </w:p>
        </w:tc>
        <w:tc>
          <w:tcPr>
            <w:tcW w:w="920" w:type="pct"/>
            <w:vAlign w:val="center"/>
          </w:tcPr>
          <w:p w14:paraId="5C8D9A17">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小计金额（元）</w:t>
            </w:r>
          </w:p>
        </w:tc>
      </w:tr>
      <w:tr w14:paraId="4263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14:paraId="7897C547">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824" w:type="pct"/>
            <w:vAlign w:val="center"/>
          </w:tcPr>
          <w:p w14:paraId="71783E22">
            <w:pPr>
              <w:jc w:val="center"/>
              <w:rPr>
                <w:rFonts w:asciiTheme="minorEastAsia" w:hAnsiTheme="minorEastAsia" w:eastAsiaTheme="minorEastAsia"/>
                <w:sz w:val="24"/>
                <w:highlight w:val="none"/>
              </w:rPr>
            </w:pPr>
          </w:p>
        </w:tc>
        <w:tc>
          <w:tcPr>
            <w:tcW w:w="796" w:type="pct"/>
            <w:vAlign w:val="center"/>
          </w:tcPr>
          <w:p w14:paraId="2CF49C9B">
            <w:pPr>
              <w:jc w:val="center"/>
              <w:rPr>
                <w:rFonts w:asciiTheme="minorEastAsia" w:hAnsiTheme="minorEastAsia" w:eastAsiaTheme="minorEastAsia"/>
                <w:sz w:val="24"/>
                <w:highlight w:val="none"/>
              </w:rPr>
            </w:pPr>
          </w:p>
        </w:tc>
        <w:tc>
          <w:tcPr>
            <w:tcW w:w="995" w:type="pct"/>
            <w:vAlign w:val="center"/>
          </w:tcPr>
          <w:p w14:paraId="3F28C2B2">
            <w:pPr>
              <w:jc w:val="center"/>
              <w:rPr>
                <w:rFonts w:asciiTheme="minorEastAsia" w:hAnsiTheme="minorEastAsia" w:eastAsiaTheme="minorEastAsia"/>
                <w:sz w:val="24"/>
                <w:highlight w:val="none"/>
              </w:rPr>
            </w:pPr>
          </w:p>
        </w:tc>
        <w:tc>
          <w:tcPr>
            <w:tcW w:w="920" w:type="pct"/>
            <w:vAlign w:val="center"/>
          </w:tcPr>
          <w:p w14:paraId="19C1FF15">
            <w:pPr>
              <w:jc w:val="center"/>
              <w:rPr>
                <w:rFonts w:asciiTheme="minorEastAsia" w:hAnsiTheme="minorEastAsia" w:eastAsiaTheme="minorEastAsia"/>
                <w:sz w:val="24"/>
                <w:highlight w:val="none"/>
              </w:rPr>
            </w:pPr>
          </w:p>
        </w:tc>
      </w:tr>
      <w:tr w14:paraId="2FA4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7F8B533C">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824" w:type="pct"/>
            <w:vAlign w:val="center"/>
          </w:tcPr>
          <w:p w14:paraId="1F051245">
            <w:pPr>
              <w:jc w:val="center"/>
              <w:rPr>
                <w:rFonts w:asciiTheme="minorEastAsia" w:hAnsiTheme="minorEastAsia" w:eastAsiaTheme="minorEastAsia"/>
                <w:sz w:val="24"/>
                <w:highlight w:val="none"/>
              </w:rPr>
            </w:pPr>
          </w:p>
        </w:tc>
        <w:tc>
          <w:tcPr>
            <w:tcW w:w="796" w:type="pct"/>
            <w:vAlign w:val="center"/>
          </w:tcPr>
          <w:p w14:paraId="209AA315">
            <w:pPr>
              <w:jc w:val="center"/>
              <w:rPr>
                <w:rFonts w:asciiTheme="minorEastAsia" w:hAnsiTheme="minorEastAsia" w:eastAsiaTheme="minorEastAsia"/>
                <w:sz w:val="24"/>
                <w:highlight w:val="none"/>
              </w:rPr>
            </w:pPr>
          </w:p>
        </w:tc>
        <w:tc>
          <w:tcPr>
            <w:tcW w:w="995" w:type="pct"/>
            <w:vAlign w:val="center"/>
          </w:tcPr>
          <w:p w14:paraId="676F1114">
            <w:pPr>
              <w:jc w:val="center"/>
              <w:rPr>
                <w:rFonts w:asciiTheme="minorEastAsia" w:hAnsiTheme="minorEastAsia" w:eastAsiaTheme="minorEastAsia"/>
                <w:sz w:val="24"/>
                <w:highlight w:val="none"/>
              </w:rPr>
            </w:pPr>
          </w:p>
        </w:tc>
        <w:tc>
          <w:tcPr>
            <w:tcW w:w="920" w:type="pct"/>
            <w:vAlign w:val="center"/>
          </w:tcPr>
          <w:p w14:paraId="2AEF0BCD">
            <w:pPr>
              <w:jc w:val="center"/>
              <w:rPr>
                <w:rFonts w:asciiTheme="minorEastAsia" w:hAnsiTheme="minorEastAsia" w:eastAsiaTheme="minorEastAsia"/>
                <w:sz w:val="24"/>
                <w:highlight w:val="none"/>
              </w:rPr>
            </w:pPr>
          </w:p>
        </w:tc>
      </w:tr>
      <w:tr w14:paraId="4B95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550EB6C3">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824" w:type="pct"/>
            <w:vAlign w:val="center"/>
          </w:tcPr>
          <w:p w14:paraId="3086418A">
            <w:pPr>
              <w:jc w:val="center"/>
              <w:rPr>
                <w:rFonts w:asciiTheme="minorEastAsia" w:hAnsiTheme="minorEastAsia" w:eastAsiaTheme="minorEastAsia"/>
                <w:sz w:val="24"/>
                <w:highlight w:val="none"/>
              </w:rPr>
            </w:pPr>
          </w:p>
        </w:tc>
        <w:tc>
          <w:tcPr>
            <w:tcW w:w="796" w:type="pct"/>
            <w:vAlign w:val="center"/>
          </w:tcPr>
          <w:p w14:paraId="298D17C9">
            <w:pPr>
              <w:jc w:val="center"/>
              <w:rPr>
                <w:rFonts w:asciiTheme="minorEastAsia" w:hAnsiTheme="minorEastAsia" w:eastAsiaTheme="minorEastAsia"/>
                <w:sz w:val="24"/>
                <w:highlight w:val="none"/>
              </w:rPr>
            </w:pPr>
          </w:p>
        </w:tc>
        <w:tc>
          <w:tcPr>
            <w:tcW w:w="995" w:type="pct"/>
            <w:vAlign w:val="center"/>
          </w:tcPr>
          <w:p w14:paraId="24D64CE4">
            <w:pPr>
              <w:jc w:val="center"/>
              <w:rPr>
                <w:rFonts w:asciiTheme="minorEastAsia" w:hAnsiTheme="minorEastAsia" w:eastAsiaTheme="minorEastAsia"/>
                <w:sz w:val="24"/>
                <w:highlight w:val="none"/>
              </w:rPr>
            </w:pPr>
          </w:p>
        </w:tc>
        <w:tc>
          <w:tcPr>
            <w:tcW w:w="920" w:type="pct"/>
            <w:vAlign w:val="center"/>
          </w:tcPr>
          <w:p w14:paraId="4C509C9F">
            <w:pPr>
              <w:jc w:val="center"/>
              <w:rPr>
                <w:rFonts w:asciiTheme="minorEastAsia" w:hAnsiTheme="minorEastAsia" w:eastAsiaTheme="minorEastAsia"/>
                <w:sz w:val="24"/>
                <w:highlight w:val="none"/>
              </w:rPr>
            </w:pPr>
          </w:p>
        </w:tc>
      </w:tr>
      <w:tr w14:paraId="6153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3B7B9C0A">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w:t>
            </w:r>
          </w:p>
        </w:tc>
        <w:tc>
          <w:tcPr>
            <w:tcW w:w="1824" w:type="pct"/>
            <w:vAlign w:val="center"/>
          </w:tcPr>
          <w:p w14:paraId="101E0BFE">
            <w:pPr>
              <w:jc w:val="center"/>
              <w:rPr>
                <w:rFonts w:asciiTheme="minorEastAsia" w:hAnsiTheme="minorEastAsia" w:eastAsiaTheme="minorEastAsia"/>
                <w:sz w:val="24"/>
                <w:highlight w:val="none"/>
              </w:rPr>
            </w:pPr>
          </w:p>
        </w:tc>
        <w:tc>
          <w:tcPr>
            <w:tcW w:w="796" w:type="pct"/>
            <w:vAlign w:val="center"/>
          </w:tcPr>
          <w:p w14:paraId="6BBED960">
            <w:pPr>
              <w:jc w:val="center"/>
              <w:rPr>
                <w:rFonts w:asciiTheme="minorEastAsia" w:hAnsiTheme="minorEastAsia" w:eastAsiaTheme="minorEastAsia"/>
                <w:sz w:val="24"/>
                <w:highlight w:val="none"/>
              </w:rPr>
            </w:pPr>
          </w:p>
        </w:tc>
        <w:tc>
          <w:tcPr>
            <w:tcW w:w="995" w:type="pct"/>
            <w:vAlign w:val="center"/>
          </w:tcPr>
          <w:p w14:paraId="13A62A5E">
            <w:pPr>
              <w:jc w:val="center"/>
              <w:rPr>
                <w:rFonts w:asciiTheme="minorEastAsia" w:hAnsiTheme="minorEastAsia" w:eastAsiaTheme="minorEastAsia"/>
                <w:sz w:val="24"/>
                <w:highlight w:val="none"/>
              </w:rPr>
            </w:pPr>
          </w:p>
        </w:tc>
        <w:tc>
          <w:tcPr>
            <w:tcW w:w="920" w:type="pct"/>
            <w:vAlign w:val="center"/>
          </w:tcPr>
          <w:p w14:paraId="68B4209A">
            <w:pPr>
              <w:jc w:val="center"/>
              <w:rPr>
                <w:rFonts w:asciiTheme="minorEastAsia" w:hAnsiTheme="minorEastAsia" w:eastAsiaTheme="minorEastAsia"/>
                <w:sz w:val="24"/>
                <w:highlight w:val="none"/>
              </w:rPr>
            </w:pPr>
          </w:p>
        </w:tc>
      </w:tr>
      <w:tr w14:paraId="0970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612A9EE2">
            <w:pPr>
              <w:jc w:val="center"/>
              <w:rPr>
                <w:rFonts w:asciiTheme="minorEastAsia" w:hAnsiTheme="minorEastAsia" w:eastAsiaTheme="minorEastAsia"/>
                <w:sz w:val="24"/>
                <w:highlight w:val="none"/>
              </w:rPr>
            </w:pPr>
          </w:p>
        </w:tc>
        <w:tc>
          <w:tcPr>
            <w:tcW w:w="1824" w:type="pct"/>
            <w:vAlign w:val="center"/>
          </w:tcPr>
          <w:p w14:paraId="3B1E2E80">
            <w:pPr>
              <w:pStyle w:val="40"/>
              <w:ind w:left="-108"/>
              <w:jc w:val="center"/>
              <w:rPr>
                <w:rFonts w:asciiTheme="minorEastAsia" w:hAnsiTheme="minorEastAsia" w:eastAsiaTheme="minorEastAsia"/>
                <w:highlight w:val="none"/>
              </w:rPr>
            </w:pPr>
            <w:r>
              <w:rPr>
                <w:rFonts w:hint="eastAsia" w:asciiTheme="minorEastAsia" w:hAnsiTheme="minorEastAsia" w:eastAsiaTheme="minorEastAsia"/>
                <w:highlight w:val="none"/>
              </w:rPr>
              <w:t>其他费用</w:t>
            </w:r>
          </w:p>
        </w:tc>
        <w:tc>
          <w:tcPr>
            <w:tcW w:w="796" w:type="pct"/>
            <w:vAlign w:val="center"/>
          </w:tcPr>
          <w:p w14:paraId="0FEABBA5">
            <w:pPr>
              <w:jc w:val="center"/>
              <w:rPr>
                <w:rFonts w:asciiTheme="minorEastAsia" w:hAnsiTheme="minorEastAsia" w:eastAsiaTheme="minorEastAsia"/>
                <w:sz w:val="24"/>
                <w:highlight w:val="none"/>
              </w:rPr>
            </w:pPr>
          </w:p>
        </w:tc>
        <w:tc>
          <w:tcPr>
            <w:tcW w:w="995" w:type="pct"/>
            <w:vAlign w:val="center"/>
          </w:tcPr>
          <w:p w14:paraId="3B2D65EF">
            <w:pPr>
              <w:jc w:val="center"/>
              <w:rPr>
                <w:rFonts w:asciiTheme="minorEastAsia" w:hAnsiTheme="minorEastAsia" w:eastAsiaTheme="minorEastAsia"/>
                <w:sz w:val="24"/>
                <w:highlight w:val="none"/>
              </w:rPr>
            </w:pPr>
          </w:p>
        </w:tc>
        <w:tc>
          <w:tcPr>
            <w:tcW w:w="920" w:type="pct"/>
            <w:vAlign w:val="center"/>
          </w:tcPr>
          <w:p w14:paraId="57AC561E">
            <w:pPr>
              <w:jc w:val="center"/>
              <w:rPr>
                <w:rFonts w:asciiTheme="minorEastAsia" w:hAnsiTheme="minorEastAsia" w:eastAsiaTheme="minorEastAsia"/>
                <w:sz w:val="24"/>
                <w:highlight w:val="none"/>
              </w:rPr>
            </w:pPr>
          </w:p>
        </w:tc>
      </w:tr>
      <w:tr w14:paraId="17D5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41506B71">
            <w:pPr>
              <w:jc w:val="center"/>
              <w:rPr>
                <w:rFonts w:asciiTheme="minorEastAsia" w:hAnsiTheme="minorEastAsia" w:eastAsiaTheme="minorEastAsia"/>
                <w:sz w:val="24"/>
                <w:highlight w:val="none"/>
              </w:rPr>
            </w:pPr>
          </w:p>
        </w:tc>
        <w:tc>
          <w:tcPr>
            <w:tcW w:w="1824" w:type="pct"/>
            <w:vAlign w:val="center"/>
          </w:tcPr>
          <w:p w14:paraId="4536A6EA">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w:t>
            </w:r>
          </w:p>
        </w:tc>
        <w:tc>
          <w:tcPr>
            <w:tcW w:w="796" w:type="pct"/>
            <w:vAlign w:val="center"/>
          </w:tcPr>
          <w:p w14:paraId="5CAE492E">
            <w:pPr>
              <w:jc w:val="center"/>
              <w:rPr>
                <w:rFonts w:asciiTheme="minorEastAsia" w:hAnsiTheme="minorEastAsia" w:eastAsiaTheme="minorEastAsia"/>
                <w:sz w:val="24"/>
                <w:highlight w:val="none"/>
              </w:rPr>
            </w:pPr>
          </w:p>
        </w:tc>
        <w:tc>
          <w:tcPr>
            <w:tcW w:w="995" w:type="pct"/>
            <w:vAlign w:val="center"/>
          </w:tcPr>
          <w:p w14:paraId="253A5250">
            <w:pPr>
              <w:jc w:val="center"/>
              <w:rPr>
                <w:rFonts w:asciiTheme="minorEastAsia" w:hAnsiTheme="minorEastAsia" w:eastAsiaTheme="minorEastAsia"/>
                <w:sz w:val="24"/>
                <w:highlight w:val="none"/>
              </w:rPr>
            </w:pPr>
          </w:p>
        </w:tc>
        <w:tc>
          <w:tcPr>
            <w:tcW w:w="920" w:type="pct"/>
            <w:vAlign w:val="center"/>
          </w:tcPr>
          <w:p w14:paraId="4974906B">
            <w:pPr>
              <w:jc w:val="center"/>
              <w:rPr>
                <w:rFonts w:asciiTheme="minorEastAsia" w:hAnsiTheme="minorEastAsia" w:eastAsiaTheme="minorEastAsia"/>
                <w:sz w:val="24"/>
                <w:highlight w:val="none"/>
              </w:rPr>
            </w:pPr>
          </w:p>
        </w:tc>
      </w:tr>
      <w:tr w14:paraId="0B6F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4080" w:type="pct"/>
            <w:gridSpan w:val="4"/>
            <w:vAlign w:val="center"/>
          </w:tcPr>
          <w:p w14:paraId="68076D4C">
            <w:pPr>
              <w:jc w:val="center"/>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合计金额（元）</w:t>
            </w:r>
          </w:p>
        </w:tc>
        <w:tc>
          <w:tcPr>
            <w:tcW w:w="920" w:type="pct"/>
            <w:vAlign w:val="center"/>
          </w:tcPr>
          <w:p w14:paraId="7FF8EB80">
            <w:pPr>
              <w:jc w:val="center"/>
              <w:rPr>
                <w:rFonts w:asciiTheme="minorEastAsia" w:hAnsiTheme="minorEastAsia" w:eastAsiaTheme="minorEastAsia"/>
                <w:sz w:val="24"/>
                <w:highlight w:val="none"/>
              </w:rPr>
            </w:pPr>
          </w:p>
        </w:tc>
      </w:tr>
    </w:tbl>
    <w:p w14:paraId="509F0F84">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p>
    <w:p w14:paraId="01232CB3">
      <w:pPr>
        <w:tabs>
          <w:tab w:val="left" w:pos="630"/>
        </w:tabs>
        <w:spacing w:line="360" w:lineRule="auto"/>
        <w:ind w:firstLine="4800" w:firstLineChars="2000"/>
        <w:rPr>
          <w:rFonts w:asciiTheme="minorEastAsia" w:hAnsiTheme="minorEastAsia" w:eastAsiaTheme="minorEastAsia"/>
          <w:b/>
          <w:bCs/>
          <w:sz w:val="24"/>
          <w:szCs w:val="28"/>
          <w:highlight w:val="none"/>
        </w:rPr>
      </w:pPr>
      <w:r>
        <w:rPr>
          <w:rFonts w:hint="eastAsia" w:ascii="宋体" w:hAnsi="宋体" w:eastAsia="宋体"/>
          <w:sz w:val="24"/>
          <w:highlight w:val="none"/>
        </w:rPr>
        <w:t xml:space="preserve">日     </w:t>
      </w:r>
      <w:r>
        <w:rPr>
          <w:rFonts w:ascii="宋体" w:hAnsi="宋体" w:eastAsia="宋体"/>
          <w:sz w:val="24"/>
          <w:highlight w:val="none"/>
        </w:rPr>
        <w:t xml:space="preserve">    </w:t>
      </w:r>
      <w:r>
        <w:rPr>
          <w:rFonts w:hint="eastAsia" w:ascii="宋体" w:hAnsi="宋体" w:eastAsia="宋体"/>
          <w:sz w:val="24"/>
          <w:highlight w:val="none"/>
        </w:rPr>
        <w:t xml:space="preserve"> 期：</w:t>
      </w:r>
      <w:r>
        <w:rPr>
          <w:rFonts w:hint="eastAsia" w:ascii="宋体" w:hAnsi="宋体" w:eastAsia="宋体"/>
          <w:sz w:val="24"/>
          <w:highlight w:val="none"/>
          <w:u w:val="single"/>
        </w:rPr>
        <w:t xml:space="preserve">             </w:t>
      </w:r>
    </w:p>
    <w:p w14:paraId="3D76782A">
      <w:pPr>
        <w:adjustRightInd w:val="0"/>
        <w:snapToGrid w:val="0"/>
        <w:spacing w:line="360" w:lineRule="auto"/>
        <w:rPr>
          <w:rFonts w:asciiTheme="minorEastAsia" w:hAnsiTheme="minorEastAsia" w:eastAsiaTheme="minorEastAsia"/>
          <w:b/>
          <w:bCs/>
          <w:sz w:val="24"/>
          <w:szCs w:val="28"/>
          <w:highlight w:val="none"/>
        </w:rPr>
      </w:pPr>
      <w:r>
        <w:rPr>
          <w:rFonts w:hint="eastAsia" w:asciiTheme="minorEastAsia" w:hAnsiTheme="minorEastAsia" w:eastAsiaTheme="minorEastAsia"/>
          <w:b/>
          <w:bCs/>
          <w:sz w:val="24"/>
          <w:szCs w:val="28"/>
          <w:highlight w:val="none"/>
        </w:rPr>
        <w:t>注：</w:t>
      </w:r>
    </w:p>
    <w:p w14:paraId="04ECB26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所列服务为对应本项目需求的全部服务内容。如有漏项或缺项，投标人承担全部责任。</w:t>
      </w:r>
    </w:p>
    <w:p w14:paraId="078437B7">
      <w:pPr>
        <w:pStyle w:val="8"/>
        <w:rPr>
          <w:rFonts w:asciiTheme="minorEastAsia" w:hAnsiTheme="minorEastAsia" w:eastAsiaTheme="minorEastAsia"/>
          <w:sz w:val="24"/>
          <w:highlight w:val="none"/>
        </w:rPr>
      </w:pPr>
    </w:p>
    <w:p w14:paraId="765A2059">
      <w:pPr>
        <w:rPr>
          <w:rFonts w:asciiTheme="minorEastAsia" w:hAnsiTheme="minorEastAsia" w:eastAsiaTheme="minorEastAsia"/>
          <w:b/>
          <w:sz w:val="24"/>
          <w:highlight w:val="none"/>
        </w:rPr>
      </w:pPr>
      <w:bookmarkStart w:id="205" w:name="_Toc20329"/>
      <w:r>
        <w:rPr>
          <w:rFonts w:hint="eastAsia" w:asciiTheme="minorEastAsia" w:hAnsiTheme="minorEastAsia" w:eastAsiaTheme="minorEastAsia"/>
          <w:b/>
          <w:sz w:val="24"/>
          <w:highlight w:val="none"/>
        </w:rPr>
        <w:br w:type="page"/>
      </w:r>
    </w:p>
    <w:p w14:paraId="7A97F15C">
      <w:pPr>
        <w:spacing w:line="360" w:lineRule="auto"/>
        <w:jc w:val="center"/>
        <w:outlineLvl w:val="1"/>
        <w:rPr>
          <w:rFonts w:asciiTheme="minorEastAsia" w:hAnsiTheme="minorEastAsia" w:eastAsiaTheme="minorEastAsia"/>
          <w:b/>
          <w:sz w:val="24"/>
          <w:highlight w:val="none"/>
        </w:rPr>
      </w:pPr>
      <w:bookmarkStart w:id="206" w:name="_Toc15209"/>
      <w:r>
        <w:rPr>
          <w:rFonts w:hint="eastAsia" w:asciiTheme="minorEastAsia" w:hAnsiTheme="minorEastAsia" w:eastAsiaTheme="minorEastAsia"/>
          <w:b/>
          <w:sz w:val="24"/>
          <w:highlight w:val="none"/>
        </w:rPr>
        <w:t>六、投标响应表</w:t>
      </w:r>
      <w:bookmarkEnd w:id="205"/>
      <w:bookmarkEnd w:id="206"/>
    </w:p>
    <w:p w14:paraId="32136084">
      <w:pPr>
        <w:spacing w:line="360" w:lineRule="auto"/>
        <w:ind w:firstLine="435"/>
        <w:jc w:val="center"/>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商务响应表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0651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2C6A78CD">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序号</w:t>
            </w:r>
          </w:p>
        </w:tc>
        <w:tc>
          <w:tcPr>
            <w:tcW w:w="1124" w:type="pct"/>
            <w:vAlign w:val="center"/>
          </w:tcPr>
          <w:p w14:paraId="0BA929F1">
            <w:pPr>
              <w:pStyle w:val="12"/>
              <w:jc w:val="center"/>
              <w:rPr>
                <w:rFonts w:cs="Wingdings" w:asciiTheme="minorEastAsia" w:hAnsiTheme="minorEastAsia"/>
                <w:b/>
                <w:sz w:val="24"/>
                <w:highlight w:val="none"/>
              </w:rPr>
            </w:pPr>
            <w:r>
              <w:rPr>
                <w:rFonts w:hint="eastAsia" w:asciiTheme="minorEastAsia" w:hAnsiTheme="minorEastAsia"/>
                <w:b/>
                <w:bCs/>
                <w:sz w:val="24"/>
                <w:szCs w:val="24"/>
                <w:highlight w:val="none"/>
              </w:rPr>
              <w:t>商务条款</w:t>
            </w:r>
          </w:p>
        </w:tc>
        <w:tc>
          <w:tcPr>
            <w:tcW w:w="1465" w:type="pct"/>
            <w:vAlign w:val="center"/>
          </w:tcPr>
          <w:p w14:paraId="73BAB161">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招标文件要求</w:t>
            </w:r>
          </w:p>
        </w:tc>
        <w:tc>
          <w:tcPr>
            <w:tcW w:w="1510" w:type="pct"/>
            <w:vAlign w:val="center"/>
          </w:tcPr>
          <w:p w14:paraId="5C33C43B">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投标人承诺</w:t>
            </w:r>
          </w:p>
        </w:tc>
        <w:tc>
          <w:tcPr>
            <w:tcW w:w="475" w:type="pct"/>
            <w:vAlign w:val="center"/>
          </w:tcPr>
          <w:p w14:paraId="48FBFE26">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偏离说明</w:t>
            </w:r>
          </w:p>
        </w:tc>
      </w:tr>
      <w:tr w14:paraId="43AE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C6B928A">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1</w:t>
            </w:r>
          </w:p>
        </w:tc>
        <w:tc>
          <w:tcPr>
            <w:tcW w:w="1124" w:type="pct"/>
            <w:vAlign w:val="center"/>
          </w:tcPr>
          <w:p w14:paraId="15E1694A">
            <w:pPr>
              <w:jc w:val="center"/>
              <w:rPr>
                <w:rFonts w:ascii="宋体" w:hAnsi="宋体" w:eastAsia="宋体"/>
                <w:sz w:val="24"/>
                <w:highlight w:val="none"/>
              </w:rPr>
            </w:pPr>
            <w:r>
              <w:rPr>
                <w:rFonts w:asciiTheme="minorEastAsia" w:hAnsiTheme="minorEastAsia" w:eastAsiaTheme="minorEastAsia"/>
                <w:sz w:val="24"/>
                <w:highlight w:val="none"/>
              </w:rPr>
              <w:t>付款方式</w:t>
            </w:r>
          </w:p>
        </w:tc>
        <w:tc>
          <w:tcPr>
            <w:tcW w:w="1465" w:type="pct"/>
            <w:vAlign w:val="center"/>
          </w:tcPr>
          <w:p w14:paraId="0390F55B">
            <w:pPr>
              <w:jc w:val="center"/>
              <w:rPr>
                <w:rFonts w:asciiTheme="minorEastAsia" w:hAnsiTheme="minorEastAsia" w:eastAsiaTheme="minorEastAsia"/>
                <w:sz w:val="24"/>
                <w:highlight w:val="none"/>
              </w:rPr>
            </w:pPr>
          </w:p>
        </w:tc>
        <w:tc>
          <w:tcPr>
            <w:tcW w:w="1510" w:type="pct"/>
            <w:vAlign w:val="center"/>
          </w:tcPr>
          <w:p w14:paraId="6B2163BF">
            <w:pPr>
              <w:jc w:val="center"/>
              <w:rPr>
                <w:rFonts w:asciiTheme="minorEastAsia" w:hAnsiTheme="minorEastAsia" w:eastAsiaTheme="minorEastAsia"/>
                <w:sz w:val="24"/>
                <w:highlight w:val="none"/>
              </w:rPr>
            </w:pPr>
          </w:p>
        </w:tc>
        <w:tc>
          <w:tcPr>
            <w:tcW w:w="475" w:type="pct"/>
            <w:vAlign w:val="center"/>
          </w:tcPr>
          <w:p w14:paraId="7AFC7F5C">
            <w:pPr>
              <w:jc w:val="center"/>
              <w:rPr>
                <w:rFonts w:asciiTheme="minorEastAsia" w:hAnsiTheme="minorEastAsia" w:eastAsiaTheme="minorEastAsia"/>
                <w:sz w:val="24"/>
                <w:highlight w:val="none"/>
              </w:rPr>
            </w:pPr>
          </w:p>
        </w:tc>
      </w:tr>
      <w:tr w14:paraId="3C20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5BBEA46">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124" w:type="pct"/>
            <w:vAlign w:val="center"/>
          </w:tcPr>
          <w:p w14:paraId="35174F74">
            <w:pPr>
              <w:jc w:val="center"/>
              <w:rPr>
                <w:rFonts w:ascii="宋体" w:hAnsi="宋体" w:eastAsia="宋体"/>
                <w:sz w:val="24"/>
                <w:highlight w:val="none"/>
              </w:rPr>
            </w:pPr>
            <w:r>
              <w:rPr>
                <w:rFonts w:hint="eastAsia" w:ascii="宋体" w:hAnsi="宋体" w:eastAsia="宋体"/>
                <w:sz w:val="24"/>
                <w:highlight w:val="none"/>
              </w:rPr>
              <w:t>服务地点</w:t>
            </w:r>
          </w:p>
        </w:tc>
        <w:tc>
          <w:tcPr>
            <w:tcW w:w="1465" w:type="pct"/>
            <w:vAlign w:val="center"/>
          </w:tcPr>
          <w:p w14:paraId="5A4FEEAE">
            <w:pPr>
              <w:jc w:val="center"/>
              <w:rPr>
                <w:rFonts w:asciiTheme="minorEastAsia" w:hAnsiTheme="minorEastAsia" w:eastAsiaTheme="minorEastAsia"/>
                <w:sz w:val="24"/>
                <w:highlight w:val="none"/>
              </w:rPr>
            </w:pPr>
          </w:p>
        </w:tc>
        <w:tc>
          <w:tcPr>
            <w:tcW w:w="1510" w:type="pct"/>
            <w:vAlign w:val="center"/>
          </w:tcPr>
          <w:p w14:paraId="4784655F">
            <w:pPr>
              <w:jc w:val="center"/>
              <w:rPr>
                <w:rFonts w:asciiTheme="minorEastAsia" w:hAnsiTheme="minorEastAsia" w:eastAsiaTheme="minorEastAsia"/>
                <w:sz w:val="24"/>
                <w:highlight w:val="none"/>
              </w:rPr>
            </w:pPr>
          </w:p>
        </w:tc>
        <w:tc>
          <w:tcPr>
            <w:tcW w:w="475" w:type="pct"/>
            <w:vAlign w:val="center"/>
          </w:tcPr>
          <w:p w14:paraId="3D31D763">
            <w:pPr>
              <w:jc w:val="center"/>
              <w:rPr>
                <w:rFonts w:asciiTheme="minorEastAsia" w:hAnsiTheme="minorEastAsia" w:eastAsiaTheme="minorEastAsia"/>
                <w:sz w:val="24"/>
                <w:highlight w:val="none"/>
              </w:rPr>
            </w:pPr>
          </w:p>
        </w:tc>
      </w:tr>
      <w:tr w14:paraId="11A4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F1A0924">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124" w:type="pct"/>
            <w:vAlign w:val="center"/>
          </w:tcPr>
          <w:p w14:paraId="34DD7BC0">
            <w:pPr>
              <w:jc w:val="center"/>
              <w:rPr>
                <w:rFonts w:ascii="宋体" w:hAnsi="宋体" w:eastAsia="宋体"/>
                <w:sz w:val="24"/>
                <w:highlight w:val="none"/>
              </w:rPr>
            </w:pPr>
            <w:r>
              <w:rPr>
                <w:rFonts w:hint="eastAsia" w:ascii="宋体" w:hAnsi="宋体" w:eastAsia="宋体"/>
                <w:sz w:val="24"/>
                <w:highlight w:val="none"/>
              </w:rPr>
              <w:t>服务期限</w:t>
            </w:r>
          </w:p>
        </w:tc>
        <w:tc>
          <w:tcPr>
            <w:tcW w:w="1465" w:type="pct"/>
            <w:vAlign w:val="center"/>
          </w:tcPr>
          <w:p w14:paraId="2FE14E24">
            <w:pPr>
              <w:jc w:val="center"/>
              <w:rPr>
                <w:rFonts w:asciiTheme="minorEastAsia" w:hAnsiTheme="minorEastAsia" w:eastAsiaTheme="minorEastAsia"/>
                <w:sz w:val="24"/>
                <w:highlight w:val="none"/>
              </w:rPr>
            </w:pPr>
          </w:p>
        </w:tc>
        <w:tc>
          <w:tcPr>
            <w:tcW w:w="1510" w:type="pct"/>
            <w:vAlign w:val="center"/>
          </w:tcPr>
          <w:p w14:paraId="717F894D">
            <w:pPr>
              <w:pStyle w:val="40"/>
              <w:jc w:val="center"/>
              <w:rPr>
                <w:rFonts w:asciiTheme="minorEastAsia" w:hAnsiTheme="minorEastAsia" w:eastAsiaTheme="minorEastAsia"/>
                <w:highlight w:val="none"/>
              </w:rPr>
            </w:pPr>
          </w:p>
        </w:tc>
        <w:tc>
          <w:tcPr>
            <w:tcW w:w="475" w:type="pct"/>
            <w:vAlign w:val="center"/>
          </w:tcPr>
          <w:p w14:paraId="44C34117">
            <w:pPr>
              <w:jc w:val="center"/>
              <w:rPr>
                <w:rFonts w:asciiTheme="minorEastAsia" w:hAnsiTheme="minorEastAsia" w:eastAsiaTheme="minorEastAsia"/>
                <w:sz w:val="24"/>
                <w:highlight w:val="none"/>
              </w:rPr>
            </w:pPr>
          </w:p>
        </w:tc>
      </w:tr>
      <w:tr w14:paraId="6DC2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C820CA1">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124" w:type="pct"/>
            <w:vAlign w:val="center"/>
          </w:tcPr>
          <w:p w14:paraId="242B7340">
            <w:pPr>
              <w:jc w:val="center"/>
              <w:rPr>
                <w:rFonts w:ascii="宋体" w:hAnsi="宋体" w:eastAsia="宋体"/>
                <w:sz w:val="24"/>
                <w:highlight w:val="none"/>
              </w:rPr>
            </w:pPr>
          </w:p>
        </w:tc>
        <w:tc>
          <w:tcPr>
            <w:tcW w:w="1465" w:type="pct"/>
            <w:vAlign w:val="center"/>
          </w:tcPr>
          <w:p w14:paraId="31F13458">
            <w:pPr>
              <w:jc w:val="center"/>
              <w:rPr>
                <w:rFonts w:asciiTheme="minorEastAsia" w:hAnsiTheme="minorEastAsia" w:eastAsiaTheme="minorEastAsia"/>
                <w:sz w:val="24"/>
                <w:highlight w:val="none"/>
              </w:rPr>
            </w:pPr>
          </w:p>
        </w:tc>
        <w:tc>
          <w:tcPr>
            <w:tcW w:w="1510" w:type="pct"/>
            <w:vAlign w:val="center"/>
          </w:tcPr>
          <w:p w14:paraId="0D71E27F">
            <w:pPr>
              <w:jc w:val="center"/>
              <w:rPr>
                <w:rFonts w:asciiTheme="minorEastAsia" w:hAnsiTheme="minorEastAsia" w:eastAsiaTheme="minorEastAsia"/>
                <w:sz w:val="24"/>
                <w:highlight w:val="none"/>
              </w:rPr>
            </w:pPr>
          </w:p>
        </w:tc>
        <w:tc>
          <w:tcPr>
            <w:tcW w:w="475" w:type="pct"/>
            <w:vAlign w:val="center"/>
          </w:tcPr>
          <w:p w14:paraId="650AE366">
            <w:pPr>
              <w:jc w:val="center"/>
              <w:rPr>
                <w:rFonts w:asciiTheme="minorEastAsia" w:hAnsiTheme="minorEastAsia" w:eastAsiaTheme="minorEastAsia"/>
                <w:sz w:val="24"/>
                <w:highlight w:val="none"/>
              </w:rPr>
            </w:pPr>
          </w:p>
        </w:tc>
      </w:tr>
    </w:tbl>
    <w:p w14:paraId="5ECA4A06">
      <w:pPr>
        <w:pStyle w:val="13"/>
        <w:spacing w:line="360" w:lineRule="auto"/>
        <w:jc w:val="right"/>
        <w:rPr>
          <w:rFonts w:ascii="宋体" w:hAnsi="宋体"/>
          <w:sz w:val="24"/>
          <w:highlight w:val="none"/>
          <w:u w:val="single"/>
        </w:rPr>
      </w:pPr>
      <w:r>
        <w:rPr>
          <w:rFonts w:hint="eastAsia" w:ascii="宋体" w:hAnsi="宋体"/>
          <w:sz w:val="24"/>
          <w:highlight w:val="none"/>
        </w:rPr>
        <w:t>投标人电子签章：</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p>
    <w:p w14:paraId="1186B50E">
      <w:pPr>
        <w:tabs>
          <w:tab w:val="left" w:pos="630"/>
        </w:tabs>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 xml:space="preserve">日     </w:t>
      </w:r>
      <w:r>
        <w:rPr>
          <w:rFonts w:ascii="宋体" w:hAnsi="宋体" w:eastAsia="宋体"/>
          <w:sz w:val="24"/>
          <w:highlight w:val="none"/>
        </w:rPr>
        <w:t xml:space="preserve">    </w:t>
      </w:r>
      <w:r>
        <w:rPr>
          <w:rFonts w:hint="eastAsia" w:ascii="宋体" w:hAnsi="宋体" w:eastAsia="宋体"/>
          <w:sz w:val="24"/>
          <w:highlight w:val="none"/>
        </w:rPr>
        <w:t xml:space="preserve"> 期：</w:t>
      </w:r>
      <w:r>
        <w:rPr>
          <w:rFonts w:hint="eastAsia" w:ascii="宋体" w:hAnsi="宋体" w:eastAsia="宋体"/>
          <w:sz w:val="24"/>
          <w:highlight w:val="none"/>
          <w:u w:val="single"/>
        </w:rPr>
        <w:t xml:space="preserve">             </w:t>
      </w:r>
    </w:p>
    <w:p w14:paraId="77DC8AA3">
      <w:pPr>
        <w:rPr>
          <w:highlight w:val="none"/>
        </w:rPr>
      </w:pPr>
    </w:p>
    <w:p w14:paraId="62BF8407">
      <w:pPr>
        <w:rPr>
          <w:rFonts w:asciiTheme="minorEastAsia" w:hAnsiTheme="minorEastAsia" w:eastAsiaTheme="minorEastAsia"/>
          <w:b/>
          <w:sz w:val="24"/>
          <w:highlight w:val="none"/>
        </w:rPr>
      </w:pPr>
      <w:bookmarkStart w:id="207" w:name="_Toc23068"/>
      <w:r>
        <w:rPr>
          <w:rFonts w:hint="eastAsia" w:asciiTheme="minorEastAsia" w:hAnsiTheme="minorEastAsia" w:eastAsiaTheme="minorEastAsia"/>
          <w:b/>
          <w:sz w:val="24"/>
          <w:highlight w:val="none"/>
        </w:rPr>
        <w:br w:type="page"/>
      </w:r>
    </w:p>
    <w:p w14:paraId="6838E146">
      <w:pPr>
        <w:spacing w:line="360" w:lineRule="auto"/>
        <w:jc w:val="center"/>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七、中小企业声明函</w:t>
      </w:r>
      <w:bookmarkEnd w:id="207"/>
    </w:p>
    <w:p w14:paraId="69272760">
      <w:pPr>
        <w:pStyle w:val="8"/>
        <w:jc w:val="center"/>
        <w:rPr>
          <w:rFonts w:ascii="宋体" w:hAnsi="宋体" w:eastAsia="宋体"/>
          <w:i/>
          <w:sz w:val="24"/>
          <w:highlight w:val="none"/>
          <w:lang w:val="en-US"/>
        </w:rPr>
      </w:pPr>
      <w:r>
        <w:rPr>
          <w:rFonts w:hint="eastAsia" w:ascii="宋体" w:hAnsi="宋体" w:eastAsia="宋体"/>
          <w:i/>
          <w:sz w:val="24"/>
          <w:highlight w:val="none"/>
          <w:lang w:val="en-US"/>
        </w:rPr>
        <w:t>（</w:t>
      </w:r>
      <w:r>
        <w:rPr>
          <w:rFonts w:hint="eastAsia" w:ascii="宋体" w:hAnsi="宋体" w:eastAsia="宋体"/>
          <w:i/>
          <w:sz w:val="24"/>
          <w:highlight w:val="none"/>
        </w:rPr>
        <w:t>非中小企业投标</w:t>
      </w:r>
      <w:r>
        <w:rPr>
          <w:rFonts w:hint="eastAsia" w:ascii="宋体" w:hAnsi="宋体" w:eastAsia="宋体"/>
          <w:i/>
          <w:sz w:val="24"/>
          <w:highlight w:val="none"/>
          <w:lang w:val="en-US"/>
        </w:rPr>
        <w:t>，不需此件，请删去“中小企业声明函”）</w:t>
      </w:r>
    </w:p>
    <w:p w14:paraId="1E1E6BC3">
      <w:pPr>
        <w:rPr>
          <w:rFonts w:asciiTheme="minorEastAsia" w:hAnsiTheme="minorEastAsia" w:eastAsiaTheme="minorEastAsia"/>
          <w:sz w:val="24"/>
          <w:szCs w:val="24"/>
          <w:highlight w:val="none"/>
        </w:rPr>
      </w:pPr>
    </w:p>
    <w:p w14:paraId="1018E22C">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本公司（联合体）郑重声明，根据《政府采购促进中小企业发展管理办法》（财库﹝2020﹞46号）的规定，本公司（联合体）参加（</w:t>
      </w:r>
      <w:r>
        <w:rPr>
          <w:rFonts w:hint="eastAsia" w:ascii="宋体" w:hAnsi="宋体" w:eastAsia="宋体"/>
          <w:sz w:val="24"/>
          <w:szCs w:val="24"/>
          <w:highlight w:val="none"/>
          <w:u w:val="single"/>
          <w:lang w:val="zh-CN"/>
        </w:rPr>
        <w:t>单位</w:t>
      </w:r>
      <w:r>
        <w:rPr>
          <w:rFonts w:hint="eastAsia" w:ascii="宋体" w:hAnsi="宋体" w:eastAsia="宋体"/>
          <w:sz w:val="24"/>
          <w:szCs w:val="24"/>
          <w:highlight w:val="none"/>
          <w:u w:val="single"/>
        </w:rPr>
        <w:t>名称</w:t>
      </w:r>
      <w:r>
        <w:rPr>
          <w:rFonts w:hint="eastAsia" w:ascii="宋体" w:hAnsi="宋体" w:eastAsia="宋体"/>
          <w:sz w:val="24"/>
          <w:szCs w:val="24"/>
          <w:highlight w:val="none"/>
          <w:lang w:val="zh-CN"/>
        </w:rPr>
        <w:t>）的（</w:t>
      </w:r>
      <w:r>
        <w:rPr>
          <w:rFonts w:hint="eastAsia" w:ascii="宋体" w:hAnsi="宋体" w:eastAsia="宋体"/>
          <w:sz w:val="24"/>
          <w:szCs w:val="24"/>
          <w:highlight w:val="none"/>
          <w:u w:val="single"/>
          <w:lang w:val="zh-CN"/>
        </w:rPr>
        <w:t>项目</w:t>
      </w:r>
      <w:r>
        <w:rPr>
          <w:rFonts w:hint="eastAsia" w:ascii="宋体" w:hAnsi="宋体" w:eastAsia="宋体"/>
          <w:sz w:val="24"/>
          <w:szCs w:val="24"/>
          <w:highlight w:val="none"/>
          <w:u w:val="single"/>
        </w:rPr>
        <w:t>名称</w:t>
      </w:r>
      <w:r>
        <w:rPr>
          <w:rFonts w:hint="eastAsia" w:ascii="宋体" w:hAnsi="宋体" w:eastAsia="宋体"/>
          <w:sz w:val="24"/>
          <w:szCs w:val="24"/>
          <w:highlight w:val="none"/>
          <w:lang w:val="zh-CN"/>
        </w:rPr>
        <w:t xml:space="preserve">）采购活动，服务全部由符合政策要求的中小企业承接。相关企业（含联合体中的中小企业、签订分包意向协议的中小企业）的具体情况如下： </w:t>
      </w:r>
    </w:p>
    <w:p w14:paraId="25A96CA8">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1.</w:t>
      </w:r>
      <w:r>
        <w:rPr>
          <w:rFonts w:hint="eastAsia" w:ascii="宋体" w:hAnsi="宋体" w:eastAsia="宋体"/>
          <w:sz w:val="24"/>
          <w:szCs w:val="24"/>
          <w:highlight w:val="none"/>
          <w:u w:val="single"/>
          <w:lang w:val="zh-CN"/>
        </w:rPr>
        <w:t xml:space="preserve"> （标的名称） </w:t>
      </w:r>
      <w:r>
        <w:rPr>
          <w:rFonts w:hint="eastAsia" w:ascii="宋体" w:hAnsi="宋体" w:eastAsia="宋体"/>
          <w:sz w:val="24"/>
          <w:szCs w:val="24"/>
          <w:highlight w:val="none"/>
          <w:lang w:val="zh-CN"/>
        </w:rPr>
        <w:t>，属于</w:t>
      </w:r>
      <w:r>
        <w:rPr>
          <w:rFonts w:hint="eastAsia" w:ascii="宋体" w:hAnsi="宋体" w:eastAsia="宋体"/>
          <w:sz w:val="24"/>
          <w:szCs w:val="24"/>
          <w:highlight w:val="none"/>
          <w:u w:val="single"/>
          <w:lang w:val="zh-CN"/>
        </w:rPr>
        <w:t>（采购文件中明确的所属行业）</w:t>
      </w:r>
      <w:r>
        <w:rPr>
          <w:rFonts w:hint="eastAsia" w:ascii="宋体" w:hAnsi="宋体" w:eastAsia="宋体"/>
          <w:sz w:val="24"/>
          <w:szCs w:val="24"/>
          <w:highlight w:val="none"/>
          <w:lang w:val="zh-CN"/>
        </w:rPr>
        <w:t>行业；承接企业为</w:t>
      </w:r>
      <w:r>
        <w:rPr>
          <w:rFonts w:hint="eastAsia" w:ascii="宋体" w:hAnsi="宋体" w:eastAsia="宋体"/>
          <w:sz w:val="24"/>
          <w:szCs w:val="24"/>
          <w:highlight w:val="none"/>
          <w:u w:val="single"/>
          <w:lang w:val="zh-CN"/>
        </w:rPr>
        <w:t>（企业名称）</w:t>
      </w:r>
      <w:r>
        <w:rPr>
          <w:rFonts w:hint="eastAsia" w:ascii="宋体" w:hAnsi="宋体" w:eastAsia="宋体"/>
          <w:sz w:val="24"/>
          <w:szCs w:val="24"/>
          <w:highlight w:val="none"/>
          <w:lang w:val="zh-CN"/>
        </w:rPr>
        <w:t>，从业人员</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人，营业收入为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万元，资产总额为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万元，属于</w:t>
      </w:r>
      <w:r>
        <w:rPr>
          <w:rFonts w:hint="eastAsia" w:ascii="宋体" w:hAnsi="宋体" w:eastAsia="宋体"/>
          <w:sz w:val="24"/>
          <w:szCs w:val="24"/>
          <w:highlight w:val="none"/>
          <w:u w:val="single"/>
          <w:lang w:val="zh-CN"/>
        </w:rPr>
        <w:t>（中型企业、小型企业、微型企业）</w:t>
      </w:r>
      <w:r>
        <w:rPr>
          <w:rFonts w:hint="eastAsia" w:ascii="宋体" w:hAnsi="宋体" w:eastAsia="宋体"/>
          <w:sz w:val="24"/>
          <w:szCs w:val="24"/>
          <w:highlight w:val="none"/>
          <w:lang w:val="zh-CN"/>
        </w:rPr>
        <w:t xml:space="preserve">； </w:t>
      </w:r>
    </w:p>
    <w:p w14:paraId="6FBA251F">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2.</w:t>
      </w:r>
      <w:r>
        <w:rPr>
          <w:rFonts w:hint="eastAsia" w:ascii="宋体" w:hAnsi="宋体" w:eastAsia="宋体"/>
          <w:sz w:val="24"/>
          <w:szCs w:val="24"/>
          <w:highlight w:val="none"/>
          <w:u w:val="single"/>
          <w:lang w:val="zh-CN"/>
        </w:rPr>
        <w:t xml:space="preserve"> （标的名称） </w:t>
      </w:r>
      <w:r>
        <w:rPr>
          <w:rFonts w:hint="eastAsia" w:ascii="宋体" w:hAnsi="宋体" w:eastAsia="宋体"/>
          <w:sz w:val="24"/>
          <w:szCs w:val="24"/>
          <w:highlight w:val="none"/>
          <w:lang w:val="zh-CN"/>
        </w:rPr>
        <w:t>，属于</w:t>
      </w:r>
      <w:r>
        <w:rPr>
          <w:rFonts w:hint="eastAsia" w:ascii="宋体" w:hAnsi="宋体" w:eastAsia="宋体"/>
          <w:sz w:val="24"/>
          <w:szCs w:val="24"/>
          <w:highlight w:val="none"/>
          <w:u w:val="single"/>
          <w:lang w:val="zh-CN"/>
        </w:rPr>
        <w:t>（采购文件中明确的所属行业）</w:t>
      </w:r>
      <w:r>
        <w:rPr>
          <w:rFonts w:hint="eastAsia" w:ascii="宋体" w:hAnsi="宋体" w:eastAsia="宋体"/>
          <w:sz w:val="24"/>
          <w:szCs w:val="24"/>
          <w:highlight w:val="none"/>
          <w:lang w:val="zh-CN"/>
        </w:rPr>
        <w:t>行业；承接企业为</w:t>
      </w:r>
      <w:r>
        <w:rPr>
          <w:rFonts w:hint="eastAsia" w:ascii="宋体" w:hAnsi="宋体" w:eastAsia="宋体"/>
          <w:sz w:val="24"/>
          <w:szCs w:val="24"/>
          <w:highlight w:val="none"/>
          <w:u w:val="single"/>
          <w:lang w:val="zh-CN"/>
        </w:rPr>
        <w:t>（企业名称）</w:t>
      </w:r>
      <w:r>
        <w:rPr>
          <w:rFonts w:hint="eastAsia" w:ascii="宋体" w:hAnsi="宋体" w:eastAsia="宋体"/>
          <w:sz w:val="24"/>
          <w:szCs w:val="24"/>
          <w:highlight w:val="none"/>
          <w:lang w:val="zh-CN"/>
        </w:rPr>
        <w:t>，从业人员</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人，营业收入为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万元，资产总额为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万元，属于</w:t>
      </w:r>
      <w:r>
        <w:rPr>
          <w:rFonts w:hint="eastAsia" w:ascii="宋体" w:hAnsi="宋体" w:eastAsia="宋体"/>
          <w:sz w:val="24"/>
          <w:szCs w:val="24"/>
          <w:highlight w:val="none"/>
          <w:u w:val="single"/>
          <w:lang w:val="zh-CN"/>
        </w:rPr>
        <w:t>（中型企业、小型企业、微型企业）</w:t>
      </w:r>
      <w:r>
        <w:rPr>
          <w:rFonts w:hint="eastAsia" w:ascii="宋体" w:hAnsi="宋体" w:eastAsia="宋体"/>
          <w:sz w:val="24"/>
          <w:szCs w:val="24"/>
          <w:highlight w:val="none"/>
          <w:lang w:val="zh-CN"/>
        </w:rPr>
        <w:t xml:space="preserve">； </w:t>
      </w:r>
    </w:p>
    <w:p w14:paraId="532F0A06">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w:t>
      </w:r>
    </w:p>
    <w:p w14:paraId="4EA07A72">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以上企业，不属于大企业的分支机构，不存在控股股东为大企业的情形，也不存在与大企业的负责人为同一人的情形。</w:t>
      </w:r>
    </w:p>
    <w:p w14:paraId="7D864153">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 xml:space="preserve">本企业对上述声明内容的真实性负责。如有虚假，将依法承担相应责任。 </w:t>
      </w:r>
    </w:p>
    <w:p w14:paraId="22850C28">
      <w:pPr>
        <w:spacing w:line="360" w:lineRule="auto"/>
        <w:ind w:firstLine="435"/>
        <w:rPr>
          <w:rFonts w:asciiTheme="minorEastAsia" w:hAnsiTheme="minorEastAsia" w:eastAsiaTheme="minorEastAsia"/>
          <w:sz w:val="24"/>
          <w:szCs w:val="24"/>
          <w:highlight w:val="none"/>
        </w:rPr>
      </w:pPr>
    </w:p>
    <w:p w14:paraId="65302FDF">
      <w:pPr>
        <w:spacing w:line="360" w:lineRule="auto"/>
        <w:ind w:firstLine="435"/>
        <w:rPr>
          <w:rFonts w:asciiTheme="minorEastAsia" w:hAnsiTheme="minorEastAsia" w:eastAsiaTheme="minorEastAsia"/>
          <w:sz w:val="24"/>
          <w:szCs w:val="24"/>
          <w:highlight w:val="none"/>
        </w:rPr>
      </w:pPr>
    </w:p>
    <w:p w14:paraId="04A979F2">
      <w:pPr>
        <w:spacing w:line="360" w:lineRule="auto"/>
        <w:ind w:firstLine="4228" w:firstLineChars="176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投标人</w:t>
      </w:r>
      <w:r>
        <w:rPr>
          <w:rFonts w:asciiTheme="minorEastAsia" w:hAnsiTheme="minorEastAsia" w:eastAsiaTheme="minorEastAsia"/>
          <w:sz w:val="24"/>
          <w:szCs w:val="24"/>
          <w:highlight w:val="none"/>
        </w:rPr>
        <w:t>电子签章</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u w:val="single"/>
        </w:rPr>
        <w:t xml:space="preserve">             </w:t>
      </w:r>
    </w:p>
    <w:p w14:paraId="74B7FD05">
      <w:pPr>
        <w:tabs>
          <w:tab w:val="left" w:pos="4620"/>
        </w:tabs>
        <w:spacing w:line="360" w:lineRule="auto"/>
        <w:ind w:firstLine="4252" w:firstLineChars="177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    期：</w:t>
      </w:r>
      <w:r>
        <w:rPr>
          <w:rFonts w:asciiTheme="minorEastAsia" w:hAnsiTheme="minorEastAsia" w:eastAsiaTheme="minorEastAsia"/>
          <w:sz w:val="24"/>
          <w:szCs w:val="24"/>
          <w:highlight w:val="none"/>
          <w:u w:val="single"/>
        </w:rPr>
        <w:t xml:space="preserve">             </w:t>
      </w:r>
    </w:p>
    <w:p w14:paraId="5172AD4A">
      <w:pPr>
        <w:tabs>
          <w:tab w:val="left" w:pos="4620"/>
        </w:tabs>
        <w:spacing w:line="360" w:lineRule="auto"/>
        <w:jc w:val="left"/>
        <w:rPr>
          <w:rFonts w:asciiTheme="minorEastAsia" w:hAnsiTheme="minorEastAsia" w:eastAsiaTheme="minorEastAsia"/>
          <w:sz w:val="24"/>
          <w:szCs w:val="24"/>
          <w:highlight w:val="none"/>
        </w:rPr>
      </w:pPr>
    </w:p>
    <w:p w14:paraId="376ECF1E">
      <w:pPr>
        <w:tabs>
          <w:tab w:val="left" w:pos="4620"/>
        </w:tabs>
        <w:spacing w:line="360" w:lineRule="auto"/>
        <w:jc w:val="left"/>
        <w:rPr>
          <w:rFonts w:asciiTheme="minorEastAsia" w:hAnsiTheme="minorEastAsia" w:eastAsiaTheme="minorEastAsia"/>
          <w:sz w:val="24"/>
          <w:szCs w:val="24"/>
          <w:highlight w:val="none"/>
        </w:rPr>
      </w:pPr>
    </w:p>
    <w:p w14:paraId="310C8692">
      <w:pPr>
        <w:tabs>
          <w:tab w:val="left" w:pos="4620"/>
        </w:tabs>
        <w:spacing w:line="360" w:lineRule="auto"/>
        <w:jc w:val="left"/>
        <w:rPr>
          <w:rFonts w:asciiTheme="minorEastAsia" w:hAnsiTheme="minorEastAsia" w:eastAsiaTheme="minorEastAsia"/>
          <w:sz w:val="24"/>
          <w:szCs w:val="24"/>
          <w:highlight w:val="none"/>
        </w:rPr>
      </w:pPr>
    </w:p>
    <w:p w14:paraId="48934C41">
      <w:pPr>
        <w:tabs>
          <w:tab w:val="left" w:pos="4620"/>
        </w:tabs>
        <w:spacing w:line="360" w:lineRule="auto"/>
        <w:jc w:val="left"/>
        <w:rPr>
          <w:rFonts w:asciiTheme="minorEastAsia" w:hAnsiTheme="minorEastAsia" w:eastAsiaTheme="minorEastAsia"/>
          <w:sz w:val="24"/>
          <w:szCs w:val="24"/>
          <w:highlight w:val="none"/>
        </w:rPr>
      </w:pPr>
    </w:p>
    <w:p w14:paraId="55E142D0">
      <w:pPr>
        <w:tabs>
          <w:tab w:val="left" w:pos="4620"/>
        </w:tabs>
        <w:spacing w:line="360" w:lineRule="auto"/>
        <w:jc w:val="left"/>
        <w:rPr>
          <w:rFonts w:asciiTheme="minorEastAsia" w:hAnsiTheme="minorEastAsia" w:eastAsiaTheme="minorEastAsia"/>
          <w:b/>
          <w:szCs w:val="24"/>
          <w:highlight w:val="none"/>
        </w:rPr>
      </w:pPr>
      <w:r>
        <w:rPr>
          <w:rFonts w:hint="eastAsia" w:asciiTheme="minorEastAsia" w:hAnsiTheme="minorEastAsia" w:eastAsiaTheme="minorEastAsia"/>
          <w:b/>
          <w:szCs w:val="24"/>
          <w:highlight w:val="none"/>
        </w:rPr>
        <w:t>注：</w:t>
      </w:r>
    </w:p>
    <w:p w14:paraId="3DCD004D">
      <w:pPr>
        <w:tabs>
          <w:tab w:val="left" w:pos="4620"/>
        </w:tabs>
        <w:spacing w:line="360" w:lineRule="auto"/>
        <w:rPr>
          <w:rFonts w:asciiTheme="minorEastAsia" w:hAnsiTheme="minorEastAsia" w:eastAsiaTheme="minorEastAsia"/>
          <w:szCs w:val="24"/>
          <w:highlight w:val="none"/>
        </w:rPr>
      </w:pPr>
      <w:r>
        <w:rPr>
          <w:rFonts w:asciiTheme="minorEastAsia" w:hAnsiTheme="minorEastAsia" w:eastAsiaTheme="minorEastAsia"/>
          <w:szCs w:val="24"/>
          <w:highlight w:val="none"/>
        </w:rPr>
        <w:t>1.从业人员、营业收入、资产总额填报上一年数据，无上一年数据的新成立企业可不填报。</w:t>
      </w:r>
    </w:p>
    <w:p w14:paraId="7C916289">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szCs w:val="21"/>
          <w:highlight w:val="none"/>
          <w:lang w:val="zh-CN"/>
        </w:rPr>
        <w:t>如有虚假，将依法承担相应责任。</w:t>
      </w:r>
      <w:r>
        <w:rPr>
          <w:rFonts w:hint="eastAsia" w:ascii="宋体" w:hAnsi="宋体" w:eastAsia="宋体" w:cs="宋体"/>
          <w:b/>
          <w:bCs/>
          <w:szCs w:val="21"/>
          <w:highlight w:val="none"/>
        </w:rPr>
        <w:t>投标人自行登录工业和信息化部官网进行中小企业规模类型自测（查询网址https://www.miit.gov.cn/）。</w:t>
      </w:r>
    </w:p>
    <w:p w14:paraId="707E166E">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3.上述“</w:t>
      </w:r>
      <w:r>
        <w:rPr>
          <w:rFonts w:hint="eastAsia" w:ascii="宋体" w:hAnsi="宋体" w:eastAsia="宋体" w:cs="宋体"/>
          <w:b/>
          <w:bCs/>
          <w:szCs w:val="21"/>
          <w:highlight w:val="none"/>
          <w:u w:val="single"/>
          <w:lang w:val="zh-CN"/>
        </w:rPr>
        <w:t>标的名称</w:t>
      </w:r>
      <w:r>
        <w:rPr>
          <w:rFonts w:hint="eastAsia" w:ascii="宋体" w:hAnsi="宋体" w:eastAsia="宋体" w:cs="宋体"/>
          <w:b/>
          <w:bCs/>
          <w:szCs w:val="21"/>
          <w:highlight w:val="none"/>
        </w:rPr>
        <w:t>”，详见第三章采购需求前附表中明确的“标的名称”。</w:t>
      </w:r>
    </w:p>
    <w:p w14:paraId="302F731F">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4.上述“</w:t>
      </w:r>
      <w:r>
        <w:rPr>
          <w:rFonts w:hint="eastAsia" w:ascii="宋体" w:hAnsi="宋体" w:eastAsia="宋体" w:cs="宋体"/>
          <w:b/>
          <w:bCs/>
          <w:szCs w:val="21"/>
          <w:highlight w:val="none"/>
          <w:u w:val="single"/>
        </w:rPr>
        <w:t>采购文件中明确的所属行业</w:t>
      </w:r>
      <w:r>
        <w:rPr>
          <w:rFonts w:hint="eastAsia" w:ascii="宋体" w:hAnsi="宋体" w:eastAsia="宋体" w:cs="宋体"/>
          <w:b/>
          <w:bCs/>
          <w:szCs w:val="21"/>
          <w:highlight w:val="none"/>
        </w:rPr>
        <w:t>”，详见第三章采购需求前附表中明确的“所属行业”。</w:t>
      </w:r>
    </w:p>
    <w:p w14:paraId="27603B2A">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5．填写示例：</w:t>
      </w:r>
      <w:r>
        <w:rPr>
          <w:rFonts w:hint="eastAsia" w:ascii="宋体" w:hAnsi="宋体" w:eastAsia="宋体" w:cs="宋体"/>
          <w:b/>
          <w:bCs/>
          <w:szCs w:val="21"/>
          <w:highlight w:val="none"/>
          <w:u w:val="single"/>
        </w:rPr>
        <w:t>某标的名称</w:t>
      </w:r>
      <w:r>
        <w:rPr>
          <w:rFonts w:hint="eastAsia" w:ascii="宋体" w:hAnsi="宋体" w:eastAsia="宋体" w:cs="宋体"/>
          <w:b/>
          <w:bCs/>
          <w:szCs w:val="21"/>
          <w:highlight w:val="none"/>
        </w:rPr>
        <w:t>（</w:t>
      </w:r>
      <w:r>
        <w:rPr>
          <w:rFonts w:hint="eastAsia" w:ascii="宋体" w:hAnsi="宋体" w:eastAsia="宋体" w:cs="宋体"/>
          <w:b/>
          <w:bCs/>
          <w:szCs w:val="21"/>
          <w:highlight w:val="none"/>
          <w:u w:val="single"/>
        </w:rPr>
        <w:t>填写第三章采购需求前附表中明确的“标的名称”</w:t>
      </w:r>
      <w:r>
        <w:rPr>
          <w:rFonts w:hint="eastAsia" w:ascii="宋体" w:hAnsi="宋体" w:eastAsia="宋体" w:cs="宋体"/>
          <w:b/>
          <w:bCs/>
          <w:szCs w:val="21"/>
          <w:highlight w:val="none"/>
        </w:rPr>
        <w:t>），属于</w:t>
      </w:r>
      <w:r>
        <w:rPr>
          <w:rFonts w:hint="eastAsia" w:ascii="宋体" w:hAnsi="宋体" w:eastAsia="宋体" w:cs="宋体"/>
          <w:b/>
          <w:bCs/>
          <w:szCs w:val="21"/>
          <w:highlight w:val="none"/>
          <w:u w:val="single"/>
        </w:rPr>
        <w:t>（填写第三章采购需求前附表中明确的“所属行业”，如软件和信息技术服务业）</w:t>
      </w:r>
      <w:r>
        <w:rPr>
          <w:rFonts w:hint="eastAsia" w:ascii="宋体" w:hAnsi="宋体" w:eastAsia="宋体" w:cs="宋体"/>
          <w:b/>
          <w:bCs/>
          <w:szCs w:val="21"/>
          <w:highlight w:val="none"/>
        </w:rPr>
        <w:t>行业；承接企业为</w:t>
      </w:r>
      <w:r>
        <w:rPr>
          <w:rFonts w:hint="eastAsia" w:ascii="宋体" w:hAnsi="宋体" w:eastAsia="宋体" w:cs="宋体"/>
          <w:b/>
          <w:bCs/>
          <w:szCs w:val="21"/>
          <w:highlight w:val="none"/>
          <w:u w:val="single"/>
          <w:lang w:val="zh-CN"/>
        </w:rPr>
        <w:t>某</w:t>
      </w:r>
      <w:r>
        <w:rPr>
          <w:rFonts w:hint="eastAsia" w:ascii="宋体" w:hAnsi="宋体" w:eastAsia="宋体" w:cs="宋体"/>
          <w:b/>
          <w:bCs/>
          <w:szCs w:val="21"/>
          <w:highlight w:val="none"/>
          <w:u w:val="single"/>
        </w:rPr>
        <w:t>企业</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从业人员</w:t>
      </w:r>
      <w:r>
        <w:rPr>
          <w:rFonts w:hint="eastAsia" w:ascii="宋体" w:hAnsi="宋体" w:eastAsia="宋体" w:cs="宋体"/>
          <w:b/>
          <w:bCs/>
          <w:szCs w:val="21"/>
          <w:highlight w:val="none"/>
          <w:u w:val="single"/>
        </w:rPr>
        <w:t>100</w:t>
      </w:r>
      <w:r>
        <w:rPr>
          <w:rFonts w:hint="eastAsia" w:ascii="宋体" w:hAnsi="宋体" w:eastAsia="宋体" w:cs="宋体"/>
          <w:b/>
          <w:bCs/>
          <w:szCs w:val="21"/>
          <w:highlight w:val="none"/>
          <w:lang w:val="zh-CN"/>
        </w:rPr>
        <w:t>人</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营业收入为</w:t>
      </w:r>
      <w:r>
        <w:rPr>
          <w:rFonts w:hint="eastAsia" w:ascii="宋体" w:hAnsi="宋体" w:eastAsia="宋体" w:cs="宋体"/>
          <w:b/>
          <w:bCs/>
          <w:szCs w:val="21"/>
          <w:highlight w:val="none"/>
          <w:u w:val="single"/>
        </w:rPr>
        <w:t>10000</w:t>
      </w:r>
      <w:r>
        <w:rPr>
          <w:rFonts w:hint="eastAsia" w:ascii="宋体" w:hAnsi="宋体" w:eastAsia="宋体" w:cs="宋体"/>
          <w:b/>
          <w:bCs/>
          <w:szCs w:val="21"/>
          <w:highlight w:val="none"/>
          <w:lang w:val="zh-CN"/>
        </w:rPr>
        <w:t>万元</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资产总额为</w:t>
      </w:r>
      <w:r>
        <w:rPr>
          <w:rFonts w:hint="eastAsia" w:ascii="宋体" w:hAnsi="宋体" w:eastAsia="宋体" w:cs="宋体"/>
          <w:b/>
          <w:bCs/>
          <w:szCs w:val="21"/>
          <w:highlight w:val="none"/>
          <w:u w:val="single"/>
        </w:rPr>
        <w:t>5000</w:t>
      </w:r>
      <w:r>
        <w:rPr>
          <w:rFonts w:hint="eastAsia" w:ascii="宋体" w:hAnsi="宋体" w:eastAsia="宋体" w:cs="宋体"/>
          <w:b/>
          <w:bCs/>
          <w:szCs w:val="21"/>
          <w:highlight w:val="none"/>
          <w:lang w:val="zh-CN"/>
        </w:rPr>
        <w:t>万元</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属于</w:t>
      </w:r>
      <w:r>
        <w:rPr>
          <w:rFonts w:hint="eastAsia" w:ascii="宋体" w:hAnsi="宋体" w:eastAsia="宋体" w:cs="宋体"/>
          <w:b/>
          <w:bCs/>
          <w:szCs w:val="21"/>
          <w:highlight w:val="none"/>
        </w:rPr>
        <w:t>中</w:t>
      </w:r>
      <w:r>
        <w:rPr>
          <w:rFonts w:hint="eastAsia" w:ascii="宋体" w:hAnsi="宋体" w:eastAsia="宋体" w:cs="宋体"/>
          <w:b/>
          <w:bCs/>
          <w:szCs w:val="21"/>
          <w:highlight w:val="none"/>
          <w:u w:val="single"/>
          <w:lang w:val="zh-CN"/>
        </w:rPr>
        <w:t>型</w:t>
      </w:r>
      <w:r>
        <w:rPr>
          <w:rFonts w:hint="eastAsia" w:ascii="宋体" w:hAnsi="宋体" w:eastAsia="宋体" w:cs="宋体"/>
          <w:b/>
          <w:bCs/>
          <w:szCs w:val="21"/>
          <w:highlight w:val="none"/>
          <w:lang w:val="zh-CN"/>
        </w:rPr>
        <w:t>企业</w:t>
      </w:r>
      <w:r>
        <w:rPr>
          <w:rFonts w:hint="eastAsia" w:ascii="宋体" w:hAnsi="宋体" w:eastAsia="宋体" w:cs="宋体"/>
          <w:b/>
          <w:bCs/>
          <w:szCs w:val="21"/>
          <w:highlight w:val="none"/>
        </w:rPr>
        <w:t>[投标人自行登录工业和信息化部官网进行中小企业规模类型自测（查询网址https://www.miit.gov.cn/）]</w:t>
      </w:r>
      <w:r>
        <w:rPr>
          <w:rFonts w:hint="eastAsia" w:ascii="宋体" w:hAnsi="宋体" w:eastAsia="宋体" w:cs="宋体"/>
          <w:b/>
          <w:bCs/>
          <w:szCs w:val="21"/>
          <w:highlight w:val="none"/>
          <w:lang w:val="zh-CN"/>
        </w:rPr>
        <w:t>。</w:t>
      </w:r>
    </w:p>
    <w:p w14:paraId="31CA7800">
      <w:pPr>
        <w:pStyle w:val="8"/>
        <w:rPr>
          <w:rFonts w:asciiTheme="minorEastAsia" w:hAnsiTheme="minorEastAsia" w:eastAsiaTheme="minorEastAsia"/>
          <w:b/>
          <w:bCs/>
          <w:highlight w:val="none"/>
          <w:lang w:val="en-US"/>
        </w:rPr>
      </w:pPr>
    </w:p>
    <w:p w14:paraId="3F6A6540">
      <w:pPr>
        <w:rPr>
          <w:rFonts w:asciiTheme="minorEastAsia" w:hAnsiTheme="minorEastAsia" w:eastAsiaTheme="minorEastAsia"/>
          <w:b/>
          <w:sz w:val="24"/>
          <w:highlight w:val="none"/>
        </w:rPr>
      </w:pPr>
      <w:bookmarkStart w:id="208" w:name="_Toc16713"/>
      <w:r>
        <w:rPr>
          <w:rFonts w:hint="eastAsia" w:asciiTheme="minorEastAsia" w:hAnsiTheme="minorEastAsia" w:eastAsiaTheme="minorEastAsia"/>
          <w:b/>
          <w:sz w:val="24"/>
          <w:highlight w:val="none"/>
        </w:rPr>
        <w:br w:type="page"/>
      </w:r>
    </w:p>
    <w:p w14:paraId="6FBB2C80">
      <w:pPr>
        <w:spacing w:line="360" w:lineRule="auto"/>
        <w:jc w:val="center"/>
        <w:outlineLvl w:val="1"/>
        <w:rPr>
          <w:rFonts w:asciiTheme="minorEastAsia" w:hAnsiTheme="minorEastAsia" w:eastAsiaTheme="minorEastAsia"/>
          <w:b/>
          <w:sz w:val="24"/>
          <w:highlight w:val="none"/>
        </w:rPr>
      </w:pPr>
      <w:bookmarkStart w:id="209" w:name="_Toc17315"/>
      <w:r>
        <w:rPr>
          <w:rFonts w:hint="eastAsia" w:asciiTheme="minorEastAsia" w:hAnsiTheme="minorEastAsia" w:eastAsiaTheme="minorEastAsia"/>
          <w:b/>
          <w:sz w:val="24"/>
          <w:highlight w:val="none"/>
        </w:rPr>
        <w:t>八、残疾人福利性单位声明函</w:t>
      </w:r>
      <w:bookmarkEnd w:id="208"/>
      <w:bookmarkEnd w:id="209"/>
    </w:p>
    <w:p w14:paraId="7AA72C0C">
      <w:pPr>
        <w:pStyle w:val="8"/>
        <w:jc w:val="center"/>
        <w:rPr>
          <w:rFonts w:ascii="宋体" w:hAnsi="宋体" w:eastAsia="宋体"/>
          <w:i/>
          <w:sz w:val="24"/>
          <w:highlight w:val="none"/>
          <w:lang w:val="en-US"/>
        </w:rPr>
      </w:pPr>
      <w:r>
        <w:rPr>
          <w:rFonts w:hint="eastAsia" w:ascii="宋体" w:hAnsi="宋体" w:eastAsia="宋体"/>
          <w:i/>
          <w:sz w:val="24"/>
          <w:highlight w:val="none"/>
          <w:lang w:val="en-US"/>
        </w:rPr>
        <w:t>（非残疾人福利性单位投标，请删去“残疾人福利性单位声明函”）</w:t>
      </w:r>
    </w:p>
    <w:p w14:paraId="7A51CACE">
      <w:pPr>
        <w:spacing w:line="360" w:lineRule="auto"/>
        <w:ind w:firstLine="435"/>
        <w:rPr>
          <w:rFonts w:asciiTheme="minorEastAsia" w:hAnsiTheme="minorEastAsia" w:eastAsiaTheme="minorEastAsia"/>
          <w:spacing w:val="6"/>
          <w:sz w:val="24"/>
          <w:szCs w:val="24"/>
          <w:highlight w:val="none"/>
        </w:rPr>
      </w:pPr>
      <w:r>
        <w:rPr>
          <w:rFonts w:hint="eastAsia" w:asciiTheme="minorEastAsia" w:hAnsiTheme="minorEastAsia" w:eastAsiaTheme="minorEastAsia"/>
          <w:spacing w:val="6"/>
          <w:sz w:val="24"/>
          <w:szCs w:val="24"/>
          <w:highlight w:val="none"/>
        </w:rPr>
        <w:t>本单位</w:t>
      </w:r>
      <w:r>
        <w:rPr>
          <w:rFonts w:hint="eastAsia" w:asciiTheme="minorEastAsia" w:hAnsiTheme="minorEastAsia" w:eastAsiaTheme="minorEastAsia"/>
          <w:sz w:val="24"/>
          <w:highlight w:val="none"/>
        </w:rPr>
        <w:t>郑重</w:t>
      </w:r>
      <w:r>
        <w:rPr>
          <w:rFonts w:hint="eastAsia" w:asciiTheme="minorEastAsia" w:hAnsiTheme="minorEastAsia" w:eastAsiaTheme="minorEastAsia"/>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sz w:val="24"/>
          <w:szCs w:val="24"/>
          <w:highlight w:val="none"/>
        </w:rPr>
        <w:t>〔2017〕141</w:t>
      </w:r>
      <w:r>
        <w:rPr>
          <w:rFonts w:hint="eastAsia" w:asciiTheme="minorEastAsia" w:hAnsiTheme="minorEastAsia" w:eastAsiaTheme="minorEastAsia"/>
          <w:spacing w:val="6"/>
          <w:sz w:val="24"/>
          <w:szCs w:val="24"/>
          <w:highlight w:val="none"/>
        </w:rPr>
        <w:t>号）的规定，本单位为</w:t>
      </w:r>
      <w:r>
        <w:rPr>
          <w:rFonts w:hint="eastAsia" w:asciiTheme="minorEastAsia" w:hAnsiTheme="minorEastAsia" w:eastAsiaTheme="minorEastAsia"/>
          <w:bCs/>
          <w:sz w:val="24"/>
          <w:szCs w:val="24"/>
          <w:highlight w:val="none"/>
        </w:rPr>
        <w:t>符合</w:t>
      </w:r>
      <w:r>
        <w:rPr>
          <w:rFonts w:hint="eastAsia" w:asciiTheme="minorEastAsia" w:hAnsiTheme="minorEastAsia" w:eastAsiaTheme="minorEastAsia"/>
          <w:spacing w:val="6"/>
          <w:sz w:val="24"/>
          <w:szCs w:val="24"/>
          <w:highlight w:val="none"/>
        </w:rPr>
        <w:t>条件的残疾人福利性单位，且本单位参加</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单位的</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2EDE4A2E">
      <w:pPr>
        <w:spacing w:line="360" w:lineRule="auto"/>
        <w:ind w:firstLine="435"/>
        <w:rPr>
          <w:rFonts w:asciiTheme="minorEastAsia" w:hAnsiTheme="minorEastAsia" w:eastAsiaTheme="minorEastAsia"/>
          <w:spacing w:val="6"/>
          <w:sz w:val="24"/>
          <w:szCs w:val="24"/>
          <w:highlight w:val="none"/>
        </w:rPr>
      </w:pPr>
      <w:r>
        <w:rPr>
          <w:rFonts w:hint="eastAsia" w:asciiTheme="minorEastAsia" w:hAnsiTheme="minorEastAsia" w:eastAsiaTheme="minorEastAsia"/>
          <w:spacing w:val="6"/>
          <w:sz w:val="24"/>
          <w:szCs w:val="24"/>
          <w:highlight w:val="none"/>
        </w:rPr>
        <w:t>本单位对上述声明的真实性负责。如有虚假，将依法承担相应责任。</w:t>
      </w:r>
    </w:p>
    <w:p w14:paraId="20D09E9B">
      <w:pPr>
        <w:spacing w:line="360" w:lineRule="auto"/>
        <w:ind w:firstLine="4228" w:firstLineChars="1762"/>
        <w:rPr>
          <w:rFonts w:asciiTheme="minorEastAsia" w:hAnsiTheme="minorEastAsia" w:eastAsiaTheme="minorEastAsia"/>
          <w:sz w:val="24"/>
          <w:szCs w:val="24"/>
          <w:highlight w:val="none"/>
        </w:rPr>
      </w:pPr>
    </w:p>
    <w:p w14:paraId="7E615641">
      <w:pPr>
        <w:spacing w:line="360" w:lineRule="auto"/>
        <w:ind w:firstLine="4228" w:firstLineChars="1762"/>
        <w:rPr>
          <w:rFonts w:asciiTheme="minorEastAsia" w:hAnsiTheme="minorEastAsia" w:eastAsiaTheme="minorEastAsia"/>
          <w:sz w:val="24"/>
          <w:szCs w:val="24"/>
          <w:highlight w:val="none"/>
        </w:rPr>
      </w:pPr>
    </w:p>
    <w:p w14:paraId="7736F36C">
      <w:pPr>
        <w:spacing w:line="360" w:lineRule="auto"/>
        <w:ind w:firstLine="4228" w:firstLineChars="176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投标人</w:t>
      </w:r>
      <w:r>
        <w:rPr>
          <w:rFonts w:asciiTheme="minorEastAsia" w:hAnsiTheme="minorEastAsia" w:eastAsiaTheme="minorEastAsia"/>
          <w:sz w:val="24"/>
          <w:szCs w:val="24"/>
          <w:highlight w:val="none"/>
        </w:rPr>
        <w:t>电子签章</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u w:val="single"/>
        </w:rPr>
        <w:t xml:space="preserve">             </w:t>
      </w:r>
    </w:p>
    <w:p w14:paraId="12256129">
      <w:pPr>
        <w:tabs>
          <w:tab w:val="left" w:pos="4620"/>
        </w:tabs>
        <w:spacing w:line="360" w:lineRule="auto"/>
        <w:ind w:firstLine="4252" w:firstLineChars="177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    期：</w:t>
      </w:r>
      <w:r>
        <w:rPr>
          <w:rFonts w:asciiTheme="minorEastAsia" w:hAnsiTheme="minorEastAsia" w:eastAsiaTheme="minorEastAsia"/>
          <w:sz w:val="24"/>
          <w:szCs w:val="24"/>
          <w:highlight w:val="none"/>
          <w:u w:val="single"/>
        </w:rPr>
        <w:t xml:space="preserve">             </w:t>
      </w:r>
    </w:p>
    <w:p w14:paraId="3F0D1D2A">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7524A1BB">
      <w:pPr>
        <w:spacing w:line="360" w:lineRule="auto"/>
        <w:jc w:val="center"/>
        <w:outlineLvl w:val="1"/>
        <w:rPr>
          <w:rFonts w:asciiTheme="minorEastAsia" w:hAnsiTheme="minorEastAsia" w:eastAsiaTheme="minorEastAsia"/>
          <w:b/>
          <w:sz w:val="24"/>
          <w:highlight w:val="none"/>
        </w:rPr>
      </w:pPr>
      <w:bookmarkStart w:id="210" w:name="_Toc457768004"/>
      <w:bookmarkStart w:id="211" w:name="_Toc520299348"/>
      <w:bookmarkStart w:id="212" w:name="_Toc300210382"/>
      <w:bookmarkStart w:id="213" w:name="_Toc23860"/>
      <w:bookmarkStart w:id="214" w:name="_Toc26536"/>
      <w:bookmarkStart w:id="215" w:name="_Hlk11701496"/>
      <w:r>
        <w:rPr>
          <w:rFonts w:hint="eastAsia" w:asciiTheme="minorEastAsia" w:hAnsiTheme="minorEastAsia" w:eastAsiaTheme="minorEastAsia"/>
          <w:b/>
          <w:sz w:val="24"/>
          <w:highlight w:val="none"/>
        </w:rPr>
        <w:t>九、</w:t>
      </w:r>
      <w:bookmarkEnd w:id="210"/>
      <w:bookmarkEnd w:id="211"/>
      <w:bookmarkEnd w:id="212"/>
      <w:r>
        <w:rPr>
          <w:rFonts w:hint="eastAsia" w:asciiTheme="minorEastAsia" w:hAnsiTheme="minorEastAsia" w:eastAsiaTheme="minorEastAsia"/>
          <w:b/>
          <w:sz w:val="24"/>
          <w:highlight w:val="none"/>
        </w:rPr>
        <w:t>诚信履约承诺函</w:t>
      </w:r>
      <w:bookmarkEnd w:id="213"/>
      <w:bookmarkEnd w:id="214"/>
    </w:p>
    <w:p w14:paraId="195D7C18">
      <w:pPr>
        <w:spacing w:line="360" w:lineRule="auto"/>
        <w:rPr>
          <w:rFonts w:asciiTheme="minorEastAsia" w:hAnsiTheme="minorEastAsia" w:eastAsiaTheme="minorEastAsia"/>
          <w:b/>
          <w:bCs/>
          <w:sz w:val="24"/>
          <w:highlight w:val="none"/>
        </w:rPr>
      </w:pPr>
    </w:p>
    <w:p w14:paraId="326E739F">
      <w:pPr>
        <w:spacing w:line="360" w:lineRule="auto"/>
        <w:rPr>
          <w:rFonts w:asciiTheme="minorEastAsia" w:hAnsiTheme="minorEastAsia" w:eastAsiaTheme="minorEastAsia"/>
          <w:b/>
          <w:bCs/>
          <w:sz w:val="24"/>
          <w:highlight w:val="none"/>
          <w:u w:val="single"/>
        </w:rPr>
      </w:pPr>
      <w:r>
        <w:rPr>
          <w:rFonts w:hint="eastAsia" w:asciiTheme="minorEastAsia" w:hAnsiTheme="minorEastAsia" w:eastAsiaTheme="minorEastAsia"/>
          <w:b/>
          <w:bCs/>
          <w:sz w:val="24"/>
          <w:highlight w:val="none"/>
        </w:rPr>
        <w:t>致：招标人</w:t>
      </w:r>
    </w:p>
    <w:p w14:paraId="52565880">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558E1A1D">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（1）中标或者成交后无正当理由拒不与招标人签订政府采购合同；</w:t>
      </w:r>
    </w:p>
    <w:p w14:paraId="478CAECA">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（2）未按照采购文件确定的事项签订政府采购合同；</w:t>
      </w:r>
    </w:p>
    <w:p w14:paraId="7B1A5691">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（3）将政府采购合同转包；</w:t>
      </w:r>
    </w:p>
    <w:p w14:paraId="3C77FB0D">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（4）提供假冒伪劣产品；</w:t>
      </w:r>
    </w:p>
    <w:p w14:paraId="61E6FDA8">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（5）擅自变更、中止或者终止政府采购合同。</w:t>
      </w:r>
    </w:p>
    <w:p w14:paraId="759E115C">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C0CF5E0">
      <w:pPr>
        <w:spacing w:line="360" w:lineRule="auto"/>
        <w:rPr>
          <w:rFonts w:asciiTheme="minorEastAsia" w:hAnsiTheme="minorEastAsia" w:eastAsiaTheme="minorEastAsia"/>
          <w:bCs/>
          <w:sz w:val="24"/>
          <w:highlight w:val="none"/>
        </w:rPr>
      </w:pPr>
    </w:p>
    <w:p w14:paraId="28416B2B">
      <w:pPr>
        <w:spacing w:line="360" w:lineRule="auto"/>
        <w:rPr>
          <w:rFonts w:asciiTheme="minorEastAsia" w:hAnsiTheme="minorEastAsia" w:eastAsiaTheme="minorEastAsia"/>
          <w:bCs/>
          <w:sz w:val="24"/>
          <w:highlight w:val="none"/>
        </w:rPr>
      </w:pPr>
    </w:p>
    <w:p w14:paraId="70B90D76">
      <w:pPr>
        <w:spacing w:line="360" w:lineRule="auto"/>
        <w:ind w:firstLine="4320" w:firstLineChars="18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06465498">
      <w:pPr>
        <w:spacing w:line="360" w:lineRule="auto"/>
        <w:ind w:firstLine="4320" w:firstLineChars="18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5327EDE9">
      <w:pPr>
        <w:widowControl/>
        <w:jc w:val="left"/>
        <w:rPr>
          <w:rFonts w:ascii="宋体" w:hAnsi="宋体" w:eastAsia="宋体" w:cs="Arial"/>
          <w:sz w:val="24"/>
          <w:highlight w:val="none"/>
        </w:rPr>
      </w:pPr>
      <w:r>
        <w:rPr>
          <w:rFonts w:ascii="宋体" w:hAnsi="宋体" w:eastAsia="宋体" w:cs="Arial"/>
          <w:sz w:val="24"/>
          <w:highlight w:val="none"/>
        </w:rPr>
        <w:br w:type="page"/>
      </w:r>
    </w:p>
    <w:bookmarkEnd w:id="215"/>
    <w:p w14:paraId="3DDEE14E">
      <w:pPr>
        <w:spacing w:line="360" w:lineRule="auto"/>
        <w:jc w:val="center"/>
        <w:outlineLvl w:val="1"/>
        <w:rPr>
          <w:rFonts w:asciiTheme="minorEastAsia" w:hAnsiTheme="minorEastAsia" w:eastAsiaTheme="minorEastAsia"/>
          <w:b/>
          <w:sz w:val="24"/>
          <w:highlight w:val="none"/>
        </w:rPr>
      </w:pPr>
      <w:bookmarkStart w:id="216" w:name="_Toc32633"/>
      <w:bookmarkStart w:id="217" w:name="_Toc31807"/>
      <w:r>
        <w:rPr>
          <w:rFonts w:hint="eastAsia" w:asciiTheme="minorEastAsia" w:hAnsiTheme="minorEastAsia" w:eastAsiaTheme="minorEastAsia"/>
          <w:b/>
          <w:sz w:val="24"/>
          <w:highlight w:val="none"/>
        </w:rPr>
        <w:t>十、其他相关证明材料</w:t>
      </w:r>
      <w:bookmarkEnd w:id="216"/>
      <w:bookmarkEnd w:id="217"/>
    </w:p>
    <w:p w14:paraId="2A76492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提供符合投标邀请、采购需求及评标方法和标准规定的相关证明文件。</w:t>
      </w:r>
    </w:p>
    <w:p w14:paraId="16E017A9">
      <w:pPr>
        <w:spacing w:line="360" w:lineRule="auto"/>
        <w:ind w:firstLine="480" w:firstLineChars="200"/>
        <w:rPr>
          <w:rFonts w:asciiTheme="minorEastAsia" w:hAnsiTheme="minorEastAsia" w:eastAsiaTheme="minorEastAsia"/>
          <w:sz w:val="24"/>
          <w:highlight w:val="none"/>
        </w:rPr>
      </w:pPr>
    </w:p>
    <w:p w14:paraId="2DF8695D">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特别提示：</w:t>
      </w:r>
    </w:p>
    <w:p w14:paraId="2DEEECC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投标人在投标文件制作时可在此栏内上传</w:t>
      </w:r>
      <w:r>
        <w:rPr>
          <w:rFonts w:asciiTheme="minorEastAsia" w:hAnsiTheme="minorEastAsia" w:eastAsiaTheme="minorEastAsia"/>
          <w:sz w:val="24"/>
          <w:highlight w:val="none"/>
        </w:rPr>
        <w:t>招标文件要求上传的证明资料</w:t>
      </w:r>
      <w:r>
        <w:rPr>
          <w:rFonts w:hint="eastAsia" w:asciiTheme="minorEastAsia" w:hAnsiTheme="minorEastAsia" w:eastAsiaTheme="minorEastAsia"/>
          <w:sz w:val="24"/>
          <w:highlight w:val="none"/>
        </w:rPr>
        <w:t>，如营业执照、证书</w:t>
      </w:r>
      <w:r>
        <w:rPr>
          <w:rFonts w:asciiTheme="minorEastAsia" w:hAnsiTheme="minorEastAsia" w:eastAsiaTheme="minorEastAsia"/>
          <w:sz w:val="24"/>
          <w:highlight w:val="none"/>
        </w:rPr>
        <w:t>等，应将上述证明材料制作成扫描件上传。</w:t>
      </w:r>
    </w:p>
    <w:p w14:paraId="41FD6508">
      <w:pPr>
        <w:widowControl/>
        <w:jc w:val="left"/>
        <w:rPr>
          <w:rFonts w:ascii="宋体" w:hAnsi="宋体" w:eastAsia="宋体"/>
          <w:bCs/>
          <w:sz w:val="24"/>
          <w:highlight w:val="none"/>
        </w:rPr>
      </w:pPr>
      <w:r>
        <w:rPr>
          <w:rFonts w:ascii="宋体" w:hAnsi="宋体" w:eastAsia="宋体"/>
          <w:bCs/>
          <w:sz w:val="24"/>
          <w:highlight w:val="none"/>
        </w:rPr>
        <w:br w:type="page"/>
      </w:r>
    </w:p>
    <w:p w14:paraId="3119B13C">
      <w:pPr>
        <w:spacing w:line="360" w:lineRule="auto"/>
        <w:jc w:val="center"/>
        <w:outlineLvl w:val="0"/>
        <w:rPr>
          <w:rFonts w:ascii="宋体" w:hAnsi="宋体" w:eastAsia="宋体"/>
          <w:b/>
          <w:bCs/>
          <w:sz w:val="28"/>
          <w:highlight w:val="none"/>
        </w:rPr>
      </w:pPr>
      <w:bookmarkStart w:id="218" w:name="_Toc20819"/>
      <w:bookmarkStart w:id="219" w:name="_Toc6435"/>
      <w:bookmarkStart w:id="232" w:name="_GoBack"/>
      <w:bookmarkEnd w:id="232"/>
      <w:r>
        <w:rPr>
          <w:rFonts w:hint="eastAsia" w:asciiTheme="minorEastAsia" w:hAnsiTheme="minorEastAsia" w:eastAsiaTheme="minorEastAsia"/>
          <w:b/>
          <w:sz w:val="28"/>
          <w:highlight w:val="none"/>
        </w:rPr>
        <w:t>第七章</w:t>
      </w:r>
      <w:r>
        <w:rPr>
          <w:rFonts w:hint="eastAsia" w:ascii="宋体" w:hAnsi="宋体" w:eastAsia="宋体"/>
          <w:b/>
          <w:bCs/>
          <w:sz w:val="28"/>
          <w:highlight w:val="none"/>
        </w:rPr>
        <w:t xml:space="preserve">  政府采购</w:t>
      </w:r>
      <w:r>
        <w:rPr>
          <w:rFonts w:hint="eastAsia" w:asciiTheme="minorEastAsia" w:hAnsiTheme="minorEastAsia" w:eastAsiaTheme="minorEastAsia"/>
          <w:b/>
          <w:sz w:val="28"/>
          <w:highlight w:val="none"/>
        </w:rPr>
        <w:t>供应</w:t>
      </w:r>
      <w:r>
        <w:rPr>
          <w:rFonts w:hint="eastAsia" w:ascii="宋体" w:hAnsi="宋体" w:eastAsia="宋体"/>
          <w:b/>
          <w:bCs/>
          <w:sz w:val="28"/>
          <w:highlight w:val="none"/>
        </w:rPr>
        <w:t>商询问函和质疑函范本</w:t>
      </w:r>
      <w:bookmarkEnd w:id="218"/>
      <w:bookmarkEnd w:id="219"/>
    </w:p>
    <w:p w14:paraId="41B10FA8">
      <w:pPr>
        <w:spacing w:line="360" w:lineRule="auto"/>
        <w:jc w:val="center"/>
        <w:outlineLvl w:val="1"/>
        <w:rPr>
          <w:rFonts w:ascii="仿宋" w:hAnsi="仿宋" w:eastAsia="仿宋" w:cs="仿宋"/>
          <w:b/>
          <w:bCs/>
          <w:sz w:val="32"/>
          <w:szCs w:val="44"/>
          <w:highlight w:val="none"/>
        </w:rPr>
      </w:pPr>
      <w:bookmarkStart w:id="220" w:name="_Toc6955"/>
      <w:bookmarkStart w:id="221" w:name="_Toc27159"/>
      <w:r>
        <w:rPr>
          <w:rFonts w:hint="eastAsia" w:ascii="仿宋" w:hAnsi="仿宋" w:eastAsia="仿宋" w:cs="仿宋"/>
          <w:b/>
          <w:bCs/>
          <w:sz w:val="32"/>
          <w:szCs w:val="44"/>
          <w:highlight w:val="none"/>
        </w:rPr>
        <w:t>询问函范本</w:t>
      </w:r>
      <w:bookmarkEnd w:id="220"/>
      <w:bookmarkEnd w:id="221"/>
    </w:p>
    <w:p w14:paraId="40B27719">
      <w:pPr>
        <w:adjustRightInd w:val="0"/>
        <w:snapToGrid w:val="0"/>
        <w:spacing w:line="360" w:lineRule="auto"/>
        <w:ind w:firstLine="480" w:firstLineChars="200"/>
        <w:jc w:val="center"/>
        <w:rPr>
          <w:rFonts w:ascii="仿宋" w:hAnsi="仿宋" w:eastAsia="仿宋" w:cs="仿宋"/>
          <w:b/>
          <w:bCs/>
          <w:sz w:val="32"/>
          <w:szCs w:val="44"/>
          <w:highlight w:val="none"/>
        </w:rPr>
      </w:pPr>
      <w:r>
        <w:rPr>
          <w:rFonts w:hint="eastAsia" w:cs="仿宋" w:asciiTheme="minorEastAsia" w:hAnsiTheme="minorEastAsia" w:eastAsiaTheme="minorEastAsia"/>
          <w:i/>
          <w:iCs/>
          <w:sz w:val="24"/>
          <w:szCs w:val="24"/>
          <w:highlight w:val="none"/>
        </w:rPr>
        <w:t>（如为对采购文件或采购程序的询问或疑问，请按询问函范本或电子交易系统中网上询问格式附件进行提交）</w:t>
      </w:r>
    </w:p>
    <w:p w14:paraId="198FD679">
      <w:pPr>
        <w:adjustRightInd w:val="0"/>
        <w:snapToGrid w:val="0"/>
        <w:spacing w:line="360" w:lineRule="auto"/>
        <w:rPr>
          <w:rFonts w:cs="仿宋" w:asciiTheme="minorEastAsia" w:hAnsiTheme="minorEastAsia" w:eastAsiaTheme="minorEastAsia"/>
          <w:b/>
          <w:bCs/>
          <w:sz w:val="24"/>
          <w:szCs w:val="24"/>
          <w:highlight w:val="none"/>
          <w:u w:val="single"/>
        </w:rPr>
      </w:pPr>
      <w:r>
        <w:rPr>
          <w:rFonts w:hint="eastAsia" w:cs="仿宋" w:asciiTheme="minorEastAsia" w:hAnsiTheme="minorEastAsia" w:eastAsiaTheme="minorEastAsia"/>
          <w:b/>
          <w:bCs/>
          <w:sz w:val="24"/>
          <w:szCs w:val="24"/>
          <w:highlight w:val="none"/>
        </w:rPr>
        <w:t>致：招标人</w:t>
      </w:r>
    </w:p>
    <w:p w14:paraId="3E239202">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我单位拟参与</w:t>
      </w:r>
      <w:r>
        <w:rPr>
          <w:rFonts w:hint="eastAsia" w:cs="仿宋" w:asciiTheme="minorEastAsia" w:hAnsiTheme="minorEastAsia" w:eastAsiaTheme="minorEastAsia"/>
          <w:sz w:val="24"/>
          <w:szCs w:val="24"/>
          <w:highlight w:val="none"/>
          <w:u w:val="single"/>
        </w:rPr>
        <w:t xml:space="preserve">           </w:t>
      </w:r>
      <w:r>
        <w:rPr>
          <w:rFonts w:hint="eastAsia" w:cs="仿宋" w:asciiTheme="minorEastAsia" w:hAnsiTheme="minorEastAsia" w:eastAsiaTheme="minorEastAsia"/>
          <w:sz w:val="24"/>
          <w:szCs w:val="24"/>
          <w:highlight w:val="none"/>
        </w:rPr>
        <w:t>（</w:t>
      </w:r>
      <w:r>
        <w:rPr>
          <w:rFonts w:hint="eastAsia" w:cs="仿宋" w:asciiTheme="minorEastAsia" w:hAnsiTheme="minorEastAsia" w:eastAsiaTheme="minorEastAsia"/>
          <w:i/>
          <w:iCs/>
          <w:sz w:val="24"/>
          <w:szCs w:val="24"/>
          <w:highlight w:val="none"/>
        </w:rPr>
        <w:t>项目名称、编号</w:t>
      </w:r>
      <w:r>
        <w:rPr>
          <w:rFonts w:hint="eastAsia" w:cs="仿宋" w:asciiTheme="minorEastAsia" w:hAnsiTheme="minorEastAsia" w:eastAsiaTheme="minorEastAsia"/>
          <w:sz w:val="24"/>
          <w:szCs w:val="24"/>
          <w:highlight w:val="none"/>
        </w:rPr>
        <w:t>）的采购活动，现有以下内容(或条款)存在疑问(或无法理解)，特提出询问。</w:t>
      </w:r>
    </w:p>
    <w:p w14:paraId="75A53D73">
      <w:pPr>
        <w:adjustRightInd w:val="0"/>
        <w:snapToGrid w:val="0"/>
        <w:spacing w:line="360" w:lineRule="auto"/>
        <w:ind w:firstLine="480" w:firstLineChars="200"/>
        <w:rPr>
          <w:rFonts w:cs="仿宋" w:asciiTheme="minorEastAsia" w:hAnsiTheme="minorEastAsia" w:eastAsiaTheme="minorEastAsia"/>
          <w:sz w:val="24"/>
          <w:szCs w:val="24"/>
          <w:highlight w:val="none"/>
        </w:rPr>
      </w:pPr>
      <w:bookmarkStart w:id="222" w:name="_Toc13899"/>
      <w:r>
        <w:rPr>
          <w:rFonts w:hint="eastAsia" w:cs="仿宋" w:asciiTheme="minorEastAsia" w:hAnsiTheme="minorEastAsia" w:eastAsiaTheme="minorEastAsia"/>
          <w:sz w:val="24"/>
          <w:szCs w:val="24"/>
          <w:highlight w:val="none"/>
        </w:rPr>
        <w:t>一、(事项一)</w:t>
      </w:r>
      <w:bookmarkEnd w:id="222"/>
    </w:p>
    <w:p w14:paraId="5F33661A">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1、(内容或条款)</w:t>
      </w:r>
    </w:p>
    <w:p w14:paraId="51E0E111">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2、(说明疑问或无法理解原因)</w:t>
      </w:r>
    </w:p>
    <w:p w14:paraId="3B27190D">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3、(建议)</w:t>
      </w:r>
    </w:p>
    <w:p w14:paraId="65F8D353">
      <w:pPr>
        <w:adjustRightInd w:val="0"/>
        <w:snapToGrid w:val="0"/>
        <w:spacing w:line="360" w:lineRule="auto"/>
        <w:ind w:firstLine="480" w:firstLineChars="200"/>
        <w:rPr>
          <w:rFonts w:cs="仿宋" w:asciiTheme="minorEastAsia" w:hAnsiTheme="minorEastAsia" w:eastAsiaTheme="minorEastAsia"/>
          <w:sz w:val="24"/>
          <w:szCs w:val="24"/>
          <w:highlight w:val="none"/>
        </w:rPr>
      </w:pPr>
      <w:bookmarkStart w:id="223" w:name="_Toc3352"/>
      <w:r>
        <w:rPr>
          <w:rFonts w:hint="eastAsia" w:cs="仿宋" w:asciiTheme="minorEastAsia" w:hAnsiTheme="minorEastAsia" w:eastAsiaTheme="minorEastAsia"/>
          <w:sz w:val="24"/>
          <w:szCs w:val="24"/>
          <w:highlight w:val="none"/>
        </w:rPr>
        <w:t>二、(事项二)</w:t>
      </w:r>
      <w:bookmarkEnd w:id="223"/>
    </w:p>
    <w:p w14:paraId="15CFFB8F">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66F25FB5">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 xml:space="preserve">随附相关证明材料如下： </w:t>
      </w:r>
    </w:p>
    <w:p w14:paraId="7B4E9CE2">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 系 人：</w:t>
      </w:r>
      <w:r>
        <w:rPr>
          <w:rFonts w:hint="eastAsia" w:asciiTheme="minorEastAsia" w:hAnsiTheme="minorEastAsia" w:eastAsiaTheme="minorEastAsia"/>
          <w:sz w:val="24"/>
          <w:highlight w:val="none"/>
          <w:u w:val="single"/>
        </w:rPr>
        <w:t xml:space="preserve">              </w:t>
      </w:r>
    </w:p>
    <w:p w14:paraId="11E58D27">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联系电话：</w:t>
      </w:r>
      <w:r>
        <w:rPr>
          <w:rFonts w:hint="eastAsia" w:asciiTheme="minorEastAsia" w:hAnsiTheme="minorEastAsia" w:eastAsiaTheme="minorEastAsia"/>
          <w:sz w:val="24"/>
          <w:highlight w:val="none"/>
          <w:u w:val="single"/>
        </w:rPr>
        <w:t xml:space="preserve">              </w:t>
      </w:r>
    </w:p>
    <w:p w14:paraId="2E64DF2B">
      <w:pPr>
        <w:tabs>
          <w:tab w:val="left" w:pos="630"/>
        </w:tabs>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日    期：</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p>
    <w:p w14:paraId="6ED251D4">
      <w:pPr>
        <w:rPr>
          <w:rFonts w:ascii="仿宋" w:hAnsi="仿宋" w:eastAsia="仿宋" w:cs="仿宋"/>
          <w:b/>
          <w:bCs/>
          <w:sz w:val="32"/>
          <w:szCs w:val="44"/>
          <w:highlight w:val="none"/>
        </w:rPr>
      </w:pPr>
      <w:r>
        <w:rPr>
          <w:rFonts w:hint="eastAsia" w:ascii="仿宋" w:hAnsi="仿宋" w:eastAsia="仿宋" w:cs="仿宋"/>
          <w:b/>
          <w:bCs/>
          <w:sz w:val="32"/>
          <w:szCs w:val="44"/>
          <w:highlight w:val="none"/>
        </w:rPr>
        <w:br w:type="page"/>
      </w:r>
    </w:p>
    <w:p w14:paraId="159A30B9">
      <w:pPr>
        <w:jc w:val="center"/>
        <w:outlineLvl w:val="1"/>
        <w:rPr>
          <w:rFonts w:ascii="仿宋" w:hAnsi="仿宋" w:eastAsia="仿宋" w:cs="仿宋"/>
          <w:b/>
          <w:bCs/>
          <w:sz w:val="32"/>
          <w:szCs w:val="44"/>
          <w:highlight w:val="none"/>
        </w:rPr>
      </w:pPr>
      <w:bookmarkStart w:id="224" w:name="_Toc1575"/>
      <w:bookmarkStart w:id="225" w:name="_Toc857"/>
      <w:r>
        <w:rPr>
          <w:rFonts w:hint="eastAsia" w:ascii="仿宋" w:hAnsi="仿宋" w:eastAsia="仿宋" w:cs="仿宋"/>
          <w:b/>
          <w:bCs/>
          <w:sz w:val="32"/>
          <w:szCs w:val="44"/>
          <w:highlight w:val="none"/>
        </w:rPr>
        <w:t>质疑函范本</w:t>
      </w:r>
      <w:bookmarkEnd w:id="224"/>
      <w:bookmarkEnd w:id="225"/>
    </w:p>
    <w:p w14:paraId="574BE2AD">
      <w:pPr>
        <w:adjustRightInd w:val="0"/>
        <w:snapToGrid w:val="0"/>
        <w:spacing w:before="312" w:beforeLines="100" w:line="360" w:lineRule="auto"/>
        <w:rPr>
          <w:rFonts w:cs="仿宋" w:asciiTheme="minorEastAsia" w:hAnsiTheme="minorEastAsia" w:eastAsiaTheme="minorEastAsia"/>
          <w:b/>
          <w:bCs/>
          <w:sz w:val="24"/>
          <w:szCs w:val="24"/>
          <w:highlight w:val="none"/>
        </w:rPr>
      </w:pPr>
      <w:bookmarkStart w:id="226" w:name="_Toc21381"/>
      <w:r>
        <w:rPr>
          <w:rFonts w:hint="eastAsia" w:cs="仿宋" w:asciiTheme="minorEastAsia" w:hAnsiTheme="minorEastAsia" w:eastAsiaTheme="minorEastAsia"/>
          <w:b/>
          <w:bCs/>
          <w:sz w:val="24"/>
          <w:szCs w:val="24"/>
          <w:highlight w:val="none"/>
        </w:rPr>
        <w:t>一、质疑供应商基本信息</w:t>
      </w:r>
      <w:bookmarkEnd w:id="226"/>
    </w:p>
    <w:p w14:paraId="1543ECE7">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质疑供应商：</w:t>
      </w:r>
      <w:r>
        <w:rPr>
          <w:rFonts w:hint="eastAsia" w:cs="仿宋" w:asciiTheme="minorEastAsia" w:hAnsiTheme="minorEastAsia" w:eastAsiaTheme="minorEastAsia"/>
          <w:sz w:val="24"/>
          <w:szCs w:val="24"/>
          <w:highlight w:val="none"/>
          <w:u w:val="dotted"/>
        </w:rPr>
        <w:t xml:space="preserve">                                        </w:t>
      </w:r>
    </w:p>
    <w:p w14:paraId="69E41C87">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6F27533D">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联系人：</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p>
    <w:p w14:paraId="52B13016">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授权代表：</w:t>
      </w:r>
      <w:r>
        <w:rPr>
          <w:rFonts w:hint="eastAsia" w:cs="仿宋" w:asciiTheme="minorEastAsia" w:hAnsiTheme="minorEastAsia" w:eastAsiaTheme="minorEastAsia"/>
          <w:sz w:val="24"/>
          <w:szCs w:val="24"/>
          <w:highlight w:val="none"/>
          <w:u w:val="dotted"/>
        </w:rPr>
        <w:t xml:space="preserve">                                          </w:t>
      </w:r>
    </w:p>
    <w:p w14:paraId="728EAF9B">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r>
        <w:rPr>
          <w:rFonts w:cs="仿宋" w:asciiTheme="minorEastAsia" w:hAnsiTheme="minorEastAsia" w:eastAsiaTheme="minorEastAsia"/>
          <w:sz w:val="24"/>
          <w:szCs w:val="24"/>
          <w:highlight w:val="none"/>
        </w:rPr>
        <w:t xml:space="preserve"> </w:t>
      </w:r>
    </w:p>
    <w:p w14:paraId="66F3B19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cs="仿宋" w:asciiTheme="minorEastAsia" w:hAnsiTheme="minorEastAsia" w:eastAsiaTheme="minorEastAsia"/>
          <w:sz w:val="24"/>
          <w:szCs w:val="24"/>
          <w:highlight w:val="none"/>
        </w:rPr>
        <w:t xml:space="preserve"> </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2DEFBCA7">
      <w:pPr>
        <w:adjustRightInd w:val="0"/>
        <w:snapToGrid w:val="0"/>
        <w:spacing w:line="360" w:lineRule="auto"/>
        <w:rPr>
          <w:rFonts w:cs="仿宋" w:asciiTheme="minorEastAsia" w:hAnsiTheme="minorEastAsia" w:eastAsiaTheme="minorEastAsia"/>
          <w:b/>
          <w:bCs/>
          <w:sz w:val="24"/>
          <w:szCs w:val="24"/>
          <w:highlight w:val="none"/>
        </w:rPr>
      </w:pPr>
      <w:bookmarkStart w:id="227" w:name="_Toc28415"/>
      <w:r>
        <w:rPr>
          <w:rFonts w:hint="eastAsia" w:cs="仿宋" w:asciiTheme="minorEastAsia" w:hAnsiTheme="minorEastAsia" w:eastAsiaTheme="minorEastAsia"/>
          <w:b/>
          <w:bCs/>
          <w:sz w:val="24"/>
          <w:szCs w:val="24"/>
          <w:highlight w:val="none"/>
        </w:rPr>
        <w:t>二、质疑项目基本情况</w:t>
      </w:r>
      <w:bookmarkEnd w:id="227"/>
    </w:p>
    <w:p w14:paraId="6125164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质疑项目的名称：</w:t>
      </w:r>
      <w:r>
        <w:rPr>
          <w:rFonts w:hint="eastAsia" w:cs="仿宋" w:asciiTheme="minorEastAsia" w:hAnsiTheme="minorEastAsia" w:eastAsiaTheme="minorEastAsia"/>
          <w:sz w:val="24"/>
          <w:szCs w:val="24"/>
          <w:highlight w:val="none"/>
          <w:u w:val="dotted"/>
        </w:rPr>
        <w:t xml:space="preserve">                                      </w:t>
      </w:r>
    </w:p>
    <w:p w14:paraId="66D38F4E">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质疑项目的编号：</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包号：</w:t>
      </w:r>
      <w:r>
        <w:rPr>
          <w:rFonts w:hint="eastAsia" w:cs="仿宋" w:asciiTheme="minorEastAsia" w:hAnsiTheme="minorEastAsia" w:eastAsiaTheme="minorEastAsia"/>
          <w:sz w:val="24"/>
          <w:szCs w:val="24"/>
          <w:highlight w:val="none"/>
          <w:u w:val="dotted"/>
        </w:rPr>
        <w:t xml:space="preserve">                 </w:t>
      </w:r>
    </w:p>
    <w:p w14:paraId="5D2D9F6A">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招标人名称：</w:t>
      </w:r>
      <w:r>
        <w:rPr>
          <w:rFonts w:hint="eastAsia" w:cs="仿宋" w:asciiTheme="minorEastAsia" w:hAnsiTheme="minorEastAsia" w:eastAsiaTheme="minorEastAsia"/>
          <w:sz w:val="24"/>
          <w:szCs w:val="24"/>
          <w:highlight w:val="none"/>
          <w:u w:val="dotted"/>
        </w:rPr>
        <w:t xml:space="preserve">                                         </w:t>
      </w:r>
    </w:p>
    <w:p w14:paraId="3A499DEB">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采购文件获取日期：</w:t>
      </w:r>
      <w:r>
        <w:rPr>
          <w:rFonts w:hint="eastAsia" w:cs="仿宋" w:asciiTheme="minorEastAsia" w:hAnsiTheme="minorEastAsia" w:eastAsiaTheme="minorEastAsia"/>
          <w:sz w:val="24"/>
          <w:szCs w:val="24"/>
          <w:highlight w:val="none"/>
          <w:u w:val="dotted"/>
        </w:rPr>
        <w:t xml:space="preserve">                                           </w:t>
      </w:r>
    </w:p>
    <w:p w14:paraId="353C163D">
      <w:pPr>
        <w:adjustRightInd w:val="0"/>
        <w:snapToGrid w:val="0"/>
        <w:spacing w:line="360" w:lineRule="auto"/>
        <w:rPr>
          <w:rFonts w:cs="仿宋" w:asciiTheme="minorEastAsia" w:hAnsiTheme="minorEastAsia" w:eastAsiaTheme="minorEastAsia"/>
          <w:b/>
          <w:bCs/>
          <w:sz w:val="24"/>
          <w:szCs w:val="24"/>
          <w:highlight w:val="none"/>
        </w:rPr>
      </w:pPr>
      <w:bookmarkStart w:id="228" w:name="_Toc19014"/>
      <w:r>
        <w:rPr>
          <w:rFonts w:hint="eastAsia" w:cs="仿宋" w:asciiTheme="minorEastAsia" w:hAnsiTheme="minorEastAsia" w:eastAsiaTheme="minorEastAsia"/>
          <w:b/>
          <w:bCs/>
          <w:sz w:val="24"/>
          <w:szCs w:val="24"/>
          <w:highlight w:val="none"/>
        </w:rPr>
        <w:t>三、质疑事项具体内容</w:t>
      </w:r>
      <w:bookmarkEnd w:id="228"/>
    </w:p>
    <w:p w14:paraId="5D2E0224">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质疑事项1：</w:t>
      </w:r>
      <w:r>
        <w:rPr>
          <w:rFonts w:hint="eastAsia" w:cs="仿宋" w:asciiTheme="minorEastAsia" w:hAnsiTheme="minorEastAsia" w:eastAsiaTheme="minorEastAsia"/>
          <w:sz w:val="24"/>
          <w:szCs w:val="24"/>
          <w:highlight w:val="none"/>
          <w:u w:val="dotted"/>
        </w:rPr>
        <w:t xml:space="preserve">                                         </w:t>
      </w:r>
    </w:p>
    <w:p w14:paraId="49151311">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事实依据：</w:t>
      </w:r>
      <w:r>
        <w:rPr>
          <w:rFonts w:hint="eastAsia" w:cs="仿宋" w:asciiTheme="minorEastAsia" w:hAnsiTheme="minorEastAsia" w:eastAsiaTheme="minorEastAsia"/>
          <w:sz w:val="24"/>
          <w:szCs w:val="24"/>
          <w:highlight w:val="none"/>
          <w:u w:val="dotted"/>
        </w:rPr>
        <w:t xml:space="preserve">                                          </w:t>
      </w:r>
    </w:p>
    <w:p w14:paraId="488953E8">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u w:val="dotted"/>
        </w:rPr>
        <w:t xml:space="preserve">                                                       </w:t>
      </w:r>
    </w:p>
    <w:p w14:paraId="5764D83A">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法律依据：</w:t>
      </w:r>
      <w:r>
        <w:rPr>
          <w:rFonts w:hint="eastAsia" w:cs="仿宋" w:asciiTheme="minorEastAsia" w:hAnsiTheme="minorEastAsia" w:eastAsiaTheme="minorEastAsia"/>
          <w:sz w:val="24"/>
          <w:szCs w:val="24"/>
          <w:highlight w:val="none"/>
          <w:u w:val="dotted"/>
        </w:rPr>
        <w:t xml:space="preserve">                                          </w:t>
      </w:r>
    </w:p>
    <w:p w14:paraId="52C806F4">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u w:val="dotted"/>
        </w:rPr>
        <w:t xml:space="preserve">                                                     </w:t>
      </w:r>
    </w:p>
    <w:p w14:paraId="5EBFAF55">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质疑事项2</w:t>
      </w:r>
    </w:p>
    <w:p w14:paraId="7AB630E8">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3A7F3D1A">
      <w:pPr>
        <w:adjustRightInd w:val="0"/>
        <w:snapToGrid w:val="0"/>
        <w:spacing w:line="360" w:lineRule="auto"/>
        <w:rPr>
          <w:rFonts w:cs="仿宋" w:asciiTheme="minorEastAsia" w:hAnsiTheme="minorEastAsia" w:eastAsiaTheme="minorEastAsia"/>
          <w:b/>
          <w:bCs/>
          <w:sz w:val="24"/>
          <w:szCs w:val="24"/>
          <w:highlight w:val="none"/>
        </w:rPr>
      </w:pPr>
      <w:bookmarkStart w:id="229" w:name="_Toc17919"/>
      <w:r>
        <w:rPr>
          <w:rFonts w:hint="eastAsia" w:cs="仿宋" w:asciiTheme="minorEastAsia" w:hAnsiTheme="minorEastAsia" w:eastAsiaTheme="minorEastAsia"/>
          <w:b/>
          <w:bCs/>
          <w:sz w:val="24"/>
          <w:szCs w:val="24"/>
          <w:highlight w:val="none"/>
        </w:rPr>
        <w:t>四、与质疑事项相关的质疑请求</w:t>
      </w:r>
      <w:bookmarkEnd w:id="229"/>
    </w:p>
    <w:p w14:paraId="3E57DBFF">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请求：</w:t>
      </w:r>
      <w:r>
        <w:rPr>
          <w:rFonts w:hint="eastAsia" w:cs="仿宋" w:asciiTheme="minorEastAsia" w:hAnsiTheme="minorEastAsia" w:eastAsiaTheme="minorEastAsia"/>
          <w:sz w:val="24"/>
          <w:szCs w:val="24"/>
          <w:highlight w:val="none"/>
          <w:u w:val="dotted"/>
        </w:rPr>
        <w:t xml:space="preserve">                                               </w:t>
      </w:r>
    </w:p>
    <w:p w14:paraId="4B9F9F67">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签字(签章)：                   公章：                      </w:t>
      </w:r>
    </w:p>
    <w:p w14:paraId="45B2FD1F">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日期：    </w:t>
      </w:r>
    </w:p>
    <w:p w14:paraId="7EA56BC5">
      <w:pPr>
        <w:widowControl/>
        <w:jc w:val="left"/>
        <w:rPr>
          <w:rFonts w:ascii="仿宋" w:hAnsi="仿宋" w:eastAsia="仿宋" w:cs="仿宋"/>
          <w:sz w:val="32"/>
          <w:szCs w:val="32"/>
          <w:highlight w:val="none"/>
        </w:rPr>
      </w:pPr>
      <w:r>
        <w:rPr>
          <w:rFonts w:ascii="仿宋" w:hAnsi="仿宋" w:eastAsia="仿宋" w:cs="仿宋"/>
          <w:sz w:val="32"/>
          <w:szCs w:val="32"/>
          <w:highlight w:val="none"/>
        </w:rPr>
        <w:br w:type="page"/>
      </w:r>
    </w:p>
    <w:p w14:paraId="2B2458C8">
      <w:pPr>
        <w:outlineLvl w:val="0"/>
        <w:rPr>
          <w:rFonts w:asciiTheme="minorEastAsia" w:hAnsiTheme="minorEastAsia" w:eastAsiaTheme="minorEastAsia"/>
          <w:b/>
          <w:sz w:val="28"/>
          <w:szCs w:val="32"/>
          <w:highlight w:val="none"/>
        </w:rPr>
      </w:pPr>
      <w:bookmarkStart w:id="230" w:name="_Toc22239"/>
      <w:bookmarkStart w:id="231" w:name="_Toc9754"/>
      <w:r>
        <w:rPr>
          <w:rFonts w:hint="eastAsia" w:asciiTheme="minorEastAsia" w:hAnsiTheme="minorEastAsia" w:eastAsiaTheme="minorEastAsia"/>
          <w:b/>
          <w:sz w:val="28"/>
          <w:szCs w:val="32"/>
          <w:highlight w:val="none"/>
        </w:rPr>
        <w:t>质疑函制作说明：</w:t>
      </w:r>
      <w:bookmarkEnd w:id="230"/>
      <w:bookmarkEnd w:id="231"/>
    </w:p>
    <w:p w14:paraId="2C6EC00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1.供应商提出质疑时，应提交质疑函和必要的证明材料。</w:t>
      </w:r>
    </w:p>
    <w:p w14:paraId="2FC8CDE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59064E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3.质疑供应商若对项目的某一分包进行质疑，质疑函中应列明具体分包号。</w:t>
      </w:r>
    </w:p>
    <w:p w14:paraId="4F7B8BB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4.质疑函的质疑事项应具体、明确，并有必要的事实依据和法律依据。</w:t>
      </w:r>
    </w:p>
    <w:p w14:paraId="51AAF1B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5.质疑函的质疑请求应与质疑事项相关。</w:t>
      </w:r>
    </w:p>
    <w:p w14:paraId="260819A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4049">
    <w:pPr>
      <w:pStyle w:val="15"/>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F435B">
    <w:pPr>
      <w:tabs>
        <w:tab w:val="center" w:pos="4153"/>
        <w:tab w:val="right" w:pos="8306"/>
      </w:tabs>
      <w:snapToGrid w:val="0"/>
      <w:jc w:val="left"/>
      <w:rPr>
        <w:rFonts w:ascii="Calibri" w:hAnsi="Calibri" w:eastAsia="宋体" w:cs="Times New Roman"/>
        <w:sz w:val="18"/>
        <w:szCs w:val="18"/>
      </w:rPr>
    </w:pPr>
    <w:r>
      <w:rPr>
        <w:rFonts w:ascii="Calibri" w:hAnsi="Calibri" w:eastAsia="宋体"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CE12D2">
                          <w:pPr>
                            <w:tabs>
                              <w:tab w:val="center" w:pos="4153"/>
                              <w:tab w:val="right" w:pos="8306"/>
                            </w:tabs>
                            <w:snapToGrid w:val="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 PAGE  \* MERGEFORMAT </w:instrText>
                          </w:r>
                          <w:r>
                            <w:rPr>
                              <w:rFonts w:ascii="Calibri" w:hAnsi="Calibri" w:eastAsia="宋体" w:cs="Times New Roman"/>
                              <w:sz w:val="18"/>
                              <w:szCs w:val="18"/>
                            </w:rPr>
                            <w:fldChar w:fldCharType="separate"/>
                          </w:r>
                          <w:r>
                            <w:rPr>
                              <w:rFonts w:ascii="Calibri" w:hAnsi="Calibri" w:eastAsia="宋体" w:cs="Times New Roman"/>
                              <w:sz w:val="18"/>
                              <w:szCs w:val="18"/>
                            </w:rPr>
                            <w:t>1</w:t>
                          </w:r>
                          <w:r>
                            <w:rPr>
                              <w:rFonts w:ascii="Calibri" w:hAnsi="Calibri" w:eastAsia="宋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ACE12D2">
                    <w:pPr>
                      <w:tabs>
                        <w:tab w:val="center" w:pos="4153"/>
                        <w:tab w:val="right" w:pos="8306"/>
                      </w:tabs>
                      <w:snapToGrid w:val="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 PAGE  \* MERGEFORMAT </w:instrText>
                    </w:r>
                    <w:r>
                      <w:rPr>
                        <w:rFonts w:ascii="Calibri" w:hAnsi="Calibri" w:eastAsia="宋体" w:cs="Times New Roman"/>
                        <w:sz w:val="18"/>
                        <w:szCs w:val="18"/>
                      </w:rPr>
                      <w:fldChar w:fldCharType="separate"/>
                    </w:r>
                    <w:r>
                      <w:rPr>
                        <w:rFonts w:ascii="Calibri" w:hAnsi="Calibri" w:eastAsia="宋体" w:cs="Times New Roman"/>
                        <w:sz w:val="18"/>
                        <w:szCs w:val="18"/>
                      </w:rPr>
                      <w:t>1</w:t>
                    </w:r>
                    <w:r>
                      <w:rPr>
                        <w:rFonts w:ascii="Calibri" w:hAnsi="Calibri" w:eastAsia="宋体" w:cs="Times New Roman"/>
                        <w:sz w:val="1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2FE6E">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97F440">
                          <w:pPr>
                            <w:pStyle w:val="15"/>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097F440">
                    <w:pPr>
                      <w:pStyle w:val="15"/>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63621">
    <w:pPr>
      <w:pStyle w:val="16"/>
      <w:jc w:val="left"/>
      <w:rPr>
        <w:rFonts w:asciiTheme="minorEastAsia" w:hAnsiTheme="minorEastAsia" w:eastAsiaTheme="minorEastAsia"/>
      </w:rPr>
    </w:pPr>
    <w:r>
      <w:rPr>
        <w:rFonts w:hint="eastAsia" w:asciiTheme="minorEastAsia" w:hAnsiTheme="minorEastAsia" w:eastAsiaTheme="minorEastAsia"/>
      </w:rPr>
      <w:t>安徽省政府采购项目公开招标文件示范文本（服务类）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CA7BF">
    <w:pPr>
      <w:pStyle w:val="16"/>
      <w:jc w:val="left"/>
    </w:pPr>
    <w:r>
      <w:rPr>
        <w:rFonts w:hint="eastAsia" w:asciiTheme="minorEastAsia" w:hAnsiTheme="minorEastAsia" w:eastAsiaTheme="minorEastAsia"/>
      </w:rPr>
      <w:t>安徽省政府采购项目公开招标文件示范文本（服务类）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64A37"/>
    <w:multiLevelType w:val="singleLevel"/>
    <w:tmpl w:val="2A064A37"/>
    <w:lvl w:ilvl="0" w:tentative="0">
      <w:start w:val="3"/>
      <w:numFmt w:val="chineseCounting"/>
      <w:suff w:val="space"/>
      <w:lvlText w:val="第%1章"/>
      <w:lvlJc w:val="left"/>
      <w:rPr>
        <w:rFonts w:hint="eastAsia"/>
      </w:rPr>
    </w:lvl>
  </w:abstractNum>
  <w:abstractNum w:abstractNumId="1">
    <w:nsid w:val="6A97C223"/>
    <w:multiLevelType w:val="singleLevel"/>
    <w:tmpl w:val="6A97C223"/>
    <w:lvl w:ilvl="0" w:tentative="0">
      <w:start w:val="5"/>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hNjBkYjEzOTY2NTYxMTJiMDBkOTAwMjJhMGI1ODk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372"/>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4BF"/>
    <w:rsid w:val="001467FF"/>
    <w:rsid w:val="001479CF"/>
    <w:rsid w:val="00150567"/>
    <w:rsid w:val="00155F64"/>
    <w:rsid w:val="00157148"/>
    <w:rsid w:val="00157856"/>
    <w:rsid w:val="00160729"/>
    <w:rsid w:val="00160D83"/>
    <w:rsid w:val="001644D1"/>
    <w:rsid w:val="00164D27"/>
    <w:rsid w:val="00166ED8"/>
    <w:rsid w:val="001714C9"/>
    <w:rsid w:val="001754E2"/>
    <w:rsid w:val="0017668E"/>
    <w:rsid w:val="00177DAF"/>
    <w:rsid w:val="0018119B"/>
    <w:rsid w:val="001812B3"/>
    <w:rsid w:val="00181D07"/>
    <w:rsid w:val="001826D0"/>
    <w:rsid w:val="00183344"/>
    <w:rsid w:val="00183897"/>
    <w:rsid w:val="001844AB"/>
    <w:rsid w:val="0018665C"/>
    <w:rsid w:val="00190D88"/>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0338"/>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B7911"/>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54313"/>
    <w:rsid w:val="00363E02"/>
    <w:rsid w:val="00373A96"/>
    <w:rsid w:val="003826C2"/>
    <w:rsid w:val="00383728"/>
    <w:rsid w:val="00383B8D"/>
    <w:rsid w:val="003900EB"/>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11D0"/>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09BA"/>
    <w:rsid w:val="005327FB"/>
    <w:rsid w:val="00533FCA"/>
    <w:rsid w:val="00541C0B"/>
    <w:rsid w:val="0054317E"/>
    <w:rsid w:val="00544C2A"/>
    <w:rsid w:val="00546D49"/>
    <w:rsid w:val="00556D4C"/>
    <w:rsid w:val="005614B4"/>
    <w:rsid w:val="005616B5"/>
    <w:rsid w:val="00571315"/>
    <w:rsid w:val="00574E32"/>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01D4A"/>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1E47"/>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D400B"/>
    <w:rsid w:val="006E06D9"/>
    <w:rsid w:val="006E1D40"/>
    <w:rsid w:val="006E2E1F"/>
    <w:rsid w:val="006E4BE8"/>
    <w:rsid w:val="006F5FFF"/>
    <w:rsid w:val="006F6E33"/>
    <w:rsid w:val="006F7AF3"/>
    <w:rsid w:val="00702CF1"/>
    <w:rsid w:val="00703635"/>
    <w:rsid w:val="0070446D"/>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335E"/>
    <w:rsid w:val="0078683C"/>
    <w:rsid w:val="00790EDB"/>
    <w:rsid w:val="00791538"/>
    <w:rsid w:val="007918F0"/>
    <w:rsid w:val="0079326E"/>
    <w:rsid w:val="00796EDE"/>
    <w:rsid w:val="00797A02"/>
    <w:rsid w:val="007A27A9"/>
    <w:rsid w:val="007A5A58"/>
    <w:rsid w:val="007A6740"/>
    <w:rsid w:val="007B1C56"/>
    <w:rsid w:val="007B4996"/>
    <w:rsid w:val="007C17AE"/>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B73"/>
    <w:rsid w:val="00844D03"/>
    <w:rsid w:val="00847B0F"/>
    <w:rsid w:val="00852994"/>
    <w:rsid w:val="00860748"/>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3ABD"/>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466D6"/>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083F"/>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4BE4"/>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1A09"/>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0340"/>
    <w:rsid w:val="00BF376F"/>
    <w:rsid w:val="00BF46A6"/>
    <w:rsid w:val="00BF62CF"/>
    <w:rsid w:val="00BF6B98"/>
    <w:rsid w:val="00BF73D6"/>
    <w:rsid w:val="00C06545"/>
    <w:rsid w:val="00C102D9"/>
    <w:rsid w:val="00C1161C"/>
    <w:rsid w:val="00C17F66"/>
    <w:rsid w:val="00C220FC"/>
    <w:rsid w:val="00C23C86"/>
    <w:rsid w:val="00C24DFA"/>
    <w:rsid w:val="00C35561"/>
    <w:rsid w:val="00C4202A"/>
    <w:rsid w:val="00C4211F"/>
    <w:rsid w:val="00C44AA8"/>
    <w:rsid w:val="00C4539B"/>
    <w:rsid w:val="00C46A36"/>
    <w:rsid w:val="00C47037"/>
    <w:rsid w:val="00C53625"/>
    <w:rsid w:val="00C602C1"/>
    <w:rsid w:val="00C61C98"/>
    <w:rsid w:val="00C63FC0"/>
    <w:rsid w:val="00C64862"/>
    <w:rsid w:val="00C662FB"/>
    <w:rsid w:val="00C66392"/>
    <w:rsid w:val="00C74C5E"/>
    <w:rsid w:val="00C77487"/>
    <w:rsid w:val="00C827A2"/>
    <w:rsid w:val="00C82B69"/>
    <w:rsid w:val="00C85394"/>
    <w:rsid w:val="00C8657D"/>
    <w:rsid w:val="00C91B28"/>
    <w:rsid w:val="00C91F3A"/>
    <w:rsid w:val="00C94A6F"/>
    <w:rsid w:val="00CA0349"/>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2129"/>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0EC6"/>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02B2"/>
    <w:rsid w:val="00E94E10"/>
    <w:rsid w:val="00E954BD"/>
    <w:rsid w:val="00E95AAF"/>
    <w:rsid w:val="00E96743"/>
    <w:rsid w:val="00E96A42"/>
    <w:rsid w:val="00EA0A36"/>
    <w:rsid w:val="00EA49C5"/>
    <w:rsid w:val="00EB1C1C"/>
    <w:rsid w:val="00EB5027"/>
    <w:rsid w:val="00EC1836"/>
    <w:rsid w:val="00EC3990"/>
    <w:rsid w:val="00EC484B"/>
    <w:rsid w:val="00EC5D01"/>
    <w:rsid w:val="00ED15FA"/>
    <w:rsid w:val="00ED1E00"/>
    <w:rsid w:val="00EE228F"/>
    <w:rsid w:val="00EE238D"/>
    <w:rsid w:val="00EE6E9A"/>
    <w:rsid w:val="00EF0BF1"/>
    <w:rsid w:val="00EF27DA"/>
    <w:rsid w:val="00EF2AC4"/>
    <w:rsid w:val="00EF397E"/>
    <w:rsid w:val="00F06F68"/>
    <w:rsid w:val="00F07DE5"/>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4A57"/>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1FAB"/>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214602E"/>
    <w:rsid w:val="02C91A8C"/>
    <w:rsid w:val="03486B27"/>
    <w:rsid w:val="03E638AC"/>
    <w:rsid w:val="040A094E"/>
    <w:rsid w:val="04E36C96"/>
    <w:rsid w:val="05256CE8"/>
    <w:rsid w:val="056800F4"/>
    <w:rsid w:val="056F201D"/>
    <w:rsid w:val="05810D93"/>
    <w:rsid w:val="05B664D4"/>
    <w:rsid w:val="06AD3FBC"/>
    <w:rsid w:val="07076C01"/>
    <w:rsid w:val="071C12AC"/>
    <w:rsid w:val="074E231E"/>
    <w:rsid w:val="07A934B3"/>
    <w:rsid w:val="07AF5DAA"/>
    <w:rsid w:val="08B15E54"/>
    <w:rsid w:val="0980799C"/>
    <w:rsid w:val="0A0F6376"/>
    <w:rsid w:val="0A353CEA"/>
    <w:rsid w:val="0A6A18DB"/>
    <w:rsid w:val="0AAB1BE7"/>
    <w:rsid w:val="0AEF3828"/>
    <w:rsid w:val="0BBB665B"/>
    <w:rsid w:val="0BF304AA"/>
    <w:rsid w:val="0C9070C4"/>
    <w:rsid w:val="0CB7664E"/>
    <w:rsid w:val="0CCD11D4"/>
    <w:rsid w:val="0D4B133C"/>
    <w:rsid w:val="0E52426F"/>
    <w:rsid w:val="0E816EC5"/>
    <w:rsid w:val="0EA0228A"/>
    <w:rsid w:val="0EEA6FC1"/>
    <w:rsid w:val="0F954485"/>
    <w:rsid w:val="0FBF344F"/>
    <w:rsid w:val="102A2A1F"/>
    <w:rsid w:val="10505F32"/>
    <w:rsid w:val="105A27E6"/>
    <w:rsid w:val="119B0711"/>
    <w:rsid w:val="119B4D4D"/>
    <w:rsid w:val="12197477"/>
    <w:rsid w:val="127E3ED5"/>
    <w:rsid w:val="13587E2C"/>
    <w:rsid w:val="137800EC"/>
    <w:rsid w:val="13C540FC"/>
    <w:rsid w:val="1466407E"/>
    <w:rsid w:val="14834E28"/>
    <w:rsid w:val="148E7D65"/>
    <w:rsid w:val="151D4243"/>
    <w:rsid w:val="15231BF9"/>
    <w:rsid w:val="15856F13"/>
    <w:rsid w:val="15966195"/>
    <w:rsid w:val="179F5278"/>
    <w:rsid w:val="18CD7009"/>
    <w:rsid w:val="1A3B68AA"/>
    <w:rsid w:val="1A3E1C1E"/>
    <w:rsid w:val="1C0F7178"/>
    <w:rsid w:val="1C141836"/>
    <w:rsid w:val="1D0A00A6"/>
    <w:rsid w:val="1D141659"/>
    <w:rsid w:val="1E6B6A14"/>
    <w:rsid w:val="1F2677B7"/>
    <w:rsid w:val="20550D9A"/>
    <w:rsid w:val="21714B53"/>
    <w:rsid w:val="218E2416"/>
    <w:rsid w:val="226915FE"/>
    <w:rsid w:val="22E14C32"/>
    <w:rsid w:val="24B97929"/>
    <w:rsid w:val="2520252D"/>
    <w:rsid w:val="26163BC1"/>
    <w:rsid w:val="285F40CA"/>
    <w:rsid w:val="288F46DE"/>
    <w:rsid w:val="28C01ECB"/>
    <w:rsid w:val="28EC3ECC"/>
    <w:rsid w:val="29787C34"/>
    <w:rsid w:val="29AF08F7"/>
    <w:rsid w:val="29BF71E3"/>
    <w:rsid w:val="2A127B63"/>
    <w:rsid w:val="2A24262A"/>
    <w:rsid w:val="2AAA4765"/>
    <w:rsid w:val="2AC21606"/>
    <w:rsid w:val="2AF63C5E"/>
    <w:rsid w:val="2B3B3423"/>
    <w:rsid w:val="2B7E7608"/>
    <w:rsid w:val="2B7F04E9"/>
    <w:rsid w:val="2BE84285"/>
    <w:rsid w:val="2C305555"/>
    <w:rsid w:val="2C420DA8"/>
    <w:rsid w:val="2C9A21B9"/>
    <w:rsid w:val="2CE20523"/>
    <w:rsid w:val="2D496D68"/>
    <w:rsid w:val="2E6672CB"/>
    <w:rsid w:val="2E7A48DE"/>
    <w:rsid w:val="2EDC3ED8"/>
    <w:rsid w:val="2F2D046C"/>
    <w:rsid w:val="2F6351B4"/>
    <w:rsid w:val="2FCF199E"/>
    <w:rsid w:val="30483E83"/>
    <w:rsid w:val="30AA0E97"/>
    <w:rsid w:val="334E4CD8"/>
    <w:rsid w:val="343C0775"/>
    <w:rsid w:val="34AA76A9"/>
    <w:rsid w:val="34CC70E6"/>
    <w:rsid w:val="356C50EC"/>
    <w:rsid w:val="35E73944"/>
    <w:rsid w:val="361108CD"/>
    <w:rsid w:val="3700166C"/>
    <w:rsid w:val="3727617F"/>
    <w:rsid w:val="37391D72"/>
    <w:rsid w:val="375969FE"/>
    <w:rsid w:val="37C35800"/>
    <w:rsid w:val="37D56B99"/>
    <w:rsid w:val="385E6037"/>
    <w:rsid w:val="38694EE9"/>
    <w:rsid w:val="3A014209"/>
    <w:rsid w:val="3A8A2E97"/>
    <w:rsid w:val="3B365CC9"/>
    <w:rsid w:val="3B4F5A1D"/>
    <w:rsid w:val="3B9A7B88"/>
    <w:rsid w:val="3BC114FF"/>
    <w:rsid w:val="3C2660C6"/>
    <w:rsid w:val="3C7E7CEF"/>
    <w:rsid w:val="3D2C7AC8"/>
    <w:rsid w:val="3D855D12"/>
    <w:rsid w:val="3D8B42FF"/>
    <w:rsid w:val="3D8C02DD"/>
    <w:rsid w:val="3DC20089"/>
    <w:rsid w:val="3DE86A0D"/>
    <w:rsid w:val="3DF36A6E"/>
    <w:rsid w:val="3F067638"/>
    <w:rsid w:val="3F1138E1"/>
    <w:rsid w:val="3F792F1E"/>
    <w:rsid w:val="40824826"/>
    <w:rsid w:val="40B27740"/>
    <w:rsid w:val="40E63923"/>
    <w:rsid w:val="42B443F4"/>
    <w:rsid w:val="42F43FD4"/>
    <w:rsid w:val="43A91E5B"/>
    <w:rsid w:val="442737AC"/>
    <w:rsid w:val="44BC3308"/>
    <w:rsid w:val="44EB0C68"/>
    <w:rsid w:val="45BA48DB"/>
    <w:rsid w:val="463A3650"/>
    <w:rsid w:val="469F0116"/>
    <w:rsid w:val="475259B7"/>
    <w:rsid w:val="48831CF9"/>
    <w:rsid w:val="498F4DFA"/>
    <w:rsid w:val="49A165B8"/>
    <w:rsid w:val="49B1408D"/>
    <w:rsid w:val="4A7D4FD2"/>
    <w:rsid w:val="4A913C9A"/>
    <w:rsid w:val="4AE22D2F"/>
    <w:rsid w:val="4B1F70AC"/>
    <w:rsid w:val="4B240F94"/>
    <w:rsid w:val="4B386AE5"/>
    <w:rsid w:val="4BA75287"/>
    <w:rsid w:val="4BCB0A31"/>
    <w:rsid w:val="4BED70D6"/>
    <w:rsid w:val="4C3C565C"/>
    <w:rsid w:val="4C7620F0"/>
    <w:rsid w:val="4CCC79C7"/>
    <w:rsid w:val="4D7555C7"/>
    <w:rsid w:val="4EAE6DA0"/>
    <w:rsid w:val="4FD037EF"/>
    <w:rsid w:val="5016514B"/>
    <w:rsid w:val="502857C7"/>
    <w:rsid w:val="50476D3D"/>
    <w:rsid w:val="50DE0560"/>
    <w:rsid w:val="51325707"/>
    <w:rsid w:val="51CB1C78"/>
    <w:rsid w:val="51FD6A51"/>
    <w:rsid w:val="526B680A"/>
    <w:rsid w:val="52C90BE7"/>
    <w:rsid w:val="53150D15"/>
    <w:rsid w:val="5352083E"/>
    <w:rsid w:val="53B41FC2"/>
    <w:rsid w:val="541A5D30"/>
    <w:rsid w:val="54CB6F02"/>
    <w:rsid w:val="550C11CF"/>
    <w:rsid w:val="553E632F"/>
    <w:rsid w:val="55584FFA"/>
    <w:rsid w:val="55F068CD"/>
    <w:rsid w:val="566C3136"/>
    <w:rsid w:val="568D04F2"/>
    <w:rsid w:val="57DB3B56"/>
    <w:rsid w:val="583F4C58"/>
    <w:rsid w:val="588D6DD7"/>
    <w:rsid w:val="59BD2AD9"/>
    <w:rsid w:val="5A526582"/>
    <w:rsid w:val="5A5F5C77"/>
    <w:rsid w:val="5BBE39CD"/>
    <w:rsid w:val="5BC11A60"/>
    <w:rsid w:val="5BCD433F"/>
    <w:rsid w:val="5C7A4D54"/>
    <w:rsid w:val="5CD23B73"/>
    <w:rsid w:val="5D787409"/>
    <w:rsid w:val="5F127819"/>
    <w:rsid w:val="5F63752A"/>
    <w:rsid w:val="5FB13BA1"/>
    <w:rsid w:val="60EB4BB4"/>
    <w:rsid w:val="60F1503F"/>
    <w:rsid w:val="61025188"/>
    <w:rsid w:val="61057D5F"/>
    <w:rsid w:val="614D4977"/>
    <w:rsid w:val="63C60FC0"/>
    <w:rsid w:val="647E5916"/>
    <w:rsid w:val="649B032B"/>
    <w:rsid w:val="64BA3D7A"/>
    <w:rsid w:val="64F179BC"/>
    <w:rsid w:val="65A91A2F"/>
    <w:rsid w:val="65C94C55"/>
    <w:rsid w:val="665704D3"/>
    <w:rsid w:val="67002D35"/>
    <w:rsid w:val="673148E2"/>
    <w:rsid w:val="675445CD"/>
    <w:rsid w:val="67C065A4"/>
    <w:rsid w:val="67D359C9"/>
    <w:rsid w:val="680B4D6B"/>
    <w:rsid w:val="684D2829"/>
    <w:rsid w:val="68FE36DD"/>
    <w:rsid w:val="694E60FC"/>
    <w:rsid w:val="69EF4042"/>
    <w:rsid w:val="6AAA467F"/>
    <w:rsid w:val="6C316B6C"/>
    <w:rsid w:val="6C410A63"/>
    <w:rsid w:val="6C675CE6"/>
    <w:rsid w:val="6CEF35AF"/>
    <w:rsid w:val="6D4F4321"/>
    <w:rsid w:val="6DFF7360"/>
    <w:rsid w:val="6E7A5F73"/>
    <w:rsid w:val="6E9B130D"/>
    <w:rsid w:val="6F2E3798"/>
    <w:rsid w:val="6F5911E5"/>
    <w:rsid w:val="6FD74228"/>
    <w:rsid w:val="70FE5EDF"/>
    <w:rsid w:val="71597F3B"/>
    <w:rsid w:val="71633091"/>
    <w:rsid w:val="71891153"/>
    <w:rsid w:val="71DC7F14"/>
    <w:rsid w:val="73081CA5"/>
    <w:rsid w:val="74545B7C"/>
    <w:rsid w:val="7487762D"/>
    <w:rsid w:val="75385498"/>
    <w:rsid w:val="76854D6E"/>
    <w:rsid w:val="769962BD"/>
    <w:rsid w:val="76BC207F"/>
    <w:rsid w:val="76EB4904"/>
    <w:rsid w:val="773C2C85"/>
    <w:rsid w:val="777378F5"/>
    <w:rsid w:val="777A2D3C"/>
    <w:rsid w:val="78537BEA"/>
    <w:rsid w:val="78913231"/>
    <w:rsid w:val="79074B81"/>
    <w:rsid w:val="794F0939"/>
    <w:rsid w:val="79AF0FCA"/>
    <w:rsid w:val="79EF2560"/>
    <w:rsid w:val="7A3F5D97"/>
    <w:rsid w:val="7AA43575"/>
    <w:rsid w:val="7AF9279C"/>
    <w:rsid w:val="7CC51958"/>
    <w:rsid w:val="7CEC40B6"/>
    <w:rsid w:val="7CF105B0"/>
    <w:rsid w:val="7E2936C3"/>
    <w:rsid w:val="7E2E365C"/>
    <w:rsid w:val="7E6411B9"/>
    <w:rsid w:val="7E9B6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7"/>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9"/>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4"/>
    <w:qFormat/>
    <w:uiPriority w:val="0"/>
    <w:pPr>
      <w:keepNext/>
      <w:keepLines/>
      <w:spacing w:before="280" w:after="290" w:line="376" w:lineRule="auto"/>
      <w:outlineLvl w:val="3"/>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6"/>
    <w:qFormat/>
    <w:uiPriority w:val="0"/>
    <w:pPr>
      <w:jc w:val="left"/>
    </w:pPr>
    <w:rPr>
      <w:rFonts w:ascii="Arial" w:hAnsi="Arial" w:eastAsia="黑体" w:cs="Arial"/>
    </w:rPr>
  </w:style>
  <w:style w:type="paragraph" w:styleId="8">
    <w:name w:val="Body Text"/>
    <w:basedOn w:val="1"/>
    <w:qFormat/>
    <w:uiPriority w:val="0"/>
    <w:pPr>
      <w:spacing w:after="120"/>
    </w:pPr>
    <w:rPr>
      <w:rFonts w:ascii="@微软简标宋" w:hAnsi="@微软简标宋" w:eastAsia="@微软简标宋" w:cs="@微软简标宋"/>
      <w:szCs w:val="24"/>
      <w:lang w:val="zh-CN"/>
    </w:rPr>
  </w:style>
  <w:style w:type="paragraph" w:styleId="9">
    <w:name w:val="Body Text Indent"/>
    <w:basedOn w:val="1"/>
    <w:next w:val="10"/>
    <w:unhideWhenUsed/>
    <w:qFormat/>
    <w:uiPriority w:val="99"/>
    <w:pPr>
      <w:spacing w:after="120"/>
      <w:ind w:left="420" w:leftChars="200"/>
    </w:pPr>
  </w:style>
  <w:style w:type="paragraph" w:styleId="10">
    <w:name w:val="envelope return"/>
    <w:basedOn w:val="1"/>
    <w:qFormat/>
    <w:uiPriority w:val="0"/>
    <w:pPr>
      <w:wordWrap w:val="0"/>
      <w:adjustRightInd w:val="0"/>
      <w:snapToGrid w:val="0"/>
      <w:spacing w:line="360" w:lineRule="atLeast"/>
      <w:textAlignment w:val="baseline"/>
    </w:pPr>
    <w:rPr>
      <w:rFonts w:ascii="Arial" w:hAnsi="Arial" w:eastAsia="BatangChe"/>
      <w:kern w:val="0"/>
      <w:sz w:val="20"/>
      <w:lang w:eastAsia="ko-KR"/>
    </w:rPr>
  </w:style>
  <w:style w:type="paragraph" w:styleId="11">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36"/>
    <w:qFormat/>
    <w:uiPriority w:val="99"/>
    <w:rPr>
      <w:rFonts w:ascii="宋体" w:hAnsi="Courier New" w:eastAsiaTheme="minorEastAsia" w:cstheme="minorBidi"/>
      <w:szCs w:val="22"/>
    </w:rPr>
  </w:style>
  <w:style w:type="paragraph" w:styleId="13">
    <w:name w:val="Date"/>
    <w:basedOn w:val="1"/>
    <w:next w:val="1"/>
    <w:link w:val="43"/>
    <w:qFormat/>
    <w:uiPriority w:val="0"/>
    <w:rPr>
      <w:rFonts w:ascii="Arial" w:hAnsi="Arial" w:eastAsia="宋体" w:cs="Arial"/>
      <w:b/>
      <w:sz w:val="28"/>
    </w:rPr>
  </w:style>
  <w:style w:type="paragraph" w:styleId="14">
    <w:name w:val="Balloon Text"/>
    <w:basedOn w:val="1"/>
    <w:link w:val="30"/>
    <w:semiHidden/>
    <w:unhideWhenUsed/>
    <w:qFormat/>
    <w:uiPriority w:val="99"/>
    <w:rPr>
      <w:sz w:val="18"/>
      <w:szCs w:val="18"/>
    </w:rPr>
  </w:style>
  <w:style w:type="paragraph" w:styleId="15">
    <w:name w:val="footer"/>
    <w:basedOn w:val="1"/>
    <w:link w:val="35"/>
    <w:unhideWhenUsed/>
    <w:qFormat/>
    <w:uiPriority w:val="99"/>
    <w:pPr>
      <w:tabs>
        <w:tab w:val="center" w:pos="4153"/>
        <w:tab w:val="right" w:pos="8306"/>
      </w:tabs>
      <w:snapToGrid w:val="0"/>
      <w:jc w:val="left"/>
    </w:pPr>
    <w:rPr>
      <w:sz w:val="18"/>
      <w:szCs w:val="18"/>
    </w:rPr>
  </w:style>
  <w:style w:type="paragraph" w:styleId="16">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qFormat/>
    <w:uiPriority w:val="0"/>
    <w:pPr>
      <w:spacing w:before="100" w:beforeAutospacing="1" w:after="100" w:afterAutospacing="1"/>
      <w:jc w:val="left"/>
    </w:pPr>
    <w:rPr>
      <w:rFonts w:cs="Times New Roman"/>
      <w:kern w:val="0"/>
      <w:sz w:val="24"/>
    </w:rPr>
  </w:style>
  <w:style w:type="paragraph" w:styleId="20">
    <w:name w:val="index 1"/>
    <w:basedOn w:val="1"/>
    <w:next w:val="1"/>
    <w:qFormat/>
    <w:uiPriority w:val="0"/>
    <w:pPr>
      <w:jc w:val="center"/>
    </w:pPr>
    <w:rPr>
      <w:rFonts w:ascii="Arial" w:hAnsi="Arial" w:eastAsia="Arial" w:cs="Arial"/>
      <w:b/>
      <w:bCs/>
      <w:sz w:val="28"/>
    </w:rPr>
  </w:style>
  <w:style w:type="paragraph" w:styleId="21">
    <w:name w:val="annotation subject"/>
    <w:basedOn w:val="7"/>
    <w:next w:val="7"/>
    <w:link w:val="57"/>
    <w:semiHidden/>
    <w:unhideWhenUsed/>
    <w:qFormat/>
    <w:uiPriority w:val="99"/>
    <w:rPr>
      <w:rFonts w:ascii="@仿宋_GB2312" w:hAnsi="@仿宋_GB2312" w:eastAsia="@仿宋_GB2312" w:cs="@仿宋_GB2312"/>
      <w:b/>
      <w:bCs/>
    </w:rPr>
  </w:style>
  <w:style w:type="paragraph" w:styleId="22">
    <w:name w:val="Body Text First Indent"/>
    <w:basedOn w:val="8"/>
    <w:unhideWhenUsed/>
    <w:qFormat/>
    <w:uiPriority w:val="99"/>
    <w:pPr>
      <w:ind w:firstLine="420" w:firstLineChars="100"/>
    </w:pPr>
  </w:style>
  <w:style w:type="paragraph" w:styleId="23">
    <w:name w:val="Body Text First Indent 2"/>
    <w:basedOn w:val="9"/>
    <w:next w:val="1"/>
    <w:unhideWhenUsed/>
    <w:qFormat/>
    <w:uiPriority w:val="99"/>
    <w:pPr>
      <w:ind w:firstLine="420" w:firstLineChars="200"/>
    </w:pPr>
  </w:style>
  <w:style w:type="table" w:styleId="25">
    <w:name w:val="Table Grid"/>
    <w:basedOn w:val="2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styleId="29">
    <w:name w:val="annotation reference"/>
    <w:basedOn w:val="26"/>
    <w:semiHidden/>
    <w:unhideWhenUsed/>
    <w:qFormat/>
    <w:uiPriority w:val="99"/>
    <w:rPr>
      <w:sz w:val="21"/>
      <w:szCs w:val="21"/>
    </w:rPr>
  </w:style>
  <w:style w:type="character" w:customStyle="1" w:styleId="30">
    <w:name w:val="批注框文本 字符"/>
    <w:basedOn w:val="26"/>
    <w:link w:val="14"/>
    <w:semiHidden/>
    <w:qFormat/>
    <w:uiPriority w:val="99"/>
    <w:rPr>
      <w:rFonts w:ascii="@仿宋_GB2312" w:hAnsi="@仿宋_GB2312" w:eastAsia="@仿宋_GB2312" w:cs="@仿宋_GB2312"/>
      <w:sz w:val="18"/>
      <w:szCs w:val="18"/>
    </w:rPr>
  </w:style>
  <w:style w:type="paragraph" w:customStyle="1" w:styleId="31">
    <w:name w:val="正文（缩进）"/>
    <w:basedOn w:val="1"/>
    <w:qFormat/>
    <w:uiPriority w:val="0"/>
    <w:pPr>
      <w:widowControl/>
      <w:spacing w:before="156" w:after="156"/>
      <w:ind w:firstLine="480" w:firstLineChars="200"/>
      <w:jc w:val="left"/>
    </w:pPr>
    <w:rPr>
      <w:kern w:val="0"/>
      <w:sz w:val="24"/>
      <w:szCs w:val="24"/>
    </w:rPr>
  </w:style>
  <w:style w:type="paragraph" w:customStyle="1" w:styleId="32">
    <w:name w:val="xl31"/>
    <w:basedOn w:val="1"/>
    <w:qFormat/>
    <w:uiPriority w:val="0"/>
    <w:pPr>
      <w:widowControl/>
      <w:spacing w:before="100" w:beforeAutospacing="1" w:after="100" w:afterAutospacing="1"/>
      <w:jc w:val="center"/>
    </w:pPr>
    <w:rPr>
      <w:b/>
      <w:bCs/>
      <w:kern w:val="0"/>
      <w:sz w:val="28"/>
      <w:szCs w:val="28"/>
    </w:rPr>
  </w:style>
  <w:style w:type="paragraph" w:customStyle="1" w:styleId="33">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4">
    <w:name w:val="页眉 字符"/>
    <w:basedOn w:val="26"/>
    <w:link w:val="16"/>
    <w:qFormat/>
    <w:uiPriority w:val="99"/>
    <w:rPr>
      <w:rFonts w:ascii="@仿宋_GB2312" w:hAnsi="@仿宋_GB2312" w:eastAsia="@仿宋_GB2312" w:cs="@仿宋_GB2312"/>
      <w:sz w:val="18"/>
      <w:szCs w:val="18"/>
    </w:rPr>
  </w:style>
  <w:style w:type="character" w:customStyle="1" w:styleId="35">
    <w:name w:val="页脚 字符"/>
    <w:basedOn w:val="26"/>
    <w:link w:val="15"/>
    <w:qFormat/>
    <w:uiPriority w:val="99"/>
    <w:rPr>
      <w:rFonts w:ascii="@仿宋_GB2312" w:hAnsi="@仿宋_GB2312" w:eastAsia="@仿宋_GB2312" w:cs="@仿宋_GB2312"/>
      <w:sz w:val="18"/>
      <w:szCs w:val="18"/>
    </w:rPr>
  </w:style>
  <w:style w:type="character" w:customStyle="1" w:styleId="36">
    <w:name w:val="纯文本 字符"/>
    <w:link w:val="12"/>
    <w:qFormat/>
    <w:uiPriority w:val="0"/>
    <w:rPr>
      <w:rFonts w:ascii="宋体" w:hAnsi="Courier New"/>
    </w:rPr>
  </w:style>
  <w:style w:type="character" w:customStyle="1" w:styleId="37">
    <w:name w:val="纯文本 字符1"/>
    <w:basedOn w:val="26"/>
    <w:semiHidden/>
    <w:qFormat/>
    <w:uiPriority w:val="99"/>
    <w:rPr>
      <w:rFonts w:hAnsi="Courier New" w:cs="Courier New" w:asciiTheme="minorEastAsia"/>
      <w:szCs w:val="20"/>
    </w:rPr>
  </w:style>
  <w:style w:type="character" w:customStyle="1" w:styleId="38">
    <w:name w:val="未处理的提及1"/>
    <w:basedOn w:val="26"/>
    <w:semiHidden/>
    <w:unhideWhenUsed/>
    <w:qFormat/>
    <w:uiPriority w:val="99"/>
    <w:rPr>
      <w:color w:val="605E5C"/>
      <w:shd w:val="clear" w:color="auto" w:fill="E1DFDD"/>
    </w:rPr>
  </w:style>
  <w:style w:type="paragraph" w:styleId="39">
    <w:name w:val="List Paragraph"/>
    <w:basedOn w:val="1"/>
    <w:qFormat/>
    <w:uiPriority w:val="34"/>
    <w:pPr>
      <w:ind w:firstLine="420" w:firstLineChars="200"/>
    </w:pPr>
  </w:style>
  <w:style w:type="paragraph" w:customStyle="1" w:styleId="40">
    <w:name w:val="Char Char Char Char Char Char Char1 Char"/>
    <w:basedOn w:val="1"/>
    <w:qFormat/>
    <w:uiPriority w:val="0"/>
    <w:rPr>
      <w:rFonts w:ascii="Arial" w:hAnsi="Arial" w:eastAsia="宋体" w:cs="Arial"/>
      <w:sz w:val="24"/>
    </w:rPr>
  </w:style>
  <w:style w:type="table" w:customStyle="1" w:styleId="41">
    <w:name w:val="网格表 1 浅色1"/>
    <w:basedOn w:val="2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2">
    <w:name w:val="日期 字符"/>
    <w:basedOn w:val="26"/>
    <w:semiHidden/>
    <w:qFormat/>
    <w:uiPriority w:val="99"/>
    <w:rPr>
      <w:rFonts w:ascii="@仿宋_GB2312" w:hAnsi="@仿宋_GB2312" w:eastAsia="@仿宋_GB2312" w:cs="@仿宋_GB2312"/>
      <w:szCs w:val="20"/>
    </w:rPr>
  </w:style>
  <w:style w:type="character" w:customStyle="1" w:styleId="43">
    <w:name w:val="日期 字符1"/>
    <w:link w:val="13"/>
    <w:qFormat/>
    <w:uiPriority w:val="0"/>
    <w:rPr>
      <w:rFonts w:ascii="Arial" w:hAnsi="Arial" w:eastAsia="宋体" w:cs="Arial"/>
      <w:b/>
      <w:sz w:val="28"/>
      <w:szCs w:val="20"/>
    </w:rPr>
  </w:style>
  <w:style w:type="character" w:customStyle="1" w:styleId="44">
    <w:name w:val="纯文本 Char1"/>
    <w:qFormat/>
    <w:locked/>
    <w:uiPriority w:val="99"/>
    <w:rPr>
      <w:rFonts w:ascii="Arial" w:hAnsi="Arial" w:eastAsia="Arial"/>
      <w:kern w:val="2"/>
      <w:sz w:val="21"/>
      <w:lang w:val="en-US" w:eastAsia="zh-CN" w:bidi="ar-SA"/>
    </w:rPr>
  </w:style>
  <w:style w:type="character" w:customStyle="1" w:styleId="45">
    <w:name w:val="批注文字 Char"/>
    <w:basedOn w:val="26"/>
    <w:semiHidden/>
    <w:qFormat/>
    <w:uiPriority w:val="99"/>
    <w:rPr>
      <w:rFonts w:ascii="@仿宋_GB2312" w:hAnsi="@仿宋_GB2312" w:eastAsia="@仿宋_GB2312" w:cs="@仿宋_GB2312"/>
      <w:szCs w:val="20"/>
    </w:rPr>
  </w:style>
  <w:style w:type="character" w:customStyle="1" w:styleId="46">
    <w:name w:val="批注文字 字符"/>
    <w:link w:val="7"/>
    <w:qFormat/>
    <w:uiPriority w:val="0"/>
    <w:rPr>
      <w:rFonts w:ascii="Arial" w:hAnsi="Arial" w:eastAsia="黑体" w:cs="Arial"/>
      <w:szCs w:val="20"/>
    </w:rPr>
  </w:style>
  <w:style w:type="character" w:customStyle="1" w:styleId="47">
    <w:name w:val="标题 1 字符"/>
    <w:basedOn w:val="26"/>
    <w:link w:val="2"/>
    <w:qFormat/>
    <w:uiPriority w:val="9"/>
    <w:rPr>
      <w:rFonts w:ascii="@仿宋_GB2312" w:hAnsi="@仿宋_GB2312" w:eastAsia="@仿宋_GB2312" w:cs="@仿宋_GB2312"/>
      <w:b/>
      <w:bCs/>
      <w:kern w:val="44"/>
      <w:sz w:val="44"/>
      <w:szCs w:val="44"/>
    </w:rPr>
  </w:style>
  <w:style w:type="paragraph" w:customStyle="1" w:styleId="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3 字符"/>
    <w:basedOn w:val="26"/>
    <w:link w:val="4"/>
    <w:semiHidden/>
    <w:qFormat/>
    <w:uiPriority w:val="9"/>
    <w:rPr>
      <w:rFonts w:ascii="@仿宋_GB2312" w:hAnsi="@仿宋_GB2312" w:eastAsia="@仿宋_GB2312" w:cs="@仿宋_GB2312"/>
      <w:b/>
      <w:bCs/>
      <w:sz w:val="32"/>
      <w:szCs w:val="32"/>
    </w:rPr>
  </w:style>
  <w:style w:type="character" w:customStyle="1" w:styleId="50">
    <w:name w:val="fontstyle01"/>
    <w:basedOn w:val="26"/>
    <w:qFormat/>
    <w:uiPriority w:val="0"/>
    <w:rPr>
      <w:rFonts w:hint="eastAsia" w:ascii="宋体" w:hAnsi="宋体" w:eastAsia="宋体"/>
      <w:color w:val="000000"/>
      <w:sz w:val="22"/>
      <w:szCs w:val="22"/>
    </w:rPr>
  </w:style>
  <w:style w:type="character" w:customStyle="1" w:styleId="51">
    <w:name w:val="fontstyle21"/>
    <w:basedOn w:val="26"/>
    <w:qFormat/>
    <w:uiPriority w:val="0"/>
    <w:rPr>
      <w:rFonts w:hint="default" w:ascii="TimesNewRomanPSMT" w:hAnsi="TimesNewRomanPSMT"/>
      <w:color w:val="000000"/>
      <w:sz w:val="22"/>
      <w:szCs w:val="22"/>
    </w:rPr>
  </w:style>
  <w:style w:type="character" w:customStyle="1" w:styleId="52">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3">
    <w:name w:val="标题 4 字符"/>
    <w:basedOn w:val="26"/>
    <w:semiHidden/>
    <w:qFormat/>
    <w:uiPriority w:val="9"/>
    <w:rPr>
      <w:rFonts w:asciiTheme="majorHAnsi" w:hAnsiTheme="majorHAnsi" w:eastAsiaTheme="majorEastAsia" w:cstheme="majorBidi"/>
      <w:b/>
      <w:bCs/>
      <w:sz w:val="28"/>
      <w:szCs w:val="28"/>
    </w:rPr>
  </w:style>
  <w:style w:type="character" w:customStyle="1" w:styleId="54">
    <w:name w:val="标题 4 字符1"/>
    <w:link w:val="5"/>
    <w:qFormat/>
    <w:uiPriority w:val="0"/>
    <w:rPr>
      <w:rFonts w:ascii="@仿宋_GB2312" w:hAnsi="@仿宋_GB2312" w:eastAsia="@仿宋_GB2312" w:cs="@仿宋_GB2312"/>
      <w:b/>
      <w:bCs/>
      <w:sz w:val="28"/>
      <w:szCs w:val="28"/>
    </w:rPr>
  </w:style>
  <w:style w:type="character" w:customStyle="1" w:styleId="55">
    <w:name w:val="标题 4 Char"/>
    <w:qFormat/>
    <w:uiPriority w:val="0"/>
    <w:rPr>
      <w:rFonts w:ascii="Arial" w:hAnsi="Arial" w:eastAsia="Arial"/>
      <w:b/>
      <w:bCs/>
      <w:kern w:val="2"/>
      <w:sz w:val="28"/>
      <w:szCs w:val="28"/>
      <w:lang w:val="en-US" w:eastAsia="zh-CN" w:bidi="ar-SA"/>
    </w:rPr>
  </w:style>
  <w:style w:type="table" w:customStyle="1" w:styleId="56">
    <w:name w:val="网格型1"/>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7">
    <w:name w:val="批注主题 字符"/>
    <w:basedOn w:val="46"/>
    <w:link w:val="21"/>
    <w:semiHidden/>
    <w:qFormat/>
    <w:uiPriority w:val="99"/>
    <w:rPr>
      <w:rFonts w:ascii="@仿宋_GB2312" w:hAnsi="@仿宋_GB2312" w:eastAsia="@仿宋_GB2312" w:cs="@仿宋_GB2312"/>
      <w:b/>
      <w:bCs/>
      <w:szCs w:val="20"/>
    </w:rPr>
  </w:style>
  <w:style w:type="table" w:customStyle="1" w:styleId="58">
    <w:name w:val="Table Normal"/>
    <w:semiHidden/>
    <w:unhideWhenUsed/>
    <w:qFormat/>
    <w:uiPriority w:val="0"/>
    <w:tblPr>
      <w:tblCellMar>
        <w:top w:w="0" w:type="dxa"/>
        <w:left w:w="0" w:type="dxa"/>
        <w:bottom w:w="0" w:type="dxa"/>
        <w:right w:w="0" w:type="dxa"/>
      </w:tblCellMar>
    </w:tblPr>
  </w:style>
  <w:style w:type="paragraph" w:customStyle="1" w:styleId="59">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64</Pages>
  <Words>30282</Words>
  <Characters>31752</Characters>
  <Lines>254</Lines>
  <Paragraphs>71</Paragraphs>
  <TotalTime>32</TotalTime>
  <ScaleCrop>false</ScaleCrop>
  <LinksUpToDate>false</LinksUpToDate>
  <CharactersWithSpaces>34284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2025-09-12T02:18:00Z</dcterms:created>
  <dc:creator>Anakin</dc:creator>
  <cp:lastModifiedBy>杨成龙</cp:lastModifiedBy>
  <cp:lastPrinted>2019-12-07T15:18:00Z</cp:lastPrinted>
  <dcterms:modified xsi:type="dcterms:W3CDTF">2025-09-12T07:58:51Z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14875DA23BD745E3965C4DB5DE82F28F_13</vt:lpwstr>
  </property>
  <property fmtid="{D5CDD505-2E9C-101B-9397-08002B2CF9AE}" pid="4" name="KSOTemplateDocerSaveRecord">
    <vt:lpwstr>eyJoZGlkIjoiYjk5ODM0YmMxOWJiYWQyNDU4MGIzYWRmYTA0ZmI5NDciLCJ1c2VySWQiOiI0NDM4OTM3MDAifQ==</vt:lpwstr>
  </property>
</Properties>
</file>