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BE169B">
      <w:pPr>
        <w:spacing w:line="360" w:lineRule="auto"/>
        <w:jc w:val="center"/>
        <w:outlineLvl w:val="0"/>
        <w:rPr>
          <w:rFonts w:asciiTheme="minorEastAsia" w:hAnsiTheme="minorEastAsia" w:eastAsiaTheme="minorEastAsia"/>
          <w:b/>
          <w:sz w:val="28"/>
          <w:highlight w:val="none"/>
        </w:rPr>
      </w:pPr>
      <w:r>
        <w:rPr>
          <w:rFonts w:hint="eastAsia" w:asciiTheme="minorEastAsia" w:hAnsiTheme="minorEastAsia" w:eastAsiaTheme="minorEastAsia"/>
          <w:b/>
          <w:sz w:val="28"/>
          <w:highlight w:val="none"/>
        </w:rPr>
        <w:t>采购需求</w:t>
      </w:r>
    </w:p>
    <w:p w14:paraId="414A422B">
      <w:pPr>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前注：</w:t>
      </w:r>
    </w:p>
    <w:p w14:paraId="019F8686">
      <w:pPr>
        <w:spacing w:line="360" w:lineRule="auto"/>
        <w:ind w:firstLine="435"/>
        <w:rPr>
          <w:rFonts w:ascii="宋体" w:hAnsi="宋体" w:eastAsia="宋体"/>
          <w:sz w:val="24"/>
          <w:szCs w:val="18"/>
          <w:highlight w:val="none"/>
        </w:rPr>
      </w:pPr>
      <w:r>
        <w:rPr>
          <w:rFonts w:hint="eastAsia" w:asciiTheme="minorEastAsia" w:hAnsiTheme="minorEastAsia" w:eastAsiaTheme="minorEastAsia"/>
          <w:sz w:val="24"/>
          <w:highlight w:val="none"/>
        </w:rPr>
        <w:t>1.</w:t>
      </w:r>
      <w:r>
        <w:rPr>
          <w:rFonts w:ascii="宋体" w:hAnsi="宋体" w:eastAsia="宋体"/>
          <w:sz w:val="24"/>
          <w:szCs w:val="18"/>
          <w:highlight w:val="none"/>
        </w:rPr>
        <w:t>根据《</w:t>
      </w:r>
      <w:r>
        <w:rPr>
          <w:rFonts w:hint="eastAsia" w:ascii="宋体" w:hAnsi="宋体" w:eastAsia="宋体"/>
          <w:sz w:val="24"/>
          <w:szCs w:val="18"/>
          <w:highlight w:val="none"/>
        </w:rPr>
        <w:t>政府采购进口产品管理办法</w:t>
      </w:r>
      <w:r>
        <w:rPr>
          <w:rFonts w:ascii="宋体" w:hAnsi="宋体" w:eastAsia="宋体"/>
          <w:sz w:val="24"/>
          <w:szCs w:val="18"/>
          <w:highlight w:val="none"/>
        </w:rPr>
        <w:t>》及政府采购管理部门的相关规定，下列采购需求中</w:t>
      </w:r>
      <w:r>
        <w:rPr>
          <w:rFonts w:hint="eastAsia" w:ascii="宋体" w:hAnsi="宋体" w:eastAsia="宋体"/>
          <w:sz w:val="24"/>
          <w:szCs w:val="18"/>
          <w:highlight w:val="none"/>
        </w:rPr>
        <w:t>标注进口产品的货物均</w:t>
      </w:r>
      <w:r>
        <w:rPr>
          <w:rFonts w:ascii="宋体" w:hAnsi="宋体" w:eastAsia="宋体"/>
          <w:sz w:val="24"/>
          <w:szCs w:val="18"/>
          <w:highlight w:val="none"/>
        </w:rPr>
        <w:t>已履行相关论证手续，经核准采购进口</w:t>
      </w:r>
      <w:r>
        <w:rPr>
          <w:rFonts w:hint="eastAsia" w:ascii="宋体" w:hAnsi="宋体" w:eastAsia="宋体"/>
          <w:sz w:val="24"/>
          <w:szCs w:val="18"/>
          <w:highlight w:val="none"/>
        </w:rPr>
        <w:t>产品</w:t>
      </w:r>
      <w:r>
        <w:rPr>
          <w:rFonts w:ascii="宋体" w:hAnsi="宋体" w:eastAsia="宋体"/>
          <w:sz w:val="24"/>
          <w:szCs w:val="18"/>
          <w:highlight w:val="none"/>
        </w:rPr>
        <w:t>，但不限制满足招标文件要求的国内产品参与竞争</w:t>
      </w:r>
      <w:r>
        <w:rPr>
          <w:rFonts w:hint="eastAsia" w:ascii="宋体" w:hAnsi="宋体" w:eastAsia="宋体"/>
          <w:sz w:val="24"/>
          <w:szCs w:val="18"/>
          <w:highlight w:val="none"/>
        </w:rPr>
        <w:t>。未标注进口产品的货物均</w:t>
      </w:r>
      <w:r>
        <w:rPr>
          <w:rFonts w:ascii="宋体" w:hAnsi="宋体" w:eastAsia="宋体"/>
          <w:sz w:val="24"/>
          <w:szCs w:val="18"/>
          <w:highlight w:val="none"/>
        </w:rPr>
        <w:t>为拒绝采购进口产品</w:t>
      </w:r>
      <w:r>
        <w:rPr>
          <w:rFonts w:hint="eastAsia" w:ascii="宋体" w:hAnsi="宋体" w:eastAsia="宋体"/>
          <w:sz w:val="24"/>
          <w:szCs w:val="18"/>
          <w:highlight w:val="none"/>
        </w:rPr>
        <w:t>。</w:t>
      </w:r>
    </w:p>
    <w:p w14:paraId="669E2E63">
      <w:pPr>
        <w:spacing w:line="360" w:lineRule="auto"/>
        <w:ind w:firstLine="435"/>
        <w:rPr>
          <w:rFonts w:ascii="宋体" w:hAnsi="宋体" w:eastAsia="宋体"/>
          <w:sz w:val="24"/>
          <w:szCs w:val="18"/>
          <w:highlight w:val="none"/>
        </w:rPr>
      </w:pPr>
      <w:r>
        <w:rPr>
          <w:rFonts w:hint="eastAsia" w:ascii="宋体" w:hAnsi="宋体" w:eastAsia="宋体"/>
          <w:sz w:val="24"/>
          <w:szCs w:val="18"/>
          <w:highlight w:val="none"/>
        </w:rPr>
        <w:t>2.</w:t>
      </w:r>
      <w:r>
        <w:rPr>
          <w:rFonts w:ascii="宋体" w:hAnsi="宋体" w:eastAsia="宋体" w:cs="宋体"/>
          <w:sz w:val="24"/>
          <w:szCs w:val="24"/>
          <w:highlight w:val="none"/>
        </w:rPr>
        <w:t>政府采购政策（包括但不限于下列具体政策要求</w:t>
      </w:r>
      <w:r>
        <w:rPr>
          <w:rFonts w:hint="eastAsia" w:ascii="宋体" w:hAnsi="宋体" w:eastAsia="宋体" w:cs="宋体"/>
          <w:sz w:val="24"/>
          <w:szCs w:val="24"/>
          <w:highlight w:val="none"/>
        </w:rPr>
        <w:t>）</w:t>
      </w:r>
      <w:r>
        <w:rPr>
          <w:rFonts w:hint="eastAsia" w:ascii="宋体" w:hAnsi="宋体" w:eastAsia="宋体"/>
          <w:sz w:val="24"/>
          <w:szCs w:val="18"/>
          <w:highlight w:val="none"/>
        </w:rPr>
        <w:t>：</w:t>
      </w:r>
    </w:p>
    <w:p w14:paraId="65E030BC">
      <w:pPr>
        <w:spacing w:line="360" w:lineRule="auto"/>
        <w:ind w:firstLine="435"/>
        <w:rPr>
          <w:rFonts w:ascii="宋体" w:hAnsi="宋体" w:eastAsia="宋体" w:cs="宋体"/>
          <w:sz w:val="24"/>
          <w:szCs w:val="24"/>
          <w:highlight w:val="none"/>
        </w:rPr>
      </w:pPr>
      <w:r>
        <w:rPr>
          <w:rFonts w:hint="eastAsia" w:ascii="宋体" w:hAnsi="宋体" w:eastAsia="宋体" w:cs="宋体"/>
          <w:sz w:val="24"/>
          <w:szCs w:val="24"/>
          <w:highlight w:val="none"/>
        </w:rPr>
        <w:t>（1）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14:paraId="6E234244">
      <w:pPr>
        <w:spacing w:line="360" w:lineRule="auto"/>
        <w:ind w:firstLine="435"/>
        <w:rPr>
          <w:rFonts w:ascii="宋体" w:hAnsi="宋体" w:eastAsia="宋体" w:cs="宋体"/>
          <w:sz w:val="24"/>
          <w:szCs w:val="24"/>
          <w:highlight w:val="none"/>
        </w:rPr>
      </w:pPr>
      <w:r>
        <w:rPr>
          <w:rFonts w:hint="eastAsia" w:ascii="宋体" w:hAnsi="宋体" w:eastAsia="宋体" w:cs="宋体"/>
          <w:sz w:val="24"/>
          <w:szCs w:val="24"/>
          <w:highlight w:val="none"/>
        </w:rPr>
        <w:t>（2）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61D0D432">
      <w:pPr>
        <w:spacing w:line="360" w:lineRule="auto"/>
        <w:ind w:firstLine="435"/>
        <w:rPr>
          <w:rFonts w:ascii="宋体" w:hAnsi="宋体" w:eastAsia="宋体"/>
          <w:b/>
          <w:bCs/>
          <w:sz w:val="24"/>
          <w:szCs w:val="18"/>
          <w:highlight w:val="none"/>
        </w:rPr>
      </w:pPr>
      <w:r>
        <w:rPr>
          <w:rFonts w:hint="eastAsia" w:ascii="宋体" w:hAnsi="宋体" w:eastAsia="宋体" w:cs="宋体"/>
          <w:sz w:val="24"/>
          <w:szCs w:val="24"/>
          <w:highlight w:val="none"/>
        </w:rPr>
        <w:t>（3）</w:t>
      </w:r>
      <w:r>
        <w:rPr>
          <w:rFonts w:hint="eastAsia" w:ascii="宋体" w:hAnsi="宋体" w:eastAsia="宋体" w:cs="宋体"/>
          <w:b/>
          <w:bCs/>
          <w:sz w:val="24"/>
          <w:szCs w:val="24"/>
          <w:highlight w:val="none"/>
        </w:rPr>
        <w:t>标注▲的产品为核心产品，投标人在投标文件《主要中标标的承诺函》中填写名称、规格、型号、数量、单价等信息，承诺函随评审结果一并公告；</w:t>
      </w:r>
    </w:p>
    <w:p w14:paraId="5FCED17B">
      <w:pPr>
        <w:spacing w:line="360" w:lineRule="auto"/>
        <w:ind w:firstLine="435"/>
        <w:rPr>
          <w:highlight w:val="none"/>
        </w:rPr>
      </w:pPr>
      <w:r>
        <w:rPr>
          <w:rFonts w:hint="eastAsia" w:ascii="宋体" w:hAnsi="宋体" w:eastAsia="宋体" w:cs="宋体"/>
          <w:sz w:val="24"/>
          <w:szCs w:val="24"/>
          <w:highlight w:val="none"/>
        </w:rPr>
        <w:t>3.</w:t>
      </w:r>
      <w:r>
        <w:rPr>
          <w:rFonts w:hint="eastAsia" w:ascii="宋体" w:hAnsi="宋体" w:eastAsia="宋体"/>
          <w:sz w:val="24"/>
          <w:szCs w:val="18"/>
          <w:highlight w:val="none"/>
        </w:rPr>
        <w:t>如采购人允许采用分包方式履行合同的，应当明确可以分包履行的相关内容。</w:t>
      </w:r>
    </w:p>
    <w:p w14:paraId="4A006E96">
      <w:pPr>
        <w:spacing w:line="360" w:lineRule="auto"/>
        <w:ind w:firstLine="437"/>
        <w:outlineLvl w:val="1"/>
        <w:rPr>
          <w:rFonts w:ascii="宋体" w:hAnsi="宋体" w:eastAsia="宋体"/>
          <w:b/>
          <w:sz w:val="24"/>
          <w:szCs w:val="18"/>
          <w:highlight w:val="none"/>
        </w:rPr>
      </w:pPr>
      <w:bookmarkStart w:id="0" w:name="_Toc21076"/>
      <w:bookmarkStart w:id="1" w:name="_Toc32151"/>
      <w:bookmarkStart w:id="2" w:name="_Toc2554"/>
      <w:r>
        <w:rPr>
          <w:rFonts w:hint="eastAsia" w:ascii="宋体" w:hAnsi="宋体" w:eastAsia="宋体"/>
          <w:b/>
          <w:sz w:val="24"/>
          <w:szCs w:val="18"/>
          <w:highlight w:val="none"/>
        </w:rPr>
        <w:t>一、采购需求前附表</w:t>
      </w:r>
      <w:bookmarkEnd w:id="0"/>
      <w:bookmarkEnd w:id="1"/>
      <w:bookmarkEnd w:id="2"/>
    </w:p>
    <w:tbl>
      <w:tblPr>
        <w:tblStyle w:val="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8"/>
        <w:gridCol w:w="1655"/>
        <w:gridCol w:w="6139"/>
      </w:tblGrid>
      <w:tr w14:paraId="4B30B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09774476">
            <w:pPr>
              <w:pStyle w:val="8"/>
              <w:pBdr>
                <w:bottom w:val="none" w:color="auto" w:sz="0" w:space="0"/>
              </w:pBdr>
              <w:tabs>
                <w:tab w:val="clear" w:pos="4153"/>
                <w:tab w:val="clear" w:pos="8306"/>
              </w:tabs>
              <w:adjustRightInd/>
              <w:spacing w:line="240" w:lineRule="auto"/>
              <w:textAlignment w:val="auto"/>
              <w:rPr>
                <w:rFonts w:ascii="宋体" w:hAnsi="宋体" w:eastAsia="宋体"/>
                <w:b/>
                <w:kern w:val="2"/>
                <w:highlight w:val="none"/>
              </w:rPr>
            </w:pPr>
            <w:r>
              <w:rPr>
                <w:rFonts w:hint="eastAsia" w:ascii="宋体" w:hAnsi="宋体" w:eastAsia="宋体"/>
                <w:b/>
                <w:kern w:val="2"/>
                <w:highlight w:val="none"/>
              </w:rPr>
              <w:t>序号</w:t>
            </w:r>
          </w:p>
        </w:tc>
        <w:tc>
          <w:tcPr>
            <w:tcW w:w="971" w:type="pct"/>
            <w:vAlign w:val="center"/>
          </w:tcPr>
          <w:p w14:paraId="21A6201B">
            <w:pPr>
              <w:pStyle w:val="9"/>
              <w:widowControl w:val="0"/>
              <w:spacing w:before="0" w:beforeAutospacing="0" w:after="0" w:afterAutospacing="0" w:line="360" w:lineRule="auto"/>
              <w:rPr>
                <w:rFonts w:ascii="宋体" w:hAnsi="宋体" w:eastAsia="宋体"/>
                <w:bCs w:val="0"/>
                <w:sz w:val="24"/>
                <w:highlight w:val="none"/>
              </w:rPr>
            </w:pPr>
            <w:r>
              <w:rPr>
                <w:rFonts w:hint="eastAsia" w:ascii="宋体" w:hAnsi="宋体" w:eastAsia="宋体"/>
                <w:bCs w:val="0"/>
                <w:sz w:val="24"/>
                <w:highlight w:val="none"/>
              </w:rPr>
              <w:t>条款名称</w:t>
            </w:r>
          </w:p>
        </w:tc>
        <w:tc>
          <w:tcPr>
            <w:tcW w:w="3601" w:type="pct"/>
            <w:vAlign w:val="center"/>
          </w:tcPr>
          <w:p w14:paraId="5E176687">
            <w:pPr>
              <w:pStyle w:val="9"/>
              <w:widowControl w:val="0"/>
              <w:spacing w:before="0" w:beforeAutospacing="0" w:after="0" w:afterAutospacing="0" w:line="360" w:lineRule="auto"/>
              <w:rPr>
                <w:rFonts w:ascii="宋体" w:hAnsi="宋体" w:eastAsia="宋体"/>
                <w:bCs w:val="0"/>
                <w:sz w:val="24"/>
                <w:highlight w:val="none"/>
              </w:rPr>
            </w:pPr>
            <w:r>
              <w:rPr>
                <w:rFonts w:hint="eastAsia" w:ascii="宋体" w:hAnsi="宋体" w:eastAsia="宋体"/>
                <w:bCs w:val="0"/>
                <w:sz w:val="24"/>
                <w:highlight w:val="none"/>
              </w:rPr>
              <w:t>内容、说明与要求</w:t>
            </w:r>
          </w:p>
        </w:tc>
      </w:tr>
      <w:tr w14:paraId="74112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0F142233">
            <w:pPr>
              <w:pStyle w:val="8"/>
              <w:pBdr>
                <w:bottom w:val="none" w:color="auto" w:sz="0" w:space="0"/>
              </w:pBdr>
              <w:tabs>
                <w:tab w:val="clear" w:pos="4153"/>
                <w:tab w:val="clear" w:pos="8306"/>
              </w:tabs>
              <w:adjustRightInd/>
              <w:spacing w:line="240" w:lineRule="auto"/>
              <w:textAlignment w:val="auto"/>
              <w:rPr>
                <w:rFonts w:ascii="宋体" w:hAnsi="宋体" w:eastAsia="宋体"/>
                <w:bCs/>
                <w:kern w:val="2"/>
                <w:highlight w:val="none"/>
              </w:rPr>
            </w:pPr>
            <w:r>
              <w:rPr>
                <w:rFonts w:hint="eastAsia" w:ascii="宋体" w:hAnsi="宋体" w:eastAsia="宋体"/>
                <w:bCs/>
                <w:kern w:val="2"/>
                <w:highlight w:val="none"/>
              </w:rPr>
              <w:t>1</w:t>
            </w:r>
          </w:p>
        </w:tc>
        <w:tc>
          <w:tcPr>
            <w:tcW w:w="971" w:type="pct"/>
            <w:vAlign w:val="center"/>
          </w:tcPr>
          <w:p w14:paraId="68C1B97E">
            <w:pPr>
              <w:pStyle w:val="9"/>
              <w:widowControl w:val="0"/>
              <w:spacing w:before="0" w:beforeAutospacing="0" w:after="0" w:afterAutospacing="0" w:line="360" w:lineRule="auto"/>
              <w:rPr>
                <w:rFonts w:ascii="宋体" w:hAnsi="宋体" w:eastAsia="宋体"/>
                <w:b w:val="0"/>
                <w:sz w:val="24"/>
                <w:highlight w:val="none"/>
              </w:rPr>
            </w:pPr>
            <w:r>
              <w:rPr>
                <w:rFonts w:hint="eastAsia" w:ascii="宋体" w:hAnsi="宋体" w:eastAsia="宋体"/>
                <w:b w:val="0"/>
                <w:sz w:val="24"/>
                <w:highlight w:val="none"/>
              </w:rPr>
              <w:t>付款方式</w:t>
            </w:r>
          </w:p>
        </w:tc>
        <w:tc>
          <w:tcPr>
            <w:tcW w:w="3601" w:type="pct"/>
            <w:vAlign w:val="center"/>
          </w:tcPr>
          <w:p w14:paraId="225F441C">
            <w:pPr>
              <w:pStyle w:val="9"/>
              <w:widowControl w:val="0"/>
              <w:spacing w:before="0" w:beforeAutospacing="0" w:after="0" w:afterAutospacing="0" w:line="360" w:lineRule="auto"/>
              <w:jc w:val="both"/>
              <w:rPr>
                <w:rFonts w:hint="eastAsia" w:ascii="宋体" w:hAnsi="宋体" w:eastAsia="宋体"/>
                <w:b w:val="0"/>
                <w:sz w:val="24"/>
                <w:highlight w:val="none"/>
                <w:u w:val="none"/>
                <w:lang w:eastAsia="zh-CN"/>
              </w:rPr>
            </w:pPr>
            <w:r>
              <w:rPr>
                <w:rFonts w:hint="eastAsia" w:ascii="宋体" w:hAnsi="宋体" w:eastAsia="宋体"/>
                <w:b w:val="0"/>
                <w:sz w:val="24"/>
                <w:highlight w:val="none"/>
                <w:u w:val="none"/>
                <w:lang w:eastAsia="zh-CN"/>
              </w:rPr>
              <w:t>验收合格后，付合同总价款的100%。</w:t>
            </w:r>
          </w:p>
        </w:tc>
      </w:tr>
      <w:tr w14:paraId="0464B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1460333F">
            <w:pPr>
              <w:pStyle w:val="8"/>
              <w:pBdr>
                <w:bottom w:val="none" w:color="auto" w:sz="0" w:space="0"/>
              </w:pBdr>
              <w:tabs>
                <w:tab w:val="clear" w:pos="4153"/>
                <w:tab w:val="clear" w:pos="8306"/>
              </w:tabs>
              <w:adjustRightInd/>
              <w:spacing w:line="240" w:lineRule="auto"/>
              <w:textAlignment w:val="auto"/>
              <w:rPr>
                <w:rFonts w:ascii="宋体" w:hAnsi="宋体" w:eastAsia="宋体"/>
                <w:bCs/>
                <w:kern w:val="2"/>
                <w:highlight w:val="none"/>
              </w:rPr>
            </w:pPr>
            <w:r>
              <w:rPr>
                <w:rFonts w:hint="eastAsia" w:ascii="宋体" w:hAnsi="宋体" w:eastAsia="宋体"/>
                <w:bCs/>
                <w:kern w:val="2"/>
                <w:highlight w:val="none"/>
              </w:rPr>
              <w:t>2</w:t>
            </w:r>
          </w:p>
        </w:tc>
        <w:tc>
          <w:tcPr>
            <w:tcW w:w="971" w:type="pct"/>
            <w:vAlign w:val="center"/>
          </w:tcPr>
          <w:p w14:paraId="12ED8004">
            <w:pPr>
              <w:pStyle w:val="9"/>
              <w:widowControl w:val="0"/>
              <w:spacing w:before="0" w:beforeAutospacing="0" w:after="0" w:afterAutospacing="0" w:line="360" w:lineRule="auto"/>
              <w:rPr>
                <w:rFonts w:ascii="宋体" w:hAnsi="宋体" w:eastAsia="宋体"/>
                <w:b w:val="0"/>
                <w:sz w:val="24"/>
                <w:highlight w:val="none"/>
              </w:rPr>
            </w:pPr>
            <w:r>
              <w:rPr>
                <w:rFonts w:hint="eastAsia" w:ascii="宋体" w:hAnsi="宋体" w:eastAsia="宋体"/>
                <w:b w:val="0"/>
                <w:sz w:val="24"/>
                <w:highlight w:val="none"/>
              </w:rPr>
              <w:t>供货及安装地点</w:t>
            </w:r>
          </w:p>
        </w:tc>
        <w:tc>
          <w:tcPr>
            <w:tcW w:w="3601" w:type="pct"/>
            <w:vAlign w:val="center"/>
          </w:tcPr>
          <w:p w14:paraId="3521E540">
            <w:pPr>
              <w:pStyle w:val="9"/>
              <w:widowControl w:val="0"/>
              <w:spacing w:before="0" w:beforeAutospacing="0" w:after="0" w:afterAutospacing="0" w:line="360" w:lineRule="auto"/>
              <w:jc w:val="both"/>
              <w:rPr>
                <w:rFonts w:hint="default" w:ascii="宋体" w:hAnsi="宋体" w:eastAsia="宋体"/>
                <w:b w:val="0"/>
                <w:sz w:val="24"/>
                <w:highlight w:val="none"/>
                <w:u w:val="none"/>
                <w:lang w:val="en-US" w:eastAsia="zh-CN"/>
              </w:rPr>
            </w:pPr>
            <w:r>
              <w:rPr>
                <w:rFonts w:hint="eastAsia" w:ascii="宋体" w:hAnsi="宋体" w:eastAsia="宋体"/>
                <w:b w:val="0"/>
                <w:sz w:val="24"/>
                <w:highlight w:val="none"/>
                <w:u w:val="none"/>
                <w:lang w:eastAsia="zh-CN"/>
              </w:rPr>
              <w:t>亳州学院，</w:t>
            </w:r>
            <w:r>
              <w:rPr>
                <w:rFonts w:hint="eastAsia" w:ascii="宋体" w:hAnsi="宋体" w:eastAsia="宋体"/>
                <w:b w:val="0"/>
                <w:sz w:val="24"/>
                <w:highlight w:val="none"/>
                <w:u w:val="none"/>
                <w:lang w:val="en-US" w:eastAsia="zh-CN"/>
              </w:rPr>
              <w:t>采购人指定地点。</w:t>
            </w:r>
          </w:p>
        </w:tc>
      </w:tr>
      <w:tr w14:paraId="2233A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0D15A85C">
            <w:pPr>
              <w:pStyle w:val="8"/>
              <w:pBdr>
                <w:bottom w:val="none" w:color="auto" w:sz="0" w:space="0"/>
              </w:pBdr>
              <w:tabs>
                <w:tab w:val="clear" w:pos="4153"/>
                <w:tab w:val="clear" w:pos="8306"/>
              </w:tabs>
              <w:adjustRightInd/>
              <w:spacing w:line="240" w:lineRule="auto"/>
              <w:textAlignment w:val="auto"/>
              <w:rPr>
                <w:rFonts w:ascii="宋体" w:hAnsi="宋体" w:eastAsia="宋体"/>
                <w:bCs/>
                <w:kern w:val="2"/>
                <w:highlight w:val="none"/>
              </w:rPr>
            </w:pPr>
            <w:r>
              <w:rPr>
                <w:rFonts w:hint="eastAsia" w:ascii="宋体" w:hAnsi="宋体" w:eastAsia="宋体"/>
                <w:bCs/>
                <w:kern w:val="2"/>
                <w:highlight w:val="none"/>
              </w:rPr>
              <w:t>3</w:t>
            </w:r>
          </w:p>
        </w:tc>
        <w:tc>
          <w:tcPr>
            <w:tcW w:w="971" w:type="pct"/>
            <w:vAlign w:val="center"/>
          </w:tcPr>
          <w:p w14:paraId="633D08C0">
            <w:pPr>
              <w:pStyle w:val="9"/>
              <w:widowControl w:val="0"/>
              <w:spacing w:before="0" w:beforeAutospacing="0" w:after="0" w:afterAutospacing="0" w:line="360" w:lineRule="auto"/>
              <w:rPr>
                <w:rFonts w:ascii="宋体" w:hAnsi="宋体" w:eastAsia="宋体"/>
                <w:b w:val="0"/>
                <w:sz w:val="24"/>
                <w:highlight w:val="none"/>
              </w:rPr>
            </w:pPr>
            <w:r>
              <w:rPr>
                <w:rFonts w:hint="eastAsia" w:ascii="宋体" w:hAnsi="宋体" w:eastAsia="宋体"/>
                <w:b w:val="0"/>
                <w:sz w:val="24"/>
                <w:highlight w:val="none"/>
              </w:rPr>
              <w:t>供货及安装期限</w:t>
            </w:r>
          </w:p>
        </w:tc>
        <w:tc>
          <w:tcPr>
            <w:tcW w:w="3601" w:type="pct"/>
            <w:vAlign w:val="center"/>
          </w:tcPr>
          <w:p w14:paraId="03FFFF02">
            <w:pPr>
              <w:pStyle w:val="9"/>
              <w:widowControl w:val="0"/>
              <w:spacing w:before="0" w:beforeAutospacing="0" w:after="0" w:afterAutospacing="0" w:line="360" w:lineRule="auto"/>
              <w:jc w:val="both"/>
              <w:rPr>
                <w:rFonts w:ascii="宋体" w:hAnsi="宋体" w:eastAsia="宋体"/>
                <w:b w:val="0"/>
                <w:sz w:val="24"/>
                <w:highlight w:val="none"/>
              </w:rPr>
            </w:pPr>
            <w:r>
              <w:rPr>
                <w:rFonts w:hint="eastAsia" w:ascii="宋体" w:hAnsi="宋体" w:eastAsia="宋体"/>
                <w:b w:val="0"/>
                <w:sz w:val="24"/>
                <w:highlight w:val="none"/>
              </w:rPr>
              <w:t>签定合同后，中标人自接到采购人书面通知（书面通知以邮件或微信方式发送）之日起45个日历天内完成供货、安装、调试、培训等全部内容。</w:t>
            </w:r>
          </w:p>
        </w:tc>
      </w:tr>
      <w:tr w14:paraId="6421F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04234FFE">
            <w:pPr>
              <w:pStyle w:val="8"/>
              <w:pBdr>
                <w:bottom w:val="none" w:color="auto" w:sz="0" w:space="0"/>
              </w:pBdr>
              <w:tabs>
                <w:tab w:val="clear" w:pos="4153"/>
                <w:tab w:val="clear" w:pos="8306"/>
              </w:tabs>
              <w:adjustRightInd/>
              <w:spacing w:line="240" w:lineRule="auto"/>
              <w:textAlignment w:val="auto"/>
              <w:rPr>
                <w:rFonts w:ascii="宋体" w:hAnsi="宋体" w:eastAsia="宋体"/>
                <w:bCs/>
                <w:kern w:val="2"/>
                <w:highlight w:val="none"/>
              </w:rPr>
            </w:pPr>
            <w:r>
              <w:rPr>
                <w:rFonts w:hint="eastAsia" w:ascii="宋体" w:hAnsi="宋体" w:eastAsia="宋体"/>
                <w:bCs/>
                <w:kern w:val="2"/>
                <w:highlight w:val="none"/>
              </w:rPr>
              <w:t>4</w:t>
            </w:r>
          </w:p>
        </w:tc>
        <w:tc>
          <w:tcPr>
            <w:tcW w:w="971" w:type="pct"/>
            <w:vAlign w:val="center"/>
          </w:tcPr>
          <w:p w14:paraId="36F3BC36">
            <w:pPr>
              <w:pStyle w:val="9"/>
              <w:widowControl w:val="0"/>
              <w:spacing w:before="0" w:beforeAutospacing="0" w:after="0" w:afterAutospacing="0" w:line="360" w:lineRule="auto"/>
              <w:rPr>
                <w:rFonts w:hint="eastAsia" w:ascii="宋体" w:hAnsi="宋体" w:eastAsia="宋体"/>
                <w:b w:val="0"/>
                <w:sz w:val="24"/>
                <w:highlight w:val="none"/>
                <w:lang w:eastAsia="zh-CN"/>
              </w:rPr>
            </w:pPr>
            <w:r>
              <w:rPr>
                <w:rFonts w:hint="eastAsia" w:ascii="宋体" w:hAnsi="宋体" w:eastAsia="宋体"/>
                <w:b w:val="0"/>
                <w:sz w:val="24"/>
                <w:highlight w:val="none"/>
                <w:lang w:eastAsia="zh-CN"/>
              </w:rPr>
              <w:t>免费质保期</w:t>
            </w:r>
          </w:p>
        </w:tc>
        <w:tc>
          <w:tcPr>
            <w:tcW w:w="3601" w:type="pct"/>
            <w:vAlign w:val="center"/>
          </w:tcPr>
          <w:p w14:paraId="38F23209">
            <w:pPr>
              <w:pStyle w:val="9"/>
              <w:widowControl w:val="0"/>
              <w:spacing w:before="0" w:beforeAutospacing="0" w:after="0" w:afterAutospacing="0" w:line="360" w:lineRule="auto"/>
              <w:jc w:val="both"/>
              <w:rPr>
                <w:rFonts w:ascii="宋体" w:hAnsi="宋体" w:eastAsia="宋体"/>
                <w:b w:val="0"/>
                <w:sz w:val="24"/>
                <w:highlight w:val="none"/>
              </w:rPr>
            </w:pPr>
            <w:r>
              <w:rPr>
                <w:rFonts w:hint="eastAsia" w:ascii="宋体" w:hAnsi="宋体" w:eastAsia="宋体"/>
                <w:b w:val="0"/>
                <w:sz w:val="24"/>
                <w:highlight w:val="none"/>
              </w:rPr>
              <w:t>本项目基本质保期为3年</w:t>
            </w:r>
            <w:r>
              <w:rPr>
                <w:rFonts w:hint="eastAsia" w:ascii="宋体" w:hAnsi="宋体" w:eastAsia="宋体"/>
                <w:b w:val="0"/>
                <w:sz w:val="24"/>
                <w:highlight w:val="none"/>
                <w:lang w:eastAsia="zh-CN"/>
              </w:rPr>
              <w:t>（</w:t>
            </w:r>
            <w:r>
              <w:rPr>
                <w:rFonts w:hint="eastAsia" w:ascii="宋体" w:hAnsi="宋体" w:eastAsia="宋体"/>
                <w:b w:val="0"/>
                <w:sz w:val="24"/>
                <w:highlight w:val="none"/>
                <w:lang w:val="en-US" w:eastAsia="zh-CN"/>
              </w:rPr>
              <w:t>软件终身使用，免费升级</w:t>
            </w:r>
            <w:r>
              <w:rPr>
                <w:rFonts w:hint="eastAsia" w:ascii="宋体" w:hAnsi="宋体" w:eastAsia="宋体"/>
                <w:b w:val="0"/>
                <w:sz w:val="24"/>
                <w:highlight w:val="none"/>
                <w:lang w:eastAsia="zh-CN"/>
              </w:rPr>
              <w:t>）</w:t>
            </w:r>
            <w:r>
              <w:rPr>
                <w:rFonts w:hint="eastAsia" w:ascii="宋体" w:hAnsi="宋体" w:eastAsia="宋体"/>
                <w:b w:val="0"/>
                <w:sz w:val="24"/>
                <w:highlight w:val="none"/>
              </w:rPr>
              <w:t>，实际质保期依照中标商投标承诺质保期增加年限并入合同。若本项目中核心产品有质保期的特殊约定，则该核心产品质保期在合同中单独约定，质保期限=特殊约定年限+投标承诺质保期增加年限。质保期内，中标人须按采购人要求，在规定期限内负责免费维修或更换所供货物，若拟更换的货物因技术升级已经停产，则须更换不低于原货物档次的货物予以替代。</w:t>
            </w:r>
          </w:p>
        </w:tc>
      </w:tr>
    </w:tbl>
    <w:p w14:paraId="0EA9C7BC">
      <w:pPr>
        <w:numPr>
          <w:ilvl w:val="0"/>
          <w:numId w:val="1"/>
        </w:numPr>
        <w:spacing w:line="360" w:lineRule="auto"/>
        <w:ind w:firstLine="437"/>
        <w:outlineLvl w:val="1"/>
        <w:rPr>
          <w:rFonts w:ascii="宋体" w:hAnsi="宋体" w:eastAsia="宋体"/>
          <w:b/>
          <w:bCs/>
          <w:sz w:val="24"/>
          <w:szCs w:val="18"/>
          <w:highlight w:val="none"/>
        </w:rPr>
      </w:pPr>
      <w:bookmarkStart w:id="3" w:name="_Toc10993"/>
      <w:bookmarkStart w:id="4" w:name="_Toc5944"/>
      <w:bookmarkStart w:id="5" w:name="_Toc7671"/>
      <w:r>
        <w:rPr>
          <w:rFonts w:hint="eastAsia" w:ascii="宋体" w:hAnsi="宋体" w:eastAsia="宋体"/>
          <w:b/>
          <w:sz w:val="24"/>
          <w:szCs w:val="18"/>
          <w:highlight w:val="none"/>
        </w:rPr>
        <w:t>货物</w:t>
      </w:r>
      <w:r>
        <w:rPr>
          <w:rFonts w:hint="eastAsia" w:ascii="宋体" w:hAnsi="宋体" w:eastAsia="宋体"/>
          <w:b/>
          <w:bCs/>
          <w:sz w:val="24"/>
          <w:szCs w:val="18"/>
          <w:highlight w:val="none"/>
        </w:rPr>
        <w:t>需求</w:t>
      </w:r>
      <w:bookmarkEnd w:id="3"/>
      <w:bookmarkEnd w:id="4"/>
      <w:bookmarkEnd w:id="5"/>
    </w:p>
    <w:p w14:paraId="4F3D7F3F">
      <w:pPr>
        <w:pStyle w:val="3"/>
        <w:rPr>
          <w:rFonts w:ascii="宋体" w:hAnsi="宋体" w:eastAsia="宋体" w:cs="宋体"/>
          <w:b w:val="0"/>
          <w:sz w:val="24"/>
          <w:szCs w:val="24"/>
          <w:highlight w:val="none"/>
        </w:rPr>
      </w:pPr>
      <w:r>
        <w:rPr>
          <w:rFonts w:hint="eastAsia" w:ascii="宋体" w:hAnsi="宋体" w:eastAsia="宋体" w:cs="宋体"/>
          <w:b w:val="0"/>
          <w:sz w:val="24"/>
          <w:szCs w:val="24"/>
          <w:highlight w:val="none"/>
        </w:rPr>
        <w:t>（一）货物指标重要性表述</w:t>
      </w:r>
    </w:p>
    <w:tbl>
      <w:tblPr>
        <w:tblStyle w:val="6"/>
        <w:tblW w:w="504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3"/>
        <w:gridCol w:w="1463"/>
        <w:gridCol w:w="2213"/>
        <w:gridCol w:w="3065"/>
      </w:tblGrid>
      <w:tr w14:paraId="7D357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3" w:type="pct"/>
            <w:vAlign w:val="center"/>
          </w:tcPr>
          <w:p w14:paraId="78D1AEBA">
            <w:pPr>
              <w:jc w:val="center"/>
              <w:rPr>
                <w:rFonts w:asciiTheme="minorEastAsia" w:hAnsiTheme="minorEastAsia" w:cstheme="minorEastAsia"/>
                <w:b/>
                <w:sz w:val="24"/>
              </w:rPr>
            </w:pPr>
            <w:r>
              <w:rPr>
                <w:rFonts w:hint="eastAsia" w:asciiTheme="minorEastAsia" w:hAnsiTheme="minorEastAsia" w:cstheme="minorEastAsia"/>
                <w:b/>
                <w:sz w:val="24"/>
              </w:rPr>
              <w:t>标识类型</w:t>
            </w:r>
          </w:p>
        </w:tc>
        <w:tc>
          <w:tcPr>
            <w:tcW w:w="850" w:type="pct"/>
            <w:vAlign w:val="center"/>
          </w:tcPr>
          <w:p w14:paraId="3C6B6C66">
            <w:pPr>
              <w:jc w:val="center"/>
              <w:rPr>
                <w:rFonts w:asciiTheme="minorEastAsia" w:hAnsiTheme="minorEastAsia" w:cstheme="minorEastAsia"/>
                <w:b/>
                <w:sz w:val="24"/>
              </w:rPr>
            </w:pPr>
            <w:r>
              <w:rPr>
                <w:rFonts w:hint="eastAsia" w:asciiTheme="minorEastAsia" w:hAnsiTheme="minorEastAsia" w:cstheme="minorEastAsia"/>
                <w:b/>
                <w:sz w:val="24"/>
              </w:rPr>
              <w:t>标识符号</w:t>
            </w:r>
          </w:p>
        </w:tc>
        <w:tc>
          <w:tcPr>
            <w:tcW w:w="1286" w:type="pct"/>
            <w:vAlign w:val="center"/>
          </w:tcPr>
          <w:p w14:paraId="25DDA3E3">
            <w:pPr>
              <w:jc w:val="center"/>
              <w:rPr>
                <w:rFonts w:asciiTheme="minorEastAsia" w:hAnsiTheme="minorEastAsia" w:cstheme="minorEastAsia"/>
                <w:b/>
                <w:sz w:val="24"/>
              </w:rPr>
            </w:pPr>
            <w:r>
              <w:rPr>
                <w:rFonts w:hint="eastAsia" w:asciiTheme="minorEastAsia" w:hAnsiTheme="minorEastAsia" w:cstheme="minorEastAsia"/>
                <w:b/>
                <w:sz w:val="24"/>
              </w:rPr>
              <w:t>标识符号含义</w:t>
            </w:r>
          </w:p>
        </w:tc>
        <w:tc>
          <w:tcPr>
            <w:tcW w:w="1779" w:type="pct"/>
            <w:vAlign w:val="center"/>
          </w:tcPr>
          <w:p w14:paraId="45E74817">
            <w:pPr>
              <w:jc w:val="center"/>
              <w:rPr>
                <w:rFonts w:asciiTheme="minorEastAsia" w:hAnsiTheme="minorEastAsia" w:cstheme="minorEastAsia"/>
                <w:b/>
                <w:sz w:val="24"/>
              </w:rPr>
            </w:pPr>
            <w:r>
              <w:rPr>
                <w:rFonts w:hint="eastAsia" w:asciiTheme="minorEastAsia" w:hAnsiTheme="minorEastAsia" w:cstheme="minorEastAsia"/>
                <w:b/>
                <w:sz w:val="24"/>
              </w:rPr>
              <w:t>代表意思</w:t>
            </w:r>
          </w:p>
        </w:tc>
      </w:tr>
      <w:tr w14:paraId="6FF50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083" w:type="pct"/>
            <w:vAlign w:val="center"/>
          </w:tcPr>
          <w:p w14:paraId="4E881E63">
            <w:pPr>
              <w:spacing w:line="340" w:lineRule="exact"/>
              <w:jc w:val="center"/>
              <w:rPr>
                <w:rFonts w:asciiTheme="minorEastAsia" w:hAnsiTheme="minorEastAsia" w:cstheme="minorEastAsia"/>
                <w:sz w:val="24"/>
              </w:rPr>
            </w:pPr>
            <w:r>
              <w:rPr>
                <w:rFonts w:hint="eastAsia" w:asciiTheme="minorEastAsia" w:hAnsiTheme="minorEastAsia" w:cstheme="minorEastAsia"/>
                <w:sz w:val="24"/>
              </w:rPr>
              <w:t>核心产品</w:t>
            </w:r>
          </w:p>
        </w:tc>
        <w:tc>
          <w:tcPr>
            <w:tcW w:w="850" w:type="pct"/>
            <w:vAlign w:val="center"/>
          </w:tcPr>
          <w:p w14:paraId="71AF0F64">
            <w:pPr>
              <w:spacing w:line="340" w:lineRule="exact"/>
              <w:jc w:val="center"/>
              <w:rPr>
                <w:rFonts w:asciiTheme="minorEastAsia" w:hAnsiTheme="minorEastAsia" w:cstheme="minorEastAsia"/>
                <w:sz w:val="24"/>
              </w:rPr>
            </w:pPr>
            <w:r>
              <w:rPr>
                <w:rFonts w:hint="eastAsia" w:asciiTheme="minorEastAsia" w:hAnsiTheme="minorEastAsia" w:cstheme="minorEastAsia"/>
                <w:sz w:val="24"/>
              </w:rPr>
              <w:t>▲</w:t>
            </w:r>
          </w:p>
        </w:tc>
        <w:tc>
          <w:tcPr>
            <w:tcW w:w="1286" w:type="pct"/>
            <w:vAlign w:val="center"/>
          </w:tcPr>
          <w:p w14:paraId="0060313C">
            <w:pPr>
              <w:spacing w:line="340" w:lineRule="exact"/>
              <w:jc w:val="center"/>
              <w:rPr>
                <w:rFonts w:asciiTheme="minorEastAsia" w:hAnsiTheme="minorEastAsia" w:cstheme="minorEastAsia"/>
                <w:sz w:val="24"/>
              </w:rPr>
            </w:pPr>
            <w:r>
              <w:rPr>
                <w:rFonts w:hint="eastAsia" w:asciiTheme="minorEastAsia" w:hAnsiTheme="minorEastAsia" w:cstheme="minorEastAsia"/>
                <w:sz w:val="24"/>
              </w:rPr>
              <w:t>标的属于核心产品</w:t>
            </w:r>
          </w:p>
        </w:tc>
        <w:tc>
          <w:tcPr>
            <w:tcW w:w="3065" w:type="dxa"/>
            <w:vAlign w:val="center"/>
          </w:tcPr>
          <w:p w14:paraId="4C0C305B">
            <w:pPr>
              <w:spacing w:line="340" w:lineRule="exact"/>
              <w:jc w:val="center"/>
              <w:rPr>
                <w:rFonts w:asciiTheme="minorEastAsia" w:hAnsiTheme="minorEastAsia" w:cstheme="minorEastAsia"/>
                <w:b/>
                <w:sz w:val="24"/>
              </w:rPr>
            </w:pPr>
            <w:r>
              <w:rPr>
                <w:rFonts w:hint="default" w:ascii="Times New Roman" w:hAnsi="Times New Roman" w:cs="Times New Roman"/>
                <w:b/>
                <w:color w:val="auto"/>
                <w:sz w:val="24"/>
                <w:highlight w:val="none"/>
              </w:rPr>
              <w:t>该核心产品参数如有未响应或负偏离的将导致投标被拒绝</w:t>
            </w:r>
          </w:p>
        </w:tc>
      </w:tr>
      <w:tr w14:paraId="0BF8C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083" w:type="pct"/>
            <w:vAlign w:val="center"/>
          </w:tcPr>
          <w:p w14:paraId="1DCBA8DB">
            <w:pPr>
              <w:jc w:val="center"/>
              <w:rPr>
                <w:rFonts w:asciiTheme="minorEastAsia" w:hAnsiTheme="minorEastAsia" w:cstheme="minorEastAsia"/>
                <w:sz w:val="24"/>
              </w:rPr>
            </w:pPr>
            <w:r>
              <w:rPr>
                <w:rFonts w:hint="eastAsia" w:asciiTheme="minorEastAsia" w:hAnsiTheme="minorEastAsia" w:cstheme="minorEastAsia"/>
                <w:sz w:val="24"/>
              </w:rPr>
              <w:t>重要参数</w:t>
            </w:r>
          </w:p>
        </w:tc>
        <w:tc>
          <w:tcPr>
            <w:tcW w:w="850" w:type="pct"/>
            <w:vAlign w:val="center"/>
          </w:tcPr>
          <w:p w14:paraId="66BAE068">
            <w:pPr>
              <w:jc w:val="center"/>
              <w:rPr>
                <w:rFonts w:asciiTheme="minorEastAsia" w:hAnsiTheme="minorEastAsia" w:cstheme="minorEastAsia"/>
                <w:sz w:val="24"/>
              </w:rPr>
            </w:pPr>
            <w:r>
              <w:rPr>
                <w:rFonts w:hint="eastAsia" w:asciiTheme="minorEastAsia" w:hAnsiTheme="minorEastAsia" w:cstheme="minorEastAsia"/>
                <w:sz w:val="24"/>
              </w:rPr>
              <w:t>★</w:t>
            </w:r>
          </w:p>
        </w:tc>
        <w:tc>
          <w:tcPr>
            <w:tcW w:w="1286" w:type="pct"/>
            <w:vAlign w:val="center"/>
          </w:tcPr>
          <w:p w14:paraId="22447786">
            <w:pPr>
              <w:jc w:val="center"/>
              <w:rPr>
                <w:rFonts w:asciiTheme="minorEastAsia" w:hAnsiTheme="minorEastAsia" w:cstheme="minorEastAsia"/>
                <w:sz w:val="24"/>
              </w:rPr>
            </w:pPr>
            <w:r>
              <w:rPr>
                <w:rFonts w:hint="eastAsia" w:asciiTheme="minorEastAsia" w:hAnsiTheme="minorEastAsia" w:cstheme="minorEastAsia"/>
                <w:sz w:val="24"/>
              </w:rPr>
              <w:t>评分项</w:t>
            </w:r>
          </w:p>
        </w:tc>
        <w:tc>
          <w:tcPr>
            <w:tcW w:w="3065" w:type="dxa"/>
            <w:vAlign w:val="center"/>
          </w:tcPr>
          <w:p w14:paraId="315D804F">
            <w:pPr>
              <w:jc w:val="center"/>
              <w:rPr>
                <w:rFonts w:asciiTheme="minorEastAsia" w:hAnsiTheme="minorEastAsia" w:cstheme="minorEastAsia"/>
                <w:sz w:val="24"/>
              </w:rPr>
            </w:pPr>
            <w:r>
              <w:rPr>
                <w:rFonts w:hint="default" w:ascii="Times New Roman" w:hAnsi="Times New Roman" w:cs="Times New Roman"/>
                <w:color w:val="auto"/>
                <w:sz w:val="24"/>
                <w:highlight w:val="none"/>
              </w:rPr>
              <w:t>评分项，每满足一项得1分</w:t>
            </w:r>
          </w:p>
        </w:tc>
      </w:tr>
      <w:tr w14:paraId="3B16B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865" w:type="dxa"/>
            <w:vAlign w:val="center"/>
          </w:tcPr>
          <w:p w14:paraId="350FED10">
            <w:pPr>
              <w:jc w:val="center"/>
              <w:rPr>
                <w:rFonts w:asciiTheme="minorEastAsia" w:hAnsiTheme="minorEastAsia" w:cstheme="minorEastAsia"/>
                <w:color w:val="FF0000"/>
                <w:sz w:val="24"/>
              </w:rPr>
            </w:pPr>
            <w:r>
              <w:rPr>
                <w:rFonts w:hint="eastAsia" w:asciiTheme="minorEastAsia" w:hAnsiTheme="minorEastAsia" w:cstheme="minorEastAsia"/>
                <w:sz w:val="24"/>
              </w:rPr>
              <w:t>一般参数</w:t>
            </w:r>
          </w:p>
        </w:tc>
        <w:tc>
          <w:tcPr>
            <w:tcW w:w="1464" w:type="dxa"/>
            <w:vAlign w:val="center"/>
          </w:tcPr>
          <w:p w14:paraId="4EA476B1">
            <w:pPr>
              <w:jc w:val="center"/>
              <w:rPr>
                <w:rFonts w:asciiTheme="minorEastAsia" w:hAnsiTheme="minorEastAsia" w:cstheme="minorEastAsia"/>
                <w:color w:val="FF0000"/>
                <w:sz w:val="24"/>
              </w:rPr>
            </w:pPr>
            <w:r>
              <w:rPr>
                <w:rFonts w:hint="eastAsia" w:asciiTheme="minorEastAsia" w:hAnsiTheme="minorEastAsia" w:cstheme="minorEastAsia"/>
                <w:sz w:val="24"/>
              </w:rPr>
              <w:t>无标识</w:t>
            </w:r>
          </w:p>
        </w:tc>
        <w:tc>
          <w:tcPr>
            <w:tcW w:w="2213" w:type="dxa"/>
            <w:vAlign w:val="center"/>
          </w:tcPr>
          <w:p w14:paraId="1EECA03D">
            <w:pPr>
              <w:jc w:val="center"/>
              <w:rPr>
                <w:rFonts w:asciiTheme="minorEastAsia" w:hAnsiTheme="minorEastAsia" w:cstheme="minorEastAsia"/>
                <w:color w:val="FF0000"/>
                <w:sz w:val="24"/>
              </w:rPr>
            </w:pPr>
            <w:r>
              <w:rPr>
                <w:rFonts w:hint="eastAsia" w:asciiTheme="minorEastAsia" w:hAnsiTheme="minorEastAsia" w:cstheme="minorEastAsia"/>
                <w:sz w:val="24"/>
              </w:rPr>
              <w:t>评分项</w:t>
            </w:r>
          </w:p>
        </w:tc>
        <w:tc>
          <w:tcPr>
            <w:tcW w:w="3065" w:type="dxa"/>
            <w:vAlign w:val="center"/>
          </w:tcPr>
          <w:p w14:paraId="542462A8">
            <w:pPr>
              <w:jc w:val="center"/>
              <w:rPr>
                <w:rFonts w:hint="default"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w:t>
            </w:r>
          </w:p>
        </w:tc>
      </w:tr>
      <w:tr w14:paraId="377C8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000" w:type="pct"/>
            <w:gridSpan w:val="4"/>
            <w:vAlign w:val="center"/>
          </w:tcPr>
          <w:p w14:paraId="69C54935">
            <w:pPr>
              <w:rPr>
                <w:rFonts w:asciiTheme="minorEastAsia" w:hAnsiTheme="minorEastAsia" w:cstheme="minorEastAsia"/>
                <w:sz w:val="24"/>
              </w:rPr>
            </w:pPr>
            <w:r>
              <w:rPr>
                <w:rFonts w:hint="eastAsia" w:asciiTheme="minorEastAsia" w:hAnsiTheme="minorEastAsia" w:cstheme="minorEastAsia"/>
                <w:sz w:val="24"/>
              </w:rPr>
              <w:t>注：尺寸信息均为参考值，可浮动±5%</w:t>
            </w:r>
          </w:p>
        </w:tc>
      </w:tr>
    </w:tbl>
    <w:p w14:paraId="23131B48">
      <w:pPr>
        <w:pStyle w:val="4"/>
        <w:rPr>
          <w:rFonts w:ascii="宋体" w:hAnsi="宋体" w:eastAsia="宋体" w:cs="宋体"/>
          <w:sz w:val="24"/>
          <w:szCs w:val="24"/>
          <w:highlight w:val="none"/>
        </w:rPr>
      </w:pPr>
      <w:r>
        <w:rPr>
          <w:rFonts w:hint="eastAsia" w:ascii="宋体" w:hAnsi="宋体" w:eastAsia="宋体" w:cs="宋体"/>
          <w:b w:val="0"/>
          <w:sz w:val="24"/>
          <w:szCs w:val="24"/>
          <w:highlight w:val="none"/>
        </w:rPr>
        <w:t>（二）货物指标要求</w:t>
      </w:r>
    </w:p>
    <w:tbl>
      <w:tblPr>
        <w:tblStyle w:val="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741"/>
        <w:gridCol w:w="5142"/>
        <w:gridCol w:w="578"/>
        <w:gridCol w:w="385"/>
        <w:gridCol w:w="729"/>
        <w:gridCol w:w="419"/>
      </w:tblGrid>
      <w:tr w14:paraId="5AAFF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vAlign w:val="center"/>
          </w:tcPr>
          <w:p w14:paraId="3F360803">
            <w:pPr>
              <w:rPr>
                <w:rFonts w:ascii="宋体" w:hAnsi="宋体" w:eastAsia="宋体" w:cs="宋体"/>
                <w:sz w:val="24"/>
                <w:szCs w:val="24"/>
                <w:highlight w:val="none"/>
              </w:rPr>
            </w:pPr>
            <w:r>
              <w:rPr>
                <w:rFonts w:hint="eastAsia" w:ascii="宋体" w:hAnsi="宋体" w:eastAsia="宋体" w:cs="宋体"/>
                <w:sz w:val="24"/>
                <w:szCs w:val="24"/>
                <w:highlight w:val="none"/>
              </w:rPr>
              <w:t>序号</w:t>
            </w:r>
          </w:p>
        </w:tc>
        <w:tc>
          <w:tcPr>
            <w:tcW w:w="434" w:type="pct"/>
            <w:vAlign w:val="center"/>
          </w:tcPr>
          <w:p w14:paraId="68553E40">
            <w:pPr>
              <w:rPr>
                <w:rFonts w:ascii="宋体" w:hAnsi="宋体" w:eastAsia="宋体" w:cs="宋体"/>
                <w:sz w:val="24"/>
                <w:szCs w:val="24"/>
                <w:highlight w:val="none"/>
              </w:rPr>
            </w:pPr>
            <w:r>
              <w:rPr>
                <w:rFonts w:hint="eastAsia" w:ascii="宋体" w:hAnsi="宋体" w:eastAsia="宋体" w:cs="宋体"/>
                <w:sz w:val="24"/>
                <w:szCs w:val="24"/>
                <w:highlight w:val="none"/>
              </w:rPr>
              <w:t>货物名称</w:t>
            </w:r>
          </w:p>
        </w:tc>
        <w:tc>
          <w:tcPr>
            <w:tcW w:w="3016" w:type="pct"/>
            <w:vAlign w:val="center"/>
          </w:tcPr>
          <w:p w14:paraId="24276E30">
            <w:pPr>
              <w:rPr>
                <w:rFonts w:ascii="宋体" w:hAnsi="宋体" w:eastAsia="宋体" w:cs="宋体"/>
                <w:sz w:val="24"/>
                <w:szCs w:val="24"/>
                <w:highlight w:val="none"/>
              </w:rPr>
            </w:pPr>
            <w:r>
              <w:rPr>
                <w:rFonts w:hint="eastAsia" w:ascii="宋体" w:hAnsi="宋体" w:eastAsia="宋体" w:cs="宋体"/>
                <w:sz w:val="24"/>
                <w:szCs w:val="24"/>
                <w:highlight w:val="none"/>
              </w:rPr>
              <w:t>技术参数及要求</w:t>
            </w:r>
          </w:p>
        </w:tc>
        <w:tc>
          <w:tcPr>
            <w:tcW w:w="339" w:type="pct"/>
            <w:vAlign w:val="center"/>
          </w:tcPr>
          <w:p w14:paraId="72960BDB">
            <w:pPr>
              <w:rPr>
                <w:rFonts w:ascii="宋体" w:hAnsi="宋体" w:eastAsia="宋体" w:cs="宋体"/>
                <w:sz w:val="24"/>
                <w:szCs w:val="24"/>
                <w:highlight w:val="none"/>
              </w:rPr>
            </w:pPr>
            <w:r>
              <w:rPr>
                <w:rFonts w:hint="eastAsia" w:ascii="宋体" w:hAnsi="宋体" w:eastAsia="宋体" w:cs="宋体"/>
                <w:sz w:val="24"/>
                <w:szCs w:val="24"/>
                <w:highlight w:val="none"/>
              </w:rPr>
              <w:t>数量</w:t>
            </w:r>
          </w:p>
        </w:tc>
        <w:tc>
          <w:tcPr>
            <w:tcW w:w="225" w:type="pct"/>
            <w:vAlign w:val="center"/>
          </w:tcPr>
          <w:p w14:paraId="61BE14F1">
            <w:pPr>
              <w:rPr>
                <w:rFonts w:ascii="宋体" w:hAnsi="宋体" w:eastAsia="宋体" w:cs="宋体"/>
                <w:sz w:val="24"/>
                <w:szCs w:val="24"/>
                <w:highlight w:val="none"/>
              </w:rPr>
            </w:pPr>
            <w:r>
              <w:rPr>
                <w:rFonts w:hint="eastAsia" w:ascii="宋体" w:hAnsi="宋体" w:eastAsia="宋体" w:cs="宋体"/>
                <w:sz w:val="24"/>
                <w:szCs w:val="24"/>
                <w:highlight w:val="none"/>
              </w:rPr>
              <w:t>单位</w:t>
            </w:r>
          </w:p>
        </w:tc>
        <w:tc>
          <w:tcPr>
            <w:tcW w:w="427" w:type="pct"/>
            <w:vAlign w:val="center"/>
          </w:tcPr>
          <w:p w14:paraId="52144EDD">
            <w:pPr>
              <w:rPr>
                <w:rFonts w:ascii="宋体" w:hAnsi="宋体" w:eastAsia="宋体" w:cs="宋体"/>
                <w:sz w:val="24"/>
                <w:szCs w:val="24"/>
                <w:highlight w:val="none"/>
              </w:rPr>
            </w:pPr>
            <w:r>
              <w:rPr>
                <w:rFonts w:hint="eastAsia" w:ascii="宋体" w:hAnsi="宋体" w:eastAsia="宋体" w:cs="宋体"/>
                <w:sz w:val="24"/>
                <w:szCs w:val="24"/>
                <w:highlight w:val="none"/>
              </w:rPr>
              <w:t>所属</w:t>
            </w:r>
          </w:p>
          <w:p w14:paraId="760AFD6B">
            <w:pPr>
              <w:rPr>
                <w:rFonts w:ascii="宋体" w:hAnsi="宋体" w:eastAsia="宋体" w:cs="宋体"/>
                <w:sz w:val="24"/>
                <w:szCs w:val="24"/>
                <w:highlight w:val="none"/>
              </w:rPr>
            </w:pPr>
            <w:r>
              <w:rPr>
                <w:rFonts w:hint="eastAsia" w:ascii="宋体" w:hAnsi="宋体" w:eastAsia="宋体" w:cs="宋体"/>
                <w:sz w:val="24"/>
                <w:szCs w:val="24"/>
                <w:highlight w:val="none"/>
              </w:rPr>
              <w:t>行业</w:t>
            </w:r>
          </w:p>
        </w:tc>
        <w:tc>
          <w:tcPr>
            <w:tcW w:w="245" w:type="pct"/>
            <w:vAlign w:val="center"/>
          </w:tcPr>
          <w:p w14:paraId="536C6BF8">
            <w:pPr>
              <w:rPr>
                <w:rFonts w:ascii="宋体" w:hAnsi="宋体" w:eastAsia="宋体" w:cs="宋体"/>
                <w:sz w:val="24"/>
                <w:szCs w:val="24"/>
                <w:highlight w:val="none"/>
              </w:rPr>
            </w:pPr>
            <w:r>
              <w:rPr>
                <w:rFonts w:hint="eastAsia" w:ascii="宋体" w:hAnsi="宋体" w:eastAsia="宋体" w:cs="宋体"/>
                <w:sz w:val="24"/>
                <w:szCs w:val="24"/>
                <w:highlight w:val="none"/>
              </w:rPr>
              <w:t>备注</w:t>
            </w:r>
          </w:p>
        </w:tc>
      </w:tr>
      <w:tr w14:paraId="5A808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309" w:type="pct"/>
            <w:shd w:val="clear" w:color="auto" w:fill="FFFFFF" w:themeFill="background1"/>
            <w:vAlign w:val="center"/>
          </w:tcPr>
          <w:p w14:paraId="72599FD8">
            <w:pPr>
              <w:widowControl/>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1</w:t>
            </w:r>
          </w:p>
        </w:tc>
        <w:tc>
          <w:tcPr>
            <w:tcW w:w="434" w:type="pct"/>
            <w:shd w:val="clear" w:color="auto" w:fill="FFFFFF" w:themeFill="background1"/>
            <w:vAlign w:val="center"/>
          </w:tcPr>
          <w:p w14:paraId="18D6A309">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▲解剖虚拟仿真教学系统（教师端）</w:t>
            </w:r>
          </w:p>
        </w:tc>
        <w:tc>
          <w:tcPr>
            <w:tcW w:w="3016" w:type="pct"/>
            <w:shd w:val="clear" w:color="auto" w:fill="FFFFFF" w:themeFill="background1"/>
            <w:vAlign w:val="center"/>
          </w:tcPr>
          <w:p w14:paraId="7B124FA1">
            <w:pPr>
              <w:keepNext w:val="0"/>
              <w:keepLines w:val="0"/>
              <w:pageBreakBefore w:val="0"/>
              <w:widowControl/>
              <w:kinsoku/>
              <w:wordWrap/>
              <w:overflowPunct/>
              <w:topLinePunct w:val="0"/>
              <w:autoSpaceDE/>
              <w:autoSpaceDN/>
              <w:bidi w:val="0"/>
              <w:adjustRightInd/>
              <w:snapToGrid/>
              <w:jc w:val="both"/>
              <w:textAlignment w:val="center"/>
              <w:rPr>
                <w:rFonts w:hint="default" w:ascii="Times New Roman" w:hAnsi="Times New Roman" w:eastAsia="宋体" w:cs="Times New Roman"/>
                <w:color w:val="auto"/>
                <w:kern w:val="0"/>
                <w:szCs w:val="21"/>
                <w:highlight w:val="none"/>
                <w:lang w:eastAsia="zh-CN" w:bidi="ar"/>
              </w:rPr>
            </w:pPr>
            <w:r>
              <w:rPr>
                <w:rFonts w:hint="default" w:ascii="Times New Roman" w:hAnsi="Times New Roman" w:eastAsia="宋体" w:cs="Times New Roman"/>
                <w:color w:val="auto"/>
                <w:kern w:val="0"/>
                <w:szCs w:val="21"/>
                <w:highlight w:val="none"/>
                <w:lang w:bidi="ar"/>
              </w:rPr>
              <w:t>一、</w:t>
            </w:r>
            <w:r>
              <w:rPr>
                <w:rFonts w:hint="default" w:ascii="Times New Roman" w:hAnsi="Times New Roman" w:eastAsia="宋体" w:cs="Times New Roman"/>
                <w:color w:val="auto"/>
                <w:kern w:val="0"/>
                <w:szCs w:val="21"/>
                <w:highlight w:val="none"/>
                <w:lang w:val="en-US" w:eastAsia="zh-CN" w:bidi="ar"/>
              </w:rPr>
              <w:t>智慧教学模块</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bidi="ar"/>
              </w:rPr>
              <w:t>1</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bidi="ar"/>
              </w:rPr>
              <w:t>智慧教学一体机参数：</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≥86英寸LED液晶显示一体机，AG顺滑钢化玻璃，标配：壁挂板（U型壁挂板），电源线。包含子白板、远程会议、4K高清显示；投影</w:t>
            </w:r>
            <w:r>
              <w:rPr>
                <w:rFonts w:hint="default" w:ascii="Times New Roman" w:hAnsi="Times New Roman" w:eastAsia="宋体" w:cs="Times New Roman"/>
                <w:color w:val="auto"/>
                <w:kern w:val="0"/>
                <w:szCs w:val="21"/>
                <w:highlight w:val="none"/>
                <w:lang w:val="en-US" w:eastAsia="zh-CN" w:bidi="ar"/>
              </w:rPr>
              <w:t>设备</w:t>
            </w:r>
            <w:r>
              <w:rPr>
                <w:rFonts w:hint="default" w:ascii="Times New Roman" w:hAnsi="Times New Roman" w:eastAsia="宋体" w:cs="Times New Roman"/>
                <w:color w:val="auto"/>
                <w:kern w:val="0"/>
                <w:szCs w:val="21"/>
                <w:highlight w:val="none"/>
                <w:lang w:bidi="ar"/>
              </w:rPr>
              <w:t>、音响、白板、摄像头四合一，让教学设备更加精简；支持手机和电脑同时四分屏；远程教学（会议）中实现主课堂（会场）、分课堂（会议）视频、语音、演讲内容、白板书写远程交互；第三方设备搭配兼容性强，可以与现有产品进行搭配。移动支架：轻便灵活，支持万向轮移动（根据现场情况配备），操作系统：CPU：不低于 14 核 20 线程；主核不低于 2.5GHz 主频，三级缓存≥24MB；主板：全固态电容</w:t>
            </w:r>
            <w:r>
              <w:rPr>
                <w:rFonts w:hint="default"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接口：≥</w:t>
            </w:r>
            <w:r>
              <w:rPr>
                <w:rFonts w:hint="default" w:ascii="Times New Roman" w:hAnsi="Times New Roman" w:eastAsia="宋体" w:cs="Times New Roman"/>
                <w:color w:val="auto"/>
                <w:kern w:val="0"/>
                <w:szCs w:val="21"/>
                <w:highlight w:val="none"/>
                <w:lang w:val="en-US" w:eastAsia="zh-CN" w:bidi="ar"/>
              </w:rPr>
              <w:t>5</w:t>
            </w:r>
            <w:r>
              <w:rPr>
                <w:rFonts w:hint="default" w:ascii="Times New Roman" w:hAnsi="Times New Roman" w:eastAsia="宋体" w:cs="Times New Roman"/>
                <w:color w:val="auto"/>
                <w:kern w:val="0"/>
                <w:szCs w:val="21"/>
                <w:highlight w:val="none"/>
                <w:lang w:bidi="ar"/>
              </w:rPr>
              <w:t xml:space="preserve"> 个 USB 接口，2 个 PS2，1 个串口，视频接口数量≥2；硬盘：≥512G</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M.2 固态硬盘≥</w:t>
            </w:r>
            <w:r>
              <w:rPr>
                <w:rFonts w:hint="default" w:ascii="Times New Roman" w:hAnsi="Times New Roman" w:eastAsia="宋体" w:cs="Times New Roman"/>
                <w:color w:val="auto"/>
                <w:kern w:val="0"/>
                <w:szCs w:val="21"/>
                <w:highlight w:val="none"/>
                <w:lang w:val="en-US" w:eastAsia="zh-CN" w:bidi="ar"/>
              </w:rPr>
              <w:t>1T</w:t>
            </w:r>
            <w:r>
              <w:rPr>
                <w:rFonts w:hint="default"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内存：≥16GB DDR4 3200MHZ</w:t>
            </w:r>
            <w:r>
              <w:rPr>
                <w:rFonts w:hint="default"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显卡：集成显卡；电源：额定功率不高于 180W，电压适应范</w:t>
            </w:r>
            <w:r>
              <w:rPr>
                <w:rFonts w:hint="eastAsia" w:ascii="Times New Roman" w:hAnsi="Times New Roman" w:eastAsia="宋体" w:cs="Times New Roman"/>
                <w:color w:val="auto"/>
                <w:kern w:val="0"/>
                <w:szCs w:val="21"/>
                <w:highlight w:val="none"/>
                <w:lang w:val="en-US" w:eastAsia="zh-CN" w:bidi="ar"/>
              </w:rPr>
              <w:t>围</w:t>
            </w:r>
            <w:r>
              <w:rPr>
                <w:rFonts w:hint="default" w:ascii="Times New Roman" w:hAnsi="Times New Roman" w:eastAsia="宋体" w:cs="Times New Roman"/>
                <w:color w:val="auto"/>
                <w:kern w:val="0"/>
                <w:szCs w:val="21"/>
                <w:highlight w:val="none"/>
                <w:lang w:bidi="ar"/>
              </w:rPr>
              <w:t>89V-265V</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刷新率≥100Hz；接口：VGA、HDMI</w:t>
            </w:r>
            <w:r>
              <w:rPr>
                <w:rFonts w:hint="default" w:ascii="Times New Roman" w:hAnsi="Times New Roman" w:eastAsia="宋体" w:cs="Times New Roman"/>
                <w:color w:val="auto"/>
                <w:kern w:val="0"/>
                <w:szCs w:val="21"/>
                <w:highlight w:val="none"/>
                <w:lang w:eastAsia="zh-CN" w:bidi="ar"/>
              </w:rPr>
              <w:t>。</w:t>
            </w:r>
          </w:p>
          <w:p w14:paraId="45511186">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bidi="ar"/>
              </w:rPr>
              <w:t>智能化光学黑板</w:t>
            </w:r>
          </w:p>
          <w:p w14:paraId="2D2FD876">
            <w:pPr>
              <w:keepNext w:val="0"/>
              <w:keepLines w:val="0"/>
              <w:pageBreakBefore w:val="0"/>
              <w:widowControl/>
              <w:kinsoku/>
              <w:wordWrap/>
              <w:overflowPunct/>
              <w:topLinePunct w:val="0"/>
              <w:autoSpaceDE/>
              <w:autoSpaceDN/>
              <w:bidi w:val="0"/>
              <w:adjustRightInd/>
              <w:snapToGrid/>
              <w:ind w:firstLine="210" w:firstLineChars="100"/>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val="en-US" w:eastAsia="zh-CN" w:bidi="ar"/>
              </w:rPr>
              <w:t>2.</w:t>
            </w:r>
            <w:r>
              <w:rPr>
                <w:rFonts w:hint="default" w:ascii="Times New Roman" w:hAnsi="Times New Roman" w:eastAsia="宋体" w:cs="Times New Roman"/>
                <w:color w:val="auto"/>
                <w:kern w:val="0"/>
                <w:szCs w:val="21"/>
                <w:highlight w:val="none"/>
                <w:lang w:bidi="ar"/>
              </w:rPr>
              <w:t>1外形尺寸≥1290×1158×28（mm）,左右各1块；</w:t>
            </w:r>
          </w:p>
          <w:p w14:paraId="629CAA5D">
            <w:pPr>
              <w:keepNext w:val="0"/>
              <w:keepLines w:val="0"/>
              <w:pageBreakBefore w:val="0"/>
              <w:widowControl/>
              <w:kinsoku/>
              <w:wordWrap/>
              <w:overflowPunct/>
              <w:topLinePunct w:val="0"/>
              <w:autoSpaceDE/>
              <w:autoSpaceDN/>
              <w:bidi w:val="0"/>
              <w:adjustRightInd/>
              <w:snapToGrid/>
              <w:ind w:firstLine="210" w:firstLineChars="100"/>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w:t>
            </w:r>
            <w:r>
              <w:rPr>
                <w:rFonts w:hint="default" w:ascii="Times New Roman" w:hAnsi="Times New Roman" w:eastAsia="宋体" w:cs="Times New Roman"/>
                <w:color w:val="auto"/>
                <w:kern w:val="0"/>
                <w:szCs w:val="21"/>
                <w:highlight w:val="none"/>
                <w:lang w:val="en-US" w:eastAsia="zh-CN" w:bidi="ar"/>
              </w:rPr>
              <w:t>2</w:t>
            </w:r>
            <w:r>
              <w:rPr>
                <w:rFonts w:hint="default" w:ascii="Times New Roman" w:hAnsi="Times New Roman" w:eastAsia="宋体" w:cs="Times New Roman"/>
                <w:color w:val="auto"/>
                <w:kern w:val="0"/>
                <w:szCs w:val="21"/>
                <w:highlight w:val="none"/>
                <w:lang w:bidi="ar"/>
              </w:rPr>
              <w:t>书写尺寸≥1234×1073（mm）；</w:t>
            </w:r>
          </w:p>
          <w:p w14:paraId="6DA2DAD1">
            <w:pPr>
              <w:keepNext w:val="0"/>
              <w:keepLines w:val="0"/>
              <w:pageBreakBefore w:val="0"/>
              <w:widowControl/>
              <w:kinsoku/>
              <w:wordWrap/>
              <w:overflowPunct/>
              <w:topLinePunct w:val="0"/>
              <w:autoSpaceDE/>
              <w:autoSpaceDN/>
              <w:bidi w:val="0"/>
              <w:adjustRightInd/>
              <w:snapToGrid/>
              <w:ind w:firstLine="210" w:firstLineChars="100"/>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val="en-US" w:eastAsia="zh-CN" w:bidi="ar"/>
              </w:rPr>
              <w:t>2</w:t>
            </w:r>
            <w:r>
              <w:rPr>
                <w:rFonts w:hint="default" w:ascii="Times New Roman" w:hAnsi="Times New Roman" w:eastAsia="宋体" w:cs="Times New Roman"/>
                <w:color w:val="auto"/>
                <w:kern w:val="0"/>
                <w:szCs w:val="21"/>
                <w:highlight w:val="none"/>
                <w:lang w:bidi="ar"/>
              </w:rPr>
              <w:t>.</w:t>
            </w:r>
            <w:r>
              <w:rPr>
                <w:rFonts w:hint="default" w:ascii="Times New Roman" w:hAnsi="Times New Roman" w:eastAsia="宋体" w:cs="Times New Roman"/>
                <w:color w:val="auto"/>
                <w:kern w:val="0"/>
                <w:szCs w:val="21"/>
                <w:highlight w:val="none"/>
                <w:lang w:val="en-US" w:eastAsia="zh-CN" w:bidi="ar"/>
              </w:rPr>
              <w:t>3</w:t>
            </w:r>
            <w:r>
              <w:rPr>
                <w:rFonts w:hint="default" w:ascii="Times New Roman" w:hAnsi="Times New Roman" w:eastAsia="宋体" w:cs="Times New Roman"/>
                <w:color w:val="auto"/>
                <w:kern w:val="0"/>
                <w:szCs w:val="21"/>
                <w:highlight w:val="none"/>
                <w:lang w:bidi="ar"/>
              </w:rPr>
              <w:t>膜片材料：柔性液晶书写膜；</w:t>
            </w:r>
          </w:p>
          <w:p w14:paraId="6D22BF14">
            <w:pPr>
              <w:keepNext w:val="0"/>
              <w:keepLines w:val="0"/>
              <w:pageBreakBefore w:val="0"/>
              <w:widowControl/>
              <w:kinsoku/>
              <w:wordWrap/>
              <w:overflowPunct/>
              <w:topLinePunct w:val="0"/>
              <w:autoSpaceDE/>
              <w:autoSpaceDN/>
              <w:bidi w:val="0"/>
              <w:adjustRightInd/>
              <w:snapToGrid/>
              <w:ind w:firstLine="210" w:firstLineChars="100"/>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val="en-US" w:eastAsia="zh-CN" w:bidi="ar"/>
              </w:rPr>
              <w:t>2</w:t>
            </w:r>
            <w:r>
              <w:rPr>
                <w:rFonts w:hint="default" w:ascii="Times New Roman" w:hAnsi="Times New Roman" w:eastAsia="宋体" w:cs="Times New Roman"/>
                <w:color w:val="auto"/>
                <w:kern w:val="0"/>
                <w:szCs w:val="21"/>
                <w:highlight w:val="none"/>
                <w:lang w:bidi="ar"/>
              </w:rPr>
              <w:t>.</w:t>
            </w:r>
            <w:r>
              <w:rPr>
                <w:rFonts w:hint="default" w:ascii="Times New Roman" w:hAnsi="Times New Roman" w:eastAsia="宋体" w:cs="Times New Roman"/>
                <w:color w:val="auto"/>
                <w:kern w:val="0"/>
                <w:szCs w:val="21"/>
                <w:highlight w:val="none"/>
                <w:lang w:val="en-US" w:eastAsia="zh-CN" w:bidi="ar"/>
              </w:rPr>
              <w:t>4</w:t>
            </w:r>
            <w:r>
              <w:rPr>
                <w:rFonts w:hint="default" w:ascii="Times New Roman" w:hAnsi="Times New Roman" w:eastAsia="宋体" w:cs="Times New Roman"/>
                <w:color w:val="auto"/>
                <w:kern w:val="0"/>
                <w:szCs w:val="21"/>
                <w:highlight w:val="none"/>
                <w:lang w:bidi="ar"/>
              </w:rPr>
              <w:t>边框材料：铝合金（氟碳漆工艺）；</w:t>
            </w:r>
          </w:p>
          <w:p w14:paraId="490AA6E1">
            <w:pPr>
              <w:keepNext w:val="0"/>
              <w:keepLines w:val="0"/>
              <w:pageBreakBefore w:val="0"/>
              <w:widowControl/>
              <w:kinsoku/>
              <w:wordWrap/>
              <w:overflowPunct/>
              <w:topLinePunct w:val="0"/>
              <w:autoSpaceDE/>
              <w:autoSpaceDN/>
              <w:bidi w:val="0"/>
              <w:adjustRightInd/>
              <w:snapToGrid/>
              <w:ind w:firstLine="210" w:firstLineChars="100"/>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val="en-US" w:eastAsia="zh-CN" w:bidi="ar"/>
              </w:rPr>
              <w:t>2.</w:t>
            </w:r>
            <w:r>
              <w:rPr>
                <w:rFonts w:hint="default" w:ascii="Times New Roman" w:hAnsi="Times New Roman" w:eastAsia="宋体" w:cs="Times New Roman"/>
                <w:color w:val="auto"/>
                <w:kern w:val="0"/>
                <w:szCs w:val="21"/>
                <w:highlight w:val="none"/>
                <w:lang w:bidi="ar"/>
              </w:rPr>
              <w:t>5书写方式：手写/书写笔；</w:t>
            </w:r>
          </w:p>
          <w:p w14:paraId="07058A41">
            <w:pPr>
              <w:keepNext w:val="0"/>
              <w:keepLines w:val="0"/>
              <w:pageBreakBefore w:val="0"/>
              <w:widowControl/>
              <w:kinsoku/>
              <w:wordWrap/>
              <w:overflowPunct/>
              <w:topLinePunct w:val="0"/>
              <w:autoSpaceDE/>
              <w:autoSpaceDN/>
              <w:bidi w:val="0"/>
              <w:adjustRightInd/>
              <w:snapToGrid/>
              <w:ind w:left="0" w:leftChars="0" w:firstLine="210" w:firstLineChars="100"/>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val="en-US" w:eastAsia="zh-CN" w:bidi="ar"/>
              </w:rPr>
              <w:t>2.</w:t>
            </w:r>
            <w:r>
              <w:rPr>
                <w:rFonts w:hint="default" w:ascii="Times New Roman" w:hAnsi="Times New Roman" w:eastAsia="宋体" w:cs="Times New Roman"/>
                <w:color w:val="auto"/>
                <w:kern w:val="0"/>
                <w:szCs w:val="21"/>
                <w:highlight w:val="none"/>
                <w:lang w:bidi="ar"/>
              </w:rPr>
              <w:t>6电池：可拆卸充电锂电池。</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二、数字人模块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1</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基本功能</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1.1本套虚拟模型制作大于10000个人体解剖结构模型。</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1.2可提供联网直接进入人体解剖学课程平台。</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1.3任意角度旋转功能：解剖模型可以围绕XYZ三个轴向旋转，旋转的间隔角度为任意角度，旋转流畅。</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1.4一键重置功能，一键恢复初始状态，初始化功能，一键恢复初始正面视角。</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1.5 一键隐藏所有按钮，只显示3D解剖模型 。</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1.6模型不仅可以平面空间内上下和左右平移，还可以在三维空间实现拉近、推远。</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1.7缩放功能：在教学实用的合理范围内任意缩放。</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1.8隐藏、透明功能：所有解剖结构都可以隐藏、透明（可根据教学需求调节不同的透明度）。</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1.9独立显示功能：可以单独显示人体解剖3D模型中的某一个结构，进行旋转、缩放、查看结构标注。</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1.10结构标识：选中某个结构，立即显示其名称，且对应结构高亮显示，突出解剖结构，点击结构名称直接跳转百科查看对应结构的详细注解及延伸知识点。</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1.11双击某个结构，此结构自动居中显示，同时旋转中心点切换到此结构的中心点，有利于操控模型。</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1.12一键截图：软件设有截图按钮，方便截图保存应用于课件等。</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1.13电子白板功能：进入电子白板模式，可以对三维模型上的结构进行画线标注，所做标记是可以跟随模型而运动，比如旋转，缩放等，至少5种以上颜色可供选择，具有一键擦除功能。白板板书内容可一键保存备用，也可以通过自动生成的二维码分享给需要的所有学生，随时随地查阅学习。</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1.14收藏功能：老师可自定义收藏当前解剖结构的排列组合效果，以备授课现场快速调出，节省老师的课堂时间。</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1.15隐藏功能：可以隐藏剥离所点的结构，快速查看内部结构。</w:t>
            </w:r>
          </w:p>
          <w:p w14:paraId="5E9C0FBE">
            <w:pPr>
              <w:keepNext w:val="0"/>
              <w:keepLines w:val="0"/>
              <w:pageBreakBefore w:val="0"/>
              <w:widowControl/>
              <w:kinsoku/>
              <w:wordWrap/>
              <w:overflowPunct/>
              <w:topLinePunct w:val="0"/>
              <w:autoSpaceDE/>
              <w:autoSpaceDN/>
              <w:bidi w:val="0"/>
              <w:adjustRightInd/>
              <w:snapToGrid/>
              <w:ind w:firstLine="210" w:firstLineChars="100"/>
              <w:jc w:val="both"/>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1.16</w:t>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自由拆分功能:可以自由一块块的拆分解剖模型结构，拆开某个结构放一边，并不隐藏，拆开以后整体模型依然可以三维互动操作。</w:t>
            </w:r>
          </w:p>
          <w:p w14:paraId="0255AEA6">
            <w:pPr>
              <w:keepNext w:val="0"/>
              <w:keepLines w:val="0"/>
              <w:pageBreakBefore w:val="0"/>
              <w:widowControl/>
              <w:kinsoku/>
              <w:wordWrap/>
              <w:overflowPunct/>
              <w:topLinePunct w:val="0"/>
              <w:autoSpaceDE/>
              <w:autoSpaceDN/>
              <w:bidi w:val="0"/>
              <w:adjustRightInd/>
              <w:snapToGrid/>
              <w:ind w:left="420" w:hanging="420" w:hangingChars="200"/>
              <w:jc w:val="both"/>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模块内容</w:t>
            </w:r>
          </w:p>
          <w:p w14:paraId="729AC1EE">
            <w:pPr>
              <w:keepNext w:val="0"/>
              <w:keepLines w:val="0"/>
              <w:pageBreakBefore w:val="0"/>
              <w:widowControl/>
              <w:kinsoku/>
              <w:wordWrap/>
              <w:overflowPunct/>
              <w:topLinePunct w:val="0"/>
              <w:autoSpaceDE/>
              <w:autoSpaceDN/>
              <w:bidi w:val="0"/>
              <w:adjustRightInd/>
              <w:snapToGrid/>
              <w:ind w:left="420" w:leftChars="100" w:hanging="210" w:hangingChars="100"/>
              <w:jc w:val="both"/>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2.1系统解剖学（需提供软件功能与内容截图的证明材料）≥1套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2.1.1运动系统1套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2.1.2消化系统1套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2.1.3呼吸系统1套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2.1.4泌尿系统1套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2.1.5生殖系统1套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2.1.6脉管系统1套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2.1.7感官系统1套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2.1.8神经系统1套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2.1.9内分泌系统1套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2.1.10与教材插图配套的可拆分模型≥</w:t>
            </w:r>
            <w:r>
              <w:rPr>
                <w:rFonts w:hint="eastAsia" w:ascii="Times New Roman" w:hAnsi="Times New Roman" w:eastAsia="宋体" w:cs="Times New Roman"/>
                <w:color w:val="auto"/>
                <w:kern w:val="0"/>
                <w:szCs w:val="21"/>
                <w:highlight w:val="none"/>
                <w:lang w:val="en-US" w:eastAsia="zh-CN" w:bidi="ar"/>
              </w:rPr>
              <w:t>250</w:t>
            </w:r>
            <w:r>
              <w:rPr>
                <w:rFonts w:hint="default" w:ascii="Times New Roman" w:hAnsi="Times New Roman" w:eastAsia="宋体" w:cs="Times New Roman"/>
                <w:color w:val="auto"/>
                <w:kern w:val="0"/>
                <w:szCs w:val="21"/>
                <w:highlight w:val="none"/>
                <w:lang w:bidi="ar"/>
              </w:rPr>
              <w:t>套</w:t>
            </w:r>
          </w:p>
          <w:p w14:paraId="3F79AB5C">
            <w:pPr>
              <w:keepNext w:val="0"/>
              <w:keepLines w:val="0"/>
              <w:pageBreakBefore w:val="0"/>
              <w:widowControl/>
              <w:kinsoku/>
              <w:wordWrap/>
              <w:overflowPunct/>
              <w:topLinePunct w:val="0"/>
              <w:autoSpaceDE/>
              <w:autoSpaceDN/>
              <w:bidi w:val="0"/>
              <w:adjustRightInd/>
              <w:snapToGrid/>
              <w:ind w:left="420" w:leftChars="100" w:hanging="210" w:hangingChars="100"/>
              <w:jc w:val="both"/>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2.2局部解剖学（需提供软件功能与内容截图的证明材料）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2.2.1头颈部可拆分模型1套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2.2.2女性胸部可拆分模型1套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2.2.3男性胸部可拆分模型1套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2.2.4男性腹部可拆分模型1套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2.2.5男性盆部及会阴可拆分模型1套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2.2.6女性盆部及会阴可拆分模型1套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2.2.7脊柱区可拆分模型1套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2.2.8上肢可拆分模型1套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2.2.9下肢可拆分模型1套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2.2.10人体常用皮肤切口模型1套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2.2.11常用部位可拆分解剖模型20套</w:t>
            </w:r>
          </w:p>
          <w:p w14:paraId="1AC83FF3">
            <w:pPr>
              <w:keepNext w:val="0"/>
              <w:keepLines w:val="0"/>
              <w:pageBreakBefore w:val="0"/>
              <w:widowControl/>
              <w:kinsoku/>
              <w:wordWrap/>
              <w:overflowPunct/>
              <w:topLinePunct w:val="0"/>
              <w:autoSpaceDE/>
              <w:autoSpaceDN/>
              <w:bidi w:val="0"/>
              <w:adjustRightInd/>
              <w:snapToGrid/>
              <w:ind w:firstLine="210" w:firstLineChars="100"/>
              <w:jc w:val="both"/>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2.3微细结构模型≥50套（微细结构外观模型≥12套，微细结构可拆分模型≥38套）（需提供软件功能与内容截图的证明材料）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2.4常见细菌与病毒模型≥36套（需提供软件功能与内容截图的证明材料）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2.5整体数字人</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2.5.1男性整体数字人1套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2.5.2女性整体数字人1套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2.6断层解剖学1套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2.7铸型类可拆分模型15套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2.8经络穴位数字人</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2.8.1男性经络穴位数字人1套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2.8.2女性经络穴位数字人1套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三、真实解剖三维标本模块</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1</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基本功能</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真实解剖三维标本参照国家正规出版社出版的图谱或教材制作，如天津科学技术出版社的《中华人体解剖学彩色图谱》、第八版本科《局部解剖学》、《系统解剖学》等。标本扫描结构暴露清晰、纹理走向明确、层次分明，方便专业医学教育、临床学习参照和科普宣传。平台真实解剖三维标本每年以2%数量递增。重点结构名称标示，可自由放大、缩小，任意角度旋转/翻转，操作流畅，无卡顿现象。</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1.2任意角度旋转功能：解剖模型可以围绕XYZ三个轴向旋转，旋转的间隔角度为任意角度，旋转流畅。</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1.3一键重置功能，一键恢复初始状态，初始化功能，一键恢复初始正面视角。</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1.4一键隐藏所有按钮，只显示三维标本解剖模型 。</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1.5模型可以平面空间内上下和左右平移。</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1.6缩放功能：在教学实用的合理范围内任意缩放。</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1.7结构标识：选中某个结构，立即显示其名称，点击结构名称直接跳转百科查看对应结构的详细注解及延伸知识点。</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1.8一键截图：软件设有截图按钮，方便截图保存应用于课件等。</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1.9电子白板功能：进入电子白板模式，可以对三维模型上的结构进行画线标注，所做标记是可以跟随模型而运动，比如旋转，缩放等，至少5种以上颜色可供选择，具有一键擦除功能。白板板书内容可一键保存备用，也可以通过自动生成的二维码分享给需要的所有学生，随时随地查阅学习。</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1.10收藏功能：老师可自定义收藏当前解剖结构的排列组合效果，以备授课现场快速调出，节省老师的课堂时间。</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模块内容（需提供能够证明其软件系统实物标本数量的截屏资料）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2.1系统解剖学真实解剖三维标本1套，标本数量≥1055件，其中运动系统标本≥270件，消化系统标本≥95件，呼吸系统标本≥45件，泌尿系统标本≥30件，生殖系统标本≥55件，脉管系统标≥210件，感觉器标本≥85件，神经系统标本≥245件，内分泌系统标本≥20件。（需提供软件功能与内容截图的证明材料）</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 xml:space="preserve">  2.2局部解剖学真实解剖三维标本1套，标本数量≥270件，头部≥55件，颈部≥47件，头胸部≥35件，腹部≥45件，盆部与会阴≥20件，脊柱区≥15件，上肢≥37件，下肢≥17件。（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2.3整体塑化标本≥35件。（需提供软件功能与内容截图的证明材料）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2.4人体断层标本≥7</w:t>
            </w:r>
            <w:r>
              <w:rPr>
                <w:rFonts w:hint="default" w:ascii="Times New Roman" w:hAnsi="Times New Roman" w:eastAsia="宋体" w:cs="Times New Roman"/>
                <w:color w:val="auto"/>
                <w:kern w:val="0"/>
                <w:szCs w:val="21"/>
                <w:highlight w:val="none"/>
                <w:lang w:val="en-US" w:eastAsia="zh-CN" w:bidi="ar"/>
              </w:rPr>
              <w:t>55</w:t>
            </w:r>
            <w:r>
              <w:rPr>
                <w:rFonts w:hint="default" w:ascii="Times New Roman" w:hAnsi="Times New Roman" w:eastAsia="宋体" w:cs="Times New Roman"/>
                <w:color w:val="auto"/>
                <w:kern w:val="0"/>
                <w:szCs w:val="21"/>
                <w:highlight w:val="none"/>
                <w:lang w:bidi="ar"/>
              </w:rPr>
              <w:t>片，头部≥50片，颈部≥35片，头胸部≥58片，腹部≥70片，盆部与会阴≥80片，上肢≥105片，下肢≥200，全身冠状断面≥60片，全身矢状断面≥95片。（需提供软件功能与内容截图的证明材料）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2.5临床护理标本≥90件。（需提供软件功能与内容截图的证明材料）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2.6运动解剖学标本≥290件。</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2.7人体胚胎标本≥60件，正常胎儿标本≥36件，畸形胎儿标本≥24件。</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2.8正常全景组织切片≥</w:t>
            </w:r>
            <w:r>
              <w:rPr>
                <w:rFonts w:hint="default" w:ascii="Times New Roman" w:hAnsi="Times New Roman" w:eastAsia="宋体" w:cs="Times New Roman"/>
                <w:color w:val="auto"/>
                <w:kern w:val="0"/>
                <w:szCs w:val="21"/>
                <w:highlight w:val="none"/>
                <w:lang w:val="en-US" w:eastAsia="zh-CN" w:bidi="ar"/>
              </w:rPr>
              <w:t>100</w:t>
            </w:r>
            <w:r>
              <w:rPr>
                <w:rFonts w:hint="default" w:ascii="Times New Roman" w:hAnsi="Times New Roman" w:eastAsia="宋体" w:cs="Times New Roman"/>
                <w:color w:val="auto"/>
                <w:kern w:val="0"/>
                <w:szCs w:val="21"/>
                <w:highlight w:val="none"/>
                <w:lang w:bidi="ar"/>
              </w:rPr>
              <w:t>片，上皮组织≥10片，结蹄组织≥5片，股和软骨≥1片，肌肉组织≥7片，神经系统≥6片，眼与耳≥3片，循环系统≥8片，皮肤≥3片，免疫系统≥5片，内分泌系统≥4片，消化管≥14片，消化腺≥5片，呼吸系统≥6片，泌尿系统≥4片，男性生殖系统≥6片，女性生殖系统≥10片。（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2.9病理全景组织切片≥15</w:t>
            </w:r>
            <w:r>
              <w:rPr>
                <w:rFonts w:hint="default" w:ascii="Times New Roman" w:hAnsi="Times New Roman" w:eastAsia="宋体" w:cs="Times New Roman"/>
                <w:color w:val="auto"/>
                <w:kern w:val="0"/>
                <w:szCs w:val="21"/>
                <w:highlight w:val="none"/>
                <w:lang w:val="en-US" w:eastAsia="zh-CN" w:bidi="ar"/>
              </w:rPr>
              <w:t>5</w:t>
            </w:r>
            <w:r>
              <w:rPr>
                <w:rFonts w:hint="default" w:ascii="Times New Roman" w:hAnsi="Times New Roman" w:eastAsia="宋体" w:cs="Times New Roman"/>
                <w:color w:val="auto"/>
                <w:kern w:val="0"/>
                <w:szCs w:val="21"/>
                <w:highlight w:val="none"/>
                <w:lang w:bidi="ar"/>
              </w:rPr>
              <w:t>种，组织和细胞的适应与损伤≥4种，炎症≥6种，肿瘤≥37种，心血管系统疾病≥3种，呼吸系统疾病≥15种，消化系统疾病≥21种，淋巴造血系统疾病≥7种，泌尿系统疾病≥5种，生殖系统和乳腺疾病≥39种，内分泌系统疾病≥7种，神经系统疾病≥7种，感染性疾病≥5种。</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2.10病理大体标本数量≥28</w:t>
            </w:r>
            <w:r>
              <w:rPr>
                <w:rFonts w:hint="eastAsia" w:ascii="Times New Roman" w:hAnsi="Times New Roman" w:eastAsia="宋体" w:cs="Times New Roman"/>
                <w:color w:val="auto"/>
                <w:kern w:val="0"/>
                <w:szCs w:val="21"/>
                <w:highlight w:val="none"/>
                <w:lang w:val="en-US" w:eastAsia="zh-CN" w:bidi="ar"/>
              </w:rPr>
              <w:t>5</w:t>
            </w:r>
            <w:r>
              <w:rPr>
                <w:rFonts w:hint="default" w:ascii="Times New Roman" w:hAnsi="Times New Roman" w:eastAsia="宋体" w:cs="Times New Roman"/>
                <w:color w:val="auto"/>
                <w:kern w:val="0"/>
                <w:szCs w:val="21"/>
                <w:highlight w:val="none"/>
                <w:lang w:bidi="ar"/>
              </w:rPr>
              <w:t>件，组织和细胞的适应与损伤≥20件，局部血液循环≥22件，炎症≥12件，肿瘤≥32件，心血管系统疾病≥10件，呼吸系统疾病≥27件，消化系统疾病≥54件，淋巴造血系统疾病≥7件，泌尿系统疾病≥20件，生殖系统和乳腺疾病≥30件，内分泌系统疾病≥8件，神经系统疾病≥12件，传染性疾病≥9件，畸形≥14件，其他病理标本≥7件。</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2.11口腔专业标本≥35件。</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四、在线全景展馆（需提供软件功能与内容截图的证明材料）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1</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展馆的全景VR照片采集；由专业的360x180度全景拍摄技术人员进入院校展馆进行现场拍摄，或航拍全景，然后经过vr全景图后期处理工作制作完成展馆内外的相关全景数据。可在展馆对应位置添加音频、视频、图片、标本模型及相关链接，完整再现真实展馆的全部展示内容。</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系统参数：</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2.1三维模型数据高倍压缩，降低数据大小并提升传输速度。</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2.2全景引擎采用图形切割渐进式加载算法，提高用户体验感。</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2.3用户可以从高空鸟瞰的角度全方位查看展馆的外观与环境或个性化小行星开场方式，然后点击相应热点查看展馆的3D立体建筑结构与内部基本布局，同时可以选定相应的具体位置进入VR全景视角，进行360°x180°无死角沉浸式查看，在全景VR中看到的所有标本均可以点击热点加载3D数字化标本，进行360°x180°无死角环物查看，同时可以在场景列表中选择快速跳跃到感兴趣的全景场景，也可以在3D标本列表直接打开展馆内所有3D标本进行查看，所有标本均有3D中英文标注与发音。</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 xml:space="preserve"> VR3D实物标本与VR全景实景场景均可使用VR眼镜进行沉浸式查看，也可以使用电脑、手机、平板等各种显示终端查看。</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五、医学视频动画模块（需提供软件功能与内容截图的证明材料）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医学科普视频≥30部，基础医学视频动画≥14部，诊断学视频动画≥7部，护理学视频动画≥11部，内科学视频动画≥59部，外科学视频动画≥140部，妇产科学视频动画≥36部，儿科学视频动画≥4部，医学技术视频动画≥6部。</w:t>
            </w:r>
          </w:p>
          <w:p w14:paraId="6B1080B4">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val="en-US" w:eastAsia="zh-CN" w:bidi="ar"/>
              </w:rPr>
              <w:t>六</w:t>
            </w:r>
            <w:r>
              <w:rPr>
                <w:rFonts w:hint="default" w:ascii="Times New Roman" w:hAnsi="Times New Roman" w:eastAsia="宋体" w:cs="Times New Roman"/>
                <w:color w:val="auto"/>
                <w:kern w:val="0"/>
                <w:szCs w:val="21"/>
                <w:highlight w:val="none"/>
                <w:lang w:bidi="ar"/>
              </w:rPr>
              <w:t>、智慧教学系统模块</w:t>
            </w:r>
          </w:p>
          <w:p w14:paraId="27510A79">
            <w:pPr>
              <w:keepNext w:val="0"/>
              <w:keepLines w:val="0"/>
              <w:pageBreakBefore w:val="0"/>
              <w:widowControl/>
              <w:kinsoku/>
              <w:wordWrap/>
              <w:overflowPunct/>
              <w:topLinePunct w:val="0"/>
              <w:autoSpaceDE/>
              <w:autoSpaceDN/>
              <w:bidi w:val="0"/>
              <w:adjustRightInd/>
              <w:snapToGrid/>
              <w:ind w:firstLine="420" w:firstLineChars="200"/>
              <w:jc w:val="left"/>
              <w:textAlignment w:val="center"/>
              <w:rPr>
                <w:rFonts w:hint="eastAsia" w:ascii="宋体" w:hAnsi="宋体" w:eastAsia="宋体" w:cs="宋体"/>
                <w:b w:val="0"/>
                <w:bCs w:val="0"/>
                <w:i w:val="0"/>
                <w:iCs w:val="0"/>
                <w:color w:val="000000"/>
                <w:kern w:val="2"/>
                <w:sz w:val="20"/>
                <w:szCs w:val="20"/>
                <w:u w:val="none"/>
                <w:lang w:val="en-US" w:eastAsia="zh-CN" w:bidi="ar-SA"/>
              </w:rPr>
            </w:pPr>
            <w:r>
              <w:rPr>
                <w:rFonts w:hint="default" w:ascii="Times New Roman" w:hAnsi="Times New Roman" w:eastAsia="宋体" w:cs="Times New Roman"/>
                <w:color w:val="auto"/>
                <w:kern w:val="0"/>
                <w:szCs w:val="21"/>
                <w:highlight w:val="none"/>
                <w:lang w:bidi="ar"/>
              </w:rPr>
              <w:t>智慧教学系统中的教学内容依据国家正规出版社出版的图谱或教材制作，如天津科学技术出版社的《中华人体解剖学彩色图谱》、第八版本科《局部解剖学》、《系统解剖学》等图谱制作，紧扣教学要求与教材内容编排，通过融合UI设计、模型制作、标本扫描、动画渲染、数据集合等多种技术，在保留传统教学课件基本风格不变、教学内容完整、页面布局合理的同时，实现教学资源立体化功能，将刻板的平面内容以新颖的三维立体效果进行呈现</w:t>
            </w:r>
            <w:r>
              <w:rPr>
                <w:rFonts w:hint="default"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多种交互方式综合运用，使传统课堂科技化、平面教学立体化、</w:t>
            </w:r>
            <w:r>
              <w:rPr>
                <w:rFonts w:hint="default" w:ascii="Times New Roman" w:hAnsi="Times New Roman" w:eastAsia="宋体" w:cs="Times New Roman"/>
                <w:color w:val="auto"/>
                <w:kern w:val="0"/>
                <w:szCs w:val="21"/>
                <w:highlight w:val="none"/>
                <w:lang w:val="en-US" w:eastAsia="zh-CN" w:bidi="ar"/>
              </w:rPr>
              <w:t>虚实</w:t>
            </w:r>
            <w:r>
              <w:rPr>
                <w:rFonts w:hint="default" w:ascii="Times New Roman" w:hAnsi="Times New Roman" w:eastAsia="宋体" w:cs="Times New Roman"/>
                <w:color w:val="auto"/>
                <w:kern w:val="0"/>
                <w:szCs w:val="21"/>
                <w:highlight w:val="none"/>
                <w:lang w:bidi="ar"/>
              </w:rPr>
              <w:t>一体具体化。</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1</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基本功能描述：</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高度定制化∶可自定义学校logo、学校名称及教师姓名。（需提供软件功能与内容截图的证明材料）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1.1二分屏控制∶教师操控界面与学生查看界面为二分屏控制模式。</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1.2页面切换∶教师操作界面实现全部内容浏览、点击翻页等操作，也可直接跳转至指定页面。</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1.3计时功能∶计时器可显示授课时长，可暂停、重置计时器。时钟可显示当前时间。</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1.4画笔功能∶画笔工具可在系统中进行任意形状圈画，内置橡皮工具可进行局部内容擦除，也可使用一键清除当前页面所有标注内容。</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1.5保存功能∶授课时所做标识或板书，可随意保存或不保存。</w:t>
            </w:r>
            <w:r>
              <w:rPr>
                <w:rFonts w:hint="default" w:ascii="Times New Roman" w:hAnsi="Times New Roman" w:eastAsia="宋体" w:cs="Times New Roman"/>
                <w:color w:val="auto"/>
                <w:kern w:val="0"/>
                <w:szCs w:val="21"/>
                <w:highlight w:val="none"/>
                <w:lang w:bidi="ar"/>
              </w:rPr>
              <w:br w:type="textWrapping"/>
            </w:r>
            <w:r>
              <w:rPr>
                <w:rFonts w:hint="eastAsia" w:ascii="Times New Roman" w:hAnsi="Times New Roman" w:eastAsia="宋体" w:cs="Times New Roman"/>
                <w:color w:val="auto"/>
                <w:kern w:val="0"/>
                <w:szCs w:val="21"/>
                <w:highlight w:val="none"/>
                <w:lang w:val="en-US" w:eastAsia="zh-CN" w:bidi="ar"/>
              </w:rPr>
              <w:t>2、</w:t>
            </w:r>
            <w:r>
              <w:rPr>
                <w:rFonts w:hint="default" w:ascii="Times New Roman" w:hAnsi="Times New Roman" w:eastAsia="宋体" w:cs="Times New Roman"/>
                <w:color w:val="auto"/>
                <w:kern w:val="0"/>
                <w:szCs w:val="21"/>
                <w:highlight w:val="none"/>
                <w:lang w:bidi="ar"/>
              </w:rPr>
              <w:t>虚拟仿真三维展示功能：（需提供软件功能与内容截图的证明材料）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2.1数字模型及标本在分屏幕中全屏展示。</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2.2模型部位可高亮显示，便于教师对重点内容讲解。</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2.3 数字模型及标本可进行旋转、平移、缩放查看，可从各角度对模型进行观察。</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2.4 支持数字模型拆解操作，单独查看拆解选中部位的模型。（需提供软件功能与内容截图的证明材料）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2.5对已拆解模型可进行一键复原、视口重置等操作。</w:t>
            </w:r>
            <w:r>
              <w:rPr>
                <w:rFonts w:hint="default" w:ascii="Times New Roman" w:hAnsi="Times New Roman" w:eastAsia="宋体" w:cs="Times New Roman"/>
                <w:color w:val="auto"/>
                <w:kern w:val="0"/>
                <w:szCs w:val="21"/>
                <w:highlight w:val="none"/>
                <w:lang w:bidi="ar"/>
              </w:rPr>
              <w:br w:type="textWrapping"/>
            </w:r>
            <w:r>
              <w:rPr>
                <w:rFonts w:hint="eastAsia" w:ascii="Times New Roman" w:hAnsi="Times New Roman" w:eastAsia="宋体" w:cs="Times New Roman"/>
                <w:color w:val="auto"/>
                <w:kern w:val="0"/>
                <w:szCs w:val="21"/>
                <w:highlight w:val="none"/>
                <w:lang w:val="en-US" w:eastAsia="zh-CN" w:bidi="ar"/>
              </w:rPr>
              <w:t>3、</w:t>
            </w:r>
            <w:r>
              <w:rPr>
                <w:rFonts w:hint="default" w:ascii="Times New Roman" w:hAnsi="Times New Roman" w:eastAsia="宋体" w:cs="Times New Roman"/>
                <w:color w:val="auto"/>
                <w:kern w:val="0"/>
                <w:szCs w:val="21"/>
                <w:highlight w:val="none"/>
                <w:lang w:bidi="ar"/>
              </w:rPr>
              <w:t>视频功能介绍：</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3.1 视频在分屏中全屏播放。</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3.2 可对视频进行播放、暂停、拖动进度条、调节音量等操作。</w:t>
            </w:r>
            <w:r>
              <w:rPr>
                <w:rFonts w:hint="default" w:ascii="Times New Roman" w:hAnsi="Times New Roman" w:eastAsia="宋体" w:cs="Times New Roman"/>
                <w:color w:val="auto"/>
                <w:kern w:val="0"/>
                <w:szCs w:val="21"/>
                <w:highlight w:val="none"/>
                <w:lang w:bidi="ar"/>
              </w:rPr>
              <w:br w:type="textWrapping"/>
            </w:r>
            <w:r>
              <w:rPr>
                <w:rFonts w:hint="eastAsia" w:ascii="Times New Roman" w:hAnsi="Times New Roman" w:eastAsia="宋体" w:cs="Times New Roman"/>
                <w:color w:val="auto"/>
                <w:kern w:val="0"/>
                <w:szCs w:val="21"/>
                <w:highlight w:val="none"/>
                <w:lang w:val="en-US" w:eastAsia="zh-CN" w:bidi="ar"/>
              </w:rPr>
              <w:t>4、</w:t>
            </w:r>
            <w:r>
              <w:rPr>
                <w:rFonts w:hint="default" w:ascii="Times New Roman" w:hAnsi="Times New Roman" w:eastAsia="宋体" w:cs="Times New Roman"/>
                <w:color w:val="auto"/>
                <w:kern w:val="0"/>
                <w:szCs w:val="21"/>
                <w:highlight w:val="none"/>
                <w:lang w:bidi="ar"/>
              </w:rPr>
              <w:t>高清数字切片：（需提供软件功能与内容截图的证明材料）</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4.1 高清数字切片可进行缩放查看以及视口重置。</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 xml:space="preserve">  </w:t>
            </w:r>
            <w:r>
              <w:rPr>
                <w:rFonts w:hint="default" w:ascii="Times New Roman" w:hAnsi="Times New Roman" w:eastAsia="宋体" w:cs="Times New Roman"/>
                <w:color w:val="auto"/>
                <w:kern w:val="0"/>
                <w:szCs w:val="21"/>
                <w:highlight w:val="none"/>
                <w:lang w:bidi="ar"/>
              </w:rPr>
              <w:t>4.2 可在导航器中对切片结构位置进行快速定位。</w:t>
            </w:r>
          </w:p>
        </w:tc>
        <w:tc>
          <w:tcPr>
            <w:tcW w:w="339" w:type="pct"/>
            <w:shd w:val="clear" w:color="auto" w:fill="FFFFFF" w:themeFill="background1"/>
            <w:vAlign w:val="center"/>
          </w:tcPr>
          <w:p w14:paraId="44A171F0">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6912F2FC">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套</w:t>
            </w:r>
          </w:p>
        </w:tc>
        <w:tc>
          <w:tcPr>
            <w:tcW w:w="427" w:type="pct"/>
            <w:vAlign w:val="center"/>
          </w:tcPr>
          <w:p w14:paraId="5D0C4E6C">
            <w:pPr>
              <w:rPr>
                <w:rFonts w:ascii="宋体" w:hAnsi="宋体" w:eastAsia="宋体" w:cs="宋体"/>
                <w:sz w:val="24"/>
                <w:szCs w:val="24"/>
                <w:highlight w:val="none"/>
              </w:rPr>
            </w:pPr>
            <w:r>
              <w:rPr>
                <w:rFonts w:hint="eastAsia" w:ascii="宋体" w:hAnsi="宋体" w:eastAsia="宋体" w:cs="宋体"/>
                <w:sz w:val="24"/>
                <w:szCs w:val="24"/>
                <w:highlight w:val="none"/>
              </w:rPr>
              <w:t>软件和信息技术服务业</w:t>
            </w:r>
          </w:p>
        </w:tc>
        <w:tc>
          <w:tcPr>
            <w:tcW w:w="245" w:type="pct"/>
            <w:vAlign w:val="center"/>
          </w:tcPr>
          <w:p w14:paraId="4CFCFAFE">
            <w:pPr>
              <w:rPr>
                <w:rFonts w:ascii="宋体" w:hAnsi="宋体" w:eastAsia="宋体" w:cs="宋体"/>
                <w:sz w:val="24"/>
                <w:szCs w:val="24"/>
                <w:highlight w:val="none"/>
              </w:rPr>
            </w:pPr>
          </w:p>
        </w:tc>
      </w:tr>
      <w:tr w14:paraId="7AF18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37582853">
            <w:pPr>
              <w:widowControl/>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434" w:type="pct"/>
            <w:shd w:val="clear" w:color="auto" w:fill="FFFFFF" w:themeFill="background1"/>
            <w:vAlign w:val="center"/>
          </w:tcPr>
          <w:p w14:paraId="2A661F39">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肩关节高仿真模型</w:t>
            </w:r>
          </w:p>
        </w:tc>
        <w:tc>
          <w:tcPr>
            <w:tcW w:w="3016" w:type="pct"/>
            <w:shd w:val="clear" w:color="auto" w:fill="FFFFFF" w:themeFill="background1"/>
            <w:vAlign w:val="center"/>
          </w:tcPr>
          <w:p w14:paraId="728D0C92">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0C1E1AB4">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2、功能说明：肩胛骨、肱骨、肩峰、肩胛上横韧带、关节囊、喙锁韧带、喙肩韧带、喙肱韧带、肱二头肌长头、喙突、肩锁关节等结构。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4970F3D0">
            <w:pPr>
              <w:widowControl/>
              <w:jc w:val="left"/>
              <w:textAlignment w:val="center"/>
              <w:rPr>
                <w:rFonts w:hint="eastAsia" w:ascii="宋体" w:hAnsi="宋体" w:eastAsia="宋体" w:cs="宋体"/>
                <w:b w:val="0"/>
                <w:bCs w:val="0"/>
                <w:kern w:val="2"/>
                <w:sz w:val="21"/>
                <w:szCs w:val="21"/>
                <w:lang w:val="en-US" w:eastAsia="en-US"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w:t>
            </w:r>
            <w:r>
              <w:rPr>
                <w:rFonts w:hint="default" w:ascii="Times New Roman" w:hAnsi="Times New Roman" w:eastAsia="宋体" w:cs="Times New Roman"/>
                <w:color w:val="auto"/>
                <w:kern w:val="0"/>
                <w:szCs w:val="21"/>
                <w:highlight w:val="none"/>
                <w:lang w:val="en-US" w:eastAsia="zh-CN" w:bidi="ar"/>
              </w:rPr>
              <w:t>肩关节</w:t>
            </w:r>
            <w:r>
              <w:rPr>
                <w:rFonts w:hint="default" w:ascii="Times New Roman" w:hAnsi="Times New Roman" w:eastAsia="宋体" w:cs="Times New Roman"/>
                <w:color w:val="auto"/>
                <w:kern w:val="0"/>
                <w:szCs w:val="21"/>
                <w:highlight w:val="none"/>
                <w:lang w:bidi="ar"/>
              </w:rPr>
              <w:t>高仿真模型二维码扫描 3D 查询步骤的截图证明）</w:t>
            </w:r>
          </w:p>
        </w:tc>
        <w:tc>
          <w:tcPr>
            <w:tcW w:w="339" w:type="pct"/>
            <w:shd w:val="clear" w:color="auto" w:fill="FFFFFF" w:themeFill="background1"/>
            <w:vAlign w:val="center"/>
          </w:tcPr>
          <w:p w14:paraId="0CDD0BC9">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074ACDB7">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43DD7E6D">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23A508EA">
            <w:pPr>
              <w:rPr>
                <w:rFonts w:ascii="宋体" w:hAnsi="宋体" w:eastAsia="宋体" w:cs="宋体"/>
                <w:sz w:val="24"/>
                <w:szCs w:val="24"/>
                <w:highlight w:val="none"/>
              </w:rPr>
            </w:pPr>
          </w:p>
        </w:tc>
      </w:tr>
      <w:tr w14:paraId="71647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trPr>
        <w:tc>
          <w:tcPr>
            <w:tcW w:w="309" w:type="pct"/>
            <w:shd w:val="clear" w:color="auto" w:fill="FFFFFF" w:themeFill="background1"/>
            <w:vAlign w:val="center"/>
          </w:tcPr>
          <w:p w14:paraId="76EED210">
            <w:pPr>
              <w:widowControl/>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3</w:t>
            </w:r>
          </w:p>
        </w:tc>
        <w:tc>
          <w:tcPr>
            <w:tcW w:w="434" w:type="pct"/>
            <w:shd w:val="clear" w:color="auto" w:fill="FFFFFF" w:themeFill="background1"/>
            <w:vAlign w:val="center"/>
          </w:tcPr>
          <w:p w14:paraId="65D14D47">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肘关节高仿真模型（完整）</w:t>
            </w:r>
          </w:p>
        </w:tc>
        <w:tc>
          <w:tcPr>
            <w:tcW w:w="3016" w:type="pct"/>
            <w:shd w:val="clear" w:color="auto" w:fill="FFFFFF" w:themeFill="background1"/>
            <w:vAlign w:val="center"/>
          </w:tcPr>
          <w:p w14:paraId="0B090712">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40DB6A4F">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2、功能说明：肱骨、尺骨、桡骨、尺侧副韧带、桡侧副韧带、桡骨环状韧带等结构。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6621985A">
            <w:pPr>
              <w:widowControl/>
              <w:jc w:val="left"/>
              <w:textAlignment w:val="center"/>
              <w:rPr>
                <w:rFonts w:hint="eastAsia" w:ascii="宋体" w:hAnsi="宋体" w:eastAsia="宋体" w:cs="宋体"/>
                <w:b w:val="0"/>
                <w:bCs w:val="0"/>
                <w:kern w:val="2"/>
                <w:sz w:val="21"/>
                <w:szCs w:val="21"/>
                <w:lang w:val="en-US" w:eastAsia="en-US"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116F14EE">
            <w:pPr>
              <w:widowControl/>
              <w:jc w:val="center"/>
              <w:textAlignment w:val="center"/>
              <w:rPr>
                <w:rFonts w:hint="default"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2CBF1B3F">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7E19C362">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4805CC5E">
            <w:pPr>
              <w:rPr>
                <w:rFonts w:ascii="宋体" w:hAnsi="宋体" w:eastAsia="宋体" w:cs="宋体"/>
                <w:sz w:val="24"/>
                <w:szCs w:val="24"/>
                <w:highlight w:val="none"/>
              </w:rPr>
            </w:pPr>
          </w:p>
        </w:tc>
      </w:tr>
      <w:tr w14:paraId="29083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3B6818DC">
            <w:pPr>
              <w:widowControl/>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4</w:t>
            </w:r>
          </w:p>
        </w:tc>
        <w:tc>
          <w:tcPr>
            <w:tcW w:w="434" w:type="pct"/>
            <w:shd w:val="clear" w:color="auto" w:fill="FFFFFF" w:themeFill="background1"/>
            <w:vAlign w:val="center"/>
          </w:tcPr>
          <w:p w14:paraId="61AF8302">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手关节高仿真模型（完整）</w:t>
            </w:r>
          </w:p>
        </w:tc>
        <w:tc>
          <w:tcPr>
            <w:tcW w:w="3016" w:type="pct"/>
            <w:shd w:val="clear" w:color="auto" w:fill="FFFFFF" w:themeFill="background1"/>
            <w:vAlign w:val="center"/>
          </w:tcPr>
          <w:p w14:paraId="5DED41B3">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5B2C0CB0">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2、功能说明：尺骨、桡骨、豌豆骨、掌骨间韧带、腕掌关节、掌指关节、腕掌背侧韧带、腕尺侧副韧带、桡腕背侧副韧带、腕桡侧副韧带、指间关节等结构。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79F5A287">
            <w:pPr>
              <w:widowControl/>
              <w:jc w:val="left"/>
              <w:textAlignment w:val="center"/>
              <w:rPr>
                <w:rFonts w:hint="eastAsia" w:ascii="宋体" w:hAnsi="宋体" w:eastAsia="宋体" w:cs="宋体"/>
                <w:b w:val="0"/>
                <w:bCs w:val="0"/>
                <w:kern w:val="2"/>
                <w:sz w:val="21"/>
                <w:szCs w:val="21"/>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594062CE">
            <w:pPr>
              <w:widowControl/>
              <w:jc w:val="center"/>
              <w:textAlignment w:val="center"/>
              <w:rPr>
                <w:rFonts w:hint="default"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3BCD79CE">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39660236">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73A1E7C4">
            <w:pPr>
              <w:rPr>
                <w:rFonts w:ascii="宋体" w:hAnsi="宋体" w:eastAsia="宋体" w:cs="宋体"/>
                <w:sz w:val="24"/>
                <w:szCs w:val="24"/>
                <w:highlight w:val="none"/>
              </w:rPr>
            </w:pPr>
          </w:p>
        </w:tc>
      </w:tr>
      <w:tr w14:paraId="575F8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7A37E753">
            <w:pPr>
              <w:widowControl/>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5</w:t>
            </w:r>
          </w:p>
        </w:tc>
        <w:tc>
          <w:tcPr>
            <w:tcW w:w="434" w:type="pct"/>
            <w:shd w:val="clear" w:color="auto" w:fill="FFFFFF" w:themeFill="background1"/>
            <w:vAlign w:val="center"/>
          </w:tcPr>
          <w:p w14:paraId="016C85B9">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髋关节高仿真模型</w:t>
            </w:r>
          </w:p>
        </w:tc>
        <w:tc>
          <w:tcPr>
            <w:tcW w:w="3016" w:type="pct"/>
            <w:shd w:val="clear" w:color="auto" w:fill="FFFFFF" w:themeFill="background1"/>
            <w:vAlign w:val="center"/>
          </w:tcPr>
          <w:p w14:paraId="4F51F3DF">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3DB79E3A">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2、功能说明：髋骨、股骨、髂股韧带、耻骨韧带、坐骨韧带、大转子、小转子、关节囊、耻股韧带、坐股韧带、股骨颈、转子间嵴等结构。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4E0E29F1">
            <w:pPr>
              <w:widowControl/>
              <w:jc w:val="left"/>
              <w:textAlignment w:val="center"/>
              <w:rPr>
                <w:rFonts w:hint="eastAsia" w:ascii="宋体" w:hAnsi="宋体" w:eastAsia="宋体" w:cs="宋体"/>
                <w:b w:val="0"/>
                <w:bCs w:val="0"/>
                <w:kern w:val="2"/>
                <w:sz w:val="21"/>
                <w:szCs w:val="21"/>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62FEA25B">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795F965A">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404BB716">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469AA2A1">
            <w:pPr>
              <w:rPr>
                <w:rFonts w:ascii="宋体" w:hAnsi="宋体" w:eastAsia="宋体" w:cs="宋体"/>
                <w:sz w:val="24"/>
                <w:szCs w:val="24"/>
                <w:highlight w:val="none"/>
              </w:rPr>
            </w:pPr>
          </w:p>
        </w:tc>
      </w:tr>
      <w:tr w14:paraId="557DF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trPr>
        <w:tc>
          <w:tcPr>
            <w:tcW w:w="309" w:type="pct"/>
            <w:shd w:val="clear" w:color="auto" w:fill="FFFFFF" w:themeFill="background1"/>
            <w:vAlign w:val="center"/>
          </w:tcPr>
          <w:p w14:paraId="721ECD9C">
            <w:pPr>
              <w:widowControl/>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6</w:t>
            </w:r>
          </w:p>
        </w:tc>
        <w:tc>
          <w:tcPr>
            <w:tcW w:w="434" w:type="pct"/>
            <w:shd w:val="clear" w:color="auto" w:fill="FFFFFF" w:themeFill="background1"/>
            <w:vAlign w:val="center"/>
          </w:tcPr>
          <w:p w14:paraId="1B585D14">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膝关节韧带高仿真模型</w:t>
            </w:r>
          </w:p>
        </w:tc>
        <w:tc>
          <w:tcPr>
            <w:tcW w:w="3016" w:type="pct"/>
            <w:shd w:val="clear" w:color="auto" w:fill="FFFFFF" w:themeFill="background1"/>
            <w:vAlign w:val="center"/>
          </w:tcPr>
          <w:p w14:paraId="2465A0E8">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6606DA08">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2、功能说明：腓侧副韧带、前交叉韧带、后交叉韧带、外侧半月板、胫侧副韧带、膝横韧带等结构。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27F41991">
            <w:pPr>
              <w:widowControl/>
              <w:jc w:val="left"/>
              <w:textAlignment w:val="center"/>
              <w:rPr>
                <w:rFonts w:hint="default" w:ascii="宋体" w:hAnsi="宋体" w:eastAsia="宋体" w:cs="宋体"/>
                <w:b w:val="0"/>
                <w:bCs w:val="0"/>
                <w:kern w:val="2"/>
                <w:sz w:val="21"/>
                <w:szCs w:val="21"/>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查询，手机扫描二维码查看同类型的三维图像，自由放大缩小、任意角度旋转，重点结构中文标识。（需提供膝关节韧带高仿真模型二维码扫描 3D 查询步骤的截图证明）</w:t>
            </w:r>
          </w:p>
        </w:tc>
        <w:tc>
          <w:tcPr>
            <w:tcW w:w="339" w:type="pct"/>
            <w:shd w:val="clear" w:color="auto" w:fill="FFFFFF" w:themeFill="background1"/>
            <w:vAlign w:val="center"/>
          </w:tcPr>
          <w:p w14:paraId="0A62750D">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69DD151E">
            <w:pPr>
              <w:widowControl/>
              <w:jc w:val="center"/>
              <w:textAlignment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4120ABB9">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76B14CD2">
            <w:pPr>
              <w:rPr>
                <w:rFonts w:ascii="宋体" w:hAnsi="宋体" w:eastAsia="宋体" w:cs="宋体"/>
                <w:sz w:val="24"/>
                <w:szCs w:val="24"/>
                <w:highlight w:val="none"/>
              </w:rPr>
            </w:pPr>
          </w:p>
        </w:tc>
      </w:tr>
      <w:tr w14:paraId="6BAB8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36942696">
            <w:pPr>
              <w:widowControl/>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7</w:t>
            </w:r>
          </w:p>
        </w:tc>
        <w:tc>
          <w:tcPr>
            <w:tcW w:w="434" w:type="pct"/>
            <w:shd w:val="clear" w:color="auto" w:fill="FFFFFF" w:themeFill="background1"/>
            <w:vAlign w:val="center"/>
          </w:tcPr>
          <w:p w14:paraId="3A6D4428">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踝关节周围韧带高仿真模型</w:t>
            </w:r>
          </w:p>
        </w:tc>
        <w:tc>
          <w:tcPr>
            <w:tcW w:w="3016" w:type="pct"/>
            <w:shd w:val="clear" w:color="auto" w:fill="FFFFFF" w:themeFill="background1"/>
            <w:vAlign w:val="center"/>
          </w:tcPr>
          <w:p w14:paraId="0573DA42">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77719F4C">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2、功能说明：胫腓韧带、距腓韧带、跟腓韧带、胫腓前韧带、距腓韧带、距舟韧带、分歧韧带、腓骨长肌腱、跟骰足底韧带、腓骨短肌腱、内侧韧带、足底长韧带、胫骨前肌腱(断端)等结构。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1D9BF311">
            <w:pPr>
              <w:widowControl/>
              <w:jc w:val="left"/>
              <w:textAlignment w:val="center"/>
              <w:rPr>
                <w:rFonts w:hint="default" w:ascii="宋体" w:hAnsi="宋体" w:eastAsia="宋体" w:cs="宋体"/>
                <w:b w:val="0"/>
                <w:bCs w:val="0"/>
                <w:kern w:val="2"/>
                <w:sz w:val="21"/>
                <w:szCs w:val="21"/>
                <w:lang w:val="en-US" w:eastAsia="zh-Hans"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4CF8A556">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5491BFFF">
            <w:pPr>
              <w:widowControl/>
              <w:jc w:val="center"/>
              <w:textAlignment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431FD467">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14481EEC">
            <w:pPr>
              <w:rPr>
                <w:rFonts w:ascii="宋体" w:hAnsi="宋体" w:eastAsia="宋体" w:cs="宋体"/>
                <w:sz w:val="24"/>
                <w:szCs w:val="24"/>
                <w:highlight w:val="none"/>
              </w:rPr>
            </w:pPr>
          </w:p>
        </w:tc>
      </w:tr>
      <w:tr w14:paraId="56565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78895987">
            <w:pPr>
              <w:widowControl/>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434" w:type="pct"/>
            <w:shd w:val="clear" w:color="auto" w:fill="FFFFFF" w:themeFill="background1"/>
            <w:vAlign w:val="center"/>
          </w:tcPr>
          <w:p w14:paraId="261A1C3F">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胃外形及黏膜高仿真模型</w:t>
            </w:r>
          </w:p>
        </w:tc>
        <w:tc>
          <w:tcPr>
            <w:tcW w:w="3016" w:type="pct"/>
            <w:shd w:val="clear" w:color="auto" w:fill="FFFFFF" w:themeFill="background1"/>
            <w:vAlign w:val="center"/>
          </w:tcPr>
          <w:p w14:paraId="1CB5FE5C">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7B4564C7">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2、功能说明：胃外形及黏膜等结构。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2C50A13C">
            <w:pPr>
              <w:widowControl/>
              <w:jc w:val="left"/>
              <w:textAlignment w:val="center"/>
              <w:rPr>
                <w:rFonts w:hint="eastAsia" w:ascii="宋体" w:hAnsi="宋体" w:eastAsia="宋体" w:cs="宋体"/>
                <w:b w:val="0"/>
                <w:bCs w:val="0"/>
                <w:kern w:val="2"/>
                <w:sz w:val="21"/>
                <w:szCs w:val="21"/>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w:t>
            </w:r>
            <w:r>
              <w:rPr>
                <w:rFonts w:hint="default" w:ascii="Times New Roman" w:hAnsi="Times New Roman" w:eastAsia="宋体" w:cs="Times New Roman"/>
                <w:color w:val="auto"/>
                <w:kern w:val="0"/>
                <w:szCs w:val="21"/>
                <w:highlight w:val="none"/>
                <w:lang w:val="en-US" w:eastAsia="zh-CN" w:bidi="ar"/>
              </w:rPr>
              <w:t>胃外型及黏膜</w:t>
            </w:r>
            <w:r>
              <w:rPr>
                <w:rFonts w:hint="default" w:ascii="Times New Roman" w:hAnsi="Times New Roman" w:eastAsia="宋体" w:cs="Times New Roman"/>
                <w:color w:val="auto"/>
                <w:kern w:val="0"/>
                <w:szCs w:val="21"/>
                <w:highlight w:val="none"/>
                <w:lang w:bidi="ar"/>
              </w:rPr>
              <w:t>高仿真模型二维码扫描 3D 查询步骤的截图证明）</w:t>
            </w:r>
          </w:p>
        </w:tc>
        <w:tc>
          <w:tcPr>
            <w:tcW w:w="339" w:type="pct"/>
            <w:shd w:val="clear" w:color="auto" w:fill="FFFFFF" w:themeFill="background1"/>
            <w:vAlign w:val="center"/>
          </w:tcPr>
          <w:p w14:paraId="2F2C0A54">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70E6C462">
            <w:pPr>
              <w:widowControl/>
              <w:jc w:val="center"/>
              <w:textAlignment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16AA6097">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62C85B4A">
            <w:pPr>
              <w:rPr>
                <w:rFonts w:ascii="宋体" w:hAnsi="宋体" w:eastAsia="宋体" w:cs="宋体"/>
                <w:sz w:val="24"/>
                <w:szCs w:val="24"/>
                <w:highlight w:val="none"/>
              </w:rPr>
            </w:pPr>
          </w:p>
        </w:tc>
      </w:tr>
      <w:tr w14:paraId="7EEEB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4CCC57C6">
            <w:pPr>
              <w:widowControl/>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9</w:t>
            </w:r>
          </w:p>
        </w:tc>
        <w:tc>
          <w:tcPr>
            <w:tcW w:w="434" w:type="pct"/>
            <w:shd w:val="clear" w:color="auto" w:fill="FFFFFF" w:themeFill="background1"/>
            <w:vAlign w:val="center"/>
          </w:tcPr>
          <w:p w14:paraId="3873C330">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胆囊及输胆管道高仿真模型</w:t>
            </w:r>
          </w:p>
        </w:tc>
        <w:tc>
          <w:tcPr>
            <w:tcW w:w="3016" w:type="pct"/>
            <w:shd w:val="clear" w:color="auto" w:fill="FFFFFF" w:themeFill="background1"/>
            <w:vAlign w:val="center"/>
          </w:tcPr>
          <w:p w14:paraId="0670DAAA">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0CEC91EB">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2、功能说明：胆囊体、胆囊颈、胆囊管、肝右管、肝左管、肝总管、胆总管、肝胰壶腹、十二指肠大乳头。</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367A95A5">
            <w:pPr>
              <w:widowControl/>
              <w:jc w:val="left"/>
              <w:textAlignment w:val="center"/>
              <w:rPr>
                <w:rFonts w:hint="default" w:ascii="宋体" w:hAnsi="宋体" w:eastAsia="宋体" w:cs="宋体"/>
                <w:b w:val="0"/>
                <w:bCs w:val="0"/>
                <w:kern w:val="2"/>
                <w:sz w:val="21"/>
                <w:szCs w:val="21"/>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6E930F2F">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7B974FE6">
            <w:pPr>
              <w:widowControl/>
              <w:jc w:val="center"/>
              <w:textAlignment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691662D1">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14281ECE">
            <w:pPr>
              <w:rPr>
                <w:rFonts w:ascii="宋体" w:hAnsi="宋体" w:eastAsia="宋体" w:cs="宋体"/>
                <w:sz w:val="24"/>
                <w:szCs w:val="24"/>
                <w:highlight w:val="none"/>
              </w:rPr>
            </w:pPr>
          </w:p>
        </w:tc>
      </w:tr>
      <w:tr w14:paraId="62856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540737FA">
            <w:pPr>
              <w:widowControl/>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10</w:t>
            </w:r>
          </w:p>
        </w:tc>
        <w:tc>
          <w:tcPr>
            <w:tcW w:w="434" w:type="pct"/>
            <w:shd w:val="clear" w:color="auto" w:fill="FFFFFF" w:themeFill="background1"/>
            <w:vAlign w:val="center"/>
          </w:tcPr>
          <w:p w14:paraId="68A46FA8">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肝胰脾十二指肠高仿真模型</w:t>
            </w:r>
          </w:p>
        </w:tc>
        <w:tc>
          <w:tcPr>
            <w:tcW w:w="3016" w:type="pct"/>
            <w:shd w:val="clear" w:color="auto" w:fill="FFFFFF" w:themeFill="background1"/>
            <w:vAlign w:val="center"/>
          </w:tcPr>
          <w:p w14:paraId="106AE163">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07D2F0B7">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2、功能说明：胆囊、胆总管、十二指肠上部、胰头、胰尾，脾，肝等结构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1EDCA81B">
            <w:pPr>
              <w:widowControl/>
              <w:jc w:val="left"/>
              <w:textAlignment w:val="center"/>
              <w:rPr>
                <w:rFonts w:hint="default" w:ascii="宋体" w:hAnsi="宋体" w:eastAsia="宋体" w:cs="宋体"/>
                <w:b w:val="0"/>
                <w:bCs w:val="0"/>
                <w:kern w:val="2"/>
                <w:sz w:val="21"/>
                <w:szCs w:val="21"/>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7ACF4994">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240378C0">
            <w:pPr>
              <w:widowControl/>
              <w:jc w:val="center"/>
              <w:textAlignment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2EF4BE17">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28715667">
            <w:pPr>
              <w:rPr>
                <w:rFonts w:ascii="宋体" w:hAnsi="宋体" w:eastAsia="宋体" w:cs="宋体"/>
                <w:sz w:val="24"/>
                <w:szCs w:val="24"/>
                <w:highlight w:val="none"/>
              </w:rPr>
            </w:pPr>
          </w:p>
        </w:tc>
      </w:tr>
      <w:tr w14:paraId="175E0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217939FB">
            <w:pPr>
              <w:widowControl/>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11</w:t>
            </w:r>
          </w:p>
        </w:tc>
        <w:tc>
          <w:tcPr>
            <w:tcW w:w="434" w:type="pct"/>
            <w:shd w:val="clear" w:color="auto" w:fill="FFFFFF" w:themeFill="background1"/>
            <w:vAlign w:val="center"/>
          </w:tcPr>
          <w:p w14:paraId="4FB4C73B">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结肠的特征性结构（横结肠）高仿真模型</w:t>
            </w:r>
          </w:p>
        </w:tc>
        <w:tc>
          <w:tcPr>
            <w:tcW w:w="3016" w:type="pct"/>
            <w:shd w:val="clear" w:color="auto" w:fill="FFFFFF" w:themeFill="background1"/>
            <w:vAlign w:val="center"/>
          </w:tcPr>
          <w:p w14:paraId="3EF09728">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55149426">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2、功能说明：结肠半月襞、肠脂垂、结肠袋、结肠带等结构。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42BB59CF">
            <w:pPr>
              <w:widowControl/>
              <w:jc w:val="left"/>
              <w:textAlignment w:val="center"/>
              <w:rPr>
                <w:rFonts w:hint="default" w:ascii="宋体" w:hAnsi="宋体" w:eastAsia="宋体" w:cs="宋体"/>
                <w:b w:val="0"/>
                <w:bCs w:val="0"/>
                <w:kern w:val="2"/>
                <w:sz w:val="21"/>
                <w:szCs w:val="21"/>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1DE6EEA1">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5E00F202">
            <w:pPr>
              <w:widowControl/>
              <w:jc w:val="center"/>
              <w:textAlignment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24D39773">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7E063E42">
            <w:pPr>
              <w:rPr>
                <w:rFonts w:ascii="宋体" w:hAnsi="宋体" w:eastAsia="宋体" w:cs="宋体"/>
                <w:sz w:val="24"/>
                <w:szCs w:val="24"/>
                <w:highlight w:val="none"/>
              </w:rPr>
            </w:pPr>
          </w:p>
        </w:tc>
      </w:tr>
      <w:tr w14:paraId="714B5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5CE87827">
            <w:pPr>
              <w:widowControl/>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12</w:t>
            </w:r>
          </w:p>
        </w:tc>
        <w:tc>
          <w:tcPr>
            <w:tcW w:w="434" w:type="pct"/>
            <w:shd w:val="clear" w:color="auto" w:fill="FFFFFF" w:themeFill="background1"/>
            <w:vAlign w:val="center"/>
          </w:tcPr>
          <w:p w14:paraId="3F1D384D">
            <w:pPr>
              <w:widowControl/>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default" w:ascii="Times New Roman" w:hAnsi="Times New Roman" w:eastAsia="宋体" w:cs="Times New Roman"/>
                <w:color w:val="auto"/>
                <w:kern w:val="0"/>
                <w:szCs w:val="21"/>
                <w:highlight w:val="none"/>
                <w:lang w:bidi="ar"/>
              </w:rPr>
              <w:t>盲肠和阑尾高仿真模型</w:t>
            </w:r>
          </w:p>
        </w:tc>
        <w:tc>
          <w:tcPr>
            <w:tcW w:w="3016" w:type="pct"/>
            <w:shd w:val="clear" w:color="auto" w:fill="FFFFFF" w:themeFill="background1"/>
            <w:vAlign w:val="center"/>
          </w:tcPr>
          <w:p w14:paraId="705A1342">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554F628E">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2、功能说明：回盲瓣、回盲口、回肠、阑尾口、阑尾等结构。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513BD886">
            <w:pPr>
              <w:widowControl/>
              <w:jc w:val="left"/>
              <w:textAlignment w:val="center"/>
              <w:rPr>
                <w:rFonts w:hint="default" w:ascii="宋体" w:hAnsi="宋体" w:eastAsia="宋体" w:cs="宋体"/>
                <w:kern w:val="2"/>
                <w:sz w:val="21"/>
                <w:lang w:val="en-US" w:eastAsia="en-US"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7EB2E9B8">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52965DD3">
            <w:pPr>
              <w:widowControl/>
              <w:jc w:val="center"/>
              <w:textAlignment w:val="center"/>
              <w:rPr>
                <w:rFonts w:hint="eastAsia" w:ascii="Times New Roman" w:hAnsi="Times New Roman" w:eastAsia="宋体" w:cs="Times New Roman"/>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785683E4">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3E9EA249">
            <w:pPr>
              <w:rPr>
                <w:rFonts w:ascii="宋体" w:hAnsi="宋体" w:eastAsia="宋体" w:cs="宋体"/>
                <w:sz w:val="24"/>
                <w:szCs w:val="24"/>
                <w:highlight w:val="none"/>
              </w:rPr>
            </w:pPr>
          </w:p>
        </w:tc>
      </w:tr>
      <w:tr w14:paraId="1927D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0EF05A75">
            <w:pPr>
              <w:widowControl/>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13</w:t>
            </w:r>
          </w:p>
        </w:tc>
        <w:tc>
          <w:tcPr>
            <w:tcW w:w="434" w:type="pct"/>
            <w:shd w:val="clear" w:color="auto" w:fill="FFFFFF" w:themeFill="background1"/>
            <w:vAlign w:val="center"/>
          </w:tcPr>
          <w:p w14:paraId="457E59C7">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空肠、回肠、结肠的比较高仿真模型</w:t>
            </w:r>
          </w:p>
        </w:tc>
        <w:tc>
          <w:tcPr>
            <w:tcW w:w="3016" w:type="pct"/>
            <w:shd w:val="clear" w:color="auto" w:fill="FFFFFF" w:themeFill="background1"/>
            <w:vAlign w:val="center"/>
          </w:tcPr>
          <w:p w14:paraId="5A7EBF1F">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0DF818D4">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2、功能说明：典型空、回肠、结肠各一段，一端保留完整外形，一端切开显示内壁粘膜。</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显示结构：空肠环状皱襞，回肠环状皱襞，集合淋巴滤泡，结肠袋，结肠带，肠脂垂。</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5C0A1E5C">
            <w:pPr>
              <w:widowControl/>
              <w:jc w:val="left"/>
              <w:textAlignment w:val="center"/>
              <w:rPr>
                <w:rFonts w:hint="default" w:ascii="宋体" w:hAnsi="宋体" w:eastAsia="宋体" w:cs="宋体"/>
                <w:color w:val="000000" w:themeColor="text1"/>
                <w:kern w:val="2"/>
                <w:sz w:val="21"/>
                <w:szCs w:val="21"/>
                <w:lang w:val="en-US" w:eastAsia="en-US" w:bidi="ar-SA"/>
                <w14:textFill>
                  <w14:solidFill>
                    <w14:schemeClr w14:val="tx1"/>
                  </w14:solidFill>
                </w14:textFill>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377081B1">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06ED9539">
            <w:pPr>
              <w:widowControl/>
              <w:jc w:val="center"/>
              <w:textAlignment w:val="center"/>
              <w:rPr>
                <w:rFonts w:hint="eastAsia" w:ascii="Times New Roman" w:hAnsi="Times New Roman" w:eastAsia="宋体" w:cs="Times New Roman"/>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10F74718">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363C812A">
            <w:pPr>
              <w:rPr>
                <w:rFonts w:ascii="宋体" w:hAnsi="宋体" w:eastAsia="宋体" w:cs="宋体"/>
                <w:sz w:val="24"/>
                <w:szCs w:val="24"/>
                <w:highlight w:val="none"/>
              </w:rPr>
            </w:pPr>
          </w:p>
        </w:tc>
      </w:tr>
      <w:tr w14:paraId="23A05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244D6789">
            <w:pPr>
              <w:widowControl/>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default" w:ascii="Times New Roman" w:hAnsi="Times New Roman" w:eastAsia="宋体" w:cs="Times New Roman"/>
                <w:color w:val="auto"/>
                <w:kern w:val="0"/>
                <w:szCs w:val="21"/>
                <w:highlight w:val="none"/>
                <w:lang w:bidi="ar"/>
              </w:rPr>
              <w:t>14</w:t>
            </w:r>
          </w:p>
        </w:tc>
        <w:tc>
          <w:tcPr>
            <w:tcW w:w="434" w:type="pct"/>
            <w:shd w:val="clear" w:color="auto" w:fill="FFFFFF" w:themeFill="background1"/>
            <w:vAlign w:val="center"/>
          </w:tcPr>
          <w:p w14:paraId="061A6F85">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直肠内面观高仿真模型</w:t>
            </w:r>
          </w:p>
        </w:tc>
        <w:tc>
          <w:tcPr>
            <w:tcW w:w="3016" w:type="pct"/>
            <w:shd w:val="clear" w:color="auto" w:fill="FFFFFF" w:themeFill="background1"/>
            <w:vAlign w:val="center"/>
          </w:tcPr>
          <w:p w14:paraId="6AB71E0D">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347D14A1">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2、功能说明：直肠壶腹、直肠横襞、肛柱、肛瓣、肛窦、白线、肛门内括约肌等结构。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716094CE">
            <w:pPr>
              <w:widowControl/>
              <w:jc w:val="left"/>
              <w:textAlignment w:val="center"/>
              <w:rPr>
                <w:rFonts w:hint="default" w:ascii="宋体" w:hAnsi="宋体" w:eastAsia="宋体" w:cs="宋体"/>
                <w:kern w:val="2"/>
                <w:sz w:val="21"/>
                <w:lang w:val="en-US" w:eastAsia="en-US"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1606B340">
            <w:pPr>
              <w:widowControl/>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5FABDE5D">
            <w:pPr>
              <w:widowControl/>
              <w:jc w:val="center"/>
              <w:textAlignment w:val="center"/>
              <w:rPr>
                <w:rFonts w:hint="eastAsia" w:ascii="Times New Roman" w:hAnsi="Times New Roman" w:eastAsia="宋体" w:cs="Times New Roman"/>
                <w:b w:val="0"/>
                <w:bCs w:val="0"/>
                <w:i w:val="0"/>
                <w:iCs w:val="0"/>
                <w:color w:val="000000"/>
                <w:kern w:val="2"/>
                <w:sz w:val="21"/>
                <w:szCs w:val="21"/>
                <w:u w:val="none"/>
                <w:lang w:val="en-US" w:eastAsia="en-US"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571044A7">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21AC4487">
            <w:pPr>
              <w:rPr>
                <w:rFonts w:ascii="宋体" w:hAnsi="宋体" w:eastAsia="宋体" w:cs="宋体"/>
                <w:sz w:val="24"/>
                <w:szCs w:val="24"/>
                <w:highlight w:val="none"/>
              </w:rPr>
            </w:pPr>
          </w:p>
        </w:tc>
      </w:tr>
      <w:tr w14:paraId="1FD6D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0BFD6A44">
            <w:pPr>
              <w:widowControl/>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default" w:ascii="Times New Roman" w:hAnsi="Times New Roman" w:eastAsia="宋体" w:cs="Times New Roman"/>
                <w:color w:val="auto"/>
                <w:kern w:val="0"/>
                <w:szCs w:val="21"/>
                <w:highlight w:val="none"/>
                <w:lang w:bidi="ar"/>
              </w:rPr>
              <w:t>15</w:t>
            </w:r>
          </w:p>
        </w:tc>
        <w:tc>
          <w:tcPr>
            <w:tcW w:w="434" w:type="pct"/>
            <w:shd w:val="clear" w:color="auto" w:fill="FFFFFF" w:themeFill="background1"/>
            <w:vAlign w:val="center"/>
          </w:tcPr>
          <w:p w14:paraId="130BFFE2">
            <w:pPr>
              <w:widowControl/>
              <w:jc w:val="center"/>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default" w:ascii="Times New Roman" w:hAnsi="Times New Roman" w:eastAsia="宋体" w:cs="Times New Roman"/>
                <w:color w:val="auto"/>
                <w:kern w:val="0"/>
                <w:szCs w:val="21"/>
                <w:highlight w:val="none"/>
                <w:lang w:bidi="ar"/>
              </w:rPr>
              <w:t>肝外形高仿真模型</w:t>
            </w:r>
          </w:p>
        </w:tc>
        <w:tc>
          <w:tcPr>
            <w:tcW w:w="3016" w:type="pct"/>
            <w:shd w:val="clear" w:color="auto" w:fill="FFFFFF" w:themeFill="background1"/>
            <w:vAlign w:val="center"/>
          </w:tcPr>
          <w:p w14:paraId="5BA9EA4E">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7C8AD28E">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2、功能说明：冠状韧带、镰状韧带、膈、右三角韧带、左三角韧带、肝右叶、肝左叶、肝圆韧带等结构。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51D78C2A">
            <w:pPr>
              <w:widowControl/>
              <w:jc w:val="left"/>
              <w:textAlignment w:val="center"/>
              <w:rPr>
                <w:rFonts w:hint="eastAsia" w:ascii="宋体" w:hAnsi="宋体" w:eastAsia="宋体" w:cs="宋体"/>
                <w:lang w:val="en-US" w:eastAsia="zh-CN"/>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w:t>
            </w:r>
            <w:r>
              <w:rPr>
                <w:rFonts w:hint="default" w:ascii="Times New Roman" w:hAnsi="Times New Roman" w:eastAsia="宋体" w:cs="Times New Roman"/>
                <w:color w:val="auto"/>
                <w:kern w:val="0"/>
                <w:szCs w:val="21"/>
                <w:highlight w:val="none"/>
                <w:lang w:val="en-US" w:eastAsia="zh-CN" w:bidi="ar"/>
              </w:rPr>
              <w:t>肝外形</w:t>
            </w:r>
            <w:r>
              <w:rPr>
                <w:rFonts w:hint="default" w:ascii="Times New Roman" w:hAnsi="Times New Roman" w:eastAsia="宋体" w:cs="Times New Roman"/>
                <w:color w:val="auto"/>
                <w:kern w:val="0"/>
                <w:szCs w:val="21"/>
                <w:highlight w:val="none"/>
                <w:lang w:bidi="ar"/>
              </w:rPr>
              <w:t>高仿真模型二维码扫描 3D 查询步骤的截图证明）</w:t>
            </w:r>
          </w:p>
        </w:tc>
        <w:tc>
          <w:tcPr>
            <w:tcW w:w="339" w:type="pct"/>
            <w:shd w:val="clear" w:color="auto" w:fill="FFFFFF" w:themeFill="background1"/>
            <w:vAlign w:val="center"/>
          </w:tcPr>
          <w:p w14:paraId="7971C21C">
            <w:pPr>
              <w:widowControl/>
              <w:jc w:val="center"/>
              <w:textAlignment w:val="center"/>
              <w:rPr>
                <w:rFonts w:hint="eastAsia" w:ascii="宋体" w:hAnsi="宋体" w:eastAsia="宋体" w:cs="宋体"/>
                <w:b w:val="0"/>
                <w:bCs w:val="0"/>
                <w:i w:val="0"/>
                <w:iCs w:val="0"/>
                <w:color w:val="000000"/>
                <w:sz w:val="21"/>
                <w:szCs w:val="21"/>
                <w:u w:val="none"/>
                <w:lang w:val="en-US" w:eastAsia="zh-CN"/>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06466CDE">
            <w:pPr>
              <w:widowControl/>
              <w:jc w:val="center"/>
              <w:textAlignment w:val="center"/>
              <w:rPr>
                <w:rFonts w:hint="eastAsia" w:ascii="Times New Roman" w:hAnsi="Times New Roman" w:eastAsia="宋体" w:cs="Times New Roman"/>
                <w:b w:val="0"/>
                <w:bCs w:val="0"/>
                <w:i w:val="0"/>
                <w:iCs w:val="0"/>
                <w:color w:val="000000"/>
                <w:sz w:val="21"/>
                <w:szCs w:val="21"/>
                <w:u w:val="none"/>
                <w:lang w:val="en-US" w:eastAsia="zh-CN"/>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70418B27">
            <w:pPr>
              <w:rPr>
                <w:rFonts w:hint="eastAsia"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7737D096">
            <w:pPr>
              <w:rPr>
                <w:rFonts w:ascii="宋体" w:hAnsi="宋体" w:eastAsia="宋体" w:cs="宋体"/>
                <w:sz w:val="24"/>
                <w:szCs w:val="24"/>
                <w:highlight w:val="none"/>
              </w:rPr>
            </w:pPr>
          </w:p>
        </w:tc>
      </w:tr>
      <w:tr w14:paraId="4627A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19A6AFA9">
            <w:pPr>
              <w:widowControl/>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default" w:ascii="Times New Roman" w:hAnsi="Times New Roman" w:eastAsia="宋体" w:cs="Times New Roman"/>
                <w:color w:val="auto"/>
                <w:kern w:val="0"/>
                <w:szCs w:val="21"/>
                <w:highlight w:val="none"/>
                <w:lang w:bidi="ar"/>
              </w:rPr>
              <w:t>16</w:t>
            </w:r>
          </w:p>
        </w:tc>
        <w:tc>
          <w:tcPr>
            <w:tcW w:w="434" w:type="pct"/>
            <w:shd w:val="clear" w:color="auto" w:fill="FFFFFF" w:themeFill="background1"/>
            <w:vAlign w:val="center"/>
          </w:tcPr>
          <w:p w14:paraId="4CB8C267">
            <w:pPr>
              <w:widowControl/>
              <w:jc w:val="center"/>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default" w:ascii="Times New Roman" w:hAnsi="Times New Roman" w:eastAsia="宋体" w:cs="Times New Roman"/>
                <w:color w:val="auto"/>
                <w:kern w:val="0"/>
                <w:szCs w:val="21"/>
                <w:highlight w:val="none"/>
                <w:lang w:bidi="ar"/>
              </w:rPr>
              <w:t>喉正中矢状切高仿真模型</w:t>
            </w:r>
          </w:p>
        </w:tc>
        <w:tc>
          <w:tcPr>
            <w:tcW w:w="3016" w:type="pct"/>
            <w:shd w:val="clear" w:color="auto" w:fill="FFFFFF" w:themeFill="background1"/>
            <w:vAlign w:val="center"/>
          </w:tcPr>
          <w:p w14:paraId="3D6EFCAD">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68F49892">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2、功能说明：喉室、喉前庭，声壁，会厌等结构。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416A27E2">
            <w:pPr>
              <w:widowControl/>
              <w:jc w:val="left"/>
              <w:textAlignment w:val="center"/>
              <w:rPr>
                <w:rFonts w:hint="eastAsia" w:ascii="宋体" w:hAnsi="宋体" w:eastAsia="宋体" w:cs="宋体"/>
                <w:lang w:val="en-US" w:eastAsia="zh-CN"/>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FFFFFF" w:themeFill="background1"/>
            <w:vAlign w:val="center"/>
          </w:tcPr>
          <w:p w14:paraId="63677F97">
            <w:pPr>
              <w:widowControl/>
              <w:jc w:val="center"/>
              <w:textAlignment w:val="center"/>
              <w:rPr>
                <w:rFonts w:hint="eastAsia" w:ascii="宋体" w:hAnsi="宋体" w:eastAsia="宋体" w:cs="宋体"/>
                <w:b w:val="0"/>
                <w:bCs w:val="0"/>
                <w:i w:val="0"/>
                <w:iCs w:val="0"/>
                <w:color w:val="000000"/>
                <w:sz w:val="21"/>
                <w:szCs w:val="21"/>
                <w:u w:val="none"/>
                <w:lang w:val="en-US" w:eastAsia="zh-CN"/>
              </w:rPr>
            </w:pPr>
            <w:r>
              <w:rPr>
                <w:rFonts w:hint="default" w:ascii="Times New Roman" w:hAnsi="Times New Roman" w:eastAsia="宋体" w:cs="Times New Roman"/>
                <w:color w:val="auto"/>
                <w:kern w:val="0"/>
                <w:szCs w:val="21"/>
                <w:highlight w:val="none"/>
                <w:lang w:bidi="ar"/>
              </w:rPr>
              <w:t>2</w:t>
            </w:r>
          </w:p>
        </w:tc>
        <w:tc>
          <w:tcPr>
            <w:tcW w:w="225" w:type="pct"/>
            <w:shd w:val="clear" w:color="auto" w:fill="FFFFFF" w:themeFill="background1"/>
            <w:vAlign w:val="center"/>
          </w:tcPr>
          <w:p w14:paraId="4C939757">
            <w:pPr>
              <w:widowControl/>
              <w:jc w:val="center"/>
              <w:textAlignment w:val="center"/>
              <w:rPr>
                <w:rFonts w:hint="eastAsia" w:ascii="Times New Roman" w:hAnsi="Times New Roman" w:eastAsia="宋体" w:cs="Times New Roman"/>
                <w:b w:val="0"/>
                <w:bCs w:val="0"/>
                <w:i w:val="0"/>
                <w:iCs w:val="0"/>
                <w:color w:val="000000"/>
                <w:sz w:val="21"/>
                <w:szCs w:val="21"/>
                <w:u w:val="none"/>
                <w:lang w:val="en-US" w:eastAsia="zh-CN"/>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51E4E78F">
            <w:pPr>
              <w:rPr>
                <w:rFonts w:hint="eastAsia"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4FA733E5">
            <w:pPr>
              <w:rPr>
                <w:rFonts w:ascii="宋体" w:hAnsi="宋体" w:eastAsia="宋体" w:cs="宋体"/>
                <w:sz w:val="24"/>
                <w:szCs w:val="24"/>
                <w:highlight w:val="none"/>
              </w:rPr>
            </w:pPr>
          </w:p>
        </w:tc>
      </w:tr>
      <w:tr w14:paraId="20C0F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auto"/>
            <w:vAlign w:val="center"/>
          </w:tcPr>
          <w:p w14:paraId="4526F203">
            <w:pPr>
              <w:widowControl/>
              <w:jc w:val="center"/>
              <w:textAlignment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17</w:t>
            </w:r>
          </w:p>
        </w:tc>
        <w:tc>
          <w:tcPr>
            <w:tcW w:w="434" w:type="pct"/>
            <w:shd w:val="clear" w:color="auto" w:fill="auto"/>
            <w:vAlign w:val="center"/>
          </w:tcPr>
          <w:p w14:paraId="67A34039">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鼻旁窦及开口（鼻甲切除）高仿真模型</w:t>
            </w:r>
          </w:p>
        </w:tc>
        <w:tc>
          <w:tcPr>
            <w:tcW w:w="3016" w:type="pct"/>
            <w:shd w:val="clear" w:color="auto" w:fill="auto"/>
            <w:vAlign w:val="center"/>
          </w:tcPr>
          <w:p w14:paraId="68743024">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349265B2">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2、功能说明：额窦、筛泡、蝶窦、额窦开口、前中后筛窦的开口、上鼻甲、中鼻甲、下鼻甲、钩突、蝶窦的开口、上颌窦的开口等结构。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6B7A8DC1">
            <w:pPr>
              <w:widowControl/>
              <w:jc w:val="left"/>
              <w:textAlignment w:val="center"/>
              <w:rPr>
                <w:rFonts w:hint="default"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339" w:type="pct"/>
            <w:shd w:val="clear" w:color="auto" w:fill="auto"/>
            <w:vAlign w:val="center"/>
          </w:tcPr>
          <w:p w14:paraId="46F6E882">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2</w:t>
            </w:r>
          </w:p>
        </w:tc>
        <w:tc>
          <w:tcPr>
            <w:tcW w:w="225" w:type="pct"/>
            <w:shd w:val="clear" w:color="auto" w:fill="auto"/>
            <w:vAlign w:val="center"/>
          </w:tcPr>
          <w:p w14:paraId="6E243DB3">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件</w:t>
            </w:r>
          </w:p>
        </w:tc>
        <w:tc>
          <w:tcPr>
            <w:tcW w:w="427" w:type="pct"/>
            <w:vAlign w:val="center"/>
          </w:tcPr>
          <w:p w14:paraId="3B5CD84E">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528F937B">
            <w:pPr>
              <w:rPr>
                <w:rFonts w:ascii="宋体" w:hAnsi="宋体" w:eastAsia="宋体" w:cs="宋体"/>
                <w:sz w:val="24"/>
                <w:szCs w:val="24"/>
                <w:highlight w:val="none"/>
              </w:rPr>
            </w:pPr>
          </w:p>
        </w:tc>
      </w:tr>
      <w:tr w14:paraId="35A82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0568DA4B">
            <w:pPr>
              <w:widowControl/>
              <w:jc w:val="center"/>
              <w:textAlignment w:val="center"/>
              <w:rPr>
                <w:rFonts w:hint="eastAsia" w:ascii="Times New Roman" w:hAnsi="Times New Roman" w:eastAsia="宋体" w:cs="Times New Roman"/>
                <w:color w:val="auto"/>
                <w:kern w:val="2"/>
                <w:sz w:val="21"/>
                <w:szCs w:val="21"/>
                <w:highlight w:val="none"/>
                <w:lang w:val="en-US" w:eastAsia="zh-CN" w:bidi="ar-SA"/>
              </w:rPr>
            </w:pPr>
            <w:bookmarkStart w:id="6" w:name="_Toc4843"/>
            <w:bookmarkStart w:id="7" w:name="_Toc7421"/>
            <w:r>
              <w:rPr>
                <w:rFonts w:hint="default" w:ascii="Times New Roman" w:hAnsi="Times New Roman" w:eastAsia="宋体" w:cs="Times New Roman"/>
                <w:color w:val="auto"/>
                <w:kern w:val="0"/>
                <w:szCs w:val="21"/>
                <w:highlight w:val="none"/>
                <w:lang w:bidi="ar"/>
              </w:rPr>
              <w:t>18</w:t>
            </w:r>
          </w:p>
        </w:tc>
        <w:tc>
          <w:tcPr>
            <w:tcW w:w="0" w:type="auto"/>
            <w:shd w:val="clear" w:color="auto" w:fill="auto"/>
            <w:vAlign w:val="center"/>
          </w:tcPr>
          <w:p w14:paraId="42899D3A">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喉软骨连接高仿真模型</w:t>
            </w:r>
          </w:p>
        </w:tc>
        <w:tc>
          <w:tcPr>
            <w:tcW w:w="0" w:type="auto"/>
            <w:shd w:val="clear" w:color="auto" w:fill="auto"/>
            <w:vAlign w:val="center"/>
          </w:tcPr>
          <w:p w14:paraId="401186CD">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5F887604">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2、功能说明：会厌软骨、舌骨体、喉结、甲状软骨、舌骨小角、甲状舌骨正中韧带、斜线、上角、下角、环状软骨、气管软骨、右板、环甲正中韧带等结构。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5D8D3935">
            <w:pPr>
              <w:widowControl/>
              <w:jc w:val="left"/>
              <w:textAlignment w:val="center"/>
              <w:rPr>
                <w:rFonts w:hint="default"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63EA7292">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7DDA9672">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6E0002CF">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6BBD3AE">
            <w:pPr>
              <w:rPr>
                <w:rFonts w:ascii="宋体" w:hAnsi="宋体" w:eastAsia="宋体" w:cs="宋体"/>
                <w:sz w:val="24"/>
                <w:szCs w:val="24"/>
                <w:highlight w:val="none"/>
              </w:rPr>
            </w:pPr>
          </w:p>
        </w:tc>
      </w:tr>
      <w:tr w14:paraId="57C42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9DA99C0">
            <w:pPr>
              <w:widowControl/>
              <w:jc w:val="center"/>
              <w:textAlignment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19</w:t>
            </w:r>
          </w:p>
        </w:tc>
        <w:tc>
          <w:tcPr>
            <w:tcW w:w="0" w:type="auto"/>
            <w:shd w:val="clear" w:color="auto" w:fill="auto"/>
            <w:vAlign w:val="center"/>
          </w:tcPr>
          <w:p w14:paraId="3C7CBF1B">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喉内肌（后面）高仿真模型</w:t>
            </w:r>
          </w:p>
        </w:tc>
        <w:tc>
          <w:tcPr>
            <w:tcW w:w="0" w:type="auto"/>
            <w:shd w:val="clear" w:color="auto" w:fill="auto"/>
            <w:vAlign w:val="center"/>
          </w:tcPr>
          <w:p w14:paraId="2073BF49">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01165AC9">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2、功能说明：会厌，环甲肌、甲状软骨、杓斜肌、杓横肌、环杓后肌、环状软骨板、环状软骨、环杓侧肌、气管软骨等结构。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6C82C327">
            <w:pPr>
              <w:widowControl/>
              <w:jc w:val="left"/>
              <w:textAlignment w:val="center"/>
              <w:rPr>
                <w:rFonts w:hint="default"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4E13DF24">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03EF926F">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6D994406">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6498B287">
            <w:pPr>
              <w:rPr>
                <w:rFonts w:ascii="宋体" w:hAnsi="宋体" w:eastAsia="宋体" w:cs="宋体"/>
                <w:sz w:val="24"/>
                <w:szCs w:val="24"/>
                <w:highlight w:val="none"/>
              </w:rPr>
            </w:pPr>
          </w:p>
        </w:tc>
      </w:tr>
      <w:tr w14:paraId="1C81E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3E25502">
            <w:pPr>
              <w:widowControl/>
              <w:jc w:val="center"/>
              <w:textAlignment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20</w:t>
            </w:r>
          </w:p>
        </w:tc>
        <w:tc>
          <w:tcPr>
            <w:tcW w:w="0" w:type="auto"/>
            <w:shd w:val="clear" w:color="auto" w:fill="auto"/>
            <w:vAlign w:val="center"/>
          </w:tcPr>
          <w:p w14:paraId="128F3539">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气管与支气管高仿真模型</w:t>
            </w:r>
          </w:p>
        </w:tc>
        <w:tc>
          <w:tcPr>
            <w:tcW w:w="0" w:type="auto"/>
            <w:shd w:val="clear" w:color="auto" w:fill="auto"/>
            <w:vAlign w:val="center"/>
          </w:tcPr>
          <w:p w14:paraId="1B521C27">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7C3C5031">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2、功能说明：气管、右主支气管、右肺上叶支气管、右肺中叶支气管、右肺下叶支气管、左主支气管、左肺上叶支气管、左肺下叶支气管等结构。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23403982">
            <w:pPr>
              <w:widowControl/>
              <w:jc w:val="left"/>
              <w:textAlignment w:val="center"/>
              <w:rPr>
                <w:rFonts w:hint="default"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46C0C014">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0E0F946F">
            <w:pPr>
              <w:widowControl/>
              <w:jc w:val="center"/>
              <w:textAlignment w:val="center"/>
              <w:rPr>
                <w:rFonts w:hint="eastAsia" w:ascii="Times New Roman" w:hAnsi="Times New Roman" w:eastAsia="宋体" w:cs="Times New Roman"/>
                <w:color w:val="auto"/>
                <w:kern w:val="2"/>
                <w:sz w:val="21"/>
                <w:szCs w:val="21"/>
                <w:highlight w:val="none"/>
                <w:lang w:val="en-US" w:eastAsia="en-US"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57A7A53B">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5749EE2A">
            <w:pPr>
              <w:rPr>
                <w:rFonts w:ascii="宋体" w:hAnsi="宋体" w:eastAsia="宋体" w:cs="宋体"/>
                <w:sz w:val="24"/>
                <w:szCs w:val="24"/>
                <w:highlight w:val="none"/>
              </w:rPr>
            </w:pPr>
          </w:p>
        </w:tc>
      </w:tr>
      <w:tr w14:paraId="2475D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639A243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21</w:t>
            </w:r>
          </w:p>
        </w:tc>
        <w:tc>
          <w:tcPr>
            <w:tcW w:w="0" w:type="auto"/>
            <w:shd w:val="clear" w:color="auto" w:fill="auto"/>
            <w:vAlign w:val="center"/>
          </w:tcPr>
          <w:p w14:paraId="7E28102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肺的形态高仿真模型</w:t>
            </w:r>
          </w:p>
        </w:tc>
        <w:tc>
          <w:tcPr>
            <w:tcW w:w="0" w:type="auto"/>
            <w:shd w:val="clear" w:color="auto" w:fill="auto"/>
            <w:vAlign w:val="center"/>
          </w:tcPr>
          <w:p w14:paraId="7FDCB8AE">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732F467C">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2、功能说明：气管、右肺尖、左、右主支气管、右肺上叶、水平裂、斜裂、左肺上叶、左肺下叶等结构。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4143496A">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w:t>
            </w:r>
            <w:r>
              <w:rPr>
                <w:rFonts w:hint="default" w:ascii="Times New Roman" w:hAnsi="Times New Roman" w:eastAsia="宋体" w:cs="Times New Roman"/>
                <w:color w:val="auto"/>
                <w:kern w:val="0"/>
                <w:szCs w:val="21"/>
                <w:highlight w:val="none"/>
                <w:lang w:val="en-US" w:eastAsia="zh-CN" w:bidi="ar"/>
              </w:rPr>
              <w:t>肺的形态</w:t>
            </w:r>
            <w:r>
              <w:rPr>
                <w:rFonts w:hint="default" w:ascii="Times New Roman" w:hAnsi="Times New Roman" w:eastAsia="宋体" w:cs="Times New Roman"/>
                <w:color w:val="auto"/>
                <w:kern w:val="0"/>
                <w:szCs w:val="21"/>
                <w:highlight w:val="none"/>
                <w:lang w:bidi="ar"/>
              </w:rPr>
              <w:t>高仿真模型二维码扫描 3D 查询步骤的截图证明）</w:t>
            </w:r>
          </w:p>
        </w:tc>
        <w:tc>
          <w:tcPr>
            <w:tcW w:w="0" w:type="auto"/>
            <w:shd w:val="clear" w:color="auto" w:fill="auto"/>
            <w:vAlign w:val="center"/>
          </w:tcPr>
          <w:p w14:paraId="6B1A3AC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1CBDC12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B44FDE6">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1AA67E8">
            <w:pPr>
              <w:rPr>
                <w:rFonts w:ascii="宋体" w:hAnsi="宋体" w:eastAsia="宋体" w:cs="宋体"/>
                <w:sz w:val="24"/>
                <w:szCs w:val="24"/>
                <w:highlight w:val="none"/>
              </w:rPr>
            </w:pPr>
          </w:p>
        </w:tc>
      </w:tr>
      <w:tr w14:paraId="795F8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2E1EBC3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22</w:t>
            </w:r>
          </w:p>
        </w:tc>
        <w:tc>
          <w:tcPr>
            <w:tcW w:w="0" w:type="auto"/>
            <w:shd w:val="clear" w:color="auto" w:fill="auto"/>
            <w:vAlign w:val="center"/>
          </w:tcPr>
          <w:p w14:paraId="7B9D47E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心的外形和血管高仿真模型</w:t>
            </w:r>
          </w:p>
        </w:tc>
        <w:tc>
          <w:tcPr>
            <w:tcW w:w="0" w:type="auto"/>
            <w:shd w:val="clear" w:color="auto" w:fill="auto"/>
            <w:vAlign w:val="center"/>
          </w:tcPr>
          <w:p w14:paraId="12BFFF03">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0B39EA20">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2、功能说明：主动脉弓、左锁骨下动脉、左颈总动脉、头臂干、左冠状动脉、右冠状动脉、右心耳、上腔静脉、肺动脉干、左心耳、心大静脉、心小静脉等结构。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6E873286">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w:t>
            </w:r>
            <w:r>
              <w:rPr>
                <w:rFonts w:hint="default" w:ascii="Times New Roman" w:hAnsi="Times New Roman" w:eastAsia="宋体" w:cs="Times New Roman"/>
                <w:color w:val="auto"/>
                <w:kern w:val="0"/>
                <w:szCs w:val="21"/>
                <w:highlight w:val="none"/>
                <w:lang w:val="en-US" w:eastAsia="zh-CN" w:bidi="ar"/>
              </w:rPr>
              <w:t>心的外形和血管</w:t>
            </w:r>
            <w:r>
              <w:rPr>
                <w:rFonts w:hint="default" w:ascii="Times New Roman" w:hAnsi="Times New Roman" w:eastAsia="宋体" w:cs="Times New Roman"/>
                <w:color w:val="auto"/>
                <w:kern w:val="0"/>
                <w:szCs w:val="21"/>
                <w:highlight w:val="none"/>
                <w:lang w:bidi="ar"/>
              </w:rPr>
              <w:t>高仿真模型二维码扫描 3D 查询步骤的截图证明）</w:t>
            </w:r>
          </w:p>
        </w:tc>
        <w:tc>
          <w:tcPr>
            <w:tcW w:w="0" w:type="auto"/>
            <w:shd w:val="clear" w:color="auto" w:fill="auto"/>
            <w:vAlign w:val="center"/>
          </w:tcPr>
          <w:p w14:paraId="6985B02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39CB213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12BC32DC">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3CDEC109">
            <w:pPr>
              <w:rPr>
                <w:rFonts w:ascii="宋体" w:hAnsi="宋体" w:eastAsia="宋体" w:cs="宋体"/>
                <w:sz w:val="24"/>
                <w:szCs w:val="24"/>
                <w:highlight w:val="none"/>
              </w:rPr>
            </w:pPr>
          </w:p>
        </w:tc>
      </w:tr>
      <w:tr w14:paraId="69FF0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4D3DDCC2">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23</w:t>
            </w:r>
          </w:p>
        </w:tc>
        <w:tc>
          <w:tcPr>
            <w:tcW w:w="0" w:type="auto"/>
            <w:shd w:val="clear" w:color="auto" w:fill="auto"/>
            <w:vAlign w:val="center"/>
          </w:tcPr>
          <w:p w14:paraId="521C9D3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心腔结构高仿真模型</w:t>
            </w:r>
          </w:p>
        </w:tc>
        <w:tc>
          <w:tcPr>
            <w:tcW w:w="0" w:type="auto"/>
            <w:shd w:val="clear" w:color="auto" w:fill="auto"/>
            <w:vAlign w:val="center"/>
          </w:tcPr>
          <w:p w14:paraId="068B98EB">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32884A6B">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2、功能说明：主动脉弓、上腔静脉、右心耳、卵圆窝、下腔静脉、左心耳、动脉圆锥、二尖瓣、腱索、前乳头肌、主动脉瓣、右房室瓣、肺动脉瓣等结构。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74A1AF83">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w:t>
            </w:r>
            <w:r>
              <w:rPr>
                <w:rFonts w:hint="default" w:ascii="Times New Roman" w:hAnsi="Times New Roman" w:eastAsia="宋体" w:cs="Times New Roman"/>
                <w:color w:val="auto"/>
                <w:kern w:val="0"/>
                <w:szCs w:val="21"/>
                <w:highlight w:val="none"/>
                <w:lang w:val="en-US" w:eastAsia="zh-CN" w:bidi="ar"/>
              </w:rPr>
              <w:t>心腔结构</w:t>
            </w:r>
            <w:r>
              <w:rPr>
                <w:rFonts w:hint="default" w:ascii="Times New Roman" w:hAnsi="Times New Roman" w:eastAsia="宋体" w:cs="Times New Roman"/>
                <w:color w:val="auto"/>
                <w:kern w:val="0"/>
                <w:szCs w:val="21"/>
                <w:highlight w:val="none"/>
                <w:lang w:bidi="ar"/>
              </w:rPr>
              <w:t>高仿真模型二维码扫描 3D 查询步骤的截图证明）</w:t>
            </w:r>
          </w:p>
        </w:tc>
        <w:tc>
          <w:tcPr>
            <w:tcW w:w="0" w:type="auto"/>
            <w:shd w:val="clear" w:color="auto" w:fill="auto"/>
            <w:vAlign w:val="center"/>
          </w:tcPr>
          <w:p w14:paraId="0FD83A2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57AE9A2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0A42396">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038E3A68">
            <w:pPr>
              <w:rPr>
                <w:rFonts w:ascii="宋体" w:hAnsi="宋体" w:eastAsia="宋体" w:cs="宋体"/>
                <w:sz w:val="24"/>
                <w:szCs w:val="24"/>
                <w:highlight w:val="none"/>
              </w:rPr>
            </w:pPr>
          </w:p>
        </w:tc>
      </w:tr>
      <w:tr w14:paraId="140FD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6844C67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24</w:t>
            </w:r>
          </w:p>
        </w:tc>
        <w:tc>
          <w:tcPr>
            <w:tcW w:w="0" w:type="auto"/>
            <w:shd w:val="clear" w:color="auto" w:fill="auto"/>
            <w:vAlign w:val="center"/>
          </w:tcPr>
          <w:p w14:paraId="21B6F9B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手背浅静脉高仿真模型</w:t>
            </w:r>
          </w:p>
        </w:tc>
        <w:tc>
          <w:tcPr>
            <w:tcW w:w="0" w:type="auto"/>
            <w:shd w:val="clear" w:color="auto" w:fill="auto"/>
            <w:vAlign w:val="center"/>
          </w:tcPr>
          <w:p w14:paraId="6E60B6DD">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0A6FDCC8">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2、功能说明：手背静脉网、指背静脉、桡神经浅支、尺神经手背支等结构。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3BEEBDFD">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0A94C2E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119FF73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18BB3A79">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72149D29">
            <w:pPr>
              <w:rPr>
                <w:rFonts w:ascii="宋体" w:hAnsi="宋体" w:eastAsia="宋体" w:cs="宋体"/>
                <w:sz w:val="24"/>
                <w:szCs w:val="24"/>
                <w:highlight w:val="none"/>
              </w:rPr>
            </w:pPr>
          </w:p>
        </w:tc>
      </w:tr>
      <w:tr w14:paraId="3504D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16CE74E7">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25</w:t>
            </w:r>
          </w:p>
        </w:tc>
        <w:tc>
          <w:tcPr>
            <w:tcW w:w="0" w:type="auto"/>
            <w:shd w:val="clear" w:color="auto" w:fill="auto"/>
            <w:vAlign w:val="center"/>
          </w:tcPr>
          <w:p w14:paraId="236C3A9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足背静脉高仿真模型</w:t>
            </w:r>
          </w:p>
        </w:tc>
        <w:tc>
          <w:tcPr>
            <w:tcW w:w="0" w:type="auto"/>
            <w:shd w:val="clear" w:color="auto" w:fill="auto"/>
            <w:vAlign w:val="center"/>
          </w:tcPr>
          <w:p w14:paraId="5F891BA0">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377C6ACC">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2、功能说明：大隐静脉、足背静脉网等结构。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6B6CB694">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w:t>
            </w:r>
            <w:r>
              <w:rPr>
                <w:rFonts w:hint="default" w:ascii="Times New Roman" w:hAnsi="Times New Roman" w:eastAsia="宋体" w:cs="Times New Roman"/>
                <w:color w:val="auto"/>
                <w:kern w:val="0"/>
                <w:szCs w:val="21"/>
                <w:highlight w:val="none"/>
                <w:lang w:val="en-US" w:eastAsia="zh-CN" w:bidi="ar"/>
              </w:rPr>
              <w:t>足背静脉</w:t>
            </w:r>
            <w:r>
              <w:rPr>
                <w:rFonts w:hint="default" w:ascii="Times New Roman" w:hAnsi="Times New Roman" w:eastAsia="宋体" w:cs="Times New Roman"/>
                <w:color w:val="auto"/>
                <w:kern w:val="0"/>
                <w:szCs w:val="21"/>
                <w:highlight w:val="none"/>
                <w:lang w:bidi="ar"/>
              </w:rPr>
              <w:t>高仿真模型二维码扫描 3D 查询步骤的截图证明）</w:t>
            </w:r>
          </w:p>
        </w:tc>
        <w:tc>
          <w:tcPr>
            <w:tcW w:w="0" w:type="auto"/>
            <w:shd w:val="clear" w:color="auto" w:fill="auto"/>
            <w:vAlign w:val="center"/>
          </w:tcPr>
          <w:p w14:paraId="3958434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08812CB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136523D9">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54CE3F61">
            <w:pPr>
              <w:rPr>
                <w:rFonts w:ascii="宋体" w:hAnsi="宋体" w:eastAsia="宋体" w:cs="宋体"/>
                <w:sz w:val="24"/>
                <w:szCs w:val="24"/>
                <w:highlight w:val="none"/>
              </w:rPr>
            </w:pPr>
          </w:p>
        </w:tc>
      </w:tr>
      <w:tr w14:paraId="0D4CB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B6F949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26</w:t>
            </w:r>
          </w:p>
        </w:tc>
        <w:tc>
          <w:tcPr>
            <w:tcW w:w="0" w:type="auto"/>
            <w:shd w:val="clear" w:color="auto" w:fill="auto"/>
            <w:vAlign w:val="center"/>
          </w:tcPr>
          <w:p w14:paraId="09AF6B3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眼眶内结构高仿真模型</w:t>
            </w:r>
          </w:p>
        </w:tc>
        <w:tc>
          <w:tcPr>
            <w:tcW w:w="0" w:type="auto"/>
            <w:shd w:val="clear" w:color="auto" w:fill="auto"/>
            <w:vAlign w:val="center"/>
          </w:tcPr>
          <w:p w14:paraId="5F6CA72D">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015F2587">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2、功能说明：眼球，上直肌，下直肌，外直肌，内直肌，上斜肌，上睑提肌，泪腺动脉，泪腺神经，额神经，视神经，睫状神经节，动眼神经，鼻睫神经，眼动脉，下斜肌等结构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5FE8D784">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64849BD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47BF152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FBC3D8D">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6C077191">
            <w:pPr>
              <w:rPr>
                <w:rFonts w:ascii="宋体" w:hAnsi="宋体" w:eastAsia="宋体" w:cs="宋体"/>
                <w:sz w:val="24"/>
                <w:szCs w:val="24"/>
                <w:highlight w:val="none"/>
              </w:rPr>
            </w:pPr>
          </w:p>
        </w:tc>
      </w:tr>
      <w:tr w14:paraId="412AE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0D14CE3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27</w:t>
            </w:r>
          </w:p>
        </w:tc>
        <w:tc>
          <w:tcPr>
            <w:tcW w:w="0" w:type="auto"/>
            <w:shd w:val="clear" w:color="auto" w:fill="auto"/>
            <w:vAlign w:val="center"/>
          </w:tcPr>
          <w:p w14:paraId="69303E72">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泪器高仿真模型</w:t>
            </w:r>
          </w:p>
        </w:tc>
        <w:tc>
          <w:tcPr>
            <w:tcW w:w="0" w:type="auto"/>
            <w:shd w:val="clear" w:color="auto" w:fill="auto"/>
            <w:vAlign w:val="center"/>
          </w:tcPr>
          <w:p w14:paraId="02623F65">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7BB1B43B">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2、功能说明：泪腺、泪囊、泪小点、泪小管、鼻泪管等结构。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68C803DB">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w:t>
            </w:r>
            <w:r>
              <w:rPr>
                <w:rFonts w:hint="default" w:ascii="Times New Roman" w:hAnsi="Times New Roman" w:eastAsia="宋体" w:cs="Times New Roman"/>
                <w:color w:val="auto"/>
                <w:kern w:val="0"/>
                <w:szCs w:val="21"/>
                <w:highlight w:val="none"/>
                <w:lang w:val="en-US" w:eastAsia="zh-CN" w:bidi="ar"/>
              </w:rPr>
              <w:t>泪器</w:t>
            </w:r>
            <w:r>
              <w:rPr>
                <w:rFonts w:hint="default" w:ascii="Times New Roman" w:hAnsi="Times New Roman" w:eastAsia="宋体" w:cs="Times New Roman"/>
                <w:color w:val="auto"/>
                <w:kern w:val="0"/>
                <w:szCs w:val="21"/>
                <w:highlight w:val="none"/>
                <w:lang w:bidi="ar"/>
              </w:rPr>
              <w:t>高仿真模型二维码扫描 3D 查询步骤的截图证明）</w:t>
            </w:r>
          </w:p>
        </w:tc>
        <w:tc>
          <w:tcPr>
            <w:tcW w:w="0" w:type="auto"/>
            <w:shd w:val="clear" w:color="auto" w:fill="auto"/>
            <w:vAlign w:val="center"/>
          </w:tcPr>
          <w:p w14:paraId="6A07483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528B3EF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C18E555">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58753CB">
            <w:pPr>
              <w:rPr>
                <w:rFonts w:ascii="宋体" w:hAnsi="宋体" w:eastAsia="宋体" w:cs="宋体"/>
                <w:sz w:val="24"/>
                <w:szCs w:val="24"/>
                <w:highlight w:val="none"/>
              </w:rPr>
            </w:pPr>
          </w:p>
        </w:tc>
      </w:tr>
      <w:tr w14:paraId="49ECF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0F7D01B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28</w:t>
            </w:r>
          </w:p>
        </w:tc>
        <w:tc>
          <w:tcPr>
            <w:tcW w:w="0" w:type="auto"/>
            <w:shd w:val="clear" w:color="auto" w:fill="auto"/>
            <w:vAlign w:val="center"/>
          </w:tcPr>
          <w:p w14:paraId="6AD4CA9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眼外肌（外侧面）高仿真模型</w:t>
            </w:r>
          </w:p>
        </w:tc>
        <w:tc>
          <w:tcPr>
            <w:tcW w:w="0" w:type="auto"/>
            <w:shd w:val="clear" w:color="auto" w:fill="auto"/>
            <w:vAlign w:val="center"/>
          </w:tcPr>
          <w:p w14:paraId="29E88FE6">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22A50D60">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2、功能说明：上直肌、下直肌、内直肌、上斜肌、下斜肌等结构。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50D279AE">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148E0D9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76D3DC9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2A3AFC14">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C8770EE">
            <w:pPr>
              <w:rPr>
                <w:rFonts w:ascii="宋体" w:hAnsi="宋体" w:eastAsia="宋体" w:cs="宋体"/>
                <w:sz w:val="24"/>
                <w:szCs w:val="24"/>
                <w:highlight w:val="none"/>
              </w:rPr>
            </w:pPr>
          </w:p>
        </w:tc>
      </w:tr>
      <w:tr w14:paraId="14DFF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11CB80C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29</w:t>
            </w:r>
          </w:p>
        </w:tc>
        <w:tc>
          <w:tcPr>
            <w:tcW w:w="0" w:type="auto"/>
            <w:shd w:val="clear" w:color="auto" w:fill="auto"/>
            <w:vAlign w:val="center"/>
          </w:tcPr>
          <w:p w14:paraId="7BF85A9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前庭蜗器全貌高仿真模型</w:t>
            </w:r>
          </w:p>
        </w:tc>
        <w:tc>
          <w:tcPr>
            <w:tcW w:w="0" w:type="auto"/>
            <w:shd w:val="clear" w:color="auto" w:fill="auto"/>
            <w:vAlign w:val="center"/>
          </w:tcPr>
          <w:p w14:paraId="6EB6A71C">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4D33EAA0">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2、功能说明：外耳道、鼓膜、听小骨、骨半规管、耳蜗、咽鼓管等结构。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0D885455">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44BF71F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63D9EEE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05DEFB9E">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4EB0C1E2">
            <w:pPr>
              <w:rPr>
                <w:rFonts w:ascii="宋体" w:hAnsi="宋体" w:eastAsia="宋体" w:cs="宋体"/>
                <w:sz w:val="24"/>
                <w:szCs w:val="24"/>
                <w:highlight w:val="none"/>
              </w:rPr>
            </w:pPr>
          </w:p>
        </w:tc>
      </w:tr>
      <w:tr w14:paraId="5B0AD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6485835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30</w:t>
            </w:r>
          </w:p>
        </w:tc>
        <w:tc>
          <w:tcPr>
            <w:tcW w:w="0" w:type="auto"/>
            <w:shd w:val="clear" w:color="auto" w:fill="auto"/>
            <w:vAlign w:val="center"/>
          </w:tcPr>
          <w:p w14:paraId="14AE841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鼓室外侧壁高仿真模型</w:t>
            </w:r>
          </w:p>
        </w:tc>
        <w:tc>
          <w:tcPr>
            <w:tcW w:w="0" w:type="auto"/>
            <w:shd w:val="clear" w:color="auto" w:fill="auto"/>
            <w:vAlign w:val="center"/>
          </w:tcPr>
          <w:p w14:paraId="07127CA6">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7DE476A8">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2、功能说明：外耳门，外耳道、鼓膜、听小骨等结构。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42F20FE6">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5101517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1E13F157">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93A0A0D">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A1CAD25">
            <w:pPr>
              <w:rPr>
                <w:rFonts w:ascii="宋体" w:hAnsi="宋体" w:eastAsia="宋体" w:cs="宋体"/>
                <w:sz w:val="24"/>
                <w:szCs w:val="24"/>
                <w:highlight w:val="none"/>
              </w:rPr>
            </w:pPr>
          </w:p>
        </w:tc>
      </w:tr>
      <w:tr w14:paraId="0F0C7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48B1621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31</w:t>
            </w:r>
          </w:p>
        </w:tc>
        <w:tc>
          <w:tcPr>
            <w:tcW w:w="0" w:type="auto"/>
            <w:shd w:val="clear" w:color="auto" w:fill="auto"/>
            <w:vAlign w:val="center"/>
          </w:tcPr>
          <w:p w14:paraId="32AB94D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鼓室内侧壁高仿真模型</w:t>
            </w:r>
          </w:p>
        </w:tc>
        <w:tc>
          <w:tcPr>
            <w:tcW w:w="0" w:type="auto"/>
            <w:shd w:val="clear" w:color="auto" w:fill="auto"/>
            <w:vAlign w:val="center"/>
          </w:tcPr>
          <w:p w14:paraId="0F0464D9">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1861DF89">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2、功能说明：外耳道、前庭窗、蜗窗等结构。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381D54A3">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6A4C2C1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4007256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548A6DC7">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717EC06F">
            <w:pPr>
              <w:rPr>
                <w:rFonts w:ascii="宋体" w:hAnsi="宋体" w:eastAsia="宋体" w:cs="宋体"/>
                <w:sz w:val="24"/>
                <w:szCs w:val="24"/>
                <w:highlight w:val="none"/>
              </w:rPr>
            </w:pPr>
          </w:p>
        </w:tc>
      </w:tr>
      <w:tr w14:paraId="234F2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6CF3F04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32</w:t>
            </w:r>
          </w:p>
        </w:tc>
        <w:tc>
          <w:tcPr>
            <w:tcW w:w="0" w:type="auto"/>
            <w:shd w:val="clear" w:color="auto" w:fill="auto"/>
            <w:vAlign w:val="center"/>
          </w:tcPr>
          <w:p w14:paraId="1246D32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听小骨高仿真模型</w:t>
            </w:r>
          </w:p>
        </w:tc>
        <w:tc>
          <w:tcPr>
            <w:tcW w:w="0" w:type="auto"/>
            <w:shd w:val="clear" w:color="auto" w:fill="auto"/>
            <w:vAlign w:val="center"/>
          </w:tcPr>
          <w:p w14:paraId="33F2B6DC">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259FF492">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2、功能说明：锤骨、砧骨、镫骨的形态特征等结构。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41B7D618">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2C4AE07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3E8DBE8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6F922B77">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F9C8C0B">
            <w:pPr>
              <w:rPr>
                <w:rFonts w:ascii="宋体" w:hAnsi="宋体" w:eastAsia="宋体" w:cs="宋体"/>
                <w:sz w:val="24"/>
                <w:szCs w:val="24"/>
                <w:highlight w:val="none"/>
              </w:rPr>
            </w:pPr>
          </w:p>
        </w:tc>
      </w:tr>
      <w:tr w14:paraId="1E1C0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B94BF8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33</w:t>
            </w:r>
          </w:p>
        </w:tc>
        <w:tc>
          <w:tcPr>
            <w:tcW w:w="0" w:type="auto"/>
            <w:shd w:val="clear" w:color="auto" w:fill="auto"/>
            <w:vAlign w:val="center"/>
          </w:tcPr>
          <w:p w14:paraId="56B4F64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脊髓位置（段）高仿真模型</w:t>
            </w:r>
          </w:p>
        </w:tc>
        <w:tc>
          <w:tcPr>
            <w:tcW w:w="0" w:type="auto"/>
            <w:shd w:val="clear" w:color="auto" w:fill="auto"/>
            <w:vAlign w:val="center"/>
          </w:tcPr>
          <w:p w14:paraId="6A3497A4">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7145D136">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2、功能说明：脊髓、硬脊膜、脊神经节、肋间神经、肋骨等结构。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248A8328">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32F85DC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77E56AB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7737D6B">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7B369FAA">
            <w:pPr>
              <w:rPr>
                <w:rFonts w:ascii="宋体" w:hAnsi="宋体" w:eastAsia="宋体" w:cs="宋体"/>
                <w:sz w:val="24"/>
                <w:szCs w:val="24"/>
                <w:highlight w:val="none"/>
              </w:rPr>
            </w:pPr>
          </w:p>
        </w:tc>
      </w:tr>
      <w:tr w14:paraId="547BB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29ECEF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34</w:t>
            </w:r>
          </w:p>
        </w:tc>
        <w:tc>
          <w:tcPr>
            <w:tcW w:w="0" w:type="auto"/>
            <w:shd w:val="clear" w:color="auto" w:fill="auto"/>
            <w:vAlign w:val="center"/>
          </w:tcPr>
          <w:p w14:paraId="0D40C12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脑外形高仿真模型</w:t>
            </w:r>
          </w:p>
        </w:tc>
        <w:tc>
          <w:tcPr>
            <w:tcW w:w="0" w:type="auto"/>
            <w:shd w:val="clear" w:color="auto" w:fill="auto"/>
            <w:vAlign w:val="center"/>
          </w:tcPr>
          <w:p w14:paraId="19AE3BBE">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29AB7EAA">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2、功能说明：脑的回，叶，沟结构。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721FC6A3">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查询，手机扫描二维码查看同类型的三维图像，自由放大缩小、任意角度旋转，重点结构中文标识。（需提供</w:t>
            </w:r>
            <w:r>
              <w:rPr>
                <w:rFonts w:hint="default" w:ascii="Times New Roman" w:hAnsi="Times New Roman" w:eastAsia="宋体" w:cs="Times New Roman"/>
                <w:color w:val="auto"/>
                <w:kern w:val="0"/>
                <w:szCs w:val="21"/>
                <w:highlight w:val="none"/>
                <w:lang w:val="en-US" w:eastAsia="zh-CN" w:bidi="ar"/>
              </w:rPr>
              <w:t>脑外形</w:t>
            </w:r>
            <w:r>
              <w:rPr>
                <w:rFonts w:hint="default" w:ascii="Times New Roman" w:hAnsi="Times New Roman" w:eastAsia="宋体" w:cs="Times New Roman"/>
                <w:color w:val="auto"/>
                <w:kern w:val="0"/>
                <w:szCs w:val="21"/>
                <w:highlight w:val="none"/>
                <w:lang w:bidi="ar"/>
              </w:rPr>
              <w:t>高仿真模型二维码扫描 3D 查询步骤的截图证明）</w:t>
            </w:r>
          </w:p>
        </w:tc>
        <w:tc>
          <w:tcPr>
            <w:tcW w:w="0" w:type="auto"/>
            <w:shd w:val="clear" w:color="auto" w:fill="auto"/>
            <w:vAlign w:val="center"/>
          </w:tcPr>
          <w:p w14:paraId="54F61E0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6C2FB84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71A574F4">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E9D44E2">
            <w:pPr>
              <w:rPr>
                <w:rFonts w:ascii="宋体" w:hAnsi="宋体" w:eastAsia="宋体" w:cs="宋体"/>
                <w:sz w:val="24"/>
                <w:szCs w:val="24"/>
                <w:highlight w:val="none"/>
              </w:rPr>
            </w:pPr>
          </w:p>
        </w:tc>
      </w:tr>
      <w:tr w14:paraId="67798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42AEF0E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35</w:t>
            </w:r>
          </w:p>
        </w:tc>
        <w:tc>
          <w:tcPr>
            <w:tcW w:w="0" w:type="auto"/>
            <w:shd w:val="clear" w:color="auto" w:fill="auto"/>
            <w:vAlign w:val="center"/>
          </w:tcPr>
          <w:p w14:paraId="0B29D6C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脊神经组成高仿真模型</w:t>
            </w:r>
          </w:p>
        </w:tc>
        <w:tc>
          <w:tcPr>
            <w:tcW w:w="0" w:type="auto"/>
            <w:shd w:val="clear" w:color="auto" w:fill="auto"/>
            <w:vAlign w:val="center"/>
          </w:tcPr>
          <w:p w14:paraId="05A89EAB">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1、参考资料：国家正规出版社出版的相关教材或图谱制作，如天津科学技术出版社的《中华人体解剖学彩色图谱》、本科《局部解剖学》教材、《系统解剖学》教材等制作。</w:t>
            </w:r>
          </w:p>
          <w:p w14:paraId="0E9AAE21">
            <w:pPr>
              <w:widowControl/>
              <w:jc w:val="left"/>
              <w:textAlignment w:val="center"/>
              <w:rPr>
                <w:rFonts w:hint="default" w:ascii="Times New Roman" w:hAnsi="Times New Roman" w:eastAsia="宋体" w:cs="Times New Roman"/>
                <w:color w:val="auto"/>
                <w:kern w:val="0"/>
                <w:szCs w:val="21"/>
                <w:highlight w:val="none"/>
                <w:lang w:bidi="ar"/>
              </w:rPr>
            </w:pPr>
            <w:r>
              <w:rPr>
                <w:rFonts w:hint="default" w:ascii="Times New Roman" w:hAnsi="Times New Roman" w:eastAsia="宋体" w:cs="Times New Roman"/>
                <w:color w:val="auto"/>
                <w:kern w:val="0"/>
                <w:szCs w:val="21"/>
                <w:highlight w:val="none"/>
                <w:lang w:bidi="ar"/>
              </w:rPr>
              <w:t>2、功能说明：脊髓、脊神经节、后根、前根、肋间神经等结构。</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3、需采用优质材料制作，高仿真工艺制作，与实物近似度≥90％。</w:t>
            </w:r>
          </w:p>
          <w:p w14:paraId="530C395E">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★4、配备二维码扫描 3D 查询，手机扫描二维码查看同类型的三维图像，自由放大缩小、任意角度旋转，重点结构中文标识。</w:t>
            </w:r>
          </w:p>
        </w:tc>
        <w:tc>
          <w:tcPr>
            <w:tcW w:w="0" w:type="auto"/>
            <w:shd w:val="clear" w:color="auto" w:fill="auto"/>
            <w:vAlign w:val="center"/>
          </w:tcPr>
          <w:p w14:paraId="38D560C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1DFD02E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795D3C00">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35A7D144">
            <w:pPr>
              <w:rPr>
                <w:rFonts w:ascii="宋体" w:hAnsi="宋体" w:eastAsia="宋体" w:cs="宋体"/>
                <w:sz w:val="24"/>
                <w:szCs w:val="24"/>
                <w:highlight w:val="none"/>
              </w:rPr>
            </w:pPr>
          </w:p>
        </w:tc>
      </w:tr>
      <w:tr w14:paraId="27705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2537B91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36</w:t>
            </w:r>
          </w:p>
        </w:tc>
        <w:tc>
          <w:tcPr>
            <w:tcW w:w="0" w:type="auto"/>
            <w:shd w:val="clear" w:color="auto" w:fill="auto"/>
            <w:vAlign w:val="center"/>
          </w:tcPr>
          <w:p w14:paraId="50902F0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骨架模型（男性）</w:t>
            </w:r>
          </w:p>
        </w:tc>
        <w:tc>
          <w:tcPr>
            <w:tcW w:w="0" w:type="auto"/>
            <w:shd w:val="clear" w:color="auto" w:fill="auto"/>
            <w:vAlign w:val="center"/>
          </w:tcPr>
          <w:p w14:paraId="4BEA6E18">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1、尺寸：自然大，高1730（mm）；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2、部件：由男性全身散骨串制而成一整体骨架；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男性全身骨骼的组成和形态外观，其中四肢骨可以灵活组合，头颅骨和灵活组装，固定在支架上，带底座，可灵活移动；</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4、材质：环保PVC材料，环保油漆，五金配件为不锈钢材料和金属电镀外观，塑料底座，纸箱包装。</w:t>
            </w:r>
          </w:p>
        </w:tc>
        <w:tc>
          <w:tcPr>
            <w:tcW w:w="0" w:type="auto"/>
            <w:shd w:val="clear" w:color="auto" w:fill="auto"/>
            <w:vAlign w:val="center"/>
          </w:tcPr>
          <w:p w14:paraId="09CCD47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1752711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0A9B2BCA">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6901A8A">
            <w:pPr>
              <w:rPr>
                <w:rFonts w:ascii="宋体" w:hAnsi="宋体" w:eastAsia="宋体" w:cs="宋体"/>
                <w:sz w:val="24"/>
                <w:szCs w:val="24"/>
                <w:highlight w:val="none"/>
              </w:rPr>
            </w:pPr>
          </w:p>
        </w:tc>
      </w:tr>
      <w:tr w14:paraId="017D1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6ED99A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37</w:t>
            </w:r>
          </w:p>
        </w:tc>
        <w:tc>
          <w:tcPr>
            <w:tcW w:w="0" w:type="auto"/>
            <w:shd w:val="clear" w:color="auto" w:fill="auto"/>
            <w:vAlign w:val="center"/>
          </w:tcPr>
          <w:p w14:paraId="79437ED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骨架模型（女性）</w:t>
            </w:r>
          </w:p>
        </w:tc>
        <w:tc>
          <w:tcPr>
            <w:tcW w:w="0" w:type="auto"/>
            <w:shd w:val="clear" w:color="auto" w:fill="auto"/>
            <w:vAlign w:val="center"/>
          </w:tcPr>
          <w:p w14:paraId="6A5F3E65">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1、尺寸：自然大，高1650（mm）；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2、部件：由女性全身散骨串制而成一整体骨架；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女性全身骨骼的组成和形态外观，其中四肢骨可以灵活组合，头颅骨和灵活组装，固定在支架上，带底座，可灵活移动；</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4、材质：环保PVC材料，环保油漆，五金配件为不锈钢材料和金属电镀外观，塑料底座，纸箱包装。</w:t>
            </w:r>
          </w:p>
        </w:tc>
        <w:tc>
          <w:tcPr>
            <w:tcW w:w="0" w:type="auto"/>
            <w:shd w:val="clear" w:color="auto" w:fill="auto"/>
            <w:vAlign w:val="center"/>
          </w:tcPr>
          <w:p w14:paraId="1758300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5CB1771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2ACF45F">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55D4432B">
            <w:pPr>
              <w:rPr>
                <w:rFonts w:ascii="宋体" w:hAnsi="宋体" w:eastAsia="宋体" w:cs="宋体"/>
                <w:sz w:val="24"/>
                <w:szCs w:val="24"/>
                <w:highlight w:val="none"/>
              </w:rPr>
            </w:pPr>
          </w:p>
        </w:tc>
      </w:tr>
      <w:tr w14:paraId="18157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7FEED6D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38</w:t>
            </w:r>
          </w:p>
        </w:tc>
        <w:tc>
          <w:tcPr>
            <w:tcW w:w="0" w:type="auto"/>
            <w:shd w:val="clear" w:color="auto" w:fill="auto"/>
            <w:vAlign w:val="center"/>
          </w:tcPr>
          <w:p w14:paraId="059111A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彩色颅骨模型</w:t>
            </w:r>
          </w:p>
        </w:tc>
        <w:tc>
          <w:tcPr>
            <w:tcW w:w="0" w:type="auto"/>
            <w:shd w:val="clear" w:color="auto" w:fill="auto"/>
            <w:vAlign w:val="center"/>
          </w:tcPr>
          <w:p w14:paraId="76421114">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2、部件：22部件，由各部分颅骨组合而成；</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显示可分解、可组合的22部件颅骨形态结构，用不同颜色说明22部分颅骨的名称；</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w:t>
            </w:r>
          </w:p>
        </w:tc>
        <w:tc>
          <w:tcPr>
            <w:tcW w:w="0" w:type="auto"/>
            <w:shd w:val="clear" w:color="auto" w:fill="auto"/>
            <w:vAlign w:val="center"/>
          </w:tcPr>
          <w:p w14:paraId="763DCC1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3040730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6B751C8D">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F920FEC">
            <w:pPr>
              <w:rPr>
                <w:rFonts w:ascii="宋体" w:hAnsi="宋体" w:eastAsia="宋体" w:cs="宋体"/>
                <w:sz w:val="24"/>
                <w:szCs w:val="24"/>
                <w:highlight w:val="none"/>
              </w:rPr>
            </w:pPr>
          </w:p>
        </w:tc>
      </w:tr>
      <w:tr w14:paraId="4BB56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7EFFEA0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39</w:t>
            </w:r>
          </w:p>
        </w:tc>
        <w:tc>
          <w:tcPr>
            <w:tcW w:w="0" w:type="auto"/>
            <w:shd w:val="clear" w:color="auto" w:fill="auto"/>
            <w:vAlign w:val="center"/>
          </w:tcPr>
          <w:p w14:paraId="341441F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男性骨盆模型</w:t>
            </w:r>
          </w:p>
        </w:tc>
        <w:tc>
          <w:tcPr>
            <w:tcW w:w="0" w:type="auto"/>
            <w:shd w:val="clear" w:color="auto" w:fill="auto"/>
            <w:vAlign w:val="center"/>
          </w:tcPr>
          <w:p w14:paraId="3425174A">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2、部件：1部件，由左右髋骨和骶骨尾骨及耻骨联合组成；</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正常人体男性骨盆的组成、形态和结构特征；</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w:t>
            </w:r>
          </w:p>
        </w:tc>
        <w:tc>
          <w:tcPr>
            <w:tcW w:w="0" w:type="auto"/>
            <w:shd w:val="clear" w:color="auto" w:fill="auto"/>
            <w:vAlign w:val="center"/>
          </w:tcPr>
          <w:p w14:paraId="7152B7A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2933953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1E433DDC">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BE0804C">
            <w:pPr>
              <w:rPr>
                <w:rFonts w:ascii="宋体" w:hAnsi="宋体" w:eastAsia="宋体" w:cs="宋体"/>
                <w:sz w:val="24"/>
                <w:szCs w:val="24"/>
                <w:highlight w:val="none"/>
              </w:rPr>
            </w:pPr>
          </w:p>
        </w:tc>
      </w:tr>
      <w:tr w14:paraId="3D1BF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BB7345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40</w:t>
            </w:r>
          </w:p>
        </w:tc>
        <w:tc>
          <w:tcPr>
            <w:tcW w:w="0" w:type="auto"/>
            <w:shd w:val="clear" w:color="auto" w:fill="auto"/>
            <w:vAlign w:val="center"/>
          </w:tcPr>
          <w:p w14:paraId="0262F6E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女性骨盆模型</w:t>
            </w:r>
          </w:p>
        </w:tc>
        <w:tc>
          <w:tcPr>
            <w:tcW w:w="0" w:type="auto"/>
            <w:shd w:val="clear" w:color="auto" w:fill="auto"/>
            <w:vAlign w:val="center"/>
          </w:tcPr>
          <w:p w14:paraId="708614B5">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2、部件：1部件，由左右髋骨和骶骨尾骨及耻骨联合组成；</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正常人体女性骨盆的组成、形态和结构特征；</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w:t>
            </w:r>
          </w:p>
        </w:tc>
        <w:tc>
          <w:tcPr>
            <w:tcW w:w="0" w:type="auto"/>
            <w:shd w:val="clear" w:color="auto" w:fill="auto"/>
            <w:vAlign w:val="center"/>
          </w:tcPr>
          <w:p w14:paraId="7E29DC8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38E8D60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70A58100">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715D5B2">
            <w:pPr>
              <w:rPr>
                <w:rFonts w:ascii="宋体" w:hAnsi="宋体" w:eastAsia="宋体" w:cs="宋体"/>
                <w:sz w:val="24"/>
                <w:szCs w:val="24"/>
                <w:highlight w:val="none"/>
              </w:rPr>
            </w:pPr>
          </w:p>
        </w:tc>
      </w:tr>
      <w:tr w14:paraId="534C9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16D6725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41</w:t>
            </w:r>
          </w:p>
        </w:tc>
        <w:tc>
          <w:tcPr>
            <w:tcW w:w="0" w:type="auto"/>
            <w:shd w:val="clear" w:color="auto" w:fill="auto"/>
            <w:vAlign w:val="center"/>
          </w:tcPr>
          <w:p w14:paraId="0260C07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肩关节模型</w:t>
            </w:r>
          </w:p>
        </w:tc>
        <w:tc>
          <w:tcPr>
            <w:tcW w:w="0" w:type="auto"/>
            <w:shd w:val="clear" w:color="auto" w:fill="auto"/>
            <w:vAlign w:val="center"/>
          </w:tcPr>
          <w:p w14:paraId="0CA12041">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1、尺寸：自然大，170×170×160（mm）；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2、部件：1部件，由肩胛骨和肱骨上段和韧带组成；</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正常肩关节的组成和形态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4、材质：环保PVC材料，环保油漆，五金配件为不锈钢材料和金属电镀外观，塑料底座。</w:t>
            </w:r>
          </w:p>
        </w:tc>
        <w:tc>
          <w:tcPr>
            <w:tcW w:w="0" w:type="auto"/>
            <w:shd w:val="clear" w:color="auto" w:fill="auto"/>
            <w:vAlign w:val="center"/>
          </w:tcPr>
          <w:p w14:paraId="2B4401C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3FC4B45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0678F649">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73217770">
            <w:pPr>
              <w:rPr>
                <w:rFonts w:ascii="宋体" w:hAnsi="宋体" w:eastAsia="宋体" w:cs="宋体"/>
                <w:sz w:val="24"/>
                <w:szCs w:val="24"/>
                <w:highlight w:val="none"/>
              </w:rPr>
            </w:pPr>
          </w:p>
        </w:tc>
      </w:tr>
      <w:tr w14:paraId="26225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512ECB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42</w:t>
            </w:r>
          </w:p>
        </w:tc>
        <w:tc>
          <w:tcPr>
            <w:tcW w:w="0" w:type="auto"/>
            <w:shd w:val="clear" w:color="auto" w:fill="auto"/>
            <w:vAlign w:val="center"/>
          </w:tcPr>
          <w:p w14:paraId="36CCC77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肘关节模型</w:t>
            </w:r>
          </w:p>
        </w:tc>
        <w:tc>
          <w:tcPr>
            <w:tcW w:w="0" w:type="auto"/>
            <w:shd w:val="clear" w:color="auto" w:fill="auto"/>
            <w:vAlign w:val="center"/>
          </w:tcPr>
          <w:p w14:paraId="4F4BB1AA">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1、尺寸：自然大，720×190×120（mm）；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2、部件：1部件，由发泡制作的骨骼肌和上肢串制而成；</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骨骼肌附着在上肢上，模型固定在基板支架上，显示肌肉的结构（肌肉分为肌腹和肌腱）。可以观察肌肉附着在骨骼上的起点和止点，同时可见跨过肘关节等形态结构特点。可演示屈肌（肱二头肌）和伸肌（肱三头肌）的相互拮抗作用；</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w:t>
            </w:r>
          </w:p>
        </w:tc>
        <w:tc>
          <w:tcPr>
            <w:tcW w:w="0" w:type="auto"/>
            <w:shd w:val="clear" w:color="auto" w:fill="auto"/>
            <w:vAlign w:val="center"/>
          </w:tcPr>
          <w:p w14:paraId="7794941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0F841082">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C4881E2">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4B550C4A">
            <w:pPr>
              <w:rPr>
                <w:rFonts w:ascii="宋体" w:hAnsi="宋体" w:eastAsia="宋体" w:cs="宋体"/>
                <w:sz w:val="24"/>
                <w:szCs w:val="24"/>
                <w:highlight w:val="none"/>
              </w:rPr>
            </w:pPr>
          </w:p>
        </w:tc>
      </w:tr>
      <w:tr w14:paraId="5C71A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764349E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43</w:t>
            </w:r>
          </w:p>
        </w:tc>
        <w:tc>
          <w:tcPr>
            <w:tcW w:w="0" w:type="auto"/>
            <w:shd w:val="clear" w:color="auto" w:fill="auto"/>
            <w:vAlign w:val="center"/>
          </w:tcPr>
          <w:p w14:paraId="658159E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手关节模型</w:t>
            </w:r>
          </w:p>
        </w:tc>
        <w:tc>
          <w:tcPr>
            <w:tcW w:w="0" w:type="auto"/>
            <w:shd w:val="clear" w:color="auto" w:fill="auto"/>
            <w:vAlign w:val="center"/>
          </w:tcPr>
          <w:p w14:paraId="1E80040D">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1、尺寸：自然大，180×230×25（mm）；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2、部件：1部件，固定在底座上；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手关节的剖面结构及形态；</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4、材质：环保PVC材料，环保油漆，五金配件为不锈钢材料和金属电镀外观，塑料底座。</w:t>
            </w:r>
          </w:p>
        </w:tc>
        <w:tc>
          <w:tcPr>
            <w:tcW w:w="0" w:type="auto"/>
            <w:shd w:val="clear" w:color="auto" w:fill="auto"/>
            <w:vAlign w:val="center"/>
          </w:tcPr>
          <w:p w14:paraId="0675EDC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3697387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A09AA98">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4A1A46F">
            <w:pPr>
              <w:rPr>
                <w:rFonts w:ascii="宋体" w:hAnsi="宋体" w:eastAsia="宋体" w:cs="宋体"/>
                <w:sz w:val="24"/>
                <w:szCs w:val="24"/>
                <w:highlight w:val="none"/>
              </w:rPr>
            </w:pPr>
          </w:p>
        </w:tc>
      </w:tr>
      <w:tr w14:paraId="766D9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D7C48A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44</w:t>
            </w:r>
          </w:p>
        </w:tc>
        <w:tc>
          <w:tcPr>
            <w:tcW w:w="0" w:type="auto"/>
            <w:shd w:val="clear" w:color="auto" w:fill="auto"/>
            <w:vAlign w:val="center"/>
          </w:tcPr>
          <w:p w14:paraId="461D6D8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髋关节模型</w:t>
            </w:r>
          </w:p>
        </w:tc>
        <w:tc>
          <w:tcPr>
            <w:tcW w:w="0" w:type="auto"/>
            <w:shd w:val="clear" w:color="auto" w:fill="auto"/>
            <w:vAlign w:val="center"/>
          </w:tcPr>
          <w:p w14:paraId="6A171614">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1、尺寸：自然大，175×150×200（mm）；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2、部件：1部件，由髋骨及骨骼上端及周围韧带组成；</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正常髋关节的组成和形态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4、材质：环保PVC材料，环保油漆，五金配件为不锈钢材料和金属电镀外观，塑料底座。</w:t>
            </w:r>
          </w:p>
        </w:tc>
        <w:tc>
          <w:tcPr>
            <w:tcW w:w="0" w:type="auto"/>
            <w:shd w:val="clear" w:color="auto" w:fill="auto"/>
            <w:vAlign w:val="center"/>
          </w:tcPr>
          <w:p w14:paraId="43C6F68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05DAFE4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2D62B2B1">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6B876664">
            <w:pPr>
              <w:rPr>
                <w:rFonts w:ascii="宋体" w:hAnsi="宋体" w:eastAsia="宋体" w:cs="宋体"/>
                <w:sz w:val="24"/>
                <w:szCs w:val="24"/>
                <w:highlight w:val="none"/>
              </w:rPr>
            </w:pPr>
          </w:p>
        </w:tc>
      </w:tr>
      <w:tr w14:paraId="29C3B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D6A6C8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45</w:t>
            </w:r>
          </w:p>
        </w:tc>
        <w:tc>
          <w:tcPr>
            <w:tcW w:w="0" w:type="auto"/>
            <w:shd w:val="clear" w:color="auto" w:fill="auto"/>
            <w:vAlign w:val="center"/>
          </w:tcPr>
          <w:p w14:paraId="388F0AC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膝关节模型</w:t>
            </w:r>
          </w:p>
        </w:tc>
        <w:tc>
          <w:tcPr>
            <w:tcW w:w="0" w:type="auto"/>
            <w:shd w:val="clear" w:color="auto" w:fill="auto"/>
            <w:vAlign w:val="center"/>
          </w:tcPr>
          <w:p w14:paraId="259EBC19">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1、尺寸：自然大，120×120×320（mm）；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2、部件：1部件，由股骨下端和胫腓骨上端及周围韧带组成；</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正常膝关节的组成和形态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4、材质：环保PVC材料，环保油漆，五金配件为不锈钢材料和金属电镀外观，塑料底座。</w:t>
            </w:r>
          </w:p>
        </w:tc>
        <w:tc>
          <w:tcPr>
            <w:tcW w:w="0" w:type="auto"/>
            <w:shd w:val="clear" w:color="auto" w:fill="auto"/>
            <w:vAlign w:val="center"/>
          </w:tcPr>
          <w:p w14:paraId="287121F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1E88727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1BD3010C">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01410DE6">
            <w:pPr>
              <w:rPr>
                <w:rFonts w:ascii="宋体" w:hAnsi="宋体" w:eastAsia="宋体" w:cs="宋体"/>
                <w:sz w:val="24"/>
                <w:szCs w:val="24"/>
                <w:highlight w:val="none"/>
              </w:rPr>
            </w:pPr>
          </w:p>
        </w:tc>
      </w:tr>
      <w:tr w14:paraId="31567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42A51D4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46</w:t>
            </w:r>
          </w:p>
        </w:tc>
        <w:tc>
          <w:tcPr>
            <w:tcW w:w="0" w:type="auto"/>
            <w:shd w:val="clear" w:color="auto" w:fill="auto"/>
            <w:vAlign w:val="center"/>
          </w:tcPr>
          <w:p w14:paraId="0CE86BE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足关节模型</w:t>
            </w:r>
          </w:p>
        </w:tc>
        <w:tc>
          <w:tcPr>
            <w:tcW w:w="0" w:type="auto"/>
            <w:shd w:val="clear" w:color="auto" w:fill="auto"/>
            <w:vAlign w:val="center"/>
          </w:tcPr>
          <w:p w14:paraId="3F9DECB9">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1、尺寸：自然大，180×230×25（mm）；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2、部件：1部件，固定在底座上；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足关节的剖面结构及形态；</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4、材质：环保PVC材料，环保油漆，五金配件为不锈钢材料和金属电镀外观，塑料底座。</w:t>
            </w:r>
          </w:p>
        </w:tc>
        <w:tc>
          <w:tcPr>
            <w:tcW w:w="0" w:type="auto"/>
            <w:shd w:val="clear" w:color="auto" w:fill="auto"/>
            <w:vAlign w:val="center"/>
          </w:tcPr>
          <w:p w14:paraId="04B6577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35275B22">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E5DBB3D">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7D4D136D">
            <w:pPr>
              <w:rPr>
                <w:rFonts w:ascii="宋体" w:hAnsi="宋体" w:eastAsia="宋体" w:cs="宋体"/>
                <w:sz w:val="24"/>
                <w:szCs w:val="24"/>
                <w:highlight w:val="none"/>
              </w:rPr>
            </w:pPr>
          </w:p>
        </w:tc>
      </w:tr>
      <w:tr w14:paraId="15A0B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4BC2E4A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47</w:t>
            </w:r>
          </w:p>
        </w:tc>
        <w:tc>
          <w:tcPr>
            <w:tcW w:w="0" w:type="auto"/>
            <w:shd w:val="clear" w:color="auto" w:fill="auto"/>
            <w:vAlign w:val="center"/>
          </w:tcPr>
          <w:p w14:paraId="0B12FA5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消化系统模型</w:t>
            </w:r>
          </w:p>
        </w:tc>
        <w:tc>
          <w:tcPr>
            <w:tcW w:w="0" w:type="auto"/>
            <w:shd w:val="clear" w:color="auto" w:fill="auto"/>
            <w:vAlign w:val="center"/>
          </w:tcPr>
          <w:p w14:paraId="6DA66B6F">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1、尺寸：放大，295×260×185（mm）；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2、部件：4部件，固定在底座上；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食管、胃、小肠、大肠4部位的精美组织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026AF2A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13C4230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0D75D732">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FC0ED9D">
            <w:pPr>
              <w:rPr>
                <w:rFonts w:ascii="宋体" w:hAnsi="宋体" w:eastAsia="宋体" w:cs="宋体"/>
                <w:sz w:val="24"/>
                <w:szCs w:val="24"/>
                <w:highlight w:val="none"/>
              </w:rPr>
            </w:pPr>
          </w:p>
        </w:tc>
      </w:tr>
      <w:tr w14:paraId="5AEEA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7ECB830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48</w:t>
            </w:r>
          </w:p>
        </w:tc>
        <w:tc>
          <w:tcPr>
            <w:tcW w:w="0" w:type="auto"/>
            <w:shd w:val="clear" w:color="auto" w:fill="auto"/>
            <w:vAlign w:val="center"/>
          </w:tcPr>
          <w:p w14:paraId="1B9855B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胃模型</w:t>
            </w:r>
          </w:p>
        </w:tc>
        <w:tc>
          <w:tcPr>
            <w:tcW w:w="0" w:type="auto"/>
            <w:shd w:val="clear" w:color="auto" w:fill="auto"/>
            <w:vAlign w:val="center"/>
          </w:tcPr>
          <w:p w14:paraId="4F767CAB">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1、尺寸：放大1.5倍，190×130×320（mm）；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2、部件：2部件；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作纵剖，显示：粘膜襞、幽门瓣、幽门括约肌、胃粘膜以及由食管向胃移行之粘膜等构造，区分为前壁、后壁、 胃小弯和胃大弯；</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w:t>
            </w:r>
          </w:p>
        </w:tc>
        <w:tc>
          <w:tcPr>
            <w:tcW w:w="0" w:type="auto"/>
            <w:shd w:val="clear" w:color="auto" w:fill="auto"/>
            <w:vAlign w:val="center"/>
          </w:tcPr>
          <w:p w14:paraId="693EC58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143FA8D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E342A46">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C9ED607">
            <w:pPr>
              <w:rPr>
                <w:rFonts w:ascii="宋体" w:hAnsi="宋体" w:eastAsia="宋体" w:cs="宋体"/>
                <w:sz w:val="24"/>
                <w:szCs w:val="24"/>
                <w:highlight w:val="none"/>
              </w:rPr>
            </w:pPr>
          </w:p>
        </w:tc>
      </w:tr>
      <w:tr w14:paraId="20FB9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06234A3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49</w:t>
            </w:r>
          </w:p>
        </w:tc>
        <w:tc>
          <w:tcPr>
            <w:tcW w:w="0" w:type="auto"/>
            <w:shd w:val="clear" w:color="auto" w:fill="auto"/>
            <w:vAlign w:val="center"/>
          </w:tcPr>
          <w:p w14:paraId="54C518C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透明肝脏模型</w:t>
            </w:r>
          </w:p>
        </w:tc>
        <w:tc>
          <w:tcPr>
            <w:tcW w:w="0" w:type="auto"/>
            <w:shd w:val="clear" w:color="auto" w:fill="auto"/>
            <w:vAlign w:val="center"/>
          </w:tcPr>
          <w:p w14:paraId="23B84B7C">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1、尺寸：自然大，220×135×125（mm）；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透明有机玻璃外形显示肝外形特征，白色标志显示肝脏分叶分段，内部分配肝内各管道系统，包括：肝动脉系统（红色）、门静脉系统（紫红色）、肝内胆管系统（绿色）、肝静脉系统（兰色），各管道系统均达三级分支，以显示与肝脏分叶，分段的关系；同时显示第一、二、三肝门的位置、内容，及经由第一肝门进出的肝动脉，门静脉和肝管及其分叉不的相互位置关系；</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w:t>
            </w:r>
          </w:p>
        </w:tc>
        <w:tc>
          <w:tcPr>
            <w:tcW w:w="0" w:type="auto"/>
            <w:shd w:val="clear" w:color="auto" w:fill="auto"/>
            <w:vAlign w:val="center"/>
          </w:tcPr>
          <w:p w14:paraId="19A67AB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0FEF0E1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2705FFA3">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0C638C41">
            <w:pPr>
              <w:rPr>
                <w:rFonts w:ascii="宋体" w:hAnsi="宋体" w:eastAsia="宋体" w:cs="宋体"/>
                <w:sz w:val="24"/>
                <w:szCs w:val="24"/>
                <w:highlight w:val="none"/>
              </w:rPr>
            </w:pPr>
          </w:p>
        </w:tc>
      </w:tr>
      <w:tr w14:paraId="04454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127D66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50</w:t>
            </w:r>
          </w:p>
        </w:tc>
        <w:tc>
          <w:tcPr>
            <w:tcW w:w="0" w:type="auto"/>
            <w:shd w:val="clear" w:color="auto" w:fill="auto"/>
            <w:vAlign w:val="center"/>
          </w:tcPr>
          <w:p w14:paraId="5496941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肝,胆,胰,十二指肠,胃切面模型</w:t>
            </w:r>
          </w:p>
        </w:tc>
        <w:tc>
          <w:tcPr>
            <w:tcW w:w="0" w:type="auto"/>
            <w:shd w:val="clear" w:color="auto" w:fill="auto"/>
            <w:vAlign w:val="center"/>
          </w:tcPr>
          <w:p w14:paraId="059CE4E0">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1、尺寸：230×180×60（mm）；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肝、胰、脾、十二指肠、胃的切面结构和形态；</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69DDC9B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0830BB0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54B815B1">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542C881">
            <w:pPr>
              <w:rPr>
                <w:rFonts w:ascii="宋体" w:hAnsi="宋体" w:eastAsia="宋体" w:cs="宋体"/>
                <w:sz w:val="24"/>
                <w:szCs w:val="24"/>
                <w:highlight w:val="none"/>
              </w:rPr>
            </w:pPr>
          </w:p>
        </w:tc>
      </w:tr>
      <w:tr w14:paraId="26584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67FEAEA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51</w:t>
            </w:r>
          </w:p>
        </w:tc>
        <w:tc>
          <w:tcPr>
            <w:tcW w:w="0" w:type="auto"/>
            <w:shd w:val="clear" w:color="auto" w:fill="auto"/>
            <w:vAlign w:val="center"/>
          </w:tcPr>
          <w:p w14:paraId="4B5BDFA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val="en-US" w:eastAsia="zh-CN" w:bidi="ar"/>
              </w:rPr>
              <w:t>空肠</w:t>
            </w:r>
            <w:r>
              <w:rPr>
                <w:rFonts w:hint="default" w:ascii="Times New Roman" w:hAnsi="Times New Roman" w:eastAsia="宋体" w:cs="Times New Roman"/>
                <w:color w:val="auto"/>
                <w:kern w:val="0"/>
                <w:szCs w:val="21"/>
                <w:highlight w:val="none"/>
                <w:lang w:bidi="ar"/>
              </w:rPr>
              <w:t>、</w:t>
            </w:r>
            <w:r>
              <w:rPr>
                <w:rFonts w:hint="default" w:ascii="Times New Roman" w:hAnsi="Times New Roman" w:eastAsia="宋体" w:cs="Times New Roman"/>
                <w:color w:val="auto"/>
                <w:kern w:val="0"/>
                <w:szCs w:val="21"/>
                <w:highlight w:val="none"/>
                <w:lang w:val="en-US" w:eastAsia="zh-CN" w:bidi="ar"/>
              </w:rPr>
              <w:t>回肠</w:t>
            </w:r>
            <w:r>
              <w:rPr>
                <w:rFonts w:hint="default" w:ascii="Times New Roman" w:hAnsi="Times New Roman" w:eastAsia="宋体" w:cs="Times New Roman"/>
                <w:color w:val="auto"/>
                <w:kern w:val="0"/>
                <w:szCs w:val="21"/>
                <w:highlight w:val="none"/>
                <w:lang w:bidi="ar"/>
              </w:rPr>
              <w:t>、结肠模型</w:t>
            </w:r>
          </w:p>
        </w:tc>
        <w:tc>
          <w:tcPr>
            <w:tcW w:w="0" w:type="auto"/>
            <w:shd w:val="clear" w:color="auto" w:fill="auto"/>
            <w:vAlign w:val="center"/>
          </w:tcPr>
          <w:p w14:paraId="6B938BDA">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1、尺寸：自然大，200×90×230（mm）；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2、部件：4部件；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显示结肠、空肠、回肠的形态结构及相互毗邻关系；</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w:t>
            </w:r>
          </w:p>
        </w:tc>
        <w:tc>
          <w:tcPr>
            <w:tcW w:w="0" w:type="auto"/>
            <w:shd w:val="clear" w:color="auto" w:fill="auto"/>
            <w:vAlign w:val="center"/>
          </w:tcPr>
          <w:p w14:paraId="1AF121D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2C65ACA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A1EEEC5">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72F681BC">
            <w:pPr>
              <w:rPr>
                <w:rFonts w:ascii="宋体" w:hAnsi="宋体" w:eastAsia="宋体" w:cs="宋体"/>
                <w:sz w:val="24"/>
                <w:szCs w:val="24"/>
                <w:highlight w:val="none"/>
              </w:rPr>
            </w:pPr>
          </w:p>
        </w:tc>
      </w:tr>
      <w:tr w14:paraId="3A0EA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20A5340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52</w:t>
            </w:r>
          </w:p>
        </w:tc>
        <w:tc>
          <w:tcPr>
            <w:tcW w:w="0" w:type="auto"/>
            <w:shd w:val="clear" w:color="auto" w:fill="auto"/>
            <w:vAlign w:val="center"/>
          </w:tcPr>
          <w:p w14:paraId="41F191D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回盲部解剖模型</w:t>
            </w:r>
          </w:p>
        </w:tc>
        <w:tc>
          <w:tcPr>
            <w:tcW w:w="0" w:type="auto"/>
            <w:shd w:val="clear" w:color="auto" w:fill="auto"/>
            <w:vAlign w:val="center"/>
          </w:tcPr>
          <w:p w14:paraId="3DD2A60F">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1、尺寸：250×230×70（mm）；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2、部件：1部件，固定在底座上；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显示结肠带、粘膜皱壁、结肠瓣、结肠袋、阑尾及阑尾开口、回盲结肠口、回肠回盲下襞、阑尾系膜、阑尾及肠系膜上动静脉和淋巴的形态结构与位置；</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7A807F4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6C99692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61B1FE6E">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8937C64">
            <w:pPr>
              <w:rPr>
                <w:rFonts w:ascii="宋体" w:hAnsi="宋体" w:eastAsia="宋体" w:cs="宋体"/>
                <w:sz w:val="24"/>
                <w:szCs w:val="24"/>
                <w:highlight w:val="none"/>
              </w:rPr>
            </w:pPr>
          </w:p>
        </w:tc>
      </w:tr>
      <w:tr w14:paraId="43072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0C139A7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53</w:t>
            </w:r>
          </w:p>
        </w:tc>
        <w:tc>
          <w:tcPr>
            <w:tcW w:w="0" w:type="auto"/>
            <w:shd w:val="clear" w:color="auto" w:fill="auto"/>
            <w:vAlign w:val="center"/>
          </w:tcPr>
          <w:p w14:paraId="2B58517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盲肠和阑尾模型</w:t>
            </w:r>
          </w:p>
        </w:tc>
        <w:tc>
          <w:tcPr>
            <w:tcW w:w="0" w:type="auto"/>
            <w:shd w:val="clear" w:color="auto" w:fill="auto"/>
            <w:vAlign w:val="center"/>
          </w:tcPr>
          <w:p w14:paraId="68954F4D">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1、尺寸：110×110×210（mm）；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回盲</w:t>
            </w:r>
            <w:r>
              <w:rPr>
                <w:rFonts w:hint="eastAsia"/>
                <w:lang w:val="en-US" w:eastAsia="zh-CN"/>
              </w:rPr>
              <w:t>部、</w:t>
            </w:r>
            <w:r>
              <w:rPr>
                <w:rFonts w:hint="default" w:ascii="Times New Roman" w:hAnsi="Times New Roman" w:eastAsia="宋体" w:cs="Times New Roman"/>
                <w:color w:val="auto"/>
                <w:kern w:val="0"/>
                <w:szCs w:val="21"/>
                <w:highlight w:val="none"/>
                <w:lang w:val="en-US" w:eastAsia="zh-CN" w:bidi="ar"/>
              </w:rPr>
              <w:t>盲肠和阑尾的形态结构；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2F398D5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18D8637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722861D7">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772C62B2">
            <w:pPr>
              <w:rPr>
                <w:rFonts w:ascii="宋体" w:hAnsi="宋体" w:eastAsia="宋体" w:cs="宋体"/>
                <w:sz w:val="24"/>
                <w:szCs w:val="24"/>
                <w:highlight w:val="none"/>
              </w:rPr>
            </w:pPr>
          </w:p>
        </w:tc>
      </w:tr>
      <w:tr w14:paraId="7F7B9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2BA2E7D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54</w:t>
            </w:r>
          </w:p>
        </w:tc>
        <w:tc>
          <w:tcPr>
            <w:tcW w:w="0" w:type="auto"/>
            <w:shd w:val="clear" w:color="auto" w:fill="auto"/>
            <w:vAlign w:val="center"/>
          </w:tcPr>
          <w:p w14:paraId="1EB4421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直肠和肛管放大模型</w:t>
            </w:r>
          </w:p>
        </w:tc>
        <w:tc>
          <w:tcPr>
            <w:tcW w:w="0" w:type="auto"/>
            <w:shd w:val="clear" w:color="auto" w:fill="auto"/>
            <w:vAlign w:val="center"/>
          </w:tcPr>
          <w:p w14:paraId="044B9D44">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1、尺寸：放大10倍，130×130×29（mm）；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2、部件：2部件；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可分为2部件（直肠和肛管模型以及肛门外括约肌），显示直肠和肛管的形态结构及其腔面内景，包括肛柱、肛瓣、肛窦、齿状线、肛梳、白线、肛提肌和肛门内、外括约肌等结构。显示直肠上、下静脉和肛静脉等；</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w:t>
            </w:r>
          </w:p>
        </w:tc>
        <w:tc>
          <w:tcPr>
            <w:tcW w:w="0" w:type="auto"/>
            <w:shd w:val="clear" w:color="auto" w:fill="auto"/>
            <w:vAlign w:val="center"/>
          </w:tcPr>
          <w:p w14:paraId="47E26A6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10A3B68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7B1355EF">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62D936A5">
            <w:pPr>
              <w:rPr>
                <w:rFonts w:ascii="宋体" w:hAnsi="宋体" w:eastAsia="宋体" w:cs="宋体"/>
                <w:sz w:val="24"/>
                <w:szCs w:val="24"/>
                <w:highlight w:val="none"/>
              </w:rPr>
            </w:pPr>
          </w:p>
        </w:tc>
      </w:tr>
      <w:tr w14:paraId="6ECF2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09DAA74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55</w:t>
            </w:r>
          </w:p>
        </w:tc>
        <w:tc>
          <w:tcPr>
            <w:tcW w:w="0" w:type="auto"/>
            <w:shd w:val="clear" w:color="auto" w:fill="auto"/>
            <w:vAlign w:val="center"/>
          </w:tcPr>
          <w:p w14:paraId="4047A77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唾液腺模型</w:t>
            </w:r>
          </w:p>
        </w:tc>
        <w:tc>
          <w:tcPr>
            <w:tcW w:w="0" w:type="auto"/>
            <w:shd w:val="clear" w:color="auto" w:fill="auto"/>
            <w:vAlign w:val="center"/>
          </w:tcPr>
          <w:p w14:paraId="709C58CD">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1、尺寸：自然大，230×180×40（mm）；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唾液腺的位置以及咽喉部的肌肉；</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64A03572">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0736B43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7B7B119A">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45D1A104">
            <w:pPr>
              <w:rPr>
                <w:rFonts w:ascii="宋体" w:hAnsi="宋体" w:eastAsia="宋体" w:cs="宋体"/>
                <w:sz w:val="24"/>
                <w:szCs w:val="24"/>
                <w:highlight w:val="none"/>
              </w:rPr>
            </w:pPr>
          </w:p>
        </w:tc>
      </w:tr>
      <w:tr w14:paraId="5A0A9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488A59D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56</w:t>
            </w:r>
          </w:p>
        </w:tc>
        <w:tc>
          <w:tcPr>
            <w:tcW w:w="0" w:type="auto"/>
            <w:shd w:val="clear" w:color="auto" w:fill="auto"/>
            <w:vAlign w:val="center"/>
          </w:tcPr>
          <w:p w14:paraId="7D749C2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呼吸系统模型</w:t>
            </w:r>
          </w:p>
        </w:tc>
        <w:tc>
          <w:tcPr>
            <w:tcW w:w="0" w:type="auto"/>
            <w:shd w:val="clear" w:color="auto" w:fill="auto"/>
            <w:vAlign w:val="center"/>
          </w:tcPr>
          <w:p w14:paraId="60C3E66A">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1、尺寸：自然大，230×360×130（mm）；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2、部件：7部件，置于底座上；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由喉、气管、肺、心脏、肺额状切面等结构组成，显示喉、气管、胸腔内心脏、左右肺以及膈上的食道裂孔、主动脉裂孔等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05BA561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67E5795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0400FEE0">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16B3380">
            <w:pPr>
              <w:rPr>
                <w:rFonts w:ascii="宋体" w:hAnsi="宋体" w:eastAsia="宋体" w:cs="宋体"/>
                <w:sz w:val="24"/>
                <w:szCs w:val="24"/>
                <w:highlight w:val="none"/>
              </w:rPr>
            </w:pPr>
          </w:p>
        </w:tc>
      </w:tr>
      <w:tr w14:paraId="6DFC2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2A49FD6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57</w:t>
            </w:r>
          </w:p>
        </w:tc>
        <w:tc>
          <w:tcPr>
            <w:tcW w:w="0" w:type="auto"/>
            <w:shd w:val="clear" w:color="auto" w:fill="auto"/>
            <w:vAlign w:val="center"/>
          </w:tcPr>
          <w:p w14:paraId="7BB346D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喉、气管、支气管模型</w:t>
            </w:r>
          </w:p>
        </w:tc>
        <w:tc>
          <w:tcPr>
            <w:tcW w:w="0" w:type="auto"/>
            <w:shd w:val="clear" w:color="auto" w:fill="auto"/>
            <w:vAlign w:val="center"/>
          </w:tcPr>
          <w:p w14:paraId="4F2C2175">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1、尺寸：自然大，220×220×520（mm）；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由喉正中矢状切面、喉连气管2个部件组成，并显示气管、左右主支气管、肺段支气管等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35497D9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1A958FA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04E43C53">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1484DF2">
            <w:pPr>
              <w:rPr>
                <w:rFonts w:ascii="宋体" w:hAnsi="宋体" w:eastAsia="宋体" w:cs="宋体"/>
                <w:sz w:val="24"/>
                <w:szCs w:val="24"/>
                <w:highlight w:val="none"/>
              </w:rPr>
            </w:pPr>
          </w:p>
        </w:tc>
      </w:tr>
      <w:tr w14:paraId="26B85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7A9CE67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58</w:t>
            </w:r>
          </w:p>
        </w:tc>
        <w:tc>
          <w:tcPr>
            <w:tcW w:w="0" w:type="auto"/>
            <w:shd w:val="clear" w:color="auto" w:fill="auto"/>
            <w:vAlign w:val="center"/>
          </w:tcPr>
          <w:p w14:paraId="548CE8C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左右肺模型</w:t>
            </w:r>
          </w:p>
        </w:tc>
        <w:tc>
          <w:tcPr>
            <w:tcW w:w="0" w:type="auto"/>
            <w:shd w:val="clear" w:color="auto" w:fill="auto"/>
            <w:vAlign w:val="center"/>
          </w:tcPr>
          <w:p w14:paraId="69DBA824">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1、尺寸：140×200×110（mm）；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左右肺的结构和形态、肺外形及肺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52A319E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537E78E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76400FF">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04F6CA63">
            <w:pPr>
              <w:rPr>
                <w:rFonts w:ascii="宋体" w:hAnsi="宋体" w:eastAsia="宋体" w:cs="宋体"/>
                <w:sz w:val="24"/>
                <w:szCs w:val="24"/>
                <w:highlight w:val="none"/>
              </w:rPr>
            </w:pPr>
          </w:p>
        </w:tc>
      </w:tr>
      <w:tr w14:paraId="283AF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0F78CC7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59</w:t>
            </w:r>
          </w:p>
        </w:tc>
        <w:tc>
          <w:tcPr>
            <w:tcW w:w="0" w:type="auto"/>
            <w:shd w:val="clear" w:color="auto" w:fill="auto"/>
            <w:vAlign w:val="center"/>
          </w:tcPr>
          <w:p w14:paraId="4E1AE43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透明肺段模型</w:t>
            </w:r>
          </w:p>
        </w:tc>
        <w:tc>
          <w:tcPr>
            <w:tcW w:w="0" w:type="auto"/>
            <w:shd w:val="clear" w:color="auto" w:fill="auto"/>
            <w:vAlign w:val="center"/>
          </w:tcPr>
          <w:p w14:paraId="614884C8">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1、尺寸：自然大，280×150×385（mm）；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分为左右肺，右肺显示十个段、左肺八个段，气管和支气管，从透明肺壳由外向内可以观察支气管树的分布情况，肺门显示左、右肺血管和支气管的毗邻关系；</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55063C5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284BCBD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7CA98C87">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062A8201">
            <w:pPr>
              <w:rPr>
                <w:rFonts w:ascii="宋体" w:hAnsi="宋体" w:eastAsia="宋体" w:cs="宋体"/>
                <w:sz w:val="24"/>
                <w:szCs w:val="24"/>
                <w:highlight w:val="none"/>
              </w:rPr>
            </w:pPr>
          </w:p>
        </w:tc>
      </w:tr>
      <w:tr w14:paraId="2279F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2D1406B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60</w:t>
            </w:r>
          </w:p>
        </w:tc>
        <w:tc>
          <w:tcPr>
            <w:tcW w:w="0" w:type="auto"/>
            <w:shd w:val="clear" w:color="auto" w:fill="auto"/>
            <w:vAlign w:val="center"/>
          </w:tcPr>
          <w:p w14:paraId="038021E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男性泌尿系统模型</w:t>
            </w:r>
          </w:p>
        </w:tc>
        <w:tc>
          <w:tcPr>
            <w:tcW w:w="0" w:type="auto"/>
            <w:shd w:val="clear" w:color="auto" w:fill="auto"/>
            <w:vAlign w:val="center"/>
          </w:tcPr>
          <w:p w14:paraId="0118F274">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1、尺寸：自然大，520×370×200（mm）；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2、部件：4部件，置于底座上；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借腹主动脉、下腔静脉及左右髂总动静脉为支架，显示左右肾、输卵管、膀胱的外形特征。右肾作冠状切面，显示肾髓质、肾锥体、肾乳头、肾柱、肾小盏、肾大盏、肾盂等剖面结构。膀胱作剖面，固定于耻骨上，显示膀胱内腔特征，输卵管及尿道的内口、膀胱三角等结构。模型还显示左、右肾上腺、肾动脉、肾静脉、肾门等外形及肾动静脉与输尿管的位置关系；</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22761C1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7BBD3F3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9583F84">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4CC6C25F">
            <w:pPr>
              <w:rPr>
                <w:rFonts w:ascii="宋体" w:hAnsi="宋体" w:eastAsia="宋体" w:cs="宋体"/>
                <w:sz w:val="24"/>
                <w:szCs w:val="24"/>
                <w:highlight w:val="none"/>
              </w:rPr>
            </w:pPr>
          </w:p>
        </w:tc>
      </w:tr>
      <w:tr w14:paraId="0BA1D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27820D7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61</w:t>
            </w:r>
          </w:p>
        </w:tc>
        <w:tc>
          <w:tcPr>
            <w:tcW w:w="0" w:type="auto"/>
            <w:shd w:val="clear" w:color="auto" w:fill="auto"/>
            <w:vAlign w:val="center"/>
          </w:tcPr>
          <w:p w14:paraId="7592099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女性泌尿系统模型</w:t>
            </w:r>
          </w:p>
        </w:tc>
        <w:tc>
          <w:tcPr>
            <w:tcW w:w="0" w:type="auto"/>
            <w:shd w:val="clear" w:color="auto" w:fill="auto"/>
            <w:vAlign w:val="center"/>
          </w:tcPr>
          <w:p w14:paraId="251DAAC0">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1、尺寸：自然大，190×180×450（mm）；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2、部件：5部件，置于底座上；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显示了肾、输尿管、膀胱、子宫、子宫附件、阴道，卵巢系膜、子宫园韧带、卵巢主韧带、子宫的动脉等。一侧肾作额状切面，示其皮质、髓质、肾锥体、肾大盏、肾小盏、肾盂等。膀胱作矢状切面，示其内腔膀胱三角，输尿管的开口及尿道的内口。输卵管示输卵管峡，输 卵管壶腹，输卵管漏斗及输卵管伞等。子宫示子宫的底、体、颈三个部分。输尿管示三个峡窄。模型形态逼真，系统完整；</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4EFD98D2">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097A9962">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8F2337A">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4A74712E">
            <w:pPr>
              <w:rPr>
                <w:rFonts w:ascii="宋体" w:hAnsi="宋体" w:eastAsia="宋体" w:cs="宋体"/>
                <w:sz w:val="24"/>
                <w:szCs w:val="24"/>
                <w:highlight w:val="none"/>
              </w:rPr>
            </w:pPr>
          </w:p>
        </w:tc>
      </w:tr>
      <w:tr w14:paraId="34D1F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030A47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62</w:t>
            </w:r>
          </w:p>
        </w:tc>
        <w:tc>
          <w:tcPr>
            <w:tcW w:w="0" w:type="auto"/>
            <w:shd w:val="clear" w:color="auto" w:fill="auto"/>
            <w:vAlign w:val="center"/>
          </w:tcPr>
          <w:p w14:paraId="0EA3AD87">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男性盆腔矢状切面模型</w:t>
            </w:r>
          </w:p>
        </w:tc>
        <w:tc>
          <w:tcPr>
            <w:tcW w:w="0" w:type="auto"/>
            <w:shd w:val="clear" w:color="auto" w:fill="auto"/>
            <w:vAlign w:val="center"/>
          </w:tcPr>
          <w:p w14:paraId="5923A4BC">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1、尺寸：自然大，230×250×260（mm）；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约在髂血管高度作水平切，主要示膀胱、前列腺、精囊腺、直肠等器官在盆腔内的位置以及尿道的分部和弯曲，盆腔内的血管等；</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568E8F0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36C1EAE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D298C6B">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7E380F66">
            <w:pPr>
              <w:rPr>
                <w:rFonts w:ascii="宋体" w:hAnsi="宋体" w:eastAsia="宋体" w:cs="宋体"/>
                <w:sz w:val="24"/>
                <w:szCs w:val="24"/>
                <w:highlight w:val="none"/>
              </w:rPr>
            </w:pPr>
          </w:p>
        </w:tc>
      </w:tr>
      <w:tr w14:paraId="34BB0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265D64C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63</w:t>
            </w:r>
          </w:p>
        </w:tc>
        <w:tc>
          <w:tcPr>
            <w:tcW w:w="0" w:type="auto"/>
            <w:shd w:val="clear" w:color="auto" w:fill="auto"/>
            <w:vAlign w:val="center"/>
          </w:tcPr>
          <w:p w14:paraId="33B67AD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女性盆腔矢状切面模型</w:t>
            </w:r>
          </w:p>
        </w:tc>
        <w:tc>
          <w:tcPr>
            <w:tcW w:w="0" w:type="auto"/>
            <w:shd w:val="clear" w:color="auto" w:fill="auto"/>
            <w:vAlign w:val="center"/>
          </w:tcPr>
          <w:p w14:paraId="0C74DBE5">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1、尺寸：自然大，230×250×250（mm）；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膀胱、尿道、直肠、子宫、子宫附件、阴道等器官在盆腔内位置及毗邻关系，髂内动脉的主要分支，腹部于髂嵴的高度作横切面，示背部及下腹部肌肉的断面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75F0872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245153E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4BFDD6F">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D25406E">
            <w:pPr>
              <w:rPr>
                <w:rFonts w:ascii="宋体" w:hAnsi="宋体" w:eastAsia="宋体" w:cs="宋体"/>
                <w:sz w:val="24"/>
                <w:szCs w:val="24"/>
                <w:highlight w:val="none"/>
              </w:rPr>
            </w:pPr>
          </w:p>
        </w:tc>
      </w:tr>
      <w:tr w14:paraId="75156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7E951FEA">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64</w:t>
            </w:r>
          </w:p>
        </w:tc>
        <w:tc>
          <w:tcPr>
            <w:tcW w:w="0" w:type="auto"/>
            <w:shd w:val="clear" w:color="auto" w:fill="auto"/>
            <w:vAlign w:val="center"/>
          </w:tcPr>
          <w:p w14:paraId="58337877">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子宫输带卵巢解剖模型</w:t>
            </w:r>
          </w:p>
        </w:tc>
        <w:tc>
          <w:tcPr>
            <w:tcW w:w="0" w:type="auto"/>
            <w:shd w:val="clear" w:color="auto" w:fill="auto"/>
            <w:vAlign w:val="center"/>
          </w:tcPr>
          <w:p w14:paraId="2C07A0F1">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1、尺寸：自然大，200×150×230（mm）；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女性内生殖器的解剖结构，包括卵巢、输卵管、子宫、阴道和前庭大腺等，示子宫三层结构，子宫腔阴道示穹隆，左侧示卵巢、输卵管各部和子宫阔韧带的关系，右侧卵巢剖面示黄体、卵泡、子宫血管及子宫圆韧带等；</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w:t>
            </w:r>
          </w:p>
        </w:tc>
        <w:tc>
          <w:tcPr>
            <w:tcW w:w="0" w:type="auto"/>
            <w:shd w:val="clear" w:color="auto" w:fill="auto"/>
            <w:vAlign w:val="center"/>
          </w:tcPr>
          <w:p w14:paraId="4EE76E77">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3978CFB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5B737AAB">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2433DF1">
            <w:pPr>
              <w:rPr>
                <w:rFonts w:ascii="宋体" w:hAnsi="宋体" w:eastAsia="宋体" w:cs="宋体"/>
                <w:sz w:val="24"/>
                <w:szCs w:val="24"/>
                <w:highlight w:val="none"/>
              </w:rPr>
            </w:pPr>
          </w:p>
        </w:tc>
      </w:tr>
      <w:tr w14:paraId="54185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A0DF457">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65</w:t>
            </w:r>
          </w:p>
        </w:tc>
        <w:tc>
          <w:tcPr>
            <w:tcW w:w="0" w:type="auto"/>
            <w:shd w:val="clear" w:color="auto" w:fill="auto"/>
            <w:vAlign w:val="center"/>
          </w:tcPr>
          <w:p w14:paraId="1336AD8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女性乳房解剖模型</w:t>
            </w:r>
          </w:p>
        </w:tc>
        <w:tc>
          <w:tcPr>
            <w:tcW w:w="0" w:type="auto"/>
            <w:shd w:val="clear" w:color="auto" w:fill="auto"/>
            <w:vAlign w:val="center"/>
          </w:tcPr>
          <w:p w14:paraId="73B3DF00">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1、尺寸：自然大，260×270×90（mm）；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2、部件：2部件；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成年女子未授过乳的乳房，左侧示乳房的外形，中心为乳头，周围为乳晕及其乳晕腺，右侧示解剖面乳房的构造、乳腺、乳房小叶、输乳管、输乳管窦、输乳孔以及乳房脂肪、胸骨等内外面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w:t>
            </w:r>
          </w:p>
        </w:tc>
        <w:tc>
          <w:tcPr>
            <w:tcW w:w="0" w:type="auto"/>
            <w:shd w:val="clear" w:color="auto" w:fill="auto"/>
            <w:vAlign w:val="center"/>
          </w:tcPr>
          <w:p w14:paraId="244E47A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3AA4FC0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0639C587">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27D5918F">
            <w:pPr>
              <w:rPr>
                <w:rFonts w:ascii="宋体" w:hAnsi="宋体" w:eastAsia="宋体" w:cs="宋体"/>
                <w:sz w:val="24"/>
                <w:szCs w:val="24"/>
                <w:highlight w:val="none"/>
              </w:rPr>
            </w:pPr>
          </w:p>
        </w:tc>
      </w:tr>
      <w:tr w14:paraId="17A28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2ADF544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66</w:t>
            </w:r>
          </w:p>
        </w:tc>
        <w:tc>
          <w:tcPr>
            <w:tcW w:w="0" w:type="auto"/>
            <w:shd w:val="clear" w:color="auto" w:fill="auto"/>
            <w:vAlign w:val="center"/>
          </w:tcPr>
          <w:p w14:paraId="329D33F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血液循环系统模型</w:t>
            </w:r>
          </w:p>
        </w:tc>
        <w:tc>
          <w:tcPr>
            <w:tcW w:w="0" w:type="auto"/>
            <w:shd w:val="clear" w:color="auto" w:fill="auto"/>
            <w:vAlign w:val="center"/>
          </w:tcPr>
          <w:p w14:paraId="3EEA7460">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1、尺寸：410×165×720（mm）；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演示血液在血管内流动的情况，体循环和肺循环的途径；心脏作冠状切面，显示心脏左、右心房，左、右心室及整个心动周期内的搏动状况与血循环的生理机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4、材质：环保PVC材料，环保油漆，绿色环保原木木框及电子元件。</w:t>
            </w:r>
          </w:p>
        </w:tc>
        <w:tc>
          <w:tcPr>
            <w:tcW w:w="0" w:type="auto"/>
            <w:shd w:val="clear" w:color="auto" w:fill="auto"/>
            <w:vAlign w:val="center"/>
          </w:tcPr>
          <w:p w14:paraId="226FFB8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6B3138D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BCDF11C">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52DEFC69">
            <w:pPr>
              <w:rPr>
                <w:rFonts w:ascii="宋体" w:hAnsi="宋体" w:eastAsia="宋体" w:cs="宋体"/>
                <w:sz w:val="24"/>
                <w:szCs w:val="24"/>
                <w:highlight w:val="none"/>
              </w:rPr>
            </w:pPr>
          </w:p>
        </w:tc>
      </w:tr>
      <w:tr w14:paraId="30961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6EA5848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67</w:t>
            </w:r>
          </w:p>
        </w:tc>
        <w:tc>
          <w:tcPr>
            <w:tcW w:w="0" w:type="auto"/>
            <w:shd w:val="clear" w:color="auto" w:fill="auto"/>
            <w:vAlign w:val="center"/>
          </w:tcPr>
          <w:p w14:paraId="037EB1F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心脏解剖放大模型</w:t>
            </w:r>
          </w:p>
        </w:tc>
        <w:tc>
          <w:tcPr>
            <w:tcW w:w="0" w:type="auto"/>
            <w:shd w:val="clear" w:color="auto" w:fill="auto"/>
            <w:vAlign w:val="center"/>
          </w:tcPr>
          <w:p w14:paraId="7C6835E7">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1、尺寸：放大3倍，200×200×280（mm）；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2、部件：3部件，置于底座上；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外形部分，示冠状沟，沟的上方为心底部，包括心房、心耳及出入心脏的大血管。示前、后室间沟为左右心室的分界。出入心脏的大血管有上、下腔静脉，肺静脉、肺动脉、主动脉及主动脉弓上发出的三条血管。（由右向左为头臂干， 右颈总动脉、左锁骨下动脉），营养心脏的血管有左、右冠状动脉。示心小静脉，心中静脉，心大静脉，及冠状窦。内部构造：主要显示四个心腔；此外，左右心房之间有房间隔，上有卵园窝，左右心室之间有室间隔，在隔上示膜部和肌性部；</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1D3F211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022F24B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68927146">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4453DEA">
            <w:pPr>
              <w:rPr>
                <w:rFonts w:ascii="宋体" w:hAnsi="宋体" w:eastAsia="宋体" w:cs="宋体"/>
                <w:sz w:val="24"/>
                <w:szCs w:val="24"/>
                <w:highlight w:val="none"/>
              </w:rPr>
            </w:pPr>
          </w:p>
        </w:tc>
      </w:tr>
      <w:tr w14:paraId="01FE8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409B787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68</w:t>
            </w:r>
          </w:p>
        </w:tc>
        <w:tc>
          <w:tcPr>
            <w:tcW w:w="0" w:type="auto"/>
            <w:shd w:val="clear" w:color="auto" w:fill="auto"/>
            <w:vAlign w:val="center"/>
          </w:tcPr>
          <w:p w14:paraId="663174A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眼球模型</w:t>
            </w:r>
          </w:p>
        </w:tc>
        <w:tc>
          <w:tcPr>
            <w:tcW w:w="0" w:type="auto"/>
            <w:shd w:val="clear" w:color="auto" w:fill="auto"/>
            <w:vAlign w:val="center"/>
          </w:tcPr>
          <w:p w14:paraId="2BA22ABC">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1、尺寸：放大5倍，210×130×140（mm）；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2、部件：6部件，置于底座上；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展示两半巩膜及角膜与眼附着肌、两半脉络膜及虹膜与视网膜、晶状体、玻璃体；</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0C9DA8E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03AC7B2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70A1A1E1">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0A8025EB">
            <w:pPr>
              <w:rPr>
                <w:rFonts w:ascii="宋体" w:hAnsi="宋体" w:eastAsia="宋体" w:cs="宋体"/>
                <w:sz w:val="24"/>
                <w:szCs w:val="24"/>
                <w:highlight w:val="none"/>
              </w:rPr>
            </w:pPr>
          </w:p>
        </w:tc>
      </w:tr>
      <w:tr w14:paraId="3CCE7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390762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69</w:t>
            </w:r>
          </w:p>
        </w:tc>
        <w:tc>
          <w:tcPr>
            <w:tcW w:w="0" w:type="auto"/>
            <w:shd w:val="clear" w:color="auto" w:fill="auto"/>
            <w:vAlign w:val="center"/>
          </w:tcPr>
          <w:p w14:paraId="03B948B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耳解剖模型（左耳）4部件</w:t>
            </w:r>
          </w:p>
        </w:tc>
        <w:tc>
          <w:tcPr>
            <w:tcW w:w="0" w:type="auto"/>
            <w:shd w:val="clear" w:color="auto" w:fill="auto"/>
            <w:vAlign w:val="center"/>
          </w:tcPr>
          <w:p w14:paraId="192771EF">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1、尺寸：放大3倍，360×150×220（mm）；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2、部件：5部件，固定在底座上；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耳廓、外耳道、鼓室、鼓膜、听小骨和内耳；</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09AC5DD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7CA5E2F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3388A019">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76974A4E">
            <w:pPr>
              <w:rPr>
                <w:rFonts w:ascii="宋体" w:hAnsi="宋体" w:eastAsia="宋体" w:cs="宋体"/>
                <w:sz w:val="24"/>
                <w:szCs w:val="24"/>
                <w:highlight w:val="none"/>
              </w:rPr>
            </w:pPr>
          </w:p>
        </w:tc>
      </w:tr>
      <w:tr w14:paraId="778C8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47441E7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70</w:t>
            </w:r>
          </w:p>
        </w:tc>
        <w:tc>
          <w:tcPr>
            <w:tcW w:w="0" w:type="auto"/>
            <w:shd w:val="clear" w:color="auto" w:fill="auto"/>
            <w:vAlign w:val="center"/>
          </w:tcPr>
          <w:p w14:paraId="56E0136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大脑皮质功能定位模型</w:t>
            </w:r>
          </w:p>
        </w:tc>
        <w:tc>
          <w:tcPr>
            <w:tcW w:w="0" w:type="auto"/>
            <w:shd w:val="clear" w:color="auto" w:fill="auto"/>
            <w:vAlign w:val="center"/>
          </w:tcPr>
          <w:p w14:paraId="1873D546">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1、尺寸：自然大，215×170×140（mm）；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大脑作正中矢状切面，左侧大脑半球作水平切面，并剖开颞叶， 显示间脑；小脑作矢状剖面；按照医学本科统编教材设计，按不同功能部位进行定位，并用颜色加以区别；</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01979FA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2A2F00C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0170C46C">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6CE31EE7">
            <w:pPr>
              <w:rPr>
                <w:rFonts w:ascii="宋体" w:hAnsi="宋体" w:eastAsia="宋体" w:cs="宋体"/>
                <w:sz w:val="24"/>
                <w:szCs w:val="24"/>
                <w:highlight w:val="none"/>
              </w:rPr>
            </w:pPr>
          </w:p>
        </w:tc>
      </w:tr>
      <w:tr w14:paraId="545B6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8EFCBD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71</w:t>
            </w:r>
          </w:p>
        </w:tc>
        <w:tc>
          <w:tcPr>
            <w:tcW w:w="0" w:type="auto"/>
            <w:shd w:val="clear" w:color="auto" w:fill="auto"/>
            <w:vAlign w:val="center"/>
          </w:tcPr>
          <w:p w14:paraId="1C50EDF2">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脑干放大模型</w:t>
            </w:r>
          </w:p>
        </w:tc>
        <w:tc>
          <w:tcPr>
            <w:tcW w:w="0" w:type="auto"/>
            <w:shd w:val="clear" w:color="auto" w:fill="auto"/>
            <w:vAlign w:val="center"/>
          </w:tcPr>
          <w:p w14:paraId="17616887">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1、尺寸：放大6倍，250×200×370（mm）；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脑干的外形和十二对脑神经在脑干的部位，并示延髓、脑桥、中脑三部分，上接间脑；</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405B694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27A9FABB">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135F9C93">
            <w:pPr>
              <w:jc w:val="cente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0" w:type="auto"/>
          </w:tcPr>
          <w:p w14:paraId="1209E920">
            <w:pPr>
              <w:rPr>
                <w:rFonts w:ascii="宋体" w:hAnsi="宋体" w:eastAsia="宋体" w:cs="宋体"/>
                <w:sz w:val="24"/>
                <w:szCs w:val="24"/>
                <w:highlight w:val="none"/>
              </w:rPr>
            </w:pPr>
          </w:p>
        </w:tc>
      </w:tr>
      <w:tr w14:paraId="1AC5C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B5C135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72</w:t>
            </w:r>
          </w:p>
        </w:tc>
        <w:tc>
          <w:tcPr>
            <w:tcW w:w="0" w:type="auto"/>
            <w:shd w:val="clear" w:color="auto" w:fill="auto"/>
            <w:vAlign w:val="center"/>
          </w:tcPr>
          <w:p w14:paraId="07E8E6F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内囊与基底神经核模型</w:t>
            </w:r>
          </w:p>
        </w:tc>
        <w:tc>
          <w:tcPr>
            <w:tcW w:w="0" w:type="auto"/>
            <w:shd w:val="clear" w:color="auto" w:fill="auto"/>
            <w:vAlign w:val="center"/>
          </w:tcPr>
          <w:p w14:paraId="5E7C4386">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1、尺寸：放大，80×115×130（mm）；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了大脑基底核及内囊。基底核包括尾状核、豆状核、杏仁核和屏状核。模型上可观察到各核团形态、位置以及它们之间与背侧丘脑的毗邻关系。同时，也可观察内襄的位置形态等；</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118FE3C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485B7BF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638EFDBD">
            <w:pPr>
              <w:jc w:val="center"/>
              <w:rPr>
                <w:rFonts w:ascii="宋体" w:hAnsi="宋体" w:eastAsia="宋体" w:cs="宋体"/>
                <w:sz w:val="24"/>
                <w:szCs w:val="24"/>
                <w:highlight w:val="none"/>
              </w:rPr>
            </w:pPr>
            <w:r>
              <w:rPr>
                <w:rFonts w:hint="eastAsia" w:ascii="宋体" w:hAnsi="宋体" w:eastAsia="宋体" w:cs="宋体"/>
                <w:sz w:val="24"/>
                <w:szCs w:val="24"/>
                <w:highlight w:val="none"/>
                <w:lang w:eastAsia="zh-CN"/>
              </w:rPr>
              <w:t>工业</w:t>
            </w:r>
          </w:p>
        </w:tc>
        <w:tc>
          <w:tcPr>
            <w:tcW w:w="0" w:type="auto"/>
          </w:tcPr>
          <w:p w14:paraId="5C6F06A9">
            <w:pPr>
              <w:rPr>
                <w:rFonts w:ascii="宋体" w:hAnsi="宋体" w:eastAsia="宋体" w:cs="宋体"/>
                <w:sz w:val="24"/>
                <w:szCs w:val="24"/>
                <w:highlight w:val="none"/>
              </w:rPr>
            </w:pPr>
          </w:p>
        </w:tc>
      </w:tr>
      <w:tr w14:paraId="2A7FF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84FED7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73</w:t>
            </w:r>
          </w:p>
        </w:tc>
        <w:tc>
          <w:tcPr>
            <w:tcW w:w="0" w:type="auto"/>
            <w:shd w:val="clear" w:color="auto" w:fill="auto"/>
            <w:vAlign w:val="center"/>
          </w:tcPr>
          <w:p w14:paraId="142A4307">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小脑放大模型</w:t>
            </w:r>
          </w:p>
        </w:tc>
        <w:tc>
          <w:tcPr>
            <w:tcW w:w="0" w:type="auto"/>
            <w:shd w:val="clear" w:color="auto" w:fill="auto"/>
            <w:vAlign w:val="center"/>
          </w:tcPr>
          <w:p w14:paraId="2BDABBDD">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1、尺寸：放大8倍，400×230×165（mm）；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2、部件：2部件；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小脑的外形和内部结构。小脑水平切面可显示小脑内部结构, 包括小脑中央核（顶核、球状核、栓状核和齿状核）等结构；</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w:t>
            </w:r>
          </w:p>
        </w:tc>
        <w:tc>
          <w:tcPr>
            <w:tcW w:w="0" w:type="auto"/>
            <w:shd w:val="clear" w:color="auto" w:fill="auto"/>
            <w:vAlign w:val="center"/>
          </w:tcPr>
          <w:p w14:paraId="0BC69717">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550CEE3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4506EC0A">
            <w:pPr>
              <w:jc w:val="center"/>
              <w:rPr>
                <w:rFonts w:ascii="宋体" w:hAnsi="宋体" w:eastAsia="宋体" w:cs="宋体"/>
                <w:sz w:val="24"/>
                <w:szCs w:val="24"/>
                <w:highlight w:val="none"/>
              </w:rPr>
            </w:pPr>
            <w:r>
              <w:rPr>
                <w:rFonts w:hint="eastAsia" w:ascii="宋体" w:hAnsi="宋体" w:eastAsia="宋体" w:cs="宋体"/>
                <w:sz w:val="24"/>
                <w:szCs w:val="24"/>
                <w:highlight w:val="none"/>
                <w:lang w:eastAsia="zh-CN"/>
              </w:rPr>
              <w:t>工业</w:t>
            </w:r>
          </w:p>
        </w:tc>
        <w:tc>
          <w:tcPr>
            <w:tcW w:w="0" w:type="auto"/>
          </w:tcPr>
          <w:p w14:paraId="2CAB888C">
            <w:pPr>
              <w:rPr>
                <w:rFonts w:ascii="宋体" w:hAnsi="宋体" w:eastAsia="宋体" w:cs="宋体"/>
                <w:sz w:val="24"/>
                <w:szCs w:val="24"/>
                <w:highlight w:val="none"/>
              </w:rPr>
            </w:pPr>
          </w:p>
        </w:tc>
      </w:tr>
      <w:tr w14:paraId="366C4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1A47388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74</w:t>
            </w:r>
          </w:p>
        </w:tc>
        <w:tc>
          <w:tcPr>
            <w:tcW w:w="0" w:type="auto"/>
            <w:shd w:val="clear" w:color="auto" w:fill="auto"/>
            <w:vAlign w:val="center"/>
          </w:tcPr>
          <w:p w14:paraId="5219106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脊髓、脊神经、交感干模型</w:t>
            </w:r>
          </w:p>
        </w:tc>
        <w:tc>
          <w:tcPr>
            <w:tcW w:w="0" w:type="auto"/>
            <w:shd w:val="clear" w:color="auto" w:fill="auto"/>
            <w:vAlign w:val="center"/>
          </w:tcPr>
          <w:p w14:paraId="5C8BEEFC">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1、尺寸：放大5倍，130×165×235（mm）；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2、部件：1部件，置于底座上；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模型由二个胸椎和四对脊神经组成，脊髓作圆柱体贯穿于椎管中，在脊髓横切面上，可以观察位于中央的蝶形构造的灰质和包围在它四周的白质，模型上段脊髓游离，显示包在外面的三层不同厚薄的被膜，即硬脊膜，蛛网膜和软脊膜，并剖示被膜层次，显示脊神经的前后根部；在脊髓两侧，有前根和后根合成脊神经，出椎间孔。脊神经交通支连接位于椎体两侧的交感神经干；</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16A607C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70F51E76">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6D357E1C">
            <w:pPr>
              <w:jc w:val="center"/>
              <w:rPr>
                <w:rFonts w:ascii="宋体" w:hAnsi="宋体" w:eastAsia="宋体" w:cs="宋体"/>
                <w:sz w:val="24"/>
                <w:szCs w:val="24"/>
                <w:highlight w:val="none"/>
              </w:rPr>
            </w:pPr>
            <w:r>
              <w:rPr>
                <w:rFonts w:hint="eastAsia" w:ascii="宋体" w:hAnsi="宋体" w:eastAsia="宋体" w:cs="宋体"/>
                <w:sz w:val="24"/>
                <w:szCs w:val="24"/>
                <w:highlight w:val="none"/>
                <w:lang w:eastAsia="zh-CN"/>
              </w:rPr>
              <w:t>工业</w:t>
            </w:r>
          </w:p>
        </w:tc>
        <w:tc>
          <w:tcPr>
            <w:tcW w:w="0" w:type="auto"/>
          </w:tcPr>
          <w:p w14:paraId="5E58805D">
            <w:pPr>
              <w:rPr>
                <w:rFonts w:ascii="宋体" w:hAnsi="宋体" w:eastAsia="宋体" w:cs="宋体"/>
                <w:sz w:val="24"/>
                <w:szCs w:val="24"/>
                <w:highlight w:val="none"/>
              </w:rPr>
            </w:pPr>
          </w:p>
        </w:tc>
      </w:tr>
      <w:tr w14:paraId="3B67E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30671E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75</w:t>
            </w:r>
          </w:p>
        </w:tc>
        <w:tc>
          <w:tcPr>
            <w:tcW w:w="0" w:type="auto"/>
            <w:shd w:val="clear" w:color="auto" w:fill="auto"/>
            <w:vAlign w:val="center"/>
          </w:tcPr>
          <w:p w14:paraId="66C4779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内分泌器官模型</w:t>
            </w:r>
          </w:p>
        </w:tc>
        <w:tc>
          <w:tcPr>
            <w:tcW w:w="0" w:type="auto"/>
            <w:shd w:val="clear" w:color="auto" w:fill="auto"/>
            <w:vAlign w:val="center"/>
          </w:tcPr>
          <w:p w14:paraId="17F7D8FE">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1、尺寸：放大，500×260×65（mm）；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2、部件：7部件，置于底座上；</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功能：为了保证模型结构和毗邻关系的完整性和准确性，建议参考国家正规出版社出版的相关解剖学教材和实物类解剖学图谱进行制作，例如：《中华人体解剖学彩色图谱》、《系统解剖学》、《局部解剖学》等同类教材和图谱。显示各内分泌器官有垂体、甲状腺、肾上腺、睾丸、胰、甲状旁腺、卵巢等；</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4、材质：环保PVC材料，环保油漆，塑料底座。</w:t>
            </w:r>
          </w:p>
        </w:tc>
        <w:tc>
          <w:tcPr>
            <w:tcW w:w="0" w:type="auto"/>
            <w:shd w:val="clear" w:color="auto" w:fill="auto"/>
            <w:vAlign w:val="center"/>
          </w:tcPr>
          <w:p w14:paraId="35CAB7A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w:t>
            </w:r>
          </w:p>
        </w:tc>
        <w:tc>
          <w:tcPr>
            <w:tcW w:w="0" w:type="auto"/>
            <w:shd w:val="clear" w:color="auto" w:fill="auto"/>
            <w:vAlign w:val="center"/>
          </w:tcPr>
          <w:p w14:paraId="736EEA00">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件</w:t>
            </w:r>
          </w:p>
        </w:tc>
        <w:tc>
          <w:tcPr>
            <w:tcW w:w="0" w:type="auto"/>
            <w:vAlign w:val="center"/>
          </w:tcPr>
          <w:p w14:paraId="71D0316E">
            <w:pPr>
              <w:jc w:val="center"/>
              <w:rPr>
                <w:rFonts w:ascii="宋体" w:hAnsi="宋体" w:eastAsia="宋体" w:cs="宋体"/>
                <w:sz w:val="24"/>
                <w:szCs w:val="24"/>
                <w:highlight w:val="none"/>
              </w:rPr>
            </w:pPr>
            <w:r>
              <w:rPr>
                <w:rFonts w:hint="eastAsia" w:ascii="宋体" w:hAnsi="宋体" w:eastAsia="宋体" w:cs="宋体"/>
                <w:sz w:val="24"/>
                <w:szCs w:val="24"/>
                <w:highlight w:val="none"/>
                <w:lang w:eastAsia="zh-CN"/>
              </w:rPr>
              <w:t>工业</w:t>
            </w:r>
          </w:p>
        </w:tc>
        <w:tc>
          <w:tcPr>
            <w:tcW w:w="0" w:type="auto"/>
          </w:tcPr>
          <w:p w14:paraId="630E06E2">
            <w:pPr>
              <w:rPr>
                <w:rFonts w:ascii="宋体" w:hAnsi="宋体" w:eastAsia="宋体" w:cs="宋体"/>
                <w:sz w:val="24"/>
                <w:szCs w:val="24"/>
                <w:highlight w:val="none"/>
              </w:rPr>
            </w:pPr>
          </w:p>
        </w:tc>
      </w:tr>
      <w:tr w14:paraId="48474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65FE0A3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76</w:t>
            </w:r>
          </w:p>
        </w:tc>
        <w:tc>
          <w:tcPr>
            <w:tcW w:w="0" w:type="auto"/>
            <w:shd w:val="clear" w:color="auto" w:fill="auto"/>
            <w:vAlign w:val="center"/>
          </w:tcPr>
          <w:p w14:paraId="284453B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定制六边形实验台</w:t>
            </w:r>
          </w:p>
        </w:tc>
        <w:tc>
          <w:tcPr>
            <w:tcW w:w="0" w:type="auto"/>
            <w:shd w:val="clear" w:color="auto" w:fill="auto"/>
            <w:vAlign w:val="center"/>
          </w:tcPr>
          <w:p w14:paraId="508B8CA7">
            <w:pPr>
              <w:keepNext w:val="0"/>
              <w:keepLines w:val="0"/>
              <w:widowControl/>
              <w:suppressLineNumbers w:val="0"/>
              <w:jc w:val="both"/>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val="en-US" w:eastAsia="zh-CN" w:bidi="ar"/>
              </w:rPr>
              <w:t>台面板:采用优质MFC环保双面板饰面，具有防火、防刮、耐磨等特点的防火板，厚度≥25mm，挡板≥15mm，甲醛释放量经国家人造板质量监督中心检测（穿孔值）≤5mg/100g，基本接近木材本身的甲醛量；封边采用1.5-2.0mm厚PVC封边。所用基材及防火板材料符合国家环保标准（E1级）；台面板颜色、规格可以根据实际需要多选定做。所有面板前后材质、颜色均一致；</w:t>
            </w:r>
          </w:p>
          <w:p w14:paraId="25929294">
            <w:pPr>
              <w:keepNext w:val="0"/>
              <w:keepLines w:val="0"/>
              <w:widowControl/>
              <w:suppressLineNumbers w:val="0"/>
              <w:jc w:val="both"/>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2</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val="en-US" w:eastAsia="zh-CN" w:bidi="ar"/>
              </w:rPr>
              <w:t>侧脚：冷轧钢管旦管25*50*1.5（mm)，220度高温静电喷涂；</w:t>
            </w:r>
          </w:p>
          <w:p w14:paraId="7FD7BE89">
            <w:pPr>
              <w:keepNext w:val="0"/>
              <w:keepLines w:val="0"/>
              <w:widowControl/>
              <w:suppressLineNumbers w:val="0"/>
              <w:jc w:val="both"/>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3</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val="en-US" w:eastAsia="zh-CN" w:bidi="ar"/>
              </w:rPr>
              <w:t>横梁：冷轧钢管旦管25*50*1.2（mm)，220度高温静电喷涂；</w:t>
            </w:r>
          </w:p>
          <w:p w14:paraId="5D3F9375">
            <w:pPr>
              <w:keepNext w:val="0"/>
              <w:keepLines w:val="0"/>
              <w:widowControl/>
              <w:suppressLineNumbers w:val="0"/>
              <w:jc w:val="both"/>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4</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val="en-US" w:eastAsia="zh-CN" w:bidi="ar"/>
              </w:rPr>
              <w:t>面架：冷轧钢板压型，25*25*1.2mm方管，220度高温静电喷涂；</w:t>
            </w:r>
          </w:p>
          <w:p w14:paraId="1F9DE1C6">
            <w:pPr>
              <w:keepNext w:val="0"/>
              <w:keepLines w:val="0"/>
              <w:widowControl/>
              <w:suppressLineNumbers w:val="0"/>
              <w:jc w:val="both"/>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5</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val="en-US" w:eastAsia="zh-CN" w:bidi="ar"/>
              </w:rPr>
              <w:t>脚轮：≥2.5英寸PU（A8）万向轮；带锁定功能；</w:t>
            </w:r>
          </w:p>
          <w:p w14:paraId="2F03A024">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6</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val="en-US" w:eastAsia="zh-CN" w:bidi="ar"/>
              </w:rPr>
              <w:t>其他：机械折叠调节控制，可以倾斜折叠桌面；可多重方式任意组合，适用于各种大型场景，外观高端大气、人字简约造型、配合精密、适合堆叠，活动万向尼龙轮。</w:t>
            </w:r>
          </w:p>
        </w:tc>
        <w:tc>
          <w:tcPr>
            <w:tcW w:w="0" w:type="auto"/>
            <w:shd w:val="clear" w:color="auto" w:fill="auto"/>
            <w:vAlign w:val="center"/>
          </w:tcPr>
          <w:p w14:paraId="6081347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12</w:t>
            </w:r>
          </w:p>
        </w:tc>
        <w:tc>
          <w:tcPr>
            <w:tcW w:w="0" w:type="auto"/>
            <w:shd w:val="clear" w:color="auto" w:fill="auto"/>
            <w:vAlign w:val="center"/>
          </w:tcPr>
          <w:p w14:paraId="34A138F7">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个</w:t>
            </w:r>
          </w:p>
        </w:tc>
        <w:tc>
          <w:tcPr>
            <w:tcW w:w="0" w:type="auto"/>
            <w:vAlign w:val="center"/>
          </w:tcPr>
          <w:p w14:paraId="4F6B86A9">
            <w:pPr>
              <w:jc w:val="center"/>
              <w:rPr>
                <w:rFonts w:ascii="宋体" w:hAnsi="宋体" w:eastAsia="宋体" w:cs="宋体"/>
                <w:sz w:val="24"/>
                <w:szCs w:val="24"/>
                <w:highlight w:val="none"/>
              </w:rPr>
            </w:pPr>
            <w:r>
              <w:rPr>
                <w:rFonts w:hint="eastAsia" w:ascii="宋体" w:hAnsi="宋体" w:eastAsia="宋体" w:cs="宋体"/>
                <w:sz w:val="24"/>
                <w:szCs w:val="24"/>
                <w:highlight w:val="none"/>
                <w:lang w:eastAsia="zh-CN"/>
              </w:rPr>
              <w:t>工业</w:t>
            </w:r>
          </w:p>
        </w:tc>
        <w:tc>
          <w:tcPr>
            <w:tcW w:w="0" w:type="auto"/>
          </w:tcPr>
          <w:p w14:paraId="6431FB27">
            <w:pPr>
              <w:rPr>
                <w:rFonts w:ascii="宋体" w:hAnsi="宋体" w:eastAsia="宋体" w:cs="宋体"/>
                <w:sz w:val="24"/>
                <w:szCs w:val="24"/>
                <w:highlight w:val="none"/>
              </w:rPr>
            </w:pPr>
          </w:p>
        </w:tc>
      </w:tr>
      <w:tr w14:paraId="19F1A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5C4C3FA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77</w:t>
            </w:r>
          </w:p>
        </w:tc>
        <w:tc>
          <w:tcPr>
            <w:tcW w:w="0" w:type="auto"/>
            <w:shd w:val="clear" w:color="auto" w:fill="auto"/>
            <w:vAlign w:val="center"/>
          </w:tcPr>
          <w:p w14:paraId="45227BC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定制学生坐凳</w:t>
            </w:r>
          </w:p>
        </w:tc>
        <w:tc>
          <w:tcPr>
            <w:tcW w:w="0" w:type="auto"/>
            <w:shd w:val="clear" w:color="auto" w:fill="auto"/>
            <w:vAlign w:val="center"/>
          </w:tcPr>
          <w:p w14:paraId="430B642E">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val="en-US" w:eastAsia="zh-CN" w:bidi="ar"/>
              </w:rPr>
              <w:t>高度：44-57cm（含坐面）</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val="en-US" w:eastAsia="zh-CN" w:bidi="ar"/>
              </w:rPr>
              <w:t>颜色：根据采购人要求定制</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val="en-US" w:eastAsia="zh-CN" w:bidi="ar"/>
              </w:rPr>
              <w:t>材质：PU皮革材质，不锈钢框架。</w:t>
            </w:r>
          </w:p>
        </w:tc>
        <w:tc>
          <w:tcPr>
            <w:tcW w:w="0" w:type="auto"/>
            <w:shd w:val="clear" w:color="auto" w:fill="auto"/>
            <w:vAlign w:val="center"/>
          </w:tcPr>
          <w:p w14:paraId="03D887B1">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90</w:t>
            </w:r>
          </w:p>
        </w:tc>
        <w:tc>
          <w:tcPr>
            <w:tcW w:w="0" w:type="auto"/>
            <w:shd w:val="clear" w:color="auto" w:fill="auto"/>
            <w:vAlign w:val="center"/>
          </w:tcPr>
          <w:p w14:paraId="64F850ED">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个</w:t>
            </w:r>
          </w:p>
        </w:tc>
        <w:tc>
          <w:tcPr>
            <w:tcW w:w="0" w:type="auto"/>
            <w:vAlign w:val="center"/>
          </w:tcPr>
          <w:p w14:paraId="3D16C25D">
            <w:pPr>
              <w:jc w:val="center"/>
              <w:rPr>
                <w:rFonts w:ascii="宋体" w:hAnsi="宋体" w:eastAsia="宋体" w:cs="宋体"/>
                <w:sz w:val="24"/>
                <w:szCs w:val="24"/>
                <w:highlight w:val="none"/>
              </w:rPr>
            </w:pPr>
            <w:r>
              <w:rPr>
                <w:rFonts w:hint="eastAsia" w:ascii="宋体" w:hAnsi="宋体" w:eastAsia="宋体" w:cs="宋体"/>
                <w:sz w:val="24"/>
                <w:szCs w:val="24"/>
                <w:highlight w:val="none"/>
                <w:lang w:eastAsia="zh-CN"/>
              </w:rPr>
              <w:t>工业</w:t>
            </w:r>
          </w:p>
        </w:tc>
        <w:tc>
          <w:tcPr>
            <w:tcW w:w="0" w:type="auto"/>
          </w:tcPr>
          <w:p w14:paraId="3DD7DB8D">
            <w:pPr>
              <w:rPr>
                <w:rFonts w:ascii="宋体" w:hAnsi="宋体" w:eastAsia="宋体" w:cs="宋体"/>
                <w:sz w:val="24"/>
                <w:szCs w:val="24"/>
                <w:highlight w:val="none"/>
              </w:rPr>
            </w:pPr>
          </w:p>
        </w:tc>
      </w:tr>
      <w:tr w14:paraId="72505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428BEFB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78</w:t>
            </w:r>
          </w:p>
        </w:tc>
        <w:tc>
          <w:tcPr>
            <w:tcW w:w="0" w:type="auto"/>
            <w:shd w:val="clear" w:color="auto" w:fill="auto"/>
            <w:vAlign w:val="center"/>
          </w:tcPr>
          <w:p w14:paraId="29142269">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定制实验边台</w:t>
            </w:r>
          </w:p>
        </w:tc>
        <w:tc>
          <w:tcPr>
            <w:tcW w:w="0" w:type="auto"/>
            <w:shd w:val="clear" w:color="auto" w:fill="auto"/>
            <w:vAlign w:val="center"/>
          </w:tcPr>
          <w:p w14:paraId="0EC5EE42">
            <w:pPr>
              <w:keepNext w:val="0"/>
              <w:keepLines w:val="0"/>
              <w:widowControl/>
              <w:suppressLineNumbers w:val="0"/>
              <w:jc w:val="both"/>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color w:val="auto"/>
                <w:kern w:val="0"/>
                <w:szCs w:val="21"/>
                <w:highlight w:val="none"/>
                <w:lang w:val="en-US" w:eastAsia="zh-CN" w:bidi="ar"/>
              </w:rPr>
              <w:t>1、主框架为钢质c型框架、方管规格：40*60 （±5mm)，厚度≥1.2mm经酸洗磷化、环氧树脂粉末静电喷涂，高温固化制成。耐酸碱耐腐蚀。</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2、台面：采用 ≥12.7mm厚理化板台面耐酸耐碱、边沿加工艺边厚度达25.4mm。</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3、柜体：采用≥18mm厚双贴面环保型刨花板；封边：采用2mmPVC封边条配合进口热熔胶进行封边。</w:t>
            </w:r>
            <w:r>
              <w:rPr>
                <w:rFonts w:hint="default" w:ascii="Times New Roman" w:hAnsi="Times New Roman" w:eastAsia="宋体" w:cs="Times New Roman"/>
                <w:color w:val="auto"/>
                <w:kern w:val="0"/>
                <w:szCs w:val="21"/>
                <w:highlight w:val="none"/>
                <w:lang w:val="en-US" w:eastAsia="zh-CN" w:bidi="ar"/>
              </w:rPr>
              <w:br w:type="textWrapping"/>
            </w:r>
            <w:r>
              <w:rPr>
                <w:rFonts w:hint="default" w:ascii="Times New Roman" w:hAnsi="Times New Roman" w:eastAsia="宋体" w:cs="Times New Roman"/>
                <w:color w:val="auto"/>
                <w:kern w:val="0"/>
                <w:szCs w:val="21"/>
                <w:highlight w:val="none"/>
                <w:lang w:val="en-US" w:eastAsia="zh-CN" w:bidi="ar"/>
              </w:rPr>
              <w:t>4、配件：铰链：采用DTC铰链、滑轨、采用DTC滑轨。</w:t>
            </w:r>
          </w:p>
        </w:tc>
        <w:tc>
          <w:tcPr>
            <w:tcW w:w="0" w:type="auto"/>
            <w:shd w:val="clear" w:color="auto" w:fill="auto"/>
            <w:vAlign w:val="center"/>
          </w:tcPr>
          <w:p w14:paraId="6F58029C">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12</w:t>
            </w:r>
          </w:p>
        </w:tc>
        <w:tc>
          <w:tcPr>
            <w:tcW w:w="0" w:type="auto"/>
            <w:shd w:val="clear" w:color="auto" w:fill="auto"/>
            <w:vAlign w:val="center"/>
          </w:tcPr>
          <w:p w14:paraId="5E53E9D2">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米</w:t>
            </w:r>
          </w:p>
        </w:tc>
        <w:tc>
          <w:tcPr>
            <w:tcW w:w="0" w:type="auto"/>
            <w:vAlign w:val="center"/>
          </w:tcPr>
          <w:p w14:paraId="353F0213">
            <w:pPr>
              <w:jc w:val="center"/>
              <w:rPr>
                <w:rFonts w:ascii="宋体" w:hAnsi="宋体" w:eastAsia="宋体" w:cs="宋体"/>
                <w:sz w:val="24"/>
                <w:szCs w:val="24"/>
                <w:highlight w:val="none"/>
              </w:rPr>
            </w:pPr>
            <w:r>
              <w:rPr>
                <w:rFonts w:hint="eastAsia" w:ascii="宋体" w:hAnsi="宋体" w:eastAsia="宋体" w:cs="宋体"/>
                <w:sz w:val="24"/>
                <w:szCs w:val="24"/>
                <w:highlight w:val="none"/>
                <w:lang w:eastAsia="zh-CN"/>
              </w:rPr>
              <w:t>工业</w:t>
            </w:r>
          </w:p>
        </w:tc>
        <w:tc>
          <w:tcPr>
            <w:tcW w:w="0" w:type="auto"/>
          </w:tcPr>
          <w:p w14:paraId="6C01C9BB">
            <w:pPr>
              <w:rPr>
                <w:rFonts w:ascii="宋体" w:hAnsi="宋体" w:eastAsia="宋体" w:cs="宋体"/>
                <w:sz w:val="24"/>
                <w:szCs w:val="24"/>
                <w:highlight w:val="none"/>
              </w:rPr>
            </w:pPr>
          </w:p>
        </w:tc>
      </w:tr>
      <w:tr w14:paraId="79857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6FBA4DEF">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79</w:t>
            </w:r>
          </w:p>
        </w:tc>
        <w:tc>
          <w:tcPr>
            <w:tcW w:w="0" w:type="auto"/>
            <w:shd w:val="clear" w:color="auto" w:fill="auto"/>
            <w:vAlign w:val="center"/>
          </w:tcPr>
          <w:p w14:paraId="170EA713">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定制讲桌</w:t>
            </w:r>
          </w:p>
        </w:tc>
        <w:tc>
          <w:tcPr>
            <w:tcW w:w="0" w:type="auto"/>
            <w:shd w:val="clear" w:color="auto" w:fill="auto"/>
            <w:vAlign w:val="center"/>
          </w:tcPr>
          <w:p w14:paraId="099086A5">
            <w:pPr>
              <w:widowControl/>
              <w:numPr>
                <w:ilvl w:val="0"/>
                <w:numId w:val="0"/>
              </w:numPr>
              <w:ind w:left="0" w:leftChars="0" w:firstLine="0" w:firstLineChars="0"/>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val="en-US" w:eastAsia="zh-CN" w:bidi="ar"/>
              </w:rPr>
              <w:t>1</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bidi="ar"/>
              </w:rPr>
              <w:t>尺寸：550*700*1050mm</w:t>
            </w:r>
            <w:r>
              <w:rPr>
                <w:rFonts w:hint="default" w:ascii="Times New Roman" w:hAnsi="Times New Roman" w:cs="Times New Roman"/>
                <w:color w:val="auto"/>
                <w:highlight w:val="none"/>
                <w:lang w:eastAsia="zh-CN"/>
              </w:rPr>
              <w:t>（</w:t>
            </w:r>
            <w:r>
              <w:rPr>
                <w:rFonts w:hint="default" w:ascii="Times New Roman" w:hAnsi="Times New Roman" w:eastAsia="宋体" w:cs="Times New Roman"/>
                <w:color w:val="auto"/>
                <w:kern w:val="0"/>
                <w:szCs w:val="21"/>
                <w:highlight w:val="none"/>
                <w:lang w:bidi="ar"/>
              </w:rPr>
              <w:t>±</w:t>
            </w:r>
            <w:r>
              <w:rPr>
                <w:rFonts w:hint="default" w:ascii="Times New Roman" w:hAnsi="Times New Roman" w:eastAsia="宋体" w:cs="Times New Roman"/>
                <w:color w:val="auto"/>
                <w:kern w:val="0"/>
                <w:szCs w:val="21"/>
                <w:highlight w:val="none"/>
                <w:lang w:val="en-US" w:eastAsia="zh-CN" w:bidi="ar"/>
              </w:rPr>
              <w:t>5</w:t>
            </w:r>
            <w:r>
              <w:rPr>
                <w:rFonts w:hint="default" w:ascii="Times New Roman" w:hAnsi="Times New Roman" w:eastAsia="宋体" w:cs="Times New Roman"/>
                <w:color w:val="auto"/>
                <w:kern w:val="0"/>
                <w:szCs w:val="21"/>
                <w:highlight w:val="none"/>
                <w:lang w:bidi="ar"/>
              </w:rPr>
              <w:t>mm</w:t>
            </w:r>
            <w:r>
              <w:rPr>
                <w:rFonts w:hint="default" w:ascii="Times New Roman" w:hAnsi="Times New Roman" w:cs="Times New Roman"/>
                <w:color w:val="auto"/>
                <w:highlight w:val="none"/>
                <w:lang w:eastAsia="zh-CN"/>
              </w:rPr>
              <w:t>）</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val="en-US" w:eastAsia="zh-CN" w:bidi="ar"/>
              </w:rPr>
              <w:t>2</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 xml:space="preserve">优质冷轧钢静电喷塑工艺，实木扶手；                                                                                                                                                                                </w:t>
            </w:r>
            <w:r>
              <w:rPr>
                <w:rFonts w:hint="default" w:ascii="Times New Roman" w:hAnsi="Times New Roman" w:eastAsia="宋体" w:cs="Times New Roman"/>
                <w:color w:val="auto"/>
                <w:kern w:val="0"/>
                <w:szCs w:val="21"/>
                <w:highlight w:val="none"/>
                <w:lang w:val="en-US" w:eastAsia="zh-CN" w:bidi="ar"/>
              </w:rPr>
              <w:t>3</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bidi="ar"/>
              </w:rPr>
              <w:t xml:space="preserve">木质耐刮桌面；                                                                                                                                    </w:t>
            </w:r>
            <w:r>
              <w:rPr>
                <w:rFonts w:hint="default" w:ascii="Times New Roman" w:hAnsi="Times New Roman" w:eastAsia="宋体" w:cs="Times New Roman"/>
                <w:color w:val="auto"/>
                <w:kern w:val="0"/>
                <w:szCs w:val="21"/>
                <w:highlight w:val="none"/>
                <w:lang w:val="en-US" w:eastAsia="zh-CN" w:bidi="ar"/>
              </w:rPr>
              <w:t>4</w:t>
            </w:r>
            <w:r>
              <w:rPr>
                <w:rFonts w:hint="eastAsia" w:ascii="Times New Roman" w:hAnsi="Times New Roman" w:eastAsia="宋体" w:cs="Times New Roman"/>
                <w:color w:val="auto"/>
                <w:kern w:val="0"/>
                <w:szCs w:val="21"/>
                <w:highlight w:val="none"/>
                <w:lang w:val="en-US" w:eastAsia="zh-CN" w:bidi="ar"/>
              </w:rPr>
              <w:t>、</w:t>
            </w:r>
            <w:r>
              <w:rPr>
                <w:rFonts w:hint="default" w:ascii="Times New Roman" w:hAnsi="Times New Roman" w:eastAsia="宋体" w:cs="Times New Roman"/>
                <w:color w:val="auto"/>
                <w:kern w:val="0"/>
                <w:szCs w:val="21"/>
                <w:highlight w:val="none"/>
                <w:lang w:bidi="ar"/>
              </w:rPr>
              <w:t>钢木结合。</w:t>
            </w:r>
          </w:p>
        </w:tc>
        <w:tc>
          <w:tcPr>
            <w:tcW w:w="0" w:type="auto"/>
            <w:shd w:val="clear" w:color="auto" w:fill="auto"/>
            <w:vAlign w:val="center"/>
          </w:tcPr>
          <w:p w14:paraId="7D5315B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2</w:t>
            </w:r>
          </w:p>
        </w:tc>
        <w:tc>
          <w:tcPr>
            <w:tcW w:w="0" w:type="auto"/>
            <w:shd w:val="clear" w:color="auto" w:fill="auto"/>
            <w:vAlign w:val="center"/>
          </w:tcPr>
          <w:p w14:paraId="054D6AB8">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个</w:t>
            </w:r>
          </w:p>
        </w:tc>
        <w:tc>
          <w:tcPr>
            <w:tcW w:w="0" w:type="auto"/>
            <w:vAlign w:val="center"/>
          </w:tcPr>
          <w:p w14:paraId="4945F868">
            <w:pPr>
              <w:jc w:val="center"/>
              <w:rPr>
                <w:rFonts w:ascii="宋体" w:hAnsi="宋体" w:eastAsia="宋体" w:cs="宋体"/>
                <w:sz w:val="24"/>
                <w:szCs w:val="24"/>
                <w:highlight w:val="none"/>
              </w:rPr>
            </w:pPr>
            <w:r>
              <w:rPr>
                <w:rFonts w:hint="eastAsia" w:ascii="宋体" w:hAnsi="宋体" w:eastAsia="宋体" w:cs="宋体"/>
                <w:sz w:val="24"/>
                <w:szCs w:val="24"/>
                <w:highlight w:val="none"/>
                <w:lang w:eastAsia="zh-CN"/>
              </w:rPr>
              <w:t>工业</w:t>
            </w:r>
          </w:p>
        </w:tc>
        <w:tc>
          <w:tcPr>
            <w:tcW w:w="0" w:type="auto"/>
          </w:tcPr>
          <w:p w14:paraId="04F21C4F">
            <w:pPr>
              <w:rPr>
                <w:rFonts w:ascii="宋体" w:hAnsi="宋体" w:eastAsia="宋体" w:cs="宋体"/>
                <w:sz w:val="24"/>
                <w:szCs w:val="24"/>
                <w:highlight w:val="none"/>
              </w:rPr>
            </w:pPr>
          </w:p>
        </w:tc>
      </w:tr>
      <w:tr w14:paraId="15FEA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vAlign w:val="center"/>
          </w:tcPr>
          <w:p w14:paraId="399A0674">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80</w:t>
            </w:r>
          </w:p>
        </w:tc>
        <w:tc>
          <w:tcPr>
            <w:tcW w:w="0" w:type="auto"/>
            <w:shd w:val="clear" w:color="auto" w:fill="auto"/>
            <w:vAlign w:val="center"/>
          </w:tcPr>
          <w:p w14:paraId="29C5F2F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定制标本陈列柜</w:t>
            </w:r>
          </w:p>
        </w:tc>
        <w:tc>
          <w:tcPr>
            <w:tcW w:w="0" w:type="auto"/>
            <w:shd w:val="clear" w:color="auto" w:fill="auto"/>
            <w:vAlign w:val="center"/>
          </w:tcPr>
          <w:p w14:paraId="1A1E2B68">
            <w:pPr>
              <w:widowControl/>
              <w:jc w:val="left"/>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1</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材质：钛镁合金，主体框架厚度≥1</w:t>
            </w:r>
            <w:r>
              <w:rPr>
                <w:rFonts w:hint="default" w:ascii="Times New Roman" w:hAnsi="Times New Roman" w:eastAsia="宋体" w:cs="Times New Roman"/>
                <w:color w:val="auto"/>
                <w:kern w:val="0"/>
                <w:szCs w:val="21"/>
                <w:highlight w:val="none"/>
                <w:lang w:val="en-US" w:eastAsia="zh-CN" w:bidi="ar"/>
              </w:rPr>
              <w:t>mm</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2</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规格：1200</w:t>
            </w:r>
            <w:r>
              <w:rPr>
                <w:rFonts w:hint="default" w:ascii="Times New Roman" w:hAnsi="Times New Roman" w:eastAsia="宋体" w:cs="Times New Roman"/>
                <w:color w:val="auto"/>
                <w:kern w:val="0"/>
                <w:szCs w:val="21"/>
                <w:highlight w:val="none"/>
                <w:lang w:val="en-US" w:eastAsia="zh-CN" w:bidi="ar"/>
              </w:rPr>
              <w:t>mm</w:t>
            </w:r>
            <w:r>
              <w:rPr>
                <w:rFonts w:hint="default" w:ascii="Times New Roman" w:hAnsi="Times New Roman" w:eastAsia="宋体" w:cs="Times New Roman"/>
                <w:color w:val="auto"/>
                <w:kern w:val="0"/>
                <w:szCs w:val="21"/>
                <w:highlight w:val="none"/>
                <w:lang w:bidi="ar"/>
              </w:rPr>
              <w:t>*400</w:t>
            </w:r>
            <w:r>
              <w:rPr>
                <w:rFonts w:hint="default" w:ascii="Times New Roman" w:hAnsi="Times New Roman" w:eastAsia="宋体" w:cs="Times New Roman"/>
                <w:color w:val="auto"/>
                <w:kern w:val="0"/>
                <w:szCs w:val="21"/>
                <w:highlight w:val="none"/>
                <w:lang w:val="en-US" w:eastAsia="zh-CN" w:bidi="ar"/>
              </w:rPr>
              <w:t>mm</w:t>
            </w:r>
            <w:r>
              <w:rPr>
                <w:rFonts w:hint="default" w:ascii="Times New Roman" w:hAnsi="Times New Roman" w:eastAsia="宋体" w:cs="Times New Roman"/>
                <w:color w:val="auto"/>
                <w:kern w:val="0"/>
                <w:szCs w:val="21"/>
                <w:highlight w:val="none"/>
                <w:lang w:bidi="ar"/>
              </w:rPr>
              <w:t>*200</w:t>
            </w:r>
            <w:r>
              <w:rPr>
                <w:rFonts w:hint="default" w:ascii="Times New Roman" w:hAnsi="Times New Roman" w:eastAsia="宋体" w:cs="Times New Roman"/>
                <w:color w:val="auto"/>
                <w:kern w:val="0"/>
                <w:szCs w:val="21"/>
                <w:highlight w:val="none"/>
                <w:lang w:val="en-US" w:eastAsia="zh-CN" w:bidi="ar"/>
              </w:rPr>
              <w:t>mm</w:t>
            </w:r>
            <w:r>
              <w:rPr>
                <w:rFonts w:hint="default" w:ascii="Times New Roman" w:hAnsi="Times New Roman" w:eastAsia="宋体" w:cs="Times New Roman"/>
                <w:color w:val="auto"/>
                <w:kern w:val="0"/>
                <w:szCs w:val="21"/>
                <w:highlight w:val="none"/>
                <w:lang w:bidi="ar"/>
              </w:rPr>
              <w:t xml:space="preserve"> </w:t>
            </w:r>
            <w:r>
              <w:rPr>
                <w:rFonts w:hint="default" w:ascii="Times New Roman" w:hAnsi="Times New Roman" w:cs="Times New Roman"/>
                <w:color w:val="auto"/>
                <w:highlight w:val="none"/>
                <w:lang w:eastAsia="zh-CN"/>
              </w:rPr>
              <w:t>（</w:t>
            </w:r>
            <w:r>
              <w:rPr>
                <w:rFonts w:hint="default" w:ascii="Times New Roman" w:hAnsi="Times New Roman" w:eastAsia="宋体" w:cs="Times New Roman"/>
                <w:color w:val="auto"/>
                <w:kern w:val="0"/>
                <w:szCs w:val="21"/>
                <w:highlight w:val="none"/>
                <w:lang w:bidi="ar"/>
              </w:rPr>
              <w:t>±</w:t>
            </w:r>
            <w:r>
              <w:rPr>
                <w:rFonts w:hint="default" w:ascii="Times New Roman" w:hAnsi="Times New Roman" w:eastAsia="宋体" w:cs="Times New Roman"/>
                <w:color w:val="auto"/>
                <w:kern w:val="0"/>
                <w:szCs w:val="21"/>
                <w:highlight w:val="none"/>
                <w:lang w:val="en-US" w:eastAsia="zh-CN" w:bidi="ar"/>
              </w:rPr>
              <w:t>5</w:t>
            </w:r>
            <w:r>
              <w:rPr>
                <w:rFonts w:hint="default" w:ascii="Times New Roman" w:hAnsi="Times New Roman" w:eastAsia="宋体" w:cs="Times New Roman"/>
                <w:color w:val="auto"/>
                <w:kern w:val="0"/>
                <w:szCs w:val="21"/>
                <w:highlight w:val="none"/>
                <w:lang w:bidi="ar"/>
              </w:rPr>
              <w:t>mm</w:t>
            </w:r>
            <w:r>
              <w:rPr>
                <w:rFonts w:hint="default" w:ascii="Times New Roman" w:hAnsi="Times New Roman" w:cs="Times New Roman"/>
                <w:color w:val="auto"/>
                <w:highlight w:val="none"/>
                <w:lang w:eastAsia="zh-CN"/>
              </w:rPr>
              <w:t>）</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3</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钛镁合金边框，银色底柜，双开门，高度≥500</w:t>
            </w:r>
            <w:r>
              <w:rPr>
                <w:rFonts w:hint="default" w:ascii="Times New Roman" w:hAnsi="Times New Roman" w:eastAsia="宋体" w:cs="Times New Roman"/>
                <w:color w:val="auto"/>
                <w:kern w:val="0"/>
                <w:szCs w:val="21"/>
                <w:highlight w:val="none"/>
                <w:lang w:val="en-US" w:eastAsia="zh-CN" w:bidi="ar"/>
              </w:rPr>
              <w:t>mm</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4</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中间部分三层钢化玻璃，厚度≥10</w:t>
            </w:r>
            <w:r>
              <w:rPr>
                <w:rFonts w:hint="default" w:ascii="Times New Roman" w:hAnsi="Times New Roman" w:eastAsia="宋体" w:cs="Times New Roman"/>
                <w:color w:val="auto"/>
                <w:kern w:val="0"/>
                <w:szCs w:val="21"/>
                <w:highlight w:val="none"/>
                <w:lang w:val="en-US" w:eastAsia="zh-CN" w:bidi="ar"/>
              </w:rPr>
              <w:t>mm</w:t>
            </w:r>
            <w:r>
              <w:rPr>
                <w:rFonts w:hint="default" w:ascii="Times New Roman" w:hAnsi="Times New Roman" w:eastAsia="宋体" w:cs="Times New Roman"/>
                <w:color w:val="auto"/>
                <w:kern w:val="0"/>
                <w:szCs w:val="21"/>
                <w:highlight w:val="none"/>
                <w:lang w:bidi="ar"/>
              </w:rPr>
              <w:t>。分成四层，总空间高度≥1300</w:t>
            </w:r>
            <w:r>
              <w:rPr>
                <w:rFonts w:hint="default" w:ascii="Times New Roman" w:hAnsi="Times New Roman" w:eastAsia="宋体" w:cs="Times New Roman"/>
                <w:color w:val="auto"/>
                <w:kern w:val="0"/>
                <w:szCs w:val="21"/>
                <w:highlight w:val="none"/>
                <w:lang w:val="en-US" w:eastAsia="zh-CN" w:bidi="ar"/>
              </w:rPr>
              <w:t>mm</w:t>
            </w:r>
            <w:r>
              <w:rPr>
                <w:rFonts w:hint="default" w:ascii="Times New Roman" w:hAnsi="Times New Roman" w:eastAsia="宋体" w:cs="Times New Roman"/>
                <w:color w:val="auto"/>
                <w:kern w:val="0"/>
                <w:szCs w:val="21"/>
                <w:highlight w:val="none"/>
                <w:lang w:bidi="ar"/>
              </w:rPr>
              <w:t>。</w:t>
            </w:r>
            <w:r>
              <w:rPr>
                <w:rFonts w:hint="default" w:ascii="Times New Roman" w:hAnsi="Times New Roman" w:eastAsia="宋体" w:cs="Times New Roman"/>
                <w:color w:val="auto"/>
                <w:kern w:val="0"/>
                <w:szCs w:val="21"/>
                <w:highlight w:val="none"/>
                <w:lang w:bidi="ar"/>
              </w:rPr>
              <w:br w:type="textWrapping"/>
            </w:r>
            <w:r>
              <w:rPr>
                <w:rFonts w:hint="default" w:ascii="Times New Roman" w:hAnsi="Times New Roman" w:eastAsia="宋体" w:cs="Times New Roman"/>
                <w:color w:val="auto"/>
                <w:kern w:val="0"/>
                <w:szCs w:val="21"/>
                <w:highlight w:val="none"/>
                <w:lang w:bidi="ar"/>
              </w:rPr>
              <w:t>5</w:t>
            </w:r>
            <w:r>
              <w:rPr>
                <w:rFonts w:hint="eastAsia" w:ascii="Times New Roman" w:hAnsi="Times New Roman" w:eastAsia="宋体" w:cs="Times New Roman"/>
                <w:color w:val="auto"/>
                <w:kern w:val="0"/>
                <w:szCs w:val="21"/>
                <w:highlight w:val="none"/>
                <w:lang w:eastAsia="zh-CN" w:bidi="ar"/>
              </w:rPr>
              <w:t>、</w:t>
            </w:r>
            <w:r>
              <w:rPr>
                <w:rFonts w:hint="default" w:ascii="Times New Roman" w:hAnsi="Times New Roman" w:eastAsia="宋体" w:cs="Times New Roman"/>
                <w:color w:val="auto"/>
                <w:kern w:val="0"/>
                <w:szCs w:val="21"/>
                <w:highlight w:val="none"/>
                <w:lang w:bidi="ar"/>
              </w:rPr>
              <w:t>每个柜子三个LED顶灯，四周≥5mm玻璃钢化。</w:t>
            </w:r>
          </w:p>
        </w:tc>
        <w:tc>
          <w:tcPr>
            <w:tcW w:w="0" w:type="auto"/>
            <w:shd w:val="clear" w:color="auto" w:fill="auto"/>
            <w:vAlign w:val="center"/>
          </w:tcPr>
          <w:p w14:paraId="6888DC85">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Cs w:val="21"/>
                <w:highlight w:val="none"/>
              </w:rPr>
              <w:t>8</w:t>
            </w:r>
          </w:p>
        </w:tc>
        <w:tc>
          <w:tcPr>
            <w:tcW w:w="0" w:type="auto"/>
            <w:shd w:val="clear" w:color="auto" w:fill="auto"/>
            <w:vAlign w:val="center"/>
          </w:tcPr>
          <w:p w14:paraId="2EA03F1E">
            <w:pPr>
              <w:widowControl/>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0"/>
                <w:szCs w:val="21"/>
                <w:highlight w:val="none"/>
                <w:lang w:bidi="ar"/>
              </w:rPr>
              <w:t>个</w:t>
            </w:r>
          </w:p>
        </w:tc>
        <w:tc>
          <w:tcPr>
            <w:tcW w:w="0" w:type="auto"/>
            <w:vAlign w:val="center"/>
          </w:tcPr>
          <w:p w14:paraId="075DE25D">
            <w:pPr>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工业</w:t>
            </w:r>
          </w:p>
        </w:tc>
        <w:tc>
          <w:tcPr>
            <w:tcW w:w="0" w:type="auto"/>
          </w:tcPr>
          <w:p w14:paraId="2EF83D44">
            <w:pPr>
              <w:rPr>
                <w:rFonts w:ascii="宋体" w:hAnsi="宋体" w:eastAsia="宋体" w:cs="宋体"/>
                <w:sz w:val="24"/>
                <w:szCs w:val="24"/>
                <w:highlight w:val="none"/>
              </w:rPr>
            </w:pPr>
          </w:p>
        </w:tc>
      </w:tr>
    </w:tbl>
    <w:p w14:paraId="1E6A82EE">
      <w:pPr>
        <w:pStyle w:val="4"/>
        <w:rPr>
          <w:rFonts w:hint="eastAsia" w:ascii="宋体" w:hAnsi="宋体" w:eastAsia="宋体" w:cs="宋体"/>
          <w:sz w:val="24"/>
          <w:szCs w:val="24"/>
          <w:highlight w:val="none"/>
        </w:rPr>
      </w:pPr>
      <w:r>
        <w:rPr>
          <w:rFonts w:ascii="宋体" w:hAnsi="宋体" w:eastAsia="宋体" w:cs="宋体"/>
          <w:sz w:val="24"/>
          <w:szCs w:val="24"/>
          <w:highlight w:val="none"/>
        </w:rPr>
        <w:t>注：上表所属行业中标注“/”的品目，投标人在《中小企业声明函》中无需列明。</w:t>
      </w:r>
    </w:p>
    <w:bookmarkEnd w:id="6"/>
    <w:bookmarkEnd w:id="7"/>
    <w:p w14:paraId="5B45E06B">
      <w:pPr>
        <w:numPr>
          <w:ilvl w:val="0"/>
          <w:numId w:val="0"/>
        </w:numPr>
        <w:spacing w:line="360" w:lineRule="auto"/>
        <w:outlineLvl w:val="1"/>
        <w:rPr>
          <w:rFonts w:hint="eastAsia" w:ascii="宋体" w:hAnsi="宋体" w:eastAsia="宋体"/>
          <w:b/>
          <w:bCs/>
          <w:sz w:val="24"/>
          <w:szCs w:val="18"/>
          <w:highlight w:val="none"/>
          <w:lang w:val="en-US" w:eastAsia="zh-CN"/>
        </w:rPr>
      </w:pPr>
      <w:r>
        <w:rPr>
          <w:rFonts w:hint="eastAsia" w:ascii="宋体" w:hAnsi="宋体" w:eastAsia="宋体"/>
          <w:b/>
          <w:bCs/>
          <w:sz w:val="24"/>
          <w:szCs w:val="18"/>
          <w:highlight w:val="none"/>
          <w:lang w:val="en-US" w:eastAsia="zh-CN"/>
        </w:rPr>
        <w:t>三、报价要求</w:t>
      </w:r>
    </w:p>
    <w:p w14:paraId="16D9D337">
      <w:pPr>
        <w:ind w:right="-147" w:firstLine="480" w:firstLineChars="200"/>
        <w:jc w:val="lef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本项目报价包含但不限于税费、人员工资、保险、运输、搬运、安装、调试等项目全部费用，后续不再另行追加任何费用。</w:t>
      </w:r>
    </w:p>
    <w:p w14:paraId="47EAAAF0">
      <w:pPr>
        <w:spacing w:line="360" w:lineRule="auto"/>
        <w:outlineLvl w:val="1"/>
        <w:rPr>
          <w:rFonts w:hint="eastAsia" w:ascii="宋体" w:hAnsi="宋体" w:eastAsia="宋体"/>
          <w:b/>
          <w:bCs/>
          <w:sz w:val="24"/>
          <w:szCs w:val="18"/>
          <w:highlight w:val="none"/>
          <w:lang w:val="en-US" w:eastAsia="zh-CN"/>
        </w:rPr>
      </w:pPr>
      <w:r>
        <w:rPr>
          <w:rFonts w:hint="eastAsia" w:ascii="宋体" w:hAnsi="宋体" w:eastAsia="宋体"/>
          <w:b/>
          <w:bCs/>
          <w:sz w:val="24"/>
          <w:szCs w:val="18"/>
          <w:highlight w:val="none"/>
          <w:lang w:val="en-US" w:eastAsia="zh-CN"/>
        </w:rPr>
        <w:t>四、承诺</w:t>
      </w:r>
    </w:p>
    <w:p w14:paraId="1794870F">
      <w:pPr>
        <w:ind w:right="-147" w:firstLine="482" w:firstLineChars="200"/>
        <w:jc w:val="left"/>
        <w:rPr>
          <w:rFonts w:hint="eastAsia" w:ascii="宋体" w:hAnsi="宋体" w:eastAsia="宋体"/>
          <w:b/>
          <w:bCs/>
          <w:sz w:val="24"/>
          <w:szCs w:val="18"/>
          <w:highlight w:val="none"/>
          <w:lang w:val="en-US" w:eastAsia="zh-CN"/>
        </w:rPr>
      </w:pPr>
      <w:r>
        <w:rPr>
          <w:rFonts w:hint="eastAsia" w:ascii="宋体" w:hAnsi="宋体" w:eastAsia="宋体" w:cs="宋体"/>
          <w:b/>
          <w:bCs/>
          <w:sz w:val="24"/>
          <w:szCs w:val="24"/>
          <w:highlight w:val="none"/>
          <w:lang w:val="en-US" w:eastAsia="zh-CN"/>
        </w:rPr>
        <w:t>要求投标人针对解剖虚拟仿真教学系统（教师端）货物提供承诺书，承诺该货物终身免费升级服务，免费迁移系统各仿真模块。</w:t>
      </w:r>
    </w:p>
    <w:p w14:paraId="405ADB31">
      <w:pPr>
        <w:spacing w:line="360" w:lineRule="auto"/>
        <w:outlineLvl w:val="1"/>
        <w:rPr>
          <w:rFonts w:ascii="宋体" w:hAnsi="宋体" w:eastAsia="宋体"/>
          <w:b/>
          <w:bCs/>
          <w:sz w:val="24"/>
          <w:szCs w:val="18"/>
          <w:highlight w:val="none"/>
        </w:rPr>
      </w:pPr>
      <w:r>
        <w:rPr>
          <w:rFonts w:hint="eastAsia" w:ascii="宋体" w:hAnsi="宋体" w:eastAsia="宋体"/>
          <w:b/>
          <w:bCs/>
          <w:sz w:val="24"/>
          <w:szCs w:val="18"/>
          <w:highlight w:val="none"/>
          <w:lang w:val="en-US" w:eastAsia="zh-CN"/>
        </w:rPr>
        <w:t>五、</w:t>
      </w:r>
      <w:r>
        <w:rPr>
          <w:rFonts w:hint="eastAsia" w:ascii="宋体" w:hAnsi="宋体" w:eastAsia="宋体"/>
          <w:b/>
          <w:bCs/>
          <w:sz w:val="24"/>
          <w:szCs w:val="18"/>
          <w:highlight w:val="none"/>
        </w:rPr>
        <w:t>违约及风险约定</w:t>
      </w:r>
    </w:p>
    <w:p w14:paraId="5A6DA794">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除不可抗力外，如果供应商没有按照采购人约定的期限、地点和方式交付货物，那么乙方须支付违约金，违约金按每迟延交付货物一日的应交付而未交付货物价格的1%计算，最高限额为本合同总价的2.5%；迟延交付货物的违约金计算数额达到前述最高限额之日起，甲方有权在要求乙方支付违约金的同时，书面通知中标商解除本合同并不予退还履约保证金。</w:t>
      </w:r>
    </w:p>
    <w:p w14:paraId="4F1C1C38">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除不可抗力外，中标商未能履行项目约定的其他主要义务，经催告后在合理期限内仍未履行的，有其他违约行为致使不能实现项目实施目的的，或者有腐败行为（即：提供或给予或接受或索取任何财物或其他好处或者采取其他不正当手段影响合同签订、履行过程中的行为）或者欺诈行为（即：以谎报事实或者隐瞒真相的方法来影响合同签订、履行过程中的行为）的，书面通知中标商解除本合同并不予退还履约保证金。</w:t>
      </w:r>
    </w:p>
    <w:p w14:paraId="3F5D996F">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3.不可抗力因素包括且不限于以下情况：</w:t>
      </w:r>
    </w:p>
    <w:p w14:paraId="2A7BCAAF">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fldChar w:fldCharType="begin"/>
      </w:r>
      <w:r>
        <w:rPr>
          <w:rFonts w:hint="eastAsia" w:ascii="宋体" w:hAnsi="宋体" w:eastAsia="宋体" w:cs="宋体"/>
          <w:sz w:val="24"/>
          <w:szCs w:val="24"/>
          <w:highlight w:val="none"/>
          <w:lang w:val="en-US" w:eastAsia="zh-CN"/>
        </w:rPr>
        <w:instrText xml:space="preserve"> = 1 \* GB3 </w:instrText>
      </w:r>
      <w:r>
        <w:rPr>
          <w:rFonts w:hint="eastAsia" w:ascii="宋体" w:hAnsi="宋体" w:eastAsia="宋体" w:cs="宋体"/>
          <w:sz w:val="24"/>
          <w:szCs w:val="24"/>
          <w:highlight w:val="none"/>
          <w:lang w:val="en-US" w:eastAsia="zh-CN"/>
        </w:rPr>
        <w:fldChar w:fldCharType="separate"/>
      </w:r>
      <w:r>
        <w:rPr>
          <w:rFonts w:hint="eastAsia" w:ascii="宋体" w:hAnsi="宋体" w:eastAsia="宋体" w:cs="宋体"/>
          <w:sz w:val="24"/>
          <w:szCs w:val="24"/>
          <w:highlight w:val="none"/>
          <w:lang w:val="en-US" w:eastAsia="zh-CN"/>
        </w:rPr>
        <w:t>①</w:t>
      </w:r>
      <w:r>
        <w:rPr>
          <w:rFonts w:hint="eastAsia" w:ascii="宋体" w:hAnsi="宋体" w:eastAsia="宋体" w:cs="宋体"/>
          <w:sz w:val="24"/>
          <w:szCs w:val="24"/>
          <w:highlight w:val="none"/>
          <w:lang w:val="en-US" w:eastAsia="zh-CN"/>
        </w:rPr>
        <w:fldChar w:fldCharType="end"/>
      </w:r>
      <w:r>
        <w:rPr>
          <w:rFonts w:hint="eastAsia" w:ascii="宋体" w:hAnsi="宋体" w:eastAsia="宋体" w:cs="宋体"/>
          <w:sz w:val="24"/>
          <w:szCs w:val="24"/>
          <w:highlight w:val="none"/>
          <w:lang w:val="en-US" w:eastAsia="zh-CN"/>
        </w:rPr>
        <w:t>自然灾害：如台风、地震、洪水、冰雹等，这些自然灾害是无法预测且难以避免的。</w:t>
      </w:r>
    </w:p>
    <w:p w14:paraId="6FF61981">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fldChar w:fldCharType="begin"/>
      </w:r>
      <w:r>
        <w:rPr>
          <w:rFonts w:hint="eastAsia" w:ascii="宋体" w:hAnsi="宋体" w:eastAsia="宋体" w:cs="宋体"/>
          <w:sz w:val="24"/>
          <w:szCs w:val="24"/>
          <w:highlight w:val="none"/>
          <w:lang w:val="en-US" w:eastAsia="zh-CN"/>
        </w:rPr>
        <w:instrText xml:space="preserve"> = 2 \* GB3 </w:instrText>
      </w:r>
      <w:r>
        <w:rPr>
          <w:rFonts w:hint="eastAsia" w:ascii="宋体" w:hAnsi="宋体" w:eastAsia="宋体" w:cs="宋体"/>
          <w:sz w:val="24"/>
          <w:szCs w:val="24"/>
          <w:highlight w:val="none"/>
          <w:lang w:val="en-US" w:eastAsia="zh-CN"/>
        </w:rPr>
        <w:fldChar w:fldCharType="separate"/>
      </w:r>
      <w:r>
        <w:rPr>
          <w:rFonts w:hint="eastAsia" w:ascii="宋体" w:hAnsi="宋体" w:eastAsia="宋体" w:cs="宋体"/>
          <w:sz w:val="24"/>
          <w:szCs w:val="24"/>
          <w:highlight w:val="none"/>
          <w:lang w:val="en-US" w:eastAsia="zh-CN"/>
        </w:rPr>
        <w:t>②</w:t>
      </w:r>
      <w:r>
        <w:rPr>
          <w:rFonts w:hint="eastAsia" w:ascii="宋体" w:hAnsi="宋体" w:eastAsia="宋体" w:cs="宋体"/>
          <w:sz w:val="24"/>
          <w:szCs w:val="24"/>
          <w:highlight w:val="none"/>
          <w:lang w:val="en-US" w:eastAsia="zh-CN"/>
        </w:rPr>
        <w:fldChar w:fldCharType="end"/>
      </w:r>
      <w:r>
        <w:rPr>
          <w:rFonts w:hint="eastAsia" w:ascii="宋体" w:hAnsi="宋体" w:eastAsia="宋体" w:cs="宋体"/>
          <w:sz w:val="24"/>
          <w:szCs w:val="24"/>
          <w:highlight w:val="none"/>
          <w:lang w:val="en-US" w:eastAsia="zh-CN"/>
        </w:rPr>
        <w:t>政府行为：如征收、征用等，这些行为是政府为了公共利益而采取的，个人或企业往往无法抗拒。</w:t>
      </w:r>
    </w:p>
    <w:p w14:paraId="2922BD07">
      <w:pPr>
        <w:ind w:right="-147" w:firstLine="480" w:firstLineChars="200"/>
        <w:jc w:val="left"/>
      </w:pPr>
      <w:bookmarkStart w:id="8" w:name="_GoBack"/>
      <w:bookmarkEnd w:id="8"/>
      <w:r>
        <w:rPr>
          <w:rFonts w:hint="eastAsia" w:ascii="宋体" w:hAnsi="宋体" w:eastAsia="宋体" w:cs="宋体"/>
          <w:sz w:val="24"/>
          <w:szCs w:val="24"/>
          <w:highlight w:val="none"/>
          <w:lang w:val="en-US" w:eastAsia="zh-CN"/>
        </w:rPr>
        <w:fldChar w:fldCharType="begin"/>
      </w:r>
      <w:r>
        <w:rPr>
          <w:rFonts w:hint="eastAsia" w:ascii="宋体" w:hAnsi="宋体" w:eastAsia="宋体" w:cs="宋体"/>
          <w:sz w:val="24"/>
          <w:szCs w:val="24"/>
          <w:highlight w:val="none"/>
          <w:lang w:val="en-US" w:eastAsia="zh-CN"/>
        </w:rPr>
        <w:instrText xml:space="preserve"> = 3 \* GB3 </w:instrText>
      </w:r>
      <w:r>
        <w:rPr>
          <w:rFonts w:hint="eastAsia" w:ascii="宋体" w:hAnsi="宋体" w:eastAsia="宋体" w:cs="宋体"/>
          <w:sz w:val="24"/>
          <w:szCs w:val="24"/>
          <w:highlight w:val="none"/>
          <w:lang w:val="en-US" w:eastAsia="zh-CN"/>
        </w:rPr>
        <w:fldChar w:fldCharType="separate"/>
      </w:r>
      <w:r>
        <w:rPr>
          <w:rFonts w:hint="eastAsia" w:ascii="宋体" w:hAnsi="宋体" w:eastAsia="宋体" w:cs="宋体"/>
          <w:sz w:val="24"/>
          <w:szCs w:val="24"/>
          <w:highlight w:val="none"/>
          <w:lang w:val="en-US" w:eastAsia="zh-CN"/>
        </w:rPr>
        <w:t>③</w:t>
      </w:r>
      <w:r>
        <w:rPr>
          <w:rFonts w:hint="eastAsia" w:ascii="宋体" w:hAnsi="宋体" w:eastAsia="宋体" w:cs="宋体"/>
          <w:sz w:val="24"/>
          <w:szCs w:val="24"/>
          <w:highlight w:val="none"/>
          <w:lang w:val="en-US" w:eastAsia="zh-CN"/>
        </w:rPr>
        <w:fldChar w:fldCharType="end"/>
      </w:r>
      <w:r>
        <w:rPr>
          <w:rFonts w:hint="eastAsia" w:ascii="宋体" w:hAnsi="宋体" w:eastAsia="宋体" w:cs="宋体"/>
          <w:sz w:val="24"/>
          <w:szCs w:val="24"/>
          <w:highlight w:val="none"/>
          <w:lang w:val="en-US" w:eastAsia="zh-CN"/>
        </w:rPr>
        <w:t>社会异常事件：如罢工、骚乱等。</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微软简标宋">
    <w:altName w:val="@宋体"/>
    <w:panose1 w:val="00000000000000000000"/>
    <w:charset w:val="86"/>
    <w:family w:val="auto"/>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DE6ECF0"/>
    <w:multiLevelType w:val="singleLevel"/>
    <w:tmpl w:val="7DE6ECF0"/>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1072F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仿宋_GB2312" w:eastAsia="@仿宋_GB2312" w:cs="@仿宋_GB2312"/>
      <w:kern w:val="2"/>
      <w:sz w:val="21"/>
      <w:lang w:val="en-US" w:eastAsia="zh-CN" w:bidi="ar-SA"/>
    </w:rPr>
  </w:style>
  <w:style w:type="paragraph" w:styleId="3">
    <w:name w:val="heading 4"/>
    <w:basedOn w:val="1"/>
    <w:next w:val="1"/>
    <w:qFormat/>
    <w:uiPriority w:val="0"/>
    <w:pPr>
      <w:keepNext/>
      <w:keepLines/>
      <w:spacing w:before="280" w:after="290" w:line="376" w:lineRule="auto"/>
      <w:outlineLvl w:val="3"/>
    </w:pPr>
    <w:rPr>
      <w:b/>
      <w:bCs/>
      <w:sz w:val="28"/>
      <w:szCs w:val="28"/>
    </w:rPr>
  </w:style>
  <w:style w:type="paragraph" w:styleId="4">
    <w:name w:val="heading 5"/>
    <w:basedOn w:val="1"/>
    <w:next w:val="1"/>
    <w:unhideWhenUsed/>
    <w:qFormat/>
    <w:uiPriority w:val="9"/>
    <w:pPr>
      <w:keepNext/>
      <w:keepLines/>
      <w:spacing w:line="372" w:lineRule="auto"/>
      <w:outlineLvl w:val="4"/>
    </w:pPr>
    <w:rPr>
      <w:b/>
      <w:sz w:val="28"/>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w:basedOn w:val="1"/>
    <w:qFormat/>
    <w:uiPriority w:val="0"/>
    <w:pPr>
      <w:spacing w:after="120"/>
    </w:pPr>
    <w:rPr>
      <w:rFonts w:ascii="@微软简标宋" w:hAnsi="@微软简标宋" w:eastAsia="@微软简标宋" w:cs="@微软简标宋"/>
      <w:szCs w:val="24"/>
      <w:lang w:val="zh-CN"/>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8">
    <w:name w:val="D&amp;L"/>
    <w:basedOn w:val="5"/>
    <w:autoRedefine/>
    <w:qFormat/>
    <w:uiPriority w:val="0"/>
    <w:pPr>
      <w:pBdr>
        <w:bottom w:val="thinThickSmallGap" w:color="auto" w:sz="18" w:space="1"/>
      </w:pBdr>
      <w:adjustRightInd w:val="0"/>
      <w:snapToGrid/>
      <w:spacing w:line="240" w:lineRule="atLeast"/>
      <w:textAlignment w:val="baseline"/>
    </w:pPr>
    <w:rPr>
      <w:kern w:val="0"/>
      <w:sz w:val="24"/>
      <w:szCs w:val="20"/>
    </w:rPr>
  </w:style>
  <w:style w:type="paragraph" w:customStyle="1" w:styleId="9">
    <w:name w:val="xl31"/>
    <w:basedOn w:val="1"/>
    <w:autoRedefine/>
    <w:qFormat/>
    <w:uiPriority w:val="0"/>
    <w:pPr>
      <w:widowControl/>
      <w:spacing w:before="100" w:beforeAutospacing="1" w:after="100" w:afterAutospacing="1"/>
      <w:jc w:val="center"/>
    </w:pPr>
    <w:rPr>
      <w:b/>
      <w:bCs/>
      <w:kern w:val="0"/>
      <w:sz w:val="28"/>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28</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2025-04-03T10:36:22Z</dcterms:created>
  <dc:creator>Administrator</dc:creator>
  <cp:lastModifiedBy>M</cp:lastModifiedBy>
  <dcterms:modified xsi:type="dcterms:W3CDTF">2025-04-03T10:36:56Z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eyJoZGlkIjoiOWEwYTUzNzRjNTY1NjAwZjc3YTBlNGQwODhjMWZhNjciLCJ1c2VySWQiOiIyOTgxMTI1OTkifQ==</vt:lpwstr>
  </property>
  <property fmtid="{D5CDD505-2E9C-101B-9397-08002B2CF9AE}" pid="4" name="ICV">
    <vt:lpwstr>3935BCE08FBA4270A6CECFBAE570F345_12</vt:lpwstr>
  </property>
</Properties>
</file>