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0DD41">
      <w:pPr>
        <w:pStyle w:val="2"/>
        <w:jc w:val="center"/>
        <w:rPr>
          <w:rFonts w:hint="eastAsia" w:ascii="宋体" w:hAnsi="宋体"/>
        </w:rPr>
      </w:pPr>
      <w:bookmarkStart w:id="0" w:name="_Toc27518"/>
      <w:bookmarkStart w:id="1" w:name="_Toc6022"/>
      <w:bookmarkStart w:id="8" w:name="_GoBack"/>
      <w:bookmarkEnd w:id="8"/>
      <w:r>
        <w:rPr>
          <w:rFonts w:hint="eastAsia" w:ascii="宋体" w:hAnsi="宋体"/>
          <w:szCs w:val="36"/>
        </w:rPr>
        <w:t xml:space="preserve">第三章 </w:t>
      </w:r>
      <w:r>
        <w:rPr>
          <w:rFonts w:hint="eastAsia" w:ascii="宋体" w:hAnsi="宋体"/>
          <w:b w:val="0"/>
          <w:bCs w:val="0"/>
        </w:rPr>
        <w:t xml:space="preserve"> </w:t>
      </w:r>
      <w:r>
        <w:rPr>
          <w:rFonts w:hint="eastAsia" w:ascii="宋体" w:hAnsi="宋体"/>
          <w:szCs w:val="36"/>
        </w:rPr>
        <w:t>采购需求</w:t>
      </w:r>
      <w:bookmarkEnd w:id="0"/>
      <w:bookmarkEnd w:id="1"/>
    </w:p>
    <w:p w14:paraId="02C9F766">
      <w:pPr>
        <w:spacing w:before="124" w:beforeLines="40" w:after="124" w:afterLines="40" w:line="400" w:lineRule="exact"/>
        <w:ind w:firstLine="420" w:firstLineChars="200"/>
        <w:jc w:val="left"/>
        <w:rPr>
          <w:rFonts w:hint="eastAsia" w:ascii="宋体" w:hAnsi="宋体"/>
          <w:szCs w:val="21"/>
        </w:rPr>
      </w:pPr>
      <w:r>
        <w:rPr>
          <w:rFonts w:hint="eastAsia" w:ascii="宋体" w:hAnsi="宋体"/>
          <w:szCs w:val="21"/>
        </w:rPr>
        <w:t>前注：</w:t>
      </w:r>
    </w:p>
    <w:p w14:paraId="1ED7D492">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 xml:space="preserve">    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5944AEB6">
      <w:pPr>
        <w:adjustRightInd w:val="0"/>
        <w:snapToGrid w:val="0"/>
        <w:spacing w:line="360" w:lineRule="auto"/>
        <w:ind w:firstLine="420" w:firstLineChars="200"/>
        <w:jc w:val="left"/>
        <w:rPr>
          <w:rFonts w:hint="eastAsia" w:ascii="宋体" w:hAnsi="宋体"/>
          <w:szCs w:val="21"/>
          <w:highlight w:val="none"/>
        </w:rPr>
      </w:pPr>
      <w:r>
        <w:rPr>
          <w:rFonts w:hint="eastAsia" w:ascii="宋体" w:hAnsi="宋体"/>
          <w:szCs w:val="21"/>
        </w:rPr>
        <w:t>3.如涉及商品包装和快递包装，投标人应当执行《关于印发〈商品包装政府采购需求标准（试行）〉、〈快递包装政府采购需求标准（试行）〉的通知》（财办库〔2020〕123号）、《安徽省财政厅关于贯彻落实政府绿色采购有关政策的通知》（皖财购〔2023〕853号）的</w:t>
      </w:r>
      <w:r>
        <w:rPr>
          <w:rFonts w:hint="eastAsia" w:ascii="宋体" w:hAnsi="宋体"/>
          <w:szCs w:val="21"/>
          <w:highlight w:val="none"/>
        </w:rPr>
        <w:t>要求，提供符合需求标准的绿色包装、绿色运输，同时，采购人将对包装材料和运输环节作为履约验收条款进行验收；</w:t>
      </w:r>
    </w:p>
    <w:p w14:paraId="00D422F1">
      <w:pPr>
        <w:adjustRightInd w:val="0"/>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4.本章中标注“▲”的产品为主要标的（包括核心产品）。</w:t>
      </w:r>
      <w:bookmarkStart w:id="2" w:name="_Hlk33586079"/>
      <w:r>
        <w:rPr>
          <w:rFonts w:hint="eastAsia" w:ascii="宋体" w:hAnsi="宋体"/>
          <w:szCs w:val="21"/>
          <w:highlight w:val="none"/>
        </w:rPr>
        <w:t>采购人（代理机构）在编制招标文件时必须将采购的主要标的（包括核心产品）标注“▲”</w:t>
      </w:r>
      <w:bookmarkEnd w:id="2"/>
      <w:r>
        <w:rPr>
          <w:rFonts w:hint="eastAsia" w:ascii="宋体" w:hAnsi="宋体"/>
          <w:szCs w:val="21"/>
          <w:highlight w:val="none"/>
        </w:rPr>
        <w:t>。</w:t>
      </w:r>
    </w:p>
    <w:p w14:paraId="662C2F3E">
      <w:pPr>
        <w:adjustRightInd w:val="0"/>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5.本章中标注“</w:t>
      </w:r>
      <w:r>
        <w:rPr>
          <w:rFonts w:hint="eastAsia" w:ascii="宋体" w:hAnsi="宋体"/>
          <w:szCs w:val="21"/>
          <w:highlight w:val="none"/>
          <w:lang w:val="en-US" w:eastAsia="zh-CN"/>
        </w:rPr>
        <w:t>■</w:t>
      </w:r>
      <w:r>
        <w:rPr>
          <w:rFonts w:hint="eastAsia" w:ascii="宋体" w:hAnsi="宋体"/>
          <w:szCs w:val="21"/>
          <w:highlight w:val="none"/>
        </w:rPr>
        <w:t>”的参数为实质性参数，供应商必须满足并提供招标文件规定的证明材料。若招标文件未明确要求何种证明材料，</w:t>
      </w:r>
      <w:r>
        <w:rPr>
          <w:rFonts w:hint="eastAsia" w:ascii="宋体" w:hAnsi="宋体"/>
          <w:szCs w:val="21"/>
          <w:highlight w:val="none"/>
          <w:lang w:val="en-US" w:eastAsia="zh-CN"/>
        </w:rPr>
        <w:t>则提供以下证明材料之一即可，包括医疗器械注册证、产品注册检验报告、技术白皮书、产品彩页、说明书等，否则视为负偏离</w:t>
      </w:r>
      <w:r>
        <w:rPr>
          <w:rFonts w:hint="eastAsia" w:ascii="宋体" w:hAnsi="宋体"/>
          <w:szCs w:val="21"/>
          <w:highlight w:val="none"/>
        </w:rPr>
        <w:t>。</w:t>
      </w:r>
      <w:bookmarkStart w:id="3" w:name="_Hlk130665727"/>
    </w:p>
    <w:p w14:paraId="6EA26EF3">
      <w:pPr>
        <w:adjustRightInd w:val="0"/>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6.本章中标注“</w:t>
      </w:r>
      <w:r>
        <w:rPr>
          <w:rFonts w:hint="eastAsia" w:ascii="宋体" w:hAnsi="宋体" w:cs="宋体"/>
          <w:szCs w:val="21"/>
          <w:highlight w:val="none"/>
        </w:rPr>
        <w:t>★</w:t>
      </w:r>
      <w:r>
        <w:rPr>
          <w:rFonts w:hint="eastAsia" w:ascii="宋体" w:hAnsi="宋体"/>
          <w:szCs w:val="21"/>
          <w:highlight w:val="none"/>
        </w:rPr>
        <w:t>”的技术参数，为采购产品的重要技术参数，投标文件中提供能反映其所在条款的相关证明材料扫描件，证明材料包括：医疗器械注册证、第三方有权机构出具的检验或检测报告、技术白皮书、产品彩页</w:t>
      </w:r>
      <w:r>
        <w:rPr>
          <w:rFonts w:hint="eastAsia" w:ascii="宋体" w:hAnsi="宋体"/>
          <w:szCs w:val="21"/>
          <w:highlight w:val="none"/>
          <w:lang w:eastAsia="zh-CN"/>
        </w:rPr>
        <w:t>、</w:t>
      </w:r>
      <w:r>
        <w:rPr>
          <w:rFonts w:hint="eastAsia" w:ascii="宋体" w:hAnsi="宋体"/>
          <w:szCs w:val="21"/>
          <w:highlight w:val="none"/>
        </w:rPr>
        <w:t>说明书等,提供其中之一即可，否则视为负偏离。</w:t>
      </w:r>
      <w:bookmarkEnd w:id="3"/>
    </w:p>
    <w:p w14:paraId="014D4E74">
      <w:pPr>
        <w:adjustRightInd w:val="0"/>
        <w:snapToGrid w:val="0"/>
        <w:spacing w:before="124" w:beforeLines="40" w:after="124" w:afterLines="40" w:line="400" w:lineRule="exact"/>
        <w:ind w:firstLine="420" w:firstLineChars="200"/>
        <w:jc w:val="left"/>
        <w:rPr>
          <w:rFonts w:hint="eastAsia" w:ascii="宋体" w:hAnsi="宋体"/>
          <w:szCs w:val="21"/>
          <w:highlight w:val="yellow"/>
        </w:rPr>
      </w:pPr>
    </w:p>
    <w:p w14:paraId="503B30AC">
      <w:pPr>
        <w:pStyle w:val="4"/>
      </w:pPr>
    </w:p>
    <w:p w14:paraId="5822676A">
      <w:pPr>
        <w:adjustRightInd w:val="0"/>
        <w:snapToGrid w:val="0"/>
        <w:spacing w:before="124" w:beforeLines="40" w:after="124" w:afterLines="40" w:line="400" w:lineRule="exact"/>
        <w:jc w:val="left"/>
        <w:rPr>
          <w:rFonts w:hint="eastAsia" w:ascii="宋体" w:hAnsi="宋体"/>
          <w:szCs w:val="21"/>
        </w:rPr>
      </w:pPr>
    </w:p>
    <w:p w14:paraId="13C076A8">
      <w:pPr>
        <w:spacing w:line="360" w:lineRule="auto"/>
        <w:ind w:firstLine="437"/>
        <w:outlineLvl w:val="1"/>
        <w:rPr>
          <w:rFonts w:hint="eastAsia" w:ascii="宋体" w:hAnsi="宋体" w:cs="宋体"/>
          <w:b/>
          <w:szCs w:val="21"/>
        </w:rPr>
      </w:pPr>
      <w:bookmarkStart w:id="4" w:name="_Toc2554"/>
      <w:bookmarkStart w:id="5" w:name="_Toc32151"/>
      <w:r>
        <w:rPr>
          <w:rFonts w:hint="eastAsia" w:ascii="宋体" w:hAnsi="宋体" w:cs="宋体"/>
          <w:b/>
          <w:szCs w:val="21"/>
        </w:rPr>
        <w:br w:type="page"/>
      </w:r>
      <w:r>
        <w:rPr>
          <w:rFonts w:hint="eastAsia" w:ascii="宋体" w:hAnsi="宋体" w:cs="宋体"/>
          <w:b/>
          <w:szCs w:val="21"/>
        </w:rPr>
        <w:t>一、采购需求前附表</w:t>
      </w:r>
      <w:bookmarkEnd w:id="4"/>
      <w:bookmarkEnd w:id="5"/>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005"/>
        <w:gridCol w:w="5723"/>
      </w:tblGrid>
      <w:tr w14:paraId="5FC8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noWrap w:val="0"/>
            <w:vAlign w:val="center"/>
          </w:tcPr>
          <w:p w14:paraId="7D4E6258">
            <w:pPr>
              <w:spacing w:line="360" w:lineRule="auto"/>
              <w:jc w:val="center"/>
              <w:rPr>
                <w:rFonts w:hint="eastAsia" w:ascii="宋体" w:hAnsi="宋体"/>
                <w:b/>
                <w:szCs w:val="21"/>
              </w:rPr>
            </w:pPr>
            <w:bookmarkStart w:id="6" w:name="_Toc5944"/>
            <w:bookmarkStart w:id="7" w:name="_Toc7671"/>
            <w:r>
              <w:rPr>
                <w:rFonts w:hint="eastAsia" w:ascii="宋体" w:hAnsi="宋体"/>
                <w:b/>
                <w:szCs w:val="21"/>
              </w:rPr>
              <w:t>序号</w:t>
            </w:r>
          </w:p>
        </w:tc>
        <w:tc>
          <w:tcPr>
            <w:tcW w:w="1176" w:type="pct"/>
            <w:noWrap w:val="0"/>
            <w:vAlign w:val="center"/>
          </w:tcPr>
          <w:p w14:paraId="4BE3028D">
            <w:pPr>
              <w:spacing w:line="360" w:lineRule="auto"/>
              <w:jc w:val="center"/>
              <w:rPr>
                <w:rFonts w:hint="eastAsia"/>
                <w:b/>
                <w:szCs w:val="21"/>
              </w:rPr>
            </w:pPr>
            <w:r>
              <w:rPr>
                <w:rFonts w:hint="eastAsia" w:ascii="宋体" w:hAnsi="宋体"/>
                <w:b/>
                <w:szCs w:val="21"/>
              </w:rPr>
              <w:t>条款名称</w:t>
            </w:r>
          </w:p>
        </w:tc>
        <w:tc>
          <w:tcPr>
            <w:tcW w:w="3357" w:type="pct"/>
            <w:noWrap w:val="0"/>
            <w:vAlign w:val="center"/>
          </w:tcPr>
          <w:p w14:paraId="6DD07E72">
            <w:pPr>
              <w:spacing w:line="360" w:lineRule="auto"/>
              <w:jc w:val="center"/>
              <w:rPr>
                <w:rFonts w:hint="eastAsia"/>
                <w:b/>
                <w:szCs w:val="21"/>
              </w:rPr>
            </w:pPr>
            <w:r>
              <w:rPr>
                <w:rFonts w:hint="eastAsia"/>
                <w:b/>
                <w:szCs w:val="21"/>
              </w:rPr>
              <w:t>内容、说明与要求</w:t>
            </w:r>
          </w:p>
        </w:tc>
      </w:tr>
      <w:tr w14:paraId="70B4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0" w:type="auto"/>
            <w:noWrap w:val="0"/>
            <w:vAlign w:val="center"/>
          </w:tcPr>
          <w:p w14:paraId="64DC40EF">
            <w:pPr>
              <w:pStyle w:val="9"/>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1</w:t>
            </w:r>
          </w:p>
        </w:tc>
        <w:tc>
          <w:tcPr>
            <w:tcW w:w="0" w:type="auto"/>
            <w:noWrap w:val="0"/>
            <w:vAlign w:val="center"/>
          </w:tcPr>
          <w:p w14:paraId="60B98921">
            <w:pPr>
              <w:pStyle w:val="10"/>
              <w:widowControl w:val="0"/>
              <w:spacing w:before="0" w:beforeAutospacing="0" w:after="0" w:afterAutospacing="0" w:line="360" w:lineRule="auto"/>
              <w:rPr>
                <w:rFonts w:hint="eastAsia" w:ascii="宋体" w:hAnsi="宋体" w:eastAsia="宋体" w:cs="宋体"/>
                <w:b w:val="0"/>
                <w:sz w:val="21"/>
                <w:szCs w:val="21"/>
                <w:lang w:val="en-US" w:eastAsia="zh-CN"/>
              </w:rPr>
            </w:pPr>
            <w:r>
              <w:rPr>
                <w:rFonts w:hint="eastAsia" w:ascii="宋体" w:hAnsi="宋体" w:eastAsia="宋体" w:cs="宋体"/>
                <w:b w:val="0"/>
                <w:sz w:val="21"/>
                <w:szCs w:val="21"/>
              </w:rPr>
              <w:t>付款方式</w:t>
            </w:r>
          </w:p>
        </w:tc>
        <w:tc>
          <w:tcPr>
            <w:tcW w:w="0" w:type="auto"/>
            <w:noWrap w:val="0"/>
            <w:vAlign w:val="center"/>
          </w:tcPr>
          <w:p w14:paraId="6B1D585E">
            <w:pPr>
              <w:pStyle w:val="10"/>
              <w:widowControl w:val="0"/>
              <w:spacing w:before="0" w:beforeAutospacing="0" w:after="0" w:afterAutospacing="0" w:line="360" w:lineRule="auto"/>
              <w:jc w:val="left"/>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货到安装验收合格，提供产品的使用、操作及维修人员的培训，并能独立操作且使用部门签字确认后，采购人支付全部货款。</w:t>
            </w:r>
          </w:p>
        </w:tc>
      </w:tr>
      <w:tr w14:paraId="7CD6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0" w:type="auto"/>
            <w:noWrap w:val="0"/>
            <w:vAlign w:val="center"/>
          </w:tcPr>
          <w:p w14:paraId="44D2BF74">
            <w:pPr>
              <w:pStyle w:val="9"/>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2</w:t>
            </w:r>
          </w:p>
        </w:tc>
        <w:tc>
          <w:tcPr>
            <w:tcW w:w="0" w:type="auto"/>
            <w:noWrap w:val="0"/>
            <w:vAlign w:val="center"/>
          </w:tcPr>
          <w:p w14:paraId="7227C86C">
            <w:pPr>
              <w:pStyle w:val="10"/>
              <w:widowControl w:val="0"/>
              <w:spacing w:before="0" w:beforeAutospacing="0" w:after="0" w:afterAutospacing="0" w:line="360" w:lineRule="auto"/>
              <w:rPr>
                <w:rFonts w:hint="eastAsia" w:ascii="宋体" w:hAnsi="宋体" w:eastAsia="宋体" w:cs="宋体"/>
                <w:b w:val="0"/>
                <w:sz w:val="21"/>
                <w:szCs w:val="21"/>
                <w:lang w:val="en-US" w:eastAsia="zh-CN"/>
              </w:rPr>
            </w:pPr>
            <w:r>
              <w:rPr>
                <w:rFonts w:hint="eastAsia" w:ascii="宋体" w:hAnsi="宋体" w:eastAsia="宋体" w:cs="宋体"/>
                <w:b w:val="0"/>
                <w:sz w:val="21"/>
                <w:szCs w:val="21"/>
              </w:rPr>
              <w:t>供货及安装地点</w:t>
            </w:r>
          </w:p>
        </w:tc>
        <w:tc>
          <w:tcPr>
            <w:tcW w:w="0" w:type="auto"/>
            <w:noWrap w:val="0"/>
            <w:vAlign w:val="center"/>
          </w:tcPr>
          <w:p w14:paraId="22DEAC0B">
            <w:pPr>
              <w:pStyle w:val="10"/>
              <w:widowControl w:val="0"/>
              <w:spacing w:before="0" w:beforeAutospacing="0" w:after="0" w:afterAutospacing="0" w:line="360" w:lineRule="auto"/>
              <w:jc w:val="left"/>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安徽省第二人民医院，采购</w:t>
            </w:r>
            <w:r>
              <w:rPr>
                <w:rFonts w:hint="eastAsia" w:ascii="宋体" w:hAnsi="宋体" w:eastAsia="宋体" w:cs="宋体"/>
                <w:b w:val="0"/>
                <w:sz w:val="21"/>
                <w:szCs w:val="21"/>
              </w:rPr>
              <w:t>人指定地点</w:t>
            </w:r>
          </w:p>
        </w:tc>
      </w:tr>
      <w:tr w14:paraId="7B0A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0" w:type="auto"/>
            <w:noWrap w:val="0"/>
            <w:vAlign w:val="center"/>
          </w:tcPr>
          <w:p w14:paraId="2E8CB85B">
            <w:pPr>
              <w:pStyle w:val="9"/>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3</w:t>
            </w:r>
          </w:p>
        </w:tc>
        <w:tc>
          <w:tcPr>
            <w:tcW w:w="0" w:type="auto"/>
            <w:noWrap w:val="0"/>
            <w:vAlign w:val="center"/>
          </w:tcPr>
          <w:p w14:paraId="754E9477">
            <w:pPr>
              <w:pStyle w:val="10"/>
              <w:widowControl w:val="0"/>
              <w:spacing w:before="0" w:beforeAutospacing="0" w:after="0" w:afterAutospacing="0" w:line="360" w:lineRule="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sz w:val="21"/>
                <w:szCs w:val="21"/>
              </w:rPr>
              <w:t>供货及安装期限</w:t>
            </w:r>
          </w:p>
        </w:tc>
        <w:tc>
          <w:tcPr>
            <w:tcW w:w="0" w:type="auto"/>
            <w:noWrap w:val="0"/>
            <w:vAlign w:val="center"/>
          </w:tcPr>
          <w:p w14:paraId="2E9F456C">
            <w:pPr>
              <w:pStyle w:val="10"/>
              <w:widowControl w:val="0"/>
              <w:spacing w:before="0" w:beforeAutospacing="0" w:after="0" w:afterAutospacing="0"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sz w:val="21"/>
                <w:szCs w:val="21"/>
                <w:lang w:eastAsia="zh-CN"/>
              </w:rPr>
              <w:t>合同签订后</w:t>
            </w:r>
            <w:r>
              <w:rPr>
                <w:rFonts w:hint="eastAsia" w:ascii="宋体" w:hAnsi="宋体" w:eastAsia="宋体" w:cs="宋体"/>
                <w:b w:val="0"/>
                <w:sz w:val="21"/>
                <w:szCs w:val="21"/>
                <w:lang w:val="en-US" w:eastAsia="zh-CN"/>
              </w:rPr>
              <w:t>接采购人通知30个日历天内完成供货、安装、调试等工作</w:t>
            </w:r>
          </w:p>
        </w:tc>
      </w:tr>
      <w:tr w14:paraId="63E6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0" w:type="auto"/>
            <w:noWrap w:val="0"/>
            <w:vAlign w:val="center"/>
          </w:tcPr>
          <w:p w14:paraId="4BAEB917">
            <w:pPr>
              <w:pStyle w:val="9"/>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4</w:t>
            </w:r>
          </w:p>
        </w:tc>
        <w:tc>
          <w:tcPr>
            <w:tcW w:w="0" w:type="auto"/>
            <w:noWrap w:val="0"/>
            <w:vAlign w:val="center"/>
          </w:tcPr>
          <w:p w14:paraId="1B293350">
            <w:pPr>
              <w:pStyle w:val="10"/>
              <w:widowControl w:val="0"/>
              <w:spacing w:before="0" w:beforeAutospacing="0" w:after="0" w:afterAutospacing="0" w:line="360" w:lineRule="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sz w:val="21"/>
                <w:szCs w:val="21"/>
              </w:rPr>
              <w:t>免费质保期</w:t>
            </w:r>
          </w:p>
        </w:tc>
        <w:tc>
          <w:tcPr>
            <w:tcW w:w="0" w:type="auto"/>
            <w:noWrap w:val="0"/>
            <w:vAlign w:val="center"/>
          </w:tcPr>
          <w:p w14:paraId="46A84766">
            <w:pPr>
              <w:pStyle w:val="10"/>
              <w:widowControl w:val="0"/>
              <w:spacing w:before="0" w:beforeAutospacing="0" w:after="0" w:afterAutospacing="0"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自验收合格之日起整体（主机+配套产品）原厂质保5年</w:t>
            </w:r>
          </w:p>
        </w:tc>
      </w:tr>
      <w:tr w14:paraId="0BE1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0" w:type="auto"/>
            <w:noWrap w:val="0"/>
            <w:vAlign w:val="center"/>
          </w:tcPr>
          <w:p w14:paraId="4D1B3095">
            <w:pPr>
              <w:pStyle w:val="9"/>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rPr>
              <w:t>5</w:t>
            </w:r>
          </w:p>
        </w:tc>
        <w:tc>
          <w:tcPr>
            <w:tcW w:w="0" w:type="auto"/>
            <w:noWrap w:val="0"/>
            <w:vAlign w:val="center"/>
          </w:tcPr>
          <w:p w14:paraId="3E276B57">
            <w:pPr>
              <w:pStyle w:val="10"/>
              <w:widowControl w:val="0"/>
              <w:spacing w:before="0" w:beforeAutospacing="0" w:after="0" w:afterAutospacing="0" w:line="360" w:lineRule="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医疗器械注册证（或医疗器械备案材料）</w:t>
            </w:r>
          </w:p>
        </w:tc>
        <w:tc>
          <w:tcPr>
            <w:tcW w:w="0" w:type="auto"/>
            <w:noWrap w:val="0"/>
            <w:vAlign w:val="center"/>
          </w:tcPr>
          <w:p w14:paraId="17F3BE88">
            <w:pPr>
              <w:pStyle w:val="10"/>
              <w:widowControl w:val="0"/>
              <w:spacing w:before="0" w:beforeAutospacing="0" w:after="0" w:afterAutospacing="0"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rPr>
              <w:t>投标产品须具有有效的医疗器械注册证（属于二类、三类时）；投标产品纳入备案管理时（属于一类时），须在投标文件中提供备案材料或承诺函（承诺在合同签订前提供所投产品的备案证明材料，若未按规定提供视为自动放弃中标资格）。</w:t>
            </w:r>
          </w:p>
        </w:tc>
      </w:tr>
    </w:tbl>
    <w:p w14:paraId="3DD17460">
      <w:pPr>
        <w:pStyle w:val="6"/>
        <w:rPr>
          <w:rFonts w:hint="eastAsia" w:ascii="宋体" w:hAnsi="宋体" w:eastAsia="宋体" w:cs="Times New Roman"/>
          <w:b/>
          <w:bCs w:val="0"/>
          <w:smallCaps w:val="0"/>
          <w:kern w:val="0"/>
          <w:sz w:val="24"/>
          <w:szCs w:val="28"/>
          <w:u w:val="double"/>
          <w:lang w:val="en-US" w:eastAsia="zh-CN" w:bidi="ar-SA"/>
        </w:rPr>
      </w:pPr>
      <w:r>
        <w:rPr>
          <w:rFonts w:hint="eastAsia" w:ascii="宋体" w:hAnsi="宋体" w:eastAsia="宋体" w:cs="Times New Roman"/>
          <w:b/>
          <w:bCs w:val="0"/>
          <w:smallCaps w:val="0"/>
          <w:kern w:val="0"/>
          <w:sz w:val="24"/>
          <w:szCs w:val="28"/>
          <w:u w:val="double"/>
          <w:lang w:val="en-US" w:eastAsia="zh-CN" w:bidi="ar-SA"/>
        </w:rPr>
        <w:t>注：上述条款必须全部满足，否则作无效标处理。</w:t>
      </w:r>
    </w:p>
    <w:p w14:paraId="50A1E52A">
      <w:pPr>
        <w:numPr>
          <w:ilvl w:val="0"/>
          <w:numId w:val="1"/>
        </w:numPr>
        <w:spacing w:line="360" w:lineRule="auto"/>
        <w:ind w:firstLine="437"/>
        <w:outlineLvl w:val="1"/>
        <w:rPr>
          <w:rFonts w:hint="eastAsia" w:ascii="宋体" w:hAnsi="宋体" w:cs="宋体"/>
          <w:b/>
          <w:bCs/>
          <w:szCs w:val="21"/>
          <w:lang w:val="en-US" w:eastAsia="zh-CN"/>
        </w:rPr>
      </w:pPr>
      <w:r>
        <w:rPr>
          <w:rFonts w:hint="eastAsia" w:ascii="宋体" w:hAnsi="宋体" w:cs="宋体"/>
          <w:b/>
          <w:szCs w:val="21"/>
        </w:rPr>
        <w:t>货物</w:t>
      </w:r>
      <w:r>
        <w:rPr>
          <w:rFonts w:hint="eastAsia" w:ascii="宋体" w:hAnsi="宋体" w:cs="宋体"/>
          <w:b/>
          <w:bCs/>
          <w:szCs w:val="21"/>
        </w:rPr>
        <w:t>需求</w:t>
      </w:r>
      <w:r>
        <w:rPr>
          <w:rFonts w:hint="eastAsia" w:ascii="宋体" w:hAnsi="宋体" w:cs="宋体"/>
          <w:b/>
          <w:bCs/>
          <w:szCs w:val="21"/>
          <w:lang w:val="en-US" w:eastAsia="zh-CN"/>
        </w:rPr>
        <w:t>一览表</w:t>
      </w:r>
    </w:p>
    <w:tbl>
      <w:tblPr>
        <w:tblStyle w:val="7"/>
        <w:tblW w:w="41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351"/>
        <w:gridCol w:w="1822"/>
        <w:gridCol w:w="1124"/>
        <w:gridCol w:w="1127"/>
      </w:tblGrid>
      <w:tr w14:paraId="0865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48" w:type="pct"/>
            <w:noWrap w:val="0"/>
            <w:vAlign w:val="center"/>
          </w:tcPr>
          <w:p w14:paraId="1D694C5E">
            <w:pPr>
              <w:widowControl/>
              <w:jc w:val="center"/>
              <w:rPr>
                <w:rFonts w:hint="default" w:ascii="宋体" w:hAnsi="宋体" w:eastAsia="宋体" w:cs="宋体"/>
                <w:b/>
                <w:bCs/>
                <w:snapToGrid w:val="0"/>
                <w:color w:val="000000"/>
                <w:kern w:val="0"/>
                <w:szCs w:val="21"/>
                <w:lang w:val="en-US" w:eastAsia="zh-CN" w:bidi="ar"/>
              </w:rPr>
            </w:pPr>
            <w:r>
              <w:rPr>
                <w:rFonts w:hint="eastAsia" w:ascii="宋体" w:hAnsi="宋体" w:cs="宋体"/>
                <w:b/>
                <w:bCs/>
                <w:snapToGrid w:val="0"/>
                <w:color w:val="000000"/>
                <w:kern w:val="0"/>
                <w:szCs w:val="21"/>
                <w:lang w:val="en-US" w:eastAsia="zh-CN" w:bidi="ar"/>
              </w:rPr>
              <w:t>货物名称</w:t>
            </w:r>
          </w:p>
        </w:tc>
        <w:tc>
          <w:tcPr>
            <w:tcW w:w="959" w:type="pct"/>
            <w:noWrap w:val="0"/>
            <w:vAlign w:val="center"/>
          </w:tcPr>
          <w:p w14:paraId="3D6CEB79">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val="en-US" w:eastAsia="zh-CN" w:bidi="ar"/>
              </w:rPr>
              <w:t>数量（单位）</w:t>
            </w:r>
          </w:p>
        </w:tc>
        <w:tc>
          <w:tcPr>
            <w:tcW w:w="1293" w:type="pct"/>
            <w:noWrap w:val="0"/>
            <w:vAlign w:val="center"/>
          </w:tcPr>
          <w:p w14:paraId="1D5884A8">
            <w:pPr>
              <w:widowControl/>
              <w:jc w:val="center"/>
              <w:rPr>
                <w:rFonts w:hint="default" w:ascii="宋体" w:hAnsi="宋体" w:cs="宋体"/>
                <w:b/>
                <w:bCs/>
                <w:snapToGrid w:val="0"/>
                <w:color w:val="000000"/>
                <w:kern w:val="0"/>
                <w:szCs w:val="21"/>
                <w:lang w:val="en-US" w:eastAsia="zh-CN" w:bidi="ar"/>
              </w:rPr>
            </w:pPr>
            <w:r>
              <w:rPr>
                <w:rFonts w:hint="eastAsia" w:ascii="宋体" w:hAnsi="宋体" w:eastAsia="宋体" w:cs="宋体"/>
                <w:b/>
                <w:bCs/>
                <w:snapToGrid w:val="0"/>
                <w:color w:val="000000"/>
                <w:kern w:val="0"/>
                <w:szCs w:val="21"/>
                <w:lang w:val="en-US" w:eastAsia="zh-CN" w:bidi="ar"/>
              </w:rPr>
              <w:t>最高限价（万元）</w:t>
            </w:r>
          </w:p>
        </w:tc>
        <w:tc>
          <w:tcPr>
            <w:tcW w:w="798" w:type="pct"/>
            <w:noWrap w:val="0"/>
            <w:vAlign w:val="center"/>
          </w:tcPr>
          <w:p w14:paraId="37524A11">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val="en-US" w:eastAsia="zh-CN" w:bidi="ar"/>
              </w:rPr>
              <w:t>所属行业</w:t>
            </w:r>
          </w:p>
        </w:tc>
        <w:tc>
          <w:tcPr>
            <w:tcW w:w="800" w:type="pct"/>
            <w:noWrap w:val="0"/>
            <w:vAlign w:val="center"/>
          </w:tcPr>
          <w:p w14:paraId="031165A9">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val="en-US" w:eastAsia="zh-CN" w:bidi="ar"/>
              </w:rPr>
              <w:t>备注</w:t>
            </w:r>
          </w:p>
        </w:tc>
      </w:tr>
      <w:tr w14:paraId="77F7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48" w:type="pct"/>
            <w:noWrap w:val="0"/>
            <w:vAlign w:val="center"/>
          </w:tcPr>
          <w:p w14:paraId="6E1F2B52">
            <w:pPr>
              <w:spacing w:line="360" w:lineRule="auto"/>
              <w:jc w:val="center"/>
              <w:rPr>
                <w:rFonts w:hint="eastAsia" w:ascii="宋体" w:hAnsi="宋体" w:eastAsia="宋体" w:cs="宋体"/>
                <w:sz w:val="21"/>
                <w:szCs w:val="21"/>
                <w:highlight w:val="none"/>
              </w:rPr>
            </w:pPr>
            <w:r>
              <w:rPr>
                <w:rFonts w:hint="eastAsia" w:ascii="宋体" w:hAnsi="宋体"/>
                <w:szCs w:val="21"/>
                <w:highlight w:val="none"/>
              </w:rPr>
              <w:t>▲</w:t>
            </w:r>
            <w:r>
              <w:rPr>
                <w:rFonts w:hint="eastAsia" w:ascii="宋体" w:hAnsi="宋体"/>
                <w:szCs w:val="21"/>
                <w:highlight w:val="none"/>
                <w:lang w:val="en-US" w:eastAsia="zh-CN"/>
              </w:rPr>
              <w:t>3.0T核磁共振</w:t>
            </w:r>
          </w:p>
        </w:tc>
        <w:tc>
          <w:tcPr>
            <w:tcW w:w="959" w:type="pct"/>
            <w:noWrap w:val="0"/>
            <w:vAlign w:val="center"/>
          </w:tcPr>
          <w:p w14:paraId="7AAAC298">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套</w:t>
            </w:r>
          </w:p>
        </w:tc>
        <w:tc>
          <w:tcPr>
            <w:tcW w:w="1293" w:type="pct"/>
            <w:noWrap w:val="0"/>
            <w:vAlign w:val="center"/>
          </w:tcPr>
          <w:p w14:paraId="072C2F49">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15</w:t>
            </w:r>
            <w:r>
              <w:rPr>
                <w:rFonts w:hint="eastAsia" w:ascii="宋体" w:hAnsi="宋体" w:eastAsia="宋体" w:cs="宋体"/>
                <w:color w:val="000000"/>
                <w:kern w:val="0"/>
                <w:sz w:val="21"/>
                <w:szCs w:val="21"/>
                <w:highlight w:val="none"/>
                <w:lang w:val="en-US" w:eastAsia="zh-CN" w:bidi="ar"/>
              </w:rPr>
              <w:t>00</w:t>
            </w:r>
          </w:p>
        </w:tc>
        <w:tc>
          <w:tcPr>
            <w:tcW w:w="798" w:type="pct"/>
            <w:noWrap w:val="0"/>
            <w:vAlign w:val="center"/>
          </w:tcPr>
          <w:p w14:paraId="3344B183">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工业</w:t>
            </w:r>
          </w:p>
        </w:tc>
        <w:tc>
          <w:tcPr>
            <w:tcW w:w="800" w:type="pct"/>
            <w:noWrap w:val="0"/>
            <w:vAlign w:val="center"/>
          </w:tcPr>
          <w:p w14:paraId="748DD91A">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bl>
    <w:p w14:paraId="584BA8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szCs w:val="21"/>
          <w:lang w:val="en-US" w:eastAsia="zh-CN"/>
        </w:rPr>
      </w:pPr>
      <w:r>
        <w:rPr>
          <w:rFonts w:hint="eastAsia" w:ascii="宋体" w:hAnsi="宋体" w:eastAsia="宋体" w:cs="宋体"/>
          <w:b/>
          <w:szCs w:val="21"/>
          <w:lang w:val="en-US" w:eastAsia="zh-CN"/>
        </w:rPr>
        <w:t>三、技术参数及要求</w:t>
      </w:r>
    </w:p>
    <w:tbl>
      <w:tblPr>
        <w:tblStyle w:val="7"/>
        <w:tblW w:w="45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168"/>
        <w:gridCol w:w="5763"/>
      </w:tblGrid>
      <w:tr w14:paraId="210D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1" w:type="dxa"/>
            <w:noWrap w:val="0"/>
            <w:vAlign w:val="center"/>
          </w:tcPr>
          <w:p w14:paraId="738927E8">
            <w:pPr>
              <w:widowControl/>
              <w:jc w:val="center"/>
              <w:rPr>
                <w:rFonts w:hint="default" w:ascii="宋体" w:hAnsi="宋体" w:eastAsia="宋体" w:cs="宋体"/>
                <w:b/>
                <w:bCs/>
                <w:snapToGrid w:val="0"/>
                <w:color w:val="000000"/>
                <w:kern w:val="0"/>
                <w:szCs w:val="21"/>
                <w:lang w:val="en-US" w:eastAsia="zh-CN" w:bidi="ar"/>
              </w:rPr>
            </w:pPr>
            <w:r>
              <w:rPr>
                <w:rFonts w:hint="eastAsia" w:ascii="宋体" w:hAnsi="宋体" w:cs="宋体"/>
                <w:b/>
                <w:bCs/>
                <w:snapToGrid w:val="0"/>
                <w:color w:val="000000"/>
                <w:kern w:val="0"/>
                <w:szCs w:val="21"/>
                <w:lang w:bidi="ar"/>
              </w:rPr>
              <w:t>标识符号</w:t>
            </w:r>
          </w:p>
        </w:tc>
        <w:tc>
          <w:tcPr>
            <w:tcW w:w="1168" w:type="dxa"/>
            <w:noWrap w:val="0"/>
            <w:vAlign w:val="center"/>
          </w:tcPr>
          <w:p w14:paraId="02FBBE8A">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标识含义</w:t>
            </w:r>
          </w:p>
        </w:tc>
        <w:tc>
          <w:tcPr>
            <w:tcW w:w="5763" w:type="dxa"/>
            <w:noWrap w:val="0"/>
            <w:vAlign w:val="center"/>
          </w:tcPr>
          <w:p w14:paraId="7F31B55E">
            <w:pPr>
              <w:widowControl/>
              <w:jc w:val="center"/>
              <w:rPr>
                <w:rFonts w:hint="default" w:ascii="宋体" w:hAnsi="宋体" w:cs="宋体"/>
                <w:b/>
                <w:bCs/>
                <w:snapToGrid w:val="0"/>
                <w:color w:val="000000"/>
                <w:kern w:val="0"/>
                <w:szCs w:val="21"/>
                <w:lang w:val="en-US" w:eastAsia="zh-CN" w:bidi="ar"/>
              </w:rPr>
            </w:pPr>
            <w:r>
              <w:rPr>
                <w:rFonts w:hint="eastAsia" w:ascii="宋体" w:hAnsi="宋体" w:cs="宋体"/>
                <w:b/>
                <w:bCs/>
                <w:snapToGrid w:val="0"/>
                <w:color w:val="000000"/>
                <w:kern w:val="0"/>
                <w:szCs w:val="21"/>
                <w:lang w:bidi="ar"/>
              </w:rPr>
              <w:t>相关要求</w:t>
            </w:r>
          </w:p>
        </w:tc>
      </w:tr>
      <w:tr w14:paraId="085A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21" w:type="dxa"/>
            <w:noWrap w:val="0"/>
            <w:vAlign w:val="center"/>
          </w:tcPr>
          <w:p w14:paraId="575CCF05">
            <w:pPr>
              <w:spacing w:line="360" w:lineRule="auto"/>
              <w:jc w:val="center"/>
              <w:rPr>
                <w:rFonts w:hint="eastAsia" w:ascii="宋体" w:hAnsi="宋体" w:eastAsia="宋体" w:cs="宋体"/>
                <w:sz w:val="21"/>
                <w:szCs w:val="21"/>
                <w:highlight w:val="none"/>
              </w:rPr>
            </w:pPr>
            <w:r>
              <w:rPr>
                <w:rFonts w:hint="eastAsia" w:ascii="宋体" w:hAnsi="宋体" w:cs="宋体"/>
                <w:szCs w:val="21"/>
                <w:lang w:val="en-US" w:eastAsia="zh-CN"/>
              </w:rPr>
              <w:t>■</w:t>
            </w:r>
          </w:p>
        </w:tc>
        <w:tc>
          <w:tcPr>
            <w:tcW w:w="1168" w:type="dxa"/>
            <w:noWrap w:val="0"/>
            <w:vAlign w:val="center"/>
          </w:tcPr>
          <w:p w14:paraId="20B0057E">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szCs w:val="21"/>
              </w:rPr>
              <w:t>实质性参数或条款要求</w:t>
            </w:r>
          </w:p>
        </w:tc>
        <w:tc>
          <w:tcPr>
            <w:tcW w:w="5763" w:type="dxa"/>
            <w:noWrap w:val="0"/>
            <w:vAlign w:val="center"/>
          </w:tcPr>
          <w:p w14:paraId="1401E41E">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b/>
                <w:bCs/>
                <w:szCs w:val="21"/>
              </w:rPr>
              <w:t>负偏离或未响应视为实质性不响应招标文件要求</w:t>
            </w:r>
          </w:p>
        </w:tc>
      </w:tr>
      <w:tr w14:paraId="0E5E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21" w:type="dxa"/>
            <w:noWrap w:val="0"/>
            <w:vAlign w:val="center"/>
          </w:tcPr>
          <w:p w14:paraId="774EC778">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Cs w:val="21"/>
              </w:rPr>
              <w:t>★</w:t>
            </w:r>
          </w:p>
        </w:tc>
        <w:tc>
          <w:tcPr>
            <w:tcW w:w="1168" w:type="dxa"/>
            <w:noWrap w:val="0"/>
            <w:vAlign w:val="center"/>
          </w:tcPr>
          <w:p w14:paraId="2E471A27">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szCs w:val="21"/>
              </w:rPr>
              <w:t>重要技术参数</w:t>
            </w:r>
          </w:p>
        </w:tc>
        <w:tc>
          <w:tcPr>
            <w:tcW w:w="5763" w:type="dxa"/>
            <w:noWrap w:val="0"/>
            <w:vAlign w:val="center"/>
          </w:tcPr>
          <w:p w14:paraId="2505BAC9">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szCs w:val="21"/>
              </w:rPr>
              <w:t>评审项</w:t>
            </w:r>
          </w:p>
        </w:tc>
      </w:tr>
      <w:tr w14:paraId="3335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21" w:type="dxa"/>
            <w:noWrap w:val="0"/>
            <w:vAlign w:val="center"/>
          </w:tcPr>
          <w:p w14:paraId="47EDB421">
            <w:pPr>
              <w:spacing w:line="360" w:lineRule="auto"/>
              <w:jc w:val="center"/>
              <w:rPr>
                <w:rFonts w:hint="eastAsia" w:ascii="宋体" w:hAnsi="宋体" w:eastAsia="宋体" w:cs="宋体"/>
                <w:sz w:val="21"/>
                <w:szCs w:val="21"/>
                <w:highlight w:val="none"/>
                <w:lang w:val="en-US" w:eastAsia="zh-CN"/>
              </w:rPr>
            </w:pPr>
          </w:p>
        </w:tc>
        <w:tc>
          <w:tcPr>
            <w:tcW w:w="1168" w:type="dxa"/>
            <w:noWrap w:val="0"/>
            <w:vAlign w:val="center"/>
          </w:tcPr>
          <w:p w14:paraId="6BB3B20B">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szCs w:val="21"/>
              </w:rPr>
              <w:t>无标识项</w:t>
            </w:r>
          </w:p>
        </w:tc>
        <w:tc>
          <w:tcPr>
            <w:tcW w:w="5763" w:type="dxa"/>
            <w:noWrap w:val="0"/>
            <w:vAlign w:val="center"/>
          </w:tcPr>
          <w:p w14:paraId="42C6B804">
            <w:pPr>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szCs w:val="21"/>
              </w:rPr>
              <w:t>评审项</w:t>
            </w:r>
            <w:r>
              <w:rPr>
                <w:rFonts w:hint="eastAsia" w:ascii="宋体" w:hAnsi="宋体" w:cs="宋体"/>
                <w:szCs w:val="21"/>
                <w:lang w:eastAsia="zh-CN"/>
              </w:rPr>
              <w:t>（针对无标识</w:t>
            </w:r>
            <w:r>
              <w:rPr>
                <w:rFonts w:hint="eastAsia" w:ascii="宋体" w:hAnsi="宋体" w:cs="宋体"/>
                <w:szCs w:val="21"/>
                <w:lang w:val="en-US" w:eastAsia="zh-CN"/>
              </w:rPr>
              <w:t>项</w:t>
            </w:r>
            <w:r>
              <w:rPr>
                <w:rFonts w:hint="eastAsia" w:ascii="宋体" w:hAnsi="宋体" w:cs="宋体"/>
                <w:szCs w:val="21"/>
                <w:lang w:eastAsia="zh-CN"/>
              </w:rPr>
              <w:t>评审时：如某项参数仅存在一级序号时，则以一级序号为最小单位计算条目数量（即为一项）；如某项参数同时存在一级序号和二级序号时，则以二级序号为最小单位计算条目数量（即为一项）；如某项参数存在多级序号时，则以最后一级序号为最小单位计算条目数量（即为一项）。）</w:t>
            </w:r>
          </w:p>
        </w:tc>
      </w:tr>
    </w:tbl>
    <w:p w14:paraId="6DB51492">
      <w:pPr>
        <w:keepNext w:val="0"/>
        <w:keepLines w:val="0"/>
        <w:widowControl/>
        <w:suppressLineNumbers w:val="0"/>
        <w:jc w:val="left"/>
        <w:textAlignment w:val="center"/>
        <w:outlineLvl w:val="1"/>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（一）技术参数</w:t>
      </w:r>
    </w:p>
    <w:bookmarkEnd w:id="6"/>
    <w:bookmarkEnd w:id="7"/>
    <w:tbl>
      <w:tblPr>
        <w:tblStyle w:val="7"/>
        <w:tblW w:w="9051" w:type="dxa"/>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4"/>
        <w:gridCol w:w="2905"/>
        <w:gridCol w:w="4892"/>
      </w:tblGrid>
      <w:tr w14:paraId="585D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2F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55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技术性能名称</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F6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医院采购需求</w:t>
            </w:r>
          </w:p>
        </w:tc>
      </w:tr>
      <w:tr w14:paraId="1BF7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254" w:type="dxa"/>
            <w:tcBorders>
              <w:top w:val="nil"/>
              <w:left w:val="single" w:color="000000" w:sz="4" w:space="0"/>
              <w:bottom w:val="single" w:color="000000" w:sz="4" w:space="0"/>
              <w:right w:val="single" w:color="000000" w:sz="4" w:space="0"/>
            </w:tcBorders>
            <w:shd w:val="clear" w:color="auto" w:fill="auto"/>
            <w:vAlign w:val="center"/>
          </w:tcPr>
          <w:p w14:paraId="7D42E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2905" w:type="dxa"/>
            <w:tcBorders>
              <w:top w:val="nil"/>
              <w:left w:val="single" w:color="000000" w:sz="4" w:space="0"/>
              <w:bottom w:val="single" w:color="000000" w:sz="4" w:space="0"/>
              <w:right w:val="single" w:color="000000" w:sz="4" w:space="0"/>
            </w:tcBorders>
            <w:shd w:val="clear" w:color="auto" w:fill="auto"/>
            <w:vAlign w:val="center"/>
          </w:tcPr>
          <w:p w14:paraId="7DF91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总体要求</w:t>
            </w:r>
          </w:p>
        </w:tc>
        <w:tc>
          <w:tcPr>
            <w:tcW w:w="4892" w:type="dxa"/>
            <w:tcBorders>
              <w:top w:val="nil"/>
              <w:left w:val="single" w:color="000000" w:sz="4" w:space="0"/>
              <w:bottom w:val="single" w:color="000000" w:sz="4" w:space="0"/>
              <w:right w:val="single" w:color="000000" w:sz="4" w:space="0"/>
            </w:tcBorders>
            <w:shd w:val="clear" w:color="auto" w:fill="auto"/>
            <w:vAlign w:val="center"/>
          </w:tcPr>
          <w:p w14:paraId="7C7F7D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要求：用于全身扫描的临床应用和临床研究的磁共振为3.0T。并且按照技术白皮书内容提供最全配置及选配件，最新最全软硬件，并承诺在投标时提供该产品的最新平台，所有软件须终身提供升级。要求GE提供Pilot机型、Philips提供Elition X机型、Siemens提供vida机型、联影提供uMR870机型，其他厂商提供同等档次产品</w:t>
            </w:r>
            <w:r>
              <w:rPr>
                <w:rFonts w:hint="eastAsia" w:ascii="宋体" w:hAnsi="宋体" w:cs="宋体"/>
                <w:i w:val="0"/>
                <w:iCs w:val="0"/>
                <w:color w:val="000000"/>
                <w:kern w:val="0"/>
                <w:sz w:val="24"/>
                <w:szCs w:val="24"/>
                <w:u w:val="none"/>
                <w:lang w:val="en-US" w:eastAsia="zh-CN" w:bidi="ar"/>
              </w:rPr>
              <w:t>。</w:t>
            </w:r>
          </w:p>
        </w:tc>
      </w:tr>
      <w:tr w14:paraId="42A8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1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E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磁体</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95CE">
            <w:pPr>
              <w:jc w:val="center"/>
              <w:rPr>
                <w:rFonts w:hint="eastAsia" w:ascii="宋体" w:hAnsi="宋体" w:eastAsia="宋体" w:cs="宋体"/>
                <w:i w:val="0"/>
                <w:iCs w:val="0"/>
                <w:color w:val="000000"/>
                <w:sz w:val="24"/>
                <w:szCs w:val="24"/>
                <w:u w:val="none"/>
              </w:rPr>
            </w:pPr>
          </w:p>
        </w:tc>
      </w:tr>
      <w:tr w14:paraId="372F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C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6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中心共振频率</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D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≥127MHz</w:t>
            </w:r>
          </w:p>
        </w:tc>
      </w:tr>
      <w:tr w14:paraId="4061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9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4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磁场类型</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6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超导磁体</w:t>
            </w:r>
          </w:p>
        </w:tc>
      </w:tr>
      <w:tr w14:paraId="1661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F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8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屏蔽方式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E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主动屏蔽＋抗外界干扰屏蔽</w:t>
            </w:r>
          </w:p>
        </w:tc>
      </w:tr>
      <w:tr w14:paraId="6EEA5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A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7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匀场方式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D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主动匀场＋被动匀场＋动态匀场</w:t>
            </w:r>
          </w:p>
        </w:tc>
      </w:tr>
      <w:tr w14:paraId="6A92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D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0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超导匀场</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8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2B1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4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E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病人个性化匀场</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5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7E3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6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8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匀场通道</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2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4B69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A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3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自动匀场时间</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1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≤30秒</w:t>
            </w:r>
          </w:p>
        </w:tc>
      </w:tr>
      <w:tr w14:paraId="4980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9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9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磁体材料</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053E">
            <w:pPr>
              <w:jc w:val="center"/>
              <w:rPr>
                <w:rFonts w:hint="eastAsia" w:ascii="宋体" w:hAnsi="宋体" w:eastAsia="宋体" w:cs="宋体"/>
                <w:i w:val="0"/>
                <w:iCs w:val="0"/>
                <w:color w:val="000000"/>
                <w:sz w:val="24"/>
                <w:szCs w:val="24"/>
                <w:u w:val="none"/>
              </w:rPr>
            </w:pPr>
          </w:p>
        </w:tc>
      </w:tr>
      <w:tr w14:paraId="66085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4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E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磁体长度（不含外壳）</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4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≥160cm</w:t>
            </w:r>
          </w:p>
        </w:tc>
      </w:tr>
      <w:tr w14:paraId="44EF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F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A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磁体宽度（不含外壳）</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4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≥185cm</w:t>
            </w:r>
          </w:p>
        </w:tc>
      </w:tr>
      <w:tr w14:paraId="677F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6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2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磁体孔径大小（患者检查孔径）</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7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≥70cm</w:t>
            </w:r>
          </w:p>
        </w:tc>
      </w:tr>
      <w:tr w14:paraId="4E7B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E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E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磁体为两端开放式设计</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A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758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2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B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磁体重量（含液氦）</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B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≤5.5吨</w:t>
            </w:r>
          </w:p>
        </w:tc>
      </w:tr>
      <w:tr w14:paraId="01030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7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F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磁场稳定度</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C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≤0.1ppm/h</w:t>
            </w:r>
          </w:p>
        </w:tc>
      </w:tr>
      <w:tr w14:paraId="4599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9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C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磁场均匀度（V－RMS测量法）（typical）</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2286">
            <w:pPr>
              <w:jc w:val="center"/>
              <w:rPr>
                <w:rFonts w:hint="eastAsia" w:ascii="宋体" w:hAnsi="宋体" w:eastAsia="宋体" w:cs="宋体"/>
                <w:i w:val="0"/>
                <w:iCs w:val="0"/>
                <w:color w:val="000000"/>
                <w:sz w:val="24"/>
                <w:szCs w:val="24"/>
                <w:u w:val="none"/>
              </w:rPr>
            </w:pPr>
          </w:p>
        </w:tc>
      </w:tr>
      <w:tr w14:paraId="5CBC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0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6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50cmDSV（Typical）</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B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 ppm</w:t>
            </w:r>
          </w:p>
        </w:tc>
      </w:tr>
      <w:tr w14:paraId="646E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5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5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40cmDSV（Typical）</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9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≤0.34ppm</w:t>
            </w:r>
          </w:p>
        </w:tc>
      </w:tr>
      <w:tr w14:paraId="2DA5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8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A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30cmDSV（Typical）</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A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≤0.07ppm</w:t>
            </w:r>
          </w:p>
        </w:tc>
      </w:tr>
      <w:tr w14:paraId="57D6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9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0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20cmDSV（Typical）</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4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≤0.02ppm</w:t>
            </w:r>
          </w:p>
        </w:tc>
      </w:tr>
      <w:tr w14:paraId="28A3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8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A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10cmDSV（Typical）</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6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≤0.005ppm</w:t>
            </w:r>
          </w:p>
        </w:tc>
      </w:tr>
      <w:tr w14:paraId="0573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A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E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5高斯线范围：</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B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≤5.2*2.8m</w:t>
            </w:r>
            <w:r>
              <w:rPr>
                <w:rFonts w:hint="eastAsia" w:ascii="宋体" w:hAnsi="宋体" w:eastAsia="宋体" w:cs="宋体"/>
                <w:i w:val="0"/>
                <w:iCs w:val="0"/>
                <w:color w:val="000000"/>
                <w:kern w:val="0"/>
                <w:sz w:val="24"/>
                <w:szCs w:val="24"/>
                <w:u w:val="none"/>
                <w:vertAlign w:val="superscript"/>
                <w:lang w:val="en-US" w:eastAsia="zh-CN" w:bidi="ar"/>
              </w:rPr>
              <w:t>2</w:t>
            </w:r>
          </w:p>
        </w:tc>
      </w:tr>
      <w:tr w14:paraId="61BC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6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C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1高斯线范围：</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4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≤7.8*4.8m</w:t>
            </w:r>
            <w:r>
              <w:rPr>
                <w:rFonts w:hint="eastAsia" w:ascii="宋体" w:hAnsi="宋体" w:eastAsia="宋体" w:cs="宋体"/>
                <w:i w:val="0"/>
                <w:iCs w:val="0"/>
                <w:color w:val="000000"/>
                <w:kern w:val="0"/>
                <w:sz w:val="24"/>
                <w:szCs w:val="24"/>
                <w:u w:val="none"/>
                <w:vertAlign w:val="superscript"/>
                <w:lang w:val="en-US" w:eastAsia="zh-CN" w:bidi="ar"/>
              </w:rPr>
              <w:t>2</w:t>
            </w:r>
          </w:p>
        </w:tc>
      </w:tr>
      <w:tr w14:paraId="3E0D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D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8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梯度系统</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67A9">
            <w:pPr>
              <w:jc w:val="center"/>
              <w:rPr>
                <w:rFonts w:hint="eastAsia" w:ascii="宋体" w:hAnsi="宋体" w:eastAsia="宋体" w:cs="宋体"/>
                <w:i w:val="0"/>
                <w:iCs w:val="0"/>
                <w:color w:val="000000"/>
                <w:sz w:val="24"/>
                <w:szCs w:val="24"/>
                <w:u w:val="none"/>
              </w:rPr>
            </w:pPr>
          </w:p>
        </w:tc>
      </w:tr>
      <w:tr w14:paraId="3467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5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1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单梯度系统（非双梯度放大器）</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7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单梯度系统（非双梯度放大器）</w:t>
            </w:r>
          </w:p>
        </w:tc>
      </w:tr>
      <w:tr w14:paraId="4B8B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E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B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最大梯度场强（非等效值）</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1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≥45mT/m</w:t>
            </w:r>
          </w:p>
        </w:tc>
      </w:tr>
      <w:tr w14:paraId="1CDE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9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B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最大单轴梯度切换率（非等效值）</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F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≥200mT/m/ms</w:t>
            </w:r>
          </w:p>
        </w:tc>
      </w:tr>
      <w:tr w14:paraId="442C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D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F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单轴最大切换率有效值</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A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≥345mT/m/ms</w:t>
            </w:r>
          </w:p>
        </w:tc>
      </w:tr>
      <w:tr w14:paraId="666B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A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5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在同一梯度扫描模式下，最大单轴梯度场强和最大单轴梯度切换率</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3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在同一序列中可同时达到</w:t>
            </w:r>
          </w:p>
        </w:tc>
      </w:tr>
      <w:tr w14:paraId="0746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B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E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工作周期</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8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0225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8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7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梯度控制系统</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1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全数字实时发射接收</w:t>
            </w:r>
          </w:p>
        </w:tc>
      </w:tr>
      <w:tr w14:paraId="26A3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8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4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梯度工作方式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5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非共振</w:t>
            </w:r>
          </w:p>
        </w:tc>
      </w:tr>
      <w:tr w14:paraId="4BF2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5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C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梯度放大器冷却方式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D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水冷</w:t>
            </w:r>
          </w:p>
        </w:tc>
      </w:tr>
      <w:tr w14:paraId="74D2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D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B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最短爬升时间</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7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≤0.225ms</w:t>
            </w:r>
          </w:p>
        </w:tc>
      </w:tr>
      <w:tr w14:paraId="4FB6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D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3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检查环境</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B0D2">
            <w:pPr>
              <w:jc w:val="center"/>
              <w:rPr>
                <w:rFonts w:hint="eastAsia" w:ascii="宋体" w:hAnsi="宋体" w:eastAsia="宋体" w:cs="宋体"/>
                <w:i w:val="0"/>
                <w:iCs w:val="0"/>
                <w:color w:val="000000"/>
                <w:sz w:val="24"/>
                <w:szCs w:val="24"/>
                <w:u w:val="none"/>
              </w:rPr>
            </w:pPr>
          </w:p>
        </w:tc>
      </w:tr>
      <w:tr w14:paraId="75E7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A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9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扫描床最低高度</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4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r>
      <w:tr w14:paraId="43E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A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3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运动时扫描床最大承受重量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7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≥250kg</w:t>
            </w:r>
          </w:p>
        </w:tc>
      </w:tr>
      <w:tr w14:paraId="4B61D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7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1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扫描床水平运动最大速度</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4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≥200mm/sec</w:t>
            </w:r>
          </w:p>
        </w:tc>
      </w:tr>
      <w:tr w14:paraId="67CB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9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7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扫描范围</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2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≥180cm</w:t>
            </w:r>
          </w:p>
        </w:tc>
      </w:tr>
      <w:tr w14:paraId="33ABB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4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0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扫描床自动步进</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1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6D0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5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6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足先进扫描模式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8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92E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5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2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扫描床紧急制动功能</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6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65F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6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C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病人通道环境</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3AF2">
            <w:pPr>
              <w:jc w:val="center"/>
              <w:rPr>
                <w:rFonts w:hint="eastAsia" w:ascii="宋体" w:hAnsi="宋体" w:eastAsia="宋体" w:cs="宋体"/>
                <w:i w:val="0"/>
                <w:iCs w:val="0"/>
                <w:color w:val="000000"/>
                <w:sz w:val="24"/>
                <w:szCs w:val="24"/>
                <w:u w:val="none"/>
              </w:rPr>
            </w:pPr>
          </w:p>
        </w:tc>
      </w:tr>
      <w:tr w14:paraId="1E80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5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2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病人通道环境配置</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5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照明、通风、对讲通话、背景音乐、专用防磁耳机、呼叫等</w:t>
            </w:r>
          </w:p>
        </w:tc>
      </w:tr>
      <w:tr w14:paraId="06B5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6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6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磁体液晶显示屏系统</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E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8528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0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C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射频系统</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8C0F">
            <w:pPr>
              <w:jc w:val="center"/>
              <w:rPr>
                <w:rFonts w:hint="eastAsia" w:ascii="宋体" w:hAnsi="宋体" w:eastAsia="宋体" w:cs="宋体"/>
                <w:i w:val="0"/>
                <w:iCs w:val="0"/>
                <w:color w:val="000000"/>
                <w:sz w:val="24"/>
                <w:szCs w:val="24"/>
                <w:u w:val="none"/>
              </w:rPr>
            </w:pPr>
          </w:p>
        </w:tc>
      </w:tr>
      <w:tr w14:paraId="20A1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5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9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实时数字化射频能量监控</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4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501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0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E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射频功率</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8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≥36kW</w:t>
            </w:r>
          </w:p>
        </w:tc>
      </w:tr>
      <w:tr w14:paraId="4AE4F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6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B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射频噪音水平</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B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≤0.5dB</w:t>
            </w:r>
          </w:p>
        </w:tc>
      </w:tr>
      <w:tr w14:paraId="67F3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5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0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所有线圈免调谐</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9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7DF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2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0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发射带宽</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1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≥0.6MHZ</w:t>
            </w:r>
          </w:p>
        </w:tc>
      </w:tr>
      <w:tr w14:paraId="5107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E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0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最大射频接收动态范围</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8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≥165dB</w:t>
            </w:r>
          </w:p>
        </w:tc>
      </w:tr>
      <w:tr w14:paraId="200F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8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B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射频接收带宽</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B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≥1MHZ</w:t>
            </w:r>
          </w:p>
        </w:tc>
      </w:tr>
      <w:tr w14:paraId="52F5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9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B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独立射频放大器驱动数量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A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r>
      <w:tr w14:paraId="42AE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3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1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射频发射技术平台，提供TimTX Trueshape或MultiDrive或Multitransmit 4D等</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F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335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2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1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单视野不移床单次扫描同时独立传输通道数（提供具体数值）</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F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≥64通道或无限通道</w:t>
            </w:r>
          </w:p>
        </w:tc>
      </w:tr>
      <w:tr w14:paraId="727A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4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D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须提供原厂射频线圈：一体化头颈组合成像线圈、头部专用成像线圈、腹部组合成像线圈、一体化全脊柱线圈、通用柔性线圈（大、小各一套）、乳腺线圈</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F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射频线圈：各厂商须提供满足临床各部位使用配置线圈（提供datasheet或技术白皮书）</w:t>
            </w:r>
          </w:p>
        </w:tc>
      </w:tr>
      <w:tr w14:paraId="4252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C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3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原厂一体化头颈组合成像线圈</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7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≥20通道</w:t>
            </w:r>
          </w:p>
        </w:tc>
      </w:tr>
      <w:tr w14:paraId="35C2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E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8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原厂头部专用成像线圈</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7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≥20通道</w:t>
            </w:r>
          </w:p>
        </w:tc>
      </w:tr>
      <w:tr w14:paraId="5957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2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C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原厂腹部组合成像线圈</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1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≥24通道</w:t>
            </w:r>
          </w:p>
        </w:tc>
      </w:tr>
      <w:tr w14:paraId="2B32C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C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7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原厂一体化全脊柱线圈</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A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≥24通道</w:t>
            </w:r>
          </w:p>
        </w:tc>
      </w:tr>
      <w:tr w14:paraId="4568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8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C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原厂通用柔性线圈（大、小各一套）</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3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≥8通道</w:t>
            </w:r>
          </w:p>
        </w:tc>
      </w:tr>
      <w:tr w14:paraId="7AB2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7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4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原厂乳腺线圈</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F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≥8通道</w:t>
            </w:r>
          </w:p>
        </w:tc>
      </w:tr>
      <w:tr w14:paraId="5C29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6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D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专用膝关节线圈1个（非柔性专用线圈），专用肩关节线圈1个，（非柔性专用线圈），专用足/踝线圈1个</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9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≥16通道</w:t>
            </w:r>
          </w:p>
        </w:tc>
      </w:tr>
      <w:tr w14:paraId="72A0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1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4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颈部血管斑块专用线圈</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A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≥16通道</w:t>
            </w:r>
          </w:p>
        </w:tc>
      </w:tr>
      <w:tr w14:paraId="1199C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F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 </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5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线圈组合扫描技术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E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A76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F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E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独立系统线圈接口总数量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B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CBB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F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5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静音技术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A6CC">
            <w:pPr>
              <w:jc w:val="center"/>
              <w:rPr>
                <w:rFonts w:hint="eastAsia" w:ascii="宋体" w:hAnsi="宋体" w:eastAsia="宋体" w:cs="宋体"/>
                <w:i w:val="0"/>
                <w:iCs w:val="0"/>
                <w:color w:val="000000"/>
                <w:sz w:val="24"/>
                <w:szCs w:val="24"/>
                <w:u w:val="none"/>
              </w:rPr>
            </w:pPr>
          </w:p>
        </w:tc>
      </w:tr>
      <w:tr w14:paraId="1F13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5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6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梯度系统硬件静音技术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2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BDE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4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4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梯度系统软件静音技术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5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4BB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2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2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静音技术可实现的扫描序列</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0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EE4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7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F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主控计算机系统</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BC6D">
            <w:pPr>
              <w:jc w:val="center"/>
              <w:rPr>
                <w:rFonts w:hint="eastAsia" w:ascii="宋体" w:hAnsi="宋体" w:eastAsia="宋体" w:cs="宋体"/>
                <w:i w:val="0"/>
                <w:iCs w:val="0"/>
                <w:color w:val="000000"/>
                <w:sz w:val="24"/>
                <w:szCs w:val="24"/>
                <w:u w:val="none"/>
              </w:rPr>
            </w:pPr>
          </w:p>
        </w:tc>
      </w:tr>
      <w:tr w14:paraId="0B072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D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F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6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Linux或Windows系统</w:t>
            </w:r>
          </w:p>
        </w:tc>
      </w:tr>
      <w:tr w14:paraId="152F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B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2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主CPU主频</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1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≥3.2GHz</w:t>
            </w:r>
          </w:p>
        </w:tc>
      </w:tr>
      <w:tr w14:paraId="17D8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7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4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主内存</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4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≥16GB</w:t>
            </w:r>
          </w:p>
        </w:tc>
      </w:tr>
      <w:tr w14:paraId="188F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7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2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图像存储硬盘容量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E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r>
      <w:tr w14:paraId="5082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B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1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最大重建矩阵</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6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≥1024×1024</w:t>
            </w:r>
          </w:p>
        </w:tc>
      </w:tr>
      <w:tr w14:paraId="01F30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8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4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重建速度</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5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≥15000幅/秒（2D傅立叶变换，256×256矩阵，100% FOV，100%数据重建）</w:t>
            </w:r>
          </w:p>
        </w:tc>
      </w:tr>
      <w:tr w14:paraId="4A84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D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6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阵列处理器内存</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C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≥36GB</w:t>
            </w:r>
          </w:p>
        </w:tc>
      </w:tr>
      <w:tr w14:paraId="741F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0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8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系统软件硬盘容量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3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≥120GB</w:t>
            </w:r>
          </w:p>
        </w:tc>
      </w:tr>
      <w:tr w14:paraId="0033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E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C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DVD-RW光盘刻录机</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5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具备并提供，DVD-RW刻录光驱，并能回读主系统（双向存储）</w:t>
            </w:r>
          </w:p>
        </w:tc>
      </w:tr>
      <w:tr w14:paraId="7790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A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A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同步扫描和创建功能</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9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实时显示</w:t>
            </w:r>
          </w:p>
        </w:tc>
      </w:tr>
      <w:tr w14:paraId="7F52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B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E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彩色液晶显示器</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8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≥24英寸，分辨率≥1920*1200</w:t>
            </w:r>
          </w:p>
        </w:tc>
      </w:tr>
      <w:tr w14:paraId="5BCD7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4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5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实时MIP</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4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664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D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6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实时MPR</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5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A970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D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C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三维表面重建技术SSD</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7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933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0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E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自由感兴趣区MIP重建</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B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FC5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B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6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图像减影，电影回放</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A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FA8D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0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1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实时互动多平面重建</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0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ECD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C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6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动态定量分析软件：t-test,ADC-map,T1,T2 值的计算，减影、叠加，时间信号曲线，时间峰值等</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3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具备并提供t-test,ADC-map,T1,T2 值的计算，减影、叠加，时间信号曲线，时间峰值等。</w:t>
            </w:r>
          </w:p>
        </w:tc>
      </w:tr>
      <w:tr w14:paraId="3D57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3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D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实时心电波形显示</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0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3EF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2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2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实时呼吸、脉搏波形显示</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0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1DD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9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1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后处理接口</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AA6C">
            <w:pPr>
              <w:jc w:val="center"/>
              <w:rPr>
                <w:rFonts w:hint="eastAsia" w:ascii="宋体" w:hAnsi="宋体" w:eastAsia="宋体" w:cs="宋体"/>
                <w:i w:val="0"/>
                <w:iCs w:val="0"/>
                <w:color w:val="000000"/>
                <w:sz w:val="24"/>
                <w:szCs w:val="24"/>
                <w:u w:val="none"/>
              </w:rPr>
            </w:pPr>
          </w:p>
        </w:tc>
      </w:tr>
      <w:tr w14:paraId="25D3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F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1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软件控制照相技术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3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0987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E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1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DICOM3.0接口与院内信息系统互联互通（包括打印、传输、接收、存储、查询、Worklist等功能）</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0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E95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8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B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标准激光相机DICOM3.0数字接口</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7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AD1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7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C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主机向PC机传输图像数据功能</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2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426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1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1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扫描参数</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20E">
            <w:pPr>
              <w:jc w:val="center"/>
              <w:rPr>
                <w:rFonts w:hint="eastAsia" w:ascii="宋体" w:hAnsi="宋体" w:eastAsia="宋体" w:cs="宋体"/>
                <w:i w:val="0"/>
                <w:iCs w:val="0"/>
                <w:color w:val="000000"/>
                <w:sz w:val="24"/>
                <w:szCs w:val="24"/>
                <w:u w:val="none"/>
              </w:rPr>
            </w:pPr>
          </w:p>
        </w:tc>
      </w:tr>
      <w:tr w14:paraId="6136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3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3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最大FOV X轴</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1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≥500mm</w:t>
            </w:r>
          </w:p>
        </w:tc>
      </w:tr>
      <w:tr w14:paraId="046E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5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5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最大FOV Y轴</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8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≥500mm</w:t>
            </w:r>
          </w:p>
        </w:tc>
      </w:tr>
      <w:tr w14:paraId="1FD4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0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4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最大FOV Z轴</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C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≥500mm</w:t>
            </w:r>
          </w:p>
        </w:tc>
      </w:tr>
      <w:tr w14:paraId="61BB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D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C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最小FOV</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7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w:t>
            </w:r>
          </w:p>
        </w:tc>
      </w:tr>
      <w:tr w14:paraId="4BA4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B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9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二维最薄扫描层厚</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5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≤0.1mm</w:t>
            </w:r>
          </w:p>
        </w:tc>
      </w:tr>
      <w:tr w14:paraId="2C68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A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7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三维最薄扫描层厚</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A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≤0.05mm</w:t>
            </w:r>
          </w:p>
        </w:tc>
      </w:tr>
      <w:tr w14:paraId="574F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A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F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最大采集矩阵</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0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≥1024×1024</w:t>
            </w:r>
          </w:p>
        </w:tc>
      </w:tr>
      <w:tr w14:paraId="264D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3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C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最大层面分辨率</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D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≤12µm</w:t>
            </w:r>
          </w:p>
        </w:tc>
      </w:tr>
      <w:tr w14:paraId="4FDF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9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4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自旋回波最短TR时间（128矩阵）</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2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≤8.4ms</w:t>
            </w:r>
          </w:p>
        </w:tc>
      </w:tr>
      <w:tr w14:paraId="77EEF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1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3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自旋回波最短TE时间（128矩阵）</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1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≤2.8ms</w:t>
            </w:r>
          </w:p>
        </w:tc>
      </w:tr>
      <w:tr w14:paraId="20BB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E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0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EPI最短TR时间（64矩阵）</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5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≤10ms</w:t>
            </w:r>
          </w:p>
        </w:tc>
      </w:tr>
      <w:tr w14:paraId="0D84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7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7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EPI最短TE时间（64矩阵）</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3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≤2.1ms</w:t>
            </w:r>
          </w:p>
        </w:tc>
      </w:tr>
      <w:tr w14:paraId="078B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F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2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EPI最短TR时间（128矩阵）</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3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≤10ms</w:t>
            </w:r>
          </w:p>
        </w:tc>
      </w:tr>
      <w:tr w14:paraId="70D49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5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1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EPI最短TE时间（128矩阵）</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A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≤2.4ms</w:t>
            </w:r>
          </w:p>
        </w:tc>
      </w:tr>
      <w:tr w14:paraId="1C3F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B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9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EPI最短TR时间（256矩阵）</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1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≤10ms</w:t>
            </w:r>
          </w:p>
        </w:tc>
      </w:tr>
      <w:tr w14:paraId="69AD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8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7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EPI最短TE时间（256矩阵）</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B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≤2.7ms</w:t>
            </w:r>
          </w:p>
        </w:tc>
      </w:tr>
      <w:tr w14:paraId="4815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A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6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FSE最大回波链</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E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r>
      <w:tr w14:paraId="6CBB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2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6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弥散张量成像（DTI）的弥散方向数，单个序列一次采集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E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r>
      <w:tr w14:paraId="1FCA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E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7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采集弥散加权系数B值</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C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≥10000s/mm</w:t>
            </w:r>
            <w:r>
              <w:rPr>
                <w:rFonts w:hint="eastAsia" w:ascii="宋体" w:hAnsi="宋体" w:eastAsia="宋体" w:cs="宋体"/>
                <w:i w:val="0"/>
                <w:iCs w:val="0"/>
                <w:color w:val="000000"/>
                <w:kern w:val="0"/>
                <w:sz w:val="24"/>
                <w:szCs w:val="24"/>
                <w:u w:val="none"/>
                <w:vertAlign w:val="superscript"/>
                <w:lang w:val="en-US" w:eastAsia="zh-CN" w:bidi="ar"/>
              </w:rPr>
              <w:t>2</w:t>
            </w:r>
          </w:p>
        </w:tc>
      </w:tr>
      <w:tr w14:paraId="39A7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1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1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技术及序列要求</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C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各投标厂商应提供投标机型具备并提供的所有技术及序列，包括但不限于以下，并请说明。以下所列软件，或具有类似功能均可</w:t>
            </w:r>
          </w:p>
        </w:tc>
      </w:tr>
      <w:tr w14:paraId="591FA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E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2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自旋回波序列</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355E">
            <w:pPr>
              <w:jc w:val="center"/>
              <w:rPr>
                <w:rFonts w:hint="eastAsia" w:ascii="宋体" w:hAnsi="宋体" w:eastAsia="宋体" w:cs="宋体"/>
                <w:i w:val="0"/>
                <w:iCs w:val="0"/>
                <w:color w:val="000000"/>
                <w:sz w:val="24"/>
                <w:szCs w:val="24"/>
                <w:u w:val="none"/>
              </w:rPr>
            </w:pPr>
          </w:p>
        </w:tc>
      </w:tr>
      <w:tr w14:paraId="1BB0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3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2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2D/3D快速自旋回波序列</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C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61F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B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0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组织驰豫时间测量SE</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4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D4A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F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A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单次激发快速自旋回波序列</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A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BF5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9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7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多次激发快速自旋回波序列</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A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01F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3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B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快速恢复快速自旋回波</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9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E78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F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可选择角度的SE</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7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994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9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B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反转恢复序列</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F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9B0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0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D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脂肪抑制序列</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1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C90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F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9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频谱特异式大范围脂肪抑制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9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DD9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1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1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快速自由水抑制序列， 包括</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2850">
            <w:pPr>
              <w:jc w:val="center"/>
              <w:rPr>
                <w:rFonts w:hint="eastAsia" w:ascii="宋体" w:hAnsi="宋体" w:eastAsia="宋体" w:cs="宋体"/>
                <w:i w:val="0"/>
                <w:iCs w:val="0"/>
                <w:color w:val="000000"/>
                <w:sz w:val="24"/>
                <w:szCs w:val="24"/>
                <w:u w:val="none"/>
              </w:rPr>
            </w:pPr>
          </w:p>
        </w:tc>
      </w:tr>
      <w:tr w14:paraId="0179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5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3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快速自由水抑制序列T1W成像技术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7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C0F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9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E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快速自由水抑制序列T2W成像技术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9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E2A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D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A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快速反转恢复序列（脂肪、水抑制）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E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F67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7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6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单次激发快速反转恢复序列</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A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184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B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0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单独灰质或白质成像序列</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9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A4E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7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1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梯度回波序列（2D/3D）</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A5AF">
            <w:pPr>
              <w:jc w:val="center"/>
              <w:rPr>
                <w:rFonts w:hint="eastAsia" w:ascii="宋体" w:hAnsi="宋体" w:eastAsia="宋体" w:cs="宋体"/>
                <w:i w:val="0"/>
                <w:iCs w:val="0"/>
                <w:color w:val="000000"/>
                <w:sz w:val="24"/>
                <w:szCs w:val="24"/>
                <w:u w:val="none"/>
              </w:rPr>
            </w:pPr>
          </w:p>
        </w:tc>
      </w:tr>
      <w:tr w14:paraId="0AA1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5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9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亚秒T1加权技术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C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0EB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1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2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亚秒T2加权技术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B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DC0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C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8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流动补偿技术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3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212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1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D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稳态快速扫描技术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9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6EC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3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3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超快速场回波序列</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4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B31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8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E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多层快速动态成像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7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E31F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9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D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锁孔成像技术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8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4A5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C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7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三维成像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7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BFA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9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9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多块三维</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0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1BC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E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4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多叠三维</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7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260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F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5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智能化K空间快门成像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4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DD8B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C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9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磁化转移对比</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8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4FC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2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0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单次激发EPI技术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A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EF2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7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3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多次激发EPI技术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E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083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9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4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2D/3D流入法血管造影</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4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F2D2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A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F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快速流入法血管造影</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D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A020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C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C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快速3D增强MRA</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3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1AC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C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B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倾角优化非饱和激发技术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D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1C9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0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8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2D/3D相位对比血管造影</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D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C37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9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4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快速相位对比血管造影</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4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D21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3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F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伪影消除技术，包括</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4C8E">
            <w:pPr>
              <w:jc w:val="center"/>
              <w:rPr>
                <w:rFonts w:hint="eastAsia" w:ascii="宋体" w:hAnsi="宋体" w:eastAsia="宋体" w:cs="宋体"/>
                <w:i w:val="0"/>
                <w:iCs w:val="0"/>
                <w:color w:val="000000"/>
                <w:sz w:val="24"/>
                <w:szCs w:val="24"/>
                <w:u w:val="none"/>
              </w:rPr>
            </w:pPr>
          </w:p>
        </w:tc>
      </w:tr>
      <w:tr w14:paraId="2FAB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5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9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恒定信号技术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1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74F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F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0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流动校正梯度波形技术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C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ACF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9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D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区域饱和技术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8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DA92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0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F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卷积伪影去除技术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4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CCD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A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F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周边脉动触发技术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4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175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A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6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呼吸触发技术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C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C6EA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3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8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智能伪影消除技术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6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644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8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9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减少呼吸运动伪影不增加扫描时间技术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A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43E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2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D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Manual-Start/stop</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E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C92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1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9.28.10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3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其他伪影消除技术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3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607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3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0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节时技术， 包括：</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D723">
            <w:pPr>
              <w:jc w:val="center"/>
              <w:rPr>
                <w:rFonts w:hint="eastAsia" w:ascii="宋体" w:hAnsi="宋体" w:eastAsia="宋体" w:cs="宋体"/>
                <w:i w:val="0"/>
                <w:iCs w:val="0"/>
                <w:color w:val="000000"/>
                <w:sz w:val="24"/>
                <w:szCs w:val="24"/>
                <w:u w:val="none"/>
              </w:rPr>
            </w:pPr>
          </w:p>
        </w:tc>
      </w:tr>
      <w:tr w14:paraId="58408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0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8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半扫描技术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5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261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3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1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部分扫描采集技术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E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C119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D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6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矩形视野采集技术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B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D14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5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A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三维重叠连续采集技术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6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EC04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A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F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预备相位极小化扫描技术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A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831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9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A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神经系统成像技术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8F61">
            <w:pPr>
              <w:jc w:val="center"/>
              <w:rPr>
                <w:rFonts w:hint="eastAsia" w:ascii="宋体" w:hAnsi="宋体" w:eastAsia="宋体" w:cs="宋体"/>
                <w:i w:val="0"/>
                <w:iCs w:val="0"/>
                <w:color w:val="000000"/>
                <w:sz w:val="24"/>
                <w:szCs w:val="24"/>
                <w:u w:val="none"/>
              </w:rPr>
            </w:pPr>
          </w:p>
        </w:tc>
      </w:tr>
      <w:tr w14:paraId="2CBB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8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B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高分辨解剖成像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7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0F8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4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A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脊髓成像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7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095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B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1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脑脊液抑制技术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8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5EF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A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D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脂肪抑制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0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5A9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0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1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灰、白质最佳成像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4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04D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C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0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普通弥散成像技术，包括单次激发EPI、多次激发EPI、各向同性采集、各向异性采集、一次扫描完成三弥散方向采集、自旋回波EPI、梯度回波EPI、反转EPI。</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A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5CD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2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E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特殊弥散成像技术，包括：</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D63E">
            <w:pPr>
              <w:jc w:val="center"/>
              <w:rPr>
                <w:rFonts w:hint="eastAsia" w:ascii="宋体" w:hAnsi="宋体" w:eastAsia="宋体" w:cs="宋体"/>
                <w:i w:val="0"/>
                <w:iCs w:val="0"/>
                <w:color w:val="000000"/>
                <w:sz w:val="24"/>
                <w:szCs w:val="24"/>
                <w:u w:val="none"/>
              </w:rPr>
            </w:pPr>
          </w:p>
        </w:tc>
      </w:tr>
      <w:tr w14:paraId="498A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1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9.32.1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3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ADC成像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0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F60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7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9.32.2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0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指数化表观弥散系数图（eADC MAP）</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6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DCE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5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7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脑灌注成像技术，包括</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E68A">
            <w:pPr>
              <w:jc w:val="center"/>
              <w:rPr>
                <w:rFonts w:hint="eastAsia" w:ascii="宋体" w:hAnsi="宋体" w:eastAsia="宋体" w:cs="宋体"/>
                <w:i w:val="0"/>
                <w:iCs w:val="0"/>
                <w:color w:val="000000"/>
                <w:sz w:val="24"/>
                <w:szCs w:val="24"/>
                <w:u w:val="none"/>
              </w:rPr>
            </w:pPr>
          </w:p>
        </w:tc>
      </w:tr>
      <w:tr w14:paraId="399F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6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7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计算血流图（rCBV图）</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1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3EA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2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5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平均通过时间（MTT）</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8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C17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9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7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到达峰值时间（TTP）</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8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C02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5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E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负积分图（局部脑血容量）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4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D49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2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8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检索图（局部脑血容量）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B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768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8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1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彩色灌注分析软件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C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1A1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5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4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线上计算血流动态图</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7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55C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B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3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全脑不打药灌注成像技术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F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B452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4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B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CBF精准定量（ml/100g/min）</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0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CE6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7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9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心血管成像技术，包括：</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F4C7">
            <w:pPr>
              <w:jc w:val="center"/>
              <w:rPr>
                <w:rFonts w:hint="eastAsia" w:ascii="宋体" w:hAnsi="宋体" w:eastAsia="宋体" w:cs="宋体"/>
                <w:i w:val="0"/>
                <w:iCs w:val="0"/>
                <w:color w:val="000000"/>
                <w:sz w:val="24"/>
                <w:szCs w:val="24"/>
                <w:u w:val="none"/>
              </w:rPr>
            </w:pPr>
          </w:p>
        </w:tc>
      </w:tr>
      <w:tr w14:paraId="2046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6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7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2D/3D时飞法技术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F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FA0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A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E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连续多层3D时飞法技术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2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756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F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7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门控2D血管技术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3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ADE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3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F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2D/3D相位对比法技术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9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708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F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B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相位对比MRA技术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D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2B8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C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F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增强对比MRA技术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B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BF8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0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F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TONE+MTC</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4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46D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D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3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血管选择技术（动静脉分离）</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D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F43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F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9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超快速血管成像技术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AF4E">
            <w:pPr>
              <w:jc w:val="center"/>
              <w:rPr>
                <w:rFonts w:hint="eastAsia" w:ascii="宋体" w:hAnsi="宋体" w:eastAsia="宋体" w:cs="宋体"/>
                <w:i w:val="0"/>
                <w:iCs w:val="0"/>
                <w:color w:val="000000"/>
                <w:sz w:val="24"/>
                <w:szCs w:val="24"/>
                <w:u w:val="none"/>
              </w:rPr>
            </w:pPr>
          </w:p>
        </w:tc>
      </w:tr>
      <w:tr w14:paraId="78D9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0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9.34.9.1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D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动态血管成像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8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4E7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3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9.34.9.2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0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全身血管成像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9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E9E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0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9.34.10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6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可变反转角射频技术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6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71E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D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1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最大强度投影技术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F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579A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0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9.34.12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4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多层面重建技术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4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925E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5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9.34.13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6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3D多层重叠成像技术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B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313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C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9.34.14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F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智能化实时透视造影剂追踪血管成像技术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7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3AF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8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9.34.15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8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智能化自动移床造影剂跟踪技术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6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393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B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9.34.16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3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实时交互式血管成像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3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AB3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F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9.34.17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5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流量定量分析技术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F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0593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2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9.34.18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7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区域饱和技术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8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303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F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9.34.19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2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心脏成像白血技术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0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0CD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F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9.34.20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5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心脏成像黑血技术（双反转）</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A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572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D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9.34.21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B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三反转法心肌黑血计算（心肌黑血+脂肪抑制技术）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8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34B7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B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9.34.22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6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心脏电影成像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8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A18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6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9.34.23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4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曲面重建技术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7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CFC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3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9.34.24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9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具备并提供全身血管成像技术及图像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5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826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5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9.34.25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3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心电门控</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3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CCC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C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9.34.26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8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呼吸门控</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7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50C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5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9.34.27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0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外周门控</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F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BEF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E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9.34.28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A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呼吸补偿</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6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FC8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B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9.34.29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流动补偿</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3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CC5A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6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9.34.30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2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三维定位系统</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C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5E0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E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9.34.31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C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频率编码方向扩大采集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B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734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8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9.34.32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C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相位编码方向扩大采集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9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F65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0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9.34.33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2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饱和带数目</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8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6C7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5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9.34.34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4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脂肪饱和技术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8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7C9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7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9.34.35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F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水饱和技术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4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B7F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C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9.34.36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C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水激发技术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C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4D2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8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9.34.37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1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四维血管成像技术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5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4FA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2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9.34.38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0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梯度/相位重组回放血管成像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F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933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F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9.34.39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0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外周血管成像技术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6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312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1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9.34.40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B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体部血管成像技术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1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CB8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A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9.34.41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2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磁化对比血管成像技术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3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6D1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E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9.34.42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3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3D黑血序列成像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A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EF2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2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B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体部成像技术包括</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5C08">
            <w:pPr>
              <w:jc w:val="center"/>
              <w:rPr>
                <w:rFonts w:hint="eastAsia" w:ascii="宋体" w:hAnsi="宋体" w:eastAsia="宋体" w:cs="宋体"/>
                <w:i w:val="0"/>
                <w:iCs w:val="0"/>
                <w:color w:val="000000"/>
                <w:sz w:val="24"/>
                <w:szCs w:val="24"/>
                <w:u w:val="none"/>
              </w:rPr>
            </w:pPr>
          </w:p>
        </w:tc>
      </w:tr>
      <w:tr w14:paraId="769C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9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E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腹部检查技术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C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ADB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5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0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盆腔检查技术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3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035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2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F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MR结肠造影技术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6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C17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E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C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MR胰胆管造影技术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2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C71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A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7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动态肾脏成像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D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09B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C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C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MR尿路造影技术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D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F394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D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4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肝脏灌注成像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6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DDA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F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2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肝脏弥散成像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E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7540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B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8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肾脏灌注成像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2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021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1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9.35.10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1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肾脏弥散成像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6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5FC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8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A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四肢及关节成像技术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D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30D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F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B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并行采集技术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AD2C">
            <w:pPr>
              <w:jc w:val="center"/>
              <w:rPr>
                <w:rFonts w:hint="eastAsia" w:ascii="宋体" w:hAnsi="宋体" w:eastAsia="宋体" w:cs="宋体"/>
                <w:i w:val="0"/>
                <w:iCs w:val="0"/>
                <w:color w:val="000000"/>
                <w:sz w:val="24"/>
                <w:szCs w:val="24"/>
                <w:u w:val="none"/>
              </w:rPr>
            </w:pPr>
          </w:p>
        </w:tc>
      </w:tr>
      <w:tr w14:paraId="35E0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4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D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并行采集最短加速因子</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5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B4A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8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B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并行采集技术成像可与所有快速扫描技术合并使用</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4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394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A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C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并行采集技术成像可与3D TOF血管成像技术结合使用</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5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809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9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9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并行采集技术成像可与实时动态匀场技术结合使用</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C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028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7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9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并行采集时重建技术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0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F9E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6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D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并行采集技术成像可与PCA结合使用</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D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AAF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1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并行采集技术成像可与频谱结合使用</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E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9406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8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3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其他成像技术，包括</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CB39">
            <w:pPr>
              <w:jc w:val="center"/>
              <w:rPr>
                <w:rFonts w:hint="eastAsia" w:ascii="宋体" w:hAnsi="宋体" w:eastAsia="宋体" w:cs="宋体"/>
                <w:i w:val="0"/>
                <w:iCs w:val="0"/>
                <w:color w:val="000000"/>
                <w:sz w:val="24"/>
                <w:szCs w:val="24"/>
                <w:u w:val="none"/>
              </w:rPr>
            </w:pPr>
          </w:p>
        </w:tc>
      </w:tr>
      <w:tr w14:paraId="58B7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C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2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三维定位系统</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7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20E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D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5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扫描暂停</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4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D5F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1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5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可变带宽技术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8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620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B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E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优化带宽技术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E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BF4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6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5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腹部优化成像技术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8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882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C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E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腹部3D容积多期动态增强脂肪抑制技术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B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B04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B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1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预饱和技术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9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559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E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7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优化反转角度技术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8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D20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7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0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表面线圈密度校正成像技术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9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873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0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9.38.10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A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智能化照相成像技术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4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7B4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A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8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同相位/反相位成像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C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40A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7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9.38.12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4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快速射频干扰梯度回波</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2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7EB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6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9.38.13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2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3D屏气512矩阵高分辨率水成像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4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CC3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2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9.38.14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9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自由呼吸的三维高分辨率MR水成像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D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1AF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6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9.38.15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1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2D厚层水成像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7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45D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9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9.38.16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E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预扫描技术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B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C68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B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9.38.17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6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信噪比显示功能</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1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D2E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0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9.38.18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9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预饱和技术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2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A14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F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1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伪影校正技术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B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具备并提供患者运动伪影，金属伪影，磁敏感伪影校正技术</w:t>
            </w:r>
          </w:p>
        </w:tc>
      </w:tr>
      <w:tr w14:paraId="51A1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1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5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腹部多期动态增强技术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1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B73E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C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7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3D容积T2/FLAIR成像技术，扫描一次可在任意平面重建各向同性技术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F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4AC0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1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5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重度T2*加权成像技术或者SWI</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C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65B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E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3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增强型弥散成像技术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1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42F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3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6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神经成像组件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B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2C6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1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4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血管成像组件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A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154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1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2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心脏成像组件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8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5E81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1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B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乳腺成像组件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4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B762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B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2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体部成像组件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F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A1F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2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7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肿瘤成像组件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F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EB8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3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5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骨关节成像组件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EB8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5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F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儿童成像组件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9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7072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E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D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参量图成像软件包</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A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443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3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A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磁敏感加权成像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D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85E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3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2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高级心脏成像软件包</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6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BA2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5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8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全身压缩感知技术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5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F2D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7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4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多对比度定量图谱技术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B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390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C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1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图像处理工作站</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E42B">
            <w:pPr>
              <w:jc w:val="center"/>
              <w:rPr>
                <w:rFonts w:hint="eastAsia" w:ascii="宋体" w:hAnsi="宋体" w:eastAsia="宋体" w:cs="宋体"/>
                <w:i w:val="0"/>
                <w:iCs w:val="0"/>
                <w:color w:val="000000"/>
                <w:sz w:val="24"/>
                <w:szCs w:val="24"/>
                <w:u w:val="none"/>
              </w:rPr>
            </w:pPr>
          </w:p>
        </w:tc>
      </w:tr>
      <w:tr w14:paraId="46F7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0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1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独立高级影像后处理工作站</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B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具备并提供原厂版本专用高级影像后处理工作站一套，相应功能由主机实现，后处理软件包配置在主机及工作站上均能进行</w:t>
            </w:r>
          </w:p>
        </w:tc>
      </w:tr>
      <w:tr w14:paraId="0D79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3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5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1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≥24英寸</w:t>
            </w:r>
          </w:p>
        </w:tc>
      </w:tr>
      <w:tr w14:paraId="5553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0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1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E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≥3.0GHZ*2</w:t>
            </w:r>
          </w:p>
        </w:tc>
      </w:tr>
      <w:tr w14:paraId="607D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1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2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3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≥16GB</w:t>
            </w:r>
          </w:p>
        </w:tc>
      </w:tr>
      <w:tr w14:paraId="2B71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2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A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硬盘容量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5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r>
      <w:tr w14:paraId="0409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B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4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DVD-RW驱动器</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0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E98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6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A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工作站上的处理软件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2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具备并提供，须按照下面第十一项（临床应用软件）标准要求提供</w:t>
            </w:r>
          </w:p>
        </w:tc>
      </w:tr>
      <w:tr w14:paraId="75A0E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E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D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DICOM图像转换成JPG格式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D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49B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0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F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图像融合</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8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688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E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2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病人数据库</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6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AD9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2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2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DICOM3.0标准，包括</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08C0">
            <w:pPr>
              <w:jc w:val="center"/>
              <w:rPr>
                <w:rFonts w:hint="eastAsia" w:ascii="宋体" w:hAnsi="宋体" w:eastAsia="宋体" w:cs="宋体"/>
                <w:i w:val="0"/>
                <w:iCs w:val="0"/>
                <w:color w:val="000000"/>
                <w:sz w:val="24"/>
                <w:szCs w:val="24"/>
                <w:u w:val="none"/>
              </w:rPr>
            </w:pPr>
          </w:p>
        </w:tc>
      </w:tr>
      <w:tr w14:paraId="1F63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9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F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DICOM Send/Receive</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4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854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3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7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Query/Receive</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0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FA0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E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9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Basic Print、Worklist、Storage</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2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CDF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C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F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DICOM3.0标准激光相机数字接口</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F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A35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9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十一</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1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临床应用软件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DB70">
            <w:pPr>
              <w:jc w:val="center"/>
              <w:rPr>
                <w:rFonts w:hint="eastAsia" w:ascii="宋体" w:hAnsi="宋体" w:eastAsia="宋体" w:cs="宋体"/>
                <w:i w:val="0"/>
                <w:iCs w:val="0"/>
                <w:color w:val="000000"/>
                <w:sz w:val="24"/>
                <w:szCs w:val="24"/>
                <w:u w:val="none"/>
              </w:rPr>
            </w:pPr>
          </w:p>
        </w:tc>
      </w:tr>
      <w:tr w14:paraId="3B6F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C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C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3D后处理功能软件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D27A">
            <w:pPr>
              <w:jc w:val="center"/>
              <w:rPr>
                <w:rFonts w:hint="eastAsia" w:ascii="宋体" w:hAnsi="宋体" w:eastAsia="宋体" w:cs="宋体"/>
                <w:i w:val="0"/>
                <w:iCs w:val="0"/>
                <w:color w:val="000000"/>
                <w:sz w:val="24"/>
                <w:szCs w:val="24"/>
                <w:u w:val="none"/>
              </w:rPr>
            </w:pPr>
          </w:p>
        </w:tc>
      </w:tr>
      <w:tr w14:paraId="48DA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8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C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MPR</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1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1D6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C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6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SSD</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1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52C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F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1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MIP</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8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6E5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B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8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D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685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C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4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交互成像技术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0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6BD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2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2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弥散成像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8225">
            <w:pPr>
              <w:jc w:val="center"/>
              <w:rPr>
                <w:rFonts w:hint="eastAsia" w:ascii="宋体" w:hAnsi="宋体" w:eastAsia="宋体" w:cs="宋体"/>
                <w:i w:val="0"/>
                <w:iCs w:val="0"/>
                <w:color w:val="000000"/>
                <w:sz w:val="24"/>
                <w:szCs w:val="24"/>
                <w:u w:val="none"/>
              </w:rPr>
            </w:pPr>
          </w:p>
        </w:tc>
      </w:tr>
      <w:tr w14:paraId="7D19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F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1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弥散成像ADC图</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0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0F8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3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2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弥散张量成像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2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6CD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2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3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白质纤维束追踪技术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3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92B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5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4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弥散张量方向数</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3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r>
      <w:tr w14:paraId="4921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A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B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全身DWI成像及其后处理和拼接、融合软件</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F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D25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5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D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灌注成像（包括有和无对比剂增强的灌注成像）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D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9FC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0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A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磁共振血管造影技术（MRA）</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5293">
            <w:pPr>
              <w:jc w:val="center"/>
              <w:rPr>
                <w:rFonts w:hint="eastAsia" w:ascii="宋体" w:hAnsi="宋体" w:eastAsia="宋体" w:cs="宋体"/>
                <w:i w:val="0"/>
                <w:iCs w:val="0"/>
                <w:color w:val="000000"/>
                <w:sz w:val="24"/>
                <w:szCs w:val="24"/>
                <w:u w:val="none"/>
              </w:rPr>
            </w:pPr>
          </w:p>
        </w:tc>
      </w:tr>
      <w:tr w14:paraId="2B2F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0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2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MOTSA</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3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4BF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4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0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TONE (Ramped excitation)</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F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172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E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5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MTC</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A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6944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6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7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TOF 2D/3D</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5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033C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8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3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 2D/3D</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6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F1C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D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6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 Cine</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F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92C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8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1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CE-MRA</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8FA1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4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0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Whole body peripheral MRA</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D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0AD0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5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8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Bolus tracking</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B2B7">
            <w:pPr>
              <w:jc w:val="center"/>
              <w:rPr>
                <w:rFonts w:hint="eastAsia" w:ascii="宋体" w:hAnsi="宋体" w:eastAsia="宋体" w:cs="宋体"/>
                <w:i w:val="0"/>
                <w:iCs w:val="0"/>
                <w:color w:val="000000"/>
                <w:sz w:val="24"/>
                <w:szCs w:val="24"/>
                <w:u w:val="none"/>
              </w:rPr>
            </w:pPr>
          </w:p>
        </w:tc>
      </w:tr>
      <w:tr w14:paraId="31D6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6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11.5.9.1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8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自动步进血管造影技术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B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08C1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7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11.5.9.2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4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无造影剂MRA技术：体部、外周无造影剂MRA技术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4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7BFB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F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11.5.9.3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1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高级血管分析软件包</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E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B68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8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4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心脏成像软件包：</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747A">
            <w:pPr>
              <w:jc w:val="center"/>
              <w:rPr>
                <w:rFonts w:hint="eastAsia" w:ascii="宋体" w:hAnsi="宋体" w:eastAsia="宋体" w:cs="宋体"/>
                <w:i w:val="0"/>
                <w:iCs w:val="0"/>
                <w:color w:val="000000"/>
                <w:sz w:val="24"/>
                <w:szCs w:val="24"/>
                <w:u w:val="none"/>
              </w:rPr>
            </w:pPr>
          </w:p>
        </w:tc>
      </w:tr>
      <w:tr w14:paraId="20CE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4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7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心脏功能</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2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E92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2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0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9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DC2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8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C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常规形态学成像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4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2FFA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3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1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回波分享技术</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8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1CD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3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9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快速梯度回波/快速心脏采集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D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329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8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C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氢质子频谱成像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A463">
            <w:pPr>
              <w:jc w:val="center"/>
              <w:rPr>
                <w:rFonts w:hint="eastAsia" w:ascii="宋体" w:hAnsi="宋体" w:eastAsia="宋体" w:cs="宋体"/>
                <w:i w:val="0"/>
                <w:iCs w:val="0"/>
                <w:color w:val="000000"/>
                <w:sz w:val="24"/>
                <w:szCs w:val="24"/>
                <w:u w:val="none"/>
              </w:rPr>
            </w:pPr>
          </w:p>
        </w:tc>
      </w:tr>
      <w:tr w14:paraId="10E8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6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11.7.1</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A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高级频谱分析软件包</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9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2BB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9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11.7.2</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6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STEAM技术（激励回波采集法）和PRESS技术（自旋回波）</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0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4D4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1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11.7.3</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2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单体素频谱</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0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0B8F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8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11.7.4</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C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多体素频谱</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7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5704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1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11.7.5</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F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2D频谱成像（2DMRSI）</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E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797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2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11.7.6</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6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3D频谱成像（3DMRSI）</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D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89E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E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11.7.7</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6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2D多层频谱成像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6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1443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2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11.7.8</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F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乳腺频谱成像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E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3B125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4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11.7.9</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C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头频谱成像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D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r w14:paraId="4F1B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8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11.7.10</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A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肝脏波谱成像</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4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具备并提供</w:t>
            </w:r>
          </w:p>
        </w:tc>
      </w:tr>
    </w:tbl>
    <w:p w14:paraId="6E5FB452">
      <w:pPr>
        <w:pStyle w:val="3"/>
        <w:numPr>
          <w:ilvl w:val="0"/>
          <w:numId w:val="0"/>
        </w:numPr>
        <w:ind w:leftChars="0"/>
        <w:jc w:val="both"/>
        <w:outlineLvl w:val="1"/>
        <w:rPr>
          <w:rFonts w:hint="eastAsia" w:ascii="宋体" w:hAnsi="宋体" w:cs="宋体"/>
          <w:b/>
          <w:bCs w:val="0"/>
          <w:kern w:val="2"/>
          <w:sz w:val="21"/>
          <w:szCs w:val="21"/>
          <w:lang w:val="en-US" w:eastAsia="zh-CN" w:bidi="ar-SA"/>
        </w:rPr>
      </w:pPr>
      <w:r>
        <w:rPr>
          <w:rFonts w:hint="eastAsia" w:ascii="宋体" w:hAnsi="宋体" w:cs="宋体"/>
          <w:b/>
          <w:bCs w:val="0"/>
          <w:kern w:val="2"/>
          <w:sz w:val="21"/>
          <w:szCs w:val="21"/>
          <w:lang w:val="en-US" w:eastAsia="zh-CN" w:bidi="ar-SA"/>
        </w:rPr>
        <w:t>（二）配置清单</w:t>
      </w:r>
    </w:p>
    <w:tbl>
      <w:tblPr>
        <w:tblStyle w:val="7"/>
        <w:tblW w:w="47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
        <w:gridCol w:w="4502"/>
        <w:gridCol w:w="1264"/>
        <w:gridCol w:w="1189"/>
      </w:tblGrid>
      <w:tr w14:paraId="3C33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575" w:type="pct"/>
            <w:noWrap/>
            <w:vAlign w:val="center"/>
          </w:tcPr>
          <w:p w14:paraId="32419E99">
            <w:pPr>
              <w:spacing w:line="480" w:lineRule="exact"/>
              <w:jc w:val="center"/>
              <w:rPr>
                <w:rFonts w:hint="eastAsia" w:ascii="宋体" w:hAnsi="宋体" w:eastAsia="宋体" w:cs="Times New Roman"/>
                <w:bCs/>
                <w:kern w:val="0"/>
                <w:sz w:val="24"/>
                <w:szCs w:val="24"/>
              </w:rPr>
            </w:pPr>
            <w:r>
              <w:rPr>
                <w:rFonts w:hint="eastAsia" w:ascii="宋体" w:hAnsi="宋体" w:eastAsia="宋体" w:cs="Times New Roman"/>
                <w:bCs/>
                <w:kern w:val="0"/>
                <w:sz w:val="24"/>
                <w:szCs w:val="24"/>
              </w:rPr>
              <w:t>序号</w:t>
            </w:r>
          </w:p>
        </w:tc>
        <w:tc>
          <w:tcPr>
            <w:tcW w:w="2863" w:type="pct"/>
            <w:vAlign w:val="center"/>
          </w:tcPr>
          <w:p w14:paraId="30368BA8">
            <w:pPr>
              <w:spacing w:line="480" w:lineRule="exact"/>
              <w:jc w:val="center"/>
              <w:rPr>
                <w:rFonts w:hint="eastAsia" w:ascii="宋体" w:hAnsi="宋体" w:eastAsia="宋体" w:cs="Times New Roman"/>
                <w:bCs/>
                <w:kern w:val="0"/>
                <w:sz w:val="24"/>
                <w:szCs w:val="24"/>
              </w:rPr>
            </w:pPr>
            <w:r>
              <w:rPr>
                <w:rFonts w:hint="eastAsia" w:ascii="宋体" w:hAnsi="宋体" w:eastAsia="宋体" w:cs="Times New Roman"/>
                <w:bCs/>
                <w:kern w:val="0"/>
                <w:sz w:val="24"/>
                <w:szCs w:val="24"/>
              </w:rPr>
              <w:t>设备或配置名称</w:t>
            </w:r>
          </w:p>
        </w:tc>
        <w:tc>
          <w:tcPr>
            <w:tcW w:w="804" w:type="pct"/>
            <w:noWrap/>
            <w:vAlign w:val="center"/>
          </w:tcPr>
          <w:p w14:paraId="3CCF19BF">
            <w:pPr>
              <w:spacing w:line="480" w:lineRule="exact"/>
              <w:jc w:val="center"/>
              <w:rPr>
                <w:rFonts w:hint="eastAsia" w:ascii="宋体" w:hAnsi="宋体" w:eastAsia="宋体" w:cs="Times New Roman"/>
                <w:bCs/>
                <w:kern w:val="0"/>
                <w:sz w:val="24"/>
                <w:szCs w:val="24"/>
              </w:rPr>
            </w:pPr>
            <w:r>
              <w:rPr>
                <w:rFonts w:hint="eastAsia" w:ascii="宋体" w:hAnsi="宋体" w:eastAsia="宋体" w:cs="Times New Roman"/>
                <w:bCs/>
                <w:kern w:val="0"/>
                <w:sz w:val="24"/>
                <w:szCs w:val="24"/>
              </w:rPr>
              <w:t>数量</w:t>
            </w:r>
          </w:p>
        </w:tc>
        <w:tc>
          <w:tcPr>
            <w:tcW w:w="756" w:type="pct"/>
            <w:noWrap/>
            <w:vAlign w:val="center"/>
          </w:tcPr>
          <w:p w14:paraId="7B7C0128">
            <w:pPr>
              <w:spacing w:line="480" w:lineRule="exact"/>
              <w:jc w:val="center"/>
              <w:rPr>
                <w:rFonts w:hint="eastAsia" w:ascii="宋体" w:hAnsi="宋体" w:eastAsia="宋体" w:cs="Times New Roman"/>
                <w:bCs/>
                <w:kern w:val="0"/>
                <w:sz w:val="24"/>
                <w:szCs w:val="24"/>
              </w:rPr>
            </w:pPr>
            <w:r>
              <w:rPr>
                <w:rFonts w:hint="eastAsia" w:ascii="宋体" w:hAnsi="宋体" w:eastAsia="宋体" w:cs="Times New Roman"/>
                <w:bCs/>
                <w:kern w:val="0"/>
                <w:sz w:val="24"/>
                <w:szCs w:val="24"/>
              </w:rPr>
              <w:t>单位</w:t>
            </w:r>
          </w:p>
        </w:tc>
      </w:tr>
      <w:tr w14:paraId="7B91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575" w:type="pct"/>
            <w:noWrap/>
            <w:vAlign w:val="center"/>
          </w:tcPr>
          <w:p w14:paraId="10F158DA">
            <w:pPr>
              <w:spacing w:line="480" w:lineRule="exact"/>
              <w:jc w:val="center"/>
              <w:rPr>
                <w:rFonts w:hint="eastAsia" w:ascii="宋体" w:hAnsi="宋体" w:eastAsia="宋体" w:cs="Times New Roman"/>
                <w:bCs/>
                <w:kern w:val="0"/>
                <w:sz w:val="24"/>
                <w:szCs w:val="24"/>
                <w:highlight w:val="none"/>
              </w:rPr>
            </w:pPr>
            <w:r>
              <w:rPr>
                <w:rFonts w:hint="eastAsia" w:ascii="宋体" w:hAnsi="宋体" w:eastAsia="宋体" w:cs="Times New Roman"/>
                <w:bCs/>
                <w:kern w:val="0"/>
                <w:sz w:val="24"/>
                <w:szCs w:val="24"/>
                <w:highlight w:val="none"/>
              </w:rPr>
              <w:t>1</w:t>
            </w:r>
          </w:p>
        </w:tc>
        <w:tc>
          <w:tcPr>
            <w:tcW w:w="2863" w:type="pct"/>
            <w:noWrap/>
            <w:vAlign w:val="center"/>
          </w:tcPr>
          <w:p w14:paraId="09FAF801">
            <w:pPr>
              <w:spacing w:line="480" w:lineRule="exact"/>
              <w:jc w:val="left"/>
              <w:rPr>
                <w:rFonts w:hint="default" w:ascii="宋体" w:hAnsi="宋体" w:eastAsia="宋体" w:cs="Times New Roman"/>
                <w:bCs/>
                <w:kern w:val="0"/>
                <w:sz w:val="24"/>
                <w:szCs w:val="24"/>
                <w:highlight w:val="none"/>
                <w:lang w:val="en-US" w:eastAsia="zh-CN"/>
              </w:rPr>
            </w:pPr>
            <w:r>
              <w:rPr>
                <w:rFonts w:hint="default" w:ascii="宋体" w:hAnsi="宋体" w:eastAsia="宋体" w:cs="Times New Roman"/>
                <w:bCs/>
                <w:kern w:val="0"/>
                <w:sz w:val="24"/>
                <w:szCs w:val="24"/>
                <w:highlight w:val="none"/>
                <w:lang w:val="en-US" w:eastAsia="zh-CN"/>
              </w:rPr>
              <w:t>原厂射频线圈：一体化头颈组合成像线圈、头部专用成像线圈、腹部组合成像线圈、一体化全脊柱线圈、通用柔性线圈（大、小各一套）、乳腺线圈</w:t>
            </w:r>
            <w:r>
              <w:rPr>
                <w:rFonts w:hint="eastAsia" w:ascii="宋体" w:hAnsi="宋体" w:cs="Times New Roman"/>
                <w:bCs/>
                <w:kern w:val="0"/>
                <w:sz w:val="24"/>
                <w:szCs w:val="24"/>
                <w:highlight w:val="none"/>
                <w:lang w:val="en-US" w:eastAsia="zh-CN"/>
              </w:rPr>
              <w:t>、专用膝关节线圈（非柔性专用线圈）、专用肩关节线圈（非柔性专用线圈）、专用足/踝线圈、颈部血管斑块专用线圈（以上线圈各一套）</w:t>
            </w:r>
          </w:p>
        </w:tc>
        <w:tc>
          <w:tcPr>
            <w:tcW w:w="804" w:type="pct"/>
            <w:noWrap/>
            <w:vAlign w:val="center"/>
          </w:tcPr>
          <w:p w14:paraId="75BC3745">
            <w:pPr>
              <w:spacing w:line="480" w:lineRule="exact"/>
              <w:jc w:val="center"/>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1</w:t>
            </w:r>
          </w:p>
        </w:tc>
        <w:tc>
          <w:tcPr>
            <w:tcW w:w="756" w:type="pct"/>
            <w:noWrap/>
            <w:vAlign w:val="center"/>
          </w:tcPr>
          <w:p w14:paraId="4D9CAEAE">
            <w:pPr>
              <w:spacing w:line="480" w:lineRule="exact"/>
              <w:jc w:val="center"/>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套</w:t>
            </w:r>
          </w:p>
        </w:tc>
      </w:tr>
      <w:tr w14:paraId="2357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575" w:type="pct"/>
            <w:noWrap/>
            <w:vAlign w:val="center"/>
          </w:tcPr>
          <w:p w14:paraId="06A60D81">
            <w:pPr>
              <w:spacing w:line="480" w:lineRule="exact"/>
              <w:jc w:val="center"/>
              <w:rPr>
                <w:rFonts w:hint="eastAsia" w:ascii="宋体" w:hAnsi="宋体" w:eastAsia="宋体" w:cs="Times New Roman"/>
                <w:bCs/>
                <w:kern w:val="0"/>
                <w:sz w:val="24"/>
                <w:szCs w:val="24"/>
              </w:rPr>
            </w:pPr>
            <w:r>
              <w:rPr>
                <w:rFonts w:hint="eastAsia" w:ascii="宋体" w:hAnsi="宋体" w:eastAsia="宋体" w:cs="Times New Roman"/>
                <w:bCs/>
                <w:kern w:val="0"/>
                <w:sz w:val="24"/>
                <w:szCs w:val="24"/>
              </w:rPr>
              <w:t>2</w:t>
            </w:r>
          </w:p>
        </w:tc>
        <w:tc>
          <w:tcPr>
            <w:tcW w:w="2863" w:type="pct"/>
            <w:noWrap/>
            <w:vAlign w:val="center"/>
          </w:tcPr>
          <w:p w14:paraId="753C316D">
            <w:pPr>
              <w:spacing w:line="480" w:lineRule="exact"/>
              <w:jc w:val="center"/>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独立高级影像后处理工作站</w:t>
            </w:r>
          </w:p>
        </w:tc>
        <w:tc>
          <w:tcPr>
            <w:tcW w:w="804" w:type="pct"/>
            <w:noWrap/>
            <w:vAlign w:val="center"/>
          </w:tcPr>
          <w:p w14:paraId="1FD20FE2">
            <w:pPr>
              <w:spacing w:line="480" w:lineRule="exact"/>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1</w:t>
            </w:r>
          </w:p>
        </w:tc>
        <w:tc>
          <w:tcPr>
            <w:tcW w:w="756" w:type="pct"/>
            <w:noWrap/>
            <w:vAlign w:val="center"/>
          </w:tcPr>
          <w:p w14:paraId="7D376245">
            <w:pPr>
              <w:spacing w:line="480" w:lineRule="exact"/>
              <w:jc w:val="center"/>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套</w:t>
            </w:r>
          </w:p>
        </w:tc>
      </w:tr>
      <w:tr w14:paraId="3CAD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575" w:type="pct"/>
            <w:noWrap/>
            <w:vAlign w:val="center"/>
          </w:tcPr>
          <w:p w14:paraId="53849C18">
            <w:pPr>
              <w:spacing w:line="480" w:lineRule="exact"/>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3</w:t>
            </w:r>
          </w:p>
        </w:tc>
        <w:tc>
          <w:tcPr>
            <w:tcW w:w="2863" w:type="pct"/>
            <w:noWrap/>
            <w:vAlign w:val="center"/>
          </w:tcPr>
          <w:p w14:paraId="574530B4">
            <w:pPr>
              <w:spacing w:line="480" w:lineRule="exact"/>
              <w:jc w:val="center"/>
              <w:rPr>
                <w:rFonts w:hint="eastAsia" w:ascii="宋体" w:hAnsi="宋体" w:eastAsia="宋体" w:cs="Times New Roman"/>
                <w:bCs/>
                <w:kern w:val="0"/>
                <w:sz w:val="24"/>
                <w:szCs w:val="24"/>
                <w:lang w:val="en-US" w:eastAsia="zh-CN"/>
              </w:rPr>
            </w:pPr>
            <w:r>
              <w:rPr>
                <w:rFonts w:hint="default" w:ascii="宋体" w:hAnsi="宋体" w:eastAsia="宋体" w:cs="Times New Roman"/>
                <w:bCs/>
                <w:kern w:val="0"/>
                <w:sz w:val="24"/>
                <w:szCs w:val="24"/>
                <w:lang w:val="en-US" w:eastAsia="zh-CN"/>
              </w:rPr>
              <w:t>水冷机</w:t>
            </w:r>
          </w:p>
        </w:tc>
        <w:tc>
          <w:tcPr>
            <w:tcW w:w="804" w:type="pct"/>
            <w:shd w:val="clear" w:color="auto" w:fill="auto"/>
            <w:noWrap/>
            <w:vAlign w:val="center"/>
          </w:tcPr>
          <w:p w14:paraId="5AE37C6B">
            <w:pPr>
              <w:keepNext w:val="0"/>
              <w:keepLines w:val="0"/>
              <w:widowControl/>
              <w:suppressLineNumbers w:val="0"/>
              <w:jc w:val="center"/>
              <w:textAlignment w:val="center"/>
              <w:rPr>
                <w:rFonts w:hint="default" w:ascii="宋体" w:hAnsi="宋体" w:eastAsia="宋体" w:cs="Times New Roman"/>
                <w:bCs/>
                <w:kern w:val="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56" w:type="pct"/>
            <w:shd w:val="clear" w:color="auto" w:fill="auto"/>
            <w:noWrap/>
            <w:vAlign w:val="center"/>
          </w:tcPr>
          <w:p w14:paraId="12DB854C">
            <w:pPr>
              <w:spacing w:line="480" w:lineRule="exact"/>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套</w:t>
            </w:r>
          </w:p>
        </w:tc>
      </w:tr>
      <w:tr w14:paraId="10EC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575" w:type="pct"/>
            <w:noWrap/>
            <w:vAlign w:val="center"/>
          </w:tcPr>
          <w:p w14:paraId="6F29409B">
            <w:pPr>
              <w:spacing w:line="480" w:lineRule="exact"/>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4</w:t>
            </w:r>
          </w:p>
        </w:tc>
        <w:tc>
          <w:tcPr>
            <w:tcW w:w="2863" w:type="pct"/>
            <w:noWrap/>
            <w:vAlign w:val="center"/>
          </w:tcPr>
          <w:p w14:paraId="3755FC38">
            <w:pPr>
              <w:spacing w:line="480" w:lineRule="exact"/>
              <w:jc w:val="center"/>
              <w:rPr>
                <w:rFonts w:hint="eastAsia" w:ascii="宋体" w:hAnsi="宋体" w:eastAsia="宋体" w:cs="Times New Roman"/>
                <w:bCs/>
                <w:kern w:val="0"/>
                <w:sz w:val="24"/>
                <w:szCs w:val="24"/>
                <w:lang w:val="en-US" w:eastAsia="zh-CN"/>
              </w:rPr>
            </w:pPr>
            <w:r>
              <w:rPr>
                <w:rFonts w:hint="default" w:ascii="宋体" w:hAnsi="宋体" w:eastAsia="宋体" w:cs="Times New Roman"/>
                <w:bCs/>
                <w:kern w:val="0"/>
                <w:sz w:val="24"/>
                <w:szCs w:val="24"/>
                <w:lang w:val="en-US" w:eastAsia="zh-CN"/>
              </w:rPr>
              <w:t>磁共振RF屏蔽（磁屏蔽门为电动＋手动控制）</w:t>
            </w:r>
          </w:p>
        </w:tc>
        <w:tc>
          <w:tcPr>
            <w:tcW w:w="804" w:type="pct"/>
            <w:shd w:val="clear" w:color="auto" w:fill="auto"/>
            <w:noWrap/>
            <w:vAlign w:val="center"/>
          </w:tcPr>
          <w:p w14:paraId="240AC398">
            <w:pPr>
              <w:keepNext w:val="0"/>
              <w:keepLines w:val="0"/>
              <w:widowControl/>
              <w:suppressLineNumbers w:val="0"/>
              <w:jc w:val="center"/>
              <w:textAlignment w:val="center"/>
              <w:rPr>
                <w:rFonts w:hint="eastAsia" w:ascii="宋体" w:hAnsi="宋体" w:eastAsia="宋体" w:cs="Times New Roman"/>
                <w:bCs/>
                <w:kern w:val="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56" w:type="pct"/>
            <w:shd w:val="clear" w:color="auto" w:fill="auto"/>
            <w:noWrap/>
            <w:vAlign w:val="center"/>
          </w:tcPr>
          <w:p w14:paraId="5939E739">
            <w:pPr>
              <w:spacing w:line="480" w:lineRule="exact"/>
              <w:jc w:val="center"/>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套</w:t>
            </w:r>
          </w:p>
        </w:tc>
      </w:tr>
      <w:tr w14:paraId="09EF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575" w:type="pct"/>
            <w:noWrap/>
            <w:vAlign w:val="center"/>
          </w:tcPr>
          <w:p w14:paraId="2B7E82B6">
            <w:pPr>
              <w:spacing w:line="480" w:lineRule="exact"/>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5</w:t>
            </w:r>
          </w:p>
        </w:tc>
        <w:tc>
          <w:tcPr>
            <w:tcW w:w="2863" w:type="pct"/>
            <w:noWrap/>
            <w:vAlign w:val="center"/>
          </w:tcPr>
          <w:p w14:paraId="2EA06CD4">
            <w:pPr>
              <w:spacing w:line="480" w:lineRule="exact"/>
              <w:jc w:val="center"/>
              <w:rPr>
                <w:rFonts w:hint="eastAsia" w:ascii="宋体" w:hAnsi="宋体" w:eastAsia="宋体" w:cs="Times New Roman"/>
                <w:bCs/>
                <w:kern w:val="0"/>
                <w:sz w:val="24"/>
                <w:szCs w:val="24"/>
                <w:lang w:val="en-US" w:eastAsia="zh-CN"/>
              </w:rPr>
            </w:pPr>
            <w:r>
              <w:rPr>
                <w:rFonts w:hint="default" w:ascii="宋体" w:hAnsi="宋体" w:eastAsia="宋体" w:cs="Times New Roman"/>
                <w:bCs/>
                <w:kern w:val="0"/>
                <w:sz w:val="24"/>
                <w:szCs w:val="24"/>
                <w:lang w:val="en-US" w:eastAsia="zh-CN"/>
              </w:rPr>
              <w:t>机房专用中央精密空调</w:t>
            </w:r>
          </w:p>
        </w:tc>
        <w:tc>
          <w:tcPr>
            <w:tcW w:w="804" w:type="pct"/>
            <w:shd w:val="clear" w:color="auto" w:fill="auto"/>
            <w:noWrap/>
            <w:vAlign w:val="center"/>
          </w:tcPr>
          <w:p w14:paraId="53496E0F">
            <w:pPr>
              <w:keepNext w:val="0"/>
              <w:keepLines w:val="0"/>
              <w:widowControl/>
              <w:suppressLineNumbers w:val="0"/>
              <w:jc w:val="center"/>
              <w:textAlignment w:val="center"/>
              <w:rPr>
                <w:rFonts w:hint="eastAsia" w:ascii="宋体" w:hAnsi="宋体" w:eastAsia="宋体" w:cs="Times New Roman"/>
                <w:bCs/>
                <w:kern w:val="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56" w:type="pct"/>
            <w:shd w:val="clear" w:color="auto" w:fill="auto"/>
            <w:noWrap/>
            <w:vAlign w:val="center"/>
          </w:tcPr>
          <w:p w14:paraId="3139C1DA">
            <w:pPr>
              <w:spacing w:line="480" w:lineRule="exact"/>
              <w:jc w:val="center"/>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套</w:t>
            </w:r>
          </w:p>
        </w:tc>
      </w:tr>
      <w:tr w14:paraId="415A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575" w:type="pct"/>
            <w:noWrap/>
            <w:vAlign w:val="center"/>
          </w:tcPr>
          <w:p w14:paraId="35B06F57">
            <w:pPr>
              <w:spacing w:line="480" w:lineRule="exact"/>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6</w:t>
            </w:r>
          </w:p>
        </w:tc>
        <w:tc>
          <w:tcPr>
            <w:tcW w:w="2863" w:type="pct"/>
            <w:noWrap/>
            <w:vAlign w:val="center"/>
          </w:tcPr>
          <w:p w14:paraId="50F794E3">
            <w:pPr>
              <w:spacing w:line="480" w:lineRule="exact"/>
              <w:jc w:val="center"/>
              <w:rPr>
                <w:rFonts w:hint="eastAsia" w:ascii="宋体" w:hAnsi="宋体" w:eastAsia="宋体" w:cs="Times New Roman"/>
                <w:bCs/>
                <w:kern w:val="0"/>
                <w:sz w:val="24"/>
                <w:szCs w:val="24"/>
                <w:lang w:val="en-US" w:eastAsia="zh-CN"/>
              </w:rPr>
            </w:pPr>
            <w:r>
              <w:rPr>
                <w:rFonts w:hint="default" w:ascii="宋体" w:hAnsi="宋体" w:eastAsia="宋体" w:cs="Times New Roman"/>
                <w:bCs/>
                <w:kern w:val="0"/>
                <w:sz w:val="24"/>
                <w:szCs w:val="24"/>
                <w:lang w:val="en-US" w:eastAsia="zh-CN"/>
              </w:rPr>
              <w:t>双立柱磁共振智能定位铁磁探测系统</w:t>
            </w:r>
          </w:p>
        </w:tc>
        <w:tc>
          <w:tcPr>
            <w:tcW w:w="804" w:type="pct"/>
            <w:shd w:val="clear" w:color="auto" w:fill="auto"/>
            <w:noWrap/>
            <w:vAlign w:val="center"/>
          </w:tcPr>
          <w:p w14:paraId="25E47DC4">
            <w:pPr>
              <w:keepNext w:val="0"/>
              <w:keepLines w:val="0"/>
              <w:widowControl/>
              <w:suppressLineNumbers w:val="0"/>
              <w:jc w:val="center"/>
              <w:textAlignment w:val="center"/>
              <w:rPr>
                <w:rFonts w:hint="eastAsia" w:ascii="宋体" w:hAnsi="宋体" w:eastAsia="宋体" w:cs="Times New Roman"/>
                <w:bCs/>
                <w:kern w:val="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56" w:type="pct"/>
            <w:shd w:val="clear" w:color="auto" w:fill="auto"/>
            <w:noWrap/>
            <w:vAlign w:val="center"/>
          </w:tcPr>
          <w:p w14:paraId="4B6CFD6F">
            <w:pPr>
              <w:spacing w:line="480" w:lineRule="exact"/>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套</w:t>
            </w:r>
          </w:p>
        </w:tc>
      </w:tr>
      <w:tr w14:paraId="1EDF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575" w:type="pct"/>
            <w:noWrap/>
            <w:vAlign w:val="center"/>
          </w:tcPr>
          <w:p w14:paraId="4005BA40">
            <w:pPr>
              <w:spacing w:line="480" w:lineRule="exact"/>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7</w:t>
            </w:r>
          </w:p>
        </w:tc>
        <w:tc>
          <w:tcPr>
            <w:tcW w:w="2863" w:type="pct"/>
            <w:noWrap/>
            <w:vAlign w:val="center"/>
          </w:tcPr>
          <w:p w14:paraId="5ABF4C94">
            <w:pPr>
              <w:spacing w:line="480" w:lineRule="exact"/>
              <w:jc w:val="center"/>
              <w:rPr>
                <w:rFonts w:hint="eastAsia" w:ascii="宋体" w:hAnsi="宋体" w:eastAsia="宋体" w:cs="Times New Roman"/>
                <w:bCs/>
                <w:kern w:val="0"/>
                <w:sz w:val="24"/>
                <w:szCs w:val="24"/>
                <w:lang w:val="en-US" w:eastAsia="zh-CN"/>
              </w:rPr>
            </w:pPr>
            <w:r>
              <w:rPr>
                <w:rFonts w:hint="default" w:ascii="宋体" w:hAnsi="宋体" w:eastAsia="宋体" w:cs="Times New Roman"/>
                <w:bCs/>
                <w:kern w:val="0"/>
                <w:sz w:val="24"/>
                <w:szCs w:val="24"/>
                <w:lang w:val="en-US" w:eastAsia="zh-CN"/>
              </w:rPr>
              <w:t>磁共振专用消毒仪</w:t>
            </w:r>
          </w:p>
        </w:tc>
        <w:tc>
          <w:tcPr>
            <w:tcW w:w="804" w:type="pct"/>
            <w:shd w:val="clear" w:color="auto" w:fill="auto"/>
            <w:noWrap/>
            <w:vAlign w:val="center"/>
          </w:tcPr>
          <w:p w14:paraId="36DC07D4">
            <w:pPr>
              <w:keepNext w:val="0"/>
              <w:keepLines w:val="0"/>
              <w:widowControl/>
              <w:suppressLineNumbers w:val="0"/>
              <w:jc w:val="center"/>
              <w:textAlignment w:val="center"/>
              <w:rPr>
                <w:rFonts w:hint="eastAsia" w:ascii="宋体" w:hAnsi="宋体" w:eastAsia="宋体" w:cs="Times New Roman"/>
                <w:bCs/>
                <w:kern w:val="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56" w:type="pct"/>
            <w:shd w:val="clear" w:color="auto" w:fill="auto"/>
            <w:noWrap/>
            <w:vAlign w:val="center"/>
          </w:tcPr>
          <w:p w14:paraId="763F1D0D">
            <w:pPr>
              <w:spacing w:line="480" w:lineRule="exact"/>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套</w:t>
            </w:r>
          </w:p>
        </w:tc>
      </w:tr>
      <w:tr w14:paraId="4E97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575" w:type="pct"/>
            <w:noWrap/>
            <w:vAlign w:val="center"/>
          </w:tcPr>
          <w:p w14:paraId="782542F3">
            <w:pPr>
              <w:spacing w:line="480" w:lineRule="exact"/>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8</w:t>
            </w:r>
          </w:p>
        </w:tc>
        <w:tc>
          <w:tcPr>
            <w:tcW w:w="2863" w:type="pct"/>
            <w:noWrap/>
            <w:vAlign w:val="center"/>
          </w:tcPr>
          <w:p w14:paraId="08AF9EDA">
            <w:pPr>
              <w:spacing w:line="480" w:lineRule="exact"/>
              <w:jc w:val="center"/>
              <w:rPr>
                <w:rFonts w:hint="eastAsia" w:ascii="宋体" w:hAnsi="宋体" w:eastAsia="宋体" w:cs="Times New Roman"/>
                <w:bCs/>
                <w:kern w:val="0"/>
                <w:sz w:val="24"/>
                <w:szCs w:val="24"/>
                <w:lang w:val="en-US" w:eastAsia="zh-CN"/>
              </w:rPr>
            </w:pPr>
            <w:r>
              <w:rPr>
                <w:rFonts w:hint="default" w:ascii="宋体" w:hAnsi="宋体" w:eastAsia="宋体" w:cs="Times New Roman"/>
                <w:bCs/>
                <w:kern w:val="0"/>
                <w:sz w:val="24"/>
                <w:szCs w:val="24"/>
                <w:lang w:val="en-US" w:eastAsia="zh-CN"/>
              </w:rPr>
              <w:t>磁共振专用防磁灭火器</w:t>
            </w:r>
          </w:p>
        </w:tc>
        <w:tc>
          <w:tcPr>
            <w:tcW w:w="804" w:type="pct"/>
            <w:shd w:val="clear" w:color="auto" w:fill="auto"/>
            <w:noWrap/>
            <w:vAlign w:val="center"/>
          </w:tcPr>
          <w:p w14:paraId="568BE469">
            <w:pPr>
              <w:keepNext w:val="0"/>
              <w:keepLines w:val="0"/>
              <w:widowControl/>
              <w:suppressLineNumbers w:val="0"/>
              <w:jc w:val="center"/>
              <w:textAlignment w:val="center"/>
              <w:rPr>
                <w:rFonts w:hint="default" w:ascii="宋体" w:hAnsi="宋体" w:eastAsia="宋体" w:cs="Times New Roman"/>
                <w:bCs/>
                <w:kern w:val="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56" w:type="pct"/>
            <w:shd w:val="clear" w:color="auto" w:fill="auto"/>
            <w:noWrap/>
            <w:vAlign w:val="center"/>
          </w:tcPr>
          <w:p w14:paraId="68CE0907">
            <w:pPr>
              <w:spacing w:line="480" w:lineRule="exact"/>
              <w:jc w:val="center"/>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套</w:t>
            </w:r>
          </w:p>
        </w:tc>
      </w:tr>
      <w:tr w14:paraId="7066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575" w:type="pct"/>
            <w:noWrap/>
            <w:vAlign w:val="center"/>
          </w:tcPr>
          <w:p w14:paraId="4160435E">
            <w:pPr>
              <w:spacing w:line="480" w:lineRule="exact"/>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9</w:t>
            </w:r>
          </w:p>
        </w:tc>
        <w:tc>
          <w:tcPr>
            <w:tcW w:w="2863" w:type="pct"/>
            <w:noWrap/>
            <w:vAlign w:val="center"/>
          </w:tcPr>
          <w:p w14:paraId="41A9BFD4">
            <w:pPr>
              <w:spacing w:line="480" w:lineRule="exact"/>
              <w:jc w:val="center"/>
              <w:rPr>
                <w:rFonts w:hint="eastAsia" w:ascii="宋体" w:hAnsi="宋体" w:eastAsia="宋体" w:cs="Times New Roman"/>
                <w:bCs/>
                <w:kern w:val="0"/>
                <w:sz w:val="24"/>
                <w:szCs w:val="24"/>
                <w:lang w:val="en-US" w:eastAsia="zh-CN"/>
              </w:rPr>
            </w:pPr>
            <w:r>
              <w:rPr>
                <w:rFonts w:hint="default" w:ascii="宋体" w:hAnsi="宋体" w:eastAsia="宋体" w:cs="Times New Roman"/>
                <w:bCs/>
                <w:kern w:val="0"/>
                <w:sz w:val="24"/>
                <w:szCs w:val="24"/>
                <w:lang w:val="en-US" w:eastAsia="zh-CN"/>
              </w:rPr>
              <w:t>磁共振专用防磁病人监视器</w:t>
            </w:r>
          </w:p>
        </w:tc>
        <w:tc>
          <w:tcPr>
            <w:tcW w:w="804" w:type="pct"/>
            <w:shd w:val="clear" w:color="auto" w:fill="auto"/>
            <w:noWrap/>
            <w:vAlign w:val="center"/>
          </w:tcPr>
          <w:p w14:paraId="7E76411E">
            <w:pPr>
              <w:keepNext w:val="0"/>
              <w:keepLines w:val="0"/>
              <w:widowControl/>
              <w:suppressLineNumbers w:val="0"/>
              <w:jc w:val="center"/>
              <w:textAlignment w:val="center"/>
              <w:rPr>
                <w:rFonts w:hint="eastAsia" w:ascii="宋体" w:hAnsi="宋体" w:eastAsia="宋体" w:cs="Times New Roman"/>
                <w:bCs/>
                <w:kern w:val="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56" w:type="pct"/>
            <w:shd w:val="clear" w:color="auto" w:fill="auto"/>
            <w:noWrap/>
            <w:vAlign w:val="center"/>
          </w:tcPr>
          <w:p w14:paraId="6FA90F7B">
            <w:pPr>
              <w:spacing w:line="480" w:lineRule="exact"/>
              <w:jc w:val="center"/>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套</w:t>
            </w:r>
          </w:p>
        </w:tc>
      </w:tr>
      <w:tr w14:paraId="4514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575" w:type="pct"/>
            <w:noWrap/>
            <w:vAlign w:val="center"/>
          </w:tcPr>
          <w:p w14:paraId="7C0CD19D">
            <w:pPr>
              <w:spacing w:line="480" w:lineRule="exact"/>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10</w:t>
            </w:r>
          </w:p>
        </w:tc>
        <w:tc>
          <w:tcPr>
            <w:tcW w:w="2863" w:type="pct"/>
            <w:noWrap/>
            <w:vAlign w:val="center"/>
          </w:tcPr>
          <w:p w14:paraId="21CCA901">
            <w:pPr>
              <w:spacing w:line="480" w:lineRule="exact"/>
              <w:jc w:val="center"/>
              <w:rPr>
                <w:rFonts w:hint="eastAsia" w:ascii="宋体" w:hAnsi="宋体" w:eastAsia="宋体" w:cs="Times New Roman"/>
                <w:bCs/>
                <w:kern w:val="0"/>
                <w:sz w:val="24"/>
                <w:szCs w:val="24"/>
                <w:lang w:val="en-US" w:eastAsia="zh-CN"/>
              </w:rPr>
            </w:pPr>
            <w:r>
              <w:rPr>
                <w:rFonts w:hint="default" w:ascii="宋体" w:hAnsi="宋体" w:eastAsia="宋体" w:cs="Times New Roman"/>
                <w:bCs/>
                <w:kern w:val="0"/>
                <w:sz w:val="24"/>
                <w:szCs w:val="24"/>
                <w:lang w:val="en-US" w:eastAsia="zh-CN"/>
              </w:rPr>
              <w:t>高压造影注射器（双筒）</w:t>
            </w:r>
          </w:p>
        </w:tc>
        <w:tc>
          <w:tcPr>
            <w:tcW w:w="804" w:type="pct"/>
            <w:shd w:val="clear" w:color="auto" w:fill="auto"/>
            <w:noWrap/>
            <w:vAlign w:val="center"/>
          </w:tcPr>
          <w:p w14:paraId="23DE4BA5">
            <w:pPr>
              <w:keepNext w:val="0"/>
              <w:keepLines w:val="0"/>
              <w:widowControl/>
              <w:suppressLineNumbers w:val="0"/>
              <w:jc w:val="center"/>
              <w:textAlignment w:val="center"/>
              <w:rPr>
                <w:rFonts w:hint="eastAsia" w:ascii="宋体" w:hAnsi="宋体" w:eastAsia="宋体" w:cs="Times New Roman"/>
                <w:bCs/>
                <w:kern w:val="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56" w:type="pct"/>
            <w:shd w:val="clear" w:color="auto" w:fill="auto"/>
            <w:noWrap/>
            <w:vAlign w:val="center"/>
          </w:tcPr>
          <w:p w14:paraId="224D3BB4">
            <w:pPr>
              <w:spacing w:line="480" w:lineRule="exact"/>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套</w:t>
            </w:r>
          </w:p>
        </w:tc>
      </w:tr>
    </w:tbl>
    <w:p w14:paraId="4E181114">
      <w:pPr>
        <w:pStyle w:val="3"/>
        <w:numPr>
          <w:ilvl w:val="0"/>
          <w:numId w:val="0"/>
        </w:numPr>
        <w:ind w:leftChars="0"/>
        <w:jc w:val="both"/>
        <w:outlineLvl w:val="1"/>
        <w:rPr>
          <w:rFonts w:hint="eastAsia" w:ascii="宋体" w:hAnsi="宋体" w:cs="宋体"/>
          <w:b/>
          <w:bCs w:val="0"/>
          <w:kern w:val="2"/>
          <w:sz w:val="21"/>
          <w:szCs w:val="21"/>
          <w:lang w:val="en-US" w:eastAsia="zh-CN" w:bidi="ar-SA"/>
        </w:rPr>
      </w:pPr>
      <w:r>
        <w:rPr>
          <w:rFonts w:hint="eastAsia" w:ascii="宋体" w:hAnsi="宋体" w:cs="宋体"/>
          <w:b/>
          <w:bCs w:val="0"/>
          <w:kern w:val="2"/>
          <w:sz w:val="21"/>
          <w:szCs w:val="21"/>
          <w:lang w:val="en-US" w:eastAsia="zh-CN" w:bidi="ar-SA"/>
        </w:rPr>
        <w:t>（三）其他要求</w:t>
      </w:r>
    </w:p>
    <w:p w14:paraId="4C9AB09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val="0"/>
          <w:bCs w:val="0"/>
          <w:sz w:val="21"/>
          <w:szCs w:val="21"/>
          <w:lang w:val="en-US" w:eastAsia="zh-CN"/>
        </w:rPr>
        <w:t>（1）质保期：整体（主机+配套产品）原厂质保 5 年（含所有零部件，包括磁体、液氦、制冷系统、线圈、水冷机、精密空调、高压造影注射器、独立工作站和软件升级迭代等。）保修期自设备安装完毕，双方签署本次集中采购统一格式的验收报告后开始计算。保修期间要确保系统的正常运行，保证全年开机率（按 365 天/年计算）≥95%，如达不到此标准，需按 1:3（停机一天延长三天）天数延长，延长期中出现停机按同样比例要求延长保修期；保修期内</w:t>
      </w:r>
      <w:r>
        <w:rPr>
          <w:rFonts w:hint="eastAsia" w:ascii="宋体" w:hAnsi="宋体" w:eastAsia="宋体" w:cs="宋体"/>
          <w:b w:val="0"/>
          <w:bCs w:val="0"/>
          <w:sz w:val="21"/>
          <w:szCs w:val="21"/>
          <w:highlight w:val="none"/>
          <w:lang w:val="en-US" w:eastAsia="zh-CN"/>
        </w:rPr>
        <w:t>保证在接到设备故障报修通知后，维修工程师2小时内响应，24 小时内到达现场检修，保修期内外（包括休息日和节假日） 均能派出维修工程师到达现场维修</w:t>
      </w:r>
      <w:r>
        <w:rPr>
          <w:rFonts w:hint="eastAsia" w:ascii="宋体" w:hAnsi="宋体" w:eastAsia="宋体" w:cs="宋体"/>
          <w:b/>
          <w:bCs/>
          <w:sz w:val="21"/>
          <w:szCs w:val="21"/>
          <w:highlight w:val="none"/>
          <w:lang w:val="en-US" w:eastAsia="zh-CN"/>
        </w:rPr>
        <w:t>。投标人在投标文件中承诺中标后提供由制造商针对设备整机加盖制造商公章的售后服务承诺书（须涵盖上述全部内容）。如未能提供，则采购人有权解除合同，并上报监管部门，且中标人须承担由此产生的一切责任。</w:t>
      </w:r>
    </w:p>
    <w:p w14:paraId="09D5EDC3">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sz w:val="21"/>
          <w:szCs w:val="21"/>
          <w:lang w:val="en-US" w:eastAsia="zh-CN"/>
        </w:rPr>
        <w:br w:type="textWrapping"/>
      </w:r>
      <w:r>
        <w:rPr>
          <w:rFonts w:hint="eastAsia" w:ascii="宋体" w:hAnsi="宋体" w:eastAsia="宋体" w:cs="宋体"/>
          <w:b w:val="0"/>
          <w:bCs w:val="0"/>
          <w:sz w:val="21"/>
          <w:szCs w:val="21"/>
          <w:lang w:val="en-US" w:eastAsia="zh-CN"/>
        </w:rPr>
        <w:t>（2）</w:t>
      </w:r>
      <w:r>
        <w:rPr>
          <w:rFonts w:hint="eastAsia" w:ascii="宋体" w:hAnsi="宋体" w:eastAsia="宋体" w:cs="宋体"/>
          <w:b w:val="0"/>
          <w:bCs w:val="0"/>
          <w:color w:val="000000"/>
          <w:kern w:val="0"/>
          <w:sz w:val="21"/>
          <w:szCs w:val="21"/>
          <w:lang w:val="en-US" w:eastAsia="zh-CN" w:bidi="ar"/>
        </w:rPr>
        <w:t>保修期满后的维保报价承诺（下述所需费用不含在本次报价内）：保修期满后整机年保修价格：全保＜6.1%投标总报价（含所有零部件，包括磁体、液氦、制冷系统、线圈、水冷机、精密空调、高压造影注射器、独立工作站和软件升级迭代等，提供周期维护保养（PM≥4 次，保证全年开机率（按 365 天/年计算）≥95%，如达不到此标准，需按 1:3（停机一天延长三天）天数延长，延长期中出现停机按同样比例要求延长保修期并向采购人提供标准维护保养报告和年度维修报告）；人工保＜36 万元/年；单次人工费用≤2000元/小时（从工程师到场开始</w:t>
      </w:r>
      <w:r>
        <w:rPr>
          <w:rFonts w:hint="eastAsia" w:ascii="宋体" w:hAnsi="宋体" w:eastAsia="宋体" w:cs="宋体"/>
          <w:b w:val="0"/>
          <w:bCs w:val="0"/>
          <w:color w:val="000000"/>
          <w:kern w:val="0"/>
          <w:sz w:val="21"/>
          <w:szCs w:val="21"/>
          <w:highlight w:val="none"/>
          <w:lang w:val="en-US" w:eastAsia="zh-CN" w:bidi="ar"/>
        </w:rPr>
        <w:t>计算）。</w:t>
      </w:r>
      <w:r>
        <w:rPr>
          <w:rFonts w:hint="eastAsia" w:ascii="宋体" w:hAnsi="宋体" w:eastAsia="宋体" w:cs="宋体"/>
          <w:b/>
          <w:bCs/>
          <w:color w:val="000000"/>
          <w:kern w:val="0"/>
          <w:sz w:val="21"/>
          <w:szCs w:val="21"/>
          <w:highlight w:val="none"/>
          <w:lang w:val="en-US" w:eastAsia="zh-CN" w:bidi="ar"/>
        </w:rPr>
        <w:t>投标人在投标文件中承诺中标后提供由制造商针对设备整机加盖制造商公章的售后服务承诺书，承诺书涵盖以上内容。如未能提供，则采购人有权解除合同，并上报监管部门，且中标人须承担由此产生的一切责任。</w:t>
      </w:r>
    </w:p>
    <w:p w14:paraId="54D4CEB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（3）信息系统互联互通</w:t>
      </w:r>
      <w:r>
        <w:rPr>
          <w:rFonts w:hint="eastAsia" w:ascii="宋体" w:hAnsi="宋体" w:cs="宋体"/>
          <w:b/>
          <w:bCs/>
          <w:color w:val="000000"/>
          <w:kern w:val="0"/>
          <w:sz w:val="21"/>
          <w:szCs w:val="21"/>
          <w:highlight w:val="none"/>
          <w:lang w:val="en-US" w:eastAsia="zh-CN" w:bidi="ar"/>
        </w:rPr>
        <w:t>：与医院在用信息系统实现互联互通，如产生第三方对接开发费用，由中标人负责，包含在投标总价内。（由投标人提供承诺函）</w:t>
      </w:r>
    </w:p>
    <w:p w14:paraId="6A86A23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）人员培训：对采购人的技术操作人员、设备科管理人员进行分期分批（不少于 3 次） 的正规的整套设备操作、维修、检测等内容的技术培训。</w:t>
      </w:r>
    </w:p>
    <w:p w14:paraId="2464550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）相关附件：随机提供操作说明书（含中英文）及维修说明书，并提供专用维修工具。</w:t>
      </w:r>
    </w:p>
    <w:p w14:paraId="12BEA1F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highlight w:val="none"/>
          <w:lang w:val="en-US" w:eastAsia="zh-CN"/>
        </w:rPr>
        <w:t>）配套装修：中标人须完成机房及设备间等的装饰装修（交钥匙工程，中标人需提供相应施工图纸，中标人可以委托具有相应资质的单位进行施工，经过采购人</w:t>
      </w:r>
      <w:r>
        <w:rPr>
          <w:rFonts w:hint="eastAsia" w:ascii="宋体" w:hAnsi="宋体" w:eastAsia="宋体" w:cs="宋体"/>
          <w:b w:val="0"/>
          <w:bCs w:val="0"/>
          <w:sz w:val="21"/>
          <w:szCs w:val="21"/>
          <w:lang w:val="en-US" w:eastAsia="zh-CN"/>
        </w:rPr>
        <w:t>确定后实施），主</w:t>
      </w:r>
      <w:r>
        <w:rPr>
          <w:rFonts w:hint="eastAsia" w:ascii="宋体" w:hAnsi="宋体" w:eastAsia="宋体" w:cs="宋体"/>
          <w:b w:val="0"/>
          <w:bCs w:val="0"/>
          <w:sz w:val="21"/>
          <w:szCs w:val="21"/>
          <w:highlight w:val="none"/>
          <w:lang w:val="en-US" w:eastAsia="zh-CN"/>
        </w:rPr>
        <w:t>要内容包括（但不限于）：地面基础，地面回填包含电缆沟砌筑，PVC 地面，生态木板材墙面，铝扣板吊顶，照明，配电箱，屏蔽窗及相关屏蔽，失超管等施工，并提供磁屏蔽验收报告，水冷机、紧密空调室外机地面硬化基础和不锈钢围栏。</w:t>
      </w:r>
    </w:p>
    <w:p w14:paraId="2EAB19E4">
      <w:pPr>
        <w:numPr>
          <w:ilvl w:val="255"/>
          <w:numId w:val="0"/>
        </w:numPr>
        <w:spacing w:line="360" w:lineRule="auto"/>
        <w:rPr>
          <w:rFonts w:hint="eastAsia" w:ascii="宋体" w:hAnsi="宋体" w:eastAsia="宋体"/>
          <w:b/>
          <w:bCs/>
          <w:sz w:val="24"/>
          <w:szCs w:val="18"/>
          <w:highlight w:val="none"/>
        </w:rPr>
      </w:pPr>
      <w:r>
        <w:rPr>
          <w:rFonts w:hint="eastAsia" w:ascii="宋体" w:hAnsi="宋体" w:eastAsia="宋体" w:cs="宋体"/>
          <w:b/>
          <w:bCs/>
          <w:color w:val="000000"/>
          <w:kern w:val="0"/>
          <w:sz w:val="21"/>
          <w:szCs w:val="21"/>
          <w:highlight w:val="none"/>
          <w:lang w:val="en-US" w:eastAsia="zh-CN" w:bidi="ar"/>
        </w:rPr>
        <w:t>（7）</w:t>
      </w:r>
      <w:r>
        <w:rPr>
          <w:rFonts w:hint="eastAsia" w:asciiTheme="minorEastAsia" w:hAnsiTheme="minorEastAsia" w:eastAsiaTheme="minorEastAsia"/>
          <w:b/>
          <w:bCs/>
          <w:sz w:val="24"/>
          <w:highlight w:val="none"/>
          <w:lang w:val="en-US" w:eastAsia="zh-CN"/>
        </w:rPr>
        <w:t>中标后，按照投标人所投技术参数验收，如有虚假应标，将取消中标资格，</w:t>
      </w:r>
      <w:r>
        <w:rPr>
          <w:rFonts w:asciiTheme="minorEastAsia" w:hAnsiTheme="minorEastAsia" w:eastAsiaTheme="minorEastAsia"/>
          <w:b/>
          <w:bCs/>
          <w:sz w:val="24"/>
          <w:highlight w:val="none"/>
        </w:rPr>
        <w:t>采购人有权解除合同，并上报监管部门，且中标人须承担由此产生的一切责任。</w:t>
      </w:r>
    </w:p>
    <w:p w14:paraId="5536E391">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b w:val="0"/>
          <w:bCs w:val="0"/>
          <w:color w:val="000000"/>
          <w:kern w:val="0"/>
          <w:sz w:val="21"/>
          <w:szCs w:val="21"/>
          <w:highlight w:val="yellow"/>
          <w:lang w:val="en-US" w:eastAsia="zh-CN" w:bidi="ar"/>
        </w:rPr>
      </w:pPr>
    </w:p>
    <w:p w14:paraId="76FCA71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1"/>
          <w:szCs w:val="21"/>
          <w:lang w:val="en-US" w:eastAsia="zh-CN"/>
        </w:rPr>
        <w:sectPr>
          <w:headerReference r:id="rId5" w:type="default"/>
          <w:pgSz w:w="11906" w:h="16838"/>
          <w:pgMar w:top="1440" w:right="1800" w:bottom="1440" w:left="1800" w:header="851" w:footer="992" w:gutter="0"/>
          <w:pgNumType w:fmt="decimal"/>
          <w:cols w:space="720" w:num="1"/>
          <w:docGrid w:type="lines" w:linePitch="312" w:charSpace="0"/>
        </w:sectPr>
      </w:pPr>
      <w:r>
        <w:rPr>
          <w:rFonts w:hint="eastAsia" w:ascii="宋体" w:hAnsi="宋体" w:cs="宋体"/>
          <w:b/>
          <w:bCs/>
          <w:sz w:val="28"/>
          <w:szCs w:val="28"/>
          <w:u w:val="double"/>
          <w:lang w:val="en-US" w:eastAsia="zh-CN"/>
        </w:rPr>
        <w:t>以上《</w:t>
      </w:r>
      <w:r>
        <w:rPr>
          <w:rFonts w:hint="eastAsia" w:ascii="宋体" w:hAnsi="宋体" w:eastAsia="宋体" w:cs="宋体"/>
          <w:b/>
          <w:bCs/>
          <w:sz w:val="28"/>
          <w:szCs w:val="28"/>
          <w:u w:val="double"/>
          <w:lang w:val="en-US" w:eastAsia="zh-CN"/>
        </w:rPr>
        <w:t>（</w:t>
      </w:r>
      <w:r>
        <w:rPr>
          <w:rFonts w:hint="eastAsia" w:ascii="宋体" w:hAnsi="宋体" w:cs="宋体"/>
          <w:b/>
          <w:bCs/>
          <w:sz w:val="28"/>
          <w:szCs w:val="28"/>
          <w:u w:val="double"/>
          <w:lang w:val="en-US" w:eastAsia="zh-CN"/>
        </w:rPr>
        <w:t>三</w:t>
      </w:r>
      <w:r>
        <w:rPr>
          <w:rFonts w:hint="eastAsia" w:ascii="宋体" w:hAnsi="宋体" w:eastAsia="宋体" w:cs="宋体"/>
          <w:b/>
          <w:bCs/>
          <w:sz w:val="28"/>
          <w:szCs w:val="28"/>
          <w:u w:val="double"/>
          <w:lang w:val="en-US" w:eastAsia="zh-CN"/>
        </w:rPr>
        <w:t>）其他要求中</w:t>
      </w:r>
      <w:r>
        <w:rPr>
          <w:rFonts w:hint="eastAsia" w:ascii="宋体" w:hAnsi="宋体" w:cs="宋体"/>
          <w:b/>
          <w:bCs/>
          <w:sz w:val="28"/>
          <w:szCs w:val="28"/>
          <w:u w:val="double"/>
          <w:lang w:val="en-US" w:eastAsia="zh-CN"/>
        </w:rPr>
        <w:t>》</w:t>
      </w:r>
      <w:r>
        <w:rPr>
          <w:rFonts w:hint="eastAsia" w:ascii="宋体" w:hAnsi="宋体" w:eastAsia="宋体" w:cs="宋体"/>
          <w:b/>
          <w:bCs/>
          <w:sz w:val="28"/>
          <w:szCs w:val="28"/>
          <w:u w:val="double"/>
          <w:lang w:val="en-US" w:eastAsia="zh-CN"/>
        </w:rPr>
        <w:t>内容必须全部满足，否则作无效标处理。</w:t>
      </w:r>
    </w:p>
    <w:p w14:paraId="7566F91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3BF3A">
    <w:pPr>
      <w:pStyle w:val="5"/>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846BCA"/>
    <w:multiLevelType w:val="singleLevel"/>
    <w:tmpl w:val="DA846B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753A1"/>
    <w:rsid w:val="5CA75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paragraph" w:styleId="3">
    <w:name w:val="heading 2"/>
    <w:basedOn w:val="1"/>
    <w:next w:val="1"/>
    <w:qFormat/>
    <w:uiPriority w:val="9"/>
    <w:pPr>
      <w:keepNext/>
      <w:keepLines/>
      <w:spacing w:before="260" w:after="260" w:line="416" w:lineRule="atLeast"/>
      <w:outlineLvl w:val="1"/>
    </w:pPr>
    <w:rPr>
      <w:rFonts w:ascii="Cambria" w:hAnsi="Cambria"/>
      <w:b/>
      <w:bCs/>
      <w:kern w:val="0"/>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0"/>
    <w:rPr>
      <w:rFonts w:ascii="宋体" w:hAnsi="Arial"/>
      <w:sz w:val="28"/>
      <w:szCs w:val="20"/>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39"/>
    <w:pPr>
      <w:ind w:left="210"/>
      <w:jc w:val="left"/>
    </w:pPr>
    <w:rPr>
      <w:smallCaps/>
      <w:sz w:val="18"/>
      <w:szCs w:val="24"/>
    </w:rPr>
  </w:style>
  <w:style w:type="paragraph" w:customStyle="1" w:styleId="9">
    <w:name w:val="D&amp;L"/>
    <w:basedOn w:val="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qFormat/>
    <w:uiPriority w:val="0"/>
    <w:pPr>
      <w:widowControl/>
      <w:spacing w:before="100" w:beforeAutospacing="1" w:after="100" w:afterAutospacing="1"/>
      <w:jc w:val="center"/>
    </w:pPr>
    <w:rPr>
      <w:rFonts w:ascii="宋体" w:hAnsi="宋体"/>
      <w:b/>
      <w:bCs/>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2025-08-21T08:16:00Z</dcterms:created>
  <dc:creator>I</dc:creator>
  <cp:lastModifiedBy>I</cp:lastModifiedBy>
  <dcterms:modified xsi:type="dcterms:W3CDTF">2025-08-21T08:16:26Z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1585DDC3DD4B4698B55FEE42509EE816_11</vt:lpwstr>
  </property>
  <property fmtid="{D5CDD505-2E9C-101B-9397-08002B2CF9AE}" pid="4" name="KSOTemplateDocerSaveRecord">
    <vt:lpwstr>eyJoZGlkIjoiM2RmYjc5NmM5NWFiZTcyODYwM2QwOGYxMGNkMjE3ZTMiLCJ1c2VySWQiOiI0MDgzOTM3NDMifQ==</vt:lpwstr>
  </property>
</Properties>
</file>