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88166F">
      <w:pPr>
        <w:tabs>
          <w:tab w:val="left" w:pos="315"/>
          <w:tab w:val="left" w:pos="8820"/>
        </w:tabs>
        <w:spacing w:before="240" w:beforeLines="100" w:after="120" w:afterLines="50" w:line="500" w:lineRule="exact"/>
        <w:ind w:right="267" w:rightChars="127"/>
        <w:jc w:val="center"/>
        <w:rPr>
          <w:rFonts w:ascii="宋体" w:hAnsi="宋体" w:eastAsia="宋体"/>
          <w:b/>
          <w:bCs/>
          <w:sz w:val="52"/>
          <w:szCs w:val="52"/>
          <w:highlight w:val="none"/>
        </w:rPr>
      </w:pPr>
    </w:p>
    <w:p w14:paraId="02F04D77">
      <w:pPr>
        <w:tabs>
          <w:tab w:val="left" w:pos="315"/>
          <w:tab w:val="left" w:pos="8820"/>
        </w:tabs>
        <w:spacing w:before="240" w:beforeLines="100" w:after="120" w:afterLines="50" w:line="500" w:lineRule="exact"/>
        <w:ind w:right="267" w:rightChars="127"/>
        <w:jc w:val="center"/>
        <w:rPr>
          <w:rFonts w:ascii="宋体" w:hAnsi="宋体" w:eastAsia="宋体"/>
          <w:b/>
          <w:bCs/>
          <w:sz w:val="52"/>
          <w:szCs w:val="52"/>
          <w:highlight w:val="none"/>
        </w:rPr>
      </w:pPr>
    </w:p>
    <w:p w14:paraId="1D894163">
      <w:pPr>
        <w:tabs>
          <w:tab w:val="left" w:pos="315"/>
          <w:tab w:val="left" w:pos="8820"/>
        </w:tabs>
        <w:spacing w:before="240" w:beforeLines="100" w:after="120" w:afterLines="50" w:line="500" w:lineRule="exact"/>
        <w:ind w:right="267" w:rightChars="127"/>
        <w:jc w:val="center"/>
        <w:rPr>
          <w:rFonts w:ascii="宋体" w:hAnsi="宋体" w:eastAsia="宋体"/>
          <w:b/>
          <w:bCs/>
          <w:sz w:val="52"/>
          <w:szCs w:val="52"/>
          <w:highlight w:val="none"/>
        </w:rPr>
      </w:pPr>
      <w:bookmarkStart w:id="0" w:name="_Hlk9544796"/>
      <w:r>
        <w:rPr>
          <w:rFonts w:hint="eastAsia" w:ascii="宋体" w:hAnsi="宋体" w:eastAsia="宋体"/>
          <w:b/>
          <w:bCs/>
          <w:sz w:val="52"/>
          <w:szCs w:val="52"/>
          <w:highlight w:val="none"/>
        </w:rPr>
        <w:t>安徽省政府采购项目</w:t>
      </w:r>
    </w:p>
    <w:p w14:paraId="19710C9D">
      <w:pPr>
        <w:tabs>
          <w:tab w:val="left" w:pos="315"/>
          <w:tab w:val="left" w:pos="8820"/>
        </w:tabs>
        <w:spacing w:before="240" w:beforeLines="100" w:after="120" w:afterLines="50" w:line="500" w:lineRule="exact"/>
        <w:ind w:right="267" w:rightChars="127"/>
        <w:jc w:val="center"/>
        <w:rPr>
          <w:rFonts w:ascii="宋体" w:hAnsi="宋体" w:eastAsia="宋体"/>
          <w:b/>
          <w:bCs/>
          <w:sz w:val="52"/>
          <w:szCs w:val="52"/>
          <w:highlight w:val="none"/>
        </w:rPr>
      </w:pPr>
      <w:r>
        <w:rPr>
          <w:rFonts w:hint="eastAsia" w:ascii="宋体" w:hAnsi="宋体" w:eastAsia="宋体"/>
          <w:b/>
          <w:bCs/>
          <w:sz w:val="52"/>
          <w:szCs w:val="52"/>
          <w:highlight w:val="none"/>
        </w:rPr>
        <w:t>竞争性磋商文件（服务类）</w:t>
      </w:r>
    </w:p>
    <w:bookmarkEnd w:id="0"/>
    <w:p w14:paraId="64624CF5">
      <w:pPr>
        <w:tabs>
          <w:tab w:val="left" w:pos="315"/>
          <w:tab w:val="left" w:pos="8820"/>
        </w:tabs>
        <w:spacing w:before="240" w:beforeLines="100" w:after="120" w:afterLines="50" w:line="500" w:lineRule="exact"/>
        <w:ind w:right="267" w:rightChars="127"/>
        <w:jc w:val="center"/>
        <w:rPr>
          <w:rFonts w:ascii="宋体" w:hAnsi="宋体" w:eastAsia="宋体"/>
          <w:bCs/>
          <w:sz w:val="44"/>
          <w:szCs w:val="44"/>
          <w:highlight w:val="none"/>
        </w:rPr>
      </w:pPr>
    </w:p>
    <w:p w14:paraId="7092A647">
      <w:pPr>
        <w:tabs>
          <w:tab w:val="left" w:pos="315"/>
          <w:tab w:val="left" w:pos="8820"/>
        </w:tabs>
        <w:spacing w:before="240" w:beforeLines="100" w:after="120" w:afterLines="50" w:line="500" w:lineRule="exact"/>
        <w:ind w:right="267" w:rightChars="127"/>
        <w:jc w:val="center"/>
        <w:rPr>
          <w:rFonts w:ascii="宋体" w:hAnsi="宋体" w:eastAsia="宋体"/>
          <w:b/>
          <w:bCs/>
          <w:sz w:val="44"/>
          <w:szCs w:val="44"/>
          <w:highlight w:val="none"/>
        </w:rPr>
      </w:pPr>
    </w:p>
    <w:p w14:paraId="3CA43450">
      <w:pPr>
        <w:tabs>
          <w:tab w:val="left" w:pos="315"/>
          <w:tab w:val="left" w:pos="8820"/>
        </w:tabs>
        <w:spacing w:before="240" w:beforeLines="100" w:after="120" w:afterLines="50" w:line="500" w:lineRule="exact"/>
        <w:ind w:right="267" w:rightChars="127"/>
        <w:jc w:val="center"/>
        <w:rPr>
          <w:rFonts w:ascii="宋体" w:hAnsi="宋体" w:eastAsia="宋体"/>
          <w:b/>
          <w:bCs/>
          <w:sz w:val="44"/>
          <w:szCs w:val="44"/>
          <w:highlight w:val="none"/>
        </w:rPr>
      </w:pPr>
    </w:p>
    <w:p w14:paraId="2AA6D8E3">
      <w:pPr>
        <w:tabs>
          <w:tab w:val="left" w:pos="315"/>
          <w:tab w:val="left" w:pos="8820"/>
        </w:tabs>
        <w:spacing w:before="240" w:beforeLines="100" w:after="120" w:afterLines="50" w:line="500" w:lineRule="exact"/>
        <w:ind w:right="267" w:rightChars="127"/>
        <w:jc w:val="center"/>
        <w:rPr>
          <w:rFonts w:ascii="宋体" w:hAnsi="宋体" w:eastAsia="宋体"/>
          <w:b/>
          <w:bCs/>
          <w:sz w:val="44"/>
          <w:szCs w:val="44"/>
          <w:highlight w:val="none"/>
        </w:rPr>
      </w:pPr>
    </w:p>
    <w:p w14:paraId="30D47F11">
      <w:pPr>
        <w:tabs>
          <w:tab w:val="left" w:pos="315"/>
          <w:tab w:val="left" w:pos="8820"/>
        </w:tabs>
        <w:spacing w:before="240" w:beforeLines="100" w:after="120" w:afterLines="50" w:line="500" w:lineRule="exact"/>
        <w:ind w:right="267" w:rightChars="127"/>
        <w:jc w:val="center"/>
        <w:rPr>
          <w:rFonts w:ascii="宋体" w:hAnsi="宋体" w:eastAsia="宋体"/>
          <w:b/>
          <w:bCs/>
          <w:sz w:val="44"/>
          <w:szCs w:val="44"/>
          <w:highlight w:val="none"/>
        </w:rPr>
      </w:pPr>
    </w:p>
    <w:p w14:paraId="25534823">
      <w:pPr>
        <w:tabs>
          <w:tab w:val="left" w:pos="315"/>
          <w:tab w:val="left" w:pos="8820"/>
        </w:tabs>
        <w:spacing w:before="240" w:beforeLines="100" w:after="120" w:afterLines="50" w:line="500" w:lineRule="exact"/>
        <w:ind w:right="267" w:rightChars="127"/>
        <w:jc w:val="center"/>
        <w:rPr>
          <w:rFonts w:ascii="宋体" w:hAnsi="宋体" w:eastAsia="宋体"/>
          <w:b/>
          <w:bCs/>
          <w:sz w:val="44"/>
          <w:szCs w:val="44"/>
          <w:highlight w:val="none"/>
        </w:rPr>
      </w:pPr>
    </w:p>
    <w:p w14:paraId="687108E4">
      <w:pPr>
        <w:tabs>
          <w:tab w:val="left" w:pos="2410"/>
        </w:tabs>
        <w:autoSpaceDE w:val="0"/>
        <w:autoSpaceDN w:val="0"/>
        <w:adjustRightInd w:val="0"/>
        <w:snapToGrid w:val="0"/>
        <w:spacing w:line="360" w:lineRule="auto"/>
        <w:rPr>
          <w:rFonts w:ascii="宋体" w:hAnsi="宋体" w:eastAsia="宋体"/>
          <w:b/>
          <w:spacing w:val="20"/>
          <w:kern w:val="0"/>
          <w:sz w:val="32"/>
          <w:szCs w:val="32"/>
          <w:highlight w:val="none"/>
        </w:rPr>
      </w:pPr>
      <w:r>
        <w:rPr>
          <w:rFonts w:hint="eastAsia" w:ascii="宋体" w:hAnsi="宋体" w:eastAsia="宋体"/>
          <w:b/>
          <w:spacing w:val="20"/>
          <w:kern w:val="0"/>
          <w:sz w:val="32"/>
          <w:szCs w:val="32"/>
          <w:highlight w:val="none"/>
        </w:rPr>
        <w:t>项目名称：</w:t>
      </w:r>
      <w:r>
        <w:rPr>
          <w:rFonts w:hint="eastAsia" w:ascii="宋体" w:hAnsi="宋体" w:eastAsia="宋体"/>
          <w:b/>
          <w:spacing w:val="20"/>
          <w:kern w:val="0"/>
          <w:sz w:val="32"/>
          <w:szCs w:val="32"/>
          <w:highlight w:val="none"/>
          <w:u w:val="single"/>
        </w:rPr>
        <w:t>安徽医科大学信息系统等级保护测评服务采购项目</w:t>
      </w:r>
    </w:p>
    <w:p w14:paraId="76F402D5">
      <w:pPr>
        <w:tabs>
          <w:tab w:val="left" w:pos="2410"/>
        </w:tabs>
        <w:autoSpaceDE w:val="0"/>
        <w:autoSpaceDN w:val="0"/>
        <w:adjustRightInd w:val="0"/>
        <w:snapToGrid w:val="0"/>
        <w:spacing w:line="360" w:lineRule="auto"/>
        <w:rPr>
          <w:rFonts w:hint="eastAsia" w:ascii="宋体" w:hAnsi="宋体" w:eastAsia="宋体"/>
          <w:b/>
          <w:spacing w:val="20"/>
          <w:kern w:val="0"/>
          <w:sz w:val="32"/>
          <w:szCs w:val="32"/>
          <w:highlight w:val="none"/>
          <w:lang w:val="en-US" w:eastAsia="zh-CN"/>
        </w:rPr>
      </w:pPr>
      <w:r>
        <w:rPr>
          <w:rFonts w:hint="eastAsia" w:ascii="宋体" w:hAnsi="宋体" w:eastAsia="宋体"/>
          <w:b/>
          <w:spacing w:val="20"/>
          <w:kern w:val="0"/>
          <w:sz w:val="32"/>
          <w:szCs w:val="32"/>
          <w:highlight w:val="none"/>
        </w:rPr>
        <w:t>项目编号：25AT186017103635</w:t>
      </w:r>
      <w:r>
        <w:rPr>
          <w:rFonts w:hint="eastAsia" w:ascii="宋体" w:hAnsi="宋体" w:eastAsia="宋体"/>
          <w:b/>
          <w:spacing w:val="20"/>
          <w:kern w:val="0"/>
          <w:sz w:val="32"/>
          <w:szCs w:val="32"/>
          <w:highlight w:val="none"/>
          <w:lang w:val="en-US" w:eastAsia="zh-CN"/>
        </w:rPr>
        <w:t>/FS34000120253616号</w:t>
      </w:r>
    </w:p>
    <w:p w14:paraId="73579C97">
      <w:pPr>
        <w:tabs>
          <w:tab w:val="left" w:pos="2410"/>
        </w:tabs>
        <w:autoSpaceDE w:val="0"/>
        <w:autoSpaceDN w:val="0"/>
        <w:adjustRightInd w:val="0"/>
        <w:snapToGrid w:val="0"/>
        <w:spacing w:line="360" w:lineRule="auto"/>
        <w:rPr>
          <w:rFonts w:ascii="宋体" w:hAnsi="宋体" w:eastAsia="宋体"/>
          <w:b/>
          <w:spacing w:val="20"/>
          <w:kern w:val="0"/>
          <w:sz w:val="32"/>
          <w:szCs w:val="32"/>
          <w:highlight w:val="none"/>
        </w:rPr>
      </w:pPr>
      <w:r>
        <w:rPr>
          <w:rFonts w:hint="eastAsia" w:ascii="宋体" w:hAnsi="宋体" w:eastAsia="宋体"/>
          <w:b/>
          <w:spacing w:val="20"/>
          <w:kern w:val="0"/>
          <w:sz w:val="32"/>
          <w:szCs w:val="32"/>
          <w:highlight w:val="none"/>
        </w:rPr>
        <w:t>采 购 人：</w:t>
      </w:r>
      <w:r>
        <w:rPr>
          <w:rFonts w:hint="eastAsia" w:ascii="宋体" w:hAnsi="宋体" w:eastAsia="宋体"/>
          <w:b/>
          <w:spacing w:val="20"/>
          <w:kern w:val="0"/>
          <w:sz w:val="32"/>
          <w:szCs w:val="32"/>
          <w:highlight w:val="none"/>
          <w:u w:val="single"/>
        </w:rPr>
        <w:t>安徽医科大学</w:t>
      </w:r>
    </w:p>
    <w:p w14:paraId="0B0C2848">
      <w:pPr>
        <w:tabs>
          <w:tab w:val="left" w:pos="2410"/>
        </w:tabs>
        <w:autoSpaceDE w:val="0"/>
        <w:autoSpaceDN w:val="0"/>
        <w:adjustRightInd w:val="0"/>
        <w:snapToGrid w:val="0"/>
        <w:spacing w:line="360" w:lineRule="auto"/>
        <w:rPr>
          <w:rFonts w:ascii="宋体" w:hAnsi="宋体" w:eastAsia="宋体"/>
          <w:b/>
          <w:spacing w:val="20"/>
          <w:kern w:val="0"/>
          <w:sz w:val="32"/>
          <w:szCs w:val="32"/>
          <w:highlight w:val="none"/>
        </w:rPr>
      </w:pPr>
      <w:r>
        <w:rPr>
          <w:rFonts w:hint="eastAsia" w:ascii="宋体" w:hAnsi="宋体" w:eastAsia="宋体"/>
          <w:b/>
          <w:spacing w:val="20"/>
          <w:kern w:val="0"/>
          <w:sz w:val="32"/>
          <w:szCs w:val="32"/>
          <w:highlight w:val="none"/>
        </w:rPr>
        <w:t>采购代理机构：</w:t>
      </w:r>
      <w:r>
        <w:rPr>
          <w:rFonts w:hint="eastAsia" w:ascii="宋体" w:hAnsi="宋体" w:eastAsia="宋体"/>
          <w:b/>
          <w:spacing w:val="20"/>
          <w:kern w:val="0"/>
          <w:sz w:val="32"/>
          <w:szCs w:val="32"/>
          <w:highlight w:val="none"/>
          <w:u w:val="single"/>
        </w:rPr>
        <w:t>安徽安天利信工程管理股份有限公司</w:t>
      </w:r>
    </w:p>
    <w:p w14:paraId="71B2C33A">
      <w:pPr>
        <w:tabs>
          <w:tab w:val="left" w:pos="315"/>
          <w:tab w:val="left" w:pos="8820"/>
        </w:tabs>
        <w:spacing w:before="240" w:beforeLines="100" w:after="120" w:afterLines="50" w:line="500" w:lineRule="exact"/>
        <w:ind w:right="267" w:rightChars="127"/>
        <w:jc w:val="center"/>
        <w:rPr>
          <w:rFonts w:ascii="宋体" w:hAnsi="宋体" w:eastAsia="宋体"/>
          <w:b/>
          <w:bCs/>
          <w:sz w:val="44"/>
          <w:szCs w:val="44"/>
          <w:highlight w:val="none"/>
        </w:rPr>
      </w:pPr>
    </w:p>
    <w:p w14:paraId="6B8112BC">
      <w:pPr>
        <w:tabs>
          <w:tab w:val="left" w:pos="2410"/>
        </w:tabs>
        <w:autoSpaceDE w:val="0"/>
        <w:autoSpaceDN w:val="0"/>
        <w:adjustRightInd w:val="0"/>
        <w:snapToGrid w:val="0"/>
        <w:spacing w:line="360" w:lineRule="auto"/>
        <w:jc w:val="center"/>
        <w:rPr>
          <w:rFonts w:ascii="宋体" w:hAnsi="宋体" w:eastAsia="宋体"/>
          <w:b/>
          <w:sz w:val="36"/>
          <w:highlight w:val="none"/>
        </w:rPr>
      </w:pPr>
      <w:r>
        <w:rPr>
          <w:rFonts w:hint="eastAsia" w:ascii="宋体" w:hAnsi="宋体" w:eastAsia="宋体"/>
          <w:b/>
          <w:sz w:val="36"/>
          <w:highlight w:val="none"/>
          <w:u w:val="single"/>
        </w:rPr>
        <w:t xml:space="preserve"> 2025</w:t>
      </w:r>
      <w:r>
        <w:rPr>
          <w:rFonts w:hint="eastAsia" w:ascii="宋体" w:hAnsi="宋体" w:eastAsia="宋体"/>
          <w:b/>
          <w:sz w:val="36"/>
          <w:highlight w:val="none"/>
        </w:rPr>
        <w:t>年</w:t>
      </w:r>
      <w:r>
        <w:rPr>
          <w:rFonts w:hint="eastAsia" w:ascii="宋体" w:hAnsi="宋体" w:eastAsia="宋体"/>
          <w:b/>
          <w:sz w:val="36"/>
          <w:highlight w:val="none"/>
          <w:u w:val="single"/>
          <w:lang w:val="en-US" w:eastAsia="zh-CN"/>
        </w:rPr>
        <w:t>6</w:t>
      </w:r>
      <w:r>
        <w:rPr>
          <w:rFonts w:hint="eastAsia" w:ascii="宋体" w:hAnsi="宋体" w:eastAsia="宋体"/>
          <w:b/>
          <w:sz w:val="36"/>
          <w:highlight w:val="none"/>
        </w:rPr>
        <w:t>月</w:t>
      </w:r>
    </w:p>
    <w:p w14:paraId="3BC81DF7">
      <w:pPr>
        <w:tabs>
          <w:tab w:val="left" w:pos="2410"/>
        </w:tabs>
        <w:autoSpaceDE w:val="0"/>
        <w:autoSpaceDN w:val="0"/>
        <w:adjustRightInd w:val="0"/>
        <w:snapToGrid w:val="0"/>
        <w:spacing w:line="360" w:lineRule="auto"/>
        <w:jc w:val="center"/>
        <w:rPr>
          <w:rFonts w:ascii="宋体" w:hAnsi="宋体" w:eastAsia="宋体"/>
          <w:b/>
          <w:sz w:val="36"/>
          <w:highlight w:val="none"/>
        </w:rPr>
      </w:pPr>
      <w:r>
        <w:rPr>
          <w:rFonts w:ascii="宋体" w:hAnsi="宋体" w:eastAsia="宋体"/>
          <w:b/>
          <w:sz w:val="36"/>
          <w:highlight w:val="none"/>
        </w:rPr>
        <w:br w:type="page"/>
      </w:r>
    </w:p>
    <w:p w14:paraId="3469AF77">
      <w:pPr>
        <w:tabs>
          <w:tab w:val="left" w:pos="2410"/>
        </w:tabs>
        <w:autoSpaceDE w:val="0"/>
        <w:autoSpaceDN w:val="0"/>
        <w:adjustRightInd w:val="0"/>
        <w:snapToGrid w:val="0"/>
        <w:spacing w:line="360" w:lineRule="auto"/>
        <w:jc w:val="center"/>
        <w:rPr>
          <w:rFonts w:ascii="宋体" w:hAnsi="宋体" w:eastAsia="宋体"/>
          <w:b/>
          <w:sz w:val="28"/>
          <w:highlight w:val="none"/>
        </w:rPr>
      </w:pPr>
      <w:r>
        <w:rPr>
          <w:rFonts w:hint="eastAsia" w:ascii="宋体" w:hAnsi="宋体" w:eastAsia="宋体"/>
          <w:b/>
          <w:sz w:val="28"/>
          <w:highlight w:val="none"/>
        </w:rPr>
        <w:t>目  录</w:t>
      </w:r>
    </w:p>
    <w:p w14:paraId="33ADE6E1">
      <w:pPr>
        <w:tabs>
          <w:tab w:val="left" w:pos="2410"/>
        </w:tabs>
        <w:autoSpaceDE w:val="0"/>
        <w:autoSpaceDN w:val="0"/>
        <w:adjustRightInd w:val="0"/>
        <w:snapToGrid w:val="0"/>
        <w:spacing w:line="360" w:lineRule="auto"/>
        <w:jc w:val="center"/>
        <w:rPr>
          <w:rFonts w:ascii="宋体" w:hAnsi="宋体" w:eastAsia="宋体"/>
          <w:b/>
          <w:sz w:val="28"/>
          <w:highlight w:val="none"/>
        </w:rPr>
      </w:pPr>
    </w:p>
    <w:p w14:paraId="6E6366C0">
      <w:pPr>
        <w:pStyle w:val="18"/>
        <w:tabs>
          <w:tab w:val="right" w:leader="dot" w:pos="8279"/>
        </w:tabs>
        <w:rPr>
          <w:highlight w:val="none"/>
        </w:rPr>
      </w:pPr>
      <w:r>
        <w:rPr>
          <w:rFonts w:asciiTheme="minorEastAsia" w:hAnsiTheme="minorEastAsia"/>
          <w:b/>
          <w:bCs/>
          <w:sz w:val="24"/>
          <w:szCs w:val="24"/>
          <w:highlight w:val="none"/>
        </w:rPr>
        <w:fldChar w:fldCharType="begin"/>
      </w:r>
      <w:r>
        <w:rPr>
          <w:rFonts w:asciiTheme="minorEastAsia" w:hAnsiTheme="minorEastAsia"/>
          <w:b/>
          <w:bCs/>
          <w:sz w:val="24"/>
          <w:szCs w:val="24"/>
          <w:highlight w:val="none"/>
        </w:rPr>
        <w:instrText xml:space="preserve"> </w:instrText>
      </w:r>
      <w:r>
        <w:rPr>
          <w:rFonts w:hint="eastAsia" w:asciiTheme="minorEastAsia" w:hAnsiTheme="minorEastAsia"/>
          <w:b/>
          <w:bCs/>
          <w:sz w:val="24"/>
          <w:szCs w:val="24"/>
          <w:highlight w:val="none"/>
        </w:rPr>
        <w:instrText xml:space="preserve">TOC \o "1-2" \h \z \u</w:instrText>
      </w:r>
      <w:r>
        <w:rPr>
          <w:rFonts w:asciiTheme="minorEastAsia" w:hAnsiTheme="minorEastAsia"/>
          <w:b/>
          <w:bCs/>
          <w:sz w:val="24"/>
          <w:szCs w:val="24"/>
          <w:highlight w:val="none"/>
        </w:rPr>
        <w:instrText xml:space="preserve"> </w:instrText>
      </w:r>
      <w:r>
        <w:rPr>
          <w:rFonts w:asciiTheme="minorEastAsia" w:hAnsiTheme="minorEastAsia"/>
          <w:b/>
          <w:bCs/>
          <w:sz w:val="24"/>
          <w:szCs w:val="24"/>
          <w:highlight w:val="none"/>
        </w:rPr>
        <w:fldChar w:fldCharType="separate"/>
      </w:r>
      <w:r>
        <w:rPr>
          <w:highlight w:val="none"/>
        </w:rPr>
        <w:fldChar w:fldCharType="begin"/>
      </w:r>
      <w:r>
        <w:rPr>
          <w:highlight w:val="none"/>
        </w:rPr>
        <w:instrText xml:space="preserve"> HYPERLINK \l "_Toc17443" </w:instrText>
      </w:r>
      <w:r>
        <w:rPr>
          <w:highlight w:val="none"/>
        </w:rPr>
        <w:fldChar w:fldCharType="separate"/>
      </w:r>
      <w:r>
        <w:rPr>
          <w:rFonts w:hint="eastAsia" w:asciiTheme="minorEastAsia" w:hAnsiTheme="minorEastAsia"/>
          <w:highlight w:val="none"/>
        </w:rPr>
        <w:t xml:space="preserve">第一章 </w:t>
      </w:r>
      <w:r>
        <w:rPr>
          <w:rFonts w:asciiTheme="minorEastAsia" w:hAnsiTheme="minorEastAsia"/>
          <w:highlight w:val="none"/>
        </w:rPr>
        <w:t xml:space="preserve"> </w:t>
      </w:r>
      <w:r>
        <w:rPr>
          <w:rFonts w:hint="eastAsia" w:asciiTheme="minorEastAsia" w:hAnsiTheme="minorEastAsia"/>
          <w:highlight w:val="none"/>
          <w:lang w:val="en-US" w:eastAsia="zh-CN"/>
        </w:rPr>
        <w:t>竞争性磋商公告</w:t>
      </w:r>
      <w:r>
        <w:rPr>
          <w:highlight w:val="none"/>
        </w:rPr>
        <w:tab/>
      </w:r>
      <w:r>
        <w:rPr>
          <w:highlight w:val="none"/>
        </w:rPr>
        <w:fldChar w:fldCharType="begin"/>
      </w:r>
      <w:r>
        <w:rPr>
          <w:highlight w:val="none"/>
        </w:rPr>
        <w:instrText xml:space="preserve"> PAGEREF _Toc17443 \h </w:instrText>
      </w:r>
      <w:r>
        <w:rPr>
          <w:highlight w:val="none"/>
        </w:rPr>
        <w:fldChar w:fldCharType="separate"/>
      </w:r>
      <w:r>
        <w:rPr>
          <w:highlight w:val="none"/>
        </w:rPr>
        <w:t>1</w:t>
      </w:r>
      <w:r>
        <w:rPr>
          <w:highlight w:val="none"/>
        </w:rPr>
        <w:fldChar w:fldCharType="end"/>
      </w:r>
      <w:r>
        <w:rPr>
          <w:highlight w:val="none"/>
        </w:rPr>
        <w:fldChar w:fldCharType="end"/>
      </w:r>
    </w:p>
    <w:p w14:paraId="2AF22FA7">
      <w:pPr>
        <w:pStyle w:val="18"/>
        <w:tabs>
          <w:tab w:val="right" w:leader="dot" w:pos="8279"/>
        </w:tabs>
        <w:rPr>
          <w:highlight w:val="none"/>
        </w:rPr>
      </w:pPr>
      <w:r>
        <w:rPr>
          <w:highlight w:val="none"/>
        </w:rPr>
        <w:fldChar w:fldCharType="begin"/>
      </w:r>
      <w:r>
        <w:rPr>
          <w:highlight w:val="none"/>
        </w:rPr>
        <w:instrText xml:space="preserve"> HYPERLINK \l "_Toc24539" </w:instrText>
      </w:r>
      <w:r>
        <w:rPr>
          <w:highlight w:val="none"/>
        </w:rPr>
        <w:fldChar w:fldCharType="separate"/>
      </w:r>
      <w:r>
        <w:rPr>
          <w:rFonts w:hint="eastAsia" w:asciiTheme="minorEastAsia" w:hAnsiTheme="minorEastAsia"/>
          <w:highlight w:val="none"/>
        </w:rPr>
        <w:t>第二章</w:t>
      </w:r>
      <w:r>
        <w:rPr>
          <w:rFonts w:asciiTheme="minorEastAsia" w:hAnsiTheme="minorEastAsia"/>
          <w:highlight w:val="none"/>
        </w:rPr>
        <w:t xml:space="preserve"> </w:t>
      </w:r>
      <w:r>
        <w:rPr>
          <w:rFonts w:hint="eastAsia" w:asciiTheme="minorEastAsia" w:hAnsiTheme="minorEastAsia"/>
          <w:highlight w:val="none"/>
        </w:rPr>
        <w:t xml:space="preserve"> 供应商</w:t>
      </w:r>
      <w:r>
        <w:rPr>
          <w:rFonts w:asciiTheme="minorEastAsia" w:hAnsiTheme="minorEastAsia"/>
          <w:highlight w:val="none"/>
        </w:rPr>
        <w:t>须知</w:t>
      </w:r>
      <w:r>
        <w:rPr>
          <w:highlight w:val="none"/>
        </w:rPr>
        <w:tab/>
      </w:r>
      <w:r>
        <w:rPr>
          <w:highlight w:val="none"/>
        </w:rPr>
        <w:fldChar w:fldCharType="begin"/>
      </w:r>
      <w:r>
        <w:rPr>
          <w:highlight w:val="none"/>
        </w:rPr>
        <w:instrText xml:space="preserve"> PAGEREF _Toc24539 \h </w:instrText>
      </w:r>
      <w:r>
        <w:rPr>
          <w:highlight w:val="none"/>
        </w:rPr>
        <w:fldChar w:fldCharType="separate"/>
      </w:r>
      <w:r>
        <w:rPr>
          <w:highlight w:val="none"/>
        </w:rPr>
        <w:t>3</w:t>
      </w:r>
      <w:r>
        <w:rPr>
          <w:highlight w:val="none"/>
        </w:rPr>
        <w:fldChar w:fldCharType="end"/>
      </w:r>
      <w:r>
        <w:rPr>
          <w:highlight w:val="none"/>
        </w:rPr>
        <w:fldChar w:fldCharType="end"/>
      </w:r>
    </w:p>
    <w:p w14:paraId="117CFDEB">
      <w:pPr>
        <w:pStyle w:val="18"/>
        <w:tabs>
          <w:tab w:val="right" w:leader="dot" w:pos="8279"/>
        </w:tabs>
        <w:rPr>
          <w:highlight w:val="none"/>
        </w:rPr>
      </w:pPr>
      <w:r>
        <w:rPr>
          <w:highlight w:val="none"/>
        </w:rPr>
        <w:fldChar w:fldCharType="begin"/>
      </w:r>
      <w:r>
        <w:rPr>
          <w:highlight w:val="none"/>
        </w:rPr>
        <w:instrText xml:space="preserve"> HYPERLINK \l "_Toc6029" </w:instrText>
      </w:r>
      <w:r>
        <w:rPr>
          <w:highlight w:val="none"/>
        </w:rPr>
        <w:fldChar w:fldCharType="separate"/>
      </w:r>
      <w:r>
        <w:rPr>
          <w:rFonts w:hint="eastAsia" w:asciiTheme="minorEastAsia" w:hAnsiTheme="minorEastAsia"/>
          <w:highlight w:val="none"/>
        </w:rPr>
        <w:t>第三章  采购需求</w:t>
      </w:r>
      <w:r>
        <w:rPr>
          <w:highlight w:val="none"/>
        </w:rPr>
        <w:tab/>
      </w:r>
      <w:r>
        <w:rPr>
          <w:highlight w:val="none"/>
        </w:rPr>
        <w:fldChar w:fldCharType="begin"/>
      </w:r>
      <w:r>
        <w:rPr>
          <w:highlight w:val="none"/>
        </w:rPr>
        <w:instrText xml:space="preserve"> PAGEREF _Toc6029 \h </w:instrText>
      </w:r>
      <w:r>
        <w:rPr>
          <w:highlight w:val="none"/>
        </w:rPr>
        <w:fldChar w:fldCharType="separate"/>
      </w:r>
      <w:r>
        <w:rPr>
          <w:highlight w:val="none"/>
        </w:rPr>
        <w:t>19</w:t>
      </w:r>
      <w:r>
        <w:rPr>
          <w:highlight w:val="none"/>
        </w:rPr>
        <w:fldChar w:fldCharType="end"/>
      </w:r>
      <w:r>
        <w:rPr>
          <w:highlight w:val="none"/>
        </w:rPr>
        <w:fldChar w:fldCharType="end"/>
      </w:r>
    </w:p>
    <w:p w14:paraId="471EBF6A">
      <w:pPr>
        <w:pStyle w:val="18"/>
        <w:tabs>
          <w:tab w:val="right" w:leader="dot" w:pos="8279"/>
        </w:tabs>
        <w:rPr>
          <w:highlight w:val="none"/>
        </w:rPr>
      </w:pPr>
      <w:r>
        <w:rPr>
          <w:highlight w:val="none"/>
        </w:rPr>
        <w:fldChar w:fldCharType="begin"/>
      </w:r>
      <w:r>
        <w:rPr>
          <w:highlight w:val="none"/>
        </w:rPr>
        <w:instrText xml:space="preserve"> HYPERLINK \l "_Toc25534" </w:instrText>
      </w:r>
      <w:r>
        <w:rPr>
          <w:highlight w:val="none"/>
        </w:rPr>
        <w:fldChar w:fldCharType="separate"/>
      </w:r>
      <w:r>
        <w:rPr>
          <w:rFonts w:hint="eastAsia" w:asciiTheme="minorEastAsia" w:hAnsiTheme="minorEastAsia"/>
          <w:highlight w:val="none"/>
        </w:rPr>
        <w:t>第四章  评审方法和标准</w:t>
      </w:r>
      <w:r>
        <w:rPr>
          <w:highlight w:val="none"/>
        </w:rPr>
        <w:tab/>
      </w:r>
      <w:r>
        <w:rPr>
          <w:highlight w:val="none"/>
        </w:rPr>
        <w:fldChar w:fldCharType="begin"/>
      </w:r>
      <w:r>
        <w:rPr>
          <w:highlight w:val="none"/>
        </w:rPr>
        <w:instrText xml:space="preserve"> PAGEREF _Toc25534 \h </w:instrText>
      </w:r>
      <w:r>
        <w:rPr>
          <w:highlight w:val="none"/>
        </w:rPr>
        <w:fldChar w:fldCharType="separate"/>
      </w:r>
      <w:r>
        <w:rPr>
          <w:highlight w:val="none"/>
        </w:rPr>
        <w:t>27</w:t>
      </w:r>
      <w:r>
        <w:rPr>
          <w:highlight w:val="none"/>
        </w:rPr>
        <w:fldChar w:fldCharType="end"/>
      </w:r>
      <w:r>
        <w:rPr>
          <w:highlight w:val="none"/>
        </w:rPr>
        <w:fldChar w:fldCharType="end"/>
      </w:r>
    </w:p>
    <w:p w14:paraId="03D1738A">
      <w:pPr>
        <w:pStyle w:val="18"/>
        <w:tabs>
          <w:tab w:val="right" w:leader="dot" w:pos="8279"/>
        </w:tabs>
        <w:rPr>
          <w:highlight w:val="none"/>
        </w:rPr>
      </w:pPr>
      <w:r>
        <w:rPr>
          <w:highlight w:val="none"/>
        </w:rPr>
        <w:fldChar w:fldCharType="begin"/>
      </w:r>
      <w:r>
        <w:rPr>
          <w:highlight w:val="none"/>
        </w:rPr>
        <w:instrText xml:space="preserve"> HYPERLINK \l "_Toc19183" </w:instrText>
      </w:r>
      <w:r>
        <w:rPr>
          <w:highlight w:val="none"/>
        </w:rPr>
        <w:fldChar w:fldCharType="separate"/>
      </w:r>
      <w:r>
        <w:rPr>
          <w:rFonts w:hint="eastAsia" w:asciiTheme="minorEastAsia" w:hAnsiTheme="minorEastAsia"/>
          <w:highlight w:val="none"/>
        </w:rPr>
        <w:t>第五章  政府采购合同</w:t>
      </w:r>
      <w:r>
        <w:rPr>
          <w:highlight w:val="none"/>
        </w:rPr>
        <w:tab/>
      </w:r>
      <w:r>
        <w:rPr>
          <w:highlight w:val="none"/>
        </w:rPr>
        <w:fldChar w:fldCharType="begin"/>
      </w:r>
      <w:r>
        <w:rPr>
          <w:highlight w:val="none"/>
        </w:rPr>
        <w:instrText xml:space="preserve"> PAGEREF _Toc19183 \h </w:instrText>
      </w:r>
      <w:r>
        <w:rPr>
          <w:highlight w:val="none"/>
        </w:rPr>
        <w:fldChar w:fldCharType="separate"/>
      </w:r>
      <w:r>
        <w:rPr>
          <w:highlight w:val="none"/>
        </w:rPr>
        <w:t>35</w:t>
      </w:r>
      <w:r>
        <w:rPr>
          <w:highlight w:val="none"/>
        </w:rPr>
        <w:fldChar w:fldCharType="end"/>
      </w:r>
      <w:r>
        <w:rPr>
          <w:highlight w:val="none"/>
        </w:rPr>
        <w:fldChar w:fldCharType="end"/>
      </w:r>
    </w:p>
    <w:p w14:paraId="6A236703">
      <w:pPr>
        <w:pStyle w:val="18"/>
        <w:tabs>
          <w:tab w:val="right" w:leader="dot" w:pos="8279"/>
        </w:tabs>
        <w:rPr>
          <w:highlight w:val="none"/>
        </w:rPr>
      </w:pPr>
      <w:r>
        <w:rPr>
          <w:highlight w:val="none"/>
        </w:rPr>
        <w:fldChar w:fldCharType="begin"/>
      </w:r>
      <w:r>
        <w:rPr>
          <w:highlight w:val="none"/>
        </w:rPr>
        <w:instrText xml:space="preserve"> HYPERLINK \l "_Toc18917" </w:instrText>
      </w:r>
      <w:r>
        <w:rPr>
          <w:highlight w:val="none"/>
        </w:rPr>
        <w:fldChar w:fldCharType="separate"/>
      </w:r>
      <w:r>
        <w:rPr>
          <w:rFonts w:hint="eastAsia" w:asciiTheme="minorEastAsia" w:hAnsiTheme="minorEastAsia"/>
          <w:highlight w:val="none"/>
        </w:rPr>
        <w:t>第六章  响应文件格式</w:t>
      </w:r>
      <w:r>
        <w:rPr>
          <w:highlight w:val="none"/>
        </w:rPr>
        <w:tab/>
      </w:r>
      <w:r>
        <w:rPr>
          <w:highlight w:val="none"/>
        </w:rPr>
        <w:fldChar w:fldCharType="begin"/>
      </w:r>
      <w:r>
        <w:rPr>
          <w:highlight w:val="none"/>
        </w:rPr>
        <w:instrText xml:space="preserve"> PAGEREF _Toc18917 \h </w:instrText>
      </w:r>
      <w:r>
        <w:rPr>
          <w:highlight w:val="none"/>
        </w:rPr>
        <w:fldChar w:fldCharType="separate"/>
      </w:r>
      <w:r>
        <w:rPr>
          <w:highlight w:val="none"/>
        </w:rPr>
        <w:t>44</w:t>
      </w:r>
      <w:r>
        <w:rPr>
          <w:highlight w:val="none"/>
        </w:rPr>
        <w:fldChar w:fldCharType="end"/>
      </w:r>
      <w:r>
        <w:rPr>
          <w:highlight w:val="none"/>
        </w:rPr>
        <w:fldChar w:fldCharType="end"/>
      </w:r>
    </w:p>
    <w:p w14:paraId="2FE8E006">
      <w:pPr>
        <w:pStyle w:val="18"/>
        <w:tabs>
          <w:tab w:val="right" w:leader="dot" w:pos="8279"/>
        </w:tabs>
        <w:rPr>
          <w:highlight w:val="none"/>
        </w:rPr>
      </w:pPr>
      <w:r>
        <w:rPr>
          <w:highlight w:val="none"/>
        </w:rPr>
        <w:fldChar w:fldCharType="begin"/>
      </w:r>
      <w:r>
        <w:rPr>
          <w:highlight w:val="none"/>
        </w:rPr>
        <w:instrText xml:space="preserve"> HYPERLINK \l "_Toc13870" </w:instrText>
      </w:r>
      <w:r>
        <w:rPr>
          <w:highlight w:val="none"/>
        </w:rPr>
        <w:fldChar w:fldCharType="separate"/>
      </w:r>
      <w:r>
        <w:rPr>
          <w:rFonts w:hint="eastAsia" w:ascii="宋体" w:hAnsi="宋体" w:eastAsia="宋体"/>
          <w:bCs/>
          <w:highlight w:val="none"/>
        </w:rPr>
        <w:t>第七章  政府采购</w:t>
      </w:r>
      <w:r>
        <w:rPr>
          <w:rFonts w:hint="eastAsia" w:asciiTheme="minorEastAsia" w:hAnsiTheme="minorEastAsia"/>
          <w:highlight w:val="none"/>
        </w:rPr>
        <w:t>供应</w:t>
      </w:r>
      <w:r>
        <w:rPr>
          <w:rFonts w:hint="eastAsia" w:ascii="宋体" w:hAnsi="宋体" w:eastAsia="宋体"/>
          <w:bCs/>
          <w:highlight w:val="none"/>
        </w:rPr>
        <w:t>商询问函和质疑函范本</w:t>
      </w:r>
      <w:r>
        <w:rPr>
          <w:highlight w:val="none"/>
        </w:rPr>
        <w:tab/>
      </w:r>
      <w:r>
        <w:rPr>
          <w:highlight w:val="none"/>
        </w:rPr>
        <w:fldChar w:fldCharType="begin"/>
      </w:r>
      <w:r>
        <w:rPr>
          <w:highlight w:val="none"/>
        </w:rPr>
        <w:instrText xml:space="preserve"> PAGEREF _Toc13870 \h </w:instrText>
      </w:r>
      <w:r>
        <w:rPr>
          <w:highlight w:val="none"/>
        </w:rPr>
        <w:fldChar w:fldCharType="separate"/>
      </w:r>
      <w:r>
        <w:rPr>
          <w:highlight w:val="none"/>
        </w:rPr>
        <w:t>62</w:t>
      </w:r>
      <w:r>
        <w:rPr>
          <w:highlight w:val="none"/>
        </w:rPr>
        <w:fldChar w:fldCharType="end"/>
      </w:r>
      <w:r>
        <w:rPr>
          <w:highlight w:val="none"/>
        </w:rPr>
        <w:fldChar w:fldCharType="end"/>
      </w:r>
    </w:p>
    <w:p w14:paraId="5EFFA3FA">
      <w:pPr>
        <w:pStyle w:val="19"/>
        <w:tabs>
          <w:tab w:val="right" w:leader="dot" w:pos="8296"/>
        </w:tabs>
        <w:rPr>
          <w:rFonts w:asciiTheme="minorEastAsia" w:hAnsiTheme="minorEastAsia"/>
          <w:b/>
          <w:sz w:val="32"/>
          <w:highlight w:val="none"/>
        </w:rPr>
      </w:pPr>
      <w:r>
        <w:rPr>
          <w:rFonts w:asciiTheme="minorEastAsia" w:hAnsiTheme="minorEastAsia"/>
          <w:bCs/>
          <w:szCs w:val="24"/>
          <w:highlight w:val="none"/>
        </w:rPr>
        <w:fldChar w:fldCharType="end"/>
      </w:r>
    </w:p>
    <w:p w14:paraId="7C2B2F75">
      <w:pPr>
        <w:spacing w:line="360" w:lineRule="auto"/>
        <w:jc w:val="center"/>
        <w:outlineLvl w:val="1"/>
        <w:rPr>
          <w:rFonts w:asciiTheme="minorEastAsia" w:hAnsiTheme="minorEastAsia" w:eastAsiaTheme="minorEastAsia"/>
          <w:b/>
          <w:sz w:val="28"/>
          <w:highlight w:val="none"/>
        </w:rPr>
        <w:sectPr>
          <w:headerReference r:id="rId3" w:type="default"/>
          <w:footerReference r:id="rId4" w:type="default"/>
          <w:pgSz w:w="11907" w:h="16840"/>
          <w:pgMar w:top="1474" w:right="1814" w:bottom="1474" w:left="1814" w:header="851" w:footer="992" w:gutter="0"/>
          <w:cols w:space="720" w:num="1"/>
          <w:docGrid w:linePitch="462" w:charSpace="0"/>
        </w:sectPr>
      </w:pPr>
    </w:p>
    <w:p w14:paraId="724215EE">
      <w:pPr>
        <w:numPr>
          <w:ilvl w:val="0"/>
          <w:numId w:val="1"/>
        </w:numPr>
        <w:spacing w:line="360" w:lineRule="auto"/>
        <w:jc w:val="center"/>
        <w:outlineLvl w:val="0"/>
        <w:rPr>
          <w:rFonts w:hint="eastAsia" w:asciiTheme="minorEastAsia" w:hAnsiTheme="minorEastAsia" w:eastAsiaTheme="minorEastAsia"/>
          <w:b/>
          <w:sz w:val="28"/>
          <w:highlight w:val="none"/>
        </w:rPr>
      </w:pPr>
      <w:bookmarkStart w:id="1" w:name="_Toc17443"/>
      <w:bookmarkStart w:id="2" w:name="_Toc501"/>
      <w:r>
        <w:rPr>
          <w:rFonts w:asciiTheme="minorEastAsia" w:hAnsiTheme="minorEastAsia" w:eastAsiaTheme="minorEastAsia"/>
          <w:b/>
          <w:sz w:val="28"/>
          <w:highlight w:val="none"/>
        </w:rPr>
        <w:t xml:space="preserve"> </w:t>
      </w:r>
      <w:r>
        <w:rPr>
          <w:rFonts w:hint="eastAsia" w:asciiTheme="minorEastAsia" w:hAnsiTheme="minorEastAsia" w:eastAsiaTheme="minorEastAsia"/>
          <w:b/>
          <w:sz w:val="28"/>
          <w:highlight w:val="none"/>
          <w:lang w:val="en-US" w:eastAsia="zh-CN"/>
        </w:rPr>
        <w:t>竞争性磋商公告</w:t>
      </w:r>
      <w:bookmarkEnd w:id="1"/>
      <w:bookmarkEnd w:id="2"/>
    </w:p>
    <w:p w14:paraId="08B4F517">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项目概况</w:t>
      </w:r>
    </w:p>
    <w:p w14:paraId="6BB020DE">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b/>
          <w:sz w:val="28"/>
          <w:highlight w:val="none"/>
        </w:rPr>
      </w:pPr>
      <w:r>
        <w:rPr>
          <w:rFonts w:hint="eastAsia" w:ascii="宋体" w:hAnsi="宋体" w:eastAsia="宋体"/>
          <w:sz w:val="24"/>
          <w:szCs w:val="18"/>
          <w:highlight w:val="none"/>
        </w:rPr>
        <w:t>安徽医科大学信息系统等级保护测评服务采购项目</w:t>
      </w:r>
      <w:r>
        <w:rPr>
          <w:rFonts w:hint="eastAsia" w:ascii="宋体" w:hAnsi="宋体" w:eastAsia="宋体" w:cs="宋体"/>
          <w:sz w:val="24"/>
          <w:szCs w:val="24"/>
        </w:rPr>
        <w:t>的潜在供应商应在</w:t>
      </w:r>
      <w:r>
        <w:rPr>
          <w:rFonts w:hint="eastAsia" w:ascii="宋体" w:hAnsi="宋体" w:eastAsia="宋体" w:cs="宋体"/>
          <w:sz w:val="24"/>
          <w:szCs w:val="24"/>
          <w:lang w:eastAsia="zh-CN"/>
        </w:rPr>
        <w:t>安天智采招标采购电子交易系统（www.xinecai.com）</w:t>
      </w:r>
      <w:r>
        <w:rPr>
          <w:rFonts w:hint="eastAsia" w:ascii="宋体" w:hAnsi="宋体" w:eastAsia="宋体" w:cs="宋体"/>
          <w:sz w:val="24"/>
          <w:szCs w:val="24"/>
        </w:rPr>
        <w:t>获取采购文件，并于</w:t>
      </w:r>
      <w:r>
        <w:rPr>
          <w:rFonts w:hint="eastAsia" w:ascii="宋体" w:hAnsi="宋体" w:eastAsia="宋体" w:cs="宋体"/>
          <w:sz w:val="24"/>
          <w:szCs w:val="24"/>
          <w:lang w:val="en-US" w:eastAsia="zh-CN"/>
        </w:rPr>
        <w:t>2025</w:t>
      </w:r>
      <w:r>
        <w:rPr>
          <w:rFonts w:hint="eastAsia" w:ascii="宋体" w:hAnsi="宋体" w:eastAsia="宋体" w:cs="宋体"/>
          <w:bCs/>
          <w:sz w:val="24"/>
          <w:szCs w:val="24"/>
          <w:u w:val="single"/>
        </w:rPr>
        <w:t>年</w:t>
      </w:r>
      <w:r>
        <w:rPr>
          <w:rFonts w:hint="eastAsia" w:ascii="宋体" w:hAnsi="宋体" w:eastAsia="宋体" w:cs="宋体"/>
          <w:bCs/>
          <w:sz w:val="24"/>
          <w:szCs w:val="24"/>
          <w:u w:val="single"/>
          <w:lang w:val="en-US" w:eastAsia="zh-CN"/>
        </w:rPr>
        <w:t>6</w:t>
      </w:r>
      <w:r>
        <w:rPr>
          <w:rFonts w:hint="eastAsia" w:ascii="宋体" w:hAnsi="宋体" w:eastAsia="宋体" w:cs="宋体"/>
          <w:bCs/>
          <w:sz w:val="24"/>
          <w:szCs w:val="24"/>
          <w:u w:val="single"/>
        </w:rPr>
        <w:t>月</w:t>
      </w:r>
      <w:r>
        <w:rPr>
          <w:rFonts w:hint="eastAsia" w:ascii="宋体" w:hAnsi="宋体" w:eastAsia="宋体" w:cs="宋体"/>
          <w:bCs/>
          <w:sz w:val="24"/>
          <w:szCs w:val="24"/>
          <w:u w:val="single"/>
          <w:lang w:val="en-US" w:eastAsia="zh-CN"/>
        </w:rPr>
        <w:t>20</w:t>
      </w:r>
      <w:r>
        <w:rPr>
          <w:rFonts w:hint="eastAsia" w:ascii="宋体" w:hAnsi="宋体" w:eastAsia="宋体" w:cs="宋体"/>
          <w:bCs/>
          <w:sz w:val="24"/>
          <w:szCs w:val="24"/>
          <w:u w:val="single"/>
        </w:rPr>
        <w:t>日</w:t>
      </w:r>
      <w:r>
        <w:rPr>
          <w:rFonts w:hint="eastAsia" w:ascii="宋体" w:hAnsi="宋体" w:eastAsia="宋体" w:cs="宋体"/>
          <w:bCs/>
          <w:sz w:val="24"/>
          <w:szCs w:val="24"/>
          <w:u w:val="single"/>
          <w:lang w:val="en-US" w:eastAsia="zh-CN"/>
        </w:rPr>
        <w:t>14</w:t>
      </w:r>
      <w:r>
        <w:rPr>
          <w:rFonts w:hint="eastAsia" w:ascii="宋体" w:hAnsi="宋体" w:eastAsia="宋体" w:cs="宋体"/>
          <w:bCs/>
          <w:sz w:val="24"/>
          <w:szCs w:val="24"/>
          <w:u w:val="single"/>
        </w:rPr>
        <w:t>点</w:t>
      </w:r>
      <w:r>
        <w:rPr>
          <w:rFonts w:hint="eastAsia" w:ascii="宋体" w:hAnsi="宋体" w:eastAsia="宋体" w:cs="宋体"/>
          <w:bCs/>
          <w:sz w:val="24"/>
          <w:szCs w:val="24"/>
          <w:u w:val="single"/>
          <w:lang w:val="en-US" w:eastAsia="zh-CN"/>
        </w:rPr>
        <w:t>00</w:t>
      </w:r>
      <w:r>
        <w:rPr>
          <w:rFonts w:hint="eastAsia" w:ascii="宋体" w:hAnsi="宋体" w:eastAsia="宋体" w:cs="宋体"/>
          <w:bCs/>
          <w:sz w:val="24"/>
          <w:szCs w:val="24"/>
          <w:u w:val="single"/>
        </w:rPr>
        <w:t>分</w:t>
      </w:r>
      <w:r>
        <w:rPr>
          <w:rFonts w:hint="eastAsia" w:ascii="宋体" w:hAnsi="宋体" w:eastAsia="宋体" w:cs="宋体"/>
          <w:bCs/>
          <w:sz w:val="24"/>
          <w:szCs w:val="24"/>
        </w:rPr>
        <w:t>（北京时间）前提交响应文件</w:t>
      </w:r>
      <w:r>
        <w:rPr>
          <w:rFonts w:hint="eastAsia" w:ascii="宋体" w:hAnsi="宋体" w:eastAsia="宋体" w:cs="宋体"/>
          <w:sz w:val="24"/>
          <w:szCs w:val="24"/>
        </w:rPr>
        <w:t>。</w:t>
      </w:r>
    </w:p>
    <w:p w14:paraId="07D43D01">
      <w:pPr>
        <w:pStyle w:val="3"/>
        <w:spacing w:before="0" w:after="0" w:line="360" w:lineRule="auto"/>
        <w:ind w:firstLine="482" w:firstLineChars="200"/>
        <w:rPr>
          <w:rFonts w:ascii="宋体" w:hAnsi="宋体" w:eastAsia="宋体" w:cs="宋体"/>
          <w:bCs w:val="0"/>
          <w:sz w:val="24"/>
          <w:szCs w:val="24"/>
          <w:highlight w:val="none"/>
        </w:rPr>
      </w:pPr>
      <w:bookmarkStart w:id="3" w:name="_Toc35393629"/>
      <w:bookmarkStart w:id="4" w:name="_Toc28359012"/>
      <w:bookmarkStart w:id="5" w:name="_Toc35393798"/>
      <w:bookmarkStart w:id="6" w:name="_Toc14730"/>
      <w:bookmarkStart w:id="7" w:name="_Toc12325"/>
      <w:bookmarkStart w:id="8" w:name="_Toc28359089"/>
      <w:r>
        <w:rPr>
          <w:rFonts w:hint="eastAsia" w:ascii="宋体" w:hAnsi="宋体" w:eastAsia="宋体" w:cs="宋体"/>
          <w:bCs w:val="0"/>
          <w:sz w:val="24"/>
          <w:szCs w:val="24"/>
          <w:highlight w:val="none"/>
        </w:rPr>
        <w:t>一、项目基本情况</w:t>
      </w:r>
      <w:bookmarkEnd w:id="3"/>
      <w:bookmarkEnd w:id="4"/>
      <w:bookmarkEnd w:id="5"/>
      <w:bookmarkEnd w:id="6"/>
      <w:bookmarkEnd w:id="7"/>
      <w:bookmarkEnd w:id="8"/>
    </w:p>
    <w:p w14:paraId="18C5471E">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1.项目编号：25AT186017103635/FS34000120253616号</w:t>
      </w:r>
    </w:p>
    <w:p w14:paraId="565A2CFE">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2.项目名称：</w:t>
      </w:r>
      <w:r>
        <w:rPr>
          <w:rFonts w:hint="eastAsia" w:ascii="宋体" w:hAnsi="宋体" w:eastAsia="宋体"/>
          <w:sz w:val="24"/>
          <w:szCs w:val="18"/>
          <w:highlight w:val="none"/>
        </w:rPr>
        <w:t>安徽医科大学信息系统等级保护测评服务采购项目</w:t>
      </w:r>
    </w:p>
    <w:p w14:paraId="04A97273">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3.预算金额：</w:t>
      </w:r>
      <w:r>
        <w:rPr>
          <w:rFonts w:hint="eastAsia" w:ascii="宋体" w:hAnsi="宋体" w:eastAsia="宋体"/>
          <w:sz w:val="24"/>
          <w:szCs w:val="18"/>
          <w:highlight w:val="none"/>
        </w:rPr>
        <w:t>69万元</w:t>
      </w:r>
    </w:p>
    <w:p w14:paraId="275EA2BF">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4.最高限价：</w:t>
      </w:r>
      <w:r>
        <w:rPr>
          <w:rFonts w:hint="eastAsia" w:ascii="宋体" w:hAnsi="宋体" w:eastAsia="宋体"/>
          <w:sz w:val="24"/>
          <w:szCs w:val="18"/>
          <w:highlight w:val="none"/>
        </w:rPr>
        <w:t>69万元</w:t>
      </w:r>
    </w:p>
    <w:p w14:paraId="2C84FF98">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5.采购需求：</w:t>
      </w:r>
      <w:r>
        <w:rPr>
          <w:rFonts w:hint="eastAsia" w:ascii="宋体" w:hAnsi="宋体" w:eastAsia="宋体"/>
          <w:sz w:val="24"/>
          <w:szCs w:val="18"/>
          <w:highlight w:val="none"/>
        </w:rPr>
        <w:t>安徽医科大学信息系统等级保护测评服务采购项目，详见附件采购需求</w:t>
      </w:r>
    </w:p>
    <w:p w14:paraId="1AF9AF49">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6.合同履行期限：自合同签订之日起一年</w:t>
      </w:r>
    </w:p>
    <w:p w14:paraId="7C3D2E91">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7.</w:t>
      </w:r>
      <w:r>
        <w:rPr>
          <w:rFonts w:hint="eastAsia" w:asciiTheme="minorEastAsia" w:hAnsiTheme="minorEastAsia" w:eastAsiaTheme="minorEastAsia"/>
          <w:sz w:val="24"/>
          <w:highlight w:val="none"/>
        </w:rPr>
        <w:t>本项目不接受联合体磋商。</w:t>
      </w:r>
    </w:p>
    <w:p w14:paraId="0D67E2E9">
      <w:pPr>
        <w:pStyle w:val="3"/>
        <w:spacing w:before="0" w:after="0" w:line="360" w:lineRule="auto"/>
        <w:ind w:firstLine="482" w:firstLineChars="200"/>
        <w:rPr>
          <w:rFonts w:ascii="宋体" w:hAnsi="宋体" w:eastAsia="宋体" w:cs="宋体"/>
          <w:bCs w:val="0"/>
          <w:sz w:val="24"/>
          <w:szCs w:val="24"/>
          <w:highlight w:val="none"/>
        </w:rPr>
      </w:pPr>
      <w:bookmarkStart w:id="9" w:name="_Toc35393799"/>
      <w:bookmarkStart w:id="10" w:name="_Toc35393630"/>
      <w:bookmarkStart w:id="11" w:name="_Toc25335"/>
      <w:bookmarkStart w:id="12" w:name="_Toc32615"/>
      <w:bookmarkStart w:id="13" w:name="_Toc28359013"/>
      <w:bookmarkStart w:id="14" w:name="_Toc28359090"/>
      <w:r>
        <w:rPr>
          <w:rFonts w:hint="eastAsia" w:ascii="宋体" w:hAnsi="宋体" w:eastAsia="宋体" w:cs="宋体"/>
          <w:bCs w:val="0"/>
          <w:sz w:val="24"/>
          <w:szCs w:val="24"/>
          <w:highlight w:val="none"/>
        </w:rPr>
        <w:t>二、申请人的资格要求：</w:t>
      </w:r>
      <w:bookmarkEnd w:id="9"/>
      <w:bookmarkEnd w:id="10"/>
      <w:bookmarkEnd w:id="11"/>
      <w:bookmarkEnd w:id="12"/>
      <w:bookmarkEnd w:id="13"/>
      <w:bookmarkEnd w:id="14"/>
    </w:p>
    <w:p w14:paraId="64971F12">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1.满足《中华人民共和国政府采购法》第二十二条规定；</w:t>
      </w:r>
    </w:p>
    <w:p w14:paraId="053AEE4A">
      <w:pPr>
        <w:spacing w:line="360" w:lineRule="auto"/>
        <w:ind w:firstLine="435"/>
        <w:rPr>
          <w:rFonts w:ascii="宋体" w:hAnsi="宋体" w:eastAsia="宋体" w:cs="宋体"/>
          <w:sz w:val="24"/>
          <w:szCs w:val="24"/>
          <w:highlight w:val="none"/>
        </w:rPr>
      </w:pPr>
      <w:bookmarkStart w:id="15" w:name="_Toc28359014"/>
      <w:bookmarkStart w:id="16" w:name="_Toc28359091"/>
      <w:r>
        <w:rPr>
          <w:rFonts w:hint="eastAsia" w:ascii="宋体" w:hAnsi="宋体" w:eastAsia="宋体" w:cs="宋体"/>
          <w:sz w:val="24"/>
          <w:szCs w:val="24"/>
          <w:highlight w:val="none"/>
        </w:rPr>
        <w:t>2.落实政府采购政策需满足的资格要求：</w:t>
      </w:r>
    </w:p>
    <w:p w14:paraId="53F0983D">
      <w:pPr>
        <w:spacing w:line="360" w:lineRule="auto"/>
        <w:ind w:firstLine="435"/>
        <w:rPr>
          <w:rFonts w:ascii="宋体" w:hAnsi="宋体" w:eastAsia="宋体" w:cs="宋体"/>
          <w:sz w:val="24"/>
          <w:szCs w:val="24"/>
          <w:highlight w:val="none"/>
        </w:rPr>
      </w:pPr>
      <w:r>
        <w:rPr>
          <w:rFonts w:hint="eastAsia" w:ascii="宋体" w:hAnsi="宋体" w:eastAsia="宋体" w:cs="宋体"/>
          <w:sz w:val="24"/>
          <w:szCs w:val="24"/>
          <w:highlight w:val="none"/>
        </w:rPr>
        <w:t>2.1中小企业政策</w:t>
      </w:r>
    </w:p>
    <w:p w14:paraId="0A0CC1B1">
      <w:pPr>
        <w:spacing w:line="360" w:lineRule="auto"/>
        <w:ind w:firstLine="435"/>
        <w:rPr>
          <w:rFonts w:ascii="宋体" w:hAnsi="宋体" w:eastAsia="宋体" w:cs="宋体"/>
          <w:sz w:val="24"/>
          <w:szCs w:val="24"/>
          <w:highlight w:val="none"/>
        </w:rPr>
      </w:pPr>
      <w:r>
        <w:rPr>
          <w:rFonts w:hint="eastAsia" w:ascii="宋体" w:hAnsi="宋体" w:eastAsia="宋体" w:cs="宋体"/>
          <w:sz w:val="24"/>
          <w:szCs w:val="24"/>
          <w:highlight w:val="none"/>
        </w:rPr>
        <w:t>2.1.1☑本项目不专门面向中小企业预留采购份额。</w:t>
      </w:r>
    </w:p>
    <w:p w14:paraId="23AA5695">
      <w:pPr>
        <w:spacing w:line="360" w:lineRule="auto"/>
        <w:ind w:firstLine="435"/>
        <w:rPr>
          <w:rFonts w:ascii="宋体" w:hAnsi="宋体" w:eastAsia="宋体" w:cs="宋体"/>
          <w:sz w:val="24"/>
          <w:szCs w:val="24"/>
          <w:highlight w:val="none"/>
        </w:rPr>
      </w:pPr>
      <w:r>
        <w:rPr>
          <w:rFonts w:hint="eastAsia" w:ascii="宋体" w:hAnsi="宋体" w:eastAsia="宋体" w:cs="宋体"/>
          <w:sz w:val="24"/>
          <w:szCs w:val="24"/>
          <w:highlight w:val="none"/>
        </w:rPr>
        <w:t>2.1.2□本项目专门面向中小企业采购，服务应由中型企业或小型企业或微型企业或残疾人福利性单位或监狱企业提供；</w:t>
      </w:r>
    </w:p>
    <w:p w14:paraId="6C4DC917">
      <w:pPr>
        <w:spacing w:line="360" w:lineRule="auto"/>
        <w:ind w:firstLine="435"/>
        <w:rPr>
          <w:rFonts w:ascii="宋体" w:hAnsi="宋体" w:eastAsia="宋体" w:cs="宋体"/>
          <w:sz w:val="24"/>
          <w:szCs w:val="24"/>
          <w:highlight w:val="none"/>
        </w:rPr>
      </w:pPr>
      <w:r>
        <w:rPr>
          <w:rFonts w:ascii="宋体" w:hAnsi="宋体" w:eastAsia="宋体" w:cs="宋体"/>
          <w:sz w:val="24"/>
          <w:szCs w:val="24"/>
          <w:highlight w:val="none"/>
        </w:rPr>
        <w:t>2.2</w:t>
      </w:r>
      <w:r>
        <w:rPr>
          <w:rFonts w:hint="eastAsia" w:ascii="宋体" w:hAnsi="宋体" w:eastAsia="宋体" w:cs="宋体"/>
          <w:sz w:val="24"/>
          <w:szCs w:val="24"/>
          <w:highlight w:val="none"/>
        </w:rPr>
        <w:t>其它落实政府采购政策的资格要求：无；</w:t>
      </w:r>
    </w:p>
    <w:p w14:paraId="4365EF0C">
      <w:pPr>
        <w:spacing w:line="360" w:lineRule="auto"/>
        <w:ind w:firstLine="435"/>
        <w:rPr>
          <w:rFonts w:ascii="宋体" w:hAnsi="宋体" w:eastAsia="宋体" w:cs="宋体"/>
          <w:sz w:val="24"/>
          <w:szCs w:val="24"/>
          <w:highlight w:val="none"/>
        </w:rPr>
      </w:pPr>
      <w:r>
        <w:rPr>
          <w:rFonts w:hint="eastAsia" w:ascii="宋体" w:hAnsi="宋体" w:eastAsia="宋体" w:cs="宋体"/>
          <w:sz w:val="24"/>
          <w:szCs w:val="24"/>
          <w:highlight w:val="none"/>
        </w:rPr>
        <w:t>3.本项目的特定资格要求：无；</w:t>
      </w:r>
    </w:p>
    <w:p w14:paraId="53A9C009">
      <w:pPr>
        <w:pStyle w:val="3"/>
        <w:spacing w:before="0" w:after="0" w:line="360" w:lineRule="auto"/>
        <w:ind w:firstLine="482" w:firstLineChars="200"/>
        <w:rPr>
          <w:rFonts w:ascii="宋体" w:hAnsi="宋体" w:eastAsia="宋体" w:cs="宋体"/>
          <w:bCs w:val="0"/>
          <w:sz w:val="24"/>
          <w:szCs w:val="24"/>
          <w:highlight w:val="none"/>
        </w:rPr>
      </w:pPr>
      <w:bookmarkStart w:id="17" w:name="_Toc24072"/>
      <w:bookmarkStart w:id="18" w:name="_Toc35393800"/>
      <w:bookmarkStart w:id="19" w:name="_Toc35393631"/>
      <w:bookmarkStart w:id="20" w:name="_Toc26603"/>
      <w:r>
        <w:rPr>
          <w:rFonts w:hint="eastAsia" w:ascii="宋体" w:hAnsi="宋体" w:eastAsia="宋体" w:cs="宋体"/>
          <w:bCs w:val="0"/>
          <w:sz w:val="24"/>
          <w:szCs w:val="24"/>
          <w:highlight w:val="none"/>
        </w:rPr>
        <w:t>三、获取采购文件</w:t>
      </w:r>
      <w:bookmarkEnd w:id="15"/>
      <w:bookmarkEnd w:id="16"/>
      <w:bookmarkEnd w:id="17"/>
      <w:bookmarkEnd w:id="18"/>
      <w:bookmarkEnd w:id="19"/>
      <w:bookmarkEnd w:id="20"/>
    </w:p>
    <w:p w14:paraId="40D1A575">
      <w:pPr>
        <w:spacing w:line="360" w:lineRule="auto"/>
        <w:ind w:firstLine="540"/>
        <w:rPr>
          <w:rFonts w:asciiTheme="minorEastAsia" w:hAnsiTheme="minorEastAsia" w:eastAsiaTheme="minorEastAsia" w:cstheme="minorEastAsia"/>
          <w:sz w:val="24"/>
          <w:szCs w:val="24"/>
          <w:highlight w:val="none"/>
        </w:rPr>
      </w:pPr>
      <w:bookmarkStart w:id="21" w:name="_Toc28359015"/>
      <w:bookmarkStart w:id="22" w:name="_Toc35393801"/>
      <w:bookmarkStart w:id="23" w:name="_Toc28359092"/>
      <w:bookmarkStart w:id="24" w:name="_Toc35393632"/>
      <w:r>
        <w:rPr>
          <w:rFonts w:hint="eastAsia" w:asciiTheme="minorEastAsia" w:hAnsiTheme="minorEastAsia" w:eastAsiaTheme="minorEastAsia" w:cstheme="minorEastAsia"/>
          <w:sz w:val="24"/>
          <w:szCs w:val="24"/>
          <w:highlight w:val="none"/>
        </w:rPr>
        <w:t>时间：2025年</w:t>
      </w:r>
      <w:r>
        <w:rPr>
          <w:rFonts w:hint="eastAsia" w:asciiTheme="minorEastAsia" w:hAnsiTheme="minorEastAsia" w:eastAsiaTheme="minorEastAsia" w:cstheme="minorEastAsia"/>
          <w:sz w:val="24"/>
          <w:szCs w:val="24"/>
          <w:highlight w:val="none"/>
          <w:lang w:val="en-US" w:eastAsia="zh-CN"/>
        </w:rPr>
        <w:t>6</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lang w:val="en-US" w:eastAsia="zh-CN"/>
        </w:rPr>
        <w:t>11</w:t>
      </w:r>
      <w:r>
        <w:rPr>
          <w:rFonts w:hint="eastAsia" w:asciiTheme="minorEastAsia" w:hAnsiTheme="minorEastAsia" w:eastAsiaTheme="minorEastAsia" w:cstheme="minorEastAsia"/>
          <w:sz w:val="24"/>
          <w:szCs w:val="24"/>
          <w:highlight w:val="none"/>
        </w:rPr>
        <w:t>日至2025年</w:t>
      </w:r>
      <w:r>
        <w:rPr>
          <w:rFonts w:hint="eastAsia" w:asciiTheme="minorEastAsia" w:hAnsiTheme="minorEastAsia" w:eastAsiaTheme="minorEastAsia" w:cstheme="minorEastAsia"/>
          <w:sz w:val="24"/>
          <w:szCs w:val="24"/>
          <w:highlight w:val="none"/>
          <w:lang w:val="en-US" w:eastAsia="zh-CN"/>
        </w:rPr>
        <w:t>6</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lang w:val="en-US" w:eastAsia="zh-CN"/>
        </w:rPr>
        <w:t>17</w:t>
      </w:r>
      <w:bookmarkStart w:id="331" w:name="_GoBack"/>
      <w:bookmarkEnd w:id="331"/>
      <w:r>
        <w:rPr>
          <w:rFonts w:hint="eastAsia" w:asciiTheme="minorEastAsia" w:hAnsiTheme="minorEastAsia" w:eastAsiaTheme="minorEastAsia" w:cstheme="minorEastAsia"/>
          <w:sz w:val="24"/>
          <w:szCs w:val="24"/>
          <w:highlight w:val="none"/>
        </w:rPr>
        <w:t>日，每天上午09:00至12:00，下午12:00至17:00（北京时间，法定节假日除外）</w:t>
      </w:r>
    </w:p>
    <w:p w14:paraId="3E86B639">
      <w:pPr>
        <w:spacing w:line="360" w:lineRule="auto"/>
        <w:ind w:firstLine="54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地点：安天智采招标采购电子交易系统（www.xinecai.com）</w:t>
      </w:r>
    </w:p>
    <w:p w14:paraId="1E8F189D">
      <w:pPr>
        <w:spacing w:line="360" w:lineRule="auto"/>
        <w:ind w:firstLine="54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方式：网上获取。具体操作参见安天智采操作手册，安天智采服务热线：400-050-9988</w:t>
      </w:r>
    </w:p>
    <w:p w14:paraId="41380F1B">
      <w:pPr>
        <w:spacing w:line="360" w:lineRule="auto"/>
        <w:ind w:firstLine="54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售价：免费</w:t>
      </w:r>
    </w:p>
    <w:p w14:paraId="017271B9">
      <w:pPr>
        <w:pStyle w:val="3"/>
        <w:spacing w:before="0" w:after="0" w:line="360" w:lineRule="auto"/>
        <w:ind w:firstLine="482" w:firstLineChars="200"/>
        <w:rPr>
          <w:rFonts w:ascii="宋体" w:hAnsi="宋体" w:eastAsia="宋体" w:cs="宋体"/>
          <w:bCs w:val="0"/>
          <w:sz w:val="24"/>
          <w:szCs w:val="24"/>
          <w:highlight w:val="none"/>
        </w:rPr>
      </w:pPr>
      <w:bookmarkStart w:id="25" w:name="_Toc15110"/>
      <w:bookmarkStart w:id="26" w:name="_Toc5805"/>
      <w:r>
        <w:rPr>
          <w:rFonts w:hint="eastAsia" w:ascii="宋体" w:hAnsi="宋体" w:eastAsia="宋体" w:cs="宋体"/>
          <w:bCs w:val="0"/>
          <w:sz w:val="24"/>
          <w:szCs w:val="24"/>
          <w:highlight w:val="none"/>
        </w:rPr>
        <w:t>四、响应文件提交</w:t>
      </w:r>
      <w:bookmarkEnd w:id="21"/>
      <w:bookmarkEnd w:id="22"/>
      <w:bookmarkEnd w:id="23"/>
      <w:bookmarkEnd w:id="24"/>
      <w:bookmarkEnd w:id="25"/>
      <w:bookmarkEnd w:id="26"/>
    </w:p>
    <w:p w14:paraId="0964E855">
      <w:pPr>
        <w:spacing w:line="360" w:lineRule="auto"/>
        <w:ind w:firstLine="480" w:firstLineChars="200"/>
        <w:rPr>
          <w:rFonts w:ascii="宋体" w:hAnsi="宋体" w:eastAsia="宋体" w:cs="宋体"/>
          <w:bCs/>
          <w:sz w:val="24"/>
          <w:szCs w:val="24"/>
          <w:highlight w:val="none"/>
          <w:u w:val="single"/>
        </w:rPr>
      </w:pPr>
      <w:r>
        <w:rPr>
          <w:rFonts w:hint="eastAsia" w:asciiTheme="minorEastAsia" w:hAnsiTheme="minorEastAsia" w:eastAsiaTheme="minorEastAsia" w:cstheme="minorEastAsia"/>
          <w:bCs/>
          <w:sz w:val="24"/>
          <w:szCs w:val="24"/>
          <w:highlight w:val="none"/>
        </w:rPr>
        <w:t>2025年</w:t>
      </w:r>
      <w:r>
        <w:rPr>
          <w:rFonts w:hint="eastAsia" w:asciiTheme="minorEastAsia" w:hAnsiTheme="minorEastAsia" w:eastAsiaTheme="minorEastAsia" w:cstheme="minorEastAsia"/>
          <w:bCs/>
          <w:sz w:val="24"/>
          <w:szCs w:val="24"/>
          <w:highlight w:val="none"/>
          <w:lang w:val="en-US" w:eastAsia="zh-CN"/>
        </w:rPr>
        <w:t>6</w:t>
      </w:r>
      <w:r>
        <w:rPr>
          <w:rFonts w:hint="eastAsia" w:asciiTheme="minorEastAsia" w:hAnsiTheme="minorEastAsia" w:eastAsiaTheme="minorEastAsia" w:cstheme="minorEastAsia"/>
          <w:bCs/>
          <w:sz w:val="24"/>
          <w:szCs w:val="24"/>
          <w:highlight w:val="none"/>
        </w:rPr>
        <w:t>月</w:t>
      </w:r>
      <w:r>
        <w:rPr>
          <w:rFonts w:hint="eastAsia" w:asciiTheme="minorEastAsia" w:hAnsiTheme="minorEastAsia" w:eastAsiaTheme="minorEastAsia" w:cstheme="minorEastAsia"/>
          <w:bCs/>
          <w:sz w:val="24"/>
          <w:szCs w:val="24"/>
          <w:highlight w:val="none"/>
          <w:lang w:val="en-US" w:eastAsia="zh-CN"/>
        </w:rPr>
        <w:t>20</w:t>
      </w:r>
      <w:r>
        <w:rPr>
          <w:rFonts w:hint="eastAsia" w:asciiTheme="minorEastAsia" w:hAnsiTheme="minorEastAsia" w:eastAsiaTheme="minorEastAsia" w:cstheme="minorEastAsia"/>
          <w:bCs/>
          <w:sz w:val="24"/>
          <w:szCs w:val="24"/>
          <w:highlight w:val="none"/>
        </w:rPr>
        <w:t>日</w:t>
      </w:r>
      <w:r>
        <w:rPr>
          <w:rFonts w:hint="eastAsia" w:asciiTheme="minorEastAsia" w:hAnsiTheme="minorEastAsia" w:eastAsiaTheme="minorEastAsia" w:cstheme="minorEastAsia"/>
          <w:bCs/>
          <w:sz w:val="24"/>
          <w:szCs w:val="24"/>
          <w:highlight w:val="none"/>
          <w:lang w:val="en-US" w:eastAsia="zh-CN"/>
        </w:rPr>
        <w:t>14</w:t>
      </w:r>
      <w:r>
        <w:rPr>
          <w:rFonts w:hint="eastAsia" w:asciiTheme="minorEastAsia" w:hAnsiTheme="minorEastAsia" w:eastAsiaTheme="minorEastAsia" w:cstheme="minorEastAsia"/>
          <w:bCs/>
          <w:sz w:val="24"/>
          <w:szCs w:val="24"/>
          <w:highlight w:val="none"/>
        </w:rPr>
        <w:t>点</w:t>
      </w:r>
      <w:r>
        <w:rPr>
          <w:rFonts w:hint="eastAsia" w:asciiTheme="minorEastAsia" w:hAnsiTheme="minorEastAsia" w:eastAsiaTheme="minorEastAsia" w:cstheme="minorEastAsia"/>
          <w:bCs/>
          <w:sz w:val="24"/>
          <w:szCs w:val="24"/>
          <w:highlight w:val="none"/>
          <w:lang w:val="en-US" w:eastAsia="zh-CN"/>
        </w:rPr>
        <w:t>00</w:t>
      </w:r>
      <w:r>
        <w:rPr>
          <w:rFonts w:hint="eastAsia" w:asciiTheme="minorEastAsia" w:hAnsiTheme="minorEastAsia" w:eastAsiaTheme="minorEastAsia" w:cstheme="minorEastAsia"/>
          <w:bCs/>
          <w:sz w:val="24"/>
          <w:szCs w:val="24"/>
          <w:highlight w:val="none"/>
        </w:rPr>
        <w:t>分（北京时间）</w:t>
      </w:r>
    </w:p>
    <w:p w14:paraId="57595BD4">
      <w:pPr>
        <w:spacing w:line="360" w:lineRule="auto"/>
        <w:ind w:firstLine="480" w:firstLineChars="200"/>
        <w:rPr>
          <w:rFonts w:ascii="宋体" w:hAnsi="宋体" w:eastAsia="宋体" w:cs="宋体"/>
          <w:bCs/>
          <w:sz w:val="24"/>
          <w:szCs w:val="24"/>
          <w:highlight w:val="none"/>
          <w:u w:val="single"/>
        </w:rPr>
      </w:pPr>
      <w:r>
        <w:rPr>
          <w:rFonts w:hint="eastAsia" w:ascii="宋体" w:hAnsi="宋体" w:eastAsia="宋体" w:cs="宋体"/>
          <w:sz w:val="24"/>
          <w:szCs w:val="24"/>
          <w:highlight w:val="none"/>
        </w:rPr>
        <w:t>地点：</w:t>
      </w:r>
      <w:r>
        <w:rPr>
          <w:rFonts w:hint="eastAsia" w:ascii="宋体" w:hAnsi="宋体" w:eastAsia="宋体"/>
          <w:sz w:val="24"/>
          <w:szCs w:val="18"/>
          <w:highlight w:val="none"/>
          <w:u w:val="single"/>
        </w:rPr>
        <w:t>安天智采招标采购电子交易系统（www.xinecai.com）</w:t>
      </w:r>
    </w:p>
    <w:p w14:paraId="2352A419">
      <w:pPr>
        <w:pStyle w:val="3"/>
        <w:spacing w:before="0" w:after="0" w:line="360" w:lineRule="auto"/>
        <w:ind w:firstLine="482" w:firstLineChars="200"/>
        <w:rPr>
          <w:rFonts w:ascii="宋体" w:hAnsi="宋体" w:eastAsia="宋体" w:cs="宋体"/>
          <w:bCs w:val="0"/>
          <w:sz w:val="24"/>
          <w:szCs w:val="24"/>
          <w:highlight w:val="none"/>
        </w:rPr>
      </w:pPr>
      <w:bookmarkStart w:id="27" w:name="_Toc32658"/>
      <w:bookmarkStart w:id="28" w:name="_Toc28359093"/>
      <w:bookmarkStart w:id="29" w:name="_Toc28359016"/>
      <w:bookmarkStart w:id="30" w:name="_Toc11587"/>
      <w:bookmarkStart w:id="31" w:name="_Toc35393802"/>
      <w:bookmarkStart w:id="32" w:name="_Toc35393633"/>
      <w:r>
        <w:rPr>
          <w:rFonts w:hint="eastAsia" w:ascii="宋体" w:hAnsi="宋体" w:eastAsia="宋体" w:cs="宋体"/>
          <w:bCs w:val="0"/>
          <w:sz w:val="24"/>
          <w:szCs w:val="24"/>
          <w:highlight w:val="none"/>
        </w:rPr>
        <w:t>五、开启</w:t>
      </w:r>
      <w:bookmarkEnd w:id="27"/>
      <w:bookmarkEnd w:id="28"/>
      <w:bookmarkEnd w:id="29"/>
      <w:bookmarkEnd w:id="30"/>
      <w:bookmarkEnd w:id="31"/>
      <w:bookmarkEnd w:id="32"/>
    </w:p>
    <w:p w14:paraId="03A59453">
      <w:pPr>
        <w:spacing w:line="360" w:lineRule="auto"/>
        <w:ind w:firstLine="480" w:firstLineChars="200"/>
        <w:rPr>
          <w:rFonts w:ascii="宋体" w:hAnsi="宋体" w:eastAsia="宋体" w:cs="宋体"/>
          <w:bCs/>
          <w:sz w:val="24"/>
          <w:szCs w:val="24"/>
          <w:highlight w:val="none"/>
          <w:u w:val="single"/>
        </w:rPr>
      </w:pPr>
      <w:r>
        <w:rPr>
          <w:rFonts w:hint="eastAsia" w:ascii="宋体" w:hAnsi="宋体" w:eastAsia="宋体" w:cs="宋体"/>
          <w:sz w:val="24"/>
          <w:szCs w:val="24"/>
          <w:highlight w:val="none"/>
        </w:rPr>
        <w:t>时间：</w:t>
      </w:r>
      <w:r>
        <w:rPr>
          <w:rFonts w:hint="eastAsia" w:asciiTheme="minorEastAsia" w:hAnsiTheme="minorEastAsia" w:eastAsiaTheme="minorEastAsia" w:cstheme="minorEastAsia"/>
          <w:bCs/>
          <w:sz w:val="24"/>
          <w:szCs w:val="24"/>
          <w:highlight w:val="none"/>
          <w:u w:val="single"/>
        </w:rPr>
        <w:t>2025年</w:t>
      </w:r>
      <w:r>
        <w:rPr>
          <w:rFonts w:hint="eastAsia" w:asciiTheme="minorEastAsia" w:hAnsiTheme="minorEastAsia" w:eastAsiaTheme="minorEastAsia" w:cstheme="minorEastAsia"/>
          <w:bCs/>
          <w:sz w:val="24"/>
          <w:szCs w:val="24"/>
          <w:highlight w:val="none"/>
          <w:u w:val="single"/>
          <w:lang w:val="en-US" w:eastAsia="zh-CN"/>
        </w:rPr>
        <w:t>6</w:t>
      </w:r>
      <w:r>
        <w:rPr>
          <w:rFonts w:hint="eastAsia" w:asciiTheme="minorEastAsia" w:hAnsiTheme="minorEastAsia" w:eastAsiaTheme="minorEastAsia" w:cstheme="minorEastAsia"/>
          <w:bCs/>
          <w:sz w:val="24"/>
          <w:szCs w:val="24"/>
          <w:highlight w:val="none"/>
          <w:u w:val="single"/>
        </w:rPr>
        <w:t>月</w:t>
      </w:r>
      <w:r>
        <w:rPr>
          <w:rFonts w:hint="eastAsia" w:asciiTheme="minorEastAsia" w:hAnsiTheme="minorEastAsia" w:eastAsiaTheme="minorEastAsia" w:cstheme="minorEastAsia"/>
          <w:bCs/>
          <w:sz w:val="24"/>
          <w:szCs w:val="24"/>
          <w:highlight w:val="none"/>
          <w:u w:val="single"/>
          <w:lang w:val="en-US" w:eastAsia="zh-CN"/>
        </w:rPr>
        <w:t>20</w:t>
      </w:r>
      <w:r>
        <w:rPr>
          <w:rFonts w:hint="eastAsia" w:asciiTheme="minorEastAsia" w:hAnsiTheme="minorEastAsia" w:eastAsiaTheme="minorEastAsia" w:cstheme="minorEastAsia"/>
          <w:bCs/>
          <w:sz w:val="24"/>
          <w:szCs w:val="24"/>
          <w:highlight w:val="none"/>
          <w:u w:val="single"/>
        </w:rPr>
        <w:t>日</w:t>
      </w:r>
      <w:r>
        <w:rPr>
          <w:rFonts w:hint="eastAsia" w:asciiTheme="minorEastAsia" w:hAnsiTheme="minorEastAsia" w:eastAsiaTheme="minorEastAsia" w:cstheme="minorEastAsia"/>
          <w:bCs/>
          <w:sz w:val="24"/>
          <w:szCs w:val="24"/>
          <w:highlight w:val="none"/>
          <w:u w:val="single"/>
          <w:lang w:val="en-US" w:eastAsia="zh-CN"/>
        </w:rPr>
        <w:t>14</w:t>
      </w:r>
      <w:r>
        <w:rPr>
          <w:rFonts w:hint="eastAsia" w:asciiTheme="minorEastAsia" w:hAnsiTheme="minorEastAsia" w:eastAsiaTheme="minorEastAsia" w:cstheme="minorEastAsia"/>
          <w:bCs/>
          <w:sz w:val="24"/>
          <w:szCs w:val="24"/>
          <w:highlight w:val="none"/>
          <w:u w:val="single"/>
        </w:rPr>
        <w:t>点</w:t>
      </w:r>
      <w:r>
        <w:rPr>
          <w:rFonts w:hint="eastAsia" w:asciiTheme="minorEastAsia" w:hAnsiTheme="minorEastAsia" w:eastAsiaTheme="minorEastAsia" w:cstheme="minorEastAsia"/>
          <w:bCs/>
          <w:sz w:val="24"/>
          <w:szCs w:val="24"/>
          <w:highlight w:val="none"/>
          <w:u w:val="single"/>
          <w:lang w:val="en-US" w:eastAsia="zh-CN"/>
        </w:rPr>
        <w:t>00</w:t>
      </w:r>
      <w:r>
        <w:rPr>
          <w:rFonts w:hint="eastAsia" w:asciiTheme="minorEastAsia" w:hAnsiTheme="minorEastAsia" w:eastAsiaTheme="minorEastAsia" w:cstheme="minorEastAsia"/>
          <w:bCs/>
          <w:sz w:val="24"/>
          <w:szCs w:val="24"/>
          <w:highlight w:val="none"/>
          <w:u w:val="single"/>
        </w:rPr>
        <w:t>分</w:t>
      </w:r>
      <w:r>
        <w:rPr>
          <w:rFonts w:hint="eastAsia" w:asciiTheme="minorEastAsia" w:hAnsiTheme="minorEastAsia" w:eastAsiaTheme="minorEastAsia" w:cstheme="minorEastAsia"/>
          <w:bCs/>
          <w:sz w:val="24"/>
          <w:szCs w:val="24"/>
          <w:highlight w:val="none"/>
        </w:rPr>
        <w:t>（北京时间）</w:t>
      </w:r>
    </w:p>
    <w:p w14:paraId="5DE70198">
      <w:pPr>
        <w:spacing w:line="360" w:lineRule="auto"/>
        <w:ind w:firstLine="480" w:firstLineChars="200"/>
        <w:rPr>
          <w:rFonts w:ascii="宋体" w:hAnsi="宋体" w:eastAsia="宋体" w:cs="宋体"/>
          <w:bCs/>
          <w:sz w:val="24"/>
          <w:szCs w:val="24"/>
          <w:highlight w:val="none"/>
          <w:u w:val="single"/>
        </w:rPr>
      </w:pPr>
      <w:r>
        <w:rPr>
          <w:rFonts w:hint="eastAsia" w:ascii="宋体" w:hAnsi="宋体" w:eastAsia="宋体" w:cs="宋体"/>
          <w:sz w:val="24"/>
          <w:szCs w:val="24"/>
          <w:highlight w:val="none"/>
        </w:rPr>
        <w:t>地点：</w:t>
      </w:r>
      <w:r>
        <w:rPr>
          <w:rFonts w:hint="eastAsia" w:ascii="宋体" w:hAnsi="宋体" w:eastAsia="宋体"/>
          <w:sz w:val="24"/>
          <w:szCs w:val="18"/>
          <w:highlight w:val="none"/>
          <w:u w:val="single"/>
        </w:rPr>
        <w:t>安天智采招标采购电子交易系统（www.xinecai.com）</w:t>
      </w:r>
    </w:p>
    <w:p w14:paraId="06077C20">
      <w:pPr>
        <w:pStyle w:val="3"/>
        <w:spacing w:before="0" w:after="0" w:line="360" w:lineRule="auto"/>
        <w:ind w:firstLine="482" w:firstLineChars="200"/>
        <w:rPr>
          <w:rFonts w:ascii="宋体" w:hAnsi="宋体" w:eastAsia="宋体" w:cs="宋体"/>
          <w:bCs w:val="0"/>
          <w:sz w:val="24"/>
          <w:szCs w:val="24"/>
          <w:highlight w:val="none"/>
        </w:rPr>
      </w:pPr>
      <w:bookmarkStart w:id="33" w:name="_Toc28359094"/>
      <w:bookmarkStart w:id="34" w:name="_Toc35393634"/>
      <w:bookmarkStart w:id="35" w:name="_Toc6935"/>
      <w:bookmarkStart w:id="36" w:name="_Toc28359017"/>
      <w:bookmarkStart w:id="37" w:name="_Toc8078"/>
      <w:bookmarkStart w:id="38" w:name="_Toc35393803"/>
      <w:r>
        <w:rPr>
          <w:rFonts w:hint="eastAsia" w:ascii="宋体" w:hAnsi="宋体" w:eastAsia="宋体" w:cs="宋体"/>
          <w:bCs w:val="0"/>
          <w:sz w:val="24"/>
          <w:szCs w:val="24"/>
          <w:highlight w:val="none"/>
        </w:rPr>
        <w:t>六、公告期限</w:t>
      </w:r>
      <w:bookmarkEnd w:id="33"/>
      <w:bookmarkEnd w:id="34"/>
      <w:bookmarkEnd w:id="35"/>
      <w:bookmarkEnd w:id="36"/>
      <w:bookmarkEnd w:id="37"/>
      <w:bookmarkEnd w:id="38"/>
    </w:p>
    <w:p w14:paraId="468C88AE">
      <w:pPr>
        <w:spacing w:line="360" w:lineRule="auto"/>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自本公告发布之日起3个工作日。</w:t>
      </w:r>
    </w:p>
    <w:p w14:paraId="1D3CF5ED">
      <w:pPr>
        <w:pStyle w:val="3"/>
        <w:spacing w:before="0" w:after="0" w:line="360" w:lineRule="auto"/>
        <w:ind w:firstLine="482" w:firstLineChars="200"/>
        <w:rPr>
          <w:rFonts w:ascii="宋体" w:hAnsi="宋体" w:eastAsia="宋体" w:cs="宋体"/>
          <w:bCs w:val="0"/>
          <w:sz w:val="24"/>
          <w:szCs w:val="24"/>
          <w:highlight w:val="none"/>
        </w:rPr>
      </w:pPr>
      <w:bookmarkStart w:id="39" w:name="_Toc2709"/>
      <w:bookmarkStart w:id="40" w:name="_Toc23004"/>
      <w:bookmarkStart w:id="41" w:name="_Toc35393804"/>
      <w:bookmarkStart w:id="42" w:name="_Toc35393635"/>
      <w:r>
        <w:rPr>
          <w:rFonts w:hint="eastAsia" w:ascii="宋体" w:hAnsi="宋体" w:eastAsia="宋体" w:cs="宋体"/>
          <w:bCs w:val="0"/>
          <w:sz w:val="24"/>
          <w:szCs w:val="24"/>
          <w:highlight w:val="none"/>
        </w:rPr>
        <w:t>七、其他补充事宜</w:t>
      </w:r>
      <w:bookmarkEnd w:id="39"/>
      <w:bookmarkEnd w:id="40"/>
      <w:bookmarkEnd w:id="41"/>
      <w:bookmarkEnd w:id="42"/>
    </w:p>
    <w:p w14:paraId="1750318E">
      <w:pPr>
        <w:pStyle w:val="9"/>
        <w:spacing w:after="0" w:line="360" w:lineRule="auto"/>
        <w:ind w:firstLine="480" w:firstLineChars="200"/>
        <w:rPr>
          <w:rFonts w:ascii="宋体" w:hAnsi="宋体" w:eastAsia="宋体"/>
          <w:sz w:val="24"/>
          <w:szCs w:val="18"/>
          <w:highlight w:val="none"/>
          <w:lang w:val="en-US"/>
        </w:rPr>
      </w:pPr>
      <w:r>
        <w:rPr>
          <w:rFonts w:hint="eastAsia" w:ascii="宋体" w:hAnsi="宋体" w:eastAsia="宋体"/>
          <w:sz w:val="24"/>
          <w:szCs w:val="18"/>
          <w:highlight w:val="none"/>
          <w:lang w:val="en-US"/>
        </w:rPr>
        <w:t>1.本项目落实节能环保、中小微型企业扶持等相关政府采购政策详见采购文件。</w:t>
      </w:r>
    </w:p>
    <w:p w14:paraId="754BBE7D">
      <w:pPr>
        <w:pStyle w:val="9"/>
        <w:spacing w:after="0" w:line="360" w:lineRule="auto"/>
        <w:ind w:firstLine="480" w:firstLineChars="200"/>
        <w:rPr>
          <w:rFonts w:ascii="宋体" w:hAnsi="宋体" w:eastAsia="宋体"/>
          <w:sz w:val="24"/>
          <w:szCs w:val="18"/>
          <w:highlight w:val="none"/>
          <w:lang w:val="en-US"/>
        </w:rPr>
      </w:pPr>
      <w:r>
        <w:rPr>
          <w:rFonts w:hint="eastAsia" w:ascii="宋体" w:hAnsi="宋体" w:eastAsia="宋体"/>
          <w:sz w:val="24"/>
          <w:szCs w:val="18"/>
          <w:highlight w:val="none"/>
          <w:lang w:val="en-US"/>
        </w:rPr>
        <w:t>2.申请人应合理安排招标文件获取及投标文件上传时间，特别是网络速度慢的地区，防止在系统关闭前网络拥堵无法操作。如因计算机及网络故障造成无法完成采购文件获取及响应文件上传的，责任自负。</w:t>
      </w:r>
    </w:p>
    <w:p w14:paraId="015646F5">
      <w:pPr>
        <w:pStyle w:val="9"/>
        <w:spacing w:after="0" w:line="360" w:lineRule="auto"/>
        <w:ind w:firstLine="480" w:firstLineChars="200"/>
        <w:rPr>
          <w:rFonts w:ascii="宋体" w:hAnsi="宋体" w:eastAsia="宋体" w:cs="宋体"/>
          <w:sz w:val="24"/>
          <w:highlight w:val="none"/>
        </w:rPr>
      </w:pPr>
      <w:r>
        <w:rPr>
          <w:rFonts w:hint="eastAsia" w:ascii="宋体" w:hAnsi="宋体" w:eastAsia="宋体"/>
          <w:sz w:val="24"/>
          <w:szCs w:val="18"/>
          <w:highlight w:val="none"/>
          <w:lang w:val="en-US"/>
        </w:rPr>
        <w:t>3.根据《政府采购促进中小企业发展管理办法》（财库〔2020〕46号）第六条规定，本次采购项目符合不专门面向中小企业预留采购份额情形：第六条第（三）款之规定，规定预留采购份额无法确保充分供应、充分竞争，或者存在可能影响政府采购目标实现的情形。供应商如对此项内容有疑问，可按采购文件约定提出询问或质疑。</w:t>
      </w:r>
    </w:p>
    <w:p w14:paraId="0EFAF2B5">
      <w:pPr>
        <w:pStyle w:val="3"/>
        <w:spacing w:before="0" w:after="0" w:line="360" w:lineRule="auto"/>
        <w:ind w:firstLine="482" w:firstLineChars="200"/>
        <w:rPr>
          <w:rFonts w:ascii="宋体" w:hAnsi="宋体" w:eastAsia="宋体" w:cs="宋体"/>
          <w:bCs w:val="0"/>
          <w:sz w:val="24"/>
          <w:szCs w:val="24"/>
          <w:highlight w:val="none"/>
        </w:rPr>
      </w:pPr>
      <w:bookmarkStart w:id="43" w:name="_Toc28099"/>
      <w:bookmarkStart w:id="44" w:name="_Toc27896"/>
      <w:bookmarkStart w:id="45" w:name="_Toc28359095"/>
      <w:bookmarkStart w:id="46" w:name="_Toc35393636"/>
      <w:bookmarkStart w:id="47" w:name="_Toc35393805"/>
      <w:bookmarkStart w:id="48" w:name="_Toc28359018"/>
      <w:r>
        <w:rPr>
          <w:rFonts w:hint="eastAsia" w:ascii="宋体" w:hAnsi="宋体" w:eastAsia="宋体" w:cs="宋体"/>
          <w:bCs w:val="0"/>
          <w:sz w:val="24"/>
          <w:szCs w:val="24"/>
          <w:highlight w:val="none"/>
        </w:rPr>
        <w:t>八、凡对本次采购提出询问，请按以下方式联系。</w:t>
      </w:r>
      <w:bookmarkEnd w:id="43"/>
      <w:bookmarkEnd w:id="44"/>
      <w:bookmarkEnd w:id="45"/>
      <w:bookmarkEnd w:id="46"/>
      <w:bookmarkEnd w:id="47"/>
      <w:bookmarkEnd w:id="48"/>
    </w:p>
    <w:p w14:paraId="0DDFCE65">
      <w:pPr>
        <w:spacing w:line="360" w:lineRule="auto"/>
        <w:ind w:firstLine="437"/>
        <w:rPr>
          <w:rFonts w:ascii="宋体" w:hAnsi="宋体" w:eastAsia="宋体" w:cs="宋体"/>
          <w:sz w:val="24"/>
          <w:szCs w:val="24"/>
          <w:highlight w:val="none"/>
        </w:rPr>
      </w:pPr>
      <w:r>
        <w:rPr>
          <w:rFonts w:hint="eastAsia" w:ascii="宋体" w:hAnsi="宋体" w:eastAsia="宋体" w:cs="宋体"/>
          <w:sz w:val="24"/>
          <w:szCs w:val="24"/>
          <w:highlight w:val="none"/>
        </w:rPr>
        <w:t>1.采购人信息</w:t>
      </w:r>
    </w:p>
    <w:p w14:paraId="30E8172C">
      <w:pPr>
        <w:spacing w:line="360" w:lineRule="auto"/>
        <w:ind w:firstLine="437"/>
        <w:rPr>
          <w:rFonts w:ascii="宋体" w:hAnsi="宋体" w:eastAsia="宋体" w:cs="宋体"/>
          <w:sz w:val="24"/>
          <w:szCs w:val="24"/>
          <w:highlight w:val="none"/>
        </w:rPr>
      </w:pPr>
      <w:r>
        <w:rPr>
          <w:rFonts w:hint="eastAsia" w:ascii="宋体" w:hAnsi="宋体" w:eastAsia="宋体" w:cs="宋体"/>
          <w:sz w:val="24"/>
          <w:szCs w:val="24"/>
          <w:highlight w:val="none"/>
        </w:rPr>
        <w:t>名 称：安徽医科大学</w:t>
      </w:r>
    </w:p>
    <w:p w14:paraId="4DACD82C">
      <w:pPr>
        <w:spacing w:line="360" w:lineRule="auto"/>
        <w:ind w:firstLine="437"/>
        <w:rPr>
          <w:rFonts w:ascii="宋体" w:hAnsi="宋体" w:eastAsia="宋体" w:cs="宋体"/>
          <w:sz w:val="24"/>
          <w:szCs w:val="24"/>
          <w:highlight w:val="none"/>
        </w:rPr>
      </w:pPr>
      <w:r>
        <w:rPr>
          <w:rFonts w:hint="eastAsia" w:ascii="宋体" w:hAnsi="宋体" w:eastAsia="宋体" w:cs="宋体"/>
          <w:sz w:val="24"/>
          <w:szCs w:val="24"/>
          <w:highlight w:val="none"/>
        </w:rPr>
        <w:t>地 址：安徽省合肥市蜀山区梅山路81号</w:t>
      </w:r>
    </w:p>
    <w:p w14:paraId="0A7B271E">
      <w:pPr>
        <w:spacing w:line="360" w:lineRule="auto"/>
        <w:ind w:firstLine="437"/>
        <w:rPr>
          <w:rFonts w:ascii="宋体" w:hAnsi="宋体" w:eastAsia="宋体" w:cs="宋体"/>
          <w:sz w:val="24"/>
          <w:szCs w:val="24"/>
          <w:highlight w:val="none"/>
        </w:rPr>
      </w:pPr>
      <w:r>
        <w:rPr>
          <w:rFonts w:hint="eastAsia" w:ascii="宋体" w:hAnsi="宋体" w:eastAsia="宋体" w:cs="宋体"/>
          <w:sz w:val="24"/>
          <w:szCs w:val="24"/>
          <w:highlight w:val="none"/>
        </w:rPr>
        <w:t>联系人：叶老师</w:t>
      </w:r>
    </w:p>
    <w:p w14:paraId="6C1F0BEC">
      <w:pPr>
        <w:spacing w:line="360" w:lineRule="auto"/>
        <w:ind w:firstLine="437"/>
        <w:rPr>
          <w:rFonts w:ascii="宋体" w:hAnsi="宋体" w:eastAsia="宋体" w:cs="宋体"/>
          <w:sz w:val="24"/>
          <w:szCs w:val="24"/>
          <w:highlight w:val="none"/>
        </w:rPr>
      </w:pPr>
      <w:r>
        <w:rPr>
          <w:rFonts w:hint="eastAsia" w:ascii="宋体" w:hAnsi="宋体" w:eastAsia="宋体" w:cs="宋体"/>
          <w:sz w:val="24"/>
          <w:szCs w:val="24"/>
          <w:highlight w:val="none"/>
        </w:rPr>
        <w:t>联系方式：</w:t>
      </w:r>
      <w:bookmarkStart w:id="49" w:name="_Toc28359009"/>
      <w:bookmarkStart w:id="50" w:name="_Toc28359086"/>
      <w:r>
        <w:rPr>
          <w:rFonts w:hint="eastAsia" w:ascii="宋体" w:hAnsi="宋体" w:eastAsia="宋体" w:cs="宋体"/>
          <w:sz w:val="24"/>
          <w:szCs w:val="24"/>
          <w:highlight w:val="none"/>
        </w:rPr>
        <w:t>0551-65164751</w:t>
      </w:r>
    </w:p>
    <w:p w14:paraId="21C1FAA9">
      <w:pPr>
        <w:spacing w:line="360" w:lineRule="auto"/>
        <w:ind w:firstLine="437"/>
        <w:rPr>
          <w:rFonts w:ascii="宋体" w:hAnsi="宋体" w:eastAsia="宋体" w:cs="宋体"/>
          <w:sz w:val="24"/>
          <w:szCs w:val="24"/>
          <w:highlight w:val="none"/>
        </w:rPr>
      </w:pPr>
      <w:r>
        <w:rPr>
          <w:rFonts w:hint="eastAsia" w:ascii="宋体" w:hAnsi="宋体" w:eastAsia="宋体" w:cs="宋体"/>
          <w:sz w:val="24"/>
          <w:szCs w:val="24"/>
          <w:highlight w:val="none"/>
        </w:rPr>
        <w:t>2.采购代理机构信息</w:t>
      </w:r>
      <w:bookmarkEnd w:id="49"/>
      <w:bookmarkEnd w:id="50"/>
    </w:p>
    <w:p w14:paraId="7BBA358C">
      <w:pPr>
        <w:spacing w:line="360" w:lineRule="auto"/>
        <w:ind w:firstLine="437"/>
        <w:rPr>
          <w:rFonts w:ascii="宋体" w:hAnsi="宋体" w:eastAsia="宋体" w:cs="宋体"/>
          <w:sz w:val="24"/>
          <w:szCs w:val="24"/>
          <w:highlight w:val="none"/>
        </w:rPr>
      </w:pPr>
      <w:r>
        <w:rPr>
          <w:rFonts w:hint="eastAsia" w:ascii="宋体" w:hAnsi="宋体" w:eastAsia="宋体" w:cs="宋体"/>
          <w:sz w:val="24"/>
          <w:szCs w:val="24"/>
          <w:highlight w:val="none"/>
        </w:rPr>
        <w:t>名 称：安徽安天利信工程管理股份有限公司</w:t>
      </w:r>
    </w:p>
    <w:p w14:paraId="4BA20587">
      <w:pPr>
        <w:spacing w:line="360" w:lineRule="auto"/>
        <w:ind w:firstLine="437"/>
        <w:rPr>
          <w:rFonts w:ascii="宋体" w:hAnsi="宋体" w:eastAsia="宋体" w:cs="宋体"/>
          <w:sz w:val="24"/>
          <w:szCs w:val="24"/>
          <w:highlight w:val="none"/>
        </w:rPr>
      </w:pPr>
      <w:r>
        <w:rPr>
          <w:rFonts w:hint="eastAsia" w:ascii="宋体" w:hAnsi="宋体" w:eastAsia="宋体" w:cs="宋体"/>
          <w:sz w:val="24"/>
          <w:szCs w:val="24"/>
          <w:highlight w:val="none"/>
        </w:rPr>
        <w:t>地 址：合肥市蜀山区蜀鑫路69号（创业大道与蜀鑫路西南角）603室</w:t>
      </w:r>
    </w:p>
    <w:p w14:paraId="19F4B3EA">
      <w:pPr>
        <w:spacing w:line="360" w:lineRule="auto"/>
        <w:ind w:firstLine="437"/>
        <w:rPr>
          <w:rFonts w:ascii="宋体" w:hAnsi="宋体" w:eastAsia="宋体" w:cs="宋体"/>
          <w:sz w:val="24"/>
          <w:szCs w:val="24"/>
          <w:highlight w:val="none"/>
        </w:rPr>
      </w:pPr>
      <w:r>
        <w:rPr>
          <w:rFonts w:hint="eastAsia" w:ascii="宋体" w:hAnsi="宋体" w:eastAsia="宋体" w:cs="宋体"/>
          <w:sz w:val="24"/>
          <w:szCs w:val="24"/>
          <w:highlight w:val="none"/>
        </w:rPr>
        <w:t>联系人：刘元军、顾春燕</w:t>
      </w:r>
    </w:p>
    <w:p w14:paraId="08BABCAD">
      <w:pPr>
        <w:spacing w:line="360" w:lineRule="auto"/>
        <w:ind w:firstLine="437"/>
        <w:rPr>
          <w:rFonts w:ascii="宋体" w:hAnsi="宋体" w:eastAsia="宋体" w:cs="宋体"/>
          <w:sz w:val="24"/>
          <w:szCs w:val="24"/>
          <w:highlight w:val="none"/>
        </w:rPr>
      </w:pPr>
      <w:r>
        <w:rPr>
          <w:rFonts w:hint="eastAsia" w:ascii="宋体" w:hAnsi="宋体" w:eastAsia="宋体" w:cs="宋体"/>
          <w:sz w:val="24"/>
          <w:szCs w:val="24"/>
          <w:highlight w:val="none"/>
        </w:rPr>
        <w:t>联系方式：0551-63735933/19855015517</w:t>
      </w:r>
    </w:p>
    <w:p w14:paraId="10E15E4A">
      <w:pPr>
        <w:spacing w:line="360" w:lineRule="auto"/>
        <w:ind w:firstLine="435"/>
        <w:rPr>
          <w:rFonts w:ascii="宋体" w:hAnsi="宋体" w:eastAsia="宋体"/>
          <w:bCs/>
          <w:sz w:val="24"/>
          <w:szCs w:val="18"/>
          <w:highlight w:val="none"/>
        </w:rPr>
      </w:pPr>
      <w:r>
        <w:rPr>
          <w:rFonts w:hint="eastAsia" w:ascii="宋体" w:hAnsi="宋体" w:eastAsia="宋体"/>
          <w:bCs/>
          <w:sz w:val="24"/>
          <w:szCs w:val="18"/>
          <w:highlight w:val="none"/>
        </w:rPr>
        <w:t>3.项目联系方式</w:t>
      </w:r>
    </w:p>
    <w:p w14:paraId="322F283C">
      <w:pPr>
        <w:spacing w:line="360" w:lineRule="auto"/>
        <w:ind w:firstLine="435"/>
        <w:rPr>
          <w:rFonts w:ascii="宋体" w:hAnsi="宋体" w:eastAsia="宋体"/>
          <w:bCs/>
          <w:sz w:val="24"/>
          <w:szCs w:val="18"/>
          <w:highlight w:val="none"/>
        </w:rPr>
      </w:pPr>
      <w:r>
        <w:rPr>
          <w:rFonts w:hint="eastAsia" w:ascii="宋体" w:hAnsi="宋体" w:eastAsia="宋体"/>
          <w:bCs/>
          <w:sz w:val="24"/>
          <w:szCs w:val="18"/>
          <w:highlight w:val="none"/>
        </w:rPr>
        <w:t>项目联系人：刘元军、顾春燕</w:t>
      </w:r>
    </w:p>
    <w:p w14:paraId="6AC0F255">
      <w:pPr>
        <w:spacing w:line="360" w:lineRule="auto"/>
        <w:ind w:firstLine="435"/>
        <w:rPr>
          <w:rFonts w:ascii="宋体" w:hAnsi="宋体" w:eastAsia="宋体"/>
          <w:sz w:val="24"/>
          <w:szCs w:val="18"/>
          <w:highlight w:val="none"/>
          <w:u w:val="single"/>
        </w:rPr>
      </w:pPr>
      <w:r>
        <w:rPr>
          <w:rFonts w:hint="eastAsia" w:ascii="宋体" w:hAnsi="宋体" w:eastAsia="宋体"/>
          <w:bCs/>
          <w:sz w:val="24"/>
          <w:szCs w:val="18"/>
          <w:highlight w:val="none"/>
        </w:rPr>
        <w:t>电 话：0551-63735933/19855015517</w:t>
      </w:r>
    </w:p>
    <w:p w14:paraId="5589CF8C">
      <w:pPr>
        <w:spacing w:line="360" w:lineRule="auto"/>
        <w:ind w:firstLine="435"/>
        <w:rPr>
          <w:rFonts w:ascii="宋体" w:hAnsi="宋体" w:eastAsia="宋体"/>
          <w:sz w:val="24"/>
          <w:szCs w:val="18"/>
          <w:highlight w:val="none"/>
        </w:rPr>
      </w:pPr>
      <w:r>
        <w:rPr>
          <w:rFonts w:ascii="宋体" w:hAnsi="宋体" w:eastAsia="宋体"/>
          <w:sz w:val="24"/>
          <w:szCs w:val="18"/>
          <w:highlight w:val="none"/>
        </w:rPr>
        <w:br w:type="page"/>
      </w:r>
    </w:p>
    <w:p w14:paraId="3FE9024F">
      <w:pPr>
        <w:spacing w:line="360" w:lineRule="auto"/>
        <w:jc w:val="center"/>
        <w:outlineLvl w:val="0"/>
        <w:rPr>
          <w:rFonts w:asciiTheme="minorEastAsia" w:hAnsiTheme="minorEastAsia" w:eastAsiaTheme="minorEastAsia"/>
          <w:b/>
          <w:sz w:val="28"/>
          <w:highlight w:val="none"/>
        </w:rPr>
      </w:pPr>
      <w:bookmarkStart w:id="51" w:name="_Toc24539"/>
      <w:r>
        <w:rPr>
          <w:rFonts w:hint="eastAsia" w:asciiTheme="minorEastAsia" w:hAnsiTheme="minorEastAsia" w:eastAsiaTheme="minorEastAsia"/>
          <w:b/>
          <w:sz w:val="28"/>
          <w:highlight w:val="none"/>
        </w:rPr>
        <w:t>第二章</w:t>
      </w:r>
      <w:r>
        <w:rPr>
          <w:rFonts w:asciiTheme="minorEastAsia" w:hAnsiTheme="minorEastAsia" w:eastAsiaTheme="minorEastAsia"/>
          <w:b/>
          <w:sz w:val="28"/>
          <w:highlight w:val="none"/>
        </w:rPr>
        <w:t xml:space="preserve"> </w:t>
      </w:r>
      <w:r>
        <w:rPr>
          <w:rFonts w:hint="eastAsia" w:asciiTheme="minorEastAsia" w:hAnsiTheme="minorEastAsia" w:eastAsiaTheme="minorEastAsia"/>
          <w:b/>
          <w:sz w:val="28"/>
          <w:highlight w:val="none"/>
        </w:rPr>
        <w:t xml:space="preserve"> 供应商</w:t>
      </w:r>
      <w:r>
        <w:rPr>
          <w:rFonts w:asciiTheme="minorEastAsia" w:hAnsiTheme="minorEastAsia" w:eastAsiaTheme="minorEastAsia"/>
          <w:b/>
          <w:sz w:val="28"/>
          <w:highlight w:val="none"/>
        </w:rPr>
        <w:t>须知</w:t>
      </w:r>
      <w:bookmarkEnd w:id="51"/>
    </w:p>
    <w:p w14:paraId="179BC32C">
      <w:pPr>
        <w:spacing w:line="360" w:lineRule="auto"/>
        <w:jc w:val="center"/>
        <w:outlineLvl w:val="1"/>
        <w:rPr>
          <w:rFonts w:asciiTheme="minorEastAsia" w:hAnsiTheme="minorEastAsia" w:eastAsiaTheme="minorEastAsia"/>
          <w:b/>
          <w:sz w:val="24"/>
          <w:highlight w:val="none"/>
        </w:rPr>
      </w:pPr>
      <w:bookmarkStart w:id="52" w:name="_Toc11383"/>
      <w:bookmarkStart w:id="53" w:name="_Toc27580"/>
      <w:bookmarkStart w:id="54" w:name="_Toc11709"/>
      <w:r>
        <w:rPr>
          <w:rFonts w:hint="eastAsia" w:asciiTheme="minorEastAsia" w:hAnsiTheme="minorEastAsia" w:eastAsiaTheme="minorEastAsia"/>
          <w:b/>
          <w:sz w:val="24"/>
          <w:highlight w:val="none"/>
        </w:rPr>
        <w:t>一、供应商</w:t>
      </w:r>
      <w:r>
        <w:rPr>
          <w:rFonts w:asciiTheme="minorEastAsia" w:hAnsiTheme="minorEastAsia" w:eastAsiaTheme="minorEastAsia"/>
          <w:b/>
          <w:sz w:val="24"/>
          <w:highlight w:val="none"/>
        </w:rPr>
        <w:t>须知前附表</w:t>
      </w:r>
      <w:bookmarkEnd w:id="52"/>
      <w:bookmarkEnd w:id="53"/>
      <w:bookmarkEnd w:id="54"/>
    </w:p>
    <w:p w14:paraId="15683A06">
      <w:pPr>
        <w:spacing w:line="360" w:lineRule="auto"/>
        <w:ind w:firstLine="435"/>
        <w:rPr>
          <w:rFonts w:ascii="宋体" w:hAnsi="宋体" w:eastAsia="宋体"/>
          <w:sz w:val="24"/>
          <w:szCs w:val="18"/>
          <w:highlight w:val="none"/>
        </w:rPr>
      </w:pPr>
      <w:r>
        <w:rPr>
          <w:rFonts w:hint="eastAsia" w:ascii="宋体" w:hAnsi="宋体" w:eastAsia="宋体"/>
          <w:b/>
          <w:bCs/>
          <w:sz w:val="24"/>
          <w:szCs w:val="18"/>
          <w:highlight w:val="none"/>
        </w:rPr>
        <w:t>注：</w:t>
      </w:r>
      <w:r>
        <w:rPr>
          <w:rFonts w:hint="eastAsia" w:ascii="宋体" w:hAnsi="宋体" w:eastAsia="宋体"/>
          <w:sz w:val="24"/>
          <w:szCs w:val="18"/>
          <w:highlight w:val="none"/>
        </w:rPr>
        <w:t>本表是本项目的具体要求，是对供应商须知的具体补充和修改，如有不一致，以本表为准。</w:t>
      </w:r>
    </w:p>
    <w:tbl>
      <w:tblPr>
        <w:tblStyle w:val="25"/>
        <w:tblW w:w="51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0"/>
        <w:gridCol w:w="2227"/>
        <w:gridCol w:w="6274"/>
      </w:tblGrid>
      <w:tr w14:paraId="20F73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0CD782DD">
            <w:pPr>
              <w:pStyle w:val="45"/>
              <w:widowControl w:val="0"/>
              <w:spacing w:before="0" w:beforeAutospacing="0" w:after="0" w:afterAutospacing="0" w:line="360" w:lineRule="auto"/>
              <w:rPr>
                <w:rFonts w:ascii="宋体" w:hAnsi="宋体" w:eastAsia="宋体"/>
                <w:bCs w:val="0"/>
                <w:kern w:val="2"/>
                <w:sz w:val="24"/>
                <w:szCs w:val="20"/>
                <w:highlight w:val="none"/>
              </w:rPr>
            </w:pPr>
            <w:r>
              <w:rPr>
                <w:rFonts w:hint="eastAsia" w:ascii="宋体" w:hAnsi="宋体" w:eastAsia="宋体"/>
                <w:bCs w:val="0"/>
                <w:kern w:val="2"/>
                <w:sz w:val="24"/>
                <w:szCs w:val="20"/>
                <w:highlight w:val="none"/>
              </w:rPr>
              <w:t>条款号</w:t>
            </w:r>
          </w:p>
        </w:tc>
        <w:tc>
          <w:tcPr>
            <w:tcW w:w="1160" w:type="pct"/>
            <w:vAlign w:val="center"/>
          </w:tcPr>
          <w:p w14:paraId="22C4BBD9">
            <w:pPr>
              <w:pStyle w:val="45"/>
              <w:widowControl w:val="0"/>
              <w:spacing w:before="0" w:beforeAutospacing="0" w:after="0" w:afterAutospacing="0" w:line="360" w:lineRule="auto"/>
              <w:rPr>
                <w:rFonts w:ascii="宋体" w:hAnsi="宋体" w:eastAsia="宋体"/>
                <w:bCs w:val="0"/>
                <w:kern w:val="2"/>
                <w:sz w:val="24"/>
                <w:szCs w:val="20"/>
                <w:highlight w:val="none"/>
              </w:rPr>
            </w:pPr>
            <w:r>
              <w:rPr>
                <w:rFonts w:hint="eastAsia" w:ascii="宋体" w:hAnsi="宋体" w:eastAsia="宋体"/>
                <w:bCs w:val="0"/>
                <w:kern w:val="2"/>
                <w:sz w:val="24"/>
                <w:szCs w:val="20"/>
                <w:highlight w:val="none"/>
              </w:rPr>
              <w:t>条款名称</w:t>
            </w:r>
          </w:p>
        </w:tc>
        <w:tc>
          <w:tcPr>
            <w:tcW w:w="3267" w:type="pct"/>
            <w:vAlign w:val="center"/>
          </w:tcPr>
          <w:p w14:paraId="1AAE5F2C">
            <w:pPr>
              <w:pStyle w:val="45"/>
              <w:widowControl w:val="0"/>
              <w:spacing w:before="0" w:beforeAutospacing="0" w:after="0" w:afterAutospacing="0" w:line="360" w:lineRule="auto"/>
              <w:rPr>
                <w:rFonts w:ascii="宋体" w:hAnsi="宋体" w:eastAsia="宋体"/>
                <w:bCs w:val="0"/>
                <w:kern w:val="2"/>
                <w:sz w:val="24"/>
                <w:szCs w:val="20"/>
                <w:highlight w:val="none"/>
              </w:rPr>
            </w:pPr>
            <w:r>
              <w:rPr>
                <w:rFonts w:hint="eastAsia" w:ascii="宋体" w:hAnsi="宋体" w:eastAsia="宋体"/>
                <w:bCs w:val="0"/>
                <w:kern w:val="2"/>
                <w:sz w:val="24"/>
                <w:szCs w:val="20"/>
                <w:highlight w:val="none"/>
              </w:rPr>
              <w:t>内容、说明与要求</w:t>
            </w:r>
          </w:p>
        </w:tc>
      </w:tr>
      <w:tr w14:paraId="3655E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0AE1B87F">
            <w:pPr>
              <w:pStyle w:val="46"/>
              <w:pBdr>
                <w:bottom w:val="none" w:color="auto" w:sz="0" w:space="0"/>
              </w:pBdr>
              <w:tabs>
                <w:tab w:val="clear" w:pos="4153"/>
                <w:tab w:val="clear" w:pos="8306"/>
              </w:tabs>
              <w:adjustRightInd/>
              <w:spacing w:line="360" w:lineRule="auto"/>
              <w:textAlignment w:val="auto"/>
              <w:rPr>
                <w:rFonts w:ascii="宋体" w:hAnsi="宋体" w:eastAsia="宋体"/>
                <w:bCs/>
                <w:kern w:val="2"/>
                <w:highlight w:val="none"/>
              </w:rPr>
            </w:pPr>
            <w:r>
              <w:rPr>
                <w:rFonts w:hint="eastAsia" w:ascii="宋体" w:hAnsi="宋体" w:eastAsia="宋体"/>
                <w:bCs/>
                <w:kern w:val="2"/>
                <w:highlight w:val="none"/>
              </w:rPr>
              <w:t>5</w:t>
            </w:r>
            <w:r>
              <w:rPr>
                <w:rFonts w:ascii="宋体" w:hAnsi="宋体" w:eastAsia="宋体"/>
                <w:bCs/>
                <w:kern w:val="2"/>
                <w:highlight w:val="none"/>
              </w:rPr>
              <w:t>.</w:t>
            </w:r>
            <w:r>
              <w:rPr>
                <w:rFonts w:hint="eastAsia" w:ascii="宋体" w:hAnsi="宋体" w:eastAsia="宋体"/>
                <w:bCs/>
                <w:kern w:val="2"/>
                <w:highlight w:val="none"/>
              </w:rPr>
              <w:t>2</w:t>
            </w:r>
          </w:p>
        </w:tc>
        <w:tc>
          <w:tcPr>
            <w:tcW w:w="1160" w:type="pct"/>
            <w:vAlign w:val="center"/>
          </w:tcPr>
          <w:p w14:paraId="42CB54D2">
            <w:pPr>
              <w:pStyle w:val="45"/>
              <w:widowControl w:val="0"/>
              <w:spacing w:before="0" w:beforeAutospacing="0" w:after="0" w:afterAutospacing="0" w:line="360" w:lineRule="auto"/>
              <w:jc w:val="left"/>
              <w:rPr>
                <w:rFonts w:ascii="宋体" w:hAnsi="宋体" w:eastAsia="宋体"/>
                <w:b w:val="0"/>
                <w:sz w:val="24"/>
                <w:highlight w:val="none"/>
              </w:rPr>
            </w:pPr>
            <w:r>
              <w:rPr>
                <w:rFonts w:hint="eastAsia" w:ascii="宋体" w:hAnsi="宋体" w:eastAsia="宋体"/>
                <w:b w:val="0"/>
                <w:kern w:val="2"/>
                <w:sz w:val="24"/>
                <w:szCs w:val="22"/>
                <w:highlight w:val="none"/>
              </w:rPr>
              <w:t>现场考察或标前答疑会</w:t>
            </w:r>
          </w:p>
        </w:tc>
        <w:tc>
          <w:tcPr>
            <w:tcW w:w="3267" w:type="pct"/>
            <w:vAlign w:val="center"/>
          </w:tcPr>
          <w:p w14:paraId="761595B7">
            <w:pPr>
              <w:spacing w:line="360" w:lineRule="auto"/>
              <w:rPr>
                <w:rFonts w:ascii="宋体" w:hAnsi="宋体" w:eastAsia="宋体"/>
                <w:bCs/>
                <w:sz w:val="24"/>
                <w:highlight w:val="none"/>
              </w:rPr>
            </w:pPr>
            <w:r>
              <w:rPr>
                <w:rFonts w:hint="eastAsia" w:ascii="宋体" w:hAnsi="宋体" w:eastAsia="宋体"/>
                <w:bCs/>
                <w:sz w:val="24"/>
                <w:szCs w:val="24"/>
                <w:highlight w:val="none"/>
              </w:rPr>
              <w:t>☑</w:t>
            </w:r>
            <w:r>
              <w:rPr>
                <w:rFonts w:hint="eastAsia" w:ascii="宋体" w:hAnsi="宋体" w:eastAsia="宋体"/>
                <w:sz w:val="24"/>
                <w:highlight w:val="none"/>
              </w:rPr>
              <w:t>不组织或不召开</w:t>
            </w:r>
          </w:p>
          <w:p w14:paraId="10B4647A">
            <w:pPr>
              <w:spacing w:line="360" w:lineRule="auto"/>
              <w:rPr>
                <w:rFonts w:ascii="宋体" w:hAnsi="宋体" w:eastAsia="宋体"/>
                <w:bCs/>
                <w:sz w:val="24"/>
                <w:highlight w:val="none"/>
              </w:rPr>
            </w:pPr>
            <w:r>
              <w:rPr>
                <w:rFonts w:hint="eastAsia" w:ascii="宋体" w:hAnsi="宋体" w:eastAsia="宋体"/>
                <w:sz w:val="24"/>
                <w:highlight w:val="none"/>
              </w:rPr>
              <w:t>□</w:t>
            </w:r>
            <w:r>
              <w:rPr>
                <w:rFonts w:hint="eastAsia" w:ascii="宋体" w:hAnsi="宋体" w:eastAsia="宋体"/>
                <w:bCs/>
                <w:sz w:val="24"/>
                <w:highlight w:val="none"/>
              </w:rPr>
              <w:t>统一组织</w:t>
            </w:r>
          </w:p>
          <w:p w14:paraId="596AE6CA">
            <w:pPr>
              <w:spacing w:line="360" w:lineRule="auto"/>
              <w:rPr>
                <w:rFonts w:ascii="宋体" w:hAnsi="宋体" w:eastAsia="宋体"/>
                <w:bCs/>
                <w:sz w:val="24"/>
                <w:highlight w:val="none"/>
                <w:u w:val="single"/>
              </w:rPr>
            </w:pPr>
            <w:r>
              <w:rPr>
                <w:rFonts w:hint="eastAsia" w:ascii="宋体" w:hAnsi="宋体" w:eastAsia="宋体"/>
                <w:bCs/>
                <w:sz w:val="24"/>
                <w:highlight w:val="none"/>
              </w:rPr>
              <w:t>时间：</w:t>
            </w:r>
            <w:r>
              <w:rPr>
                <w:rFonts w:hint="eastAsia" w:ascii="宋体" w:hAnsi="宋体" w:eastAsia="宋体"/>
                <w:bCs/>
                <w:sz w:val="24"/>
                <w:highlight w:val="none"/>
                <w:u w:val="single"/>
              </w:rPr>
              <w:t xml:space="preserve"> </w:t>
            </w:r>
            <w:r>
              <w:rPr>
                <w:rFonts w:ascii="宋体" w:hAnsi="宋体" w:eastAsia="宋体"/>
                <w:bCs/>
                <w:sz w:val="24"/>
                <w:highlight w:val="none"/>
                <w:u w:val="single"/>
              </w:rPr>
              <w:t xml:space="preserve">   </w:t>
            </w:r>
            <w:r>
              <w:rPr>
                <w:rFonts w:hint="eastAsia" w:ascii="宋体" w:hAnsi="宋体" w:eastAsia="宋体"/>
                <w:bCs/>
                <w:sz w:val="24"/>
                <w:highlight w:val="none"/>
              </w:rPr>
              <w:t>年</w:t>
            </w:r>
            <w:r>
              <w:rPr>
                <w:rFonts w:hint="eastAsia" w:ascii="宋体" w:hAnsi="宋体" w:eastAsia="宋体"/>
                <w:bCs/>
                <w:sz w:val="24"/>
                <w:highlight w:val="none"/>
                <w:u w:val="single"/>
              </w:rPr>
              <w:t xml:space="preserve"> </w:t>
            </w:r>
            <w:r>
              <w:rPr>
                <w:rFonts w:ascii="宋体" w:hAnsi="宋体" w:eastAsia="宋体"/>
                <w:bCs/>
                <w:sz w:val="24"/>
                <w:highlight w:val="none"/>
                <w:u w:val="single"/>
              </w:rPr>
              <w:t xml:space="preserve"> </w:t>
            </w:r>
            <w:r>
              <w:rPr>
                <w:rFonts w:hint="eastAsia" w:ascii="宋体" w:hAnsi="宋体" w:eastAsia="宋体"/>
                <w:bCs/>
                <w:sz w:val="24"/>
                <w:highlight w:val="none"/>
              </w:rPr>
              <w:t>月</w:t>
            </w:r>
            <w:r>
              <w:rPr>
                <w:rFonts w:hint="eastAsia" w:ascii="宋体" w:hAnsi="宋体" w:eastAsia="宋体"/>
                <w:bCs/>
                <w:sz w:val="24"/>
                <w:highlight w:val="none"/>
                <w:u w:val="single"/>
              </w:rPr>
              <w:t xml:space="preserve"> </w:t>
            </w:r>
            <w:r>
              <w:rPr>
                <w:rFonts w:ascii="宋体" w:hAnsi="宋体" w:eastAsia="宋体"/>
                <w:bCs/>
                <w:sz w:val="24"/>
                <w:highlight w:val="none"/>
                <w:u w:val="single"/>
              </w:rPr>
              <w:t xml:space="preserve"> </w:t>
            </w:r>
            <w:r>
              <w:rPr>
                <w:rFonts w:hint="eastAsia" w:ascii="宋体" w:hAnsi="宋体" w:eastAsia="宋体"/>
                <w:bCs/>
                <w:sz w:val="24"/>
                <w:highlight w:val="none"/>
              </w:rPr>
              <w:t>日</w:t>
            </w:r>
            <w:r>
              <w:rPr>
                <w:rFonts w:hint="eastAsia" w:ascii="宋体" w:hAnsi="宋体" w:eastAsia="宋体"/>
                <w:bCs/>
                <w:sz w:val="24"/>
                <w:highlight w:val="none"/>
                <w:u w:val="single"/>
              </w:rPr>
              <w:t xml:space="preserve"> </w:t>
            </w:r>
            <w:r>
              <w:rPr>
                <w:rFonts w:ascii="宋体" w:hAnsi="宋体" w:eastAsia="宋体"/>
                <w:bCs/>
                <w:sz w:val="24"/>
                <w:highlight w:val="none"/>
                <w:u w:val="single"/>
              </w:rPr>
              <w:t xml:space="preserve"> </w:t>
            </w:r>
            <w:r>
              <w:rPr>
                <w:rFonts w:hint="eastAsia" w:ascii="宋体" w:hAnsi="宋体" w:eastAsia="宋体"/>
                <w:bCs/>
                <w:sz w:val="24"/>
                <w:highlight w:val="none"/>
              </w:rPr>
              <w:t>时</w:t>
            </w:r>
            <w:r>
              <w:rPr>
                <w:rFonts w:hint="eastAsia" w:ascii="宋体" w:hAnsi="宋体" w:eastAsia="宋体"/>
                <w:bCs/>
                <w:sz w:val="24"/>
                <w:highlight w:val="none"/>
                <w:u w:val="single"/>
              </w:rPr>
              <w:t xml:space="preserve"> </w:t>
            </w:r>
            <w:r>
              <w:rPr>
                <w:rFonts w:ascii="宋体" w:hAnsi="宋体" w:eastAsia="宋体"/>
                <w:bCs/>
                <w:sz w:val="24"/>
                <w:highlight w:val="none"/>
                <w:u w:val="single"/>
              </w:rPr>
              <w:t xml:space="preserve"> </w:t>
            </w:r>
            <w:r>
              <w:rPr>
                <w:rFonts w:hint="eastAsia" w:ascii="宋体" w:hAnsi="宋体" w:eastAsia="宋体"/>
                <w:bCs/>
                <w:sz w:val="24"/>
                <w:highlight w:val="none"/>
              </w:rPr>
              <w:t>分</w:t>
            </w:r>
          </w:p>
          <w:p w14:paraId="5A9D5FAF">
            <w:pPr>
              <w:spacing w:line="360" w:lineRule="auto"/>
              <w:rPr>
                <w:rFonts w:ascii="宋体" w:hAnsi="宋体" w:eastAsia="宋体"/>
                <w:bCs/>
                <w:sz w:val="24"/>
                <w:highlight w:val="none"/>
                <w:u w:val="single"/>
              </w:rPr>
            </w:pPr>
            <w:r>
              <w:rPr>
                <w:rFonts w:hint="eastAsia" w:ascii="宋体" w:hAnsi="宋体" w:eastAsia="宋体"/>
                <w:bCs/>
                <w:sz w:val="24"/>
                <w:highlight w:val="none"/>
              </w:rPr>
              <w:t>地点：</w:t>
            </w:r>
            <w:r>
              <w:rPr>
                <w:rFonts w:hint="eastAsia" w:ascii="宋体" w:hAnsi="宋体" w:eastAsia="宋体"/>
                <w:bCs/>
                <w:sz w:val="24"/>
                <w:highlight w:val="none"/>
                <w:u w:val="single"/>
              </w:rPr>
              <w:t xml:space="preserve"> </w:t>
            </w:r>
            <w:r>
              <w:rPr>
                <w:rFonts w:ascii="宋体" w:hAnsi="宋体" w:eastAsia="宋体"/>
                <w:bCs/>
                <w:sz w:val="24"/>
                <w:highlight w:val="none"/>
                <w:u w:val="single"/>
              </w:rPr>
              <w:t xml:space="preserve">                      </w:t>
            </w:r>
          </w:p>
          <w:p w14:paraId="4FE18A22">
            <w:pPr>
              <w:spacing w:line="360" w:lineRule="auto"/>
              <w:rPr>
                <w:rFonts w:ascii="宋体" w:hAnsi="宋体" w:eastAsia="宋体"/>
                <w:bCs/>
                <w:sz w:val="24"/>
                <w:highlight w:val="none"/>
                <w:u w:val="single"/>
              </w:rPr>
            </w:pPr>
            <w:r>
              <w:rPr>
                <w:rFonts w:hint="eastAsia" w:ascii="宋体" w:hAnsi="宋体" w:eastAsia="宋体"/>
                <w:bCs/>
                <w:sz w:val="24"/>
                <w:highlight w:val="none"/>
              </w:rPr>
              <w:t>联系人及联系电话：</w:t>
            </w:r>
            <w:r>
              <w:rPr>
                <w:rFonts w:hint="eastAsia" w:ascii="宋体" w:hAnsi="宋体" w:eastAsia="宋体"/>
                <w:bCs/>
                <w:sz w:val="24"/>
                <w:highlight w:val="none"/>
                <w:u w:val="single"/>
              </w:rPr>
              <w:t xml:space="preserve"> </w:t>
            </w:r>
            <w:r>
              <w:rPr>
                <w:rFonts w:ascii="宋体" w:hAnsi="宋体" w:eastAsia="宋体"/>
                <w:bCs/>
                <w:sz w:val="24"/>
                <w:highlight w:val="none"/>
                <w:u w:val="single"/>
              </w:rPr>
              <w:t xml:space="preserve">          </w:t>
            </w:r>
          </w:p>
          <w:p w14:paraId="50105604">
            <w:pPr>
              <w:pStyle w:val="45"/>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Cs w:val="0"/>
                <w:sz w:val="24"/>
                <w:highlight w:val="none"/>
              </w:rPr>
              <w:t>注：如供应商未参加采购人统一组织的现场考察或采购人统一召开的标前答疑会，视同放弃现场考察或标前答疑会，由此引起的一切责任由供应商自行承担。</w:t>
            </w:r>
          </w:p>
        </w:tc>
      </w:tr>
      <w:tr w14:paraId="5136B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2BF27D76">
            <w:pPr>
              <w:pStyle w:val="46"/>
              <w:pBdr>
                <w:bottom w:val="none" w:color="auto" w:sz="0" w:space="0"/>
              </w:pBdr>
              <w:tabs>
                <w:tab w:val="clear" w:pos="4153"/>
                <w:tab w:val="clear" w:pos="8306"/>
              </w:tabs>
              <w:adjustRightInd/>
              <w:spacing w:line="360" w:lineRule="auto"/>
              <w:textAlignment w:val="auto"/>
              <w:rPr>
                <w:rFonts w:ascii="宋体" w:hAnsi="宋体" w:eastAsia="宋体"/>
                <w:bCs/>
                <w:kern w:val="2"/>
                <w:highlight w:val="none"/>
              </w:rPr>
            </w:pPr>
            <w:r>
              <w:rPr>
                <w:rFonts w:hint="eastAsia" w:ascii="宋体" w:hAnsi="宋体" w:eastAsia="宋体"/>
                <w:bCs/>
                <w:kern w:val="2"/>
                <w:highlight w:val="none"/>
              </w:rPr>
              <w:t>6</w:t>
            </w:r>
            <w:r>
              <w:rPr>
                <w:rFonts w:ascii="宋体" w:hAnsi="宋体" w:eastAsia="宋体"/>
                <w:bCs/>
                <w:kern w:val="2"/>
                <w:highlight w:val="none"/>
              </w:rPr>
              <w:t>.1</w:t>
            </w:r>
          </w:p>
        </w:tc>
        <w:tc>
          <w:tcPr>
            <w:tcW w:w="1160" w:type="pct"/>
            <w:vAlign w:val="center"/>
          </w:tcPr>
          <w:p w14:paraId="5EE85778">
            <w:pPr>
              <w:pStyle w:val="45"/>
              <w:widowControl w:val="0"/>
              <w:spacing w:before="0" w:beforeAutospacing="0" w:after="0" w:afterAutospacing="0" w:line="360" w:lineRule="auto"/>
              <w:jc w:val="left"/>
              <w:rPr>
                <w:rFonts w:ascii="宋体" w:hAnsi="宋体" w:eastAsia="宋体"/>
                <w:b w:val="0"/>
                <w:sz w:val="24"/>
                <w:highlight w:val="none"/>
              </w:rPr>
            </w:pPr>
            <w:r>
              <w:rPr>
                <w:rFonts w:hint="eastAsia" w:ascii="宋体" w:hAnsi="宋体" w:eastAsia="宋体"/>
                <w:b w:val="0"/>
                <w:sz w:val="24"/>
                <w:highlight w:val="none"/>
              </w:rPr>
              <w:t>网上询问截止时间</w:t>
            </w:r>
          </w:p>
        </w:tc>
        <w:tc>
          <w:tcPr>
            <w:tcW w:w="3267" w:type="pct"/>
            <w:vAlign w:val="center"/>
          </w:tcPr>
          <w:p w14:paraId="75D36ADD">
            <w:pPr>
              <w:pStyle w:val="45"/>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在提交首次响应文件截止时间 5 日前（以收到日期为准</w:t>
            </w:r>
          </w:p>
        </w:tc>
      </w:tr>
      <w:tr w14:paraId="7A3E1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1002" w:type="dxa"/>
            <w:vAlign w:val="center"/>
          </w:tcPr>
          <w:p w14:paraId="65323660">
            <w:pPr>
              <w:pStyle w:val="46"/>
              <w:pBdr>
                <w:bottom w:val="none" w:color="auto" w:sz="0" w:space="0"/>
              </w:pBdr>
              <w:tabs>
                <w:tab w:val="clear" w:pos="4153"/>
                <w:tab w:val="clear" w:pos="8306"/>
              </w:tabs>
              <w:adjustRightInd/>
              <w:spacing w:line="360" w:lineRule="auto"/>
              <w:textAlignment w:val="auto"/>
              <w:rPr>
                <w:rFonts w:ascii="宋体" w:hAnsi="宋体" w:eastAsia="宋体"/>
                <w:bCs/>
                <w:kern w:val="2"/>
                <w:highlight w:val="none"/>
              </w:rPr>
            </w:pPr>
            <w:r>
              <w:rPr>
                <w:rFonts w:hint="eastAsia" w:ascii="宋体" w:hAnsi="宋体" w:eastAsia="宋体"/>
                <w:bCs/>
                <w:kern w:val="2"/>
                <w:highlight w:val="none"/>
              </w:rPr>
              <w:t>7.1</w:t>
            </w:r>
          </w:p>
        </w:tc>
        <w:tc>
          <w:tcPr>
            <w:tcW w:w="1160" w:type="pct"/>
            <w:vAlign w:val="center"/>
          </w:tcPr>
          <w:p w14:paraId="39E30989">
            <w:pPr>
              <w:pStyle w:val="45"/>
              <w:widowControl w:val="0"/>
              <w:spacing w:before="0" w:beforeAutospacing="0" w:after="0" w:afterAutospacing="0" w:line="360" w:lineRule="auto"/>
              <w:jc w:val="left"/>
              <w:rPr>
                <w:rFonts w:ascii="宋体" w:hAnsi="宋体" w:eastAsia="宋体"/>
                <w:b w:val="0"/>
                <w:sz w:val="24"/>
                <w:highlight w:val="none"/>
              </w:rPr>
            </w:pPr>
            <w:r>
              <w:rPr>
                <w:rFonts w:hint="eastAsia" w:ascii="宋体" w:hAnsi="宋体" w:eastAsia="宋体"/>
                <w:b w:val="0"/>
                <w:sz w:val="24"/>
                <w:highlight w:val="none"/>
              </w:rPr>
              <w:t>包别划分</w:t>
            </w:r>
          </w:p>
        </w:tc>
        <w:tc>
          <w:tcPr>
            <w:tcW w:w="3267" w:type="pct"/>
            <w:vAlign w:val="center"/>
          </w:tcPr>
          <w:p w14:paraId="428DDDE8">
            <w:pPr>
              <w:pStyle w:val="45"/>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bCs w:val="0"/>
                <w:sz w:val="24"/>
                <w:szCs w:val="24"/>
                <w:highlight w:val="none"/>
              </w:rPr>
              <w:t>☑</w:t>
            </w:r>
            <w:r>
              <w:rPr>
                <w:rFonts w:ascii="宋体" w:hAnsi="宋体" w:eastAsia="宋体"/>
                <w:b w:val="0"/>
                <w:sz w:val="24"/>
                <w:highlight w:val="none"/>
              </w:rPr>
              <w:t>不分包     □分为  个包</w:t>
            </w:r>
          </w:p>
          <w:p w14:paraId="6E9F46CC">
            <w:pPr>
              <w:pStyle w:val="45"/>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bCs w:val="0"/>
                <w:sz w:val="24"/>
                <w:szCs w:val="24"/>
                <w:highlight w:val="none"/>
              </w:rPr>
              <w:t>供应商参加多个包磋商的成交</w:t>
            </w:r>
            <w:r>
              <w:rPr>
                <w:rFonts w:ascii="宋体" w:hAnsi="宋体" w:eastAsia="宋体"/>
                <w:b w:val="0"/>
                <w:bCs w:val="0"/>
                <w:sz w:val="24"/>
                <w:szCs w:val="24"/>
                <w:highlight w:val="none"/>
              </w:rPr>
              <w:t>包</w:t>
            </w:r>
            <w:r>
              <w:rPr>
                <w:rFonts w:hint="eastAsia" w:ascii="宋体" w:hAnsi="宋体" w:eastAsia="宋体"/>
                <w:b w:val="0"/>
                <w:bCs w:val="0"/>
                <w:sz w:val="24"/>
                <w:szCs w:val="24"/>
                <w:highlight w:val="none"/>
              </w:rPr>
              <w:t>数规定：</w:t>
            </w:r>
            <w:r>
              <w:rPr>
                <w:rFonts w:hint="eastAsia" w:ascii="宋体" w:hAnsi="宋体" w:eastAsia="宋体"/>
                <w:b w:val="0"/>
                <w:bCs w:val="0"/>
                <w:sz w:val="24"/>
                <w:szCs w:val="18"/>
                <w:highlight w:val="none"/>
                <w:u w:val="single"/>
              </w:rPr>
              <w:t xml:space="preserve"> </w:t>
            </w:r>
            <w:r>
              <w:rPr>
                <w:rFonts w:ascii="宋体" w:hAnsi="宋体" w:eastAsia="宋体"/>
                <w:b w:val="0"/>
                <w:bCs w:val="0"/>
                <w:sz w:val="24"/>
                <w:szCs w:val="18"/>
                <w:highlight w:val="none"/>
                <w:u w:val="single"/>
              </w:rPr>
              <w:t xml:space="preserve">             </w:t>
            </w:r>
          </w:p>
        </w:tc>
      </w:tr>
      <w:tr w14:paraId="7DA1C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002" w:type="dxa"/>
            <w:vAlign w:val="center"/>
          </w:tcPr>
          <w:p w14:paraId="79D806AB">
            <w:pPr>
              <w:pStyle w:val="46"/>
              <w:pBdr>
                <w:bottom w:val="none" w:color="auto" w:sz="0" w:space="0"/>
              </w:pBdr>
              <w:tabs>
                <w:tab w:val="clear" w:pos="4153"/>
                <w:tab w:val="clear" w:pos="8306"/>
              </w:tabs>
              <w:adjustRightInd/>
              <w:spacing w:line="360" w:lineRule="auto"/>
              <w:textAlignment w:val="auto"/>
              <w:rPr>
                <w:rFonts w:ascii="宋体" w:hAnsi="宋体" w:eastAsia="宋体"/>
                <w:bCs/>
                <w:kern w:val="2"/>
                <w:highlight w:val="none"/>
              </w:rPr>
            </w:pPr>
            <w:r>
              <w:rPr>
                <w:rFonts w:hint="eastAsia" w:ascii="宋体" w:hAnsi="宋体" w:eastAsia="宋体"/>
                <w:bCs/>
                <w:kern w:val="2"/>
                <w:highlight w:val="none"/>
              </w:rPr>
              <w:t>10.1</w:t>
            </w:r>
          </w:p>
        </w:tc>
        <w:tc>
          <w:tcPr>
            <w:tcW w:w="1160" w:type="pct"/>
            <w:vAlign w:val="center"/>
          </w:tcPr>
          <w:p w14:paraId="73D1A061">
            <w:pPr>
              <w:pStyle w:val="45"/>
              <w:widowControl w:val="0"/>
              <w:spacing w:before="0" w:beforeAutospacing="0" w:after="0" w:afterAutospacing="0" w:line="360" w:lineRule="auto"/>
              <w:jc w:val="left"/>
              <w:rPr>
                <w:rFonts w:ascii="宋体" w:hAnsi="宋体" w:eastAsia="宋体"/>
                <w:b w:val="0"/>
                <w:sz w:val="24"/>
                <w:highlight w:val="none"/>
              </w:rPr>
            </w:pPr>
            <w:r>
              <w:rPr>
                <w:rFonts w:hint="eastAsia" w:ascii="宋体" w:hAnsi="宋体" w:eastAsia="宋体"/>
                <w:b w:val="0"/>
                <w:sz w:val="24"/>
                <w:highlight w:val="none"/>
              </w:rPr>
              <w:t>磋商保证金</w:t>
            </w:r>
          </w:p>
        </w:tc>
        <w:tc>
          <w:tcPr>
            <w:tcW w:w="3267" w:type="pct"/>
            <w:vAlign w:val="center"/>
          </w:tcPr>
          <w:p w14:paraId="2405A7A9">
            <w:pPr>
              <w:pStyle w:val="45"/>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不收取</w:t>
            </w:r>
          </w:p>
        </w:tc>
      </w:tr>
      <w:tr w14:paraId="0D031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2E53886F">
            <w:pPr>
              <w:pStyle w:val="46"/>
              <w:pBdr>
                <w:bottom w:val="none" w:color="auto" w:sz="0" w:space="0"/>
              </w:pBdr>
              <w:tabs>
                <w:tab w:val="clear" w:pos="4153"/>
                <w:tab w:val="clear" w:pos="8306"/>
              </w:tabs>
              <w:adjustRightInd/>
              <w:spacing w:line="360" w:lineRule="auto"/>
              <w:textAlignment w:val="auto"/>
              <w:rPr>
                <w:rFonts w:ascii="宋体" w:hAnsi="宋体" w:eastAsia="宋体"/>
                <w:bCs/>
                <w:kern w:val="2"/>
                <w:highlight w:val="none"/>
              </w:rPr>
            </w:pPr>
            <w:r>
              <w:rPr>
                <w:rFonts w:hint="eastAsia" w:ascii="宋体" w:hAnsi="宋体" w:eastAsia="宋体"/>
                <w:bCs/>
                <w:kern w:val="2"/>
                <w:highlight w:val="none"/>
              </w:rPr>
              <w:t>11</w:t>
            </w:r>
            <w:r>
              <w:rPr>
                <w:rFonts w:ascii="宋体" w:hAnsi="宋体" w:eastAsia="宋体"/>
                <w:bCs/>
                <w:kern w:val="2"/>
                <w:highlight w:val="none"/>
              </w:rPr>
              <w:t>.1</w:t>
            </w:r>
          </w:p>
        </w:tc>
        <w:tc>
          <w:tcPr>
            <w:tcW w:w="1160" w:type="pct"/>
            <w:vAlign w:val="center"/>
          </w:tcPr>
          <w:p w14:paraId="3222D516">
            <w:pPr>
              <w:pStyle w:val="45"/>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磋商有效期</w:t>
            </w:r>
          </w:p>
        </w:tc>
        <w:tc>
          <w:tcPr>
            <w:tcW w:w="3267" w:type="pct"/>
            <w:vAlign w:val="center"/>
          </w:tcPr>
          <w:p w14:paraId="61C508D3">
            <w:pPr>
              <w:pStyle w:val="45"/>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u w:val="single"/>
              </w:rPr>
              <w:t xml:space="preserve"> 120 </w:t>
            </w:r>
            <w:r>
              <w:rPr>
                <w:rFonts w:hint="eastAsia" w:ascii="宋体" w:hAnsi="宋体" w:eastAsia="宋体"/>
                <w:b w:val="0"/>
                <w:sz w:val="24"/>
                <w:highlight w:val="none"/>
              </w:rPr>
              <w:t>日历日</w:t>
            </w:r>
          </w:p>
        </w:tc>
      </w:tr>
      <w:tr w14:paraId="1F2A0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06DFD09A">
            <w:pPr>
              <w:pStyle w:val="46"/>
              <w:pBdr>
                <w:bottom w:val="none" w:color="auto" w:sz="0" w:space="0"/>
              </w:pBdr>
              <w:tabs>
                <w:tab w:val="clear" w:pos="4153"/>
                <w:tab w:val="clear" w:pos="8306"/>
              </w:tabs>
              <w:adjustRightInd/>
              <w:spacing w:line="360" w:lineRule="auto"/>
              <w:textAlignment w:val="auto"/>
              <w:rPr>
                <w:rFonts w:ascii="宋体" w:hAnsi="宋体" w:eastAsia="宋体"/>
                <w:bCs/>
                <w:kern w:val="2"/>
                <w:highlight w:val="none"/>
              </w:rPr>
            </w:pPr>
            <w:r>
              <w:rPr>
                <w:rFonts w:hint="eastAsia" w:ascii="宋体" w:hAnsi="宋体" w:eastAsia="宋体"/>
                <w:bCs/>
                <w:kern w:val="2"/>
                <w:highlight w:val="none"/>
              </w:rPr>
              <w:t>12</w:t>
            </w:r>
            <w:r>
              <w:rPr>
                <w:rFonts w:ascii="宋体" w:hAnsi="宋体" w:eastAsia="宋体"/>
                <w:bCs/>
                <w:kern w:val="2"/>
                <w:highlight w:val="none"/>
              </w:rPr>
              <w:t>.</w:t>
            </w:r>
            <w:r>
              <w:rPr>
                <w:rFonts w:hint="eastAsia" w:ascii="宋体" w:hAnsi="宋体" w:eastAsia="宋体"/>
                <w:bCs/>
                <w:kern w:val="2"/>
                <w:highlight w:val="none"/>
              </w:rPr>
              <w:t>3</w:t>
            </w:r>
          </w:p>
        </w:tc>
        <w:tc>
          <w:tcPr>
            <w:tcW w:w="1160" w:type="pct"/>
            <w:vAlign w:val="center"/>
          </w:tcPr>
          <w:p w14:paraId="7DE976EE">
            <w:pPr>
              <w:pStyle w:val="45"/>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响应文件解密时间</w:t>
            </w:r>
          </w:p>
        </w:tc>
        <w:tc>
          <w:tcPr>
            <w:tcW w:w="3267" w:type="pct"/>
            <w:vAlign w:val="center"/>
          </w:tcPr>
          <w:p w14:paraId="5938334F">
            <w:pPr>
              <w:pStyle w:val="45"/>
              <w:widowControl w:val="0"/>
              <w:spacing w:before="0" w:beforeAutospacing="0" w:after="0" w:afterAutospacing="0" w:line="360" w:lineRule="auto"/>
              <w:jc w:val="both"/>
              <w:rPr>
                <w:rFonts w:ascii="宋体" w:hAnsi="宋体" w:eastAsia="宋体"/>
                <w:b w:val="0"/>
                <w:sz w:val="24"/>
                <w:highlight w:val="none"/>
                <w:u w:val="single"/>
              </w:rPr>
            </w:pPr>
            <w:r>
              <w:rPr>
                <w:rFonts w:hint="eastAsia" w:ascii="宋体" w:hAnsi="宋体" w:eastAsia="宋体"/>
                <w:b w:val="0"/>
                <w:sz w:val="24"/>
                <w:highlight w:val="none"/>
              </w:rPr>
              <w:t>响应文件提交截止时间后</w:t>
            </w:r>
            <w:r>
              <w:rPr>
                <w:rFonts w:hint="eastAsia" w:ascii="宋体" w:hAnsi="宋体" w:eastAsia="宋体"/>
                <w:b w:val="0"/>
                <w:sz w:val="24"/>
                <w:highlight w:val="none"/>
                <w:u w:val="single"/>
              </w:rPr>
              <w:t xml:space="preserve">  30  </w:t>
            </w:r>
            <w:r>
              <w:rPr>
                <w:rFonts w:hint="eastAsia" w:ascii="宋体" w:hAnsi="宋体" w:eastAsia="宋体"/>
                <w:b w:val="0"/>
                <w:sz w:val="24"/>
                <w:highlight w:val="none"/>
              </w:rPr>
              <w:t>分钟内</w:t>
            </w:r>
          </w:p>
        </w:tc>
      </w:tr>
      <w:tr w14:paraId="15CBE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64A445F0">
            <w:pPr>
              <w:pStyle w:val="46"/>
              <w:pBdr>
                <w:bottom w:val="none" w:color="auto" w:sz="0" w:space="0"/>
              </w:pBdr>
              <w:tabs>
                <w:tab w:val="clear" w:pos="4153"/>
                <w:tab w:val="clear" w:pos="8306"/>
              </w:tabs>
              <w:adjustRightInd/>
              <w:spacing w:line="360" w:lineRule="auto"/>
              <w:textAlignment w:val="auto"/>
              <w:rPr>
                <w:rFonts w:ascii="宋体" w:hAnsi="宋体" w:eastAsia="宋体"/>
                <w:bCs/>
                <w:kern w:val="2"/>
                <w:highlight w:val="none"/>
              </w:rPr>
            </w:pPr>
            <w:r>
              <w:rPr>
                <w:rFonts w:hint="eastAsia" w:ascii="宋体" w:hAnsi="宋体" w:eastAsia="宋体"/>
                <w:bCs/>
                <w:kern w:val="2"/>
                <w:highlight w:val="none"/>
              </w:rPr>
              <w:t>14.2</w:t>
            </w:r>
          </w:p>
        </w:tc>
        <w:tc>
          <w:tcPr>
            <w:tcW w:w="1160" w:type="pct"/>
            <w:vAlign w:val="center"/>
          </w:tcPr>
          <w:p w14:paraId="0432BDDB">
            <w:pPr>
              <w:pStyle w:val="45"/>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评审方法</w:t>
            </w:r>
          </w:p>
        </w:tc>
        <w:tc>
          <w:tcPr>
            <w:tcW w:w="3267" w:type="pct"/>
            <w:vAlign w:val="center"/>
          </w:tcPr>
          <w:p w14:paraId="049AEE05">
            <w:pPr>
              <w:pStyle w:val="45"/>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综合评分法</w:t>
            </w:r>
          </w:p>
        </w:tc>
      </w:tr>
      <w:tr w14:paraId="5EF24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216ADD65">
            <w:pPr>
              <w:pStyle w:val="46"/>
              <w:pBdr>
                <w:bottom w:val="none" w:color="auto" w:sz="0" w:space="0"/>
              </w:pBdr>
              <w:tabs>
                <w:tab w:val="clear" w:pos="4153"/>
                <w:tab w:val="clear" w:pos="8306"/>
              </w:tabs>
              <w:adjustRightInd/>
              <w:spacing w:line="360" w:lineRule="auto"/>
              <w:textAlignment w:val="auto"/>
              <w:rPr>
                <w:rFonts w:ascii="宋体" w:hAnsi="宋体" w:eastAsia="宋体"/>
                <w:bCs/>
                <w:kern w:val="2"/>
                <w:highlight w:val="none"/>
              </w:rPr>
            </w:pPr>
            <w:r>
              <w:rPr>
                <w:rFonts w:hint="eastAsia" w:ascii="宋体" w:hAnsi="宋体" w:eastAsia="宋体"/>
                <w:bCs/>
                <w:kern w:val="2"/>
                <w:highlight w:val="none"/>
              </w:rPr>
              <w:t>17.4</w:t>
            </w:r>
          </w:p>
        </w:tc>
        <w:tc>
          <w:tcPr>
            <w:tcW w:w="1160" w:type="pct"/>
            <w:vAlign w:val="center"/>
          </w:tcPr>
          <w:p w14:paraId="47DF2F05">
            <w:pPr>
              <w:pStyle w:val="45"/>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最后报价扣除</w:t>
            </w:r>
          </w:p>
          <w:p w14:paraId="39831819">
            <w:pPr>
              <w:pStyle w:val="45"/>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i/>
                <w:sz w:val="24"/>
                <w:highlight w:val="none"/>
              </w:rPr>
              <w:t>（非专门面向中小企业采购项目适用）</w:t>
            </w:r>
          </w:p>
        </w:tc>
        <w:tc>
          <w:tcPr>
            <w:tcW w:w="3267" w:type="pct"/>
            <w:vAlign w:val="center"/>
          </w:tcPr>
          <w:p w14:paraId="4506CDDB">
            <w:pPr>
              <w:pStyle w:val="45"/>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（1）</w:t>
            </w:r>
            <w:r>
              <w:rPr>
                <w:rFonts w:ascii="宋体" w:hAnsi="宋体" w:eastAsia="宋体"/>
                <w:b w:val="0"/>
                <w:sz w:val="24"/>
                <w:highlight w:val="none"/>
              </w:rPr>
              <w:t>小型和微型</w:t>
            </w:r>
            <w:r>
              <w:rPr>
                <w:rFonts w:hint="eastAsia" w:ascii="宋体" w:hAnsi="宋体" w:eastAsia="宋体"/>
                <w:b w:val="0"/>
                <w:sz w:val="24"/>
                <w:highlight w:val="none"/>
              </w:rPr>
              <w:t>企业价格扣除：</w:t>
            </w:r>
            <w:r>
              <w:rPr>
                <w:rFonts w:hint="eastAsia" w:ascii="宋体" w:hAnsi="宋体" w:eastAsia="宋体"/>
                <w:b w:val="0"/>
                <w:sz w:val="24"/>
                <w:highlight w:val="none"/>
                <w:u w:val="single"/>
              </w:rPr>
              <w:t xml:space="preserve">  10%    </w:t>
            </w:r>
            <w:r>
              <w:rPr>
                <w:rFonts w:hint="eastAsia" w:ascii="宋体" w:hAnsi="宋体" w:eastAsia="宋体"/>
                <w:b w:val="0"/>
                <w:sz w:val="24"/>
                <w:highlight w:val="none"/>
              </w:rPr>
              <w:t>。</w:t>
            </w:r>
          </w:p>
          <w:p w14:paraId="40941974">
            <w:pPr>
              <w:pStyle w:val="45"/>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（2）监狱企业价格扣除：同</w:t>
            </w:r>
            <w:r>
              <w:rPr>
                <w:rFonts w:ascii="宋体" w:hAnsi="宋体" w:eastAsia="宋体"/>
                <w:b w:val="0"/>
                <w:sz w:val="24"/>
                <w:highlight w:val="none"/>
              </w:rPr>
              <w:t>小型和微型企业</w:t>
            </w:r>
            <w:r>
              <w:rPr>
                <w:rFonts w:hint="eastAsia" w:ascii="宋体" w:hAnsi="宋体" w:eastAsia="宋体"/>
                <w:b w:val="0"/>
                <w:sz w:val="24"/>
                <w:highlight w:val="none"/>
              </w:rPr>
              <w:t>。</w:t>
            </w:r>
          </w:p>
          <w:p w14:paraId="12704584">
            <w:pPr>
              <w:pStyle w:val="45"/>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（3）残疾人福利性单位价格扣除：同</w:t>
            </w:r>
            <w:r>
              <w:rPr>
                <w:rFonts w:ascii="宋体" w:hAnsi="宋体" w:eastAsia="宋体"/>
                <w:b w:val="0"/>
                <w:sz w:val="24"/>
                <w:highlight w:val="none"/>
              </w:rPr>
              <w:t>小型和微型企业</w:t>
            </w:r>
            <w:r>
              <w:rPr>
                <w:rFonts w:hint="eastAsia" w:ascii="宋体" w:hAnsi="宋体" w:eastAsia="宋体"/>
                <w:b w:val="0"/>
                <w:sz w:val="24"/>
                <w:highlight w:val="none"/>
              </w:rPr>
              <w:t>。</w:t>
            </w:r>
          </w:p>
          <w:p w14:paraId="02C0E5A3">
            <w:pPr>
              <w:pStyle w:val="45"/>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（4）符合条件的联合体价格扣除：</w:t>
            </w:r>
            <w:r>
              <w:rPr>
                <w:rFonts w:hint="eastAsia" w:ascii="宋体" w:hAnsi="宋体" w:eastAsia="宋体"/>
                <w:b w:val="0"/>
                <w:sz w:val="24"/>
                <w:highlight w:val="none"/>
                <w:u w:val="single"/>
              </w:rPr>
              <w:t xml:space="preserve"> /    </w:t>
            </w:r>
            <w:r>
              <w:rPr>
                <w:rFonts w:hint="eastAsia" w:ascii="宋体" w:hAnsi="宋体" w:eastAsia="宋体"/>
                <w:b w:val="0"/>
                <w:sz w:val="24"/>
                <w:highlight w:val="none"/>
              </w:rPr>
              <w:t>。</w:t>
            </w:r>
          </w:p>
          <w:p w14:paraId="3B8CE099">
            <w:pPr>
              <w:pStyle w:val="45"/>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（5）符合条件的向小微企业分包的大中型企业价格扣除：</w:t>
            </w:r>
            <w:r>
              <w:rPr>
                <w:rFonts w:hint="eastAsia" w:ascii="宋体" w:hAnsi="宋体" w:eastAsia="宋体"/>
                <w:b w:val="0"/>
                <w:sz w:val="24"/>
                <w:highlight w:val="none"/>
                <w:u w:val="single"/>
              </w:rPr>
              <w:t xml:space="preserve">  /  </w:t>
            </w:r>
            <w:r>
              <w:rPr>
                <w:rFonts w:hint="eastAsia" w:ascii="宋体" w:hAnsi="宋体" w:eastAsia="宋体"/>
                <w:b w:val="0"/>
                <w:sz w:val="24"/>
                <w:highlight w:val="none"/>
              </w:rPr>
              <w:t>。</w:t>
            </w:r>
            <w:r>
              <w:rPr>
                <w:rFonts w:hint="eastAsia" w:ascii="宋体" w:hAnsi="宋体" w:eastAsia="宋体"/>
                <w:b w:val="0"/>
                <w:i/>
                <w:sz w:val="24"/>
                <w:highlight w:val="none"/>
              </w:rPr>
              <w:t>（允许大中型企业向小微企业分包的项目适用）</w:t>
            </w:r>
          </w:p>
        </w:tc>
      </w:tr>
      <w:tr w14:paraId="1D2BE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Merge w:val="restart"/>
            <w:vAlign w:val="center"/>
          </w:tcPr>
          <w:p w14:paraId="573591D8">
            <w:pPr>
              <w:pStyle w:val="46"/>
              <w:pBdr>
                <w:bottom w:val="none" w:color="auto" w:sz="0" w:space="0"/>
              </w:pBdr>
              <w:tabs>
                <w:tab w:val="clear" w:pos="4153"/>
                <w:tab w:val="clear" w:pos="8306"/>
              </w:tabs>
              <w:adjustRightInd/>
              <w:spacing w:line="360" w:lineRule="auto"/>
              <w:textAlignment w:val="auto"/>
              <w:rPr>
                <w:rFonts w:ascii="宋体" w:hAnsi="宋体" w:eastAsia="宋体"/>
                <w:bCs/>
                <w:kern w:val="2"/>
                <w:highlight w:val="none"/>
              </w:rPr>
            </w:pPr>
            <w:r>
              <w:rPr>
                <w:rFonts w:hint="eastAsia" w:ascii="宋体" w:hAnsi="宋体" w:eastAsia="宋体"/>
                <w:bCs/>
                <w:kern w:val="2"/>
                <w:highlight w:val="none"/>
              </w:rPr>
              <w:t>19</w:t>
            </w:r>
            <w:r>
              <w:rPr>
                <w:rFonts w:ascii="宋体" w:hAnsi="宋体" w:eastAsia="宋体"/>
                <w:bCs/>
                <w:kern w:val="2"/>
                <w:highlight w:val="none"/>
              </w:rPr>
              <w:t>.</w:t>
            </w:r>
            <w:r>
              <w:rPr>
                <w:rFonts w:hint="eastAsia" w:ascii="宋体" w:hAnsi="宋体" w:eastAsia="宋体"/>
                <w:bCs/>
                <w:kern w:val="2"/>
                <w:highlight w:val="none"/>
              </w:rPr>
              <w:t>1</w:t>
            </w:r>
          </w:p>
        </w:tc>
        <w:tc>
          <w:tcPr>
            <w:tcW w:w="1160" w:type="pct"/>
            <w:vMerge w:val="restart"/>
            <w:vAlign w:val="center"/>
          </w:tcPr>
          <w:p w14:paraId="35631ECD">
            <w:pPr>
              <w:pStyle w:val="45"/>
              <w:widowControl w:val="0"/>
              <w:spacing w:before="0" w:beforeAutospacing="0" w:after="0" w:afterAutospacing="0" w:line="360" w:lineRule="auto"/>
              <w:jc w:val="both"/>
              <w:rPr>
                <w:rFonts w:ascii="宋体" w:hAnsi="宋体" w:eastAsia="宋体"/>
                <w:b w:val="0"/>
                <w:sz w:val="24"/>
                <w:highlight w:val="none"/>
              </w:rPr>
            </w:pPr>
            <w:r>
              <w:rPr>
                <w:rFonts w:hint="eastAsia" w:asciiTheme="minorEastAsia" w:hAnsiTheme="minorEastAsia" w:eastAsiaTheme="minorEastAsia"/>
                <w:b w:val="0"/>
                <w:sz w:val="24"/>
                <w:highlight w:val="none"/>
              </w:rPr>
              <w:t>确定成交候选供应商和成交供应商</w:t>
            </w:r>
          </w:p>
        </w:tc>
        <w:tc>
          <w:tcPr>
            <w:tcW w:w="3267" w:type="pct"/>
            <w:vAlign w:val="center"/>
          </w:tcPr>
          <w:p w14:paraId="0834C1C0">
            <w:pPr>
              <w:pStyle w:val="45"/>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磋商小组推荐成交</w:t>
            </w:r>
            <w:r>
              <w:rPr>
                <w:rFonts w:ascii="宋体" w:hAnsi="宋体" w:eastAsia="宋体"/>
                <w:b w:val="0"/>
                <w:sz w:val="24"/>
                <w:highlight w:val="none"/>
              </w:rPr>
              <w:t>候选</w:t>
            </w:r>
            <w:r>
              <w:rPr>
                <w:rFonts w:hint="eastAsia" w:ascii="宋体" w:hAnsi="宋体" w:eastAsia="宋体"/>
                <w:b w:val="0"/>
                <w:sz w:val="24"/>
                <w:highlight w:val="none"/>
              </w:rPr>
              <w:t>供应商的</w:t>
            </w:r>
            <w:r>
              <w:rPr>
                <w:rFonts w:ascii="宋体" w:hAnsi="宋体" w:eastAsia="宋体"/>
                <w:b w:val="0"/>
                <w:sz w:val="24"/>
                <w:highlight w:val="none"/>
              </w:rPr>
              <w:t>数</w:t>
            </w:r>
            <w:r>
              <w:rPr>
                <w:rFonts w:hint="eastAsia" w:ascii="宋体" w:hAnsi="宋体" w:eastAsia="宋体"/>
                <w:b w:val="0"/>
                <w:sz w:val="24"/>
                <w:highlight w:val="none"/>
              </w:rPr>
              <w:t>量：3家以上</w:t>
            </w:r>
          </w:p>
          <w:p w14:paraId="38FF7A2C">
            <w:pPr>
              <w:pStyle w:val="45"/>
              <w:widowControl w:val="0"/>
              <w:spacing w:before="0" w:beforeAutospacing="0" w:after="0" w:afterAutospacing="0" w:line="360" w:lineRule="auto"/>
              <w:jc w:val="both"/>
              <w:rPr>
                <w:rFonts w:ascii="宋体" w:hAnsi="宋体" w:eastAsia="宋体"/>
                <w:b w:val="0"/>
                <w:sz w:val="24"/>
                <w:highlight w:val="none"/>
                <w:u w:val="single"/>
              </w:rPr>
            </w:pPr>
            <w:r>
              <w:rPr>
                <w:rFonts w:hint="eastAsia" w:ascii="宋体" w:hAnsi="宋体" w:eastAsia="宋体"/>
                <w:b w:val="0"/>
                <w:sz w:val="24"/>
                <w:highlight w:val="none"/>
              </w:rPr>
              <w:t>注：法律、法规另有规定的，从其规定</w:t>
            </w:r>
          </w:p>
        </w:tc>
      </w:tr>
      <w:tr w14:paraId="7D8FE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Merge w:val="continue"/>
            <w:vAlign w:val="center"/>
          </w:tcPr>
          <w:p w14:paraId="3120473C">
            <w:pPr>
              <w:pStyle w:val="46"/>
              <w:pBdr>
                <w:bottom w:val="none" w:color="auto" w:sz="0" w:space="0"/>
              </w:pBdr>
              <w:tabs>
                <w:tab w:val="clear" w:pos="4153"/>
                <w:tab w:val="clear" w:pos="8306"/>
              </w:tabs>
              <w:adjustRightInd/>
              <w:spacing w:line="360" w:lineRule="auto"/>
              <w:textAlignment w:val="auto"/>
              <w:rPr>
                <w:rFonts w:ascii="宋体" w:hAnsi="宋体" w:eastAsia="宋体"/>
                <w:bCs/>
                <w:kern w:val="2"/>
                <w:highlight w:val="none"/>
              </w:rPr>
            </w:pPr>
          </w:p>
        </w:tc>
        <w:tc>
          <w:tcPr>
            <w:tcW w:w="1160" w:type="pct"/>
            <w:vMerge w:val="continue"/>
            <w:vAlign w:val="center"/>
          </w:tcPr>
          <w:p w14:paraId="320A7AB5">
            <w:pPr>
              <w:pStyle w:val="45"/>
              <w:widowControl w:val="0"/>
              <w:spacing w:before="0" w:beforeAutospacing="0" w:after="0" w:afterAutospacing="0" w:line="360" w:lineRule="auto"/>
              <w:jc w:val="both"/>
              <w:rPr>
                <w:rFonts w:ascii="宋体" w:hAnsi="宋体" w:eastAsia="宋体"/>
                <w:b w:val="0"/>
                <w:sz w:val="24"/>
                <w:highlight w:val="none"/>
              </w:rPr>
            </w:pPr>
          </w:p>
        </w:tc>
        <w:tc>
          <w:tcPr>
            <w:tcW w:w="3267" w:type="pct"/>
            <w:vAlign w:val="center"/>
          </w:tcPr>
          <w:p w14:paraId="2F5A7EF0">
            <w:pPr>
              <w:pStyle w:val="45"/>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确定成交供应商：</w:t>
            </w:r>
          </w:p>
          <w:p w14:paraId="7F645C3F">
            <w:pPr>
              <w:pStyle w:val="45"/>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sym w:font="Wingdings" w:char="00FE"/>
            </w:r>
            <w:r>
              <w:rPr>
                <w:rFonts w:hint="eastAsia" w:ascii="宋体" w:hAnsi="宋体" w:eastAsia="宋体"/>
                <w:b w:val="0"/>
                <w:sz w:val="24"/>
                <w:highlight w:val="none"/>
              </w:rPr>
              <w:t xml:space="preserve">采购人委托磋商小组确定 </w:t>
            </w:r>
            <w:r>
              <w:rPr>
                <w:rFonts w:ascii="宋体" w:hAnsi="宋体" w:eastAsia="宋体"/>
                <w:b w:val="0"/>
                <w:sz w:val="24"/>
                <w:highlight w:val="none"/>
              </w:rPr>
              <w:t xml:space="preserve">   </w:t>
            </w:r>
            <w:r>
              <w:rPr>
                <w:rFonts w:hint="eastAsia" w:ascii="宋体" w:hAnsi="宋体" w:eastAsia="宋体"/>
                <w:b w:val="0"/>
                <w:sz w:val="24"/>
                <w:highlight w:val="none"/>
              </w:rPr>
              <w:t xml:space="preserve"> □采购人确定</w:t>
            </w:r>
          </w:p>
        </w:tc>
      </w:tr>
      <w:tr w14:paraId="7B17E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1DB60E6E">
            <w:pPr>
              <w:pStyle w:val="46"/>
              <w:pBdr>
                <w:bottom w:val="none" w:color="auto" w:sz="0" w:space="0"/>
              </w:pBdr>
              <w:tabs>
                <w:tab w:val="clear" w:pos="4153"/>
                <w:tab w:val="clear" w:pos="8306"/>
              </w:tabs>
              <w:adjustRightInd/>
              <w:spacing w:line="360" w:lineRule="auto"/>
              <w:textAlignment w:val="auto"/>
              <w:rPr>
                <w:rFonts w:ascii="宋体" w:hAnsi="宋体" w:eastAsia="宋体"/>
                <w:bCs/>
                <w:kern w:val="2"/>
                <w:highlight w:val="none"/>
              </w:rPr>
            </w:pPr>
            <w:r>
              <w:rPr>
                <w:rFonts w:hint="eastAsia" w:ascii="宋体" w:hAnsi="宋体" w:eastAsia="宋体"/>
                <w:bCs/>
                <w:kern w:val="2"/>
                <w:highlight w:val="none"/>
              </w:rPr>
              <w:t>22</w:t>
            </w:r>
            <w:r>
              <w:rPr>
                <w:rFonts w:ascii="宋体" w:hAnsi="宋体" w:eastAsia="宋体"/>
                <w:bCs/>
                <w:kern w:val="2"/>
                <w:highlight w:val="none"/>
              </w:rPr>
              <w:t>.</w:t>
            </w:r>
            <w:r>
              <w:rPr>
                <w:rFonts w:hint="eastAsia" w:ascii="宋体" w:hAnsi="宋体" w:eastAsia="宋体"/>
                <w:bCs/>
                <w:kern w:val="2"/>
                <w:highlight w:val="none"/>
              </w:rPr>
              <w:t>2</w:t>
            </w:r>
          </w:p>
        </w:tc>
        <w:tc>
          <w:tcPr>
            <w:tcW w:w="1160" w:type="pct"/>
            <w:vAlign w:val="center"/>
          </w:tcPr>
          <w:p w14:paraId="79A07FF9">
            <w:pPr>
              <w:pStyle w:val="45"/>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随成交结果公告同时公告的内容</w:t>
            </w:r>
          </w:p>
        </w:tc>
        <w:tc>
          <w:tcPr>
            <w:tcW w:w="3267" w:type="pct"/>
            <w:vAlign w:val="center"/>
          </w:tcPr>
          <w:p w14:paraId="14B07CA9">
            <w:pPr>
              <w:pStyle w:val="45"/>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（1）中小企业声明函；</w:t>
            </w:r>
            <w:r>
              <w:rPr>
                <w:rFonts w:hint="eastAsia" w:ascii="宋体" w:hAnsi="宋体" w:eastAsia="宋体"/>
                <w:b w:val="0"/>
                <w:i/>
                <w:iCs/>
                <w:sz w:val="24"/>
                <w:highlight w:val="none"/>
              </w:rPr>
              <w:t>（如有）</w:t>
            </w:r>
          </w:p>
          <w:p w14:paraId="2C8BCB89">
            <w:pPr>
              <w:pStyle w:val="45"/>
              <w:widowControl w:val="0"/>
              <w:spacing w:before="0" w:beforeAutospacing="0" w:after="0" w:afterAutospacing="0" w:line="360" w:lineRule="auto"/>
              <w:jc w:val="both"/>
              <w:rPr>
                <w:rFonts w:ascii="宋体" w:hAnsi="宋体" w:eastAsia="宋体"/>
                <w:b w:val="0"/>
                <w:i/>
                <w:sz w:val="24"/>
                <w:highlight w:val="none"/>
              </w:rPr>
            </w:pPr>
            <w:r>
              <w:rPr>
                <w:rFonts w:hint="eastAsia" w:ascii="宋体" w:hAnsi="宋体" w:eastAsia="宋体"/>
                <w:b w:val="0"/>
                <w:sz w:val="24"/>
                <w:highlight w:val="none"/>
              </w:rPr>
              <w:t>（2）残疾人福利性单位声明函；</w:t>
            </w:r>
            <w:r>
              <w:rPr>
                <w:rFonts w:hint="eastAsia" w:ascii="宋体" w:hAnsi="宋体" w:eastAsia="宋体"/>
                <w:b w:val="0"/>
                <w:i/>
                <w:iCs/>
                <w:sz w:val="24"/>
                <w:highlight w:val="none"/>
              </w:rPr>
              <w:t>（如有）</w:t>
            </w:r>
          </w:p>
          <w:p w14:paraId="76B98A84">
            <w:pPr>
              <w:pStyle w:val="45"/>
              <w:widowControl w:val="0"/>
              <w:spacing w:before="0" w:beforeAutospacing="0" w:after="0" w:afterAutospacing="0" w:line="360" w:lineRule="auto"/>
              <w:jc w:val="both"/>
              <w:rPr>
                <w:rFonts w:ascii="宋体" w:hAnsi="宋体" w:eastAsia="宋体"/>
                <w:b w:val="0"/>
                <w:i/>
                <w:iCs/>
                <w:sz w:val="24"/>
                <w:highlight w:val="none"/>
              </w:rPr>
            </w:pPr>
            <w:r>
              <w:rPr>
                <w:rFonts w:hint="eastAsia" w:ascii="宋体" w:hAnsi="宋体" w:eastAsia="宋体"/>
                <w:b w:val="0"/>
                <w:sz w:val="24"/>
                <w:highlight w:val="none"/>
              </w:rPr>
              <w:t>（3）中标（成交）供应商的评审总得分；</w:t>
            </w:r>
          </w:p>
          <w:p w14:paraId="0976E1C0">
            <w:pPr>
              <w:pStyle w:val="45"/>
              <w:widowControl w:val="0"/>
              <w:spacing w:before="0" w:beforeAutospacing="0" w:after="0" w:afterAutospacing="0" w:line="360" w:lineRule="auto"/>
              <w:jc w:val="both"/>
              <w:rPr>
                <w:rFonts w:ascii="宋体" w:hAnsi="宋体" w:eastAsia="宋体"/>
                <w:b w:val="0"/>
                <w:bCs w:val="0"/>
                <w:sz w:val="24"/>
                <w:szCs w:val="24"/>
                <w:highlight w:val="none"/>
              </w:rPr>
            </w:pPr>
            <w:r>
              <w:rPr>
                <w:rFonts w:hint="eastAsia" w:ascii="宋体" w:hAnsi="宋体" w:eastAsia="宋体"/>
                <w:b w:val="0"/>
                <w:sz w:val="24"/>
                <w:highlight w:val="none"/>
              </w:rPr>
              <w:t>（4） 采购文件</w:t>
            </w:r>
          </w:p>
        </w:tc>
      </w:tr>
      <w:tr w14:paraId="07D1A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228DAF4E">
            <w:pPr>
              <w:pStyle w:val="46"/>
              <w:pBdr>
                <w:bottom w:val="none" w:color="auto" w:sz="0" w:space="0"/>
              </w:pBdr>
              <w:tabs>
                <w:tab w:val="clear" w:pos="4153"/>
                <w:tab w:val="clear" w:pos="8306"/>
              </w:tabs>
              <w:adjustRightInd/>
              <w:spacing w:line="360" w:lineRule="auto"/>
              <w:textAlignment w:val="auto"/>
              <w:rPr>
                <w:rFonts w:ascii="宋体" w:hAnsi="宋体" w:eastAsia="宋体"/>
                <w:bCs/>
                <w:kern w:val="2"/>
                <w:highlight w:val="none"/>
              </w:rPr>
            </w:pPr>
            <w:r>
              <w:rPr>
                <w:rFonts w:hint="eastAsia" w:ascii="宋体" w:hAnsi="宋体" w:eastAsia="宋体"/>
                <w:bCs/>
                <w:kern w:val="2"/>
                <w:highlight w:val="none"/>
              </w:rPr>
              <w:t>23</w:t>
            </w:r>
            <w:r>
              <w:rPr>
                <w:rFonts w:ascii="宋体" w:hAnsi="宋体" w:eastAsia="宋体"/>
                <w:bCs/>
                <w:kern w:val="2"/>
                <w:highlight w:val="none"/>
              </w:rPr>
              <w:t>.1</w:t>
            </w:r>
          </w:p>
        </w:tc>
        <w:tc>
          <w:tcPr>
            <w:tcW w:w="1160" w:type="pct"/>
            <w:vAlign w:val="center"/>
          </w:tcPr>
          <w:p w14:paraId="7B5FB9B3">
            <w:pPr>
              <w:pStyle w:val="45"/>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成交通知书发出的形式</w:t>
            </w:r>
          </w:p>
        </w:tc>
        <w:tc>
          <w:tcPr>
            <w:tcW w:w="3267" w:type="pct"/>
            <w:vAlign w:val="center"/>
          </w:tcPr>
          <w:p w14:paraId="2C4E0753">
            <w:pPr>
              <w:pStyle w:val="45"/>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 xml:space="preserve">□书面 </w:t>
            </w:r>
            <w:r>
              <w:rPr>
                <w:rFonts w:ascii="宋体" w:hAnsi="宋体" w:eastAsia="宋体"/>
                <w:b w:val="0"/>
                <w:sz w:val="24"/>
                <w:highlight w:val="none"/>
              </w:rPr>
              <w:t xml:space="preserve">    </w:t>
            </w:r>
            <w:r>
              <w:rPr>
                <w:rFonts w:hint="eastAsia" w:ascii="宋体" w:hAnsi="宋体" w:eastAsia="宋体"/>
                <w:b w:val="0"/>
                <w:bCs w:val="0"/>
                <w:sz w:val="24"/>
                <w:szCs w:val="24"/>
                <w:highlight w:val="none"/>
              </w:rPr>
              <w:sym w:font="Wingdings" w:char="00FE"/>
            </w:r>
            <w:r>
              <w:rPr>
                <w:rFonts w:hint="eastAsia" w:ascii="宋体" w:hAnsi="宋体" w:eastAsia="宋体"/>
                <w:b w:val="0"/>
                <w:sz w:val="24"/>
                <w:highlight w:val="none"/>
              </w:rPr>
              <w:t>数据电文</w:t>
            </w:r>
          </w:p>
        </w:tc>
      </w:tr>
      <w:tr w14:paraId="6DAAA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55B36677">
            <w:pPr>
              <w:pStyle w:val="46"/>
              <w:pBdr>
                <w:bottom w:val="none" w:color="auto" w:sz="0" w:space="0"/>
              </w:pBdr>
              <w:tabs>
                <w:tab w:val="clear" w:pos="4153"/>
                <w:tab w:val="clear" w:pos="8306"/>
              </w:tabs>
              <w:adjustRightInd/>
              <w:spacing w:line="360" w:lineRule="auto"/>
              <w:textAlignment w:val="auto"/>
              <w:rPr>
                <w:rFonts w:ascii="宋体" w:hAnsi="宋体" w:eastAsia="宋体"/>
                <w:bCs/>
                <w:kern w:val="2"/>
                <w:highlight w:val="none"/>
              </w:rPr>
            </w:pPr>
            <w:r>
              <w:rPr>
                <w:rFonts w:hint="eastAsia" w:ascii="宋体" w:hAnsi="宋体" w:eastAsia="宋体"/>
                <w:bCs/>
                <w:kern w:val="2"/>
                <w:highlight w:val="none"/>
              </w:rPr>
              <w:t>24</w:t>
            </w:r>
            <w:r>
              <w:rPr>
                <w:rFonts w:ascii="宋体" w:hAnsi="宋体" w:eastAsia="宋体"/>
                <w:bCs/>
                <w:kern w:val="2"/>
                <w:highlight w:val="none"/>
              </w:rPr>
              <w:t>.1</w:t>
            </w:r>
          </w:p>
        </w:tc>
        <w:tc>
          <w:tcPr>
            <w:tcW w:w="1160" w:type="pct"/>
            <w:vAlign w:val="center"/>
          </w:tcPr>
          <w:p w14:paraId="239B1FA8">
            <w:pPr>
              <w:pStyle w:val="45"/>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告知磋商结果的形式</w:t>
            </w:r>
          </w:p>
        </w:tc>
        <w:tc>
          <w:tcPr>
            <w:tcW w:w="3267" w:type="pct"/>
            <w:vAlign w:val="center"/>
          </w:tcPr>
          <w:p w14:paraId="091800F4">
            <w:pPr>
              <w:pStyle w:val="45"/>
              <w:widowControl w:val="0"/>
              <w:spacing w:before="0" w:beforeAutospacing="0" w:after="0" w:afterAutospacing="0" w:line="360" w:lineRule="auto"/>
              <w:jc w:val="both"/>
              <w:rPr>
                <w:rFonts w:ascii="宋体" w:hAnsi="宋体" w:eastAsia="宋体"/>
                <w:b w:val="0"/>
                <w:bCs w:val="0"/>
                <w:sz w:val="24"/>
                <w:szCs w:val="24"/>
                <w:highlight w:val="none"/>
              </w:rPr>
            </w:pPr>
            <w:r>
              <w:rPr>
                <w:rFonts w:hint="eastAsia" w:ascii="宋体" w:hAnsi="宋体" w:eastAsia="宋体"/>
                <w:b w:val="0"/>
                <w:bCs w:val="0"/>
                <w:sz w:val="24"/>
                <w:szCs w:val="24"/>
                <w:highlight w:val="none"/>
              </w:rPr>
              <w:sym w:font="Wingdings" w:char="00FE"/>
            </w:r>
            <w:r>
              <w:rPr>
                <w:rFonts w:hint="eastAsia" w:ascii="宋体" w:hAnsi="宋体" w:eastAsia="宋体"/>
                <w:b w:val="0"/>
                <w:bCs w:val="0"/>
                <w:sz w:val="24"/>
                <w:szCs w:val="24"/>
                <w:highlight w:val="none"/>
              </w:rPr>
              <w:t>供应商自行登录电子</w:t>
            </w:r>
            <w:r>
              <w:rPr>
                <w:rFonts w:hint="eastAsia" w:ascii="宋体" w:hAnsi="宋体" w:eastAsia="宋体" w:cs="宋体"/>
                <w:b w:val="0"/>
                <w:bCs w:val="0"/>
                <w:sz w:val="24"/>
                <w:szCs w:val="24"/>
                <w:highlight w:val="none"/>
              </w:rPr>
              <w:t>交易</w:t>
            </w:r>
            <w:r>
              <w:rPr>
                <w:rFonts w:hint="eastAsia" w:ascii="宋体" w:hAnsi="宋体" w:eastAsia="宋体"/>
                <w:b w:val="0"/>
                <w:bCs w:val="0"/>
                <w:sz w:val="24"/>
                <w:szCs w:val="24"/>
                <w:highlight w:val="none"/>
              </w:rPr>
              <w:t>系统查看</w:t>
            </w:r>
          </w:p>
          <w:p w14:paraId="0D08B64D">
            <w:pPr>
              <w:pStyle w:val="45"/>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□磋商现场告知</w:t>
            </w:r>
          </w:p>
        </w:tc>
      </w:tr>
      <w:tr w14:paraId="1F25F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4CE57896">
            <w:pPr>
              <w:pStyle w:val="46"/>
              <w:pBdr>
                <w:bottom w:val="none" w:color="auto" w:sz="0" w:space="0"/>
              </w:pBdr>
              <w:tabs>
                <w:tab w:val="clear" w:pos="4153"/>
                <w:tab w:val="clear" w:pos="8306"/>
              </w:tabs>
              <w:adjustRightInd/>
              <w:spacing w:line="360" w:lineRule="auto"/>
              <w:textAlignment w:val="auto"/>
              <w:rPr>
                <w:rFonts w:ascii="宋体" w:hAnsi="宋体" w:eastAsia="宋体"/>
                <w:bCs/>
                <w:kern w:val="2"/>
                <w:highlight w:val="none"/>
              </w:rPr>
            </w:pPr>
            <w:r>
              <w:rPr>
                <w:rFonts w:hint="eastAsia" w:ascii="宋体" w:hAnsi="宋体" w:eastAsia="宋体"/>
                <w:bCs/>
                <w:kern w:val="2"/>
                <w:highlight w:val="none"/>
              </w:rPr>
              <w:t>25</w:t>
            </w:r>
            <w:r>
              <w:rPr>
                <w:rFonts w:ascii="宋体" w:hAnsi="宋体" w:eastAsia="宋体"/>
                <w:bCs/>
                <w:kern w:val="2"/>
                <w:highlight w:val="none"/>
              </w:rPr>
              <w:t>.1</w:t>
            </w:r>
          </w:p>
        </w:tc>
        <w:tc>
          <w:tcPr>
            <w:tcW w:w="1160" w:type="pct"/>
            <w:vAlign w:val="center"/>
          </w:tcPr>
          <w:p w14:paraId="3113DBA1">
            <w:pPr>
              <w:pStyle w:val="45"/>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履约保证金</w:t>
            </w:r>
          </w:p>
        </w:tc>
        <w:tc>
          <w:tcPr>
            <w:tcW w:w="3267" w:type="pct"/>
          </w:tcPr>
          <w:p w14:paraId="59775142">
            <w:pPr>
              <w:spacing w:line="360" w:lineRule="auto"/>
              <w:rPr>
                <w:rFonts w:ascii="宋体" w:hAnsi="宋体" w:eastAsia="宋体"/>
                <w:bCs/>
                <w:kern w:val="0"/>
                <w:sz w:val="24"/>
                <w:szCs w:val="28"/>
                <w:highlight w:val="none"/>
              </w:rPr>
            </w:pPr>
            <w:r>
              <w:rPr>
                <w:rFonts w:hint="eastAsia" w:ascii="宋体" w:hAnsi="宋体" w:eastAsia="宋体"/>
                <w:bCs/>
                <w:kern w:val="0"/>
                <w:sz w:val="24"/>
                <w:szCs w:val="28"/>
                <w:highlight w:val="none"/>
              </w:rPr>
              <w:t>（1）金额：</w:t>
            </w:r>
          </w:p>
          <w:p w14:paraId="63EDDE28">
            <w:pPr>
              <w:spacing w:line="360" w:lineRule="auto"/>
              <w:rPr>
                <w:rFonts w:ascii="宋体" w:hAnsi="宋体" w:eastAsia="宋体"/>
                <w:bCs/>
                <w:kern w:val="0"/>
                <w:sz w:val="24"/>
                <w:szCs w:val="28"/>
                <w:highlight w:val="none"/>
              </w:rPr>
            </w:pPr>
            <w:r>
              <w:rPr>
                <w:rFonts w:ascii="宋体" w:hAnsi="宋体" w:eastAsia="宋体"/>
                <w:bCs/>
                <w:kern w:val="0"/>
                <w:sz w:val="24"/>
                <w:szCs w:val="28"/>
                <w:highlight w:val="none"/>
              </w:rPr>
              <w:t>□</w:t>
            </w:r>
            <w:r>
              <w:rPr>
                <w:rFonts w:hint="eastAsia" w:ascii="宋体" w:hAnsi="宋体" w:eastAsia="宋体"/>
                <w:bCs/>
                <w:kern w:val="0"/>
                <w:sz w:val="24"/>
                <w:szCs w:val="28"/>
                <w:highlight w:val="none"/>
              </w:rPr>
              <w:t>免收</w:t>
            </w:r>
          </w:p>
          <w:p w14:paraId="2EE6A591">
            <w:pPr>
              <w:spacing w:line="360" w:lineRule="auto"/>
              <w:rPr>
                <w:rFonts w:ascii="宋体" w:hAnsi="宋体" w:eastAsia="宋体"/>
                <w:bCs/>
                <w:kern w:val="0"/>
                <w:sz w:val="24"/>
                <w:szCs w:val="28"/>
                <w:highlight w:val="none"/>
              </w:rPr>
            </w:pPr>
            <w:r>
              <w:rPr>
                <w:rFonts w:hint="eastAsia" w:ascii="宋体" w:hAnsi="宋体" w:eastAsia="宋体"/>
                <w:bCs/>
                <w:kern w:val="0"/>
                <w:sz w:val="24"/>
                <w:szCs w:val="28"/>
                <w:highlight w:val="none"/>
              </w:rPr>
              <w:t>☑合同价的</w:t>
            </w:r>
            <w:r>
              <w:rPr>
                <w:rFonts w:ascii="宋体" w:hAnsi="宋体" w:eastAsia="宋体"/>
                <w:bCs/>
                <w:kern w:val="0"/>
                <w:sz w:val="24"/>
                <w:szCs w:val="28"/>
                <w:highlight w:val="none"/>
                <w:u w:val="single"/>
              </w:rPr>
              <w:t xml:space="preserve"> </w:t>
            </w:r>
            <w:r>
              <w:rPr>
                <w:rFonts w:hint="eastAsia" w:ascii="宋体" w:hAnsi="宋体" w:eastAsia="宋体"/>
                <w:bCs/>
                <w:kern w:val="0"/>
                <w:sz w:val="24"/>
                <w:szCs w:val="28"/>
                <w:highlight w:val="none"/>
                <w:u w:val="single"/>
              </w:rPr>
              <w:t>2.5</w:t>
            </w:r>
            <w:r>
              <w:rPr>
                <w:rFonts w:ascii="宋体" w:hAnsi="宋体" w:eastAsia="宋体"/>
                <w:bCs/>
                <w:kern w:val="0"/>
                <w:sz w:val="24"/>
                <w:szCs w:val="28"/>
                <w:highlight w:val="none"/>
                <w:u w:val="single"/>
              </w:rPr>
              <w:t xml:space="preserve">  </w:t>
            </w:r>
            <w:r>
              <w:rPr>
                <w:rFonts w:ascii="宋体" w:hAnsi="宋体" w:eastAsia="宋体"/>
                <w:bCs/>
                <w:kern w:val="0"/>
                <w:sz w:val="24"/>
                <w:szCs w:val="28"/>
                <w:highlight w:val="none"/>
              </w:rPr>
              <w:t>%</w:t>
            </w:r>
          </w:p>
          <w:p w14:paraId="0EBB4384">
            <w:pPr>
              <w:spacing w:line="360" w:lineRule="auto"/>
              <w:rPr>
                <w:rFonts w:ascii="宋体" w:hAnsi="宋体" w:eastAsia="宋体"/>
                <w:bCs/>
                <w:kern w:val="0"/>
                <w:sz w:val="24"/>
                <w:szCs w:val="28"/>
                <w:highlight w:val="none"/>
              </w:rPr>
            </w:pPr>
            <w:r>
              <w:rPr>
                <w:rFonts w:ascii="宋体" w:hAnsi="宋体" w:eastAsia="宋体"/>
                <w:bCs/>
                <w:kern w:val="0"/>
                <w:sz w:val="24"/>
                <w:szCs w:val="28"/>
                <w:highlight w:val="none"/>
              </w:rPr>
              <w:t>□</w:t>
            </w:r>
            <w:r>
              <w:rPr>
                <w:rFonts w:hint="eastAsia" w:ascii="宋体" w:hAnsi="宋体" w:eastAsia="宋体"/>
                <w:bCs/>
                <w:kern w:val="0"/>
                <w:sz w:val="24"/>
                <w:szCs w:val="28"/>
                <w:highlight w:val="none"/>
              </w:rPr>
              <w:t>定额收取：人民币</w:t>
            </w:r>
            <w:r>
              <w:rPr>
                <w:rFonts w:hint="eastAsia" w:ascii="宋体" w:hAnsi="宋体" w:eastAsia="宋体"/>
                <w:bCs/>
                <w:kern w:val="0"/>
                <w:sz w:val="24"/>
                <w:szCs w:val="28"/>
                <w:highlight w:val="none"/>
                <w:u w:val="single"/>
              </w:rPr>
              <w:t xml:space="preserve">              </w:t>
            </w:r>
            <w:r>
              <w:rPr>
                <w:rFonts w:hint="eastAsia" w:ascii="宋体" w:hAnsi="宋体" w:eastAsia="宋体"/>
                <w:bCs/>
                <w:kern w:val="0"/>
                <w:sz w:val="24"/>
                <w:szCs w:val="28"/>
                <w:highlight w:val="none"/>
              </w:rPr>
              <w:t>元</w:t>
            </w:r>
          </w:p>
          <w:p w14:paraId="4B873782">
            <w:pPr>
              <w:spacing w:line="360" w:lineRule="auto"/>
              <w:rPr>
                <w:rFonts w:ascii="宋体" w:hAnsi="宋体" w:eastAsia="宋体"/>
                <w:bCs/>
                <w:kern w:val="0"/>
                <w:sz w:val="24"/>
                <w:szCs w:val="28"/>
                <w:highlight w:val="none"/>
              </w:rPr>
            </w:pPr>
            <w:r>
              <w:rPr>
                <w:rFonts w:hint="eastAsia" w:ascii="宋体" w:hAnsi="宋体" w:eastAsia="宋体"/>
                <w:bCs/>
                <w:kern w:val="0"/>
                <w:sz w:val="24"/>
                <w:szCs w:val="28"/>
                <w:highlight w:val="none"/>
              </w:rPr>
              <w:t>（2）支付方式：</w:t>
            </w:r>
          </w:p>
          <w:p w14:paraId="4083D70F">
            <w:pPr>
              <w:spacing w:line="360" w:lineRule="auto"/>
              <w:rPr>
                <w:rFonts w:ascii="宋体" w:hAnsi="宋体" w:eastAsia="宋体"/>
                <w:bCs/>
                <w:kern w:val="0"/>
                <w:sz w:val="24"/>
                <w:szCs w:val="28"/>
                <w:highlight w:val="none"/>
              </w:rPr>
            </w:pPr>
            <w:r>
              <w:rPr>
                <w:rFonts w:hint="eastAsia" w:ascii="宋体" w:hAnsi="宋体" w:eastAsia="宋体"/>
                <w:bCs/>
                <w:kern w:val="0"/>
                <w:sz w:val="24"/>
                <w:szCs w:val="28"/>
                <w:highlight w:val="none"/>
              </w:rPr>
              <w:sym w:font="Wingdings" w:char="00FE"/>
            </w:r>
            <w:r>
              <w:rPr>
                <w:rFonts w:ascii="宋体" w:hAnsi="宋体" w:eastAsia="宋体"/>
                <w:bCs/>
                <w:kern w:val="0"/>
                <w:sz w:val="24"/>
                <w:szCs w:val="28"/>
                <w:highlight w:val="none"/>
              </w:rPr>
              <w:t>转账/电汇</w:t>
            </w:r>
            <w:r>
              <w:rPr>
                <w:rFonts w:hint="eastAsia" w:ascii="宋体" w:hAnsi="宋体" w:eastAsia="宋体"/>
                <w:bCs/>
                <w:kern w:val="0"/>
                <w:sz w:val="24"/>
                <w:szCs w:val="28"/>
                <w:highlight w:val="none"/>
              </w:rPr>
              <w:t xml:space="preserve"> </w:t>
            </w:r>
            <w:r>
              <w:rPr>
                <w:rFonts w:hint="eastAsia" w:ascii="宋体" w:hAnsi="宋体" w:eastAsia="宋体"/>
                <w:bCs/>
                <w:kern w:val="0"/>
                <w:sz w:val="24"/>
                <w:szCs w:val="28"/>
                <w:highlight w:val="none"/>
              </w:rPr>
              <w:sym w:font="Wingdings" w:char="00FE"/>
            </w:r>
            <w:r>
              <w:rPr>
                <w:rFonts w:ascii="宋体" w:hAnsi="宋体" w:eastAsia="宋体"/>
                <w:bCs/>
                <w:kern w:val="0"/>
                <w:sz w:val="24"/>
                <w:szCs w:val="28"/>
                <w:highlight w:val="none"/>
              </w:rPr>
              <w:t xml:space="preserve">支票 </w:t>
            </w:r>
            <w:r>
              <w:rPr>
                <w:rFonts w:hint="eastAsia" w:ascii="宋体" w:hAnsi="宋体" w:eastAsia="宋体"/>
                <w:bCs/>
                <w:kern w:val="0"/>
                <w:sz w:val="24"/>
                <w:szCs w:val="28"/>
                <w:highlight w:val="none"/>
              </w:rPr>
              <w:sym w:font="Wingdings" w:char="00FE"/>
            </w:r>
            <w:r>
              <w:rPr>
                <w:rFonts w:ascii="宋体" w:hAnsi="宋体" w:eastAsia="宋体"/>
                <w:bCs/>
                <w:kern w:val="0"/>
                <w:sz w:val="24"/>
                <w:szCs w:val="28"/>
                <w:highlight w:val="none"/>
              </w:rPr>
              <w:t>汇票</w:t>
            </w:r>
            <w:r>
              <w:rPr>
                <w:rFonts w:hint="eastAsia" w:ascii="宋体" w:hAnsi="宋体" w:eastAsia="宋体"/>
                <w:bCs/>
                <w:kern w:val="0"/>
                <w:sz w:val="24"/>
                <w:szCs w:val="28"/>
                <w:highlight w:val="none"/>
              </w:rPr>
              <w:t xml:space="preserve"> </w:t>
            </w:r>
            <w:r>
              <w:rPr>
                <w:rFonts w:hint="eastAsia" w:ascii="宋体" w:hAnsi="宋体" w:eastAsia="宋体"/>
                <w:bCs/>
                <w:kern w:val="0"/>
                <w:sz w:val="24"/>
                <w:szCs w:val="28"/>
                <w:highlight w:val="none"/>
              </w:rPr>
              <w:sym w:font="Wingdings" w:char="00FE"/>
            </w:r>
            <w:r>
              <w:rPr>
                <w:rFonts w:hint="eastAsia" w:ascii="宋体" w:hAnsi="宋体" w:eastAsia="宋体"/>
                <w:bCs/>
                <w:kern w:val="0"/>
                <w:sz w:val="24"/>
                <w:szCs w:val="28"/>
                <w:highlight w:val="none"/>
              </w:rPr>
              <w:t xml:space="preserve">本票 </w:t>
            </w:r>
            <w:r>
              <w:rPr>
                <w:rFonts w:hint="eastAsia" w:ascii="宋体" w:hAnsi="宋体" w:eastAsia="宋体"/>
                <w:bCs/>
                <w:kern w:val="0"/>
                <w:sz w:val="24"/>
                <w:szCs w:val="28"/>
                <w:highlight w:val="none"/>
              </w:rPr>
              <w:sym w:font="Wingdings" w:char="00FE"/>
            </w:r>
            <w:r>
              <w:rPr>
                <w:rFonts w:ascii="宋体" w:hAnsi="宋体" w:eastAsia="宋体"/>
                <w:bCs/>
                <w:kern w:val="0"/>
                <w:sz w:val="24"/>
                <w:szCs w:val="28"/>
                <w:highlight w:val="none"/>
              </w:rPr>
              <w:t>保</w:t>
            </w:r>
            <w:r>
              <w:rPr>
                <w:rFonts w:hint="eastAsia" w:ascii="宋体" w:hAnsi="宋体" w:eastAsia="宋体"/>
                <w:bCs/>
                <w:kern w:val="0"/>
                <w:sz w:val="24"/>
                <w:szCs w:val="28"/>
                <w:highlight w:val="none"/>
              </w:rPr>
              <w:t xml:space="preserve">险 </w:t>
            </w:r>
            <w:r>
              <w:rPr>
                <w:rFonts w:hint="eastAsia" w:ascii="宋体" w:hAnsi="宋体" w:eastAsia="宋体"/>
                <w:bCs/>
                <w:kern w:val="0"/>
                <w:sz w:val="24"/>
                <w:szCs w:val="28"/>
                <w:highlight w:val="none"/>
              </w:rPr>
              <w:sym w:font="Wingdings" w:char="00FE"/>
            </w:r>
            <w:r>
              <w:rPr>
                <w:rFonts w:hint="eastAsia" w:ascii="宋体" w:hAnsi="宋体" w:eastAsia="宋体"/>
                <w:bCs/>
                <w:kern w:val="0"/>
                <w:sz w:val="24"/>
                <w:szCs w:val="28"/>
                <w:highlight w:val="none"/>
              </w:rPr>
              <w:t>保</w:t>
            </w:r>
            <w:r>
              <w:rPr>
                <w:rFonts w:ascii="宋体" w:hAnsi="宋体" w:eastAsia="宋体"/>
                <w:bCs/>
                <w:kern w:val="0"/>
                <w:sz w:val="24"/>
                <w:szCs w:val="28"/>
                <w:highlight w:val="none"/>
              </w:rPr>
              <w:t>函</w:t>
            </w:r>
          </w:p>
          <w:p w14:paraId="55071C69">
            <w:pPr>
              <w:spacing w:line="360" w:lineRule="auto"/>
              <w:rPr>
                <w:rFonts w:ascii="宋体" w:hAnsi="宋体" w:eastAsia="宋体"/>
                <w:bCs/>
                <w:kern w:val="0"/>
                <w:sz w:val="24"/>
                <w:szCs w:val="28"/>
                <w:highlight w:val="none"/>
              </w:rPr>
            </w:pPr>
            <w:r>
              <w:rPr>
                <w:rFonts w:hint="eastAsia" w:ascii="宋体" w:hAnsi="宋体" w:eastAsia="宋体"/>
                <w:bCs/>
                <w:kern w:val="0"/>
                <w:sz w:val="24"/>
                <w:szCs w:val="28"/>
                <w:highlight w:val="none"/>
              </w:rPr>
              <w:t>（3）收取单位：</w:t>
            </w:r>
            <w:r>
              <w:rPr>
                <w:rFonts w:hint="eastAsia" w:ascii="宋体" w:hAnsi="宋体" w:eastAsia="宋体"/>
                <w:bCs/>
                <w:kern w:val="0"/>
                <w:sz w:val="24"/>
                <w:szCs w:val="28"/>
                <w:highlight w:val="none"/>
                <w:u w:val="single"/>
              </w:rPr>
              <w:t xml:space="preserve"> 安徽医科大学  </w:t>
            </w:r>
          </w:p>
          <w:p w14:paraId="4A6CA26B">
            <w:pPr>
              <w:spacing w:line="360" w:lineRule="auto"/>
              <w:rPr>
                <w:rFonts w:ascii="宋体" w:hAnsi="宋体" w:eastAsia="宋体"/>
                <w:bCs/>
                <w:kern w:val="0"/>
                <w:sz w:val="24"/>
                <w:szCs w:val="28"/>
                <w:highlight w:val="none"/>
              </w:rPr>
            </w:pPr>
            <w:r>
              <w:rPr>
                <w:rFonts w:hint="eastAsia" w:ascii="宋体" w:hAnsi="宋体" w:eastAsia="宋体"/>
                <w:bCs/>
                <w:kern w:val="0"/>
                <w:sz w:val="24"/>
                <w:szCs w:val="28"/>
                <w:highlight w:val="none"/>
              </w:rPr>
              <w:t>（4）收取账号：</w:t>
            </w:r>
          </w:p>
          <w:p w14:paraId="1E235C8A">
            <w:pPr>
              <w:spacing w:line="360" w:lineRule="auto"/>
              <w:rPr>
                <w:rFonts w:ascii="宋体" w:hAnsi="宋体" w:eastAsia="宋体"/>
                <w:bCs/>
                <w:kern w:val="0"/>
                <w:sz w:val="24"/>
                <w:szCs w:val="28"/>
                <w:highlight w:val="none"/>
              </w:rPr>
            </w:pPr>
            <w:r>
              <w:rPr>
                <w:rFonts w:hint="eastAsia" w:ascii="宋体" w:hAnsi="宋体" w:eastAsia="宋体"/>
                <w:bCs/>
                <w:kern w:val="0"/>
                <w:sz w:val="24"/>
                <w:szCs w:val="28"/>
                <w:highlight w:val="none"/>
              </w:rPr>
              <w:t>户名： 安徽医科大学</w:t>
            </w:r>
          </w:p>
          <w:p w14:paraId="7EF5534C">
            <w:pPr>
              <w:spacing w:line="360" w:lineRule="auto"/>
              <w:rPr>
                <w:rFonts w:ascii="宋体" w:hAnsi="宋体" w:eastAsia="宋体"/>
                <w:bCs/>
                <w:kern w:val="0"/>
                <w:sz w:val="24"/>
                <w:szCs w:val="28"/>
                <w:highlight w:val="none"/>
              </w:rPr>
            </w:pPr>
            <w:r>
              <w:rPr>
                <w:rFonts w:hint="eastAsia" w:ascii="宋体" w:hAnsi="宋体" w:eastAsia="宋体"/>
                <w:bCs/>
                <w:kern w:val="0"/>
                <w:sz w:val="24"/>
                <w:szCs w:val="28"/>
                <w:highlight w:val="none"/>
              </w:rPr>
              <w:t>开户银行： 中国建设银行合肥贵池路支行</w:t>
            </w:r>
          </w:p>
          <w:p w14:paraId="0689C240">
            <w:pPr>
              <w:spacing w:line="360" w:lineRule="auto"/>
              <w:rPr>
                <w:rFonts w:ascii="宋体" w:hAnsi="宋体" w:eastAsia="宋体"/>
                <w:bCs/>
                <w:kern w:val="0"/>
                <w:sz w:val="24"/>
                <w:szCs w:val="28"/>
                <w:highlight w:val="none"/>
              </w:rPr>
            </w:pPr>
            <w:r>
              <w:rPr>
                <w:rFonts w:hint="eastAsia" w:ascii="宋体" w:hAnsi="宋体" w:eastAsia="宋体"/>
                <w:bCs/>
                <w:kern w:val="0"/>
                <w:sz w:val="24"/>
                <w:szCs w:val="28"/>
                <w:highlight w:val="none"/>
              </w:rPr>
              <w:t>统一社会信用代码（纳税人识别号）：123400004850007883</w:t>
            </w:r>
          </w:p>
          <w:p w14:paraId="1BFAFE2D">
            <w:pPr>
              <w:spacing w:line="360" w:lineRule="auto"/>
              <w:rPr>
                <w:rFonts w:ascii="宋体" w:hAnsi="宋体" w:eastAsia="宋体"/>
                <w:bCs/>
                <w:kern w:val="0"/>
                <w:sz w:val="24"/>
                <w:szCs w:val="28"/>
                <w:highlight w:val="none"/>
              </w:rPr>
            </w:pPr>
            <w:r>
              <w:rPr>
                <w:rFonts w:hint="eastAsia" w:ascii="宋体" w:hAnsi="宋体" w:eastAsia="宋体"/>
                <w:bCs/>
                <w:kern w:val="0"/>
                <w:sz w:val="24"/>
                <w:szCs w:val="28"/>
                <w:highlight w:val="none"/>
              </w:rPr>
              <w:t>账号：34001454508050007226</w:t>
            </w:r>
          </w:p>
          <w:p w14:paraId="14A22E7A">
            <w:pPr>
              <w:spacing w:line="360" w:lineRule="auto"/>
              <w:rPr>
                <w:rFonts w:ascii="宋体" w:hAnsi="宋体" w:eastAsia="宋体"/>
                <w:sz w:val="24"/>
                <w:highlight w:val="none"/>
              </w:rPr>
            </w:pPr>
            <w:r>
              <w:rPr>
                <w:rFonts w:hint="eastAsia" w:ascii="宋体" w:hAnsi="宋体" w:eastAsia="宋体"/>
                <w:bCs/>
                <w:kern w:val="0"/>
                <w:sz w:val="24"/>
                <w:szCs w:val="28"/>
                <w:highlight w:val="none"/>
              </w:rPr>
              <w:t>（5）</w:t>
            </w:r>
            <w:r>
              <w:rPr>
                <w:rFonts w:hint="eastAsia" w:ascii="宋体" w:hAnsi="宋体" w:eastAsia="宋体"/>
                <w:sz w:val="24"/>
                <w:highlight w:val="none"/>
              </w:rPr>
              <w:t>退还时间：</w:t>
            </w:r>
            <w:r>
              <w:rPr>
                <w:rFonts w:hint="eastAsia" w:ascii="宋体" w:hAnsi="宋体" w:eastAsia="宋体"/>
                <w:bCs/>
                <w:kern w:val="0"/>
                <w:sz w:val="24"/>
                <w:szCs w:val="28"/>
                <w:highlight w:val="none"/>
              </w:rPr>
              <w:t>验收合格且无违约情形下退还</w:t>
            </w:r>
          </w:p>
          <w:p w14:paraId="1B4ED069">
            <w:pPr>
              <w:spacing w:line="360" w:lineRule="auto"/>
              <w:rPr>
                <w:rFonts w:ascii="宋体" w:hAnsi="宋体" w:eastAsia="宋体"/>
                <w:b/>
                <w:bCs/>
                <w:kern w:val="0"/>
                <w:sz w:val="24"/>
                <w:szCs w:val="24"/>
                <w:highlight w:val="none"/>
              </w:rPr>
            </w:pPr>
            <w:r>
              <w:rPr>
                <w:rFonts w:hint="eastAsia" w:ascii="宋体" w:hAnsi="宋体" w:eastAsia="宋体"/>
                <w:b/>
                <w:bCs/>
                <w:kern w:val="0"/>
                <w:sz w:val="24"/>
                <w:szCs w:val="24"/>
                <w:highlight w:val="none"/>
              </w:rPr>
              <w:t>注意事项：</w:t>
            </w:r>
          </w:p>
          <w:p w14:paraId="0E8DBE4A">
            <w:pPr>
              <w:spacing w:line="360" w:lineRule="auto"/>
              <w:rPr>
                <w:rFonts w:ascii="宋体" w:hAnsi="宋体" w:eastAsia="宋体"/>
                <w:b/>
                <w:bCs/>
                <w:kern w:val="0"/>
                <w:sz w:val="24"/>
                <w:szCs w:val="24"/>
                <w:highlight w:val="none"/>
              </w:rPr>
            </w:pPr>
            <w:r>
              <w:rPr>
                <w:rFonts w:hint="eastAsia" w:ascii="宋体" w:hAnsi="宋体" w:eastAsia="宋体"/>
                <w:b/>
                <w:bCs/>
                <w:kern w:val="0"/>
                <w:sz w:val="24"/>
                <w:szCs w:val="24"/>
                <w:highlight w:val="none"/>
              </w:rPr>
              <w:t>（1）以上各类机构出具的以担保函、保证保险承担责任的方式均须满足无条件见索即付条件。</w:t>
            </w:r>
          </w:p>
          <w:p w14:paraId="196FD320">
            <w:pPr>
              <w:pStyle w:val="45"/>
              <w:widowControl w:val="0"/>
              <w:spacing w:before="0" w:beforeAutospacing="0" w:after="0" w:afterAutospacing="0" w:line="360" w:lineRule="auto"/>
              <w:jc w:val="both"/>
              <w:rPr>
                <w:rFonts w:ascii="宋体" w:hAnsi="宋体" w:eastAsia="宋体"/>
                <w:sz w:val="24"/>
                <w:highlight w:val="none"/>
              </w:rPr>
            </w:pPr>
            <w:r>
              <w:rPr>
                <w:rFonts w:hint="eastAsia" w:ascii="宋体" w:hAnsi="宋体" w:eastAsia="宋体"/>
                <w:bCs w:val="0"/>
                <w:sz w:val="24"/>
                <w:szCs w:val="24"/>
                <w:highlight w:val="none"/>
              </w:rPr>
              <w:t>（2）以担保函、保证保险形式缴纳履约保证金的，受益人和收取单位须为采购人。</w:t>
            </w:r>
          </w:p>
        </w:tc>
      </w:tr>
      <w:tr w14:paraId="6B484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7CDF38A6">
            <w:pPr>
              <w:pStyle w:val="46"/>
              <w:pBdr>
                <w:bottom w:val="none" w:color="auto" w:sz="0" w:space="0"/>
              </w:pBdr>
              <w:tabs>
                <w:tab w:val="clear" w:pos="4153"/>
                <w:tab w:val="clear" w:pos="8306"/>
              </w:tabs>
              <w:adjustRightInd/>
              <w:spacing w:line="360" w:lineRule="auto"/>
              <w:textAlignment w:val="auto"/>
              <w:rPr>
                <w:rFonts w:ascii="宋体" w:hAnsi="宋体" w:eastAsia="宋体"/>
                <w:bCs/>
                <w:kern w:val="2"/>
                <w:highlight w:val="none"/>
              </w:rPr>
            </w:pPr>
            <w:r>
              <w:rPr>
                <w:rFonts w:hint="eastAsia" w:ascii="宋体" w:hAnsi="宋体" w:eastAsia="宋体"/>
                <w:bCs/>
                <w:kern w:val="2"/>
                <w:highlight w:val="none"/>
              </w:rPr>
              <w:t>26</w:t>
            </w:r>
            <w:r>
              <w:rPr>
                <w:rFonts w:ascii="宋体" w:hAnsi="宋体" w:eastAsia="宋体"/>
                <w:bCs/>
                <w:kern w:val="2"/>
                <w:highlight w:val="none"/>
              </w:rPr>
              <w:t>.1</w:t>
            </w:r>
          </w:p>
        </w:tc>
        <w:tc>
          <w:tcPr>
            <w:tcW w:w="1160" w:type="pct"/>
            <w:vAlign w:val="center"/>
          </w:tcPr>
          <w:p w14:paraId="366F0274">
            <w:pPr>
              <w:pStyle w:val="45"/>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代理费用</w:t>
            </w:r>
          </w:p>
        </w:tc>
        <w:tc>
          <w:tcPr>
            <w:tcW w:w="3267" w:type="pct"/>
            <w:vAlign w:val="center"/>
          </w:tcPr>
          <w:p w14:paraId="59C82C81">
            <w:pPr>
              <w:pStyle w:val="45"/>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1.金额：</w:t>
            </w:r>
          </w:p>
          <w:p w14:paraId="14DCBCE3">
            <w:pPr>
              <w:pStyle w:val="45"/>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按下列标准收取：30万元（不含）以下项目按3500元固定标准收费。除上述之外的项目，按照合价服[2009]216号文件规定费率下浮20%收取代理服务费，单个项目标包中标（成交）金额超过500万元（含）的，超出部分的收费标准下浮30%收取代理服务费。</w:t>
            </w:r>
          </w:p>
          <w:p w14:paraId="72FFB5D0">
            <w:pPr>
              <w:pStyle w:val="45"/>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2.支付方式：转账/电汇</w:t>
            </w:r>
          </w:p>
          <w:p w14:paraId="076506D8">
            <w:pPr>
              <w:pStyle w:val="45"/>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3.收取单位： 安徽安天利信工程管理股份有限公司 （采购代理机构全称）</w:t>
            </w:r>
          </w:p>
          <w:p w14:paraId="328B6EFD">
            <w:pPr>
              <w:pStyle w:val="45"/>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 xml:space="preserve">户名： 安徽安天利信工程管理股份有限公司 </w:t>
            </w:r>
          </w:p>
          <w:p w14:paraId="752067A4">
            <w:pPr>
              <w:pStyle w:val="45"/>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开户银行： 招行合肥高新区支行</w:t>
            </w:r>
          </w:p>
          <w:p w14:paraId="3BEB3346">
            <w:pPr>
              <w:pStyle w:val="45"/>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 xml:space="preserve">账号：5519 0430 8510501  </w:t>
            </w:r>
          </w:p>
          <w:p w14:paraId="2833A46C">
            <w:pPr>
              <w:pStyle w:val="45"/>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4.缴纳时间：领取成交通知书前</w:t>
            </w:r>
          </w:p>
        </w:tc>
      </w:tr>
      <w:tr w14:paraId="50F26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7840D71C">
            <w:pPr>
              <w:pStyle w:val="46"/>
              <w:pBdr>
                <w:bottom w:val="none" w:color="auto" w:sz="0" w:space="0"/>
              </w:pBdr>
              <w:tabs>
                <w:tab w:val="clear" w:pos="4153"/>
                <w:tab w:val="clear" w:pos="8306"/>
              </w:tabs>
              <w:adjustRightInd/>
              <w:spacing w:line="360" w:lineRule="auto"/>
              <w:textAlignment w:val="auto"/>
              <w:rPr>
                <w:rFonts w:ascii="宋体" w:hAnsi="宋体" w:eastAsia="宋体"/>
                <w:bCs/>
                <w:kern w:val="2"/>
                <w:highlight w:val="none"/>
              </w:rPr>
            </w:pPr>
            <w:r>
              <w:rPr>
                <w:rFonts w:hint="eastAsia" w:ascii="宋体" w:hAnsi="宋体" w:eastAsia="宋体"/>
                <w:bCs/>
                <w:kern w:val="2"/>
                <w:highlight w:val="none"/>
              </w:rPr>
              <w:t>27.1</w:t>
            </w:r>
          </w:p>
        </w:tc>
        <w:tc>
          <w:tcPr>
            <w:tcW w:w="1160" w:type="pct"/>
            <w:vAlign w:val="center"/>
          </w:tcPr>
          <w:p w14:paraId="174086CA">
            <w:pPr>
              <w:pStyle w:val="45"/>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签订合同和合同公告时间</w:t>
            </w:r>
          </w:p>
        </w:tc>
        <w:tc>
          <w:tcPr>
            <w:tcW w:w="3267" w:type="pct"/>
            <w:vAlign w:val="center"/>
          </w:tcPr>
          <w:p w14:paraId="060C17DA">
            <w:pPr>
              <w:pStyle w:val="45"/>
              <w:widowControl w:val="0"/>
              <w:spacing w:before="0" w:beforeAutospacing="0" w:after="0" w:afterAutospacing="0" w:line="360" w:lineRule="auto"/>
              <w:jc w:val="both"/>
              <w:rPr>
                <w:rFonts w:ascii="宋体" w:hAnsi="宋体" w:eastAsia="宋体"/>
                <w:bCs w:val="0"/>
                <w:sz w:val="24"/>
                <w:highlight w:val="none"/>
              </w:rPr>
            </w:pPr>
            <w:r>
              <w:rPr>
                <w:rFonts w:hint="eastAsia" w:ascii="宋体" w:hAnsi="宋体" w:eastAsia="宋体"/>
                <w:bCs w:val="0"/>
                <w:sz w:val="24"/>
                <w:highlight w:val="none"/>
              </w:rPr>
              <w:t>（1）采购人与成交供应商应当自发出成交通知书之日起7个工作日内签订合同，采购合同签订之日起2个工作日内完成政府采购合同公开。</w:t>
            </w:r>
          </w:p>
          <w:p w14:paraId="003E451D">
            <w:pPr>
              <w:pStyle w:val="45"/>
              <w:widowControl w:val="0"/>
              <w:spacing w:before="0" w:beforeAutospacing="0" w:after="0" w:afterAutospacing="0" w:line="360" w:lineRule="auto"/>
              <w:jc w:val="both"/>
              <w:rPr>
                <w:rFonts w:ascii="宋体" w:hAnsi="宋体" w:eastAsia="宋体"/>
                <w:b w:val="0"/>
                <w:sz w:val="24"/>
                <w:highlight w:val="none"/>
              </w:rPr>
            </w:pPr>
            <w:r>
              <w:rPr>
                <w:rFonts w:ascii="宋体" w:hAnsi="宋体" w:eastAsia="宋体" w:cs="宋体"/>
                <w:bCs w:val="0"/>
                <w:sz w:val="24"/>
                <w:szCs w:val="24"/>
                <w:highlight w:val="none"/>
              </w:rPr>
              <w:t>（2）采购人与</w:t>
            </w:r>
            <w:r>
              <w:rPr>
                <w:rFonts w:hint="eastAsia" w:ascii="宋体" w:hAnsi="宋体" w:eastAsia="宋体"/>
                <w:bCs w:val="0"/>
                <w:sz w:val="24"/>
                <w:highlight w:val="none"/>
              </w:rPr>
              <w:t>成交供应商</w:t>
            </w:r>
            <w:r>
              <w:rPr>
                <w:rFonts w:ascii="宋体" w:hAnsi="宋体" w:eastAsia="宋体" w:cs="宋体"/>
                <w:sz w:val="24"/>
                <w:szCs w:val="24"/>
                <w:highlight w:val="none"/>
              </w:rPr>
              <w:t>不得擅自变更合同，依照政府采购法确需变更政府采购合同内容的，采购人应当自合同变更之日起2个工作日内在安徽省政府采购网发布政府采购合同变更公告，但涉及国家秘密、商业秘密的信息和其他依法不得公开的信息除外。</w:t>
            </w:r>
          </w:p>
        </w:tc>
      </w:tr>
      <w:tr w14:paraId="56059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46130356">
            <w:pPr>
              <w:pStyle w:val="46"/>
              <w:pBdr>
                <w:bottom w:val="none" w:color="auto" w:sz="0" w:space="0"/>
              </w:pBdr>
              <w:tabs>
                <w:tab w:val="clear" w:pos="4153"/>
                <w:tab w:val="clear" w:pos="8306"/>
              </w:tabs>
              <w:adjustRightInd/>
              <w:spacing w:line="360" w:lineRule="auto"/>
              <w:textAlignment w:val="auto"/>
              <w:rPr>
                <w:rFonts w:ascii="宋体" w:hAnsi="宋体" w:eastAsia="宋体"/>
                <w:bCs/>
                <w:kern w:val="2"/>
                <w:highlight w:val="none"/>
              </w:rPr>
            </w:pPr>
            <w:r>
              <w:rPr>
                <w:rFonts w:hint="eastAsia" w:ascii="宋体" w:hAnsi="宋体" w:eastAsia="宋体"/>
                <w:bCs/>
                <w:kern w:val="2"/>
                <w:highlight w:val="none"/>
              </w:rPr>
              <w:t>29.3</w:t>
            </w:r>
          </w:p>
        </w:tc>
        <w:tc>
          <w:tcPr>
            <w:tcW w:w="1160" w:type="pct"/>
            <w:vAlign w:val="center"/>
          </w:tcPr>
          <w:p w14:paraId="419B0515">
            <w:pPr>
              <w:pStyle w:val="45"/>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质疑函递交方式、接收部门、联系电话和通讯地址</w:t>
            </w:r>
          </w:p>
        </w:tc>
        <w:tc>
          <w:tcPr>
            <w:tcW w:w="3267" w:type="pct"/>
            <w:vAlign w:val="center"/>
          </w:tcPr>
          <w:p w14:paraId="11197E44">
            <w:pPr>
              <w:pStyle w:val="45"/>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提交方式：书面形式</w:t>
            </w:r>
          </w:p>
          <w:p w14:paraId="68E519BD">
            <w:pPr>
              <w:pStyle w:val="45"/>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接收部门：安徽安天利信工程管理股份有限公司</w:t>
            </w:r>
          </w:p>
          <w:p w14:paraId="72E6E374">
            <w:pPr>
              <w:pStyle w:val="45"/>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联系电话：0551-63735933/19855015517</w:t>
            </w:r>
          </w:p>
          <w:p w14:paraId="348B92CC">
            <w:pPr>
              <w:pStyle w:val="45"/>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电子邮箱：yjliu@ahbidding.com</w:t>
            </w:r>
          </w:p>
          <w:p w14:paraId="71C75A14">
            <w:pPr>
              <w:pStyle w:val="45"/>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通讯地址：合肥市蜀山区蜀鑫路69号（创业大道与蜀鑫路西南角）603室</w:t>
            </w:r>
          </w:p>
        </w:tc>
      </w:tr>
      <w:tr w14:paraId="7E1F6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4848430E">
            <w:pPr>
              <w:pStyle w:val="46"/>
              <w:pBdr>
                <w:bottom w:val="none" w:color="auto" w:sz="0" w:space="0"/>
              </w:pBdr>
              <w:tabs>
                <w:tab w:val="clear" w:pos="4153"/>
                <w:tab w:val="clear" w:pos="8306"/>
              </w:tabs>
              <w:adjustRightInd/>
              <w:spacing w:line="360" w:lineRule="auto"/>
              <w:textAlignment w:val="auto"/>
              <w:rPr>
                <w:rFonts w:ascii="宋体" w:hAnsi="宋体" w:eastAsia="宋体"/>
                <w:bCs/>
                <w:kern w:val="2"/>
                <w:highlight w:val="none"/>
              </w:rPr>
            </w:pPr>
            <w:r>
              <w:rPr>
                <w:rFonts w:hint="eastAsia" w:ascii="宋体" w:hAnsi="宋体" w:eastAsia="宋体"/>
                <w:bCs/>
                <w:kern w:val="2"/>
                <w:highlight w:val="none"/>
              </w:rPr>
              <w:t>30</w:t>
            </w:r>
          </w:p>
        </w:tc>
        <w:tc>
          <w:tcPr>
            <w:tcW w:w="1160" w:type="pct"/>
            <w:vAlign w:val="center"/>
          </w:tcPr>
          <w:p w14:paraId="0A870201">
            <w:pPr>
              <w:pStyle w:val="45"/>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其他内容</w:t>
            </w:r>
          </w:p>
        </w:tc>
        <w:tc>
          <w:tcPr>
            <w:tcW w:w="6274" w:type="dxa"/>
            <w:vAlign w:val="center"/>
          </w:tcPr>
          <w:p w14:paraId="07823978">
            <w:pPr>
              <w:spacing w:line="360" w:lineRule="auto"/>
              <w:rPr>
                <w:rFonts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1.解释权</w:t>
            </w:r>
          </w:p>
          <w:p w14:paraId="7605C504">
            <w:pPr>
              <w:spacing w:line="360" w:lineRule="auto"/>
              <w:rPr>
                <w:rFonts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（1）</w:t>
            </w:r>
            <w:r>
              <w:rPr>
                <w:rFonts w:asciiTheme="minorEastAsia" w:hAnsiTheme="minorEastAsia" w:eastAsiaTheme="minorEastAsia"/>
                <w:bCs/>
                <w:sz w:val="24"/>
                <w:szCs w:val="24"/>
                <w:highlight w:val="none"/>
              </w:rPr>
              <w:t>构成本</w:t>
            </w:r>
            <w:r>
              <w:rPr>
                <w:rFonts w:hint="eastAsia" w:asciiTheme="minorEastAsia" w:hAnsiTheme="minorEastAsia" w:eastAsiaTheme="minorEastAsia"/>
                <w:bCs/>
                <w:sz w:val="24"/>
                <w:szCs w:val="24"/>
                <w:highlight w:val="none"/>
              </w:rPr>
              <w:t>磋商</w:t>
            </w:r>
            <w:r>
              <w:rPr>
                <w:rFonts w:asciiTheme="minorEastAsia" w:hAnsiTheme="minorEastAsia" w:eastAsiaTheme="minorEastAsia"/>
                <w:bCs/>
                <w:sz w:val="24"/>
                <w:szCs w:val="24"/>
                <w:highlight w:val="none"/>
              </w:rPr>
              <w:t>文件的各个组成文件应互为解释，互为说明；</w:t>
            </w:r>
          </w:p>
          <w:p w14:paraId="7C87832E">
            <w:pPr>
              <w:spacing w:line="360" w:lineRule="auto"/>
              <w:rPr>
                <w:rFonts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（2）</w:t>
            </w:r>
            <w:r>
              <w:rPr>
                <w:rFonts w:asciiTheme="minorEastAsia" w:hAnsiTheme="minorEastAsia" w:eastAsiaTheme="minorEastAsia"/>
                <w:bCs/>
                <w:sz w:val="24"/>
                <w:szCs w:val="24"/>
                <w:highlight w:val="none"/>
              </w:rPr>
              <w:t>同一组成文件中就同一事项的规定或约定不一致的，以编排顺序在后者为准；</w:t>
            </w:r>
          </w:p>
          <w:p w14:paraId="15623340">
            <w:pPr>
              <w:spacing w:line="360" w:lineRule="auto"/>
              <w:rPr>
                <w:rFonts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（3）</w:t>
            </w:r>
            <w:r>
              <w:rPr>
                <w:rFonts w:asciiTheme="minorEastAsia" w:hAnsiTheme="minorEastAsia" w:eastAsiaTheme="minorEastAsia"/>
                <w:bCs/>
                <w:sz w:val="24"/>
                <w:szCs w:val="24"/>
                <w:highlight w:val="none"/>
              </w:rPr>
              <w:t>如有不明确或不一致，构成合同文件组成内容的，以合同文件约定内容为准，且以专用合同条款约定的合同文件优先顺序解释；</w:t>
            </w:r>
          </w:p>
          <w:p w14:paraId="1400A7F7">
            <w:pPr>
              <w:spacing w:line="360" w:lineRule="auto"/>
              <w:rPr>
                <w:rFonts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（4）</w:t>
            </w:r>
            <w:r>
              <w:rPr>
                <w:rFonts w:asciiTheme="minorEastAsia" w:hAnsiTheme="minorEastAsia" w:eastAsiaTheme="minorEastAsia"/>
                <w:bCs/>
                <w:sz w:val="24"/>
                <w:szCs w:val="24"/>
                <w:highlight w:val="none"/>
              </w:rPr>
              <w:t>除</w:t>
            </w:r>
            <w:r>
              <w:rPr>
                <w:rFonts w:hint="eastAsia" w:asciiTheme="minorEastAsia" w:hAnsiTheme="minorEastAsia" w:eastAsiaTheme="minorEastAsia"/>
                <w:bCs/>
                <w:sz w:val="24"/>
                <w:szCs w:val="24"/>
                <w:highlight w:val="none"/>
              </w:rPr>
              <w:t>磋商</w:t>
            </w:r>
            <w:r>
              <w:rPr>
                <w:rFonts w:asciiTheme="minorEastAsia" w:hAnsiTheme="minorEastAsia" w:eastAsiaTheme="minorEastAsia"/>
                <w:bCs/>
                <w:sz w:val="24"/>
                <w:szCs w:val="24"/>
                <w:highlight w:val="none"/>
              </w:rPr>
              <w:t>文件中有特别规定外，仅适用于</w:t>
            </w:r>
            <w:r>
              <w:rPr>
                <w:rFonts w:hint="eastAsia" w:asciiTheme="minorEastAsia" w:hAnsiTheme="minorEastAsia" w:eastAsiaTheme="minorEastAsia"/>
                <w:bCs/>
                <w:sz w:val="24"/>
                <w:szCs w:val="24"/>
                <w:highlight w:val="none"/>
              </w:rPr>
              <w:t>磋商及响应文件提交</w:t>
            </w:r>
            <w:r>
              <w:rPr>
                <w:rFonts w:asciiTheme="minorEastAsia" w:hAnsiTheme="minorEastAsia" w:eastAsiaTheme="minorEastAsia"/>
                <w:bCs/>
                <w:sz w:val="24"/>
                <w:szCs w:val="24"/>
                <w:highlight w:val="none"/>
              </w:rPr>
              <w:t>阶段的规定，按</w:t>
            </w:r>
            <w:r>
              <w:rPr>
                <w:rFonts w:hint="eastAsia" w:asciiTheme="minorEastAsia" w:hAnsiTheme="minorEastAsia" w:eastAsiaTheme="minorEastAsia"/>
                <w:bCs/>
                <w:sz w:val="24"/>
                <w:szCs w:val="24"/>
                <w:highlight w:val="none"/>
              </w:rPr>
              <w:t>竞争性磋商</w:t>
            </w:r>
            <w:r>
              <w:rPr>
                <w:rFonts w:asciiTheme="minorEastAsia" w:hAnsiTheme="minorEastAsia" w:eastAsiaTheme="minorEastAsia"/>
                <w:bCs/>
                <w:sz w:val="24"/>
                <w:szCs w:val="24"/>
                <w:highlight w:val="none"/>
              </w:rPr>
              <w:t>公告、</w:t>
            </w:r>
            <w:r>
              <w:rPr>
                <w:rFonts w:hint="eastAsia" w:asciiTheme="minorEastAsia" w:hAnsiTheme="minorEastAsia" w:eastAsiaTheme="minorEastAsia"/>
                <w:bCs/>
                <w:sz w:val="24"/>
                <w:szCs w:val="24"/>
                <w:highlight w:val="none"/>
              </w:rPr>
              <w:t>供应商</w:t>
            </w:r>
            <w:r>
              <w:rPr>
                <w:rFonts w:asciiTheme="minorEastAsia" w:hAnsiTheme="minorEastAsia" w:eastAsiaTheme="minorEastAsia"/>
                <w:bCs/>
                <w:sz w:val="24"/>
                <w:szCs w:val="24"/>
                <w:highlight w:val="none"/>
              </w:rPr>
              <w:t>须知、评</w:t>
            </w:r>
            <w:r>
              <w:rPr>
                <w:rFonts w:hint="eastAsia" w:asciiTheme="minorEastAsia" w:hAnsiTheme="minorEastAsia" w:eastAsiaTheme="minorEastAsia"/>
                <w:bCs/>
                <w:sz w:val="24"/>
                <w:szCs w:val="24"/>
                <w:highlight w:val="none"/>
              </w:rPr>
              <w:t>审方</w:t>
            </w:r>
            <w:r>
              <w:rPr>
                <w:rFonts w:asciiTheme="minorEastAsia" w:hAnsiTheme="minorEastAsia" w:eastAsiaTheme="minorEastAsia"/>
                <w:bCs/>
                <w:sz w:val="24"/>
                <w:szCs w:val="24"/>
                <w:highlight w:val="none"/>
              </w:rPr>
              <w:t>法</w:t>
            </w:r>
            <w:r>
              <w:rPr>
                <w:rFonts w:hint="eastAsia" w:asciiTheme="minorEastAsia" w:hAnsiTheme="minorEastAsia" w:eastAsiaTheme="minorEastAsia"/>
                <w:bCs/>
                <w:sz w:val="24"/>
                <w:szCs w:val="24"/>
                <w:highlight w:val="none"/>
              </w:rPr>
              <w:t>和标准</w:t>
            </w:r>
            <w:r>
              <w:rPr>
                <w:rFonts w:asciiTheme="minorEastAsia" w:hAnsiTheme="minorEastAsia" w:eastAsiaTheme="minorEastAsia"/>
                <w:bCs/>
                <w:sz w:val="24"/>
                <w:szCs w:val="24"/>
                <w:highlight w:val="none"/>
              </w:rPr>
              <w:t>、</w:t>
            </w:r>
            <w:r>
              <w:rPr>
                <w:rFonts w:hint="eastAsia" w:asciiTheme="minorEastAsia" w:hAnsiTheme="minorEastAsia" w:eastAsiaTheme="minorEastAsia"/>
                <w:bCs/>
                <w:sz w:val="24"/>
                <w:szCs w:val="24"/>
                <w:highlight w:val="none"/>
              </w:rPr>
              <w:t>响应</w:t>
            </w:r>
            <w:r>
              <w:rPr>
                <w:rFonts w:asciiTheme="minorEastAsia" w:hAnsiTheme="minorEastAsia" w:eastAsiaTheme="minorEastAsia"/>
                <w:bCs/>
                <w:sz w:val="24"/>
                <w:szCs w:val="24"/>
                <w:highlight w:val="none"/>
              </w:rPr>
              <w:t>文件格式的先后顺序解释；</w:t>
            </w:r>
          </w:p>
          <w:p w14:paraId="1B2409AD">
            <w:pPr>
              <w:spacing w:line="360" w:lineRule="auto"/>
              <w:rPr>
                <w:rFonts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（5）</w:t>
            </w:r>
            <w:r>
              <w:rPr>
                <w:rFonts w:asciiTheme="minorEastAsia" w:hAnsiTheme="minorEastAsia" w:eastAsiaTheme="minorEastAsia"/>
                <w:bCs/>
                <w:sz w:val="24"/>
                <w:szCs w:val="24"/>
                <w:highlight w:val="none"/>
              </w:rPr>
              <w:t>按本款前述规定仍不能形成结论的，由</w:t>
            </w:r>
            <w:r>
              <w:rPr>
                <w:rFonts w:hint="eastAsia" w:asciiTheme="minorEastAsia" w:hAnsiTheme="minorEastAsia" w:eastAsiaTheme="minorEastAsia"/>
                <w:bCs/>
                <w:sz w:val="24"/>
                <w:szCs w:val="24"/>
                <w:highlight w:val="none"/>
              </w:rPr>
              <w:t>采购</w:t>
            </w:r>
            <w:r>
              <w:rPr>
                <w:rFonts w:asciiTheme="minorEastAsia" w:hAnsiTheme="minorEastAsia" w:eastAsiaTheme="minorEastAsia"/>
                <w:bCs/>
                <w:sz w:val="24"/>
                <w:szCs w:val="24"/>
                <w:highlight w:val="none"/>
              </w:rPr>
              <w:t>人负责解释。</w:t>
            </w:r>
          </w:p>
          <w:p w14:paraId="2223FB0E">
            <w:pPr>
              <w:spacing w:line="360" w:lineRule="auto"/>
              <w:rPr>
                <w:rFonts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2.“政采贷”融资指引：有融资需求的</w:t>
            </w:r>
            <w:r>
              <w:rPr>
                <w:rFonts w:hint="eastAsia" w:ascii="宋体" w:hAnsi="宋体" w:eastAsia="宋体" w:cs="宋体"/>
                <w:sz w:val="24"/>
                <w:szCs w:val="24"/>
                <w:highlight w:val="none"/>
              </w:rPr>
              <w:t>供应商</w:t>
            </w:r>
            <w:r>
              <w:rPr>
                <w:rFonts w:hint="eastAsia" w:asciiTheme="minorEastAsia" w:hAnsiTheme="minorEastAsia" w:eastAsiaTheme="minorEastAsia"/>
                <w:bCs/>
                <w:sz w:val="24"/>
                <w:szCs w:val="24"/>
                <w:highlight w:val="none"/>
              </w:rPr>
              <w:t>在取得政府采购中标或成交通知书后，可访问安徽省政府采购网“政采贷”栏目，查看和联系第三方平台或者金融机构，商洽融资事项，确定融资意向。</w:t>
            </w:r>
            <w:r>
              <w:rPr>
                <w:rFonts w:hint="eastAsia" w:ascii="宋体" w:hAnsi="宋体" w:eastAsia="宋体" w:cs="宋体"/>
                <w:sz w:val="24"/>
                <w:szCs w:val="24"/>
                <w:highlight w:val="none"/>
              </w:rPr>
              <w:t>供应商</w:t>
            </w:r>
            <w:r>
              <w:rPr>
                <w:rFonts w:hint="eastAsia" w:asciiTheme="minorEastAsia" w:hAnsiTheme="minorEastAsia" w:eastAsiaTheme="minorEastAsia"/>
                <w:bCs/>
                <w:sz w:val="24"/>
                <w:szCs w:val="24"/>
                <w:highlight w:val="none"/>
              </w:rPr>
              <w:t>签署政府采购中标（成交）合同后，登录“徽采云”金融服务模块，选择意向产品进行申请，并填写相关信息，“徽采云”金融服务模块将</w:t>
            </w:r>
            <w:r>
              <w:rPr>
                <w:rFonts w:hint="eastAsia" w:ascii="宋体" w:hAnsi="宋体" w:eastAsia="宋体" w:cs="宋体"/>
                <w:sz w:val="24"/>
                <w:szCs w:val="24"/>
                <w:highlight w:val="none"/>
              </w:rPr>
              <w:t>成交供应商</w:t>
            </w:r>
            <w:r>
              <w:rPr>
                <w:rFonts w:hint="eastAsia" w:asciiTheme="minorEastAsia" w:hAnsiTheme="minorEastAsia" w:eastAsiaTheme="minorEastAsia"/>
                <w:bCs/>
                <w:sz w:val="24"/>
                <w:szCs w:val="24"/>
                <w:highlight w:val="none"/>
              </w:rPr>
              <w:t>融资申请信息推送第三方平台、意向金融机构。</w:t>
            </w:r>
          </w:p>
          <w:p w14:paraId="3DE574C4">
            <w:pPr>
              <w:spacing w:line="360" w:lineRule="auto"/>
              <w:rPr>
                <w:rFonts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3.电子保函指引：成交供应商可访问安徽省政府采购网“融资/保函”栏目，申请办理电子保函（包括：履约保函、预付款保函）。</w:t>
            </w:r>
          </w:p>
        </w:tc>
      </w:tr>
    </w:tbl>
    <w:p w14:paraId="1AC62576">
      <w:pPr>
        <w:spacing w:line="360" w:lineRule="auto"/>
        <w:jc w:val="center"/>
        <w:outlineLvl w:val="1"/>
        <w:rPr>
          <w:rFonts w:asciiTheme="minorEastAsia" w:hAnsiTheme="minorEastAsia" w:eastAsiaTheme="minorEastAsia"/>
          <w:b/>
          <w:sz w:val="24"/>
          <w:highlight w:val="none"/>
        </w:rPr>
      </w:pPr>
      <w:r>
        <w:rPr>
          <w:rFonts w:asciiTheme="minorEastAsia" w:hAnsiTheme="minorEastAsia" w:eastAsiaTheme="minorEastAsia"/>
          <w:b/>
          <w:sz w:val="28"/>
          <w:highlight w:val="none"/>
        </w:rPr>
        <w:br w:type="page"/>
      </w:r>
      <w:bookmarkStart w:id="55" w:name="_Toc27470"/>
      <w:bookmarkStart w:id="56" w:name="_Toc14293"/>
      <w:bookmarkStart w:id="57" w:name="_Toc17005"/>
      <w:r>
        <w:rPr>
          <w:rFonts w:hint="eastAsia" w:asciiTheme="minorEastAsia" w:hAnsiTheme="minorEastAsia" w:eastAsiaTheme="minorEastAsia"/>
          <w:b/>
          <w:sz w:val="24"/>
          <w:highlight w:val="none"/>
        </w:rPr>
        <w:t>二、供应商</w:t>
      </w:r>
      <w:r>
        <w:rPr>
          <w:rFonts w:asciiTheme="minorEastAsia" w:hAnsiTheme="minorEastAsia" w:eastAsiaTheme="minorEastAsia"/>
          <w:b/>
          <w:sz w:val="24"/>
          <w:highlight w:val="none"/>
        </w:rPr>
        <w:t>须知</w:t>
      </w:r>
      <w:r>
        <w:rPr>
          <w:rFonts w:hint="eastAsia" w:asciiTheme="minorEastAsia" w:hAnsiTheme="minorEastAsia" w:eastAsiaTheme="minorEastAsia"/>
          <w:b/>
          <w:sz w:val="24"/>
          <w:highlight w:val="none"/>
        </w:rPr>
        <w:t>正文</w:t>
      </w:r>
      <w:bookmarkEnd w:id="55"/>
      <w:bookmarkEnd w:id="56"/>
      <w:bookmarkEnd w:id="57"/>
    </w:p>
    <w:p w14:paraId="318F4E92">
      <w:pPr>
        <w:spacing w:line="360" w:lineRule="auto"/>
        <w:ind w:firstLine="437"/>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采购人、采购代理机构及供应商</w:t>
      </w:r>
    </w:p>
    <w:p w14:paraId="087CDDE7">
      <w:pPr>
        <w:spacing w:line="360" w:lineRule="auto"/>
        <w:ind w:firstLine="435"/>
        <w:rPr>
          <w:rFonts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.1采购人：是指依法开展政府采购活动的国家机关、事业单位、团体组织。</w:t>
      </w:r>
    </w:p>
    <w:p w14:paraId="4FC4DECD">
      <w:pPr>
        <w:spacing w:line="360" w:lineRule="auto"/>
        <w:ind w:firstLine="435"/>
        <w:rPr>
          <w:rFonts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.2采购代理机构：是指集中采购机构或从事采购代理业务的社会中介机构。</w:t>
      </w:r>
    </w:p>
    <w:p w14:paraId="45BE3296">
      <w:pPr>
        <w:spacing w:line="360" w:lineRule="auto"/>
        <w:ind w:firstLine="435"/>
        <w:rPr>
          <w:rFonts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.3政府采购监督管理部门：</w:t>
      </w:r>
      <w:r>
        <w:rPr>
          <w:rFonts w:hint="eastAsia" w:ascii="宋体" w:hAnsi="宋体" w:eastAsia="宋体"/>
          <w:sz w:val="24"/>
          <w:highlight w:val="none"/>
        </w:rPr>
        <w:t>各级人民政府指定的有关部门依法履行与政府采购活动有关的监督管理职责</w:t>
      </w:r>
      <w:r>
        <w:rPr>
          <w:rFonts w:ascii="宋体" w:hAnsi="宋体" w:eastAsia="宋体"/>
          <w:sz w:val="24"/>
          <w:highlight w:val="none"/>
        </w:rPr>
        <w:t>。</w:t>
      </w:r>
    </w:p>
    <w:p w14:paraId="44E60C52">
      <w:pPr>
        <w:spacing w:line="360" w:lineRule="auto"/>
        <w:ind w:firstLine="435"/>
        <w:rPr>
          <w:rFonts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.4</w:t>
      </w:r>
      <w:r>
        <w:rPr>
          <w:rFonts w:hint="eastAsia" w:ascii="宋体" w:hAnsi="宋体" w:eastAsia="宋体"/>
          <w:sz w:val="24"/>
          <w:highlight w:val="none"/>
        </w:rPr>
        <w:t>供应商</w:t>
      </w:r>
      <w:r>
        <w:rPr>
          <w:rFonts w:ascii="宋体" w:hAnsi="宋体" w:eastAsia="宋体"/>
          <w:sz w:val="24"/>
          <w:highlight w:val="none"/>
        </w:rPr>
        <w:t>：是指向采购人提供货物、工程或者服务的法人、</w:t>
      </w:r>
      <w:r>
        <w:rPr>
          <w:rFonts w:hint="eastAsia" w:ascii="宋体" w:hAnsi="宋体" w:eastAsia="宋体"/>
          <w:sz w:val="24"/>
          <w:highlight w:val="none"/>
        </w:rPr>
        <w:t>其他</w:t>
      </w:r>
      <w:r>
        <w:rPr>
          <w:rFonts w:ascii="宋体" w:hAnsi="宋体" w:eastAsia="宋体"/>
          <w:sz w:val="24"/>
          <w:highlight w:val="none"/>
        </w:rPr>
        <w:t>组织或者自然人。</w:t>
      </w:r>
      <w:r>
        <w:rPr>
          <w:rFonts w:hint="eastAsia" w:ascii="宋体" w:hAnsi="宋体" w:eastAsia="宋体"/>
          <w:sz w:val="24"/>
          <w:highlight w:val="none"/>
        </w:rPr>
        <w:t>分支机构不得参加政府采购活动，但银行、保险、石油石化、电力、电信等特殊行业除外。</w:t>
      </w:r>
      <w:r>
        <w:rPr>
          <w:rFonts w:ascii="宋体" w:hAnsi="宋体" w:eastAsia="宋体"/>
          <w:sz w:val="24"/>
          <w:highlight w:val="none"/>
        </w:rPr>
        <w:t>本项目的</w:t>
      </w:r>
      <w:r>
        <w:rPr>
          <w:rFonts w:hint="eastAsia" w:ascii="宋体" w:hAnsi="宋体" w:eastAsia="宋体"/>
          <w:sz w:val="24"/>
          <w:highlight w:val="none"/>
        </w:rPr>
        <w:t>供应商</w:t>
      </w:r>
      <w:r>
        <w:rPr>
          <w:rFonts w:ascii="宋体" w:hAnsi="宋体" w:eastAsia="宋体"/>
          <w:sz w:val="24"/>
          <w:highlight w:val="none"/>
        </w:rPr>
        <w:t>及其</w:t>
      </w:r>
      <w:r>
        <w:rPr>
          <w:rFonts w:hint="eastAsia" w:ascii="宋体" w:hAnsi="宋体" w:eastAsia="宋体"/>
          <w:sz w:val="24"/>
          <w:highlight w:val="none"/>
        </w:rPr>
        <w:t>所</w:t>
      </w:r>
      <w:r>
        <w:rPr>
          <w:rFonts w:ascii="宋体" w:hAnsi="宋体" w:eastAsia="宋体"/>
          <w:sz w:val="24"/>
          <w:highlight w:val="none"/>
        </w:rPr>
        <w:t>投货物须满足以下条件：</w:t>
      </w:r>
    </w:p>
    <w:p w14:paraId="36696285">
      <w:pPr>
        <w:spacing w:line="360" w:lineRule="auto"/>
        <w:ind w:firstLine="435"/>
        <w:rPr>
          <w:rFonts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4.</w:t>
      </w:r>
      <w:r>
        <w:rPr>
          <w:rFonts w:hint="eastAsia" w:ascii="宋体" w:hAnsi="宋体" w:eastAsia="宋体"/>
          <w:sz w:val="24"/>
          <w:highlight w:val="none"/>
        </w:rPr>
        <w:t>1</w:t>
      </w:r>
      <w:r>
        <w:rPr>
          <w:rFonts w:ascii="宋体" w:hAnsi="宋体" w:eastAsia="宋体"/>
          <w:sz w:val="24"/>
          <w:highlight w:val="none"/>
        </w:rPr>
        <w:t>具备《中华人民共和国政府采购法》第二十二条关于供应商条件的规定，遵守本项目采购人本级和上级财政部门政府采购的有关规定。</w:t>
      </w:r>
    </w:p>
    <w:p w14:paraId="3CC18475">
      <w:pPr>
        <w:spacing w:line="360" w:lineRule="auto"/>
        <w:ind w:firstLine="435"/>
        <w:rPr>
          <w:rFonts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4.</w:t>
      </w:r>
      <w:r>
        <w:rPr>
          <w:rFonts w:hint="eastAsia" w:ascii="宋体" w:hAnsi="宋体" w:eastAsia="宋体"/>
          <w:sz w:val="24"/>
          <w:highlight w:val="none"/>
        </w:rPr>
        <w:t>2</w:t>
      </w:r>
      <w:r>
        <w:rPr>
          <w:rFonts w:ascii="宋体" w:hAnsi="宋体" w:eastAsia="宋体"/>
          <w:sz w:val="24"/>
          <w:highlight w:val="none"/>
        </w:rPr>
        <w:t>以采购代理机构认可的方式获得了本项目的</w:t>
      </w:r>
      <w:r>
        <w:rPr>
          <w:rFonts w:hint="eastAsia" w:ascii="宋体" w:hAnsi="宋体" w:eastAsia="宋体"/>
          <w:sz w:val="24"/>
          <w:highlight w:val="none"/>
        </w:rPr>
        <w:t>磋商</w:t>
      </w:r>
      <w:r>
        <w:rPr>
          <w:rFonts w:ascii="宋体" w:hAnsi="宋体" w:eastAsia="宋体"/>
          <w:sz w:val="24"/>
          <w:highlight w:val="none"/>
        </w:rPr>
        <w:t>文件。</w:t>
      </w:r>
    </w:p>
    <w:p w14:paraId="3D80F969">
      <w:pPr>
        <w:spacing w:line="360" w:lineRule="auto"/>
        <w:ind w:firstLine="435"/>
        <w:rPr>
          <w:rFonts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4.</w:t>
      </w:r>
      <w:r>
        <w:rPr>
          <w:rFonts w:hint="eastAsia" w:ascii="宋体" w:hAnsi="宋体" w:eastAsia="宋体"/>
          <w:sz w:val="24"/>
          <w:highlight w:val="none"/>
        </w:rPr>
        <w:t>3</w:t>
      </w:r>
      <w:r>
        <w:rPr>
          <w:rFonts w:ascii="宋体" w:hAnsi="宋体" w:eastAsia="宋体"/>
          <w:sz w:val="24"/>
          <w:highlight w:val="none"/>
        </w:rPr>
        <w:t>若</w:t>
      </w:r>
      <w:r>
        <w:rPr>
          <w:rFonts w:hint="eastAsia" w:ascii="宋体" w:hAnsi="宋体" w:eastAsia="宋体"/>
          <w:sz w:val="24"/>
          <w:highlight w:val="none"/>
        </w:rPr>
        <w:t>采购需求</w:t>
      </w:r>
      <w:r>
        <w:rPr>
          <w:rFonts w:ascii="宋体" w:hAnsi="宋体" w:eastAsia="宋体"/>
          <w:sz w:val="24"/>
          <w:highlight w:val="none"/>
        </w:rPr>
        <w:t>中写明允许采购进口产品，</w:t>
      </w:r>
      <w:r>
        <w:rPr>
          <w:rFonts w:hint="eastAsia" w:ascii="宋体" w:hAnsi="宋体" w:eastAsia="宋体"/>
          <w:sz w:val="24"/>
          <w:highlight w:val="none"/>
        </w:rPr>
        <w:t>供应商</w:t>
      </w:r>
      <w:r>
        <w:rPr>
          <w:rFonts w:ascii="宋体" w:hAnsi="宋体" w:eastAsia="宋体"/>
          <w:sz w:val="24"/>
          <w:highlight w:val="none"/>
        </w:rPr>
        <w:t>应保证所投产品可履行合法报通关手续进入中国关境内。</w:t>
      </w:r>
    </w:p>
    <w:p w14:paraId="71FCC740">
      <w:pPr>
        <w:spacing w:line="360" w:lineRule="auto"/>
        <w:ind w:firstLine="435"/>
        <w:rPr>
          <w:rFonts w:ascii="宋体" w:hAnsi="宋体" w:eastAsia="宋体"/>
          <w:sz w:val="24"/>
          <w:highlight w:val="none"/>
        </w:rPr>
      </w:pPr>
      <w:r>
        <w:rPr>
          <w:rFonts w:hint="eastAsia" w:ascii="宋体" w:hAnsi="宋体" w:eastAsia="宋体"/>
          <w:sz w:val="24"/>
          <w:highlight w:val="none"/>
        </w:rPr>
        <w:t>若采购需求中未写明允许采购进口产品，如供应商所投产品为进口产品，其响应文件将被认定为</w:t>
      </w:r>
      <w:r>
        <w:rPr>
          <w:rFonts w:hint="eastAsia" w:ascii="宋体" w:hAnsi="宋体" w:eastAsia="宋体"/>
          <w:b/>
          <w:sz w:val="24"/>
          <w:highlight w:val="none"/>
        </w:rPr>
        <w:t>响应无效</w:t>
      </w:r>
      <w:r>
        <w:rPr>
          <w:rFonts w:hint="eastAsia" w:ascii="宋体" w:hAnsi="宋体" w:eastAsia="宋体"/>
          <w:sz w:val="24"/>
          <w:highlight w:val="none"/>
        </w:rPr>
        <w:t>。</w:t>
      </w:r>
    </w:p>
    <w:p w14:paraId="7401E8C0">
      <w:pPr>
        <w:spacing w:line="360" w:lineRule="auto"/>
        <w:ind w:firstLine="435"/>
        <w:rPr>
          <w:rFonts w:ascii="宋体" w:hAnsi="宋体" w:eastAsia="宋体"/>
          <w:sz w:val="24"/>
          <w:highlight w:val="none"/>
        </w:rPr>
      </w:pPr>
      <w:bookmarkStart w:id="58" w:name="_Hlk60607583"/>
      <w:r>
        <w:rPr>
          <w:rFonts w:hint="eastAsia" w:ascii="宋体" w:hAnsi="宋体" w:eastAsia="宋体"/>
          <w:bCs/>
          <w:kern w:val="0"/>
          <w:sz w:val="24"/>
          <w:szCs w:val="28"/>
          <w:highlight w:val="none"/>
        </w:rPr>
        <w:t>1</w:t>
      </w:r>
      <w:r>
        <w:rPr>
          <w:rFonts w:ascii="宋体" w:hAnsi="宋体" w:eastAsia="宋体"/>
          <w:bCs/>
          <w:kern w:val="0"/>
          <w:sz w:val="24"/>
          <w:szCs w:val="28"/>
          <w:highlight w:val="none"/>
        </w:rPr>
        <w:t>.5</w:t>
      </w:r>
      <w:r>
        <w:rPr>
          <w:rFonts w:hint="eastAsia" w:ascii="宋体" w:hAnsi="宋体" w:eastAsia="宋体"/>
          <w:bCs/>
          <w:kern w:val="0"/>
          <w:sz w:val="24"/>
          <w:szCs w:val="28"/>
          <w:highlight w:val="none"/>
        </w:rPr>
        <w:t>若竞争性磋商公告</w:t>
      </w:r>
      <w:r>
        <w:rPr>
          <w:rFonts w:ascii="宋体" w:hAnsi="宋体" w:eastAsia="宋体"/>
          <w:bCs/>
          <w:kern w:val="0"/>
          <w:sz w:val="24"/>
          <w:szCs w:val="28"/>
          <w:highlight w:val="none"/>
        </w:rPr>
        <w:t>中允许联合体</w:t>
      </w:r>
      <w:r>
        <w:rPr>
          <w:rFonts w:hint="eastAsia" w:ascii="宋体" w:hAnsi="宋体" w:eastAsia="宋体"/>
          <w:bCs/>
          <w:kern w:val="0"/>
          <w:sz w:val="24"/>
          <w:szCs w:val="28"/>
          <w:highlight w:val="none"/>
        </w:rPr>
        <w:t>参加磋商</w:t>
      </w:r>
      <w:r>
        <w:rPr>
          <w:rFonts w:ascii="宋体" w:hAnsi="宋体" w:eastAsia="宋体"/>
          <w:bCs/>
          <w:kern w:val="0"/>
          <w:sz w:val="24"/>
          <w:szCs w:val="28"/>
          <w:highlight w:val="none"/>
        </w:rPr>
        <w:t>，对联合体规定如下：</w:t>
      </w:r>
    </w:p>
    <w:bookmarkEnd w:id="58"/>
    <w:p w14:paraId="3013C1D1">
      <w:pPr>
        <w:spacing w:line="360" w:lineRule="auto"/>
        <w:ind w:firstLine="435"/>
        <w:rPr>
          <w:rFonts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w:t>
      </w:r>
      <w:r>
        <w:rPr>
          <w:rFonts w:hint="eastAsia" w:ascii="宋体" w:hAnsi="宋体" w:eastAsia="宋体"/>
          <w:sz w:val="24"/>
          <w:highlight w:val="none"/>
        </w:rPr>
        <w:t>5</w:t>
      </w:r>
      <w:r>
        <w:rPr>
          <w:rFonts w:ascii="宋体" w:hAnsi="宋体" w:eastAsia="宋体"/>
          <w:sz w:val="24"/>
          <w:highlight w:val="none"/>
        </w:rPr>
        <w:t>.1</w:t>
      </w:r>
      <w:r>
        <w:rPr>
          <w:rFonts w:hint="eastAsia" w:ascii="宋体" w:hAnsi="宋体" w:eastAsia="宋体"/>
          <w:sz w:val="24"/>
          <w:highlight w:val="none"/>
        </w:rPr>
        <w:t>两个以上供应商可以组成一个磋商联合体，以一个供应商的身份磋商</w:t>
      </w:r>
      <w:r>
        <w:rPr>
          <w:rFonts w:ascii="宋体" w:hAnsi="宋体" w:eastAsia="宋体"/>
          <w:sz w:val="24"/>
          <w:highlight w:val="none"/>
        </w:rPr>
        <w:t>。联合体参加磋商的，</w:t>
      </w:r>
      <w:r>
        <w:rPr>
          <w:rFonts w:hint="eastAsia" w:ascii="宋体" w:hAnsi="宋体" w:eastAsia="宋体"/>
          <w:sz w:val="24"/>
          <w:highlight w:val="none"/>
        </w:rPr>
        <w:t>磋商文件获取</w:t>
      </w:r>
      <w:r>
        <w:rPr>
          <w:rFonts w:ascii="宋体" w:hAnsi="宋体" w:eastAsia="宋体"/>
          <w:sz w:val="24"/>
          <w:highlight w:val="none"/>
        </w:rPr>
        <w:t>手续由联合体</w:t>
      </w:r>
      <w:r>
        <w:rPr>
          <w:rFonts w:hint="eastAsia" w:ascii="宋体" w:hAnsi="宋体" w:eastAsia="宋体"/>
          <w:sz w:val="24"/>
          <w:highlight w:val="none"/>
        </w:rPr>
        <w:t>中</w:t>
      </w:r>
      <w:r>
        <w:rPr>
          <w:rFonts w:ascii="宋体" w:hAnsi="宋体" w:eastAsia="宋体"/>
          <w:sz w:val="24"/>
          <w:highlight w:val="none"/>
        </w:rPr>
        <w:t>任一</w:t>
      </w:r>
      <w:r>
        <w:rPr>
          <w:rFonts w:hint="eastAsia" w:ascii="宋体" w:hAnsi="宋体" w:eastAsia="宋体"/>
          <w:sz w:val="24"/>
          <w:highlight w:val="none"/>
        </w:rPr>
        <w:t>成员单位</w:t>
      </w:r>
      <w:r>
        <w:rPr>
          <w:rFonts w:ascii="宋体" w:hAnsi="宋体" w:eastAsia="宋体"/>
          <w:sz w:val="24"/>
          <w:highlight w:val="none"/>
        </w:rPr>
        <w:t>办理均可。</w:t>
      </w:r>
    </w:p>
    <w:p w14:paraId="71DBD338">
      <w:pPr>
        <w:spacing w:line="360" w:lineRule="auto"/>
        <w:ind w:firstLine="435"/>
        <w:rPr>
          <w:rFonts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w:t>
      </w:r>
      <w:r>
        <w:rPr>
          <w:rFonts w:hint="eastAsia" w:ascii="宋体" w:hAnsi="宋体" w:eastAsia="宋体"/>
          <w:sz w:val="24"/>
          <w:highlight w:val="none"/>
        </w:rPr>
        <w:t>5</w:t>
      </w:r>
      <w:r>
        <w:rPr>
          <w:rFonts w:ascii="宋体" w:hAnsi="宋体" w:eastAsia="宋体"/>
          <w:sz w:val="24"/>
          <w:highlight w:val="none"/>
        </w:rPr>
        <w:t>.2联合体各方均应符合《中华人民共和国政府采购法》第二十二条规定的条件。</w:t>
      </w:r>
    </w:p>
    <w:p w14:paraId="2C66645F">
      <w:pPr>
        <w:spacing w:line="360" w:lineRule="auto"/>
        <w:ind w:firstLine="435"/>
        <w:rPr>
          <w:rFonts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w:t>
      </w:r>
      <w:r>
        <w:rPr>
          <w:rFonts w:hint="eastAsia" w:ascii="宋体" w:hAnsi="宋体" w:eastAsia="宋体"/>
          <w:sz w:val="24"/>
          <w:highlight w:val="none"/>
        </w:rPr>
        <w:t>5</w:t>
      </w:r>
      <w:r>
        <w:rPr>
          <w:rFonts w:ascii="宋体" w:hAnsi="宋体" w:eastAsia="宋体"/>
          <w:sz w:val="24"/>
          <w:highlight w:val="none"/>
        </w:rPr>
        <w:t>.3采购人根据采购项目对</w:t>
      </w:r>
      <w:r>
        <w:rPr>
          <w:rFonts w:hint="eastAsia" w:ascii="宋体" w:hAnsi="宋体" w:eastAsia="宋体"/>
          <w:sz w:val="24"/>
          <w:highlight w:val="none"/>
        </w:rPr>
        <w:t>供应商</w:t>
      </w:r>
      <w:r>
        <w:rPr>
          <w:rFonts w:ascii="宋体" w:hAnsi="宋体" w:eastAsia="宋体"/>
          <w:sz w:val="24"/>
          <w:highlight w:val="none"/>
        </w:rPr>
        <w:t>的特殊要求，联合体中至少应当有一方符合相关规定。</w:t>
      </w:r>
    </w:p>
    <w:p w14:paraId="641B7886">
      <w:pPr>
        <w:spacing w:line="360" w:lineRule="auto"/>
        <w:ind w:firstLine="435"/>
        <w:rPr>
          <w:rFonts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w:t>
      </w:r>
      <w:r>
        <w:rPr>
          <w:rFonts w:hint="eastAsia" w:ascii="宋体" w:hAnsi="宋体" w:eastAsia="宋体"/>
          <w:sz w:val="24"/>
          <w:highlight w:val="none"/>
        </w:rPr>
        <w:t>5</w:t>
      </w:r>
      <w:r>
        <w:rPr>
          <w:rFonts w:ascii="宋体" w:hAnsi="宋体" w:eastAsia="宋体"/>
          <w:sz w:val="24"/>
          <w:highlight w:val="none"/>
        </w:rPr>
        <w:t>.4联合体各方应签订</w:t>
      </w:r>
      <w:r>
        <w:rPr>
          <w:rFonts w:hint="eastAsia" w:ascii="宋体" w:hAnsi="宋体" w:eastAsia="宋体"/>
          <w:sz w:val="24"/>
          <w:highlight w:val="none"/>
        </w:rPr>
        <w:t>联合协议</w:t>
      </w:r>
      <w:r>
        <w:rPr>
          <w:rFonts w:ascii="宋体" w:hAnsi="宋体" w:eastAsia="宋体"/>
          <w:sz w:val="24"/>
          <w:highlight w:val="none"/>
        </w:rPr>
        <w:t>，明确约定联合体各方承担的工作和相应的责任，并将</w:t>
      </w:r>
      <w:r>
        <w:rPr>
          <w:rFonts w:hint="eastAsia" w:ascii="宋体" w:hAnsi="宋体" w:eastAsia="宋体"/>
          <w:sz w:val="24"/>
          <w:highlight w:val="none"/>
        </w:rPr>
        <w:t>联合协议</w:t>
      </w:r>
      <w:r>
        <w:rPr>
          <w:rFonts w:ascii="宋体" w:hAnsi="宋体" w:eastAsia="宋体"/>
          <w:sz w:val="24"/>
          <w:highlight w:val="none"/>
        </w:rPr>
        <w:t>作为</w:t>
      </w:r>
      <w:r>
        <w:rPr>
          <w:rFonts w:hint="eastAsia" w:ascii="宋体" w:hAnsi="宋体" w:eastAsia="宋体"/>
          <w:sz w:val="24"/>
          <w:highlight w:val="none"/>
        </w:rPr>
        <w:t>响应</w:t>
      </w:r>
      <w:r>
        <w:rPr>
          <w:rFonts w:ascii="宋体" w:hAnsi="宋体" w:eastAsia="宋体"/>
          <w:sz w:val="24"/>
          <w:highlight w:val="none"/>
        </w:rPr>
        <w:t>文件</w:t>
      </w:r>
      <w:r>
        <w:rPr>
          <w:rFonts w:hint="eastAsia" w:ascii="宋体" w:hAnsi="宋体" w:eastAsia="宋体"/>
          <w:sz w:val="24"/>
          <w:highlight w:val="none"/>
        </w:rPr>
        <w:t>的</w:t>
      </w:r>
      <w:r>
        <w:rPr>
          <w:rFonts w:ascii="宋体" w:hAnsi="宋体" w:eastAsia="宋体"/>
          <w:sz w:val="24"/>
          <w:highlight w:val="none"/>
        </w:rPr>
        <w:t>一部分提交。</w:t>
      </w:r>
    </w:p>
    <w:p w14:paraId="060183C3">
      <w:pPr>
        <w:spacing w:line="360" w:lineRule="auto"/>
        <w:ind w:firstLine="435"/>
        <w:rPr>
          <w:rFonts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w:t>
      </w:r>
      <w:r>
        <w:rPr>
          <w:rFonts w:hint="eastAsia" w:ascii="宋体" w:hAnsi="宋体" w:eastAsia="宋体"/>
          <w:sz w:val="24"/>
          <w:highlight w:val="none"/>
        </w:rPr>
        <w:t>5</w:t>
      </w:r>
      <w:r>
        <w:rPr>
          <w:rFonts w:ascii="宋体" w:hAnsi="宋体" w:eastAsia="宋体"/>
          <w:sz w:val="24"/>
          <w:highlight w:val="none"/>
        </w:rPr>
        <w:t>.5大中型企业、其他自然人、法人或者非法人组织与小型、微型企业组成联合体共同参加</w:t>
      </w:r>
      <w:r>
        <w:rPr>
          <w:rFonts w:hint="eastAsia" w:ascii="宋体" w:hAnsi="宋体" w:eastAsia="宋体"/>
          <w:sz w:val="24"/>
          <w:highlight w:val="none"/>
        </w:rPr>
        <w:t>磋商</w:t>
      </w:r>
      <w:r>
        <w:rPr>
          <w:rFonts w:ascii="宋体" w:hAnsi="宋体" w:eastAsia="宋体"/>
          <w:sz w:val="24"/>
          <w:highlight w:val="none"/>
        </w:rPr>
        <w:t>，</w:t>
      </w:r>
      <w:r>
        <w:rPr>
          <w:rFonts w:hint="eastAsia" w:ascii="宋体" w:hAnsi="宋体" w:eastAsia="宋体"/>
          <w:sz w:val="24"/>
          <w:highlight w:val="none"/>
        </w:rPr>
        <w:t>联合协议中</w:t>
      </w:r>
      <w:r>
        <w:rPr>
          <w:rFonts w:ascii="宋体" w:hAnsi="宋体" w:eastAsia="宋体"/>
          <w:sz w:val="24"/>
          <w:highlight w:val="none"/>
        </w:rPr>
        <w:t>应写明小型、微型企业的协议合同金额占到</w:t>
      </w:r>
      <w:r>
        <w:rPr>
          <w:rFonts w:hint="eastAsia" w:ascii="宋体" w:hAnsi="宋体" w:eastAsia="宋体"/>
          <w:sz w:val="24"/>
          <w:highlight w:val="none"/>
        </w:rPr>
        <w:t>联合协议合同</w:t>
      </w:r>
      <w:r>
        <w:rPr>
          <w:rFonts w:ascii="宋体" w:hAnsi="宋体" w:eastAsia="宋体"/>
          <w:sz w:val="24"/>
          <w:highlight w:val="none"/>
        </w:rPr>
        <w:t>总金额的比例。</w:t>
      </w:r>
    </w:p>
    <w:p w14:paraId="47964E65">
      <w:pPr>
        <w:spacing w:line="360" w:lineRule="auto"/>
        <w:ind w:firstLine="435"/>
        <w:rPr>
          <w:rFonts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.5.6</w:t>
      </w:r>
      <w:r>
        <w:rPr>
          <w:rFonts w:hint="eastAsia" w:ascii="宋体" w:hAnsi="宋体" w:eastAsia="宋体"/>
          <w:sz w:val="24"/>
          <w:highlight w:val="none"/>
        </w:rPr>
        <w:t>联合体中有同类资质的供应商按照联合体分工承担相同工作的，</w:t>
      </w:r>
      <w:r>
        <w:rPr>
          <w:rFonts w:ascii="宋体" w:hAnsi="宋体" w:eastAsia="宋体"/>
          <w:sz w:val="24"/>
          <w:highlight w:val="none"/>
        </w:rPr>
        <w:t>应当按照</w:t>
      </w:r>
      <w:r>
        <w:rPr>
          <w:rFonts w:hint="eastAsia" w:ascii="宋体" w:hAnsi="宋体" w:eastAsia="宋体"/>
          <w:sz w:val="24"/>
          <w:highlight w:val="none"/>
        </w:rPr>
        <w:t>资质等级较低的供应商确定资质等级。</w:t>
      </w:r>
    </w:p>
    <w:p w14:paraId="2AD3B345">
      <w:pPr>
        <w:spacing w:line="360" w:lineRule="auto"/>
        <w:ind w:firstLine="435"/>
        <w:rPr>
          <w:rFonts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w:t>
      </w:r>
      <w:r>
        <w:rPr>
          <w:rFonts w:hint="eastAsia" w:ascii="宋体" w:hAnsi="宋体" w:eastAsia="宋体"/>
          <w:sz w:val="24"/>
          <w:highlight w:val="none"/>
        </w:rPr>
        <w:t>5</w:t>
      </w:r>
      <w:r>
        <w:rPr>
          <w:rFonts w:ascii="宋体" w:hAnsi="宋体" w:eastAsia="宋体"/>
          <w:sz w:val="24"/>
          <w:highlight w:val="none"/>
        </w:rPr>
        <w:t>.7以联合体形式参加政府采购活动的，联合体各方不得再单独参加或者与其他供应商另外组成联合体参加本项目</w:t>
      </w:r>
      <w:r>
        <w:rPr>
          <w:rFonts w:hint="eastAsia" w:ascii="宋体" w:hAnsi="宋体" w:eastAsia="宋体"/>
          <w:sz w:val="24"/>
          <w:highlight w:val="none"/>
        </w:rPr>
        <w:t>磋商</w:t>
      </w:r>
      <w:r>
        <w:rPr>
          <w:rFonts w:ascii="宋体" w:hAnsi="宋体" w:eastAsia="宋体"/>
          <w:sz w:val="24"/>
          <w:highlight w:val="none"/>
        </w:rPr>
        <w:t>，否则相关</w:t>
      </w:r>
      <w:r>
        <w:rPr>
          <w:rFonts w:hint="eastAsia" w:ascii="宋体" w:hAnsi="宋体" w:eastAsia="宋体"/>
          <w:sz w:val="24"/>
          <w:highlight w:val="none"/>
        </w:rPr>
        <w:t>响应文件将被认定为</w:t>
      </w:r>
      <w:r>
        <w:rPr>
          <w:rFonts w:hint="eastAsia" w:ascii="宋体" w:hAnsi="宋体" w:eastAsia="宋体"/>
          <w:b/>
          <w:sz w:val="24"/>
          <w:highlight w:val="none"/>
        </w:rPr>
        <w:t>响应无效</w:t>
      </w:r>
      <w:r>
        <w:rPr>
          <w:rFonts w:ascii="宋体" w:hAnsi="宋体" w:eastAsia="宋体"/>
          <w:sz w:val="24"/>
          <w:highlight w:val="none"/>
        </w:rPr>
        <w:t>。</w:t>
      </w:r>
    </w:p>
    <w:p w14:paraId="2D5B3B19">
      <w:pPr>
        <w:spacing w:line="360" w:lineRule="auto"/>
        <w:ind w:firstLine="435"/>
        <w:rPr>
          <w:rFonts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w:t>
      </w:r>
      <w:r>
        <w:rPr>
          <w:rFonts w:hint="eastAsia" w:ascii="宋体" w:hAnsi="宋体" w:eastAsia="宋体"/>
          <w:sz w:val="24"/>
          <w:highlight w:val="none"/>
        </w:rPr>
        <w:t>5</w:t>
      </w:r>
      <w:r>
        <w:rPr>
          <w:rFonts w:ascii="宋体" w:hAnsi="宋体" w:eastAsia="宋体"/>
          <w:sz w:val="24"/>
          <w:highlight w:val="none"/>
        </w:rPr>
        <w:t>.8对联合体参加磋商的其他资格要求见</w:t>
      </w:r>
      <w:r>
        <w:rPr>
          <w:rFonts w:hint="eastAsia" w:ascii="宋体" w:hAnsi="宋体" w:eastAsia="宋体"/>
          <w:sz w:val="24"/>
          <w:highlight w:val="none"/>
        </w:rPr>
        <w:t>申请人的资格要求</w:t>
      </w:r>
      <w:r>
        <w:rPr>
          <w:rFonts w:ascii="宋体" w:hAnsi="宋体" w:eastAsia="宋体"/>
          <w:sz w:val="24"/>
          <w:highlight w:val="none"/>
        </w:rPr>
        <w:t>。</w:t>
      </w:r>
    </w:p>
    <w:p w14:paraId="648109D0">
      <w:pPr>
        <w:spacing w:line="360" w:lineRule="auto"/>
        <w:ind w:firstLine="437"/>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2</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资金落实情况</w:t>
      </w:r>
    </w:p>
    <w:p w14:paraId="3D7B5927">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.1本项目的采购人已获得足以支付本次磋商后所签订的合同项下的资金。</w:t>
      </w:r>
    </w:p>
    <w:p w14:paraId="07A776DB">
      <w:pPr>
        <w:spacing w:line="360" w:lineRule="auto"/>
        <w:ind w:firstLine="437"/>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3</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磋商费用</w:t>
      </w:r>
    </w:p>
    <w:p w14:paraId="021AB8E0">
      <w:pPr>
        <w:spacing w:line="360" w:lineRule="auto"/>
        <w:ind w:firstLine="480" w:firstLineChars="200"/>
        <w:outlineLvl w:val="2"/>
        <w:rPr>
          <w:rFonts w:ascii="宋体" w:hAnsi="宋体" w:eastAsia="宋体"/>
          <w:sz w:val="24"/>
          <w:highlight w:val="none"/>
        </w:rPr>
      </w:pPr>
      <w:r>
        <w:rPr>
          <w:rFonts w:hint="eastAsia" w:ascii="宋体" w:hAnsi="宋体" w:eastAsia="宋体"/>
          <w:sz w:val="24"/>
          <w:highlight w:val="none"/>
        </w:rPr>
        <w:t>不论磋商的结果如何，供应商应承担其所有与准备和参加磋商有关的费用</w:t>
      </w:r>
    </w:p>
    <w:p w14:paraId="003CA5EE">
      <w:pPr>
        <w:spacing w:line="360" w:lineRule="auto"/>
        <w:ind w:firstLine="482" w:firstLineChars="200"/>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4.适用法律</w:t>
      </w:r>
    </w:p>
    <w:p w14:paraId="55F314D1">
      <w:pPr>
        <w:spacing w:line="360" w:lineRule="auto"/>
        <w:ind w:firstLine="480" w:firstLineChars="200"/>
        <w:outlineLvl w:val="2"/>
        <w:rPr>
          <w:rFonts w:ascii="宋体" w:hAnsi="宋体" w:eastAsia="宋体"/>
          <w:sz w:val="24"/>
          <w:highlight w:val="none"/>
        </w:rPr>
      </w:pPr>
      <w:r>
        <w:rPr>
          <w:rFonts w:hint="eastAsia" w:ascii="宋体" w:hAnsi="宋体" w:eastAsia="宋体"/>
          <w:sz w:val="24"/>
          <w:highlight w:val="none"/>
        </w:rPr>
        <w:t>本项目采购人、采购代理机构、供应商、磋商小组的相关行为均受《中华人民共和国政府采购法》、《中华人民共和国政府采购法实施条例》及本项目本级和上级财政部门、政府采购监督管理部门的政府采购有关规定的约束，其权利受到上述法律法规的保护。</w:t>
      </w:r>
    </w:p>
    <w:p w14:paraId="24DA592D">
      <w:pPr>
        <w:spacing w:line="360" w:lineRule="auto"/>
        <w:ind w:firstLine="437"/>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5</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磋商文件构成</w:t>
      </w:r>
    </w:p>
    <w:p w14:paraId="5C993371">
      <w:pPr>
        <w:spacing w:line="360" w:lineRule="auto"/>
        <w:ind w:firstLine="435"/>
        <w:rPr>
          <w:rFonts w:ascii="宋体" w:hAnsi="宋体" w:eastAsia="宋体"/>
          <w:sz w:val="24"/>
          <w:highlight w:val="none"/>
        </w:rPr>
      </w:pPr>
      <w:r>
        <w:rPr>
          <w:rFonts w:hint="eastAsia" w:ascii="宋体" w:hAnsi="宋体" w:eastAsia="宋体"/>
          <w:sz w:val="24"/>
          <w:highlight w:val="none"/>
        </w:rPr>
        <w:t>5.1磋商文件包括下列内容：</w:t>
      </w:r>
    </w:p>
    <w:p w14:paraId="459A5133">
      <w:pPr>
        <w:spacing w:line="360" w:lineRule="auto"/>
        <w:ind w:firstLine="840" w:firstLineChars="350"/>
        <w:rPr>
          <w:rFonts w:hint="default"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rPr>
        <w:t>第一章</w:t>
      </w:r>
      <w:r>
        <w:rPr>
          <w:rFonts w:asciiTheme="minorEastAsia" w:hAnsiTheme="minorEastAsia" w:eastAsiaTheme="minorEastAsia"/>
          <w:sz w:val="24"/>
          <w:highlight w:val="none"/>
        </w:rPr>
        <w:t xml:space="preserve">  </w:t>
      </w:r>
      <w:r>
        <w:rPr>
          <w:rFonts w:hint="eastAsia" w:asciiTheme="minorEastAsia" w:hAnsiTheme="minorEastAsia" w:eastAsiaTheme="minorEastAsia"/>
          <w:sz w:val="24"/>
          <w:highlight w:val="none"/>
          <w:lang w:val="en-US" w:eastAsia="zh-CN"/>
        </w:rPr>
        <w:t>竞争性磋商公告</w:t>
      </w:r>
    </w:p>
    <w:p w14:paraId="18919D00">
      <w:pPr>
        <w:spacing w:line="360" w:lineRule="auto"/>
        <w:ind w:firstLine="840" w:firstLineChars="35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第二章</w:t>
      </w:r>
      <w:r>
        <w:rPr>
          <w:rFonts w:asciiTheme="minorEastAsia" w:hAnsiTheme="minorEastAsia" w:eastAsiaTheme="minorEastAsia"/>
          <w:sz w:val="24"/>
          <w:highlight w:val="none"/>
        </w:rPr>
        <w:t xml:space="preserve">  </w:t>
      </w:r>
      <w:r>
        <w:rPr>
          <w:rFonts w:hint="eastAsia" w:asciiTheme="minorEastAsia" w:hAnsiTheme="minorEastAsia" w:eastAsiaTheme="minorEastAsia"/>
          <w:sz w:val="24"/>
          <w:highlight w:val="none"/>
        </w:rPr>
        <w:t>供应商</w:t>
      </w:r>
      <w:r>
        <w:rPr>
          <w:rFonts w:asciiTheme="minorEastAsia" w:hAnsiTheme="minorEastAsia" w:eastAsiaTheme="minorEastAsia"/>
          <w:sz w:val="24"/>
          <w:highlight w:val="none"/>
        </w:rPr>
        <w:t>须知</w:t>
      </w:r>
    </w:p>
    <w:p w14:paraId="32EE8A47">
      <w:pPr>
        <w:spacing w:line="360" w:lineRule="auto"/>
        <w:ind w:firstLine="840" w:firstLineChars="35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第三章</w:t>
      </w:r>
      <w:r>
        <w:rPr>
          <w:rFonts w:asciiTheme="minorEastAsia" w:hAnsiTheme="minorEastAsia" w:eastAsiaTheme="minorEastAsia"/>
          <w:sz w:val="24"/>
          <w:highlight w:val="none"/>
        </w:rPr>
        <w:t xml:space="preserve">  采购需求</w:t>
      </w:r>
    </w:p>
    <w:p w14:paraId="047DD530">
      <w:pPr>
        <w:spacing w:line="360" w:lineRule="auto"/>
        <w:ind w:firstLine="840" w:firstLineChars="35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第四章</w:t>
      </w:r>
      <w:r>
        <w:rPr>
          <w:rFonts w:asciiTheme="minorEastAsia" w:hAnsiTheme="minorEastAsia" w:eastAsiaTheme="minorEastAsia"/>
          <w:sz w:val="24"/>
          <w:highlight w:val="none"/>
        </w:rPr>
        <w:t xml:space="preserve">  </w:t>
      </w:r>
      <w:r>
        <w:rPr>
          <w:rFonts w:hint="eastAsia" w:asciiTheme="minorEastAsia" w:hAnsiTheme="minorEastAsia" w:eastAsiaTheme="minorEastAsia"/>
          <w:sz w:val="24"/>
          <w:highlight w:val="none"/>
        </w:rPr>
        <w:t>评审方法</w:t>
      </w:r>
      <w:r>
        <w:rPr>
          <w:rFonts w:asciiTheme="minorEastAsia" w:hAnsiTheme="minorEastAsia" w:eastAsiaTheme="minorEastAsia"/>
          <w:sz w:val="24"/>
          <w:highlight w:val="none"/>
        </w:rPr>
        <w:t>和标准</w:t>
      </w:r>
    </w:p>
    <w:p w14:paraId="5B95C252">
      <w:pPr>
        <w:spacing w:line="360" w:lineRule="auto"/>
        <w:ind w:firstLine="840" w:firstLineChars="35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第五章</w:t>
      </w:r>
      <w:r>
        <w:rPr>
          <w:rFonts w:asciiTheme="minorEastAsia" w:hAnsiTheme="minorEastAsia" w:eastAsiaTheme="minorEastAsia"/>
          <w:sz w:val="24"/>
          <w:highlight w:val="none"/>
        </w:rPr>
        <w:t xml:space="preserve">  政府采购合同</w:t>
      </w:r>
    </w:p>
    <w:p w14:paraId="6EE66A2F">
      <w:pPr>
        <w:spacing w:line="360" w:lineRule="auto"/>
        <w:ind w:firstLine="840" w:firstLineChars="35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第六章</w:t>
      </w:r>
      <w:r>
        <w:rPr>
          <w:rFonts w:asciiTheme="minorEastAsia" w:hAnsiTheme="minorEastAsia" w:eastAsiaTheme="minorEastAsia"/>
          <w:sz w:val="24"/>
          <w:highlight w:val="none"/>
        </w:rPr>
        <w:t xml:space="preserve">  </w:t>
      </w:r>
      <w:r>
        <w:rPr>
          <w:rFonts w:hint="eastAsia" w:asciiTheme="minorEastAsia" w:hAnsiTheme="minorEastAsia" w:eastAsiaTheme="minorEastAsia"/>
          <w:sz w:val="24"/>
          <w:highlight w:val="none"/>
        </w:rPr>
        <w:t>响应</w:t>
      </w:r>
      <w:r>
        <w:rPr>
          <w:rFonts w:asciiTheme="minorEastAsia" w:hAnsiTheme="minorEastAsia" w:eastAsiaTheme="minorEastAsia"/>
          <w:sz w:val="24"/>
          <w:highlight w:val="none"/>
        </w:rPr>
        <w:t>文件格式</w:t>
      </w:r>
    </w:p>
    <w:p w14:paraId="76DEA40E">
      <w:pPr>
        <w:spacing w:line="360" w:lineRule="auto"/>
        <w:ind w:firstLine="840" w:firstLineChars="35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第七章</w:t>
      </w:r>
      <w:r>
        <w:rPr>
          <w:rFonts w:asciiTheme="minorEastAsia" w:hAnsiTheme="minorEastAsia" w:eastAsiaTheme="minorEastAsia"/>
          <w:sz w:val="24"/>
          <w:highlight w:val="none"/>
        </w:rPr>
        <w:t xml:space="preserve">  政府采购供应商</w:t>
      </w:r>
      <w:r>
        <w:rPr>
          <w:rFonts w:hint="eastAsia" w:asciiTheme="minorEastAsia" w:hAnsiTheme="minorEastAsia" w:eastAsiaTheme="minorEastAsia"/>
          <w:sz w:val="24"/>
          <w:highlight w:val="none"/>
        </w:rPr>
        <w:t>询问函和</w:t>
      </w:r>
      <w:r>
        <w:rPr>
          <w:rFonts w:asciiTheme="minorEastAsia" w:hAnsiTheme="minorEastAsia" w:eastAsiaTheme="minorEastAsia"/>
          <w:sz w:val="24"/>
          <w:highlight w:val="none"/>
        </w:rPr>
        <w:t>质疑函范本</w:t>
      </w:r>
    </w:p>
    <w:p w14:paraId="4A428EEB">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5</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现场</w:t>
      </w:r>
      <w:r>
        <w:rPr>
          <w:rFonts w:hint="eastAsia" w:asciiTheme="minorEastAsia" w:hAnsiTheme="minorEastAsia" w:eastAsiaTheme="minorEastAsia"/>
          <w:sz w:val="24"/>
          <w:highlight w:val="none"/>
        </w:rPr>
        <w:t>考察</w:t>
      </w:r>
      <w:r>
        <w:rPr>
          <w:rFonts w:asciiTheme="minorEastAsia" w:hAnsiTheme="minorEastAsia" w:eastAsiaTheme="minorEastAsia"/>
          <w:sz w:val="24"/>
          <w:highlight w:val="none"/>
        </w:rPr>
        <w:t>及相关事项见</w:t>
      </w:r>
      <w:r>
        <w:rPr>
          <w:rFonts w:asciiTheme="minorEastAsia" w:hAnsiTheme="minorEastAsia" w:eastAsiaTheme="minorEastAsia"/>
          <w:sz w:val="24"/>
          <w:highlight w:val="none"/>
          <w:u w:val="single"/>
        </w:rPr>
        <w:t>供应商须知前附表</w:t>
      </w:r>
      <w:r>
        <w:rPr>
          <w:rFonts w:asciiTheme="minorEastAsia" w:hAnsiTheme="minorEastAsia" w:eastAsiaTheme="minorEastAsia"/>
          <w:sz w:val="24"/>
          <w:highlight w:val="none"/>
        </w:rPr>
        <w:t>。</w:t>
      </w:r>
    </w:p>
    <w:p w14:paraId="6C11D93A">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5</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3供应商</w:t>
      </w:r>
      <w:r>
        <w:rPr>
          <w:rFonts w:asciiTheme="minorEastAsia" w:hAnsiTheme="minorEastAsia" w:eastAsiaTheme="minorEastAsia"/>
          <w:sz w:val="24"/>
          <w:highlight w:val="none"/>
        </w:rPr>
        <w:t>应认真阅读</w:t>
      </w:r>
      <w:r>
        <w:rPr>
          <w:rFonts w:hint="eastAsia" w:asciiTheme="minorEastAsia" w:hAnsiTheme="minorEastAsia" w:eastAsiaTheme="minorEastAsia"/>
          <w:sz w:val="24"/>
          <w:highlight w:val="none"/>
        </w:rPr>
        <w:t>磋商</w:t>
      </w:r>
      <w:r>
        <w:rPr>
          <w:rFonts w:asciiTheme="minorEastAsia" w:hAnsiTheme="minorEastAsia" w:eastAsiaTheme="minorEastAsia"/>
          <w:sz w:val="24"/>
          <w:highlight w:val="none"/>
        </w:rPr>
        <w:t>文件所有的事项、格式、条款和技术规范等。</w:t>
      </w:r>
    </w:p>
    <w:p w14:paraId="5A5FB8EB">
      <w:pPr>
        <w:spacing w:line="360" w:lineRule="auto"/>
        <w:ind w:firstLine="437"/>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6</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磋商文件的澄清与修改</w:t>
      </w:r>
    </w:p>
    <w:p w14:paraId="240739A4">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6</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1供应商</w:t>
      </w:r>
      <w:r>
        <w:rPr>
          <w:rFonts w:asciiTheme="minorEastAsia" w:hAnsiTheme="minorEastAsia" w:eastAsiaTheme="minorEastAsia"/>
          <w:sz w:val="24"/>
          <w:highlight w:val="none"/>
        </w:rPr>
        <w:t>如对</w:t>
      </w:r>
      <w:r>
        <w:rPr>
          <w:rFonts w:hint="eastAsia" w:asciiTheme="minorEastAsia" w:hAnsiTheme="minorEastAsia" w:eastAsiaTheme="minorEastAsia"/>
          <w:sz w:val="24"/>
          <w:highlight w:val="none"/>
        </w:rPr>
        <w:t>磋商</w:t>
      </w:r>
      <w:r>
        <w:rPr>
          <w:rFonts w:asciiTheme="minorEastAsia" w:hAnsiTheme="minorEastAsia" w:eastAsiaTheme="minorEastAsia"/>
          <w:sz w:val="24"/>
          <w:highlight w:val="none"/>
        </w:rPr>
        <w:t>文件内容有疑问，必须在</w:t>
      </w:r>
      <w:r>
        <w:rPr>
          <w:rFonts w:ascii="宋体" w:hAnsi="宋体" w:eastAsia="宋体"/>
          <w:sz w:val="24"/>
          <w:highlight w:val="none"/>
          <w:u w:val="single"/>
        </w:rPr>
        <w:t>供应商须知前附表</w:t>
      </w:r>
      <w:r>
        <w:rPr>
          <w:rFonts w:asciiTheme="minorEastAsia" w:hAnsiTheme="minorEastAsia" w:eastAsiaTheme="minorEastAsia"/>
          <w:sz w:val="24"/>
          <w:highlight w:val="none"/>
        </w:rPr>
        <w:t>规定的</w:t>
      </w:r>
      <w:r>
        <w:rPr>
          <w:rFonts w:hint="eastAsia" w:asciiTheme="minorEastAsia" w:hAnsiTheme="minorEastAsia" w:eastAsiaTheme="minorEastAsia"/>
          <w:sz w:val="24"/>
          <w:highlight w:val="none"/>
        </w:rPr>
        <w:t>网上询问</w:t>
      </w:r>
      <w:r>
        <w:rPr>
          <w:rFonts w:asciiTheme="minorEastAsia" w:hAnsiTheme="minorEastAsia" w:eastAsiaTheme="minorEastAsia"/>
          <w:sz w:val="24"/>
          <w:highlight w:val="none"/>
        </w:rPr>
        <w:t>截止时间前以网上提问形式</w:t>
      </w:r>
      <w:r>
        <w:rPr>
          <w:rFonts w:hint="eastAsia" w:asciiTheme="minorEastAsia" w:hAnsiTheme="minorEastAsia" w:eastAsiaTheme="minorEastAsia"/>
          <w:sz w:val="24"/>
          <w:highlight w:val="none"/>
        </w:rPr>
        <w:t>（电子交易系统）</w:t>
      </w:r>
      <w:r>
        <w:rPr>
          <w:rFonts w:asciiTheme="minorEastAsia" w:hAnsiTheme="minorEastAsia" w:eastAsiaTheme="minorEastAsia"/>
          <w:sz w:val="24"/>
          <w:highlight w:val="none"/>
        </w:rPr>
        <w:t>提交给采购代理机构。</w:t>
      </w:r>
    </w:p>
    <w:p w14:paraId="4CA021D1">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6</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2采购人可主动地或在答复供应商提出的询问时对磋商文件进行澄清与修改。</w:t>
      </w:r>
      <w:r>
        <w:rPr>
          <w:rFonts w:asciiTheme="minorEastAsia" w:hAnsiTheme="minorEastAsia" w:eastAsiaTheme="minorEastAsia"/>
          <w:sz w:val="24"/>
          <w:highlight w:val="none"/>
        </w:rPr>
        <w:t>采购代理机构将</w:t>
      </w:r>
      <w:r>
        <w:rPr>
          <w:rFonts w:hint="eastAsia" w:asciiTheme="minorEastAsia" w:hAnsiTheme="minorEastAsia" w:eastAsiaTheme="minorEastAsia"/>
          <w:sz w:val="24"/>
          <w:highlight w:val="none"/>
        </w:rPr>
        <w:t>在</w:t>
      </w:r>
      <w:bookmarkStart w:id="59" w:name="_Hlk16458572"/>
      <w:r>
        <w:rPr>
          <w:rFonts w:hint="eastAsia" w:ascii="宋体" w:hAnsi="宋体" w:eastAsia="宋体"/>
          <w:sz w:val="24"/>
          <w:szCs w:val="18"/>
          <w:highlight w:val="none"/>
        </w:rPr>
        <w:t>安徽省政府采购网及</w:t>
      </w:r>
      <w:bookmarkEnd w:id="59"/>
      <w:r>
        <w:rPr>
          <w:rFonts w:hint="eastAsia" w:asciiTheme="minorEastAsia" w:hAnsiTheme="minorEastAsia" w:eastAsiaTheme="minorEastAsia"/>
          <w:sz w:val="24"/>
          <w:highlight w:val="none"/>
        </w:rPr>
        <w:t>以发布更正公告的方式澄清或者修改磋商文件，更正公告的</w:t>
      </w:r>
      <w:r>
        <w:rPr>
          <w:rFonts w:asciiTheme="minorEastAsia" w:hAnsiTheme="minorEastAsia" w:eastAsiaTheme="minorEastAsia"/>
          <w:sz w:val="24"/>
          <w:highlight w:val="none"/>
        </w:rPr>
        <w:t>内容</w:t>
      </w:r>
      <w:r>
        <w:rPr>
          <w:rFonts w:hint="eastAsia" w:asciiTheme="minorEastAsia" w:hAnsiTheme="minorEastAsia" w:eastAsiaTheme="minorEastAsia"/>
          <w:sz w:val="24"/>
          <w:highlight w:val="none"/>
        </w:rPr>
        <w:t>作</w:t>
      </w:r>
      <w:r>
        <w:rPr>
          <w:rFonts w:asciiTheme="minorEastAsia" w:hAnsiTheme="minorEastAsia" w:eastAsiaTheme="minorEastAsia"/>
          <w:sz w:val="24"/>
          <w:highlight w:val="none"/>
        </w:rPr>
        <w:t>为</w:t>
      </w:r>
      <w:r>
        <w:rPr>
          <w:rFonts w:hint="eastAsia" w:asciiTheme="minorEastAsia" w:hAnsiTheme="minorEastAsia" w:eastAsiaTheme="minorEastAsia"/>
          <w:sz w:val="24"/>
          <w:highlight w:val="none"/>
        </w:rPr>
        <w:t>磋商</w:t>
      </w:r>
      <w:r>
        <w:rPr>
          <w:rFonts w:asciiTheme="minorEastAsia" w:hAnsiTheme="minorEastAsia" w:eastAsiaTheme="minorEastAsia"/>
          <w:sz w:val="24"/>
          <w:highlight w:val="none"/>
        </w:rPr>
        <w:t>文件</w:t>
      </w:r>
      <w:r>
        <w:rPr>
          <w:rFonts w:hint="eastAsia" w:asciiTheme="minorEastAsia" w:hAnsiTheme="minorEastAsia" w:eastAsiaTheme="minorEastAsia"/>
          <w:sz w:val="24"/>
          <w:highlight w:val="none"/>
        </w:rPr>
        <w:t>的</w:t>
      </w:r>
      <w:r>
        <w:rPr>
          <w:rFonts w:asciiTheme="minorEastAsia" w:hAnsiTheme="minorEastAsia" w:eastAsiaTheme="minorEastAsia"/>
          <w:sz w:val="24"/>
          <w:highlight w:val="none"/>
        </w:rPr>
        <w:t>组成部分，对</w:t>
      </w:r>
      <w:r>
        <w:rPr>
          <w:rFonts w:hint="eastAsia" w:asciiTheme="minorEastAsia" w:hAnsiTheme="minorEastAsia" w:eastAsiaTheme="minorEastAsia"/>
          <w:sz w:val="24"/>
          <w:highlight w:val="none"/>
        </w:rPr>
        <w:t>供应商</w:t>
      </w:r>
      <w:r>
        <w:rPr>
          <w:rFonts w:asciiTheme="minorEastAsia" w:hAnsiTheme="minorEastAsia" w:eastAsiaTheme="minorEastAsia"/>
          <w:sz w:val="24"/>
          <w:highlight w:val="none"/>
        </w:rPr>
        <w:t>起约束作用</w:t>
      </w:r>
      <w:r>
        <w:rPr>
          <w:rFonts w:hint="eastAsia" w:asciiTheme="minorEastAsia" w:hAnsiTheme="minorEastAsia" w:eastAsiaTheme="minorEastAsia"/>
          <w:sz w:val="24"/>
          <w:highlight w:val="none"/>
        </w:rPr>
        <w:t>。供应商应主动上网查询。采购代理机构不承担供应商未及时关注相关信息引发的相关责任。</w:t>
      </w:r>
    </w:p>
    <w:p w14:paraId="3A2520C0">
      <w:pPr>
        <w:spacing w:line="360" w:lineRule="auto"/>
        <w:ind w:firstLine="435"/>
        <w:rPr>
          <w:rFonts w:ascii="宋体" w:hAnsi="宋体" w:eastAsia="宋体"/>
          <w:sz w:val="24"/>
          <w:highlight w:val="none"/>
        </w:rPr>
      </w:pPr>
      <w:r>
        <w:rPr>
          <w:rFonts w:hint="eastAsia" w:ascii="宋体" w:hAnsi="宋体" w:eastAsia="宋体"/>
          <w:sz w:val="24"/>
          <w:highlight w:val="none"/>
        </w:rPr>
        <w:t>6.3任何人或任何组织向供应商提供的任何书面或口头资料，未经采购代理机构在网上发布或书面通知，均作无效处理，不得作为磋商文件的组成部分。采购代理机构对供应商由此而做出的推论、理解和结论概不负责。</w:t>
      </w:r>
    </w:p>
    <w:p w14:paraId="20097E62">
      <w:pPr>
        <w:spacing w:line="360" w:lineRule="auto"/>
        <w:ind w:firstLine="435"/>
        <w:rPr>
          <w:rFonts w:asciiTheme="minorEastAsia" w:hAnsiTheme="minorEastAsia" w:eastAsiaTheme="minorEastAsia"/>
          <w:iCs/>
          <w:sz w:val="24"/>
          <w:highlight w:val="none"/>
        </w:rPr>
      </w:pPr>
      <w:r>
        <w:rPr>
          <w:rFonts w:hint="eastAsia" w:asciiTheme="minorEastAsia" w:hAnsiTheme="minorEastAsia" w:eastAsiaTheme="minorEastAsia"/>
          <w:sz w:val="24"/>
          <w:highlight w:val="none"/>
        </w:rPr>
        <w:t>6</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4</w:t>
      </w:r>
      <w:r>
        <w:rPr>
          <w:rFonts w:asciiTheme="minorEastAsia" w:hAnsiTheme="minorEastAsia" w:eastAsiaTheme="minorEastAsia"/>
          <w:sz w:val="24"/>
          <w:highlight w:val="none"/>
        </w:rPr>
        <w:t>对于</w:t>
      </w:r>
      <w:r>
        <w:rPr>
          <w:rFonts w:ascii="宋体" w:hAnsi="宋体" w:eastAsia="宋体"/>
          <w:sz w:val="24"/>
          <w:highlight w:val="none"/>
        </w:rPr>
        <w:t>没有</w:t>
      </w:r>
      <w:r>
        <w:rPr>
          <w:rFonts w:asciiTheme="minorEastAsia" w:hAnsiTheme="minorEastAsia" w:eastAsiaTheme="minorEastAsia"/>
          <w:sz w:val="24"/>
          <w:highlight w:val="none"/>
        </w:rPr>
        <w:t>提出</w:t>
      </w:r>
      <w:r>
        <w:rPr>
          <w:rFonts w:hint="eastAsia" w:asciiTheme="minorEastAsia" w:hAnsiTheme="minorEastAsia" w:eastAsiaTheme="minorEastAsia"/>
          <w:sz w:val="24"/>
          <w:highlight w:val="none"/>
        </w:rPr>
        <w:t>询问</w:t>
      </w:r>
      <w:r>
        <w:rPr>
          <w:rFonts w:asciiTheme="minorEastAsia" w:hAnsiTheme="minorEastAsia" w:eastAsiaTheme="minorEastAsia"/>
          <w:sz w:val="24"/>
          <w:highlight w:val="none"/>
        </w:rPr>
        <w:t>又参与了</w:t>
      </w:r>
      <w:r>
        <w:rPr>
          <w:rFonts w:hint="eastAsia" w:asciiTheme="minorEastAsia" w:hAnsiTheme="minorEastAsia" w:eastAsiaTheme="minorEastAsia"/>
          <w:sz w:val="24"/>
          <w:highlight w:val="none"/>
        </w:rPr>
        <w:t>本</w:t>
      </w:r>
      <w:r>
        <w:rPr>
          <w:rFonts w:asciiTheme="minorEastAsia" w:hAnsiTheme="minorEastAsia" w:eastAsiaTheme="minorEastAsia"/>
          <w:sz w:val="24"/>
          <w:highlight w:val="none"/>
        </w:rPr>
        <w:t>项目</w:t>
      </w:r>
      <w:r>
        <w:rPr>
          <w:rFonts w:hint="eastAsia" w:asciiTheme="minorEastAsia" w:hAnsiTheme="minorEastAsia" w:eastAsiaTheme="minorEastAsia"/>
          <w:sz w:val="24"/>
          <w:highlight w:val="none"/>
        </w:rPr>
        <w:t>磋商</w:t>
      </w:r>
      <w:r>
        <w:rPr>
          <w:rFonts w:asciiTheme="minorEastAsia" w:hAnsiTheme="minorEastAsia" w:eastAsiaTheme="minorEastAsia"/>
          <w:sz w:val="24"/>
          <w:highlight w:val="none"/>
        </w:rPr>
        <w:t>的</w:t>
      </w:r>
      <w:r>
        <w:rPr>
          <w:rFonts w:hint="eastAsia" w:asciiTheme="minorEastAsia" w:hAnsiTheme="minorEastAsia" w:eastAsiaTheme="minorEastAsia"/>
          <w:sz w:val="24"/>
          <w:highlight w:val="none"/>
        </w:rPr>
        <w:t>供应商</w:t>
      </w:r>
      <w:r>
        <w:rPr>
          <w:rFonts w:asciiTheme="minorEastAsia" w:hAnsiTheme="minorEastAsia" w:eastAsiaTheme="minorEastAsia"/>
          <w:sz w:val="24"/>
          <w:highlight w:val="none"/>
        </w:rPr>
        <w:t>将被视为完全认同</w:t>
      </w:r>
      <w:r>
        <w:rPr>
          <w:rFonts w:hint="eastAsia" w:asciiTheme="minorEastAsia" w:hAnsiTheme="minorEastAsia" w:eastAsiaTheme="minorEastAsia"/>
          <w:sz w:val="24"/>
          <w:highlight w:val="none"/>
        </w:rPr>
        <w:t>本磋商</w:t>
      </w:r>
      <w:r>
        <w:rPr>
          <w:rFonts w:asciiTheme="minorEastAsia" w:hAnsiTheme="minorEastAsia" w:eastAsiaTheme="minorEastAsia"/>
          <w:sz w:val="24"/>
          <w:highlight w:val="none"/>
        </w:rPr>
        <w:t>文件（含</w:t>
      </w:r>
      <w:r>
        <w:rPr>
          <w:rFonts w:hint="eastAsia" w:asciiTheme="minorEastAsia" w:hAnsiTheme="minorEastAsia" w:eastAsiaTheme="minorEastAsia"/>
          <w:sz w:val="24"/>
          <w:highlight w:val="none"/>
        </w:rPr>
        <w:t>更正公告的</w:t>
      </w:r>
      <w:r>
        <w:rPr>
          <w:rFonts w:asciiTheme="minorEastAsia" w:hAnsiTheme="minorEastAsia" w:eastAsiaTheme="minorEastAsia"/>
          <w:sz w:val="24"/>
          <w:highlight w:val="none"/>
        </w:rPr>
        <w:t>内容）</w:t>
      </w:r>
      <w:r>
        <w:rPr>
          <w:rFonts w:hint="eastAsia" w:asciiTheme="minorEastAsia" w:hAnsiTheme="minorEastAsia" w:eastAsiaTheme="minorEastAsia"/>
          <w:sz w:val="24"/>
          <w:highlight w:val="none"/>
        </w:rPr>
        <w:t>。</w:t>
      </w:r>
    </w:p>
    <w:p w14:paraId="7EFD08DC">
      <w:pPr>
        <w:spacing w:line="360" w:lineRule="auto"/>
        <w:ind w:firstLine="437"/>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7</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磋商范围及响应文件中标准和计量单位的使用</w:t>
      </w:r>
    </w:p>
    <w:p w14:paraId="5A1CEC0E">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7</w:t>
      </w:r>
      <w:r>
        <w:rPr>
          <w:rFonts w:asciiTheme="minorEastAsia" w:hAnsiTheme="minorEastAsia" w:eastAsiaTheme="minorEastAsia"/>
          <w:sz w:val="24"/>
          <w:highlight w:val="none"/>
        </w:rPr>
        <w:t>.1项目有分包的，供应商可</w:t>
      </w:r>
      <w:r>
        <w:rPr>
          <w:rFonts w:hint="eastAsia" w:asciiTheme="minorEastAsia" w:hAnsiTheme="minorEastAsia" w:eastAsiaTheme="minorEastAsia"/>
          <w:sz w:val="24"/>
          <w:highlight w:val="none"/>
        </w:rPr>
        <w:t>参与</w:t>
      </w:r>
      <w:r>
        <w:rPr>
          <w:rFonts w:asciiTheme="minorEastAsia" w:hAnsiTheme="minorEastAsia" w:eastAsiaTheme="minorEastAsia"/>
          <w:sz w:val="24"/>
          <w:highlight w:val="none"/>
        </w:rPr>
        <w:t>其中某一个或</w:t>
      </w:r>
      <w:r>
        <w:rPr>
          <w:rFonts w:hint="eastAsia" w:asciiTheme="minorEastAsia" w:hAnsiTheme="minorEastAsia" w:eastAsiaTheme="minorEastAsia"/>
          <w:sz w:val="24"/>
          <w:highlight w:val="none"/>
        </w:rPr>
        <w:t>多</w:t>
      </w:r>
      <w:r>
        <w:rPr>
          <w:rFonts w:asciiTheme="minorEastAsia" w:hAnsiTheme="minorEastAsia" w:eastAsiaTheme="minorEastAsia"/>
          <w:sz w:val="24"/>
          <w:highlight w:val="none"/>
        </w:rPr>
        <w:t>个分包</w:t>
      </w:r>
      <w:r>
        <w:rPr>
          <w:rFonts w:hint="eastAsia" w:asciiTheme="minorEastAsia" w:hAnsiTheme="minorEastAsia" w:eastAsiaTheme="minorEastAsia"/>
          <w:sz w:val="24"/>
          <w:highlight w:val="none"/>
        </w:rPr>
        <w:t>的磋商</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成交包数详见</w:t>
      </w:r>
      <w:r>
        <w:rPr>
          <w:rFonts w:asciiTheme="minorEastAsia" w:hAnsiTheme="minorEastAsia" w:eastAsiaTheme="minorEastAsia"/>
          <w:sz w:val="24"/>
          <w:highlight w:val="none"/>
          <w:u w:val="single"/>
        </w:rPr>
        <w:t>供应商须知前附表</w:t>
      </w:r>
      <w:r>
        <w:rPr>
          <w:rFonts w:asciiTheme="minorEastAsia" w:hAnsiTheme="minorEastAsia" w:eastAsiaTheme="minorEastAsia"/>
          <w:sz w:val="24"/>
          <w:highlight w:val="none"/>
        </w:rPr>
        <w:t>中规定。</w:t>
      </w:r>
    </w:p>
    <w:p w14:paraId="66E76F2F">
      <w:pPr>
        <w:spacing w:line="360" w:lineRule="auto"/>
        <w:ind w:firstLine="435"/>
        <w:rPr>
          <w:rFonts w:eastAsiaTheme="minorEastAsia"/>
          <w:highlight w:val="none"/>
        </w:rPr>
      </w:pPr>
      <w:r>
        <w:rPr>
          <w:rFonts w:hint="eastAsia" w:asciiTheme="minorEastAsia" w:hAnsiTheme="minorEastAsia" w:eastAsiaTheme="minorEastAsia"/>
          <w:sz w:val="24"/>
          <w:highlight w:val="none"/>
        </w:rPr>
        <w:t>7.2 供应商</w:t>
      </w:r>
      <w:r>
        <w:rPr>
          <w:rFonts w:asciiTheme="minorEastAsia" w:hAnsiTheme="minorEastAsia" w:eastAsiaTheme="minorEastAsia"/>
          <w:sz w:val="24"/>
          <w:highlight w:val="none"/>
        </w:rPr>
        <w:t>应当对所投分包</w:t>
      </w:r>
      <w:r>
        <w:rPr>
          <w:rFonts w:hint="eastAsia" w:asciiTheme="minorEastAsia" w:hAnsiTheme="minorEastAsia" w:eastAsiaTheme="minorEastAsia"/>
          <w:sz w:val="24"/>
          <w:highlight w:val="none"/>
        </w:rPr>
        <w:t>磋商</w:t>
      </w:r>
      <w:r>
        <w:rPr>
          <w:rFonts w:asciiTheme="minorEastAsia" w:hAnsiTheme="minorEastAsia" w:eastAsiaTheme="minorEastAsia"/>
          <w:sz w:val="24"/>
          <w:highlight w:val="none"/>
        </w:rPr>
        <w:t>文件中“</w:t>
      </w:r>
      <w:r>
        <w:rPr>
          <w:rFonts w:hint="eastAsia" w:asciiTheme="minorEastAsia" w:hAnsiTheme="minorEastAsia" w:eastAsiaTheme="minorEastAsia"/>
          <w:sz w:val="24"/>
          <w:highlight w:val="none"/>
        </w:rPr>
        <w:t>采购</w:t>
      </w:r>
      <w:r>
        <w:rPr>
          <w:rFonts w:asciiTheme="minorEastAsia" w:hAnsiTheme="minorEastAsia" w:eastAsiaTheme="minorEastAsia"/>
          <w:sz w:val="24"/>
          <w:highlight w:val="none"/>
        </w:rPr>
        <w:t>需求”所列的所有内容进行</w:t>
      </w:r>
      <w:r>
        <w:rPr>
          <w:rFonts w:hint="eastAsia" w:asciiTheme="minorEastAsia" w:hAnsiTheme="minorEastAsia" w:eastAsiaTheme="minorEastAsia"/>
          <w:sz w:val="24"/>
          <w:highlight w:val="none"/>
        </w:rPr>
        <w:t>响应</w:t>
      </w:r>
      <w:r>
        <w:rPr>
          <w:rFonts w:asciiTheme="minorEastAsia" w:hAnsiTheme="minorEastAsia" w:eastAsiaTheme="minorEastAsia"/>
          <w:sz w:val="24"/>
          <w:highlight w:val="none"/>
        </w:rPr>
        <w:t>，如仅响应</w:t>
      </w:r>
      <w:r>
        <w:rPr>
          <w:rFonts w:hint="eastAsia" w:asciiTheme="minorEastAsia" w:hAnsiTheme="minorEastAsia" w:eastAsiaTheme="minorEastAsia"/>
          <w:sz w:val="24"/>
          <w:highlight w:val="none"/>
        </w:rPr>
        <w:t>所投包别</w:t>
      </w:r>
      <w:r>
        <w:rPr>
          <w:rFonts w:asciiTheme="minorEastAsia" w:hAnsiTheme="minorEastAsia" w:eastAsiaTheme="minorEastAsia"/>
          <w:sz w:val="24"/>
          <w:highlight w:val="none"/>
        </w:rPr>
        <w:t>中的部分内容，其</w:t>
      </w:r>
      <w:r>
        <w:rPr>
          <w:rFonts w:hint="eastAsia" w:asciiTheme="minorEastAsia" w:hAnsiTheme="minorEastAsia" w:eastAsiaTheme="minorEastAsia"/>
          <w:sz w:val="24"/>
          <w:highlight w:val="none"/>
        </w:rPr>
        <w:t>所投包别的响应</w:t>
      </w:r>
      <w:r>
        <w:rPr>
          <w:rFonts w:asciiTheme="minorEastAsia" w:hAnsiTheme="minorEastAsia" w:eastAsiaTheme="minorEastAsia"/>
          <w:sz w:val="24"/>
          <w:highlight w:val="none"/>
        </w:rPr>
        <w:t>将被认定为</w:t>
      </w:r>
      <w:r>
        <w:rPr>
          <w:rFonts w:hint="eastAsia" w:asciiTheme="minorEastAsia" w:hAnsiTheme="minorEastAsia" w:eastAsiaTheme="minorEastAsia"/>
          <w:b/>
          <w:sz w:val="24"/>
          <w:highlight w:val="none"/>
        </w:rPr>
        <w:t>响应</w:t>
      </w:r>
      <w:r>
        <w:rPr>
          <w:rFonts w:asciiTheme="minorEastAsia" w:hAnsiTheme="minorEastAsia" w:eastAsiaTheme="minorEastAsia"/>
          <w:b/>
          <w:sz w:val="24"/>
          <w:highlight w:val="none"/>
        </w:rPr>
        <w:t>无效</w:t>
      </w:r>
      <w:r>
        <w:rPr>
          <w:rFonts w:asciiTheme="minorEastAsia" w:hAnsiTheme="minorEastAsia" w:eastAsiaTheme="minorEastAsia"/>
          <w:sz w:val="24"/>
          <w:highlight w:val="none"/>
        </w:rPr>
        <w:t>。</w:t>
      </w:r>
    </w:p>
    <w:p w14:paraId="11E0D659">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7</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3</w:t>
      </w:r>
      <w:r>
        <w:rPr>
          <w:rFonts w:asciiTheme="minorEastAsia" w:hAnsiTheme="minorEastAsia" w:eastAsiaTheme="minorEastAsia"/>
          <w:sz w:val="24"/>
          <w:highlight w:val="none"/>
        </w:rPr>
        <w:t>无论磋商文件中是否要求，供应商所投货物及伴随的服务和工程均应符合国家强制性标准。</w:t>
      </w:r>
    </w:p>
    <w:p w14:paraId="136F7211">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7</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4</w:t>
      </w:r>
      <w:r>
        <w:rPr>
          <w:rFonts w:asciiTheme="minorEastAsia" w:hAnsiTheme="minorEastAsia" w:eastAsiaTheme="minorEastAsia"/>
          <w:sz w:val="24"/>
          <w:highlight w:val="none"/>
        </w:rPr>
        <w:t>供应商与采购代理机构之间与磋商有关的所有往来通知、函件和响应文件均用中文表述。供应商随响应文件提供的证明文件和资料可以为其它语言，但必须附中文译文。翻译的中文资料与外文资料如果出现差异时，以中文为准。</w:t>
      </w:r>
    </w:p>
    <w:p w14:paraId="4D89E3DA">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7</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5</w:t>
      </w:r>
      <w:r>
        <w:rPr>
          <w:rFonts w:asciiTheme="minorEastAsia" w:hAnsiTheme="minorEastAsia" w:eastAsiaTheme="minorEastAsia"/>
          <w:sz w:val="24"/>
          <w:highlight w:val="none"/>
        </w:rPr>
        <w:t>除磋商文件中有特殊要求外，响应文件中所使用的计量单位，应采用中华人民共和国法定计量单位。</w:t>
      </w:r>
    </w:p>
    <w:p w14:paraId="456F3BD8">
      <w:pPr>
        <w:spacing w:line="360" w:lineRule="auto"/>
        <w:ind w:firstLine="437"/>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8</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响应文件构成</w:t>
      </w:r>
    </w:p>
    <w:p w14:paraId="57E952FF">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8</w:t>
      </w:r>
      <w:r>
        <w:rPr>
          <w:rFonts w:asciiTheme="minorEastAsia" w:hAnsiTheme="minorEastAsia" w:eastAsiaTheme="minorEastAsia"/>
          <w:sz w:val="24"/>
          <w:highlight w:val="none"/>
        </w:rPr>
        <w:t>.1</w:t>
      </w:r>
      <w:r>
        <w:rPr>
          <w:rFonts w:hint="eastAsia" w:ascii="宋体" w:hAnsi="宋体" w:eastAsia="宋体"/>
          <w:sz w:val="24"/>
          <w:highlight w:val="none"/>
        </w:rPr>
        <w:t>供应商</w:t>
      </w:r>
      <w:r>
        <w:rPr>
          <w:rFonts w:asciiTheme="minorEastAsia" w:hAnsiTheme="minorEastAsia" w:eastAsiaTheme="minorEastAsia"/>
          <w:sz w:val="24"/>
          <w:highlight w:val="none"/>
        </w:rPr>
        <w:t>应完整地按</w:t>
      </w:r>
      <w:r>
        <w:rPr>
          <w:rFonts w:hint="eastAsia" w:asciiTheme="minorEastAsia" w:hAnsiTheme="minorEastAsia" w:eastAsiaTheme="minorEastAsia"/>
          <w:sz w:val="24"/>
          <w:highlight w:val="none"/>
        </w:rPr>
        <w:t>磋商</w:t>
      </w:r>
      <w:r>
        <w:rPr>
          <w:rFonts w:asciiTheme="minorEastAsia" w:hAnsiTheme="minorEastAsia" w:eastAsiaTheme="minorEastAsia"/>
          <w:sz w:val="24"/>
          <w:highlight w:val="none"/>
        </w:rPr>
        <w:t>文件提供的</w:t>
      </w:r>
      <w:r>
        <w:rPr>
          <w:rFonts w:hint="eastAsia" w:asciiTheme="minorEastAsia" w:hAnsiTheme="minorEastAsia" w:eastAsiaTheme="minorEastAsia"/>
          <w:sz w:val="24"/>
          <w:highlight w:val="none"/>
        </w:rPr>
        <w:t>响应</w:t>
      </w:r>
      <w:r>
        <w:rPr>
          <w:rFonts w:asciiTheme="minorEastAsia" w:hAnsiTheme="minorEastAsia" w:eastAsiaTheme="minorEastAsia"/>
          <w:sz w:val="24"/>
          <w:highlight w:val="none"/>
        </w:rPr>
        <w:t>文件格式及要求</w:t>
      </w:r>
      <w:r>
        <w:rPr>
          <w:rFonts w:hint="eastAsia" w:asciiTheme="minorEastAsia" w:hAnsiTheme="minorEastAsia" w:eastAsiaTheme="minorEastAsia"/>
          <w:sz w:val="24"/>
          <w:highlight w:val="none"/>
        </w:rPr>
        <w:t>编</w:t>
      </w:r>
      <w:r>
        <w:rPr>
          <w:rFonts w:asciiTheme="minorEastAsia" w:hAnsiTheme="minorEastAsia" w:eastAsiaTheme="minorEastAsia"/>
          <w:sz w:val="24"/>
          <w:highlight w:val="none"/>
        </w:rPr>
        <w:t>写</w:t>
      </w:r>
      <w:r>
        <w:rPr>
          <w:rFonts w:hint="eastAsia" w:asciiTheme="minorEastAsia" w:hAnsiTheme="minorEastAsia" w:eastAsiaTheme="minorEastAsia"/>
          <w:sz w:val="24"/>
          <w:highlight w:val="none"/>
        </w:rPr>
        <w:t>响应</w:t>
      </w:r>
      <w:r>
        <w:rPr>
          <w:rFonts w:asciiTheme="minorEastAsia" w:hAnsiTheme="minorEastAsia" w:eastAsiaTheme="minorEastAsia"/>
          <w:sz w:val="24"/>
          <w:highlight w:val="none"/>
        </w:rPr>
        <w:t>文件，</w:t>
      </w:r>
      <w:r>
        <w:rPr>
          <w:rFonts w:hint="eastAsia" w:asciiTheme="minorEastAsia" w:hAnsiTheme="minorEastAsia" w:eastAsiaTheme="minorEastAsia"/>
          <w:sz w:val="24"/>
          <w:highlight w:val="none"/>
        </w:rPr>
        <w:t>具体内容详见本项目响应文件格式的相关内容。</w:t>
      </w:r>
    </w:p>
    <w:p w14:paraId="4572FDCA">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8.2</w:t>
      </w:r>
      <w:r>
        <w:rPr>
          <w:rFonts w:hint="eastAsia" w:ascii="宋体" w:hAnsi="宋体" w:eastAsia="宋体"/>
          <w:sz w:val="24"/>
          <w:highlight w:val="none"/>
        </w:rPr>
        <w:t>供应商</w:t>
      </w:r>
      <w:r>
        <w:rPr>
          <w:rFonts w:asciiTheme="minorEastAsia" w:hAnsiTheme="minorEastAsia" w:eastAsiaTheme="minorEastAsia"/>
          <w:sz w:val="24"/>
          <w:highlight w:val="none"/>
        </w:rPr>
        <w:t>应提交</w:t>
      </w:r>
      <w:r>
        <w:rPr>
          <w:rFonts w:hint="eastAsia" w:asciiTheme="minorEastAsia" w:hAnsiTheme="minorEastAsia" w:eastAsiaTheme="minorEastAsia"/>
          <w:sz w:val="24"/>
          <w:highlight w:val="none"/>
        </w:rPr>
        <w:t>磋商文件要求的</w:t>
      </w:r>
      <w:r>
        <w:rPr>
          <w:rFonts w:asciiTheme="minorEastAsia" w:hAnsiTheme="minorEastAsia" w:eastAsiaTheme="minorEastAsia"/>
          <w:sz w:val="24"/>
          <w:highlight w:val="none"/>
        </w:rPr>
        <w:t>证明文件，证明其</w:t>
      </w:r>
      <w:r>
        <w:rPr>
          <w:rFonts w:hint="eastAsia" w:asciiTheme="minorEastAsia" w:hAnsiTheme="minorEastAsia" w:eastAsiaTheme="minorEastAsia"/>
          <w:sz w:val="24"/>
          <w:highlight w:val="none"/>
        </w:rPr>
        <w:t>响应</w:t>
      </w:r>
      <w:r>
        <w:rPr>
          <w:rFonts w:asciiTheme="minorEastAsia" w:hAnsiTheme="minorEastAsia" w:eastAsiaTheme="minorEastAsia"/>
          <w:sz w:val="24"/>
          <w:highlight w:val="none"/>
        </w:rPr>
        <w:t>内容符合</w:t>
      </w:r>
      <w:r>
        <w:rPr>
          <w:rFonts w:hint="eastAsia" w:asciiTheme="minorEastAsia" w:hAnsiTheme="minorEastAsia" w:eastAsiaTheme="minorEastAsia"/>
          <w:sz w:val="24"/>
          <w:highlight w:val="none"/>
        </w:rPr>
        <w:t>磋商</w:t>
      </w:r>
      <w:r>
        <w:rPr>
          <w:rFonts w:asciiTheme="minorEastAsia" w:hAnsiTheme="minorEastAsia" w:eastAsiaTheme="minorEastAsia"/>
          <w:sz w:val="24"/>
          <w:highlight w:val="none"/>
        </w:rPr>
        <w:t>文件规定</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该证明文件是</w:t>
      </w:r>
      <w:r>
        <w:rPr>
          <w:rFonts w:hint="eastAsia" w:asciiTheme="minorEastAsia" w:hAnsiTheme="minorEastAsia" w:eastAsiaTheme="minorEastAsia"/>
          <w:sz w:val="24"/>
          <w:highlight w:val="none"/>
        </w:rPr>
        <w:t>响应</w:t>
      </w:r>
      <w:r>
        <w:rPr>
          <w:rFonts w:asciiTheme="minorEastAsia" w:hAnsiTheme="minorEastAsia" w:eastAsiaTheme="minorEastAsia"/>
          <w:sz w:val="24"/>
          <w:highlight w:val="none"/>
        </w:rPr>
        <w:t>文件的一部分</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证明文件</w:t>
      </w:r>
      <w:r>
        <w:rPr>
          <w:rFonts w:hint="eastAsia" w:asciiTheme="minorEastAsia" w:hAnsiTheme="minorEastAsia" w:eastAsiaTheme="minorEastAsia"/>
          <w:sz w:val="24"/>
          <w:highlight w:val="none"/>
        </w:rPr>
        <w:t>形式</w:t>
      </w:r>
      <w:r>
        <w:rPr>
          <w:rFonts w:asciiTheme="minorEastAsia" w:hAnsiTheme="minorEastAsia" w:eastAsiaTheme="minorEastAsia"/>
          <w:sz w:val="24"/>
          <w:highlight w:val="none"/>
        </w:rPr>
        <w:t>可以是文字资料、图纸和数据</w:t>
      </w:r>
      <w:r>
        <w:rPr>
          <w:rFonts w:hint="eastAsia" w:asciiTheme="minorEastAsia" w:hAnsiTheme="minorEastAsia" w:eastAsiaTheme="minorEastAsia"/>
          <w:sz w:val="24"/>
          <w:highlight w:val="none"/>
        </w:rPr>
        <w:t>等。</w:t>
      </w:r>
    </w:p>
    <w:p w14:paraId="0D3973F1">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8.3</w:t>
      </w:r>
      <w:r>
        <w:rPr>
          <w:rFonts w:asciiTheme="minorEastAsia" w:hAnsiTheme="minorEastAsia" w:eastAsiaTheme="minorEastAsia"/>
          <w:sz w:val="24"/>
          <w:highlight w:val="none"/>
        </w:rPr>
        <w:t>为保证</w:t>
      </w:r>
      <w:r>
        <w:rPr>
          <w:rFonts w:ascii="宋体" w:hAnsi="宋体" w:eastAsia="宋体"/>
          <w:sz w:val="24"/>
          <w:highlight w:val="none"/>
        </w:rPr>
        <w:t>公平</w:t>
      </w:r>
      <w:r>
        <w:rPr>
          <w:rFonts w:asciiTheme="minorEastAsia" w:hAnsiTheme="minorEastAsia" w:eastAsiaTheme="minorEastAsia"/>
          <w:sz w:val="24"/>
          <w:highlight w:val="none"/>
        </w:rPr>
        <w:t>公正，除非另有规定或说明，</w:t>
      </w:r>
      <w:r>
        <w:rPr>
          <w:rFonts w:hint="eastAsia" w:asciiTheme="minorEastAsia" w:hAnsiTheme="minorEastAsia" w:eastAsiaTheme="minorEastAsia"/>
          <w:sz w:val="24"/>
          <w:highlight w:val="none"/>
        </w:rPr>
        <w:t>供应商</w:t>
      </w:r>
      <w:r>
        <w:rPr>
          <w:rFonts w:asciiTheme="minorEastAsia" w:hAnsiTheme="minorEastAsia" w:eastAsiaTheme="minorEastAsia"/>
          <w:sz w:val="24"/>
          <w:highlight w:val="none"/>
        </w:rPr>
        <w:t>对同一项目</w:t>
      </w:r>
      <w:r>
        <w:rPr>
          <w:rFonts w:hint="eastAsia" w:asciiTheme="minorEastAsia" w:hAnsiTheme="minorEastAsia" w:eastAsiaTheme="minorEastAsia"/>
          <w:sz w:val="24"/>
          <w:highlight w:val="none"/>
        </w:rPr>
        <w:t>磋商</w:t>
      </w:r>
      <w:r>
        <w:rPr>
          <w:rFonts w:asciiTheme="minorEastAsia" w:hAnsiTheme="minorEastAsia" w:eastAsiaTheme="minorEastAsia"/>
          <w:sz w:val="24"/>
          <w:highlight w:val="none"/>
        </w:rPr>
        <w:t>时，不得同时提供</w:t>
      </w:r>
      <w:r>
        <w:rPr>
          <w:rFonts w:hint="eastAsia" w:asciiTheme="minorEastAsia" w:hAnsiTheme="minorEastAsia" w:eastAsiaTheme="minorEastAsia"/>
          <w:sz w:val="24"/>
          <w:highlight w:val="none"/>
        </w:rPr>
        <w:t>备选磋商</w:t>
      </w:r>
      <w:r>
        <w:rPr>
          <w:rFonts w:asciiTheme="minorEastAsia" w:hAnsiTheme="minorEastAsia" w:eastAsiaTheme="minorEastAsia"/>
          <w:sz w:val="24"/>
          <w:highlight w:val="none"/>
        </w:rPr>
        <w:t>方案。</w:t>
      </w:r>
    </w:p>
    <w:p w14:paraId="32CFAF14">
      <w:pPr>
        <w:spacing w:line="360" w:lineRule="auto"/>
        <w:ind w:firstLine="437"/>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9</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报价</w:t>
      </w:r>
    </w:p>
    <w:p w14:paraId="6DA982E9">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9</w:t>
      </w: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供应商</w:t>
      </w:r>
      <w:r>
        <w:rPr>
          <w:rFonts w:asciiTheme="minorEastAsia" w:hAnsiTheme="minorEastAsia" w:eastAsiaTheme="minorEastAsia"/>
          <w:sz w:val="24"/>
          <w:highlight w:val="none"/>
        </w:rPr>
        <w:t>的报价应当包括满足本次</w:t>
      </w:r>
      <w:r>
        <w:rPr>
          <w:rFonts w:hint="eastAsia" w:asciiTheme="minorEastAsia" w:hAnsiTheme="minorEastAsia" w:eastAsiaTheme="minorEastAsia"/>
          <w:sz w:val="24"/>
          <w:highlight w:val="none"/>
        </w:rPr>
        <w:t>磋商</w:t>
      </w:r>
      <w:r>
        <w:rPr>
          <w:rFonts w:asciiTheme="minorEastAsia" w:hAnsiTheme="minorEastAsia" w:eastAsiaTheme="minorEastAsia"/>
          <w:sz w:val="24"/>
          <w:highlight w:val="none"/>
        </w:rPr>
        <w:t>全部采购需求所应提供的</w:t>
      </w:r>
      <w:r>
        <w:rPr>
          <w:rFonts w:hint="eastAsia" w:asciiTheme="minorEastAsia" w:hAnsiTheme="minorEastAsia" w:eastAsiaTheme="minorEastAsia"/>
          <w:sz w:val="24"/>
          <w:highlight w:val="none"/>
        </w:rPr>
        <w:t>货物，</w:t>
      </w:r>
      <w:r>
        <w:rPr>
          <w:rFonts w:asciiTheme="minorEastAsia" w:hAnsiTheme="minorEastAsia" w:eastAsiaTheme="minorEastAsia"/>
          <w:sz w:val="24"/>
          <w:highlight w:val="none"/>
        </w:rPr>
        <w:t>以及伴随的</w:t>
      </w:r>
      <w:r>
        <w:rPr>
          <w:rFonts w:hint="eastAsia" w:asciiTheme="minorEastAsia" w:hAnsiTheme="minorEastAsia" w:eastAsiaTheme="minorEastAsia"/>
          <w:sz w:val="24"/>
          <w:highlight w:val="none"/>
        </w:rPr>
        <w:t>服务</w:t>
      </w:r>
      <w:r>
        <w:rPr>
          <w:rFonts w:asciiTheme="minorEastAsia" w:hAnsiTheme="minorEastAsia" w:eastAsiaTheme="minorEastAsia"/>
          <w:sz w:val="24"/>
          <w:highlight w:val="none"/>
        </w:rPr>
        <w:t>和工程</w:t>
      </w:r>
      <w:r>
        <w:rPr>
          <w:rFonts w:hint="eastAsia" w:asciiTheme="minorEastAsia" w:hAnsiTheme="minorEastAsia" w:eastAsiaTheme="minorEastAsia"/>
          <w:sz w:val="24"/>
          <w:highlight w:val="none"/>
        </w:rPr>
        <w:t>。除磋商文件另有规定外，所有内容均应以人民币报价，供应商的磋商报价应遵守《中华人民共和国价格法》。</w:t>
      </w:r>
    </w:p>
    <w:p w14:paraId="4E374D30">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9</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除非磋商文件另有规定或经采购人同意支付的，最后报价均不得高于磋商文件（公告）列明的项目预算，否则其响应文件将被认定为</w:t>
      </w:r>
      <w:r>
        <w:rPr>
          <w:rFonts w:asciiTheme="minorEastAsia" w:hAnsiTheme="minorEastAsia" w:eastAsiaTheme="minorEastAsia"/>
          <w:b/>
          <w:sz w:val="24"/>
          <w:highlight w:val="none"/>
        </w:rPr>
        <w:t>响应无效</w:t>
      </w:r>
      <w:r>
        <w:rPr>
          <w:rFonts w:asciiTheme="minorEastAsia" w:hAnsiTheme="minorEastAsia" w:eastAsiaTheme="minorEastAsia"/>
          <w:sz w:val="24"/>
          <w:highlight w:val="none"/>
        </w:rPr>
        <w:t>。</w:t>
      </w:r>
    </w:p>
    <w:p w14:paraId="4DC31429">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9</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3报价</w:t>
      </w:r>
      <w:r>
        <w:rPr>
          <w:rFonts w:asciiTheme="minorEastAsia" w:hAnsiTheme="minorEastAsia" w:eastAsiaTheme="minorEastAsia"/>
          <w:sz w:val="24"/>
          <w:highlight w:val="none"/>
        </w:rPr>
        <w:t>在合同履行过程中是固定不变的，不得以任何理由予以变更。任何包含价格调整要求的</w:t>
      </w:r>
      <w:r>
        <w:rPr>
          <w:rFonts w:hint="eastAsia" w:asciiTheme="minorEastAsia" w:hAnsiTheme="minorEastAsia" w:eastAsiaTheme="minorEastAsia"/>
          <w:sz w:val="24"/>
          <w:highlight w:val="none"/>
        </w:rPr>
        <w:t>磋商</w:t>
      </w:r>
      <w:r>
        <w:rPr>
          <w:rFonts w:asciiTheme="minorEastAsia" w:hAnsiTheme="minorEastAsia" w:eastAsiaTheme="minorEastAsia"/>
          <w:sz w:val="24"/>
          <w:highlight w:val="none"/>
        </w:rPr>
        <w:t>，其</w:t>
      </w:r>
      <w:r>
        <w:rPr>
          <w:rFonts w:hint="eastAsia" w:asciiTheme="minorEastAsia" w:hAnsiTheme="minorEastAsia" w:eastAsiaTheme="minorEastAsia"/>
          <w:sz w:val="24"/>
          <w:highlight w:val="none"/>
        </w:rPr>
        <w:t>响应文件将被认定为</w:t>
      </w:r>
      <w:r>
        <w:rPr>
          <w:rFonts w:hint="eastAsia" w:asciiTheme="minorEastAsia" w:hAnsiTheme="minorEastAsia" w:eastAsiaTheme="minorEastAsia"/>
          <w:b/>
          <w:sz w:val="24"/>
          <w:highlight w:val="none"/>
        </w:rPr>
        <w:t>响应无效</w:t>
      </w:r>
      <w:r>
        <w:rPr>
          <w:rFonts w:asciiTheme="minorEastAsia" w:hAnsiTheme="minorEastAsia" w:eastAsiaTheme="minorEastAsia"/>
          <w:sz w:val="24"/>
          <w:highlight w:val="none"/>
        </w:rPr>
        <w:t>。</w:t>
      </w:r>
    </w:p>
    <w:p w14:paraId="6511C073">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9</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4</w:t>
      </w:r>
      <w:r>
        <w:rPr>
          <w:rFonts w:asciiTheme="minorEastAsia" w:hAnsiTheme="minorEastAsia" w:eastAsiaTheme="minorEastAsia"/>
          <w:sz w:val="24"/>
          <w:highlight w:val="none"/>
        </w:rPr>
        <w:t>采购人不接受具有附加条件的报价。</w:t>
      </w:r>
    </w:p>
    <w:p w14:paraId="2800441A">
      <w:pPr>
        <w:spacing w:line="360" w:lineRule="auto"/>
        <w:ind w:firstLine="437"/>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10</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磋商保证金</w:t>
      </w:r>
    </w:p>
    <w:p w14:paraId="462D62D4">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10.1本项目不收取磋商保证金。</w:t>
      </w:r>
    </w:p>
    <w:p w14:paraId="6677835C">
      <w:pPr>
        <w:spacing w:line="360" w:lineRule="auto"/>
        <w:ind w:firstLine="437"/>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11</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磋商有效期</w:t>
      </w:r>
    </w:p>
    <w:p w14:paraId="4328A34C">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11</w:t>
      </w:r>
      <w:r>
        <w:rPr>
          <w:rFonts w:asciiTheme="minorEastAsia" w:hAnsiTheme="minorEastAsia" w:eastAsiaTheme="minorEastAsia"/>
          <w:sz w:val="24"/>
          <w:highlight w:val="none"/>
        </w:rPr>
        <w:t>.1磋商有效期为从响应文件提交截止之日算起的日历天数，磋商有效期详见</w:t>
      </w:r>
      <w:r>
        <w:rPr>
          <w:rFonts w:asciiTheme="minorEastAsia" w:hAnsiTheme="minorEastAsia" w:eastAsiaTheme="minorEastAsia"/>
          <w:sz w:val="24"/>
          <w:highlight w:val="none"/>
          <w:u w:val="single"/>
        </w:rPr>
        <w:t>供应商须知前附表</w:t>
      </w:r>
      <w:r>
        <w:rPr>
          <w:rFonts w:asciiTheme="minorEastAsia" w:hAnsiTheme="minorEastAsia" w:eastAsiaTheme="minorEastAsia"/>
          <w:sz w:val="24"/>
          <w:highlight w:val="none"/>
        </w:rPr>
        <w:t>。</w:t>
      </w:r>
    </w:p>
    <w:p w14:paraId="1313ED4E">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11</w:t>
      </w:r>
      <w:r>
        <w:rPr>
          <w:rFonts w:asciiTheme="minorEastAsia" w:hAnsiTheme="minorEastAsia" w:eastAsiaTheme="minorEastAsia"/>
          <w:sz w:val="24"/>
          <w:highlight w:val="none"/>
        </w:rPr>
        <w:t>.2在磋商有效期内，供应商的磋商保持有效，供应商不得要求撤销或修改其响应文件。磋商有效期不满足要求的响应，其响应文件将被认定为</w:t>
      </w:r>
      <w:r>
        <w:rPr>
          <w:rFonts w:asciiTheme="minorEastAsia" w:hAnsiTheme="minorEastAsia" w:eastAsiaTheme="minorEastAsia"/>
          <w:b/>
          <w:sz w:val="24"/>
          <w:highlight w:val="none"/>
        </w:rPr>
        <w:t>响应无效</w:t>
      </w:r>
      <w:r>
        <w:rPr>
          <w:rFonts w:asciiTheme="minorEastAsia" w:hAnsiTheme="minorEastAsia" w:eastAsiaTheme="minorEastAsia"/>
          <w:sz w:val="24"/>
          <w:highlight w:val="none"/>
        </w:rPr>
        <w:t>。</w:t>
      </w:r>
    </w:p>
    <w:p w14:paraId="56E36339">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11</w:t>
      </w:r>
      <w:r>
        <w:rPr>
          <w:rFonts w:asciiTheme="minorEastAsia" w:hAnsiTheme="minorEastAsia" w:eastAsiaTheme="minorEastAsia"/>
          <w:sz w:val="24"/>
          <w:highlight w:val="none"/>
        </w:rPr>
        <w:t>.3为保证有充分时间签订合同，采购人或采购代理机构可根据实际情况，在原磋商有效期截止之前，要求供应商延长磋商有效期。接受该要求的供应商将不会被要求和允许修正其响应文件。供应商可以拒绝延长磋商有效期的要求，且不承担任何责任。上述要求和答复都应以书面形式提交。</w:t>
      </w:r>
    </w:p>
    <w:p w14:paraId="1573CBC0">
      <w:pPr>
        <w:spacing w:line="360" w:lineRule="auto"/>
        <w:ind w:firstLine="437"/>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12</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响应文件的提交、修改与撤回</w:t>
      </w:r>
    </w:p>
    <w:p w14:paraId="6822C8D2">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12.1供应商应当在第一章竞争性磋商公告规定的响应文件提交截止时间前</w:t>
      </w:r>
      <w:r>
        <w:rPr>
          <w:rFonts w:asciiTheme="minorEastAsia" w:hAnsiTheme="minorEastAsia" w:eastAsiaTheme="minorEastAsia"/>
          <w:sz w:val="24"/>
          <w:highlight w:val="none"/>
        </w:rPr>
        <w:t>，将加密的</w:t>
      </w:r>
      <w:r>
        <w:rPr>
          <w:rFonts w:hint="eastAsia" w:asciiTheme="minorEastAsia" w:hAnsiTheme="minorEastAsia" w:eastAsiaTheme="minorEastAsia"/>
          <w:sz w:val="24"/>
          <w:highlight w:val="none"/>
        </w:rPr>
        <w:t>响应</w:t>
      </w:r>
      <w:r>
        <w:rPr>
          <w:rFonts w:asciiTheme="minorEastAsia" w:hAnsiTheme="minorEastAsia" w:eastAsiaTheme="minorEastAsia"/>
          <w:sz w:val="24"/>
          <w:highlight w:val="none"/>
        </w:rPr>
        <w:t>文件</w:t>
      </w:r>
      <w:r>
        <w:rPr>
          <w:rFonts w:hint="eastAsia" w:asciiTheme="minorEastAsia" w:hAnsiTheme="minorEastAsia" w:eastAsiaTheme="minorEastAsia"/>
          <w:sz w:val="24"/>
          <w:highlight w:val="none"/>
        </w:rPr>
        <w:t>在电子交易系统</w:t>
      </w:r>
      <w:r>
        <w:rPr>
          <w:rFonts w:asciiTheme="minorEastAsia" w:hAnsiTheme="minorEastAsia" w:eastAsiaTheme="minorEastAsia"/>
          <w:sz w:val="24"/>
          <w:highlight w:val="none"/>
        </w:rPr>
        <w:t>上传。</w:t>
      </w:r>
    </w:p>
    <w:p w14:paraId="1786024F">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12.2供应商应当在响应文件提交截止时间前完成响应文件的传输提交（以接收到电子签收凭证为准），并可以补充、修改或者撤回响应文件。响应文件提交截止时间前未完成响应文件传输的，视为撤回响应文件。未按规定加密或响应文件提交截止时间后送达的响应文件，电子交易系统应当拒收。</w:t>
      </w:r>
    </w:p>
    <w:p w14:paraId="37276EEC">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12.</w:t>
      </w:r>
      <w:r>
        <w:rPr>
          <w:rFonts w:asciiTheme="minorEastAsia" w:hAnsiTheme="minorEastAsia" w:eastAsiaTheme="minorEastAsia"/>
          <w:sz w:val="24"/>
          <w:highlight w:val="none"/>
        </w:rPr>
        <w:t>3</w:t>
      </w:r>
      <w:r>
        <w:rPr>
          <w:rFonts w:hint="eastAsia" w:asciiTheme="minorEastAsia" w:hAnsiTheme="minorEastAsia" w:eastAsiaTheme="minorEastAsia"/>
          <w:sz w:val="24"/>
          <w:highlight w:val="none"/>
        </w:rPr>
        <w:t>供应商应在</w:t>
      </w:r>
      <w:r>
        <w:rPr>
          <w:rFonts w:hint="eastAsia" w:asciiTheme="minorEastAsia" w:hAnsiTheme="minorEastAsia" w:eastAsiaTheme="minorEastAsia"/>
          <w:sz w:val="24"/>
          <w:highlight w:val="none"/>
          <w:u w:val="single"/>
        </w:rPr>
        <w:t>供应商须知前附表</w:t>
      </w:r>
      <w:r>
        <w:rPr>
          <w:rFonts w:hint="eastAsia" w:asciiTheme="minorEastAsia" w:hAnsiTheme="minorEastAsia" w:eastAsiaTheme="minorEastAsia"/>
          <w:sz w:val="24"/>
          <w:highlight w:val="none"/>
        </w:rPr>
        <w:t>规定的解密时间前对其响应文件进行解密。未在规定时间内进行解密的，</w:t>
      </w:r>
      <w:r>
        <w:rPr>
          <w:rFonts w:hint="eastAsia" w:asciiTheme="minorEastAsia" w:hAnsiTheme="minorEastAsia" w:eastAsiaTheme="minorEastAsia"/>
          <w:b/>
          <w:bCs/>
          <w:sz w:val="24"/>
          <w:highlight w:val="none"/>
        </w:rPr>
        <w:t>响应无效。</w:t>
      </w:r>
    </w:p>
    <w:p w14:paraId="3ED27730">
      <w:pPr>
        <w:spacing w:line="360" w:lineRule="auto"/>
        <w:ind w:firstLine="435"/>
        <w:rPr>
          <w:rFonts w:ascii="宋体" w:hAnsi="宋体" w:eastAsia="宋体"/>
          <w:sz w:val="24"/>
          <w:highlight w:val="none"/>
        </w:rPr>
      </w:pPr>
      <w:r>
        <w:rPr>
          <w:rFonts w:hint="eastAsia" w:asciiTheme="minorEastAsia" w:hAnsiTheme="minorEastAsia" w:eastAsiaTheme="minorEastAsia"/>
          <w:sz w:val="24"/>
          <w:highlight w:val="none"/>
        </w:rPr>
        <w:t>12.4在响应文件提交截止时间之后，供应商不得对其响应文件做任何修改。</w:t>
      </w:r>
      <w:r>
        <w:rPr>
          <w:rFonts w:hint="eastAsia" w:ascii="宋体" w:hAnsi="宋体" w:eastAsia="宋体"/>
          <w:sz w:val="24"/>
          <w:highlight w:val="none"/>
        </w:rPr>
        <w:t>但属于磋商小组在评审中发现的计算错误并进行核实的修改、按照磋商文件的变动情况和磋商小组的要求重新提交响应文件的，不在此列。</w:t>
      </w:r>
    </w:p>
    <w:p w14:paraId="21277421">
      <w:pPr>
        <w:spacing w:line="360" w:lineRule="auto"/>
        <w:ind w:firstLine="437"/>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13</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磋商小组</w:t>
      </w:r>
    </w:p>
    <w:p w14:paraId="60D6FF55">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13</w:t>
      </w:r>
      <w:r>
        <w:rPr>
          <w:rFonts w:asciiTheme="minorEastAsia" w:hAnsiTheme="minorEastAsia" w:eastAsiaTheme="minorEastAsia"/>
          <w:sz w:val="24"/>
          <w:highlight w:val="none"/>
        </w:rPr>
        <w:t>.1本项目将依法组建磋商小组，磋商小组成员由3人以上</w:t>
      </w:r>
      <w:r>
        <w:rPr>
          <w:rFonts w:hint="eastAsia" w:asciiTheme="minorEastAsia" w:hAnsiTheme="minorEastAsia" w:eastAsiaTheme="minorEastAsia"/>
          <w:sz w:val="24"/>
          <w:highlight w:val="none"/>
        </w:rPr>
        <w:t>（含）</w:t>
      </w:r>
      <w:r>
        <w:rPr>
          <w:rFonts w:asciiTheme="minorEastAsia" w:hAnsiTheme="minorEastAsia" w:eastAsiaTheme="minorEastAsia"/>
          <w:sz w:val="24"/>
          <w:highlight w:val="none"/>
        </w:rPr>
        <w:t>单数组成，磋商小组及其成员应当依照政府采购的有关规定履行相关职责和义务。</w:t>
      </w:r>
    </w:p>
    <w:p w14:paraId="6325F267">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13</w:t>
      </w:r>
      <w:r>
        <w:rPr>
          <w:rFonts w:asciiTheme="minorEastAsia" w:hAnsiTheme="minorEastAsia" w:eastAsiaTheme="minorEastAsia"/>
          <w:sz w:val="24"/>
          <w:highlight w:val="none"/>
        </w:rPr>
        <w:t>.2磋商小组依法对响应文件进行评审，并根据磋商文件规定的程序、评定成交的标准等事项与实质性响应磋商文件要求的供应商进行磋商。</w:t>
      </w:r>
    </w:p>
    <w:p w14:paraId="7A7587E6">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13</w:t>
      </w:r>
      <w:r>
        <w:rPr>
          <w:rFonts w:asciiTheme="minorEastAsia" w:hAnsiTheme="minorEastAsia" w:eastAsiaTheme="minorEastAsia"/>
          <w:sz w:val="24"/>
          <w:highlight w:val="none"/>
        </w:rPr>
        <w:t>.3磋商小组应当从质量和服务均能满足磋商文件实质性响应要求的供应商中，按照评审方法和标准</w:t>
      </w:r>
      <w:r>
        <w:rPr>
          <w:rFonts w:hint="eastAsia" w:asciiTheme="minorEastAsia" w:hAnsiTheme="minorEastAsia" w:eastAsiaTheme="minorEastAsia"/>
          <w:sz w:val="24"/>
          <w:highlight w:val="none"/>
        </w:rPr>
        <w:t>推荐</w:t>
      </w:r>
      <w:r>
        <w:rPr>
          <w:rFonts w:asciiTheme="minorEastAsia" w:hAnsiTheme="minorEastAsia" w:eastAsiaTheme="minorEastAsia"/>
          <w:sz w:val="24"/>
          <w:highlight w:val="none"/>
        </w:rPr>
        <w:t>成交候选供应商，并编写</w:t>
      </w:r>
      <w:r>
        <w:rPr>
          <w:rFonts w:hint="eastAsia" w:asciiTheme="minorEastAsia" w:hAnsiTheme="minorEastAsia" w:eastAsiaTheme="minorEastAsia"/>
          <w:sz w:val="24"/>
          <w:highlight w:val="none"/>
        </w:rPr>
        <w:t>评审</w:t>
      </w:r>
      <w:r>
        <w:rPr>
          <w:rFonts w:asciiTheme="minorEastAsia" w:hAnsiTheme="minorEastAsia" w:eastAsiaTheme="minorEastAsia"/>
          <w:sz w:val="24"/>
          <w:highlight w:val="none"/>
        </w:rPr>
        <w:t>报告。</w:t>
      </w:r>
    </w:p>
    <w:p w14:paraId="03ACB616">
      <w:pPr>
        <w:spacing w:line="360" w:lineRule="auto"/>
        <w:ind w:firstLine="437"/>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14</w:t>
      </w:r>
      <w:r>
        <w:rPr>
          <w:rFonts w:asciiTheme="minorEastAsia" w:hAnsiTheme="minorEastAsia" w:eastAsiaTheme="minorEastAsia"/>
          <w:b/>
          <w:sz w:val="24"/>
          <w:highlight w:val="none"/>
        </w:rPr>
        <w:t>.响应文件的评审与磋商</w:t>
      </w:r>
    </w:p>
    <w:p w14:paraId="7D394BD2">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14</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1采购人和采购代理机构将在竞争性磋商公告规定的时间和地点组织磋商。</w:t>
      </w:r>
    </w:p>
    <w:p w14:paraId="7FB2EFCF">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14.2竞争性磋商活动采用综合评分法评审。</w:t>
      </w:r>
    </w:p>
    <w:p w14:paraId="4CDDF41D">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综合评分法，是指响应文件满足磋商文件全部实质性要求且按评审因素的量化指标评审得分最高的供应商为成交候选供应商的评审方法。</w:t>
      </w:r>
    </w:p>
    <w:p w14:paraId="16A034D6">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14.3磋商小组将按照磋商文件规定的评审方法和标准对供应商独立进行评审。评审程序如下：</w:t>
      </w:r>
    </w:p>
    <w:p w14:paraId="0AF3FB87">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14.3.1</w:t>
      </w:r>
      <w:r>
        <w:rPr>
          <w:rFonts w:hint="eastAsia" w:asciiTheme="minorEastAsia" w:hAnsiTheme="minorEastAsia" w:eastAsiaTheme="minorEastAsia"/>
          <w:b/>
          <w:sz w:val="24"/>
          <w:highlight w:val="none"/>
        </w:rPr>
        <w:t>初审</w:t>
      </w:r>
      <w:r>
        <w:rPr>
          <w:rFonts w:hint="eastAsia" w:asciiTheme="minorEastAsia" w:hAnsiTheme="minorEastAsia" w:eastAsiaTheme="minorEastAsia"/>
          <w:sz w:val="24"/>
          <w:highlight w:val="none"/>
        </w:rPr>
        <w:t>。磋商小组对供应商必须满足和实质性响应的内容进行评审，供应商未实质性响应磋商文件要求导致响应无效的，磋商小组将以书面询标的方式告知有关供应商。</w:t>
      </w:r>
    </w:p>
    <w:p w14:paraId="042213C7">
      <w:pPr>
        <w:spacing w:line="360" w:lineRule="auto"/>
        <w:ind w:firstLine="435"/>
        <w:rPr>
          <w:rFonts w:ascii="宋体" w:hAnsi="宋体" w:eastAsia="宋体" w:cs="宋体"/>
          <w:sz w:val="24"/>
          <w:szCs w:val="24"/>
          <w:highlight w:val="none"/>
        </w:rPr>
      </w:pPr>
      <w:r>
        <w:rPr>
          <w:rFonts w:hint="eastAsia" w:ascii="宋体" w:hAnsi="宋体" w:eastAsia="宋体" w:cs="宋体"/>
          <w:sz w:val="24"/>
          <w:szCs w:val="24"/>
          <w:highlight w:val="none"/>
        </w:rPr>
        <w:t>采购人或采购代理机构将在响应文件提交截止时间后至评审结束前通过“信用中国”网站(www.creditchina.gov.cn)、中国政府采购网(www.ccgp.gov.cn)查询相关供应商信用记录，并对供应商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其响应文件将被认定为</w:t>
      </w:r>
      <w:r>
        <w:rPr>
          <w:rFonts w:hint="eastAsia" w:ascii="宋体" w:hAnsi="宋体" w:eastAsia="宋体" w:cs="宋体"/>
          <w:b/>
          <w:sz w:val="24"/>
          <w:szCs w:val="24"/>
          <w:highlight w:val="none"/>
        </w:rPr>
        <w:t>响应无效</w:t>
      </w:r>
      <w:r>
        <w:rPr>
          <w:rFonts w:hint="eastAsia" w:ascii="宋体" w:hAnsi="宋体" w:eastAsia="宋体" w:cs="宋体"/>
          <w:sz w:val="24"/>
          <w:szCs w:val="24"/>
          <w:highlight w:val="none"/>
        </w:rPr>
        <w:t>。</w:t>
      </w:r>
    </w:p>
    <w:p w14:paraId="43019564">
      <w:pPr>
        <w:spacing w:line="360" w:lineRule="auto"/>
        <w:ind w:firstLine="435"/>
        <w:rPr>
          <w:rFonts w:ascii="宋体" w:hAnsi="宋体" w:eastAsia="宋体" w:cs="宋体"/>
          <w:sz w:val="24"/>
          <w:szCs w:val="24"/>
          <w:highlight w:val="none"/>
        </w:rPr>
      </w:pPr>
      <w:r>
        <w:rPr>
          <w:rFonts w:hint="eastAsia" w:ascii="宋体" w:hAnsi="宋体" w:eastAsia="宋体" w:cs="宋体"/>
          <w:sz w:val="24"/>
          <w:szCs w:val="24"/>
          <w:highlight w:val="none"/>
        </w:rPr>
        <w:t>以联合体形式参加磋商的，联合体成员存在以上不良信用记录的，联合体磋商将被认定为</w:t>
      </w:r>
      <w:r>
        <w:rPr>
          <w:rFonts w:hint="eastAsia" w:ascii="宋体" w:hAnsi="宋体" w:eastAsia="宋体" w:cs="宋体"/>
          <w:b/>
          <w:sz w:val="24"/>
          <w:szCs w:val="24"/>
          <w:highlight w:val="none"/>
        </w:rPr>
        <w:t>响应无效</w:t>
      </w:r>
      <w:r>
        <w:rPr>
          <w:rFonts w:hint="eastAsia" w:ascii="宋体" w:hAnsi="宋体" w:eastAsia="宋体" w:cs="宋体"/>
          <w:sz w:val="24"/>
          <w:szCs w:val="24"/>
          <w:highlight w:val="none"/>
        </w:rPr>
        <w:t>。</w:t>
      </w:r>
    </w:p>
    <w:p w14:paraId="4CFF3DC7">
      <w:pPr>
        <w:spacing w:line="360" w:lineRule="auto"/>
        <w:ind w:firstLine="435"/>
        <w:rPr>
          <w:rFonts w:asciiTheme="minorEastAsia" w:hAnsiTheme="minorEastAsia" w:eastAsiaTheme="minorEastAsia"/>
          <w:sz w:val="24"/>
          <w:highlight w:val="none"/>
        </w:rPr>
      </w:pPr>
      <w:r>
        <w:rPr>
          <w:rFonts w:hint="eastAsia" w:ascii="宋体" w:hAnsi="宋体" w:eastAsia="宋体" w:cs="宋体"/>
          <w:sz w:val="24"/>
          <w:szCs w:val="24"/>
          <w:highlight w:val="none"/>
        </w:rPr>
        <w:t>以上信用查询记录，采购人或采购代理机构将下载查询结果页面后与其他采购文件一并保存。供应商不良信用记录以采购人或采购代理机构查询结果为准。在本采购文件规定的查询时间之外，网站信息发生的任何变更均不作为初审依据。供应商自行提供的与网站信息不一致的其他证明材料亦不作为初审依据。</w:t>
      </w:r>
    </w:p>
    <w:p w14:paraId="061F79A2">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14.3.2</w:t>
      </w:r>
      <w:r>
        <w:rPr>
          <w:rFonts w:hint="eastAsia" w:asciiTheme="minorEastAsia" w:hAnsiTheme="minorEastAsia" w:eastAsiaTheme="minorEastAsia"/>
          <w:b/>
          <w:sz w:val="24"/>
          <w:highlight w:val="none"/>
        </w:rPr>
        <w:t>磋商</w:t>
      </w:r>
      <w:r>
        <w:rPr>
          <w:rFonts w:hint="eastAsia" w:asciiTheme="minorEastAsia" w:hAnsiTheme="minorEastAsia" w:eastAsiaTheme="minorEastAsia"/>
          <w:sz w:val="24"/>
          <w:highlight w:val="none"/>
        </w:rPr>
        <w:t>。初审合格后，磋商小组将按网上加密电子响应文件提交顺序集中与单一供应商分别进行磋商，并给予所有参加磋商的供应商平等的磋商机会。</w:t>
      </w:r>
    </w:p>
    <w:p w14:paraId="3FF1F17B">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14.3.3</w:t>
      </w:r>
      <w:r>
        <w:rPr>
          <w:rFonts w:asciiTheme="minorEastAsia" w:hAnsiTheme="minorEastAsia" w:eastAsiaTheme="minorEastAsia"/>
          <w:b/>
          <w:sz w:val="24"/>
          <w:highlight w:val="none"/>
        </w:rPr>
        <w:t>报价</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磋商结束后，磋商小组应当要求所有</w:t>
      </w:r>
      <w:r>
        <w:rPr>
          <w:rFonts w:hint="eastAsia" w:asciiTheme="minorEastAsia" w:hAnsiTheme="minorEastAsia" w:eastAsiaTheme="minorEastAsia"/>
          <w:sz w:val="24"/>
          <w:highlight w:val="none"/>
        </w:rPr>
        <w:t>实质性响应</w:t>
      </w:r>
      <w:r>
        <w:rPr>
          <w:rFonts w:asciiTheme="minorEastAsia" w:hAnsiTheme="minorEastAsia" w:eastAsiaTheme="minorEastAsia"/>
          <w:sz w:val="24"/>
          <w:highlight w:val="none"/>
        </w:rPr>
        <w:t>的供应商在规定时间内提交最后报价</w:t>
      </w:r>
      <w:r>
        <w:rPr>
          <w:rFonts w:hint="eastAsia" w:ascii="宋体" w:hAnsi="宋体" w:eastAsia="宋体"/>
          <w:sz w:val="24"/>
          <w:highlight w:val="none"/>
        </w:rPr>
        <w:t>。</w:t>
      </w:r>
    </w:p>
    <w:p w14:paraId="1A1833A5">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14.3.4</w:t>
      </w:r>
      <w:r>
        <w:rPr>
          <w:rFonts w:hint="eastAsia" w:asciiTheme="minorEastAsia" w:hAnsiTheme="minorEastAsia" w:eastAsiaTheme="minorEastAsia"/>
          <w:b/>
          <w:sz w:val="24"/>
          <w:highlight w:val="none"/>
        </w:rPr>
        <w:t>综合评分</w:t>
      </w:r>
      <w:r>
        <w:rPr>
          <w:rFonts w:hint="eastAsia" w:asciiTheme="minorEastAsia" w:hAnsiTheme="minorEastAsia" w:eastAsiaTheme="minorEastAsia"/>
          <w:sz w:val="24"/>
          <w:highlight w:val="none"/>
        </w:rPr>
        <w:t>。磋商小组只对通过初审，实质上响应磋商文件要求的响应文件进行综合评分。经磋商确定最终采购需求和提交最后报价的供应商后，由磋商小组采用综合评分法对提交最后报价的供应商的响应文件和最后报价进行综合评分。</w:t>
      </w:r>
    </w:p>
    <w:p w14:paraId="581722D6">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14.4相关说明。</w:t>
      </w:r>
    </w:p>
    <w:p w14:paraId="044AD9CD">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14.4.1为保证磋商活动顺利进行，供应商可派相关技术人员进行网上答疑； </w:t>
      </w:r>
    </w:p>
    <w:p w14:paraId="412097D3">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14.4.2磋</w:t>
      </w:r>
      <w:r>
        <w:rPr>
          <w:rFonts w:asciiTheme="minorEastAsia" w:hAnsiTheme="minorEastAsia" w:eastAsiaTheme="minorEastAsia"/>
          <w:sz w:val="24"/>
          <w:highlight w:val="none"/>
        </w:rPr>
        <w:t>商小组根据与</w:t>
      </w:r>
      <w:r>
        <w:rPr>
          <w:rFonts w:hint="eastAsia" w:asciiTheme="minorEastAsia" w:hAnsiTheme="minorEastAsia" w:eastAsiaTheme="minorEastAsia"/>
          <w:sz w:val="24"/>
          <w:highlight w:val="none"/>
        </w:rPr>
        <w:t>供应商</w:t>
      </w:r>
      <w:r>
        <w:rPr>
          <w:rFonts w:asciiTheme="minorEastAsia" w:hAnsiTheme="minorEastAsia" w:eastAsiaTheme="minorEastAsia"/>
          <w:sz w:val="24"/>
          <w:highlight w:val="none"/>
        </w:rPr>
        <w:t>磋商情况可能实质性变动</w:t>
      </w:r>
      <w:r>
        <w:rPr>
          <w:rFonts w:hint="eastAsia" w:asciiTheme="minorEastAsia" w:hAnsiTheme="minorEastAsia" w:eastAsiaTheme="minorEastAsia"/>
          <w:sz w:val="24"/>
          <w:highlight w:val="none"/>
        </w:rPr>
        <w:t>磋商文件</w:t>
      </w:r>
      <w:r>
        <w:rPr>
          <w:rFonts w:asciiTheme="minorEastAsia" w:hAnsiTheme="minorEastAsia" w:eastAsiaTheme="minorEastAsia"/>
          <w:sz w:val="24"/>
          <w:highlight w:val="none"/>
        </w:rPr>
        <w:t>的内容，包括采购需求中的技术、服务要求以及合同草案条款。磋商文件有实质性变动的，</w:t>
      </w:r>
      <w:r>
        <w:rPr>
          <w:rFonts w:hint="eastAsia" w:asciiTheme="minorEastAsia" w:hAnsiTheme="minorEastAsia" w:eastAsiaTheme="minorEastAsia"/>
          <w:sz w:val="24"/>
          <w:highlight w:val="none"/>
        </w:rPr>
        <w:t>经采购人代表确认作为磋商文件的有效组成部分，</w:t>
      </w:r>
      <w:r>
        <w:rPr>
          <w:rFonts w:asciiTheme="minorEastAsia" w:hAnsiTheme="minorEastAsia" w:eastAsiaTheme="minorEastAsia"/>
          <w:sz w:val="24"/>
          <w:highlight w:val="none"/>
        </w:rPr>
        <w:t>磋商小组</w:t>
      </w:r>
      <w:r>
        <w:rPr>
          <w:rFonts w:hint="eastAsia" w:asciiTheme="minorEastAsia" w:hAnsiTheme="minorEastAsia" w:eastAsiaTheme="minorEastAsia"/>
          <w:sz w:val="24"/>
          <w:highlight w:val="none"/>
        </w:rPr>
        <w:t>将</w:t>
      </w:r>
      <w:r>
        <w:rPr>
          <w:rFonts w:asciiTheme="minorEastAsia" w:hAnsiTheme="minorEastAsia" w:eastAsiaTheme="minorEastAsia"/>
          <w:sz w:val="24"/>
          <w:highlight w:val="none"/>
        </w:rPr>
        <w:t>以书面形式通知所有参加磋商的供应商。</w:t>
      </w:r>
    </w:p>
    <w:p w14:paraId="56C07526">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14.4.3磋商小组发现供应商的报价或者某些分项报价明显低于其他通过初审的供应商的报价，有可能影响产品质量和不能诚信履约的，应当要求其在合理的时间内提供书面说明，必要时提交相关证明材料；供应商不能证明其报价合理性的，其响应文件将被认定为</w:t>
      </w:r>
      <w:r>
        <w:rPr>
          <w:rFonts w:hint="eastAsia" w:asciiTheme="minorEastAsia" w:hAnsiTheme="minorEastAsia" w:eastAsiaTheme="minorEastAsia"/>
          <w:b/>
          <w:sz w:val="24"/>
          <w:highlight w:val="none"/>
        </w:rPr>
        <w:t>响应无效</w:t>
      </w:r>
      <w:r>
        <w:rPr>
          <w:rFonts w:hint="eastAsia" w:asciiTheme="minorEastAsia" w:hAnsiTheme="minorEastAsia" w:eastAsiaTheme="minorEastAsia"/>
          <w:sz w:val="24"/>
          <w:highlight w:val="none"/>
        </w:rPr>
        <w:t>。</w:t>
      </w:r>
    </w:p>
    <w:p w14:paraId="03C8F0F9">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14.4.4</w:t>
      </w:r>
      <w:r>
        <w:rPr>
          <w:rFonts w:asciiTheme="minorEastAsia" w:hAnsiTheme="minorEastAsia" w:eastAsiaTheme="minorEastAsia"/>
          <w:sz w:val="24"/>
          <w:highlight w:val="none"/>
        </w:rPr>
        <w:t>无论何种原因，即使供应商</w:t>
      </w:r>
      <w:r>
        <w:rPr>
          <w:rFonts w:hint="eastAsia" w:asciiTheme="minorEastAsia" w:hAnsiTheme="minorEastAsia" w:eastAsiaTheme="minorEastAsia"/>
          <w:sz w:val="24"/>
          <w:highlight w:val="none"/>
        </w:rPr>
        <w:t>磋商</w:t>
      </w:r>
      <w:r>
        <w:rPr>
          <w:rFonts w:asciiTheme="minorEastAsia" w:hAnsiTheme="minorEastAsia" w:eastAsiaTheme="minorEastAsia"/>
          <w:sz w:val="24"/>
          <w:highlight w:val="none"/>
        </w:rPr>
        <w:t>时携带了证书材料的原件，但响应文件中未提供与之内容完全一致的</w:t>
      </w:r>
      <w:r>
        <w:rPr>
          <w:rFonts w:hint="eastAsia" w:asciiTheme="minorEastAsia" w:hAnsiTheme="minorEastAsia" w:eastAsiaTheme="minorEastAsia"/>
          <w:sz w:val="24"/>
          <w:highlight w:val="none"/>
        </w:rPr>
        <w:t>扫描件</w:t>
      </w:r>
      <w:r>
        <w:rPr>
          <w:rFonts w:asciiTheme="minorEastAsia" w:hAnsiTheme="minorEastAsia" w:eastAsiaTheme="minorEastAsia"/>
          <w:sz w:val="24"/>
          <w:highlight w:val="none"/>
        </w:rPr>
        <w:t>的，</w:t>
      </w:r>
      <w:r>
        <w:rPr>
          <w:rFonts w:hint="eastAsia" w:asciiTheme="minorEastAsia" w:hAnsiTheme="minorEastAsia" w:eastAsiaTheme="minorEastAsia"/>
          <w:sz w:val="24"/>
          <w:highlight w:val="none"/>
        </w:rPr>
        <w:t>磋商</w:t>
      </w:r>
      <w:r>
        <w:rPr>
          <w:rFonts w:asciiTheme="minorEastAsia" w:hAnsiTheme="minorEastAsia" w:eastAsiaTheme="minorEastAsia"/>
          <w:sz w:val="24"/>
          <w:highlight w:val="none"/>
        </w:rPr>
        <w:t>小组可以视同其未提供。</w:t>
      </w:r>
    </w:p>
    <w:p w14:paraId="763F0A82">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14.4.5磋商</w:t>
      </w:r>
      <w:r>
        <w:rPr>
          <w:rFonts w:asciiTheme="minorEastAsia" w:hAnsiTheme="minorEastAsia" w:eastAsiaTheme="minorEastAsia"/>
          <w:sz w:val="24"/>
          <w:highlight w:val="none"/>
        </w:rPr>
        <w:t>小组决定响应文件的响应性及符合性只根据响应文件本身的内容，而不寻求其他外部证据。</w:t>
      </w:r>
    </w:p>
    <w:p w14:paraId="55E2AC91">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14</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5</w:t>
      </w:r>
      <w:r>
        <w:rPr>
          <w:rFonts w:asciiTheme="minorEastAsia" w:hAnsiTheme="minorEastAsia" w:eastAsiaTheme="minorEastAsia"/>
          <w:sz w:val="24"/>
          <w:highlight w:val="none"/>
        </w:rPr>
        <w:t>供应商</w:t>
      </w:r>
      <w:r>
        <w:rPr>
          <w:rFonts w:hint="eastAsia" w:asciiTheme="minorEastAsia" w:hAnsiTheme="minorEastAsia" w:eastAsiaTheme="minorEastAsia"/>
          <w:sz w:val="24"/>
          <w:highlight w:val="none"/>
        </w:rPr>
        <w:t>授权</w:t>
      </w:r>
      <w:r>
        <w:rPr>
          <w:rFonts w:asciiTheme="minorEastAsia" w:hAnsiTheme="minorEastAsia" w:eastAsiaTheme="minorEastAsia"/>
          <w:sz w:val="24"/>
          <w:highlight w:val="none"/>
        </w:rPr>
        <w:t>代表对</w:t>
      </w:r>
      <w:r>
        <w:rPr>
          <w:rFonts w:hint="eastAsia" w:asciiTheme="minorEastAsia" w:hAnsiTheme="minorEastAsia" w:eastAsiaTheme="minorEastAsia"/>
          <w:sz w:val="24"/>
          <w:highlight w:val="none"/>
        </w:rPr>
        <w:t>磋商过程</w:t>
      </w:r>
      <w:r>
        <w:rPr>
          <w:rFonts w:asciiTheme="minorEastAsia" w:hAnsiTheme="minorEastAsia" w:eastAsiaTheme="minorEastAsia"/>
          <w:sz w:val="24"/>
          <w:highlight w:val="none"/>
        </w:rPr>
        <w:t>有疑义，以及认为采购人、采购代理机构相关工作人员有需要回避的情形的，应当场提出询问或者回避申请</w:t>
      </w:r>
      <w:r>
        <w:rPr>
          <w:rFonts w:hint="eastAsia" w:asciiTheme="minorEastAsia" w:hAnsiTheme="minorEastAsia" w:eastAsiaTheme="minorEastAsia"/>
          <w:sz w:val="24"/>
          <w:highlight w:val="none"/>
        </w:rPr>
        <w:t>，并说明理由。</w:t>
      </w:r>
      <w:r>
        <w:rPr>
          <w:rFonts w:asciiTheme="minorEastAsia" w:hAnsiTheme="minorEastAsia" w:eastAsiaTheme="minorEastAsia"/>
          <w:sz w:val="24"/>
          <w:highlight w:val="none"/>
        </w:rPr>
        <w:t xml:space="preserve"> </w:t>
      </w:r>
    </w:p>
    <w:p w14:paraId="79DAE759">
      <w:pPr>
        <w:spacing w:line="360" w:lineRule="auto"/>
        <w:ind w:firstLine="437"/>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15</w:t>
      </w:r>
      <w:r>
        <w:rPr>
          <w:rFonts w:asciiTheme="minorEastAsia" w:hAnsiTheme="minorEastAsia" w:eastAsiaTheme="minorEastAsia"/>
          <w:b/>
          <w:sz w:val="24"/>
          <w:highlight w:val="none"/>
        </w:rPr>
        <w:t>.终止竞争性磋商</w:t>
      </w:r>
    </w:p>
    <w:p w14:paraId="59CDBB1A">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15.1出现下列情况之一时，采购人和采购代理机构有权宣布终止竞争性磋商采购，并将理由通知所有供应商：</w:t>
      </w:r>
    </w:p>
    <w:p w14:paraId="19AD8EEE">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（1）有效供应商数量不足，导致本次磋商缺乏竞争的；</w:t>
      </w:r>
    </w:p>
    <w:p w14:paraId="3BCFC9EA">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（2）出现影响采购公正的违法、违规行为的；</w:t>
      </w:r>
    </w:p>
    <w:p w14:paraId="05B86D8A">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（3）因重大变故，采购任务取消的；</w:t>
      </w:r>
    </w:p>
    <w:p w14:paraId="20253367">
      <w:pPr>
        <w:spacing w:line="360" w:lineRule="auto"/>
        <w:ind w:firstLine="437"/>
        <w:outlineLvl w:val="2"/>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（4）政府采购法律法规规定的其他情形。</w:t>
      </w:r>
    </w:p>
    <w:p w14:paraId="2B709D07">
      <w:pPr>
        <w:spacing w:line="360" w:lineRule="auto"/>
        <w:ind w:firstLine="437"/>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16</w:t>
      </w:r>
      <w:r>
        <w:rPr>
          <w:rFonts w:asciiTheme="minorEastAsia" w:hAnsiTheme="minorEastAsia" w:eastAsiaTheme="minorEastAsia"/>
          <w:b/>
          <w:sz w:val="24"/>
          <w:highlight w:val="none"/>
        </w:rPr>
        <w:t>.响应文件的澄清、说明或</w:t>
      </w:r>
      <w:r>
        <w:rPr>
          <w:rFonts w:hint="eastAsia" w:asciiTheme="minorEastAsia" w:hAnsiTheme="minorEastAsia" w:eastAsiaTheme="minorEastAsia"/>
          <w:b/>
          <w:sz w:val="24"/>
          <w:highlight w:val="none"/>
        </w:rPr>
        <w:t>更正</w:t>
      </w:r>
    </w:p>
    <w:p w14:paraId="01BE6672">
      <w:pPr>
        <w:spacing w:line="360" w:lineRule="auto"/>
        <w:ind w:firstLine="470" w:firstLineChars="196"/>
        <w:rPr>
          <w:rFonts w:ascii="宋体" w:hAnsi="宋体" w:eastAsia="宋体"/>
          <w:sz w:val="24"/>
          <w:highlight w:val="none"/>
        </w:rPr>
      </w:pPr>
      <w:r>
        <w:rPr>
          <w:rFonts w:hint="eastAsia" w:ascii="宋体" w:hAnsi="宋体" w:eastAsia="宋体"/>
          <w:sz w:val="24"/>
          <w:highlight w:val="none"/>
        </w:rPr>
        <w:t>16.1磋商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w:t>
      </w:r>
    </w:p>
    <w:p w14:paraId="0326F9CB">
      <w:pPr>
        <w:spacing w:line="360" w:lineRule="auto"/>
        <w:ind w:firstLine="470" w:firstLineChars="196"/>
        <w:rPr>
          <w:rFonts w:ascii="宋体" w:hAnsi="宋体" w:eastAsia="宋体"/>
          <w:sz w:val="24"/>
          <w:highlight w:val="none"/>
        </w:rPr>
      </w:pPr>
      <w:r>
        <w:rPr>
          <w:rFonts w:hint="eastAsia" w:ascii="宋体" w:hAnsi="宋体" w:eastAsia="宋体"/>
          <w:sz w:val="24"/>
          <w:highlight w:val="none"/>
        </w:rPr>
        <w:t>16.2磋商小组要求供应商澄清、说明或者更正响应文件应当以书面形式（询标）作出。供应商的澄清、说明或者更正应当由法定代表人或其授权代表签字或者加盖公章（电子签章）。</w:t>
      </w:r>
    </w:p>
    <w:p w14:paraId="310019EC">
      <w:pPr>
        <w:spacing w:line="360" w:lineRule="auto"/>
        <w:ind w:firstLine="435"/>
        <w:rPr>
          <w:rFonts w:ascii="宋体" w:hAnsi="宋体" w:eastAsia="宋体"/>
          <w:sz w:val="24"/>
          <w:highlight w:val="none"/>
        </w:rPr>
      </w:pPr>
      <w:r>
        <w:rPr>
          <w:rFonts w:hint="eastAsia" w:ascii="宋体" w:hAnsi="宋体" w:eastAsia="宋体"/>
          <w:b/>
          <w:sz w:val="24"/>
          <w:highlight w:val="none"/>
        </w:rPr>
        <w:t>如有询标，授权代表（或法定代表人）可通过远程登录的方式接受网上询标，也可凭本人有效身份证明参加询标。因授权代表联系不上</w:t>
      </w:r>
      <w:r>
        <w:rPr>
          <w:rFonts w:hint="eastAsia" w:ascii="宋体" w:hAnsi="宋体" w:eastAsia="宋体"/>
          <w:b/>
          <w:bCs/>
          <w:sz w:val="24"/>
          <w:highlight w:val="none"/>
        </w:rPr>
        <w:t>、没有及时登录系统等情形</w:t>
      </w:r>
      <w:r>
        <w:rPr>
          <w:rFonts w:hint="eastAsia" w:ascii="宋体" w:hAnsi="宋体" w:eastAsia="宋体"/>
          <w:b/>
          <w:sz w:val="24"/>
          <w:highlight w:val="none"/>
        </w:rPr>
        <w:t>而无法接受磋商小组询标的，供应商自行承担相关风险。</w:t>
      </w:r>
    </w:p>
    <w:p w14:paraId="480632FB">
      <w:pPr>
        <w:spacing w:line="360" w:lineRule="auto"/>
        <w:ind w:firstLine="437"/>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17</w:t>
      </w:r>
      <w:r>
        <w:rPr>
          <w:rFonts w:asciiTheme="minorEastAsia" w:hAnsiTheme="minorEastAsia" w:eastAsiaTheme="minorEastAsia"/>
          <w:b/>
          <w:sz w:val="24"/>
          <w:highlight w:val="none"/>
        </w:rPr>
        <w:t>.最后报价</w:t>
      </w:r>
    </w:p>
    <w:p w14:paraId="4DAFDBA0">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17.1</w:t>
      </w:r>
      <w:r>
        <w:rPr>
          <w:rFonts w:asciiTheme="minorEastAsia" w:hAnsiTheme="minorEastAsia" w:eastAsiaTheme="minorEastAsia"/>
          <w:sz w:val="24"/>
          <w:highlight w:val="none"/>
        </w:rPr>
        <w:t>磋商并不限定只进行二轮报价，如果磋商小组认为有必要，可以要求供应商进行多轮报价。</w:t>
      </w:r>
    </w:p>
    <w:p w14:paraId="37AF91B1">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17.2</w:t>
      </w:r>
      <w:r>
        <w:rPr>
          <w:rFonts w:asciiTheme="minorEastAsia" w:hAnsiTheme="minorEastAsia" w:eastAsiaTheme="minorEastAsia"/>
          <w:sz w:val="24"/>
          <w:highlight w:val="none"/>
        </w:rPr>
        <w:t>在磋商内容不做实质性变更或重大调整的前提下，供应商下轮报价不得高于上一轮报价</w:t>
      </w:r>
      <w:r>
        <w:rPr>
          <w:rFonts w:hint="eastAsia" w:asciiTheme="minorEastAsia" w:hAnsiTheme="minorEastAsia" w:eastAsiaTheme="minorEastAsia"/>
          <w:sz w:val="24"/>
          <w:highlight w:val="none"/>
        </w:rPr>
        <w:t>。</w:t>
      </w:r>
    </w:p>
    <w:p w14:paraId="19C16917">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17.3</w:t>
      </w:r>
      <w:r>
        <w:rPr>
          <w:rFonts w:asciiTheme="minorEastAsia" w:hAnsiTheme="minorEastAsia" w:eastAsiaTheme="minorEastAsia"/>
          <w:sz w:val="24"/>
          <w:highlight w:val="none"/>
        </w:rPr>
        <w:t>最后报价是供应商响应文件的有效组成部分，最后报价也是签订合同的依据。</w:t>
      </w:r>
    </w:p>
    <w:p w14:paraId="27EF68FF">
      <w:pPr>
        <w:spacing w:line="360" w:lineRule="auto"/>
        <w:ind w:firstLine="435"/>
        <w:rPr>
          <w:rFonts w:asciiTheme="majorEastAsia" w:hAnsiTheme="majorEastAsia" w:eastAsiaTheme="majorEastAsia"/>
          <w:sz w:val="24"/>
          <w:highlight w:val="none"/>
        </w:rPr>
      </w:pPr>
      <w:bookmarkStart w:id="60" w:name="_Hlk60607655"/>
      <w:bookmarkStart w:id="61" w:name="_Hlk60607673"/>
      <w:r>
        <w:rPr>
          <w:rFonts w:hint="eastAsia" w:asciiTheme="majorEastAsia" w:hAnsiTheme="majorEastAsia" w:eastAsiaTheme="majorEastAsia"/>
          <w:sz w:val="24"/>
          <w:highlight w:val="none"/>
        </w:rPr>
        <w:t>17.</w:t>
      </w:r>
      <w:r>
        <w:rPr>
          <w:rFonts w:asciiTheme="majorEastAsia" w:hAnsiTheme="majorEastAsia" w:eastAsiaTheme="majorEastAsia"/>
          <w:sz w:val="24"/>
          <w:highlight w:val="none"/>
        </w:rPr>
        <w:t>4</w:t>
      </w:r>
      <w:r>
        <w:rPr>
          <w:rFonts w:hint="eastAsia" w:asciiTheme="majorEastAsia" w:hAnsiTheme="majorEastAsia" w:eastAsiaTheme="majorEastAsia"/>
          <w:sz w:val="24"/>
          <w:highlight w:val="none"/>
        </w:rPr>
        <w:t>根据《政府采购促进中小企业发展管理办法》（财库〔</w:t>
      </w:r>
      <w:r>
        <w:rPr>
          <w:rFonts w:asciiTheme="majorEastAsia" w:hAnsiTheme="majorEastAsia" w:eastAsiaTheme="majorEastAsia"/>
          <w:sz w:val="24"/>
          <w:highlight w:val="none"/>
        </w:rPr>
        <w:t>2020〕46号</w:t>
      </w:r>
      <w:r>
        <w:rPr>
          <w:rFonts w:hint="eastAsia" w:asciiTheme="majorEastAsia" w:hAnsiTheme="majorEastAsia" w:eastAsiaTheme="majorEastAsia"/>
          <w:sz w:val="24"/>
          <w:highlight w:val="none"/>
        </w:rPr>
        <w:t>）、《三部门联合发布关于促进残疾人就业政府采购政策的通知》（财库〔2017〕141号）和《</w:t>
      </w:r>
      <w:r>
        <w:rPr>
          <w:rFonts w:asciiTheme="majorEastAsia" w:hAnsiTheme="majorEastAsia" w:eastAsiaTheme="majorEastAsia"/>
          <w:sz w:val="24"/>
          <w:highlight w:val="none"/>
        </w:rPr>
        <w:t>财政部 司法部关于政府采购支持监狱企业发展有关问题的通知</w:t>
      </w:r>
      <w:r>
        <w:rPr>
          <w:rFonts w:hint="eastAsia" w:asciiTheme="majorEastAsia" w:hAnsiTheme="majorEastAsia" w:eastAsiaTheme="majorEastAsia"/>
          <w:sz w:val="24"/>
          <w:highlight w:val="none"/>
        </w:rPr>
        <w:t>》（财库〔2014〕68号）的规定，对满足价格扣除条件且在响应文件中提交了</w:t>
      </w:r>
      <w:r>
        <w:rPr>
          <w:rFonts w:asciiTheme="majorEastAsia" w:hAnsiTheme="majorEastAsia" w:eastAsiaTheme="majorEastAsia"/>
          <w:sz w:val="24"/>
          <w:highlight w:val="none"/>
        </w:rPr>
        <w:t>《中小企业声明函》</w:t>
      </w:r>
      <w:r>
        <w:rPr>
          <w:rFonts w:hint="eastAsia" w:asciiTheme="majorEastAsia" w:hAnsiTheme="majorEastAsia" w:eastAsiaTheme="majorEastAsia"/>
          <w:sz w:val="24"/>
          <w:highlight w:val="none"/>
        </w:rPr>
        <w:t>、</w:t>
      </w:r>
      <w:r>
        <w:rPr>
          <w:rFonts w:asciiTheme="majorEastAsia" w:hAnsiTheme="majorEastAsia" w:eastAsiaTheme="majorEastAsia"/>
          <w:sz w:val="24"/>
          <w:highlight w:val="none"/>
        </w:rPr>
        <w:t>《残疾人福利性单位声明函》</w:t>
      </w:r>
      <w:r>
        <w:rPr>
          <w:rFonts w:hint="eastAsia" w:asciiTheme="majorEastAsia" w:hAnsiTheme="majorEastAsia" w:eastAsiaTheme="majorEastAsia"/>
          <w:sz w:val="24"/>
          <w:highlight w:val="none"/>
        </w:rPr>
        <w:t>或省级以上监狱管理局、戒毒管理局（含新疆生产建设兵团）出具的属于监狱企业的证明文件的供应商，其最后报价按照</w:t>
      </w:r>
      <w:r>
        <w:rPr>
          <w:rFonts w:hint="eastAsia" w:asciiTheme="majorEastAsia" w:hAnsiTheme="majorEastAsia" w:eastAsiaTheme="majorEastAsia"/>
          <w:sz w:val="24"/>
          <w:highlight w:val="none"/>
          <w:u w:val="single"/>
        </w:rPr>
        <w:t>供应商须知前附表</w:t>
      </w:r>
      <w:r>
        <w:rPr>
          <w:rFonts w:hint="eastAsia" w:asciiTheme="majorEastAsia" w:hAnsiTheme="majorEastAsia" w:eastAsiaTheme="majorEastAsia"/>
          <w:sz w:val="24"/>
          <w:highlight w:val="none"/>
        </w:rPr>
        <w:t>中规定的标准扣除后的价格参与评审。对于同时属于小微企业、监狱企业或残疾人福利性单位的，不重复进行最后报价扣除。</w:t>
      </w:r>
    </w:p>
    <w:p w14:paraId="1F79F0D0">
      <w:pPr>
        <w:spacing w:line="360" w:lineRule="auto"/>
        <w:ind w:firstLine="435"/>
        <w:rPr>
          <w:rFonts w:asciiTheme="majorEastAsia" w:hAnsiTheme="majorEastAsia" w:eastAsiaTheme="majorEastAsia"/>
          <w:sz w:val="24"/>
          <w:highlight w:val="none"/>
        </w:rPr>
      </w:pPr>
      <w:r>
        <w:rPr>
          <w:rFonts w:hint="eastAsia" w:asciiTheme="majorEastAsia" w:hAnsiTheme="majorEastAsia" w:eastAsiaTheme="majorEastAsia"/>
          <w:sz w:val="24"/>
          <w:highlight w:val="none"/>
        </w:rPr>
        <w:t>接受大中型企业与小微企业组成联合体或者允许大中型企业向一家或者多家小微企业分包的，对于联合协议或者分包意向协议约定小微企业的合同份额占到合同总金额</w:t>
      </w:r>
      <w:r>
        <w:rPr>
          <w:rFonts w:asciiTheme="majorEastAsia" w:hAnsiTheme="majorEastAsia" w:eastAsiaTheme="majorEastAsia"/>
          <w:sz w:val="24"/>
          <w:highlight w:val="none"/>
        </w:rPr>
        <w:t>30%以上的，可给予联合体或者大中型企业的</w:t>
      </w:r>
      <w:r>
        <w:rPr>
          <w:rFonts w:hint="eastAsia" w:asciiTheme="majorEastAsia" w:hAnsiTheme="majorEastAsia" w:eastAsiaTheme="majorEastAsia"/>
          <w:sz w:val="24"/>
          <w:highlight w:val="none"/>
        </w:rPr>
        <w:t>最后报价按照</w:t>
      </w:r>
      <w:r>
        <w:rPr>
          <w:rFonts w:hint="eastAsia" w:asciiTheme="majorEastAsia" w:hAnsiTheme="majorEastAsia" w:eastAsiaTheme="majorEastAsia"/>
          <w:sz w:val="24"/>
          <w:highlight w:val="none"/>
          <w:u w:val="single"/>
        </w:rPr>
        <w:t>供应商须知前附表</w:t>
      </w:r>
      <w:r>
        <w:rPr>
          <w:rFonts w:hint="eastAsia" w:asciiTheme="majorEastAsia" w:hAnsiTheme="majorEastAsia" w:eastAsiaTheme="majorEastAsia"/>
          <w:sz w:val="24"/>
          <w:highlight w:val="none"/>
        </w:rPr>
        <w:t>中规定的标准扣除后的价格参与评审</w:t>
      </w:r>
      <w:r>
        <w:rPr>
          <w:rFonts w:asciiTheme="majorEastAsia" w:hAnsiTheme="majorEastAsia" w:eastAsiaTheme="majorEastAsia"/>
          <w:sz w:val="24"/>
          <w:highlight w:val="none"/>
        </w:rPr>
        <w:t>。</w:t>
      </w:r>
      <w:r>
        <w:rPr>
          <w:rFonts w:hint="eastAsia" w:asciiTheme="majorEastAsia" w:hAnsiTheme="majorEastAsia" w:eastAsiaTheme="majorEastAsia"/>
          <w:sz w:val="24"/>
          <w:highlight w:val="none"/>
        </w:rPr>
        <w:t>组成联合体或者接受分包的小微企业与联合体内其他企业、分包企业之间存在直接控股、管理关系的，不享受价格扣除优惠政策。</w:t>
      </w:r>
    </w:p>
    <w:p w14:paraId="575FCDEA">
      <w:pPr>
        <w:spacing w:line="360" w:lineRule="auto"/>
        <w:ind w:firstLine="435"/>
        <w:rPr>
          <w:rFonts w:asciiTheme="minorEastAsia" w:hAnsiTheme="minorEastAsia" w:eastAsiaTheme="minorEastAsia"/>
          <w:sz w:val="24"/>
          <w:highlight w:val="none"/>
        </w:rPr>
      </w:pPr>
      <w:r>
        <w:rPr>
          <w:rFonts w:hint="eastAsia" w:asciiTheme="majorEastAsia" w:hAnsiTheme="majorEastAsia" w:eastAsiaTheme="majorEastAsia"/>
          <w:sz w:val="24"/>
          <w:highlight w:val="none"/>
        </w:rPr>
        <w:t>以联合体形式参加政府采购活动，联合体各方均为中小企业的，联合体视同中小企业。其中，联合体各方均为小微企业的，联合体视同小微企业。</w:t>
      </w:r>
      <w:bookmarkEnd w:id="60"/>
    </w:p>
    <w:bookmarkEnd w:id="61"/>
    <w:p w14:paraId="07F1910F">
      <w:pPr>
        <w:spacing w:line="360" w:lineRule="auto"/>
        <w:ind w:firstLine="437"/>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18</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成交候选供应商的推荐原则及标准</w:t>
      </w:r>
    </w:p>
    <w:p w14:paraId="5CF402EE">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18</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1磋商小组</w:t>
      </w:r>
      <w:r>
        <w:rPr>
          <w:rFonts w:asciiTheme="minorEastAsia" w:hAnsiTheme="minorEastAsia" w:eastAsiaTheme="minorEastAsia"/>
          <w:sz w:val="24"/>
          <w:highlight w:val="none"/>
        </w:rPr>
        <w:t>依据本项目</w:t>
      </w:r>
      <w:r>
        <w:rPr>
          <w:rFonts w:hint="eastAsia" w:asciiTheme="minorEastAsia" w:hAnsiTheme="minorEastAsia" w:eastAsiaTheme="minorEastAsia"/>
          <w:sz w:val="24"/>
          <w:highlight w:val="none"/>
        </w:rPr>
        <w:t>磋商</w:t>
      </w:r>
      <w:r>
        <w:rPr>
          <w:rFonts w:asciiTheme="minorEastAsia" w:hAnsiTheme="minorEastAsia" w:eastAsiaTheme="minorEastAsia"/>
          <w:sz w:val="24"/>
          <w:highlight w:val="none"/>
        </w:rPr>
        <w:t>文件所约定的</w:t>
      </w:r>
      <w:r>
        <w:rPr>
          <w:rFonts w:hint="eastAsia" w:asciiTheme="minorEastAsia" w:hAnsiTheme="minorEastAsia" w:eastAsiaTheme="minorEastAsia"/>
          <w:sz w:val="24"/>
          <w:highlight w:val="none"/>
        </w:rPr>
        <w:t>评审</w:t>
      </w:r>
      <w:r>
        <w:rPr>
          <w:rFonts w:asciiTheme="minorEastAsia" w:hAnsiTheme="minorEastAsia" w:eastAsiaTheme="minorEastAsia"/>
          <w:sz w:val="24"/>
          <w:highlight w:val="none"/>
        </w:rPr>
        <w:t>方法</w:t>
      </w:r>
      <w:r>
        <w:rPr>
          <w:rFonts w:hint="eastAsia" w:asciiTheme="minorEastAsia" w:hAnsiTheme="minorEastAsia" w:eastAsiaTheme="minorEastAsia"/>
          <w:sz w:val="24"/>
          <w:highlight w:val="none"/>
        </w:rPr>
        <w:t>和标准</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按照有效供应商综合总得分由高到低依次推荐成交候选供应商。综合总得分出现两家或两家以上相同者，按最后报价由低到高排序推荐成交候选供应商；综合总得分且最后报价均相同的，由磋商小组按照技术指标优劣顺序推荐成交候选供应商。</w:t>
      </w:r>
    </w:p>
    <w:p w14:paraId="77B9A199">
      <w:pPr>
        <w:spacing w:line="360" w:lineRule="auto"/>
        <w:ind w:firstLine="437"/>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19</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确定成交候选供应商和成交供应商</w:t>
      </w:r>
    </w:p>
    <w:p w14:paraId="7DB54547">
      <w:pPr>
        <w:spacing w:line="360" w:lineRule="auto"/>
        <w:ind w:firstLine="435"/>
        <w:rPr>
          <w:rFonts w:asciiTheme="minorEastAsia" w:hAnsiTheme="minorEastAsia" w:eastAsiaTheme="minorEastAsia"/>
          <w:sz w:val="24"/>
          <w:highlight w:val="none"/>
        </w:rPr>
      </w:pPr>
      <w:r>
        <w:rPr>
          <w:rFonts w:hint="eastAsia" w:ascii="宋体" w:hAnsi="宋体" w:eastAsia="宋体"/>
          <w:sz w:val="24"/>
          <w:highlight w:val="none"/>
        </w:rPr>
        <w:t>19.1磋商小组根据综合评分的结果和</w:t>
      </w:r>
      <w:r>
        <w:rPr>
          <w:rFonts w:hint="eastAsia" w:asciiTheme="minorEastAsia" w:hAnsiTheme="minorEastAsia" w:eastAsiaTheme="minorEastAsia"/>
          <w:sz w:val="24"/>
          <w:highlight w:val="none"/>
          <w:u w:val="single"/>
        </w:rPr>
        <w:t>供应商</w:t>
      </w:r>
      <w:r>
        <w:rPr>
          <w:rFonts w:asciiTheme="minorEastAsia" w:hAnsiTheme="minorEastAsia" w:eastAsiaTheme="minorEastAsia"/>
          <w:sz w:val="24"/>
          <w:highlight w:val="none"/>
          <w:u w:val="single"/>
        </w:rPr>
        <w:t>须知前附表</w:t>
      </w:r>
      <w:r>
        <w:rPr>
          <w:rFonts w:asciiTheme="minorEastAsia" w:hAnsiTheme="minorEastAsia" w:eastAsiaTheme="minorEastAsia"/>
          <w:sz w:val="24"/>
          <w:highlight w:val="none"/>
        </w:rPr>
        <w:t>中规定</w:t>
      </w:r>
      <w:r>
        <w:rPr>
          <w:rFonts w:hint="eastAsia" w:ascii="宋体" w:hAnsi="宋体" w:eastAsia="宋体"/>
          <w:sz w:val="24"/>
          <w:highlight w:val="none"/>
        </w:rPr>
        <w:t>确定成交候选供应商，并标明排列顺序。</w:t>
      </w:r>
      <w:r>
        <w:rPr>
          <w:rFonts w:hint="eastAsia" w:asciiTheme="minorEastAsia" w:hAnsiTheme="minorEastAsia" w:eastAsiaTheme="minorEastAsia"/>
          <w:sz w:val="24"/>
          <w:highlight w:val="none"/>
        </w:rPr>
        <w:t>按</w:t>
      </w:r>
      <w:r>
        <w:rPr>
          <w:rFonts w:hint="eastAsia" w:asciiTheme="minorEastAsia" w:hAnsiTheme="minorEastAsia" w:eastAsiaTheme="minorEastAsia"/>
          <w:sz w:val="24"/>
          <w:highlight w:val="none"/>
          <w:u w:val="single"/>
        </w:rPr>
        <w:t>供应商</w:t>
      </w:r>
      <w:r>
        <w:rPr>
          <w:rFonts w:asciiTheme="minorEastAsia" w:hAnsiTheme="minorEastAsia" w:eastAsiaTheme="minorEastAsia"/>
          <w:sz w:val="24"/>
          <w:highlight w:val="none"/>
          <w:u w:val="single"/>
        </w:rPr>
        <w:t>须知前附表</w:t>
      </w:r>
      <w:r>
        <w:rPr>
          <w:rFonts w:hint="eastAsia" w:asciiTheme="minorEastAsia" w:hAnsiTheme="minorEastAsia" w:eastAsiaTheme="minorEastAsia"/>
          <w:sz w:val="24"/>
          <w:highlight w:val="none"/>
        </w:rPr>
        <w:t>中规定，</w:t>
      </w:r>
      <w:r>
        <w:rPr>
          <w:rFonts w:asciiTheme="minorEastAsia" w:hAnsiTheme="minorEastAsia" w:eastAsiaTheme="minorEastAsia"/>
          <w:sz w:val="24"/>
          <w:highlight w:val="none"/>
        </w:rPr>
        <w:t>由</w:t>
      </w:r>
      <w:r>
        <w:rPr>
          <w:rFonts w:hint="eastAsia" w:asciiTheme="minorEastAsia" w:hAnsiTheme="minorEastAsia" w:eastAsiaTheme="minorEastAsia"/>
          <w:sz w:val="24"/>
          <w:highlight w:val="none"/>
        </w:rPr>
        <w:t>磋商小组</w:t>
      </w:r>
      <w:r>
        <w:rPr>
          <w:rFonts w:asciiTheme="minorEastAsia" w:hAnsiTheme="minorEastAsia" w:eastAsiaTheme="minorEastAsia"/>
          <w:sz w:val="24"/>
          <w:highlight w:val="none"/>
        </w:rPr>
        <w:t>或采购人确定</w:t>
      </w:r>
      <w:r>
        <w:rPr>
          <w:rFonts w:hint="eastAsia" w:asciiTheme="minorEastAsia" w:hAnsiTheme="minorEastAsia" w:eastAsiaTheme="minorEastAsia"/>
          <w:sz w:val="24"/>
          <w:highlight w:val="none"/>
        </w:rPr>
        <w:t>成交供应商</w:t>
      </w:r>
      <w:r>
        <w:rPr>
          <w:rFonts w:asciiTheme="minorEastAsia" w:hAnsiTheme="minorEastAsia" w:eastAsiaTheme="minorEastAsia"/>
          <w:sz w:val="24"/>
          <w:highlight w:val="none"/>
        </w:rPr>
        <w:t>。</w:t>
      </w:r>
    </w:p>
    <w:p w14:paraId="0368945C">
      <w:pPr>
        <w:spacing w:line="360" w:lineRule="auto"/>
        <w:ind w:firstLine="437"/>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20</w:t>
      </w:r>
      <w:r>
        <w:rPr>
          <w:rFonts w:asciiTheme="minorEastAsia" w:hAnsiTheme="minorEastAsia" w:eastAsiaTheme="minorEastAsia"/>
          <w:b/>
          <w:sz w:val="24"/>
          <w:highlight w:val="none"/>
        </w:rPr>
        <w:t>.编写评审报告</w:t>
      </w:r>
    </w:p>
    <w:p w14:paraId="71210D39">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20.1评审报告是根据全体磋商小组成员签字的原始评审记录和评审结果编写的报告，评审报告由磋商小组全体成员签字。对评审结论持有异议的磋商小组成员可以书面方式阐述其不同意见和理由。磋商小组成员拒绝在评审报告上签字且不陈述其不同意见和理由的，视为同意评审结论。</w:t>
      </w:r>
    </w:p>
    <w:p w14:paraId="6F91B91B">
      <w:pPr>
        <w:spacing w:line="360" w:lineRule="auto"/>
        <w:ind w:firstLine="437"/>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21</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保密要求</w:t>
      </w:r>
    </w:p>
    <w:p w14:paraId="73CDF093">
      <w:pPr>
        <w:spacing w:line="360" w:lineRule="auto"/>
        <w:ind w:firstLine="435"/>
        <w:rPr>
          <w:rFonts w:ascii="宋体" w:hAnsi="宋体" w:eastAsia="宋体"/>
          <w:sz w:val="24"/>
          <w:highlight w:val="none"/>
        </w:rPr>
      </w:pPr>
      <w:r>
        <w:rPr>
          <w:rFonts w:hint="eastAsia" w:ascii="宋体" w:hAnsi="宋体" w:eastAsia="宋体"/>
          <w:sz w:val="24"/>
          <w:highlight w:val="none"/>
        </w:rPr>
        <w:t>21.1评审将在严格保密的情况下进行。</w:t>
      </w:r>
    </w:p>
    <w:p w14:paraId="1714C641">
      <w:pPr>
        <w:spacing w:line="360" w:lineRule="auto"/>
        <w:ind w:firstLine="435"/>
        <w:rPr>
          <w:rFonts w:ascii="宋体" w:hAnsi="宋体" w:eastAsia="宋体"/>
          <w:sz w:val="24"/>
          <w:highlight w:val="none"/>
        </w:rPr>
      </w:pPr>
      <w:r>
        <w:rPr>
          <w:rFonts w:hint="eastAsia" w:ascii="宋体" w:hAnsi="宋体" w:eastAsia="宋体"/>
          <w:sz w:val="24"/>
          <w:highlight w:val="none"/>
        </w:rPr>
        <w:t>21.2有关人员</w:t>
      </w:r>
      <w:r>
        <w:rPr>
          <w:rFonts w:ascii="宋体" w:hAnsi="宋体" w:eastAsia="宋体"/>
          <w:sz w:val="24"/>
          <w:highlight w:val="none"/>
        </w:rPr>
        <w:t>应当</w:t>
      </w:r>
      <w:r>
        <w:rPr>
          <w:rFonts w:hint="eastAsia" w:ascii="宋体" w:hAnsi="宋体" w:eastAsia="宋体"/>
          <w:sz w:val="24"/>
          <w:highlight w:val="none"/>
        </w:rPr>
        <w:t>遵</w:t>
      </w:r>
      <w:r>
        <w:rPr>
          <w:rFonts w:ascii="宋体" w:hAnsi="宋体" w:eastAsia="宋体"/>
          <w:sz w:val="24"/>
          <w:highlight w:val="none"/>
        </w:rPr>
        <w:t>守</w:t>
      </w:r>
      <w:r>
        <w:rPr>
          <w:rFonts w:hint="eastAsia" w:ascii="宋体" w:hAnsi="宋体" w:eastAsia="宋体"/>
          <w:sz w:val="24"/>
          <w:highlight w:val="none"/>
        </w:rPr>
        <w:t>评审</w:t>
      </w:r>
      <w:r>
        <w:rPr>
          <w:rFonts w:ascii="宋体" w:hAnsi="宋体" w:eastAsia="宋体"/>
          <w:sz w:val="24"/>
          <w:highlight w:val="none"/>
        </w:rPr>
        <w:t>工作纪律，不得</w:t>
      </w:r>
      <w:r>
        <w:rPr>
          <w:rFonts w:hint="eastAsia" w:ascii="宋体" w:hAnsi="宋体" w:eastAsia="宋体"/>
          <w:sz w:val="24"/>
          <w:highlight w:val="none"/>
        </w:rPr>
        <w:t>泄露评审文件</w:t>
      </w:r>
      <w:r>
        <w:rPr>
          <w:rFonts w:ascii="宋体" w:hAnsi="宋体" w:eastAsia="宋体"/>
          <w:sz w:val="24"/>
          <w:highlight w:val="none"/>
        </w:rPr>
        <w:t>、</w:t>
      </w:r>
      <w:r>
        <w:rPr>
          <w:rFonts w:hint="eastAsia" w:ascii="宋体" w:hAnsi="宋体" w:eastAsia="宋体"/>
          <w:sz w:val="24"/>
          <w:highlight w:val="none"/>
        </w:rPr>
        <w:t>评审</w:t>
      </w:r>
      <w:r>
        <w:rPr>
          <w:rFonts w:ascii="宋体" w:hAnsi="宋体" w:eastAsia="宋体"/>
          <w:sz w:val="24"/>
          <w:highlight w:val="none"/>
        </w:rPr>
        <w:t>情况和</w:t>
      </w:r>
      <w:r>
        <w:rPr>
          <w:rFonts w:hint="eastAsia" w:ascii="宋体" w:hAnsi="宋体" w:eastAsia="宋体"/>
          <w:sz w:val="24"/>
          <w:highlight w:val="none"/>
        </w:rPr>
        <w:t>评审</w:t>
      </w:r>
      <w:r>
        <w:rPr>
          <w:rFonts w:ascii="宋体" w:hAnsi="宋体" w:eastAsia="宋体"/>
          <w:sz w:val="24"/>
          <w:highlight w:val="none"/>
        </w:rPr>
        <w:t>中获悉的</w:t>
      </w:r>
      <w:r>
        <w:rPr>
          <w:rFonts w:hint="eastAsia" w:ascii="宋体" w:hAnsi="宋体" w:eastAsia="宋体"/>
          <w:sz w:val="24"/>
          <w:highlight w:val="none"/>
        </w:rPr>
        <w:t>国家秘密、</w:t>
      </w:r>
      <w:r>
        <w:rPr>
          <w:rFonts w:ascii="宋体" w:hAnsi="宋体" w:eastAsia="宋体"/>
          <w:sz w:val="24"/>
          <w:highlight w:val="none"/>
        </w:rPr>
        <w:t>商业秘密。</w:t>
      </w:r>
    </w:p>
    <w:p w14:paraId="483410D1">
      <w:pPr>
        <w:spacing w:line="360" w:lineRule="auto"/>
        <w:ind w:firstLine="437"/>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22</w:t>
      </w:r>
      <w:r>
        <w:rPr>
          <w:rFonts w:asciiTheme="minorEastAsia" w:hAnsiTheme="minorEastAsia" w:eastAsiaTheme="minorEastAsia"/>
          <w:b/>
          <w:sz w:val="24"/>
          <w:highlight w:val="none"/>
        </w:rPr>
        <w:t>.成交结果公告</w:t>
      </w:r>
    </w:p>
    <w:p w14:paraId="4B0978D9">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22</w:t>
      </w:r>
      <w:r>
        <w:rPr>
          <w:rFonts w:asciiTheme="minorEastAsia" w:hAnsiTheme="minorEastAsia" w:eastAsiaTheme="minorEastAsia"/>
          <w:sz w:val="24"/>
          <w:highlight w:val="none"/>
        </w:rPr>
        <w:t>.1为体现“公开、公平、公正”的原则，磋商结束后，</w:t>
      </w:r>
      <w:r>
        <w:rPr>
          <w:rFonts w:hint="eastAsia" w:ascii="宋体" w:hAnsi="宋体" w:eastAsia="宋体"/>
          <w:sz w:val="24"/>
          <w:szCs w:val="18"/>
          <w:highlight w:val="none"/>
        </w:rPr>
        <w:t>采购代理机构将在安徽省政府采购网（www.ccgp-anhui.gov.cn）</w:t>
      </w:r>
      <w:r>
        <w:rPr>
          <w:rFonts w:asciiTheme="minorEastAsia" w:hAnsiTheme="minorEastAsia" w:eastAsiaTheme="minorEastAsia"/>
          <w:sz w:val="24"/>
          <w:highlight w:val="none"/>
        </w:rPr>
        <w:t>上发布成交结果公告。</w:t>
      </w:r>
    </w:p>
    <w:p w14:paraId="69D3E3FB">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22</w:t>
      </w:r>
      <w:r>
        <w:rPr>
          <w:rFonts w:asciiTheme="minorEastAsia" w:hAnsiTheme="minorEastAsia" w:eastAsiaTheme="minorEastAsia"/>
          <w:sz w:val="24"/>
          <w:highlight w:val="none"/>
        </w:rPr>
        <w:t>.2成交结果公告内容应当包括采购人及其委托的采购代理机构的名称、地址、联系方式，项目名称和项目编号，成交供应商名称、地址和成交金额，主要成交标的的名称、规格型号、数量、单价、服务要求，成交结果公告期限、评审专家名单以及</w:t>
      </w:r>
      <w:r>
        <w:rPr>
          <w:rFonts w:hint="eastAsia" w:asciiTheme="minorEastAsia" w:hAnsiTheme="minorEastAsia" w:eastAsiaTheme="minorEastAsia"/>
          <w:sz w:val="24"/>
          <w:highlight w:val="none"/>
          <w:u w:val="single"/>
        </w:rPr>
        <w:t>供应商须知前附表</w:t>
      </w:r>
      <w:r>
        <w:rPr>
          <w:rFonts w:asciiTheme="minorEastAsia" w:hAnsiTheme="minorEastAsia" w:eastAsiaTheme="minorEastAsia"/>
          <w:sz w:val="24"/>
          <w:highlight w:val="none"/>
        </w:rPr>
        <w:t>中约定进行公告的内容。</w:t>
      </w:r>
    </w:p>
    <w:p w14:paraId="3FB62AE6">
      <w:pPr>
        <w:spacing w:line="360" w:lineRule="auto"/>
        <w:ind w:firstLine="437"/>
        <w:outlineLvl w:val="2"/>
        <w:rPr>
          <w:rFonts w:ascii="宋体" w:hAnsi="宋体" w:eastAsia="宋体"/>
          <w:b/>
          <w:sz w:val="24"/>
          <w:highlight w:val="none"/>
        </w:rPr>
      </w:pPr>
      <w:r>
        <w:rPr>
          <w:rFonts w:hint="eastAsia" w:ascii="宋体" w:hAnsi="宋体" w:eastAsia="宋体"/>
          <w:b/>
          <w:sz w:val="24"/>
          <w:highlight w:val="none"/>
        </w:rPr>
        <w:t>23</w:t>
      </w:r>
      <w:r>
        <w:rPr>
          <w:rFonts w:ascii="宋体" w:hAnsi="宋体" w:eastAsia="宋体"/>
          <w:b/>
          <w:sz w:val="24"/>
          <w:highlight w:val="none"/>
        </w:rPr>
        <w:t>.成交</w:t>
      </w:r>
      <w:r>
        <w:rPr>
          <w:rFonts w:asciiTheme="minorEastAsia" w:hAnsiTheme="minorEastAsia" w:eastAsiaTheme="minorEastAsia"/>
          <w:b/>
          <w:sz w:val="24"/>
          <w:highlight w:val="none"/>
        </w:rPr>
        <w:t>通知书</w:t>
      </w:r>
    </w:p>
    <w:p w14:paraId="0E1F22AB">
      <w:pPr>
        <w:spacing w:line="360" w:lineRule="auto"/>
        <w:ind w:firstLine="435"/>
        <w:rPr>
          <w:rFonts w:ascii="宋体" w:hAnsi="宋体" w:eastAsia="宋体"/>
          <w:sz w:val="24"/>
          <w:highlight w:val="none"/>
        </w:rPr>
      </w:pPr>
      <w:r>
        <w:rPr>
          <w:rFonts w:hint="eastAsia" w:ascii="宋体" w:hAnsi="宋体" w:eastAsia="宋体"/>
          <w:sz w:val="24"/>
          <w:highlight w:val="none"/>
        </w:rPr>
        <w:t>23</w:t>
      </w:r>
      <w:r>
        <w:rPr>
          <w:rFonts w:ascii="宋体" w:hAnsi="宋体" w:eastAsia="宋体"/>
          <w:sz w:val="24"/>
          <w:highlight w:val="none"/>
        </w:rPr>
        <w:t>.1采购代理机构发布成交结果公告的同时</w:t>
      </w:r>
      <w:r>
        <w:rPr>
          <w:rFonts w:asciiTheme="minorEastAsia" w:hAnsiTheme="minorEastAsia" w:eastAsiaTheme="minorEastAsia"/>
          <w:sz w:val="24"/>
          <w:highlight w:val="none"/>
        </w:rPr>
        <w:t>以</w:t>
      </w:r>
      <w:r>
        <w:rPr>
          <w:rFonts w:hint="eastAsia" w:asciiTheme="minorEastAsia" w:hAnsiTheme="minorEastAsia" w:eastAsiaTheme="minorEastAsia"/>
          <w:sz w:val="24"/>
          <w:highlight w:val="none"/>
          <w:u w:val="single"/>
        </w:rPr>
        <w:t>供应商须知前附表</w:t>
      </w:r>
      <w:r>
        <w:rPr>
          <w:rFonts w:hint="eastAsia" w:asciiTheme="minorEastAsia" w:hAnsiTheme="minorEastAsia" w:eastAsiaTheme="minorEastAsia"/>
          <w:sz w:val="24"/>
          <w:highlight w:val="none"/>
        </w:rPr>
        <w:t>规定的</w:t>
      </w:r>
      <w:r>
        <w:rPr>
          <w:rFonts w:asciiTheme="minorEastAsia" w:hAnsiTheme="minorEastAsia" w:eastAsiaTheme="minorEastAsia"/>
          <w:sz w:val="24"/>
          <w:highlight w:val="none"/>
        </w:rPr>
        <w:t>形式</w:t>
      </w:r>
      <w:r>
        <w:rPr>
          <w:rFonts w:ascii="宋体" w:hAnsi="宋体" w:eastAsia="宋体"/>
          <w:sz w:val="24"/>
          <w:highlight w:val="none"/>
        </w:rPr>
        <w:t>向成交供应商发出成交通知书。</w:t>
      </w:r>
    </w:p>
    <w:p w14:paraId="399DEB2F">
      <w:pPr>
        <w:spacing w:line="360" w:lineRule="auto"/>
        <w:ind w:firstLine="435"/>
        <w:rPr>
          <w:rFonts w:ascii="宋体" w:hAnsi="宋体" w:eastAsia="宋体"/>
          <w:sz w:val="24"/>
          <w:highlight w:val="none"/>
        </w:rPr>
      </w:pPr>
      <w:r>
        <w:rPr>
          <w:rFonts w:hint="eastAsia" w:ascii="宋体" w:hAnsi="宋体" w:eastAsia="宋体"/>
          <w:sz w:val="24"/>
          <w:highlight w:val="none"/>
        </w:rPr>
        <w:t>23</w:t>
      </w:r>
      <w:r>
        <w:rPr>
          <w:rFonts w:ascii="宋体" w:hAnsi="宋体" w:eastAsia="宋体"/>
          <w:sz w:val="24"/>
          <w:highlight w:val="none"/>
        </w:rPr>
        <w:t>.2成交通知书对采购人和成交供应商具有同等法律效力。成交通知书发出以后，采购人改变成交结果或者成交供应商放弃成交资格，应当承担相应的法律责任。</w:t>
      </w:r>
    </w:p>
    <w:p w14:paraId="20C4E692">
      <w:pPr>
        <w:spacing w:line="360" w:lineRule="auto"/>
        <w:ind w:firstLine="435"/>
        <w:rPr>
          <w:rFonts w:ascii="宋体" w:hAnsi="宋体" w:eastAsia="宋体"/>
          <w:sz w:val="24"/>
          <w:highlight w:val="none"/>
        </w:rPr>
      </w:pPr>
      <w:r>
        <w:rPr>
          <w:rFonts w:hint="eastAsia" w:ascii="宋体" w:hAnsi="宋体" w:eastAsia="宋体"/>
          <w:sz w:val="24"/>
          <w:highlight w:val="none"/>
        </w:rPr>
        <w:t>23</w:t>
      </w:r>
      <w:r>
        <w:rPr>
          <w:rFonts w:ascii="宋体" w:hAnsi="宋体" w:eastAsia="宋体"/>
          <w:sz w:val="24"/>
          <w:highlight w:val="none"/>
        </w:rPr>
        <w:t>.3成交通知书是合同的组成部分。</w:t>
      </w:r>
    </w:p>
    <w:p w14:paraId="1D19E316">
      <w:pPr>
        <w:spacing w:line="360" w:lineRule="auto"/>
        <w:ind w:firstLine="437"/>
        <w:outlineLvl w:val="2"/>
        <w:rPr>
          <w:rFonts w:ascii="宋体" w:hAnsi="宋体" w:eastAsia="宋体"/>
          <w:b/>
          <w:sz w:val="24"/>
          <w:highlight w:val="none"/>
        </w:rPr>
      </w:pPr>
      <w:r>
        <w:rPr>
          <w:rFonts w:hint="eastAsia" w:ascii="宋体" w:hAnsi="宋体" w:eastAsia="宋体"/>
          <w:b/>
          <w:sz w:val="24"/>
          <w:highlight w:val="none"/>
        </w:rPr>
        <w:t>24</w:t>
      </w:r>
      <w:r>
        <w:rPr>
          <w:rFonts w:ascii="宋体" w:hAnsi="宋体" w:eastAsia="宋体"/>
          <w:b/>
          <w:sz w:val="24"/>
          <w:highlight w:val="none"/>
        </w:rPr>
        <w:t>.告知</w:t>
      </w:r>
      <w:r>
        <w:rPr>
          <w:rFonts w:hint="eastAsia" w:ascii="宋体" w:hAnsi="宋体" w:eastAsia="宋体"/>
          <w:b/>
          <w:sz w:val="24"/>
          <w:highlight w:val="none"/>
        </w:rPr>
        <w:t>磋商</w:t>
      </w:r>
      <w:r>
        <w:rPr>
          <w:rFonts w:ascii="宋体" w:hAnsi="宋体" w:eastAsia="宋体"/>
          <w:b/>
          <w:sz w:val="24"/>
          <w:highlight w:val="none"/>
        </w:rPr>
        <w:t>结果</w:t>
      </w:r>
    </w:p>
    <w:p w14:paraId="240D4492">
      <w:pPr>
        <w:spacing w:line="360" w:lineRule="auto"/>
        <w:ind w:firstLine="435"/>
        <w:rPr>
          <w:rFonts w:ascii="宋体" w:hAnsi="宋体" w:eastAsia="宋体"/>
          <w:sz w:val="24"/>
          <w:highlight w:val="none"/>
        </w:rPr>
      </w:pPr>
      <w:r>
        <w:rPr>
          <w:rFonts w:hint="eastAsia" w:ascii="宋体" w:hAnsi="宋体" w:eastAsia="宋体"/>
          <w:sz w:val="24"/>
          <w:highlight w:val="none"/>
        </w:rPr>
        <w:t>24</w:t>
      </w:r>
      <w:r>
        <w:rPr>
          <w:rFonts w:ascii="宋体" w:hAnsi="宋体" w:eastAsia="宋体"/>
          <w:sz w:val="24"/>
          <w:highlight w:val="none"/>
        </w:rPr>
        <w:t>.1在公告</w:t>
      </w:r>
      <w:r>
        <w:rPr>
          <w:rFonts w:hint="eastAsia" w:ascii="宋体" w:hAnsi="宋体" w:eastAsia="宋体"/>
          <w:sz w:val="24"/>
          <w:highlight w:val="none"/>
        </w:rPr>
        <w:t>成交</w:t>
      </w:r>
      <w:r>
        <w:rPr>
          <w:rFonts w:ascii="宋体" w:hAnsi="宋体" w:eastAsia="宋体"/>
          <w:sz w:val="24"/>
          <w:highlight w:val="none"/>
        </w:rPr>
        <w:t>结果的同时，采购代理机构同时以</w:t>
      </w:r>
      <w:r>
        <w:rPr>
          <w:rFonts w:hint="eastAsia" w:ascii="宋体" w:hAnsi="宋体" w:eastAsia="宋体"/>
          <w:sz w:val="24"/>
          <w:highlight w:val="none"/>
          <w:u w:val="single"/>
        </w:rPr>
        <w:t>供应商</w:t>
      </w:r>
      <w:r>
        <w:rPr>
          <w:rFonts w:ascii="宋体" w:hAnsi="宋体" w:eastAsia="宋体"/>
          <w:sz w:val="24"/>
          <w:highlight w:val="none"/>
          <w:u w:val="single"/>
        </w:rPr>
        <w:t>须知前附表</w:t>
      </w:r>
      <w:r>
        <w:rPr>
          <w:rFonts w:ascii="宋体" w:hAnsi="宋体" w:eastAsia="宋体"/>
          <w:sz w:val="24"/>
          <w:highlight w:val="none"/>
        </w:rPr>
        <w:t>规定的形式告知未</w:t>
      </w:r>
      <w:r>
        <w:rPr>
          <w:rFonts w:hint="eastAsia" w:ascii="宋体" w:hAnsi="宋体" w:eastAsia="宋体"/>
          <w:sz w:val="24"/>
          <w:highlight w:val="none"/>
        </w:rPr>
        <w:t>成交供应商</w:t>
      </w:r>
      <w:r>
        <w:rPr>
          <w:rFonts w:ascii="宋体" w:hAnsi="宋体" w:eastAsia="宋体"/>
          <w:sz w:val="24"/>
          <w:highlight w:val="none"/>
        </w:rPr>
        <w:t>本人的评审得分和排序。</w:t>
      </w:r>
    </w:p>
    <w:p w14:paraId="29D72493">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24</w:t>
      </w:r>
      <w:r>
        <w:rPr>
          <w:rFonts w:ascii="宋体" w:hAnsi="宋体" w:eastAsia="宋体"/>
          <w:sz w:val="24"/>
          <w:highlight w:val="none"/>
        </w:rPr>
        <w:t>.</w:t>
      </w:r>
      <w:r>
        <w:rPr>
          <w:rFonts w:hint="eastAsia" w:ascii="宋体" w:hAnsi="宋体" w:eastAsia="宋体"/>
          <w:sz w:val="24"/>
          <w:highlight w:val="none"/>
        </w:rPr>
        <w:t>2</w:t>
      </w:r>
      <w:r>
        <w:rPr>
          <w:rFonts w:ascii="宋体" w:hAnsi="宋体" w:eastAsia="宋体"/>
          <w:sz w:val="24"/>
          <w:highlight w:val="none"/>
        </w:rPr>
        <w:t>采购代理机构对未成交的供应商不做未成交原因的解释。</w:t>
      </w:r>
    </w:p>
    <w:p w14:paraId="67ACE129">
      <w:pPr>
        <w:spacing w:line="360" w:lineRule="auto"/>
        <w:ind w:firstLine="437"/>
        <w:outlineLvl w:val="2"/>
        <w:rPr>
          <w:rFonts w:ascii="宋体" w:hAnsi="宋体" w:eastAsia="宋体"/>
          <w:b/>
          <w:sz w:val="24"/>
          <w:highlight w:val="none"/>
        </w:rPr>
      </w:pPr>
      <w:r>
        <w:rPr>
          <w:rFonts w:hint="eastAsia" w:ascii="宋体" w:hAnsi="宋体" w:eastAsia="宋体"/>
          <w:b/>
          <w:sz w:val="24"/>
          <w:highlight w:val="none"/>
        </w:rPr>
        <w:t>25</w:t>
      </w:r>
      <w:r>
        <w:rPr>
          <w:rFonts w:ascii="宋体" w:hAnsi="宋体" w:eastAsia="宋体"/>
          <w:b/>
          <w:sz w:val="24"/>
          <w:highlight w:val="none"/>
        </w:rPr>
        <w:t>.履约保证金</w:t>
      </w:r>
    </w:p>
    <w:p w14:paraId="5B0E1F79">
      <w:pPr>
        <w:spacing w:line="360" w:lineRule="auto"/>
        <w:ind w:firstLine="435"/>
        <w:rPr>
          <w:rFonts w:ascii="宋体" w:hAnsi="宋体" w:eastAsia="宋体"/>
          <w:sz w:val="24"/>
          <w:highlight w:val="none"/>
        </w:rPr>
      </w:pPr>
      <w:r>
        <w:rPr>
          <w:rFonts w:hint="eastAsia" w:ascii="宋体" w:hAnsi="宋体" w:eastAsia="宋体"/>
          <w:sz w:val="24"/>
          <w:highlight w:val="none"/>
        </w:rPr>
        <w:t>25</w:t>
      </w:r>
      <w:r>
        <w:rPr>
          <w:rFonts w:ascii="宋体" w:hAnsi="宋体" w:eastAsia="宋体"/>
          <w:sz w:val="24"/>
          <w:highlight w:val="none"/>
        </w:rPr>
        <w:t>.1成交供应商应按照</w:t>
      </w:r>
      <w:r>
        <w:rPr>
          <w:rFonts w:ascii="宋体" w:hAnsi="宋体" w:eastAsia="宋体"/>
          <w:sz w:val="24"/>
          <w:highlight w:val="none"/>
          <w:u w:val="single"/>
        </w:rPr>
        <w:t>供应商须知前附表</w:t>
      </w:r>
      <w:r>
        <w:rPr>
          <w:rFonts w:ascii="宋体" w:hAnsi="宋体" w:eastAsia="宋体"/>
          <w:sz w:val="24"/>
          <w:highlight w:val="none"/>
        </w:rPr>
        <w:t>规定</w:t>
      </w:r>
      <w:r>
        <w:rPr>
          <w:rFonts w:hint="eastAsia" w:ascii="宋体" w:hAnsi="宋体" w:eastAsia="宋体"/>
          <w:sz w:val="24"/>
          <w:highlight w:val="none"/>
        </w:rPr>
        <w:t>缴纳</w:t>
      </w:r>
      <w:r>
        <w:rPr>
          <w:rFonts w:ascii="宋体" w:hAnsi="宋体" w:eastAsia="宋体"/>
          <w:sz w:val="24"/>
          <w:highlight w:val="none"/>
        </w:rPr>
        <w:t>履约保证金。</w:t>
      </w:r>
    </w:p>
    <w:p w14:paraId="4B36070A">
      <w:pPr>
        <w:spacing w:line="360" w:lineRule="auto"/>
        <w:ind w:firstLine="435"/>
        <w:rPr>
          <w:rFonts w:ascii="宋体" w:hAnsi="宋体" w:eastAsia="宋体"/>
          <w:sz w:val="24"/>
          <w:highlight w:val="none"/>
        </w:rPr>
      </w:pPr>
      <w:r>
        <w:rPr>
          <w:rFonts w:hint="eastAsia" w:ascii="宋体" w:hAnsi="宋体" w:eastAsia="宋体"/>
          <w:sz w:val="24"/>
          <w:highlight w:val="none"/>
        </w:rPr>
        <w:t>25</w:t>
      </w:r>
      <w:r>
        <w:rPr>
          <w:rFonts w:ascii="宋体" w:hAnsi="宋体" w:eastAsia="宋体"/>
          <w:sz w:val="24"/>
          <w:highlight w:val="none"/>
        </w:rPr>
        <w:t>.2如果成交供应商没有按照上述履约保证金的规定执行，将视为放弃成交资格。在此情况下，采购人可确定下一成交候选供应商为成交供应商，也可以重新开展采购活动。</w:t>
      </w:r>
    </w:p>
    <w:p w14:paraId="5A5EB795">
      <w:pPr>
        <w:spacing w:line="360" w:lineRule="auto"/>
        <w:ind w:firstLine="437"/>
        <w:outlineLvl w:val="2"/>
        <w:rPr>
          <w:rFonts w:ascii="宋体" w:hAnsi="宋体" w:eastAsia="宋体"/>
          <w:b/>
          <w:sz w:val="24"/>
          <w:highlight w:val="none"/>
        </w:rPr>
      </w:pPr>
      <w:r>
        <w:rPr>
          <w:rFonts w:hint="eastAsia" w:ascii="宋体" w:hAnsi="宋体" w:eastAsia="宋体"/>
          <w:b/>
          <w:sz w:val="24"/>
          <w:highlight w:val="none"/>
        </w:rPr>
        <w:t>26</w:t>
      </w:r>
      <w:r>
        <w:rPr>
          <w:rFonts w:ascii="宋体" w:hAnsi="宋体" w:eastAsia="宋体"/>
          <w:b/>
          <w:sz w:val="24"/>
          <w:highlight w:val="none"/>
        </w:rPr>
        <w:t>.</w:t>
      </w:r>
      <w:r>
        <w:rPr>
          <w:rFonts w:hint="eastAsia" w:ascii="宋体" w:hAnsi="宋体" w:eastAsia="宋体"/>
          <w:b/>
          <w:sz w:val="24"/>
          <w:highlight w:val="none"/>
        </w:rPr>
        <w:t>代理费用</w:t>
      </w:r>
    </w:p>
    <w:p w14:paraId="3BDB6A04">
      <w:pPr>
        <w:spacing w:line="360" w:lineRule="auto"/>
        <w:ind w:firstLine="435"/>
        <w:rPr>
          <w:rFonts w:ascii="宋体" w:hAnsi="宋体" w:eastAsia="宋体"/>
          <w:sz w:val="24"/>
          <w:highlight w:val="none"/>
        </w:rPr>
      </w:pPr>
      <w:r>
        <w:rPr>
          <w:rFonts w:hint="eastAsia" w:ascii="宋体" w:hAnsi="宋体" w:eastAsia="宋体"/>
          <w:sz w:val="24"/>
          <w:highlight w:val="none"/>
        </w:rPr>
        <w:t>26</w:t>
      </w:r>
      <w:r>
        <w:rPr>
          <w:rFonts w:ascii="宋体" w:hAnsi="宋体" w:eastAsia="宋体"/>
          <w:sz w:val="24"/>
          <w:highlight w:val="none"/>
        </w:rPr>
        <w:t>.1本项目</w:t>
      </w:r>
      <w:r>
        <w:rPr>
          <w:rFonts w:hint="eastAsia" w:ascii="宋体" w:hAnsi="宋体" w:eastAsia="宋体"/>
          <w:sz w:val="24"/>
          <w:highlight w:val="none"/>
        </w:rPr>
        <w:t>代理费用</w:t>
      </w:r>
      <w:r>
        <w:rPr>
          <w:rFonts w:ascii="宋体" w:hAnsi="宋体" w:eastAsia="宋体"/>
          <w:sz w:val="24"/>
          <w:highlight w:val="none"/>
        </w:rPr>
        <w:t>的收取按</w:t>
      </w:r>
      <w:r>
        <w:rPr>
          <w:rFonts w:hint="eastAsia" w:ascii="宋体" w:hAnsi="宋体" w:eastAsia="宋体"/>
          <w:sz w:val="24"/>
          <w:highlight w:val="none"/>
          <w:u w:val="single"/>
        </w:rPr>
        <w:t>供应商</w:t>
      </w:r>
      <w:r>
        <w:rPr>
          <w:rFonts w:ascii="宋体" w:hAnsi="宋体" w:eastAsia="宋体"/>
          <w:sz w:val="24"/>
          <w:highlight w:val="none"/>
          <w:u w:val="single"/>
        </w:rPr>
        <w:t>须知前附表</w:t>
      </w:r>
      <w:r>
        <w:rPr>
          <w:rFonts w:ascii="宋体" w:hAnsi="宋体" w:eastAsia="宋体"/>
          <w:sz w:val="24"/>
          <w:highlight w:val="none"/>
        </w:rPr>
        <w:t>的规定执行。</w:t>
      </w:r>
    </w:p>
    <w:p w14:paraId="6403E908">
      <w:pPr>
        <w:spacing w:line="360" w:lineRule="auto"/>
        <w:ind w:firstLine="437"/>
        <w:outlineLvl w:val="2"/>
        <w:rPr>
          <w:rFonts w:ascii="宋体" w:hAnsi="宋体" w:eastAsia="宋体"/>
          <w:b/>
          <w:sz w:val="24"/>
          <w:highlight w:val="none"/>
        </w:rPr>
      </w:pPr>
      <w:r>
        <w:rPr>
          <w:rFonts w:hint="eastAsia" w:ascii="宋体" w:hAnsi="宋体" w:eastAsia="宋体"/>
          <w:b/>
          <w:sz w:val="24"/>
          <w:highlight w:val="none"/>
        </w:rPr>
        <w:t>27</w:t>
      </w:r>
      <w:r>
        <w:rPr>
          <w:rFonts w:ascii="宋体" w:hAnsi="宋体" w:eastAsia="宋体"/>
          <w:b/>
          <w:sz w:val="24"/>
          <w:highlight w:val="none"/>
        </w:rPr>
        <w:t>.签订</w:t>
      </w:r>
      <w:r>
        <w:rPr>
          <w:rFonts w:asciiTheme="minorEastAsia" w:hAnsiTheme="minorEastAsia" w:eastAsiaTheme="minorEastAsia"/>
          <w:b/>
          <w:sz w:val="24"/>
          <w:highlight w:val="none"/>
        </w:rPr>
        <w:t>合同</w:t>
      </w:r>
    </w:p>
    <w:p w14:paraId="248C9E8E">
      <w:pPr>
        <w:spacing w:line="360" w:lineRule="auto"/>
        <w:ind w:firstLine="435"/>
        <w:rPr>
          <w:rFonts w:ascii="宋体" w:hAnsi="宋体" w:eastAsia="宋体"/>
          <w:sz w:val="24"/>
          <w:highlight w:val="none"/>
        </w:rPr>
      </w:pPr>
      <w:r>
        <w:rPr>
          <w:rFonts w:hint="eastAsia" w:ascii="宋体" w:hAnsi="宋体" w:eastAsia="宋体"/>
          <w:sz w:val="24"/>
          <w:highlight w:val="none"/>
        </w:rPr>
        <w:t>27</w:t>
      </w:r>
      <w:r>
        <w:rPr>
          <w:rFonts w:ascii="宋体" w:hAnsi="宋体" w:eastAsia="宋体"/>
          <w:sz w:val="24"/>
          <w:highlight w:val="none"/>
        </w:rPr>
        <w:t>.1</w:t>
      </w:r>
      <w:r>
        <w:rPr>
          <w:rFonts w:hint="eastAsia" w:ascii="宋体" w:hAnsi="宋体" w:eastAsia="宋体" w:cs="宋体"/>
          <w:sz w:val="24"/>
          <w:szCs w:val="24"/>
          <w:highlight w:val="none"/>
        </w:rPr>
        <w:t>采购人与成交供应商应当按照</w:t>
      </w:r>
      <w:r>
        <w:rPr>
          <w:rFonts w:hint="eastAsia" w:ascii="宋体" w:hAnsi="宋体" w:eastAsia="宋体" w:cs="宋体"/>
          <w:sz w:val="24"/>
          <w:szCs w:val="24"/>
          <w:highlight w:val="none"/>
          <w:u w:val="single"/>
        </w:rPr>
        <w:t>供应商须知前附表</w:t>
      </w:r>
      <w:r>
        <w:rPr>
          <w:rFonts w:hint="eastAsia" w:ascii="宋体" w:hAnsi="宋体" w:eastAsia="宋体" w:cs="宋体"/>
          <w:sz w:val="24"/>
          <w:szCs w:val="24"/>
          <w:highlight w:val="none"/>
        </w:rPr>
        <w:t>规定的时间内完成政府采购合同签订及合同公告。</w:t>
      </w:r>
    </w:p>
    <w:p w14:paraId="17C242B1">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27</w:t>
      </w:r>
      <w:r>
        <w:rPr>
          <w:rFonts w:ascii="宋体" w:hAnsi="宋体" w:eastAsia="宋体"/>
          <w:sz w:val="24"/>
          <w:highlight w:val="none"/>
        </w:rPr>
        <w:t>.2磋商文件、成交供应商的响应文件及其澄清文件等，均为签订合同的依据。</w:t>
      </w:r>
    </w:p>
    <w:p w14:paraId="08550255">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27</w:t>
      </w:r>
      <w:r>
        <w:rPr>
          <w:rFonts w:ascii="宋体" w:hAnsi="宋体" w:eastAsia="宋体"/>
          <w:sz w:val="24"/>
          <w:highlight w:val="none"/>
        </w:rPr>
        <w:t>.3成交供应商拒绝与采购人签订合同的，采购人可以按照评审报告推荐的成交候选供应商名单排序，确定下一成交候选供应商为成交供应商，也可以重新开展采购活动。</w:t>
      </w:r>
      <w:r>
        <w:rPr>
          <w:rFonts w:hint="eastAsia" w:ascii="宋体" w:hAnsi="宋体" w:eastAsia="宋体"/>
          <w:sz w:val="24"/>
          <w:highlight w:val="none"/>
        </w:rPr>
        <w:t>成交供应商拒绝签订政府采购合同的不得参加对该项目重新开展的采购活动。</w:t>
      </w:r>
    </w:p>
    <w:p w14:paraId="634CD924">
      <w:pPr>
        <w:spacing w:line="360" w:lineRule="auto"/>
        <w:ind w:firstLine="470" w:firstLineChars="196"/>
        <w:rPr>
          <w:rFonts w:ascii="宋体" w:hAnsi="宋体" w:eastAsia="宋体"/>
          <w:sz w:val="24"/>
          <w:highlight w:val="none"/>
        </w:rPr>
      </w:pPr>
      <w:bookmarkStart w:id="62" w:name="_Hlk60264926"/>
      <w:r>
        <w:rPr>
          <w:rFonts w:hint="eastAsia" w:ascii="宋体" w:hAnsi="宋体" w:eastAsia="宋体"/>
          <w:sz w:val="24"/>
          <w:highlight w:val="none"/>
        </w:rPr>
        <w:t>27.</w:t>
      </w:r>
      <w:r>
        <w:rPr>
          <w:rFonts w:ascii="宋体" w:hAnsi="宋体" w:eastAsia="宋体"/>
          <w:sz w:val="24"/>
          <w:highlight w:val="none"/>
        </w:rPr>
        <w:t>4</w:t>
      </w:r>
      <w:r>
        <w:rPr>
          <w:rFonts w:hint="eastAsia" w:ascii="宋体" w:hAnsi="宋体" w:eastAsia="宋体"/>
          <w:sz w:val="24"/>
          <w:highlight w:val="none"/>
        </w:rPr>
        <w:t>依据《政府采购促进中小企业发展管理办法》（财库〔</w:t>
      </w:r>
      <w:r>
        <w:rPr>
          <w:rFonts w:ascii="宋体" w:hAnsi="宋体" w:eastAsia="宋体"/>
          <w:sz w:val="24"/>
          <w:highlight w:val="none"/>
        </w:rPr>
        <w:t>2020〕46号</w:t>
      </w:r>
      <w:r>
        <w:rPr>
          <w:rFonts w:hint="eastAsia" w:ascii="宋体" w:hAnsi="宋体" w:eastAsia="宋体"/>
          <w:sz w:val="24"/>
          <w:highlight w:val="none"/>
        </w:rPr>
        <w:t>）规定享受扶持政策获得政府采购合同的，小微企业不得将合同分包给大中型企业，中型企业不得将合同分包给大型企业。</w:t>
      </w:r>
      <w:bookmarkEnd w:id="62"/>
    </w:p>
    <w:p w14:paraId="4B1C7190">
      <w:pPr>
        <w:spacing w:line="360" w:lineRule="auto"/>
        <w:ind w:firstLine="437"/>
        <w:outlineLvl w:val="2"/>
        <w:rPr>
          <w:rFonts w:ascii="宋体" w:hAnsi="宋体" w:eastAsia="宋体"/>
          <w:b/>
          <w:sz w:val="24"/>
          <w:highlight w:val="none"/>
        </w:rPr>
      </w:pPr>
      <w:r>
        <w:rPr>
          <w:rFonts w:hint="eastAsia" w:ascii="宋体" w:hAnsi="宋体" w:eastAsia="宋体"/>
          <w:b/>
          <w:sz w:val="24"/>
          <w:highlight w:val="none"/>
        </w:rPr>
        <w:t>28</w:t>
      </w:r>
      <w:r>
        <w:rPr>
          <w:rFonts w:ascii="宋体" w:hAnsi="宋体" w:eastAsia="宋体"/>
          <w:b/>
          <w:sz w:val="24"/>
          <w:highlight w:val="none"/>
        </w:rPr>
        <w:t>.廉洁</w:t>
      </w:r>
      <w:r>
        <w:rPr>
          <w:rFonts w:asciiTheme="minorEastAsia" w:hAnsiTheme="minorEastAsia" w:eastAsiaTheme="minorEastAsia"/>
          <w:b/>
          <w:sz w:val="24"/>
          <w:highlight w:val="none"/>
        </w:rPr>
        <w:t>自律</w:t>
      </w:r>
      <w:r>
        <w:rPr>
          <w:rFonts w:ascii="宋体" w:hAnsi="宋体" w:eastAsia="宋体"/>
          <w:b/>
          <w:sz w:val="24"/>
          <w:highlight w:val="none"/>
        </w:rPr>
        <w:t>规定</w:t>
      </w:r>
    </w:p>
    <w:p w14:paraId="145697D8">
      <w:pPr>
        <w:spacing w:line="360" w:lineRule="auto"/>
        <w:ind w:firstLine="435"/>
        <w:rPr>
          <w:rFonts w:ascii="宋体" w:hAnsi="宋体" w:eastAsia="宋体"/>
          <w:sz w:val="24"/>
          <w:highlight w:val="none"/>
        </w:rPr>
      </w:pPr>
      <w:r>
        <w:rPr>
          <w:rFonts w:hint="eastAsia" w:ascii="宋体" w:hAnsi="宋体" w:eastAsia="宋体"/>
          <w:sz w:val="24"/>
          <w:highlight w:val="none"/>
        </w:rPr>
        <w:t>28</w:t>
      </w:r>
      <w:r>
        <w:rPr>
          <w:rFonts w:ascii="宋体" w:hAnsi="宋体" w:eastAsia="宋体"/>
          <w:sz w:val="24"/>
          <w:highlight w:val="none"/>
        </w:rPr>
        <w:t>.1采购代理机构工作人员不得以不正当手段获取政府采购代理业务，不得与采购人、供应商恶意串通。</w:t>
      </w:r>
    </w:p>
    <w:p w14:paraId="37F39E49">
      <w:pPr>
        <w:spacing w:line="360" w:lineRule="auto"/>
        <w:ind w:firstLine="435"/>
        <w:rPr>
          <w:rFonts w:ascii="宋体" w:hAnsi="宋体" w:eastAsia="宋体"/>
          <w:sz w:val="24"/>
          <w:highlight w:val="none"/>
        </w:rPr>
      </w:pPr>
      <w:r>
        <w:rPr>
          <w:rFonts w:hint="eastAsia" w:ascii="宋体" w:hAnsi="宋体" w:eastAsia="宋体"/>
          <w:sz w:val="24"/>
          <w:highlight w:val="none"/>
        </w:rPr>
        <w:t>28</w:t>
      </w:r>
      <w:r>
        <w:rPr>
          <w:rFonts w:ascii="宋体" w:hAnsi="宋体" w:eastAsia="宋体"/>
          <w:sz w:val="24"/>
          <w:highlight w:val="none"/>
        </w:rPr>
        <w:t>.2采购代理机构工作人员不得接受采购人或者供应商组织的宴请、旅游、娱乐，不得收受礼品、现金、有价证券等，不得向采购人或者供应商报销应当由个人承担的费用。</w:t>
      </w:r>
    </w:p>
    <w:p w14:paraId="597FB837">
      <w:pPr>
        <w:spacing w:line="360" w:lineRule="auto"/>
        <w:ind w:firstLine="437"/>
        <w:outlineLvl w:val="2"/>
        <w:rPr>
          <w:rFonts w:ascii="宋体" w:hAnsi="宋体" w:eastAsia="宋体"/>
          <w:b/>
          <w:sz w:val="24"/>
          <w:highlight w:val="none"/>
        </w:rPr>
      </w:pPr>
      <w:r>
        <w:rPr>
          <w:rFonts w:hint="eastAsia" w:ascii="宋体" w:hAnsi="宋体" w:eastAsia="宋体"/>
          <w:b/>
          <w:sz w:val="24"/>
          <w:highlight w:val="none"/>
        </w:rPr>
        <w:t>29</w:t>
      </w:r>
      <w:r>
        <w:rPr>
          <w:rFonts w:ascii="宋体" w:hAnsi="宋体" w:eastAsia="宋体"/>
          <w:b/>
          <w:sz w:val="24"/>
          <w:highlight w:val="none"/>
        </w:rPr>
        <w:t>.质疑的</w:t>
      </w:r>
      <w:r>
        <w:rPr>
          <w:rFonts w:asciiTheme="minorEastAsia" w:hAnsiTheme="minorEastAsia" w:eastAsiaTheme="minorEastAsia"/>
          <w:b/>
          <w:sz w:val="24"/>
          <w:highlight w:val="none"/>
        </w:rPr>
        <w:t>提出</w:t>
      </w:r>
      <w:r>
        <w:rPr>
          <w:rFonts w:ascii="宋体" w:hAnsi="宋体" w:eastAsia="宋体"/>
          <w:b/>
          <w:sz w:val="24"/>
          <w:highlight w:val="none"/>
        </w:rPr>
        <w:t>与接收</w:t>
      </w:r>
    </w:p>
    <w:p w14:paraId="4A933EE3">
      <w:pPr>
        <w:spacing w:line="360" w:lineRule="auto"/>
        <w:ind w:firstLine="435"/>
        <w:rPr>
          <w:rFonts w:ascii="宋体" w:hAnsi="宋体" w:eastAsia="宋体"/>
          <w:sz w:val="24"/>
          <w:highlight w:val="none"/>
        </w:rPr>
      </w:pPr>
      <w:r>
        <w:rPr>
          <w:rFonts w:hint="eastAsia" w:ascii="宋体" w:hAnsi="宋体" w:eastAsia="宋体"/>
          <w:sz w:val="24"/>
          <w:highlight w:val="none"/>
        </w:rPr>
        <w:t>29.1供应商认为磋商文件、采购过程和成交结果使自己的权益受到损害的，可以在知道或者应知其权益受到损害之日起七个工作日内，以书面形式向采购人或其委托的采购代理机构提出质疑。</w:t>
      </w:r>
    </w:p>
    <w:p w14:paraId="0C205F50">
      <w:pPr>
        <w:spacing w:line="360" w:lineRule="auto"/>
        <w:ind w:firstLine="435"/>
        <w:rPr>
          <w:rFonts w:ascii="宋体" w:hAnsi="宋体" w:eastAsia="宋体"/>
          <w:sz w:val="24"/>
          <w:highlight w:val="none"/>
        </w:rPr>
      </w:pPr>
      <w:r>
        <w:rPr>
          <w:rFonts w:hint="eastAsia" w:ascii="宋体" w:hAnsi="宋体" w:eastAsia="宋体"/>
          <w:sz w:val="24"/>
          <w:highlight w:val="none"/>
        </w:rPr>
        <w:t>29.2质疑供应商应按照财政部制定的《政府采购质疑函范本》格式（详见磋商文件）和《政府采购质疑和投诉办法》的要求，在法定质疑期内以书面形式提出质疑，超出法定质疑期提交的质疑将被拒绝。针对同一采购程序环节的质疑应一次性提出。</w:t>
      </w:r>
    </w:p>
    <w:p w14:paraId="051C1F68">
      <w:pPr>
        <w:spacing w:line="360" w:lineRule="auto"/>
        <w:ind w:firstLine="435"/>
        <w:rPr>
          <w:rFonts w:ascii="宋体" w:hAnsi="宋体" w:eastAsia="宋体"/>
          <w:sz w:val="24"/>
          <w:highlight w:val="none"/>
        </w:rPr>
      </w:pPr>
      <w:r>
        <w:rPr>
          <w:rFonts w:hint="eastAsia" w:ascii="宋体" w:hAnsi="宋体" w:eastAsia="宋体"/>
          <w:sz w:val="24"/>
          <w:highlight w:val="none"/>
        </w:rPr>
        <w:t>29.3采购代理机构质疑函接收部门、联系电话和通讯地址，见</w:t>
      </w:r>
      <w:r>
        <w:rPr>
          <w:rFonts w:hint="eastAsia" w:ascii="宋体" w:hAnsi="宋体" w:eastAsia="宋体"/>
          <w:sz w:val="24"/>
          <w:highlight w:val="none"/>
          <w:u w:val="single"/>
        </w:rPr>
        <w:t>供应商须知前附表</w:t>
      </w:r>
      <w:r>
        <w:rPr>
          <w:rFonts w:hint="eastAsia" w:ascii="宋体" w:hAnsi="宋体" w:eastAsia="宋体"/>
          <w:sz w:val="24"/>
          <w:highlight w:val="none"/>
        </w:rPr>
        <w:t>。</w:t>
      </w:r>
    </w:p>
    <w:p w14:paraId="46032D52">
      <w:pPr>
        <w:spacing w:line="360" w:lineRule="auto"/>
        <w:ind w:firstLine="435"/>
        <w:rPr>
          <w:rFonts w:ascii="宋体" w:hAnsi="宋体" w:eastAsia="宋体"/>
          <w:sz w:val="24"/>
          <w:highlight w:val="none"/>
        </w:rPr>
      </w:pPr>
      <w:r>
        <w:rPr>
          <w:rFonts w:hint="eastAsia" w:ascii="宋体" w:hAnsi="宋体" w:eastAsia="宋体"/>
          <w:sz w:val="24"/>
          <w:highlight w:val="none"/>
        </w:rPr>
        <w:t>注：上述条款中所要求的书面形式包含通过电子交易系统递交方式。</w:t>
      </w:r>
    </w:p>
    <w:p w14:paraId="72601A89">
      <w:pPr>
        <w:spacing w:line="360" w:lineRule="auto"/>
        <w:ind w:firstLine="437"/>
        <w:outlineLvl w:val="2"/>
        <w:rPr>
          <w:rFonts w:ascii="宋体" w:hAnsi="宋体" w:eastAsia="宋体"/>
          <w:b/>
          <w:sz w:val="24"/>
          <w:highlight w:val="none"/>
        </w:rPr>
      </w:pPr>
      <w:r>
        <w:rPr>
          <w:rFonts w:hint="eastAsia" w:ascii="宋体" w:hAnsi="宋体" w:eastAsia="宋体"/>
          <w:b/>
          <w:sz w:val="24"/>
          <w:highlight w:val="none"/>
        </w:rPr>
        <w:t>30</w:t>
      </w:r>
      <w:r>
        <w:rPr>
          <w:rFonts w:ascii="宋体" w:hAnsi="宋体" w:eastAsia="宋体"/>
          <w:b/>
          <w:sz w:val="24"/>
          <w:highlight w:val="none"/>
        </w:rPr>
        <w:t>.需要</w:t>
      </w:r>
      <w:r>
        <w:rPr>
          <w:rFonts w:asciiTheme="minorEastAsia" w:hAnsiTheme="minorEastAsia" w:eastAsiaTheme="minorEastAsia"/>
          <w:b/>
          <w:sz w:val="24"/>
          <w:highlight w:val="none"/>
        </w:rPr>
        <w:t>补充</w:t>
      </w:r>
      <w:r>
        <w:rPr>
          <w:rFonts w:ascii="宋体" w:hAnsi="宋体" w:eastAsia="宋体"/>
          <w:b/>
          <w:sz w:val="24"/>
          <w:highlight w:val="none"/>
        </w:rPr>
        <w:t>的其他内容</w:t>
      </w:r>
    </w:p>
    <w:p w14:paraId="645ECF62">
      <w:pPr>
        <w:spacing w:line="360" w:lineRule="auto"/>
        <w:ind w:firstLine="437"/>
        <w:outlineLvl w:val="2"/>
        <w:rPr>
          <w:rFonts w:ascii="宋体" w:hAnsi="宋体" w:eastAsia="宋体"/>
          <w:sz w:val="24"/>
          <w:highlight w:val="none"/>
        </w:rPr>
      </w:pPr>
      <w:r>
        <w:rPr>
          <w:rFonts w:hint="eastAsia" w:ascii="宋体" w:hAnsi="宋体" w:eastAsia="宋体"/>
          <w:sz w:val="24"/>
          <w:highlight w:val="none"/>
        </w:rPr>
        <w:t>需要补充的其他内容，见</w:t>
      </w:r>
      <w:r>
        <w:rPr>
          <w:rFonts w:hint="eastAsia" w:ascii="宋体" w:hAnsi="宋体" w:eastAsia="宋体"/>
          <w:sz w:val="24"/>
          <w:highlight w:val="none"/>
          <w:u w:val="single"/>
        </w:rPr>
        <w:t>供应商须知前附表</w:t>
      </w:r>
      <w:r>
        <w:rPr>
          <w:rFonts w:hint="eastAsia" w:ascii="宋体" w:hAnsi="宋体" w:eastAsia="宋体"/>
          <w:sz w:val="24"/>
          <w:highlight w:val="none"/>
        </w:rPr>
        <w:t>。</w:t>
      </w:r>
    </w:p>
    <w:p w14:paraId="3FE6F45F">
      <w:pPr>
        <w:rPr>
          <w:rFonts w:ascii="宋体" w:hAnsi="宋体" w:eastAsia="宋体"/>
          <w:sz w:val="24"/>
          <w:highlight w:val="none"/>
        </w:rPr>
      </w:pPr>
      <w:r>
        <w:rPr>
          <w:rFonts w:hint="eastAsia" w:ascii="宋体" w:hAnsi="宋体" w:eastAsia="宋体"/>
          <w:sz w:val="24"/>
          <w:highlight w:val="none"/>
        </w:rPr>
        <w:br w:type="page"/>
      </w:r>
    </w:p>
    <w:p w14:paraId="6DD2B6E4">
      <w:pPr>
        <w:spacing w:line="360" w:lineRule="auto"/>
        <w:jc w:val="center"/>
        <w:outlineLvl w:val="2"/>
        <w:rPr>
          <w:rFonts w:asciiTheme="minorEastAsia" w:hAnsiTheme="minorEastAsia" w:eastAsiaTheme="minorEastAsia"/>
          <w:b/>
          <w:bCs/>
          <w:sz w:val="24"/>
          <w:highlight w:val="none"/>
        </w:rPr>
      </w:pPr>
      <w:bookmarkStart w:id="63" w:name="_Toc703926946_WPSOffice_Level2"/>
      <w:bookmarkStart w:id="64" w:name="_Toc731250774"/>
      <w:bookmarkStart w:id="65" w:name="_Toc27866461"/>
      <w:bookmarkStart w:id="66" w:name="_Toc2103184424"/>
      <w:bookmarkStart w:id="67" w:name="_Toc178090216"/>
      <w:bookmarkStart w:id="68" w:name="_Toc947433833"/>
      <w:bookmarkStart w:id="69" w:name="_Toc946810653"/>
      <w:bookmarkStart w:id="70" w:name="_Toc1891953086"/>
      <w:r>
        <w:rPr>
          <w:rFonts w:hint="eastAsia" w:asciiTheme="minorEastAsia" w:hAnsiTheme="minorEastAsia" w:eastAsiaTheme="minorEastAsia"/>
          <w:b/>
          <w:bCs/>
          <w:sz w:val="24"/>
          <w:highlight w:val="none"/>
        </w:rPr>
        <w:t>附   电子交易系统操作指南</w:t>
      </w:r>
      <w:bookmarkEnd w:id="63"/>
      <w:bookmarkEnd w:id="64"/>
      <w:bookmarkEnd w:id="65"/>
      <w:bookmarkEnd w:id="66"/>
      <w:bookmarkEnd w:id="67"/>
      <w:bookmarkEnd w:id="68"/>
      <w:bookmarkEnd w:id="69"/>
      <w:bookmarkEnd w:id="70"/>
    </w:p>
    <w:p w14:paraId="353822AF">
      <w:pPr>
        <w:spacing w:line="360" w:lineRule="auto"/>
        <w:jc w:val="center"/>
        <w:outlineLvl w:val="2"/>
        <w:rPr>
          <w:rFonts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安天智采全流程电子招投标注意事项</w:t>
      </w:r>
    </w:p>
    <w:p w14:paraId="297408DE">
      <w:pPr>
        <w:spacing w:line="360" w:lineRule="auto"/>
        <w:ind w:firstLine="437"/>
        <w:outlineLvl w:val="2"/>
        <w:rPr>
          <w:rFonts w:asciiTheme="minorEastAsia" w:hAnsiTheme="minorEastAsia" w:eastAsiaTheme="minorEastAsia"/>
          <w:sz w:val="24"/>
          <w:highlight w:val="none"/>
        </w:rPr>
      </w:pPr>
      <w:bookmarkStart w:id="71" w:name="_Toc14764"/>
      <w:bookmarkStart w:id="72" w:name="_Toc18904"/>
      <w:bookmarkStart w:id="73" w:name="_Toc15542"/>
      <w:r>
        <w:rPr>
          <w:rFonts w:hint="eastAsia" w:asciiTheme="minorEastAsia" w:hAnsiTheme="minorEastAsia" w:eastAsiaTheme="minorEastAsia"/>
          <w:sz w:val="24"/>
          <w:highlight w:val="none"/>
        </w:rPr>
        <w:t>一、制作、上传电子投标文件</w:t>
      </w:r>
      <w:bookmarkEnd w:id="71"/>
      <w:bookmarkEnd w:id="72"/>
      <w:bookmarkEnd w:id="73"/>
    </w:p>
    <w:p w14:paraId="6F8963BA">
      <w:pPr>
        <w:spacing w:line="360" w:lineRule="auto"/>
        <w:ind w:firstLine="437"/>
        <w:outlineLvl w:val="2"/>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1.电子投标文件必须使用最新版“安天智采投标文件制作工具”制作生成并上传。安天智采投标文件制作工具及操作手册下载地址：https://www.xinecai.com/serveguide。</w:t>
      </w:r>
    </w:p>
    <w:p w14:paraId="5D479090">
      <w:pPr>
        <w:spacing w:line="360" w:lineRule="auto"/>
        <w:ind w:firstLine="437"/>
        <w:outlineLvl w:val="2"/>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投标供应商须办理安天智采平台移动认证证书或介质数字证书，用于电子投标文件的签章及上传（上传投标文件需使用移动认证证书或介质数字证书进行加密），安天智采平台“移动认证上线通知”（https://www.xinecai.com/ydrz.html）。</w:t>
      </w:r>
    </w:p>
    <w:p w14:paraId="5E1952C6">
      <w:pPr>
        <w:spacing w:line="360" w:lineRule="auto"/>
        <w:ind w:firstLine="437"/>
        <w:outlineLvl w:val="2"/>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全流程电子招标项目需要投标供应商网络上传通过安天智采投标文件制作工具制作并使用通过安天智采办理的移动认证证书或介质数字证书加密后生成的电子投标文件，投标供应商下载电子招标采购文件后，应在招标文件规定的投标截止时间之前上传通过安天智采投标文件制作工具制作的加密电子投标文件（登录安天智采招标采购电子交易系统，点击进入递交投标文件，上传加密的电子投标文件），否则视为投标无效。投标供应商在投标截止时间之前，可以对其所递交的电子投标文件进行撤回，修改后重新上传；</w:t>
      </w:r>
    </w:p>
    <w:p w14:paraId="65D63F05">
      <w:pPr>
        <w:spacing w:line="360" w:lineRule="auto"/>
        <w:ind w:firstLine="437"/>
        <w:outlineLvl w:val="2"/>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投标截止时间以安天智采招标采购电子交易系统（https://www.xinecai.com）系统的时间为准，逾期系统将自动关闭,电子投标文件未完成上传的，投标将被拒绝。加密文件上传后投标供应商进行模拟解密检验加密文件是否正常；</w:t>
      </w:r>
    </w:p>
    <w:p w14:paraId="1316034B">
      <w:pPr>
        <w:spacing w:line="360" w:lineRule="auto"/>
        <w:ind w:firstLine="437"/>
        <w:outlineLvl w:val="2"/>
        <w:rPr>
          <w:rFonts w:asciiTheme="minorEastAsia" w:hAnsiTheme="minorEastAsia" w:eastAsiaTheme="minorEastAsia"/>
          <w:sz w:val="24"/>
          <w:highlight w:val="none"/>
        </w:rPr>
      </w:pPr>
      <w:r>
        <w:rPr>
          <w:rFonts w:hint="eastAsia" w:asciiTheme="minorEastAsia" w:hAnsiTheme="minorEastAsia" w:eastAsiaTheme="minorEastAsia"/>
          <w:sz w:val="24"/>
          <w:highlight w:val="none"/>
        </w:rPr>
        <w:t>5.投标供应商除须按上述第4条要求网络上传移动认证证书或介质数字证书加密的电子投标文件外，可以另行提供非加密电子投标文件U盘或光盘一份（电子标书工具软件在加密上传后，同时生成非加密电子投标文件一份，供投标供应商拷贝到U盘或刻录光盘，按招标采购文件规定要求密封后递交），投标供应商须保证电子U盘或光盘时能正常读取，且非加密文件须与网上递交的加密文件一致。具体要求按照招标采购文件规定；</w:t>
      </w:r>
    </w:p>
    <w:p w14:paraId="1FBDB66D">
      <w:pPr>
        <w:spacing w:line="360" w:lineRule="auto"/>
        <w:ind w:firstLine="437"/>
        <w:outlineLvl w:val="2"/>
        <w:rPr>
          <w:rFonts w:asciiTheme="minorEastAsia" w:hAnsiTheme="minorEastAsia" w:eastAsiaTheme="minorEastAsia"/>
          <w:sz w:val="24"/>
          <w:highlight w:val="none"/>
        </w:rPr>
      </w:pPr>
      <w:r>
        <w:rPr>
          <w:rFonts w:hint="eastAsia" w:asciiTheme="minorEastAsia" w:hAnsiTheme="minorEastAsia" w:eastAsiaTheme="minorEastAsia"/>
          <w:sz w:val="24"/>
          <w:highlight w:val="none"/>
        </w:rPr>
        <w:t>6.如投标供应商在制作、上传电子投标文件过程中，遇到操作和使用问题，请及时联系安天智采电子交易平台客服人员，客服电话：400-050-9988。移动认证办理联系电话：400-0878-198转1。</w:t>
      </w:r>
    </w:p>
    <w:p w14:paraId="2EE45D9A">
      <w:pPr>
        <w:spacing w:line="360" w:lineRule="auto"/>
        <w:ind w:firstLine="437"/>
        <w:outlineLvl w:val="2"/>
        <w:rPr>
          <w:rFonts w:asciiTheme="minorEastAsia" w:hAnsiTheme="minorEastAsia" w:eastAsiaTheme="minorEastAsia"/>
          <w:sz w:val="24"/>
          <w:highlight w:val="none"/>
        </w:rPr>
      </w:pPr>
      <w:bookmarkStart w:id="74" w:name="_Toc32203"/>
      <w:bookmarkStart w:id="75" w:name="_Toc30466"/>
      <w:bookmarkStart w:id="76" w:name="_Toc690"/>
      <w:r>
        <w:rPr>
          <w:rFonts w:hint="eastAsia" w:asciiTheme="minorEastAsia" w:hAnsiTheme="minorEastAsia" w:eastAsiaTheme="minorEastAsia"/>
          <w:sz w:val="24"/>
          <w:highlight w:val="none"/>
        </w:rPr>
        <w:t>二、开标及解密投标文件</w:t>
      </w:r>
      <w:bookmarkEnd w:id="74"/>
      <w:bookmarkEnd w:id="75"/>
      <w:bookmarkEnd w:id="76"/>
    </w:p>
    <w:p w14:paraId="234FF91C">
      <w:pPr>
        <w:spacing w:line="360" w:lineRule="auto"/>
        <w:ind w:firstLine="437"/>
        <w:outlineLvl w:val="2"/>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安徽安天利信工程管理股份有限公司工作人员（以下称工作人员）根据有关规定登录安天智采在线开标系统进行开标（使用介质数字证书用户请选择ie11及以上浏览器进行登录，如电脑未安装ie浏览器，可至安天智采门户网站产品服务&gt;服务指南中下载（https://www.xinecai.com/serveguide#）登录前请确认是否安装安天智采驱动。驱动安装完成后登录安天智采招标采购电子交易系统，点击进入开标系统或者点击https://kb.xinecai.com/process/login链接进入）为方便开标联系，建议投标供应商进行签到。开标时，投标供应商必须远程使用安天智采办理的移动认证证书或介质数字证书先行解密（加密证书需与解密证书一致，否则无法解密成功）。电子投标文件在平台系统导入后，工作人员开启系统唱标等流程；</w:t>
      </w:r>
    </w:p>
    <w:p w14:paraId="189C1787">
      <w:pPr>
        <w:spacing w:line="360" w:lineRule="auto"/>
        <w:ind w:firstLine="437"/>
        <w:outlineLvl w:val="2"/>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电子投标文件上传成功但因电子招标投标交易平台原因导致解密异常时，如招标文件中允许使用非加密电子投标文件作为导入补救措施的，可以在开标现场递交非加密电子版投标文件，采购代理机构将其导入电子招标投标交易平台，电子招标投标交易平台将对非加密电子投标文件与加密电子投标文件进行校验。非加密电子投标文件经平台校验通过的视为解密成功，该投标供应商的投标文件以非加密电子投标文件为准；校验失败或未递交不加密电子投标文件的，其投标无效；</w:t>
      </w:r>
    </w:p>
    <w:p w14:paraId="56FB59DA">
      <w:pPr>
        <w:spacing w:line="360" w:lineRule="auto"/>
        <w:ind w:firstLine="437"/>
        <w:outlineLvl w:val="2"/>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3.在招标文件规定的时间内，供应商以招标文件中规定的方式未完成投标文件上传或解密的，视为其撤回投标。</w:t>
      </w:r>
    </w:p>
    <w:p w14:paraId="69FEE03D">
      <w:pPr>
        <w:spacing w:line="360" w:lineRule="auto"/>
        <w:ind w:firstLine="437"/>
        <w:outlineLvl w:val="2"/>
        <w:rPr>
          <w:rFonts w:asciiTheme="minorEastAsia" w:hAnsiTheme="minorEastAsia" w:eastAsiaTheme="minorEastAsia"/>
          <w:sz w:val="24"/>
          <w:highlight w:val="none"/>
        </w:rPr>
      </w:pPr>
      <w:bookmarkStart w:id="77" w:name="_Toc32028"/>
      <w:bookmarkStart w:id="78" w:name="_Toc13353"/>
      <w:bookmarkStart w:id="79" w:name="_Toc6011"/>
      <w:r>
        <w:rPr>
          <w:rFonts w:hint="eastAsia" w:asciiTheme="minorEastAsia" w:hAnsiTheme="minorEastAsia" w:eastAsiaTheme="minorEastAsia"/>
          <w:sz w:val="24"/>
          <w:highlight w:val="none"/>
        </w:rPr>
        <w:t>三、数字证书及保函相关问题</w:t>
      </w:r>
      <w:bookmarkEnd w:id="77"/>
      <w:bookmarkEnd w:id="78"/>
      <w:bookmarkEnd w:id="79"/>
    </w:p>
    <w:p w14:paraId="00639092">
      <w:pPr>
        <w:spacing w:line="360" w:lineRule="auto"/>
        <w:ind w:firstLine="437"/>
        <w:outlineLvl w:val="2"/>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1.数字证书需使用通过安天智采办理的移动认证证书或介质数字证书；</w:t>
      </w:r>
    </w:p>
    <w:p w14:paraId="17BFC36C">
      <w:pPr>
        <w:spacing w:line="360" w:lineRule="auto"/>
        <w:ind w:firstLine="437"/>
        <w:outlineLvl w:val="2"/>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2.数字证书到期后须重新续期；</w:t>
      </w:r>
    </w:p>
    <w:p w14:paraId="4A722388">
      <w:pPr>
        <w:spacing w:line="360" w:lineRule="auto"/>
        <w:ind w:firstLine="437"/>
        <w:outlineLvl w:val="2"/>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3.数字证书因遗失、损坏、企业信息变更等情况须更换新证书；</w:t>
      </w:r>
    </w:p>
    <w:p w14:paraId="01B471A0">
      <w:pPr>
        <w:spacing w:line="360" w:lineRule="auto"/>
        <w:ind w:firstLine="437"/>
        <w:outlineLvl w:val="2"/>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4.投标供应商由于数字证书遗失、损坏、更换、续期等情况导致投标文件无法解密，由投标供应商自行承担责任。</w:t>
      </w:r>
    </w:p>
    <w:p w14:paraId="764970E0">
      <w:pPr>
        <w:spacing w:line="360" w:lineRule="auto"/>
        <w:ind w:firstLine="437"/>
        <w:outlineLvl w:val="2"/>
        <w:rPr>
          <w:rFonts w:asciiTheme="minorEastAsia" w:hAnsiTheme="minorEastAsia" w:eastAsiaTheme="minorEastAsia"/>
          <w:sz w:val="24"/>
          <w:highlight w:val="none"/>
        </w:rPr>
      </w:pPr>
      <w:r>
        <w:rPr>
          <w:rFonts w:hint="eastAsia" w:asciiTheme="minorEastAsia" w:hAnsiTheme="minorEastAsia" w:eastAsiaTheme="minorEastAsia"/>
          <w:sz w:val="24"/>
          <w:highlight w:val="none"/>
        </w:rPr>
        <w:t>5.供应商（供应商）申请电子保函时支付账户必须和供应商（供应商）基本户开户账户一致，否则会导致出函失败，为确保电子保函顺利申请，请供应商（供应商）在保函申请前，确认在“安天智采”交易系统中基本户账户信息的正确填写。</w:t>
      </w:r>
    </w:p>
    <w:p w14:paraId="71F44F7A">
      <w:pPr>
        <w:spacing w:line="360" w:lineRule="auto"/>
        <w:ind w:firstLine="437"/>
        <w:outlineLvl w:val="2"/>
        <w:rPr>
          <w:rFonts w:asciiTheme="minorEastAsia" w:hAnsiTheme="minorEastAsia" w:eastAsiaTheme="minorEastAsia"/>
          <w:sz w:val="24"/>
          <w:highlight w:val="none"/>
        </w:rPr>
      </w:pPr>
      <w:bookmarkStart w:id="80" w:name="_Toc7657"/>
      <w:bookmarkStart w:id="81" w:name="_Toc17599"/>
      <w:bookmarkStart w:id="82" w:name="_Toc8431"/>
      <w:r>
        <w:rPr>
          <w:rFonts w:hint="eastAsia" w:asciiTheme="minorEastAsia" w:hAnsiTheme="minorEastAsia" w:eastAsiaTheme="minorEastAsia"/>
          <w:sz w:val="24"/>
          <w:highlight w:val="none"/>
        </w:rPr>
        <w:t>四、投标无效情况</w:t>
      </w:r>
      <w:bookmarkEnd w:id="80"/>
      <w:bookmarkEnd w:id="81"/>
      <w:bookmarkEnd w:id="82"/>
    </w:p>
    <w:p w14:paraId="5E938D85">
      <w:pPr>
        <w:spacing w:line="360" w:lineRule="auto"/>
        <w:ind w:firstLine="437"/>
        <w:outlineLvl w:val="2"/>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1.项目评审中，投标文件如出现下列情况之一的，经磋商小组评审，可作无效投标处理：</w:t>
      </w:r>
    </w:p>
    <w:p w14:paraId="365951C0">
      <w:pPr>
        <w:spacing w:line="360" w:lineRule="auto"/>
        <w:ind w:firstLine="437"/>
        <w:outlineLvl w:val="2"/>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（一）投标文件无法打开的； </w:t>
      </w:r>
    </w:p>
    <w:p w14:paraId="73B4883B">
      <w:pPr>
        <w:spacing w:line="360" w:lineRule="auto"/>
        <w:ind w:firstLine="437"/>
        <w:outlineLvl w:val="2"/>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（二）投标文件中携带病毒并造成后果的； </w:t>
      </w:r>
    </w:p>
    <w:p w14:paraId="62A87726">
      <w:pPr>
        <w:spacing w:line="360" w:lineRule="auto"/>
        <w:ind w:firstLine="437"/>
        <w:outlineLvl w:val="2"/>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（三）恶意递交投标文件，企图造成网络堵塞或瘫痪的；</w:t>
      </w:r>
    </w:p>
    <w:p w14:paraId="6266E967">
      <w:pPr>
        <w:spacing w:line="360" w:lineRule="auto"/>
        <w:ind w:firstLine="437"/>
        <w:outlineLvl w:val="2"/>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（四）评审委员会认定的其他投标无效情形。</w:t>
      </w:r>
    </w:p>
    <w:p w14:paraId="79020853">
      <w:pPr>
        <w:spacing w:line="360" w:lineRule="auto"/>
        <w:ind w:firstLine="437"/>
        <w:outlineLvl w:val="2"/>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2.项目评审中，澄清文件如出现下列情况之一的，经磋商小组评审，可视同放弃澄清：</w:t>
      </w:r>
    </w:p>
    <w:p w14:paraId="6D679EA5">
      <w:pPr>
        <w:spacing w:line="360" w:lineRule="auto"/>
        <w:ind w:firstLine="437"/>
        <w:outlineLvl w:val="2"/>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（一）澄清文件无法打开的； </w:t>
      </w:r>
    </w:p>
    <w:p w14:paraId="5B013015">
      <w:pPr>
        <w:spacing w:line="360" w:lineRule="auto"/>
        <w:ind w:firstLine="437"/>
        <w:outlineLvl w:val="2"/>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（二）澄清文件中携带病毒并造成后果的； </w:t>
      </w:r>
    </w:p>
    <w:p w14:paraId="64062D8C">
      <w:pPr>
        <w:spacing w:line="360" w:lineRule="auto"/>
        <w:ind w:firstLine="437"/>
        <w:outlineLvl w:val="2"/>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（三）恶意递交澄清文件，企图造成网络堵塞或瘫痪的；</w:t>
      </w:r>
    </w:p>
    <w:p w14:paraId="4F2530BC">
      <w:pPr>
        <w:spacing w:line="360" w:lineRule="auto"/>
        <w:ind w:firstLine="437"/>
        <w:outlineLvl w:val="2"/>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（四）评审委员会认定的其他不予评审情形的。</w:t>
      </w:r>
    </w:p>
    <w:p w14:paraId="596EF7E9">
      <w:pPr>
        <w:spacing w:line="360" w:lineRule="auto"/>
        <w:ind w:firstLine="437"/>
        <w:outlineLvl w:val="2"/>
        <w:rPr>
          <w:rFonts w:asciiTheme="minorEastAsia" w:hAnsiTheme="minorEastAsia" w:eastAsiaTheme="minorEastAsia"/>
          <w:sz w:val="24"/>
          <w:highlight w:val="none"/>
        </w:rPr>
      </w:pPr>
      <w:bookmarkStart w:id="83" w:name="_Toc6628"/>
      <w:bookmarkStart w:id="84" w:name="_Toc15661"/>
      <w:bookmarkStart w:id="85" w:name="_Toc29897"/>
      <w:r>
        <w:rPr>
          <w:rFonts w:hint="eastAsia" w:asciiTheme="minorEastAsia" w:hAnsiTheme="minorEastAsia" w:eastAsiaTheme="minorEastAsia"/>
          <w:sz w:val="24"/>
          <w:highlight w:val="none"/>
        </w:rPr>
        <w:t>五、特殊情形</w:t>
      </w:r>
      <w:bookmarkEnd w:id="83"/>
      <w:bookmarkEnd w:id="84"/>
      <w:bookmarkEnd w:id="85"/>
    </w:p>
    <w:p w14:paraId="656A04C9">
      <w:pPr>
        <w:spacing w:line="360" w:lineRule="auto"/>
        <w:ind w:firstLine="437"/>
        <w:outlineLvl w:val="2"/>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1.出现下列情形导致电子招投标系统无法正常运行，或者无法保证招投标过程的公平、公正和信息安全时，各方当事人免责：</w:t>
      </w:r>
    </w:p>
    <w:p w14:paraId="38753B9E">
      <w:pPr>
        <w:spacing w:line="360" w:lineRule="auto"/>
        <w:ind w:firstLine="437"/>
        <w:outlineLvl w:val="2"/>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（一）网络服务器发生故障而无法访问网站或无法使用电子招投标系统；</w:t>
      </w:r>
    </w:p>
    <w:p w14:paraId="41FCFF73">
      <w:pPr>
        <w:spacing w:line="360" w:lineRule="auto"/>
        <w:ind w:firstLine="437"/>
        <w:outlineLvl w:val="2"/>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（二）电子招投标系统的软件或网络数据库出现错误，不能进行正常操作；</w:t>
      </w:r>
    </w:p>
    <w:p w14:paraId="4B2A6BD2">
      <w:pPr>
        <w:spacing w:line="360" w:lineRule="auto"/>
        <w:ind w:firstLine="437"/>
        <w:outlineLvl w:val="2"/>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（三）电子招投标系统发现有安全漏洞，有潜在的泄密危险；</w:t>
      </w:r>
    </w:p>
    <w:p w14:paraId="432A852C">
      <w:pPr>
        <w:spacing w:line="360" w:lineRule="auto"/>
        <w:ind w:firstLine="437"/>
        <w:outlineLvl w:val="2"/>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（四）计算机病毒发作导致系统无法正常运行的；</w:t>
      </w:r>
    </w:p>
    <w:p w14:paraId="44565C68">
      <w:pPr>
        <w:spacing w:line="360" w:lineRule="auto"/>
        <w:ind w:firstLine="437"/>
        <w:outlineLvl w:val="2"/>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（五）电力系统发生故障导致电子招投标系统无法运行；</w:t>
      </w:r>
    </w:p>
    <w:p w14:paraId="04DA35AA">
      <w:pPr>
        <w:spacing w:line="360" w:lineRule="auto"/>
        <w:ind w:firstLine="437"/>
        <w:outlineLvl w:val="2"/>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（六）其他无法保证招投标过程公平、公正和信息安全的。</w:t>
      </w:r>
    </w:p>
    <w:p w14:paraId="08B49D62">
      <w:pPr>
        <w:spacing w:line="360" w:lineRule="auto"/>
        <w:ind w:firstLine="437"/>
        <w:outlineLvl w:val="2"/>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2.出现上述第1条情形而又不能及时解决的，采取以下处理办法：</w:t>
      </w:r>
    </w:p>
    <w:p w14:paraId="5AE56418">
      <w:pPr>
        <w:spacing w:line="360" w:lineRule="auto"/>
        <w:ind w:firstLine="437"/>
        <w:outlineLvl w:val="2"/>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（一）项目暂停，待电子招投标系统或网络故障排除并经过可靠测试后，再恢复网上招投标系统运行并重新在系统中实施暂停的项目；</w:t>
      </w:r>
    </w:p>
    <w:p w14:paraId="4F2D309D">
      <w:pPr>
        <w:spacing w:line="360" w:lineRule="auto"/>
        <w:ind w:firstLine="437"/>
        <w:outlineLvl w:val="2"/>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（二）停止该项目此次电子招投标操作程序，并通知投标供应商使用纸质投标文件进行开标、评标。</w:t>
      </w:r>
    </w:p>
    <w:p w14:paraId="65F06385">
      <w:pPr>
        <w:spacing w:line="360" w:lineRule="auto"/>
        <w:ind w:firstLine="437"/>
        <w:outlineLvl w:val="2"/>
        <w:rPr>
          <w:rFonts w:asciiTheme="minorEastAsia" w:hAnsiTheme="minorEastAsia" w:eastAsiaTheme="minorEastAsia"/>
          <w:b/>
          <w:sz w:val="28"/>
          <w:highlight w:val="none"/>
        </w:rPr>
      </w:pPr>
      <w:r>
        <w:rPr>
          <w:rFonts w:asciiTheme="minorEastAsia" w:hAnsiTheme="minorEastAsia" w:eastAsiaTheme="minorEastAsia"/>
          <w:sz w:val="24"/>
          <w:highlight w:val="none"/>
        </w:rPr>
        <w:br w:type="page"/>
      </w:r>
    </w:p>
    <w:p w14:paraId="4A02B92A">
      <w:pPr>
        <w:spacing w:line="360" w:lineRule="auto"/>
        <w:jc w:val="center"/>
        <w:outlineLvl w:val="0"/>
        <w:rPr>
          <w:rFonts w:asciiTheme="minorEastAsia" w:hAnsiTheme="minorEastAsia" w:eastAsiaTheme="minorEastAsia"/>
          <w:b/>
          <w:sz w:val="28"/>
          <w:highlight w:val="none"/>
        </w:rPr>
      </w:pPr>
      <w:bookmarkStart w:id="86" w:name="_Toc6029"/>
      <w:r>
        <w:rPr>
          <w:rFonts w:hint="eastAsia" w:asciiTheme="minorEastAsia" w:hAnsiTheme="minorEastAsia" w:eastAsiaTheme="minorEastAsia"/>
          <w:b/>
          <w:sz w:val="28"/>
          <w:highlight w:val="none"/>
        </w:rPr>
        <w:t>第三章  采购需求</w:t>
      </w:r>
      <w:bookmarkEnd w:id="86"/>
    </w:p>
    <w:p w14:paraId="38841A13">
      <w:pPr>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前注：</w:t>
      </w:r>
    </w:p>
    <w:p w14:paraId="2236C705">
      <w:pPr>
        <w:spacing w:line="360" w:lineRule="auto"/>
        <w:ind w:firstLine="435"/>
        <w:rPr>
          <w:rFonts w:ascii="宋体" w:hAnsi="宋体" w:eastAsia="宋体" w:cs="宋体"/>
          <w:sz w:val="24"/>
          <w:szCs w:val="24"/>
          <w:highlight w:val="none"/>
        </w:rPr>
      </w:pPr>
      <w:r>
        <w:rPr>
          <w:rFonts w:hint="eastAsia" w:ascii="宋体" w:hAnsi="宋体" w:eastAsia="宋体" w:cs="宋体"/>
          <w:sz w:val="24"/>
          <w:szCs w:val="24"/>
          <w:highlight w:val="none"/>
        </w:rPr>
        <w:t>1.本采购需求中提出的服务方案仅为参考，如无明确限制，供应商可以进行优化，提供满足采购人实际需要的更优（或者性能实质上不低于的）服务方案，且此方案须经磋商小组评审认可。</w:t>
      </w:r>
    </w:p>
    <w:p w14:paraId="2AB0A58F">
      <w:pPr>
        <w:spacing w:line="360" w:lineRule="auto"/>
        <w:ind w:firstLine="435"/>
        <w:rPr>
          <w:rFonts w:ascii="宋体" w:hAnsi="宋体" w:eastAsia="宋体"/>
          <w:sz w:val="24"/>
          <w:szCs w:val="18"/>
          <w:highlight w:val="none"/>
        </w:rPr>
      </w:pPr>
      <w:r>
        <w:rPr>
          <w:rFonts w:hint="eastAsia" w:ascii="宋体" w:hAnsi="宋体" w:eastAsia="宋体"/>
          <w:sz w:val="24"/>
          <w:szCs w:val="18"/>
          <w:highlight w:val="none"/>
        </w:rPr>
        <w:t>2.下列采购需求中</w:t>
      </w:r>
      <w:r>
        <w:rPr>
          <w:rFonts w:ascii="宋体" w:hAnsi="宋体" w:eastAsia="宋体" w:cs="宋体"/>
          <w:sz w:val="24"/>
          <w:szCs w:val="24"/>
          <w:highlight w:val="none"/>
        </w:rPr>
        <w:t>（包括但不限于下列具体政策要求</w:t>
      </w:r>
      <w:r>
        <w:rPr>
          <w:rFonts w:hint="eastAsia" w:ascii="宋体" w:hAnsi="宋体" w:eastAsia="宋体" w:cs="宋体"/>
          <w:sz w:val="24"/>
          <w:szCs w:val="24"/>
          <w:highlight w:val="none"/>
        </w:rPr>
        <w:t>）</w:t>
      </w:r>
      <w:r>
        <w:rPr>
          <w:rFonts w:hint="eastAsia" w:ascii="宋体" w:hAnsi="宋体" w:eastAsia="宋体"/>
          <w:sz w:val="24"/>
          <w:szCs w:val="18"/>
          <w:highlight w:val="none"/>
        </w:rPr>
        <w:t>：</w:t>
      </w:r>
    </w:p>
    <w:p w14:paraId="6B0B6BB7">
      <w:pPr>
        <w:spacing w:line="360" w:lineRule="auto"/>
        <w:ind w:firstLine="435"/>
        <w:rPr>
          <w:rFonts w:ascii="宋体" w:hAnsi="宋体" w:eastAsia="宋体" w:cs="宋体"/>
          <w:sz w:val="24"/>
          <w:szCs w:val="24"/>
          <w:highlight w:val="none"/>
        </w:rPr>
      </w:pPr>
      <w:r>
        <w:rPr>
          <w:rFonts w:hint="eastAsia" w:ascii="宋体" w:hAnsi="宋体" w:eastAsia="宋体" w:cs="宋体"/>
          <w:sz w:val="24"/>
          <w:szCs w:val="24"/>
          <w:highlight w:val="none"/>
        </w:rPr>
        <w:t>（1）如属于《节能产品政府采购品目清单》中政府强制采购的节能产品，则供应商所投产品须具有市场监管总局公布的《参与实施政府采购节能产品认证机构目录》中的认证机构出具的、处于有效期内的节能产品认证证书。</w:t>
      </w:r>
    </w:p>
    <w:p w14:paraId="2B660CD1">
      <w:pPr>
        <w:spacing w:line="360" w:lineRule="auto"/>
        <w:ind w:firstLine="435"/>
        <w:rPr>
          <w:rFonts w:ascii="宋体" w:hAnsi="宋体" w:eastAsia="宋体" w:cs="宋体"/>
          <w:sz w:val="24"/>
          <w:szCs w:val="24"/>
          <w:highlight w:val="none"/>
        </w:rPr>
      </w:pPr>
      <w:r>
        <w:rPr>
          <w:rFonts w:hint="eastAsia" w:ascii="宋体" w:hAnsi="宋体" w:eastAsia="宋体" w:cs="宋体"/>
          <w:sz w:val="24"/>
          <w:szCs w:val="24"/>
          <w:highlight w:val="none"/>
        </w:rPr>
        <w:t>（2）如涉及商品包装和快递包装，供应商应当执行《关于印发〈商品包装政府采购需求标准（试行）〉、〈快递包装政府采购需求标准（试行）〉的通知》（财办库〔2020〕123 号）、《安徽省财政厅关于贯彻落实政府绿色采购有关政策的通知》（皖财购〔2023〕853号）的要求，提供符合需求标准的绿色包装、绿色运输，同时，采购人将对包装材料和运输环节作为履约验收条款进行验收。</w:t>
      </w:r>
    </w:p>
    <w:p w14:paraId="339129C9">
      <w:pPr>
        <w:spacing w:line="360" w:lineRule="auto"/>
        <w:ind w:firstLine="435"/>
        <w:rPr>
          <w:rFonts w:asciiTheme="minorEastAsia" w:hAnsiTheme="minorEastAsia" w:eastAsiaTheme="minorEastAsia"/>
          <w:sz w:val="24"/>
          <w:highlight w:val="none"/>
        </w:rPr>
      </w:pPr>
      <w:r>
        <w:rPr>
          <w:rFonts w:hint="eastAsia" w:ascii="宋体" w:hAnsi="宋体" w:eastAsia="宋体"/>
          <w:sz w:val="24"/>
          <w:szCs w:val="18"/>
          <w:highlight w:val="none"/>
        </w:rPr>
        <w:t>3.如采购人允许采用分包方式履行合同的，应当明确可以分包履行的相关内容。</w:t>
      </w:r>
    </w:p>
    <w:p w14:paraId="1E928A42">
      <w:pPr>
        <w:spacing w:line="360" w:lineRule="auto"/>
        <w:ind w:firstLine="437"/>
        <w:outlineLvl w:val="1"/>
        <w:rPr>
          <w:rFonts w:ascii="宋体" w:hAnsi="宋体" w:eastAsia="宋体"/>
          <w:b/>
          <w:sz w:val="24"/>
          <w:szCs w:val="18"/>
          <w:highlight w:val="none"/>
        </w:rPr>
      </w:pPr>
      <w:bookmarkStart w:id="87" w:name="_Toc7699"/>
      <w:bookmarkStart w:id="88" w:name="_Toc29700"/>
      <w:bookmarkStart w:id="89" w:name="_Toc26349"/>
      <w:r>
        <w:rPr>
          <w:rFonts w:hint="eastAsia" w:ascii="宋体" w:hAnsi="宋体" w:eastAsia="宋体"/>
          <w:b/>
          <w:sz w:val="24"/>
          <w:szCs w:val="18"/>
          <w:highlight w:val="none"/>
        </w:rPr>
        <w:t>一、采购需求前附表</w:t>
      </w:r>
      <w:bookmarkEnd w:id="87"/>
      <w:bookmarkEnd w:id="88"/>
      <w:bookmarkEnd w:id="89"/>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3"/>
        <w:gridCol w:w="2228"/>
        <w:gridCol w:w="6014"/>
      </w:tblGrid>
      <w:tr w14:paraId="6A39E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14F9732B">
            <w:pPr>
              <w:pStyle w:val="46"/>
              <w:pBdr>
                <w:bottom w:val="none" w:color="auto" w:sz="0" w:space="0"/>
              </w:pBdr>
              <w:tabs>
                <w:tab w:val="clear" w:pos="4153"/>
                <w:tab w:val="clear" w:pos="8306"/>
              </w:tabs>
              <w:adjustRightInd/>
              <w:spacing w:line="240" w:lineRule="auto"/>
              <w:textAlignment w:val="auto"/>
              <w:rPr>
                <w:rFonts w:ascii="宋体" w:hAnsi="宋体" w:eastAsia="宋体"/>
                <w:b/>
                <w:kern w:val="2"/>
                <w:highlight w:val="none"/>
              </w:rPr>
            </w:pPr>
            <w:bookmarkStart w:id="90" w:name="_Hlk16461016"/>
            <w:r>
              <w:rPr>
                <w:rFonts w:hint="eastAsia" w:ascii="宋体" w:hAnsi="宋体" w:eastAsia="宋体"/>
                <w:b/>
                <w:kern w:val="2"/>
                <w:highlight w:val="none"/>
              </w:rPr>
              <w:t>序号</w:t>
            </w:r>
          </w:p>
        </w:tc>
        <w:tc>
          <w:tcPr>
            <w:tcW w:w="1192" w:type="pct"/>
            <w:vAlign w:val="center"/>
          </w:tcPr>
          <w:p w14:paraId="00856FFD">
            <w:pPr>
              <w:pStyle w:val="45"/>
              <w:widowControl w:val="0"/>
              <w:spacing w:before="0" w:beforeAutospacing="0" w:after="0" w:afterAutospacing="0" w:line="360" w:lineRule="auto"/>
              <w:rPr>
                <w:rFonts w:ascii="宋体" w:hAnsi="宋体" w:eastAsia="宋体"/>
                <w:bCs w:val="0"/>
                <w:sz w:val="24"/>
                <w:highlight w:val="none"/>
              </w:rPr>
            </w:pPr>
            <w:r>
              <w:rPr>
                <w:rFonts w:hint="eastAsia" w:ascii="宋体" w:hAnsi="宋体" w:eastAsia="宋体"/>
                <w:bCs w:val="0"/>
                <w:sz w:val="24"/>
                <w:highlight w:val="none"/>
              </w:rPr>
              <w:t>条款名称</w:t>
            </w:r>
          </w:p>
        </w:tc>
        <w:tc>
          <w:tcPr>
            <w:tcW w:w="3217" w:type="pct"/>
            <w:vAlign w:val="center"/>
          </w:tcPr>
          <w:p w14:paraId="5EC33AEB">
            <w:pPr>
              <w:pStyle w:val="45"/>
              <w:widowControl w:val="0"/>
              <w:spacing w:before="0" w:beforeAutospacing="0" w:after="0" w:afterAutospacing="0" w:line="360" w:lineRule="auto"/>
              <w:rPr>
                <w:rFonts w:ascii="宋体" w:hAnsi="宋体" w:eastAsia="宋体"/>
                <w:bCs w:val="0"/>
                <w:sz w:val="24"/>
                <w:highlight w:val="none"/>
              </w:rPr>
            </w:pPr>
            <w:r>
              <w:rPr>
                <w:rFonts w:hint="eastAsia" w:ascii="宋体" w:hAnsi="宋体" w:eastAsia="宋体"/>
                <w:bCs w:val="0"/>
                <w:sz w:val="24"/>
                <w:highlight w:val="none"/>
              </w:rPr>
              <w:t>内容、说明与要求</w:t>
            </w:r>
          </w:p>
        </w:tc>
      </w:tr>
      <w:tr w14:paraId="2921B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155DC9C2">
            <w:pPr>
              <w:pStyle w:val="46"/>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1</w:t>
            </w:r>
          </w:p>
        </w:tc>
        <w:tc>
          <w:tcPr>
            <w:tcW w:w="1192" w:type="pct"/>
            <w:vAlign w:val="center"/>
          </w:tcPr>
          <w:p w14:paraId="2875CC82">
            <w:pPr>
              <w:pStyle w:val="45"/>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付款方式</w:t>
            </w:r>
          </w:p>
        </w:tc>
        <w:tc>
          <w:tcPr>
            <w:tcW w:w="3217" w:type="pct"/>
            <w:vAlign w:val="center"/>
          </w:tcPr>
          <w:p w14:paraId="0C274A59">
            <w:pPr>
              <w:pStyle w:val="45"/>
              <w:widowControl w:val="0"/>
              <w:spacing w:before="0" w:beforeAutospacing="0" w:after="0" w:afterAutospacing="0" w:line="360" w:lineRule="auto"/>
              <w:jc w:val="both"/>
              <w:rPr>
                <w:rFonts w:ascii="宋体" w:hAnsi="宋体" w:eastAsia="宋体"/>
                <w:b w:val="0"/>
                <w:sz w:val="24"/>
                <w:highlight w:val="none"/>
                <w:u w:val="none"/>
              </w:rPr>
            </w:pPr>
            <w:r>
              <w:rPr>
                <w:rFonts w:hint="eastAsia" w:ascii="宋体" w:hAnsi="宋体" w:eastAsia="宋体"/>
                <w:b w:val="0"/>
                <w:sz w:val="24"/>
                <w:highlight w:val="none"/>
                <w:u w:val="none"/>
              </w:rPr>
              <w:t>“信息等级保护测评（二级）”服务结束后，第一次验收，验收通过后支付对应款项。“信息系统安全托管服务”结束后，第二次验收，验收通过后支付合同余款。</w:t>
            </w:r>
          </w:p>
        </w:tc>
      </w:tr>
      <w:tr w14:paraId="111E9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73941524">
            <w:pPr>
              <w:pStyle w:val="46"/>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2</w:t>
            </w:r>
          </w:p>
        </w:tc>
        <w:tc>
          <w:tcPr>
            <w:tcW w:w="1192" w:type="pct"/>
            <w:vAlign w:val="center"/>
          </w:tcPr>
          <w:p w14:paraId="12C67F16">
            <w:pPr>
              <w:pStyle w:val="45"/>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服务地点</w:t>
            </w:r>
          </w:p>
        </w:tc>
        <w:tc>
          <w:tcPr>
            <w:tcW w:w="3217" w:type="pct"/>
            <w:vAlign w:val="center"/>
          </w:tcPr>
          <w:p w14:paraId="1555D547">
            <w:pPr>
              <w:pStyle w:val="45"/>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合肥市安徽医科大学，采购人指定地点。</w:t>
            </w:r>
          </w:p>
        </w:tc>
      </w:tr>
      <w:tr w14:paraId="7EB13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4619F74F">
            <w:pPr>
              <w:pStyle w:val="46"/>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3</w:t>
            </w:r>
          </w:p>
        </w:tc>
        <w:tc>
          <w:tcPr>
            <w:tcW w:w="1192" w:type="pct"/>
            <w:vAlign w:val="center"/>
          </w:tcPr>
          <w:p w14:paraId="2A564B9D">
            <w:pPr>
              <w:pStyle w:val="45"/>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服务期限</w:t>
            </w:r>
          </w:p>
        </w:tc>
        <w:tc>
          <w:tcPr>
            <w:tcW w:w="3217" w:type="pct"/>
            <w:vAlign w:val="center"/>
          </w:tcPr>
          <w:p w14:paraId="51609D65">
            <w:pPr>
              <w:pStyle w:val="45"/>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自合同签订之日起一年</w:t>
            </w:r>
          </w:p>
        </w:tc>
      </w:tr>
      <w:tr w14:paraId="040EB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2F3474FC">
            <w:pPr>
              <w:pStyle w:val="46"/>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4</w:t>
            </w:r>
          </w:p>
        </w:tc>
        <w:tc>
          <w:tcPr>
            <w:tcW w:w="1192" w:type="pct"/>
            <w:vAlign w:val="center"/>
          </w:tcPr>
          <w:p w14:paraId="2CED805C">
            <w:pPr>
              <w:pStyle w:val="45"/>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本项目采购标的名称及所属行业</w:t>
            </w:r>
          </w:p>
        </w:tc>
        <w:tc>
          <w:tcPr>
            <w:tcW w:w="3217" w:type="pct"/>
            <w:vAlign w:val="center"/>
          </w:tcPr>
          <w:p w14:paraId="25234176">
            <w:pPr>
              <w:spacing w:line="360" w:lineRule="auto"/>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标的名称：安徽医科大学信息系统等级保护测评服务采购项目</w:t>
            </w:r>
          </w:p>
          <w:p w14:paraId="7698BE27">
            <w:pPr>
              <w:rPr>
                <w:rFonts w:ascii="宋体" w:hAnsi="宋体" w:eastAsia="宋体"/>
                <w:sz w:val="24"/>
                <w:highlight w:val="none"/>
                <w:u w:val="single"/>
              </w:rPr>
            </w:pPr>
            <w:r>
              <w:rPr>
                <w:rFonts w:hint="eastAsia" w:asciiTheme="minorEastAsia" w:hAnsiTheme="minorEastAsia" w:eastAsiaTheme="minorEastAsia"/>
                <w:sz w:val="24"/>
                <w:highlight w:val="none"/>
              </w:rPr>
              <w:t>所属行业：软件和信息技术服务业</w:t>
            </w:r>
          </w:p>
        </w:tc>
      </w:tr>
    </w:tbl>
    <w:p w14:paraId="489FC81B">
      <w:pPr>
        <w:spacing w:line="360" w:lineRule="auto"/>
        <w:ind w:firstLine="437"/>
        <w:outlineLvl w:val="1"/>
        <w:rPr>
          <w:rFonts w:ascii="宋体" w:hAnsi="宋体" w:eastAsia="宋体"/>
          <w:b/>
          <w:sz w:val="24"/>
          <w:szCs w:val="18"/>
          <w:highlight w:val="none"/>
        </w:rPr>
      </w:pPr>
      <w:bookmarkStart w:id="91" w:name="_Toc21706"/>
      <w:bookmarkStart w:id="92" w:name="_Toc25144"/>
      <w:bookmarkStart w:id="93" w:name="_Toc23116"/>
      <w:r>
        <w:rPr>
          <w:rFonts w:hint="eastAsia" w:ascii="宋体" w:hAnsi="宋体" w:eastAsia="宋体"/>
          <w:b/>
          <w:sz w:val="24"/>
          <w:szCs w:val="18"/>
          <w:highlight w:val="none"/>
        </w:rPr>
        <w:t>二、项目概况</w:t>
      </w:r>
      <w:bookmarkEnd w:id="91"/>
      <w:bookmarkEnd w:id="92"/>
      <w:bookmarkEnd w:id="93"/>
    </w:p>
    <w:p w14:paraId="4FAF818D">
      <w:pPr>
        <w:spacing w:line="360" w:lineRule="auto"/>
        <w:ind w:firstLine="437"/>
        <w:rPr>
          <w:rFonts w:ascii="宋体" w:hAnsi="宋体" w:eastAsia="宋体"/>
          <w:b/>
          <w:sz w:val="24"/>
          <w:szCs w:val="18"/>
          <w:highlight w:val="none"/>
        </w:rPr>
      </w:pPr>
      <w:r>
        <w:rPr>
          <w:rFonts w:hint="eastAsia" w:ascii="宋体" w:hAnsi="宋体" w:eastAsia="宋体"/>
          <w:b/>
          <w:sz w:val="24"/>
          <w:szCs w:val="18"/>
          <w:highlight w:val="none"/>
        </w:rPr>
        <w:t>本次项目采购信息系统等级保护测评服务、安全托管服务，排除安全隐患，增加信息系统安全运行安全保障能力。</w:t>
      </w:r>
    </w:p>
    <w:p w14:paraId="635E2F02">
      <w:pPr>
        <w:spacing w:line="360" w:lineRule="auto"/>
        <w:ind w:firstLine="437"/>
        <w:outlineLvl w:val="1"/>
        <w:rPr>
          <w:rFonts w:ascii="宋体" w:hAnsi="宋体" w:eastAsia="宋体"/>
          <w:b/>
          <w:sz w:val="24"/>
          <w:szCs w:val="18"/>
          <w:highlight w:val="none"/>
        </w:rPr>
      </w:pPr>
      <w:bookmarkStart w:id="94" w:name="_Toc8586"/>
      <w:bookmarkStart w:id="95" w:name="_Toc29412"/>
      <w:bookmarkStart w:id="96" w:name="_Toc21757"/>
      <w:r>
        <w:rPr>
          <w:rFonts w:hint="eastAsia" w:ascii="宋体" w:hAnsi="宋体" w:eastAsia="宋体"/>
          <w:b/>
          <w:sz w:val="24"/>
          <w:szCs w:val="18"/>
          <w:highlight w:val="none"/>
        </w:rPr>
        <w:t>三、服务需求</w:t>
      </w:r>
      <w:bookmarkEnd w:id="94"/>
      <w:bookmarkEnd w:id="95"/>
      <w:bookmarkEnd w:id="96"/>
    </w:p>
    <w:p w14:paraId="0D9E0F0A">
      <w:pPr>
        <w:spacing w:line="440" w:lineRule="exact"/>
        <w:ind w:firstLine="480" w:firstLineChars="200"/>
        <w:outlineLvl w:val="1"/>
        <w:rPr>
          <w:rFonts w:ascii="宋体" w:hAnsi="宋体" w:eastAsia="宋体" w:cs="宋体"/>
          <w:sz w:val="24"/>
          <w:szCs w:val="24"/>
          <w:highlight w:val="none"/>
        </w:rPr>
      </w:pPr>
      <w:r>
        <w:rPr>
          <w:rFonts w:hint="eastAsia" w:ascii="宋体" w:hAnsi="宋体" w:eastAsia="宋体" w:cs="宋体"/>
          <w:sz w:val="24"/>
          <w:szCs w:val="24"/>
          <w:highlight w:val="none"/>
        </w:rPr>
        <w:t>1、建设背景</w:t>
      </w:r>
    </w:p>
    <w:p w14:paraId="4C061C46">
      <w:pPr>
        <w:pStyle w:val="7"/>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依据《中华人民共和国网络安全法》《信息安全等级保护管理办法》及《安徽省高等学校教育信息化建设评价指标体系2.0（试行）》，落实信息系统等级保护措施，进一步提高安徽医科大学信息系统的整体安全防护能力。本次项目计划采购一套信息系统等级保护测评服务，测评学校部分重要信息系统，并引入网络安全防护第三方服务，提升学校网络安全保障能力。</w:t>
      </w:r>
    </w:p>
    <w:p w14:paraId="397FEE70">
      <w:pPr>
        <w:spacing w:line="440" w:lineRule="exact"/>
        <w:ind w:firstLine="480" w:firstLineChars="200"/>
        <w:outlineLvl w:val="1"/>
        <w:rPr>
          <w:rFonts w:ascii="宋体" w:hAnsi="宋体" w:eastAsia="宋体" w:cs="宋体"/>
          <w:sz w:val="24"/>
          <w:szCs w:val="24"/>
          <w:highlight w:val="none"/>
        </w:rPr>
      </w:pPr>
      <w:r>
        <w:rPr>
          <w:rFonts w:hint="eastAsia" w:ascii="宋体" w:hAnsi="宋体" w:eastAsia="宋体" w:cs="宋体"/>
          <w:sz w:val="24"/>
          <w:szCs w:val="24"/>
          <w:highlight w:val="none"/>
        </w:rPr>
        <w:t>2、建设目标</w:t>
      </w:r>
    </w:p>
    <w:p w14:paraId="24B43A17">
      <w:pPr>
        <w:pStyle w:val="7"/>
        <w:spacing w:before="0"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通过信息系统等级保护二级测评，实现信息系统等级保护二级框架下的物理环境、网络架构、边界防护、安全审计、可信验证、供应链、移动安全、数据备份和恢复、安全制度等维度的安全测评和强化。</w:t>
      </w:r>
    </w:p>
    <w:p w14:paraId="7B9D8D9B">
      <w:pPr>
        <w:pStyle w:val="7"/>
        <w:spacing w:before="0"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引入网络安全防护第三方服务提升安徽医科大学校内部重要资产的漏洞闭环处置率；缩短安全威胁的发现时间和响应时间；减少校内产生危害的安全事件数量；重要资产配备云端专业安全团队进行7*24小时的值守，提高安全运营成熟度。</w:t>
      </w:r>
    </w:p>
    <w:p w14:paraId="1B2CC4C9">
      <w:pPr>
        <w:spacing w:line="440" w:lineRule="exact"/>
        <w:ind w:firstLine="480" w:firstLineChars="200"/>
        <w:outlineLvl w:val="1"/>
        <w:rPr>
          <w:rFonts w:ascii="宋体" w:hAnsi="宋体" w:eastAsia="宋体" w:cs="宋体"/>
          <w:sz w:val="24"/>
          <w:szCs w:val="24"/>
          <w:highlight w:val="none"/>
        </w:rPr>
      </w:pPr>
      <w:r>
        <w:rPr>
          <w:rFonts w:hint="eastAsia" w:ascii="宋体" w:hAnsi="宋体" w:eastAsia="宋体" w:cs="宋体"/>
          <w:sz w:val="24"/>
          <w:szCs w:val="24"/>
          <w:highlight w:val="none"/>
        </w:rPr>
        <w:t>3、建设内容</w:t>
      </w:r>
    </w:p>
    <w:p w14:paraId="56DCDEEE">
      <w:pPr>
        <w:ind w:firstLine="482" w:firstLineChars="200"/>
        <w:rPr>
          <w:rFonts w:ascii="宋体" w:hAnsi="宋体" w:eastAsia="宋体" w:cs="宋体"/>
          <w:b/>
          <w:bCs/>
          <w:sz w:val="24"/>
          <w:szCs w:val="24"/>
          <w:highlight w:val="none"/>
        </w:rPr>
      </w:pPr>
      <w:r>
        <w:rPr>
          <w:rFonts w:hint="eastAsia" w:ascii="宋体" w:hAnsi="宋体" w:eastAsia="宋体" w:cs="宋体"/>
          <w:b/>
          <w:bCs/>
          <w:sz w:val="24"/>
          <w:szCs w:val="24"/>
          <w:highlight w:val="none"/>
        </w:rPr>
        <w:t>3.1、信息系统等级保护测评服务</w:t>
      </w:r>
    </w:p>
    <w:p w14:paraId="7342D140">
      <w:pPr>
        <w:pStyle w:val="7"/>
        <w:spacing w:before="0"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拟对安徽医科大学重要信息系统实施等级保护测评，以进一步完善信息系统安全管理体系和技术防护体系，切实提高系统信息安全防护能力，为信息化建设的健康有序发展提供可靠保障。</w:t>
      </w:r>
    </w:p>
    <w:p w14:paraId="5C7B4B91">
      <w:pPr>
        <w:pStyle w:val="7"/>
        <w:spacing w:before="0"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本次信息系统网络安全等级保护测评需就信息系统进行等级保护测评。成交人应依据相应等级的安全保护测评要求及行业的特殊安全需求，对信息系统网络安全进行等级保护符合性测评。测评内容涵盖物理和环境安全、网络和通信安全、设备和计算安全、应用和数据安全、数据安全与备份恢复、安全策略和管理制度、安全管理机构和人员、系统建设管理、系统运维管理等信息安全的各个层面。</w:t>
      </w:r>
    </w:p>
    <w:p w14:paraId="4541FBDC">
      <w:pPr>
        <w:pStyle w:val="7"/>
        <w:spacing w:before="0"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要求测评机构以国家等级保护相关标准《GB/T 22239-2019信息安全技术 网络安全等级保护基本要求》为基础，对学校整体信息系统的构成、应用情况、网络结构、安全现状加以分析研究、编制信息系统测评技术方案和实施方案，可以按照国家政策最新标准及要求进行，提交差距分析、问题清单及整改意见、测评报告、等一系列技术文档。</w:t>
      </w:r>
    </w:p>
    <w:p w14:paraId="1CA722B8">
      <w:pPr>
        <w:pStyle w:val="7"/>
        <w:spacing w:before="0" w:line="440" w:lineRule="exact"/>
        <w:ind w:firstLine="482" w:firstLineChars="200"/>
        <w:rPr>
          <w:rFonts w:ascii="宋体" w:hAnsi="宋体" w:cs="宋体"/>
          <w:b/>
          <w:bCs/>
          <w:sz w:val="24"/>
          <w:szCs w:val="24"/>
          <w:highlight w:val="none"/>
        </w:rPr>
      </w:pPr>
      <w:r>
        <w:rPr>
          <w:rFonts w:hint="eastAsia" w:ascii="宋体" w:hAnsi="宋体" w:cs="宋体"/>
          <w:b/>
          <w:bCs/>
          <w:sz w:val="24"/>
          <w:szCs w:val="24"/>
          <w:highlight w:val="none"/>
        </w:rPr>
        <w:t>3.1.1、12个核心业务信息系统进行测评（须取得相关等保测评证书）</w:t>
      </w:r>
    </w:p>
    <w:p w14:paraId="4D9EA5F7">
      <w:pPr>
        <w:pStyle w:val="7"/>
        <w:spacing w:before="0"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完成对12个学校核心业务系统信息系统等级保护测评（二级）。</w:t>
      </w:r>
    </w:p>
    <w:p w14:paraId="21FEECC1">
      <w:pPr>
        <w:pStyle w:val="7"/>
        <w:spacing w:before="0"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待测评系统分为12个类，具体清单为：安防管理、财务管理、采购管理、对外交流、科研和实验管理、人事和政务管理、图书档案管理、团学管理、网站群、学科和教学管理、智慧校园、资产管理。</w:t>
      </w:r>
    </w:p>
    <w:p w14:paraId="1EFEEC72">
      <w:pPr>
        <w:pStyle w:val="7"/>
        <w:spacing w:before="0" w:line="440" w:lineRule="exact"/>
        <w:ind w:firstLine="482" w:firstLineChars="200"/>
        <w:outlineLvl w:val="0"/>
        <w:rPr>
          <w:rFonts w:ascii="宋体" w:hAnsi="宋体" w:cs="宋体"/>
          <w:b/>
          <w:bCs/>
          <w:sz w:val="24"/>
          <w:szCs w:val="24"/>
          <w:highlight w:val="none"/>
        </w:rPr>
      </w:pPr>
      <w:r>
        <w:rPr>
          <w:rFonts w:hint="eastAsia" w:ascii="宋体" w:hAnsi="宋体" w:cs="宋体"/>
          <w:b/>
          <w:bCs/>
          <w:sz w:val="24"/>
          <w:szCs w:val="24"/>
          <w:highlight w:val="none"/>
        </w:rPr>
        <w:t>3.1.2、等级保护测评主要包括以下几个方面</w:t>
      </w:r>
    </w:p>
    <w:p w14:paraId="792C63B6">
      <w:pPr>
        <w:pStyle w:val="7"/>
        <w:spacing w:before="0"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（1）等保测评：完成包括安全物理环境、安全计算环境、安全区域边界、安全通信网络、安全管理中心和安全管理机构、安全管理制度、安全管理人员、安全建设管理和安全运维管理方面的测评工作。</w:t>
      </w:r>
    </w:p>
    <w:p w14:paraId="6BF33E2B">
      <w:pPr>
        <w:pStyle w:val="7"/>
        <w:spacing w:before="0"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（2）工具测试：</w:t>
      </w:r>
      <w:r>
        <w:rPr>
          <w:rFonts w:hint="eastAsia" w:ascii="宋体" w:hAnsi="宋体" w:cs="宋体"/>
          <w:b/>
          <w:bCs/>
          <w:sz w:val="24"/>
          <w:szCs w:val="24"/>
          <w:highlight w:val="none"/>
        </w:rPr>
        <w:t>针对本次测评的信息系统进行漏洞扫描、渗透测试等安全服务工作</w:t>
      </w:r>
      <w:r>
        <w:rPr>
          <w:rFonts w:hint="eastAsia" w:ascii="宋体" w:hAnsi="宋体" w:cs="宋体"/>
          <w:sz w:val="24"/>
          <w:szCs w:val="24"/>
          <w:highlight w:val="none"/>
        </w:rPr>
        <w:t>。</w:t>
      </w:r>
    </w:p>
    <w:p w14:paraId="4C5015C1">
      <w:pPr>
        <w:pStyle w:val="7"/>
        <w:spacing w:before="0"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成交人需基于CVE、CNVD、CNNVD等漏洞数据库，通过扫描等手段对指定的远程或者本地的网络设备、主机、数据库、操作系统、中间件、业务系统等进行安全弱点检测，最终输出《漏洞扫描报告》。</w:t>
      </w:r>
    </w:p>
    <w:p w14:paraId="32366577">
      <w:pPr>
        <w:pStyle w:val="7"/>
        <w:spacing w:before="0"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成交人需利用主流的攻击技术和工具对目标网络、业务系统、数据库进行模拟黑客攻击测试，将发现的安全漏洞进行整理，给出详细说明，并针对每一个安全漏洞提供相应的解决建议，最终输出《渗透测试报告》和《渗透测试复测报告》。</w:t>
      </w:r>
    </w:p>
    <w:p w14:paraId="3575EF3B">
      <w:pPr>
        <w:pStyle w:val="7"/>
        <w:spacing w:before="0"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（3）整改建议：成交人应根据现场测评中发现的问题，分析与GB/T 22239-2019、ISO/IEC 27001、ISO/IEC 20000、ISO 22301、ITIL和ITSS等行业最佳实践之间的差距，按照网络安全等级保护标准要求提出安全整改建议。</w:t>
      </w:r>
    </w:p>
    <w:p w14:paraId="1638C5EC">
      <w:pPr>
        <w:pStyle w:val="7"/>
        <w:spacing w:before="0"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（4）编制测评报告：完成上述测评工作和整改加固实施后，成交人最后出具符合标准要求的信息系统网络安全等级保护测评报告。</w:t>
      </w:r>
    </w:p>
    <w:p w14:paraId="28EDAC50">
      <w:pPr>
        <w:pStyle w:val="7"/>
        <w:spacing w:before="0" w:line="440" w:lineRule="exact"/>
        <w:ind w:firstLine="482" w:firstLineChars="200"/>
        <w:outlineLvl w:val="0"/>
        <w:rPr>
          <w:rFonts w:ascii="宋体" w:hAnsi="宋体" w:cs="宋体"/>
          <w:b/>
          <w:bCs/>
          <w:sz w:val="24"/>
          <w:szCs w:val="24"/>
          <w:highlight w:val="none"/>
        </w:rPr>
      </w:pPr>
      <w:r>
        <w:rPr>
          <w:rFonts w:hint="eastAsia" w:ascii="宋体" w:hAnsi="宋体" w:cs="宋体"/>
          <w:b/>
          <w:bCs/>
          <w:sz w:val="24"/>
          <w:szCs w:val="24"/>
          <w:highlight w:val="none"/>
        </w:rPr>
        <w:t>3.1.3、实施原则</w:t>
      </w:r>
    </w:p>
    <w:p w14:paraId="489964E3">
      <w:pPr>
        <w:pStyle w:val="7"/>
        <w:spacing w:before="0"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（1）规范性原则：成交人工作中的过程和文档，具有很好的规范性，可以便于项目的跟踪和控制。</w:t>
      </w:r>
    </w:p>
    <w:p w14:paraId="0AC18400">
      <w:pPr>
        <w:pStyle w:val="7"/>
        <w:spacing w:before="0"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（2）标准性原则：测评方案的设计与实施应依据国家等级保护的相关标准进行。</w:t>
      </w:r>
    </w:p>
    <w:p w14:paraId="3E5CDFC4">
      <w:pPr>
        <w:pStyle w:val="7"/>
        <w:spacing w:before="0"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（3）可控性原则：测评的工具、方法和过程需在双方认可的范围之内并符合进度表的安排，保证学院对服务工作的可控性。</w:t>
      </w:r>
    </w:p>
    <w:p w14:paraId="4077DD17">
      <w:pPr>
        <w:pStyle w:val="7"/>
        <w:spacing w:before="0"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（4）整体性原则：测评和分析的范围和内容应当整体全面，包括安全涉及的各个层面，避免由于遗漏造成未来的安全隐患。</w:t>
      </w:r>
    </w:p>
    <w:p w14:paraId="2AD3645C">
      <w:pPr>
        <w:pStyle w:val="7"/>
        <w:spacing w:before="0"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5）最小影响原则：测评工作应尽可能小的影响系统和网络的正常运行，不能对现网的运行和业务的正常提供产生显著影响(包括系统性能明显下降、网络拥塞、服务中断，如无法避免出现这些情况应在应答书上详细描述)。</w:t>
      </w:r>
    </w:p>
    <w:p w14:paraId="1EEBF822">
      <w:pPr>
        <w:pStyle w:val="7"/>
        <w:spacing w:before="0"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（6）保密原则：对测评的过程数据和结果数据严格保密，未经授权不得泄露给任何单位和个人，不得利用此数据进行任何侵害学院网络的行为，否则学院有权追究责任。</w:t>
      </w:r>
    </w:p>
    <w:p w14:paraId="5EDDD6C0">
      <w:pPr>
        <w:pStyle w:val="7"/>
        <w:spacing w:before="0" w:line="440" w:lineRule="exact"/>
        <w:ind w:firstLine="482" w:firstLineChars="200"/>
        <w:outlineLvl w:val="0"/>
        <w:rPr>
          <w:rFonts w:ascii="宋体" w:hAnsi="宋体" w:cs="宋体"/>
          <w:b/>
          <w:bCs/>
          <w:sz w:val="24"/>
          <w:szCs w:val="24"/>
          <w:highlight w:val="none"/>
        </w:rPr>
      </w:pPr>
      <w:r>
        <w:rPr>
          <w:rFonts w:hint="eastAsia" w:ascii="宋体" w:hAnsi="宋体" w:cs="宋体"/>
          <w:b/>
          <w:bCs/>
          <w:sz w:val="24"/>
          <w:szCs w:val="24"/>
          <w:highlight w:val="none"/>
        </w:rPr>
        <w:t>3.1.4、测评依据</w:t>
      </w:r>
    </w:p>
    <w:p w14:paraId="0C560225">
      <w:pPr>
        <w:pStyle w:val="7"/>
        <w:spacing w:before="0"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 xml:space="preserve">《信息安全技术 网络安全等级保护基本要求》（GB/T 22239-2019）； </w:t>
      </w:r>
    </w:p>
    <w:p w14:paraId="312FB3D1">
      <w:pPr>
        <w:pStyle w:val="7"/>
        <w:spacing w:before="0"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《信息安全技术 网络安全等级保护定级指南》（GB/T 22240-2020）；</w:t>
      </w:r>
    </w:p>
    <w:p w14:paraId="6818E71B">
      <w:pPr>
        <w:pStyle w:val="7"/>
        <w:spacing w:before="0"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《信息安全技术 网络安全等级保护测评要求》（GB/T 28448-2019） ；</w:t>
      </w:r>
    </w:p>
    <w:p w14:paraId="7E64B816">
      <w:pPr>
        <w:pStyle w:val="7"/>
        <w:spacing w:before="0"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《信息安全技术 网络安全等级保护测评过程指南》（GB∕T 28449-2018）。</w:t>
      </w:r>
    </w:p>
    <w:p w14:paraId="64DE1B48">
      <w:pPr>
        <w:pStyle w:val="7"/>
        <w:spacing w:before="0" w:line="440" w:lineRule="exact"/>
        <w:ind w:firstLine="482" w:firstLineChars="200"/>
        <w:outlineLvl w:val="0"/>
        <w:rPr>
          <w:rFonts w:ascii="宋体" w:hAnsi="宋体" w:cs="宋体"/>
          <w:b/>
          <w:bCs/>
          <w:sz w:val="24"/>
          <w:szCs w:val="24"/>
          <w:highlight w:val="none"/>
        </w:rPr>
      </w:pPr>
      <w:r>
        <w:rPr>
          <w:rFonts w:hint="eastAsia" w:ascii="宋体" w:hAnsi="宋体" w:cs="宋体"/>
          <w:b/>
          <w:bCs/>
          <w:sz w:val="24"/>
          <w:szCs w:val="24"/>
          <w:highlight w:val="none"/>
        </w:rPr>
        <w:t>3.1.5、等级保护测评内容</w:t>
      </w:r>
    </w:p>
    <w:p w14:paraId="7C9D91A6">
      <w:pPr>
        <w:pStyle w:val="7"/>
        <w:spacing w:before="0"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根据国家等级保护相关标准，本次项目的网络安全等级保护测评应包括以下内容：</w:t>
      </w:r>
    </w:p>
    <w:p w14:paraId="14E295DF">
      <w:pPr>
        <w:pStyle w:val="7"/>
        <w:spacing w:before="0"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（1）安全技术测评：包括安全物理环境、安全通信网络、安全区域边界、安全计算环境、安全管理中心等五个方面的安全测评。</w:t>
      </w:r>
    </w:p>
    <w:p w14:paraId="624213F9">
      <w:pPr>
        <w:pStyle w:val="7"/>
        <w:spacing w:before="0" w:line="440" w:lineRule="exact"/>
        <w:ind w:firstLine="480" w:firstLineChars="200"/>
        <w:outlineLvl w:val="1"/>
        <w:rPr>
          <w:rFonts w:ascii="宋体" w:hAnsi="宋体" w:cs="宋体"/>
          <w:sz w:val="24"/>
          <w:szCs w:val="24"/>
          <w:highlight w:val="none"/>
        </w:rPr>
      </w:pPr>
      <w:r>
        <w:rPr>
          <w:rFonts w:hint="eastAsia" w:ascii="宋体" w:hAnsi="宋体" w:cs="宋体"/>
          <w:sz w:val="24"/>
          <w:szCs w:val="24"/>
          <w:highlight w:val="none"/>
        </w:rPr>
        <w:t>①安全物理环境</w:t>
      </w:r>
    </w:p>
    <w:p w14:paraId="0FE693D0">
      <w:pPr>
        <w:pStyle w:val="7"/>
        <w:spacing w:before="0"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安全物理环境是对机房和办公场所的物理环境安全防护情况进行测评，包括物理位置选择、物理访问控制、防盗窃和防破坏、防雷击、防火、防水和防潮、防静电、温湿度控制、电力供应和电磁防护等方面的安全状况。</w:t>
      </w:r>
    </w:p>
    <w:p w14:paraId="1DFE5CBA">
      <w:pPr>
        <w:pStyle w:val="7"/>
        <w:spacing w:before="0" w:line="440" w:lineRule="exact"/>
        <w:ind w:firstLine="480" w:firstLineChars="200"/>
        <w:outlineLvl w:val="1"/>
        <w:rPr>
          <w:rFonts w:ascii="宋体" w:hAnsi="宋体" w:cs="宋体"/>
          <w:sz w:val="24"/>
          <w:szCs w:val="24"/>
          <w:highlight w:val="none"/>
        </w:rPr>
      </w:pPr>
      <w:r>
        <w:rPr>
          <w:rFonts w:hint="eastAsia" w:ascii="宋体" w:hAnsi="宋体" w:cs="宋体"/>
          <w:sz w:val="24"/>
          <w:szCs w:val="24"/>
          <w:highlight w:val="none"/>
        </w:rPr>
        <w:t>②安全通信网络</w:t>
      </w:r>
    </w:p>
    <w:p w14:paraId="13B3CB9D">
      <w:pPr>
        <w:pStyle w:val="7"/>
        <w:spacing w:before="0"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安全通信网络测评是对网络系统安全防护情况进行测评，包括网络架构、通信传输、可信验证等方面的安全状况。</w:t>
      </w:r>
    </w:p>
    <w:p w14:paraId="1617824A">
      <w:pPr>
        <w:pStyle w:val="7"/>
        <w:spacing w:before="0" w:line="440" w:lineRule="exact"/>
        <w:ind w:firstLine="480" w:firstLineChars="200"/>
        <w:outlineLvl w:val="1"/>
        <w:rPr>
          <w:rFonts w:ascii="宋体" w:hAnsi="宋体" w:cs="宋体"/>
          <w:sz w:val="24"/>
          <w:szCs w:val="24"/>
          <w:highlight w:val="none"/>
        </w:rPr>
      </w:pPr>
      <w:r>
        <w:rPr>
          <w:rFonts w:hint="eastAsia" w:ascii="宋体" w:hAnsi="宋体" w:cs="宋体"/>
          <w:sz w:val="24"/>
          <w:szCs w:val="24"/>
          <w:highlight w:val="none"/>
        </w:rPr>
        <w:t>③安全区域边界</w:t>
      </w:r>
    </w:p>
    <w:p w14:paraId="7D33B665">
      <w:pPr>
        <w:pStyle w:val="7"/>
        <w:spacing w:before="0"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安全区域边界是对边界防护、访问控制、入侵防范、恶意代码防范、安全审计、可信验证等方面的测评。</w:t>
      </w:r>
    </w:p>
    <w:p w14:paraId="65113AF5">
      <w:pPr>
        <w:pStyle w:val="7"/>
        <w:spacing w:before="0" w:line="440" w:lineRule="exact"/>
        <w:ind w:firstLine="480" w:firstLineChars="200"/>
        <w:outlineLvl w:val="1"/>
        <w:rPr>
          <w:rFonts w:ascii="宋体" w:hAnsi="宋体" w:cs="宋体"/>
          <w:sz w:val="24"/>
          <w:szCs w:val="24"/>
          <w:highlight w:val="none"/>
        </w:rPr>
      </w:pPr>
      <w:r>
        <w:rPr>
          <w:rFonts w:hint="eastAsia" w:ascii="宋体" w:hAnsi="宋体" w:cs="宋体"/>
          <w:sz w:val="24"/>
          <w:szCs w:val="24"/>
          <w:highlight w:val="none"/>
        </w:rPr>
        <w:t>④安全计算环境</w:t>
      </w:r>
    </w:p>
    <w:p w14:paraId="327A0745">
      <w:pPr>
        <w:pStyle w:val="7"/>
        <w:spacing w:before="0"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安全计算环境是对身份鉴别、访问控制、安全审计、入侵防范、恶意代码防范、可信验证、数据完整性、数据保密性、数据备份恢复、剩余信息保护、个人信息保护等方面的测评。</w:t>
      </w:r>
    </w:p>
    <w:p w14:paraId="728D597A">
      <w:pPr>
        <w:pStyle w:val="7"/>
        <w:spacing w:before="0" w:line="440" w:lineRule="exact"/>
        <w:ind w:firstLine="480" w:firstLineChars="200"/>
        <w:outlineLvl w:val="1"/>
        <w:rPr>
          <w:rFonts w:ascii="宋体" w:hAnsi="宋体" w:cs="宋体"/>
          <w:sz w:val="24"/>
          <w:szCs w:val="24"/>
          <w:highlight w:val="none"/>
        </w:rPr>
      </w:pPr>
      <w:r>
        <w:rPr>
          <w:rFonts w:hint="eastAsia" w:ascii="宋体" w:hAnsi="宋体" w:cs="宋体"/>
          <w:sz w:val="24"/>
          <w:szCs w:val="24"/>
          <w:highlight w:val="none"/>
        </w:rPr>
        <w:t>⑤安全管理中心</w:t>
      </w:r>
    </w:p>
    <w:p w14:paraId="3AFF3F6D">
      <w:pPr>
        <w:pStyle w:val="7"/>
        <w:spacing w:before="0"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安全管理中心是对系统管理、审计管理、安全管理、集中管控等方面的测评。</w:t>
      </w:r>
    </w:p>
    <w:p w14:paraId="325984AF">
      <w:pPr>
        <w:pStyle w:val="7"/>
        <w:spacing w:before="0"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（2）安全管理测评：包括安全管理制度、安全管理机构、安全管理人员、安全建设管理和安全运维管理等五个方面的安全测评。</w:t>
      </w:r>
    </w:p>
    <w:p w14:paraId="1D5B156F">
      <w:pPr>
        <w:pStyle w:val="7"/>
        <w:spacing w:before="0" w:line="440" w:lineRule="exact"/>
        <w:ind w:firstLine="480" w:firstLineChars="200"/>
        <w:outlineLvl w:val="1"/>
        <w:rPr>
          <w:rFonts w:ascii="宋体" w:hAnsi="宋体" w:cs="宋体"/>
          <w:sz w:val="24"/>
          <w:szCs w:val="24"/>
          <w:highlight w:val="none"/>
        </w:rPr>
      </w:pPr>
      <w:r>
        <w:rPr>
          <w:rFonts w:hint="eastAsia" w:ascii="宋体" w:hAnsi="宋体" w:cs="宋体"/>
          <w:sz w:val="24"/>
          <w:szCs w:val="24"/>
          <w:highlight w:val="none"/>
        </w:rPr>
        <w:t>①安全管理制度</w:t>
      </w:r>
    </w:p>
    <w:p w14:paraId="4B0DC9EE">
      <w:pPr>
        <w:pStyle w:val="7"/>
        <w:spacing w:before="0"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安全管理制度测评是对安全策略、管理制度、制定和发布、评审和修订进行测评。</w:t>
      </w:r>
    </w:p>
    <w:p w14:paraId="4B511625">
      <w:pPr>
        <w:pStyle w:val="7"/>
        <w:spacing w:before="0" w:line="440" w:lineRule="exact"/>
        <w:ind w:firstLine="480" w:firstLineChars="200"/>
        <w:outlineLvl w:val="1"/>
        <w:rPr>
          <w:rFonts w:ascii="宋体" w:hAnsi="宋体" w:cs="宋体"/>
          <w:sz w:val="24"/>
          <w:szCs w:val="24"/>
          <w:highlight w:val="none"/>
        </w:rPr>
      </w:pPr>
      <w:r>
        <w:rPr>
          <w:rFonts w:hint="eastAsia" w:ascii="宋体" w:hAnsi="宋体" w:cs="宋体"/>
          <w:sz w:val="24"/>
          <w:szCs w:val="24"/>
          <w:highlight w:val="none"/>
        </w:rPr>
        <w:t>②安全管理机构</w:t>
      </w:r>
    </w:p>
    <w:p w14:paraId="3ECD0FA2">
      <w:pPr>
        <w:pStyle w:val="7"/>
        <w:spacing w:before="0"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安全管理机构测评是对岗位设置、人员配备、授权和审批、沟通和合作、审核和检查等情况进行测评。</w:t>
      </w:r>
    </w:p>
    <w:p w14:paraId="68622B72">
      <w:pPr>
        <w:pStyle w:val="7"/>
        <w:spacing w:before="0" w:line="440" w:lineRule="exact"/>
        <w:ind w:firstLine="480" w:firstLineChars="200"/>
        <w:outlineLvl w:val="1"/>
        <w:rPr>
          <w:rFonts w:ascii="宋体" w:hAnsi="宋体" w:cs="宋体"/>
          <w:sz w:val="24"/>
          <w:szCs w:val="24"/>
          <w:highlight w:val="none"/>
        </w:rPr>
      </w:pPr>
      <w:r>
        <w:rPr>
          <w:rFonts w:hint="eastAsia" w:ascii="宋体" w:hAnsi="宋体" w:cs="宋体"/>
          <w:sz w:val="24"/>
          <w:szCs w:val="24"/>
          <w:highlight w:val="none"/>
        </w:rPr>
        <w:t>③安全管理人员</w:t>
      </w:r>
    </w:p>
    <w:p w14:paraId="62B05FCA">
      <w:pPr>
        <w:pStyle w:val="7"/>
        <w:spacing w:before="0"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安全管理人员测评是对人员录用、人员离岗、安全意识教育和培训、外部人员访问管理等情况进行测评。</w:t>
      </w:r>
    </w:p>
    <w:p w14:paraId="6D1CE626">
      <w:pPr>
        <w:pStyle w:val="7"/>
        <w:spacing w:before="0" w:line="440" w:lineRule="exact"/>
        <w:ind w:firstLine="480" w:firstLineChars="200"/>
        <w:outlineLvl w:val="1"/>
        <w:rPr>
          <w:rFonts w:ascii="宋体" w:hAnsi="宋体" w:cs="宋体"/>
          <w:sz w:val="24"/>
          <w:szCs w:val="24"/>
          <w:highlight w:val="none"/>
        </w:rPr>
      </w:pPr>
      <w:r>
        <w:rPr>
          <w:rFonts w:hint="eastAsia" w:ascii="宋体" w:hAnsi="宋体" w:cs="宋体"/>
          <w:sz w:val="24"/>
          <w:szCs w:val="24"/>
          <w:highlight w:val="none"/>
        </w:rPr>
        <w:t>④安全建设管理</w:t>
      </w:r>
    </w:p>
    <w:p w14:paraId="3C8EA8E9">
      <w:pPr>
        <w:pStyle w:val="7"/>
        <w:spacing w:before="0"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安全建设管理测评是对建设过程中安全方案设计、产品采购和使用、自行软件开发、外包软件开发、 工程实施、测试验收、系统交付、 等级测评、服务供应商选择等情况进行测评。</w:t>
      </w:r>
    </w:p>
    <w:p w14:paraId="4013A5B8">
      <w:pPr>
        <w:pStyle w:val="7"/>
        <w:spacing w:before="0" w:line="440" w:lineRule="exact"/>
        <w:ind w:firstLine="480" w:firstLineChars="200"/>
        <w:outlineLvl w:val="1"/>
        <w:rPr>
          <w:rFonts w:ascii="宋体" w:hAnsi="宋体" w:cs="宋体"/>
          <w:sz w:val="24"/>
          <w:szCs w:val="24"/>
          <w:highlight w:val="none"/>
        </w:rPr>
      </w:pPr>
      <w:r>
        <w:rPr>
          <w:rFonts w:hint="eastAsia" w:ascii="宋体" w:hAnsi="宋体" w:cs="宋体"/>
          <w:sz w:val="24"/>
          <w:szCs w:val="24"/>
          <w:highlight w:val="none"/>
        </w:rPr>
        <w:t>⑤安全运维管理</w:t>
      </w:r>
    </w:p>
    <w:p w14:paraId="4A7B2580">
      <w:pPr>
        <w:pStyle w:val="7"/>
        <w:spacing w:before="0"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安全运维管理测评是对环境管理、资产管理、介质管理、设备维护管理、漏洞和风险管理、网络和系统安全管理、恶意代码防范管理、配置管理、密码管理、变更管理、备份与恢复管理、安全事件处置、 应急预案管理、外包运维管理等情况进行测评。</w:t>
      </w:r>
    </w:p>
    <w:p w14:paraId="169B9EEE">
      <w:pPr>
        <w:pStyle w:val="7"/>
        <w:spacing w:before="0" w:line="440" w:lineRule="exact"/>
        <w:ind w:firstLine="482" w:firstLineChars="200"/>
        <w:outlineLvl w:val="0"/>
        <w:rPr>
          <w:rFonts w:ascii="宋体" w:hAnsi="宋体" w:cs="宋体"/>
          <w:b/>
          <w:bCs/>
          <w:sz w:val="24"/>
          <w:szCs w:val="24"/>
          <w:highlight w:val="none"/>
        </w:rPr>
      </w:pPr>
      <w:r>
        <w:rPr>
          <w:rFonts w:hint="eastAsia" w:ascii="宋体" w:hAnsi="宋体" w:cs="宋体"/>
          <w:b/>
          <w:bCs/>
          <w:sz w:val="24"/>
          <w:szCs w:val="24"/>
          <w:highlight w:val="none"/>
        </w:rPr>
        <w:t>3.1.6、网络安全等级保护合规治理服务</w:t>
      </w:r>
    </w:p>
    <w:p w14:paraId="75FBF718">
      <w:pPr>
        <w:pStyle w:val="7"/>
        <w:spacing w:before="0"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对信息资产进行全量细颗粒度梳理、脆弱性标记、威胁标记，对资产建立逻辑关系并可视化展现等。服务对象不仅包含传统资产关联平台的硬件、软件，并且对人员、管理制度等多种类型信息资产分类管理。</w:t>
      </w:r>
    </w:p>
    <w:p w14:paraId="75FD9147">
      <w:pPr>
        <w:pStyle w:val="7"/>
        <w:spacing w:before="0" w:line="440" w:lineRule="exact"/>
        <w:ind w:firstLine="482" w:firstLineChars="200"/>
        <w:outlineLvl w:val="0"/>
        <w:rPr>
          <w:rFonts w:ascii="宋体" w:hAnsi="宋体" w:cs="宋体"/>
          <w:b/>
          <w:bCs/>
          <w:sz w:val="24"/>
          <w:szCs w:val="24"/>
          <w:highlight w:val="none"/>
        </w:rPr>
      </w:pPr>
      <w:r>
        <w:rPr>
          <w:rFonts w:hint="eastAsia" w:ascii="宋体" w:hAnsi="宋体" w:cs="宋体"/>
          <w:b/>
          <w:bCs/>
          <w:sz w:val="24"/>
          <w:szCs w:val="24"/>
          <w:highlight w:val="none"/>
        </w:rPr>
        <w:t>3.1.7、主要项目内容包括</w:t>
      </w:r>
    </w:p>
    <w:p w14:paraId="7362DECC">
      <w:pPr>
        <w:pStyle w:val="7"/>
        <w:spacing w:before="0"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（1）漏洞扫描：供应商需针对网络设备，服务器，应用等进行漏洞扫描，出具漏洞扫描报告。</w:t>
      </w:r>
    </w:p>
    <w:p w14:paraId="04CF9A0C">
      <w:pPr>
        <w:pStyle w:val="7"/>
        <w:spacing w:before="0"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（2）渗透测试：模拟黑客可能使用的攻击技术和漏洞发现技术，对信息系统进行验证性渗透测试。</w:t>
      </w:r>
    </w:p>
    <w:p w14:paraId="34C5CE88">
      <w:pPr>
        <w:pStyle w:val="7"/>
        <w:spacing w:before="0"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3）安全加固：发现合规差距并协助进行安全加固，包括修复系统漏洞、优化网络边界防护策略（如防火墙规则、入侵检测）、强化身份认证与访问控制（RBAC、多因素认证）、完善日志审计与数据加密（存储/传输）、制定应急预案及管理制度。</w:t>
      </w:r>
    </w:p>
    <w:p w14:paraId="6A7B6122">
      <w:pPr>
        <w:pStyle w:val="7"/>
        <w:spacing w:before="0"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（3）系统定级与备案：协助学院完成系统的定级（含专家评审）与备案工作，最终取得公安部门下发的备案证明。</w:t>
      </w:r>
    </w:p>
    <w:p w14:paraId="5690FE7A">
      <w:pPr>
        <w:pStyle w:val="7"/>
        <w:spacing w:before="0"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4）等级保护测评：完成安全技术层面包括安全物理环境、安全通信网络、安全区域边界、安全计算环境和安全管理中心五个方面的安全测评；安全管理层面包括安全管理机构、安全管理制度、安全管理人员、安全建设管理和安全运维管理五个方面的安全测评。完成上述测评工作和整改加固实施后，最后出具符合公安机关要求的各信息系统网络安全等级保护测评报告。</w:t>
      </w:r>
    </w:p>
    <w:p w14:paraId="6A8F5F57">
      <w:pPr>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（5）所有工作完成后需提供以下材料：</w:t>
      </w:r>
    </w:p>
    <w:p w14:paraId="332880AD">
      <w:pPr>
        <w:pStyle w:val="7"/>
        <w:spacing w:before="0"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①问题清单及整改建议；</w:t>
      </w:r>
    </w:p>
    <w:p w14:paraId="2C243EF1">
      <w:pPr>
        <w:pStyle w:val="7"/>
        <w:spacing w:before="0"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②信息系统网络安全等级保护测评报告；</w:t>
      </w:r>
    </w:p>
    <w:p w14:paraId="2B2C78AE">
      <w:pPr>
        <w:pStyle w:val="7"/>
        <w:spacing w:before="0"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③配合校方取得等保测评备案证书。</w:t>
      </w:r>
    </w:p>
    <w:p w14:paraId="29A41E16">
      <w:pPr>
        <w:ind w:firstLine="482" w:firstLineChars="200"/>
        <w:rPr>
          <w:rFonts w:ascii="宋体" w:hAnsi="宋体" w:eastAsia="宋体" w:cs="宋体"/>
          <w:b/>
          <w:bCs/>
          <w:sz w:val="24"/>
          <w:szCs w:val="24"/>
          <w:highlight w:val="none"/>
        </w:rPr>
      </w:pPr>
      <w:r>
        <w:rPr>
          <w:rFonts w:hint="eastAsia" w:ascii="宋体" w:hAnsi="宋体" w:eastAsia="宋体" w:cs="宋体"/>
          <w:b/>
          <w:bCs/>
          <w:sz w:val="24"/>
          <w:szCs w:val="24"/>
          <w:highlight w:val="none"/>
        </w:rPr>
        <w:t>3.2、信息系统安全托管服务</w:t>
      </w:r>
    </w:p>
    <w:p w14:paraId="797CD4A9">
      <w:pPr>
        <w:spacing w:line="4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本次项目要求提供10个核心业务系统的安全托管服务和10个系统的渗透测试，服务期为一年。重要保障时期和攻防演练期间，提供现场安全运维服务。安全托管服务期间，安全专家团队需要对学校的托管资产进行7*24小时的安全值守，并且在节假日期间值守；对发现的安全问题，需要结合学校现状给出处置建议并协助学校闭环安全事件。安全托管服务具体要求如下：</w:t>
      </w:r>
    </w:p>
    <w:p w14:paraId="688249FC">
      <w:pPr>
        <w:pStyle w:val="7"/>
        <w:spacing w:before="0" w:line="440" w:lineRule="exact"/>
        <w:ind w:firstLine="480" w:firstLineChars="200"/>
        <w:rPr>
          <w:rFonts w:ascii="宋体" w:hAnsi="宋体" w:cs="宋体"/>
          <w:b/>
          <w:bCs/>
          <w:sz w:val="24"/>
          <w:szCs w:val="24"/>
          <w:highlight w:val="none"/>
        </w:rPr>
      </w:pPr>
      <w:r>
        <w:rPr>
          <w:rFonts w:hint="eastAsia" w:ascii="宋体" w:hAnsi="宋体" w:cs="宋体"/>
          <w:sz w:val="24"/>
          <w:szCs w:val="24"/>
          <w:highlight w:val="none"/>
        </w:rPr>
        <w:t>★（1）成交人需为学校提供服务成果展示门户，应具备服务质量可视化展示，能通过可视化的数据，清晰的了解安全专家的服务水平。至少包括脆弱性闭环率、脆弱性平均响应时长、脆弱性平均闭环时长、威胁闭环率、威胁平均响应时长、威胁平均闭环时长、事件闭环率、事件平均闭环时长。</w:t>
      </w:r>
      <w:r>
        <w:rPr>
          <w:rFonts w:hint="eastAsia" w:ascii="宋体" w:hAnsi="宋体" w:cs="宋体"/>
          <w:b/>
          <w:bCs/>
          <w:sz w:val="24"/>
          <w:szCs w:val="24"/>
          <w:highlight w:val="none"/>
        </w:rPr>
        <w:t>（响应文件中提供服务成果展示门户中服务质量监控相关的截图证明）</w:t>
      </w:r>
    </w:p>
    <w:p w14:paraId="2C2EF374">
      <w:pPr>
        <w:pStyle w:val="7"/>
        <w:spacing w:before="0" w:line="440" w:lineRule="exact"/>
        <w:ind w:firstLine="480" w:firstLineChars="200"/>
        <w:rPr>
          <w:rFonts w:ascii="宋体" w:hAnsi="宋体" w:cs="宋体"/>
          <w:b/>
          <w:bCs/>
          <w:sz w:val="24"/>
          <w:szCs w:val="24"/>
          <w:highlight w:val="none"/>
        </w:rPr>
      </w:pPr>
      <w:r>
        <w:rPr>
          <w:rFonts w:hint="eastAsia" w:ascii="宋体" w:hAnsi="宋体" w:cs="宋体"/>
          <w:sz w:val="24"/>
          <w:szCs w:val="24"/>
          <w:highlight w:val="none"/>
        </w:rPr>
        <w:t>★（2）应当提供云端检测和分析平台，为学校提供7*24小时持续不间断的安全威胁分析鉴定，同时在用户界面进行展示，平台支持将同一资产的多个告警进行聚合分析发现各类安全事件并生成工单，并在告警详情中展示告警的基本信息。</w:t>
      </w:r>
      <w:r>
        <w:rPr>
          <w:rFonts w:hint="eastAsia" w:ascii="宋体" w:hAnsi="宋体" w:cs="宋体"/>
          <w:b/>
          <w:bCs/>
          <w:sz w:val="24"/>
          <w:szCs w:val="24"/>
          <w:highlight w:val="none"/>
        </w:rPr>
        <w:t>（响应文件中提供云端服务平台告警审核功能界面截图，举证一个告警聚合分析的例子和一个告警详情展示具备上述能力）</w:t>
      </w:r>
    </w:p>
    <w:p w14:paraId="2A862D7A">
      <w:pPr>
        <w:pStyle w:val="7"/>
        <w:spacing w:before="0"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3）针对服务范围内资产扫描到的高危可利用漏洞，成交人应当为学校做好每一个高危可利用漏洞的防护工作，包括但不限于为学院提供漏洞修复方案和安全设备防护策略，以及帮助学院配置防护规则，保证学院不因此出现重大事件和损失。</w:t>
      </w:r>
    </w:p>
    <w:p w14:paraId="3FB53EFF">
      <w:pPr>
        <w:pStyle w:val="7"/>
        <w:spacing w:before="0"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（4）成交人提供的安全专家每月对学校的安全设备的防护策略进行检查，确保安全设备上的安全策略始终处于最优水平，针对威胁能起到最好的防护效果；成交人云端服务平台应当具备丰富的策略检查工具。</w:t>
      </w:r>
    </w:p>
    <w:p w14:paraId="2F86FDD1">
      <w:pPr>
        <w:pStyle w:val="7"/>
        <w:spacing w:before="0"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（5）为了保障服务质量和加强成交人与学校的沟通，成交人应当承诺为学校线上配置一名经验丰富的安全专家作为专属服务经理，并且实时响应学校咨询的网络安全相关问题。</w:t>
      </w:r>
      <w:r>
        <w:rPr>
          <w:rFonts w:hint="eastAsia" w:ascii="宋体" w:hAnsi="宋体" w:cs="宋体"/>
          <w:b/>
          <w:bCs/>
          <w:sz w:val="24"/>
          <w:szCs w:val="24"/>
          <w:highlight w:val="none"/>
        </w:rPr>
        <w:t>（响应文件中提供承诺函。）</w:t>
      </w:r>
    </w:p>
    <w:p w14:paraId="6D078CA7">
      <w:pPr>
        <w:pStyle w:val="7"/>
        <w:spacing w:before="0"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（6）为了保证安全监测的准确率和服务质量，服务应当支持为学校自定义配置安全规则，以满足日益复杂的安全趋势所带来的安全监测需求。</w:t>
      </w:r>
    </w:p>
    <w:p w14:paraId="0BEDCA56">
      <w:pPr>
        <w:pStyle w:val="7"/>
        <w:spacing w:before="0"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★（7）服务中的云端服务平台应当支持对接学校网络中已部署的态势感知平台和防火墙，支持实时接收态势感知平台和防火墙检测到的安全事件信息、安全日志数据。</w:t>
      </w:r>
      <w:r>
        <w:rPr>
          <w:rFonts w:hint="eastAsia" w:ascii="宋体" w:hAnsi="宋体" w:cs="宋体"/>
          <w:b/>
          <w:bCs/>
          <w:sz w:val="24"/>
          <w:szCs w:val="24"/>
          <w:highlight w:val="none"/>
        </w:rPr>
        <w:t>（响应文件中提供承诺函）</w:t>
      </w:r>
    </w:p>
    <w:p w14:paraId="68F7295A">
      <w:pPr>
        <w:pStyle w:val="7"/>
        <w:spacing w:before="0"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（8）服务中的云端服务平台支持对接收到的安全设备数据进行分析，可跳转到学校现有安全态势感知平台上进行安全事件处置。</w:t>
      </w:r>
    </w:p>
    <w:p w14:paraId="05384A7C">
      <w:pPr>
        <w:pStyle w:val="7"/>
        <w:spacing w:before="0"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9）成交人提供的服务成果展示门户可以直观的管理服务过程中生产的服务报告和交付物，包括但不限于《准备阶段文件》、《特殊时期值守报告》、《运营周报》、《运营月报》、《运营季报》、《威胁情报》、《年度汇报》、《事件总结报告》。</w:t>
      </w:r>
    </w:p>
    <w:p w14:paraId="76A33459">
      <w:pPr>
        <w:pStyle w:val="7"/>
        <w:spacing w:before="0" w:line="44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（10）</w:t>
      </w:r>
      <w:r>
        <w:rPr>
          <w:rFonts w:hint="eastAsia" w:ascii="宋体" w:hAnsi="宋体" w:cs="宋体"/>
          <w:b/>
          <w:bCs/>
          <w:sz w:val="24"/>
          <w:szCs w:val="24"/>
          <w:highlight w:val="none"/>
        </w:rPr>
        <w:t>成交人应承诺对重大事故启动应急响应机制，工作时间15分钟之内云端专家进行响应，非工作时间30分钟之内云端专家进行响应，2小时上门处置；对服务范围内发现的每一个高危可利用漏洞提供有效防护规则。（人员要求在响应文件中提供承诺函）</w:t>
      </w:r>
    </w:p>
    <w:p w14:paraId="0F0FBAD3">
      <w:pPr>
        <w:spacing w:line="440" w:lineRule="exact"/>
        <w:ind w:firstLine="480" w:firstLineChars="200"/>
        <w:outlineLvl w:val="3"/>
        <w:rPr>
          <w:rFonts w:ascii="宋体" w:hAnsi="宋体" w:eastAsia="宋体" w:cs="宋体"/>
          <w:sz w:val="24"/>
          <w:szCs w:val="24"/>
          <w:highlight w:val="none"/>
        </w:rPr>
      </w:pPr>
      <w:r>
        <w:rPr>
          <w:rFonts w:hint="eastAsia" w:ascii="宋体" w:hAnsi="宋体" w:eastAsia="宋体" w:cs="宋体"/>
          <w:sz w:val="24"/>
          <w:szCs w:val="24"/>
          <w:highlight w:val="none"/>
        </w:rPr>
        <w:t>4、项目实施</w:t>
      </w:r>
    </w:p>
    <w:p w14:paraId="376B72E0">
      <w:pPr>
        <w:pStyle w:val="24"/>
        <w:spacing w:line="440" w:lineRule="exact"/>
        <w:ind w:left="0" w:leftChars="0" w:firstLine="480"/>
        <w:outlineLvl w:val="2"/>
        <w:rPr>
          <w:rFonts w:ascii="宋体" w:hAnsi="宋体" w:eastAsia="宋体" w:cs="宋体"/>
          <w:sz w:val="24"/>
          <w:szCs w:val="24"/>
          <w:highlight w:val="none"/>
        </w:rPr>
      </w:pPr>
      <w:r>
        <w:rPr>
          <w:rFonts w:hint="eastAsia" w:ascii="宋体" w:hAnsi="宋体" w:eastAsia="宋体" w:cs="宋体"/>
          <w:sz w:val="24"/>
          <w:szCs w:val="24"/>
          <w:highlight w:val="none"/>
        </w:rPr>
        <w:t>4.1、人员团队：成交人拟派的安全服务团队不得少于4人(以下人员具体要求，供应商在磋商响应函中响应即可</w:t>
      </w:r>
      <w:r>
        <w:rPr>
          <w:rFonts w:ascii="宋体" w:hAnsi="宋体" w:eastAsia="宋体" w:cs="宋体"/>
          <w:sz w:val="24"/>
          <w:szCs w:val="24"/>
          <w:highlight w:val="none"/>
        </w:rPr>
        <w:t>)</w:t>
      </w:r>
      <w:r>
        <w:rPr>
          <w:rFonts w:hint="eastAsia" w:ascii="宋体" w:hAnsi="宋体" w:eastAsia="宋体" w:cs="宋体"/>
          <w:sz w:val="24"/>
          <w:szCs w:val="24"/>
          <w:highlight w:val="none"/>
        </w:rPr>
        <w:t>。</w:t>
      </w:r>
    </w:p>
    <w:p w14:paraId="2792E87A">
      <w:pPr>
        <w:pStyle w:val="24"/>
        <w:spacing w:line="440" w:lineRule="exact"/>
        <w:ind w:left="0" w:leftChars="0" w:firstLine="480"/>
        <w:jc w:val="left"/>
        <w:outlineLvl w:val="2"/>
        <w:rPr>
          <w:rFonts w:ascii="宋体" w:hAnsi="宋体" w:eastAsia="宋体" w:cs="宋体"/>
          <w:sz w:val="24"/>
          <w:szCs w:val="24"/>
          <w:highlight w:val="none"/>
        </w:rPr>
      </w:pPr>
      <w:r>
        <w:rPr>
          <w:rFonts w:hint="eastAsia" w:ascii="宋体" w:hAnsi="宋体" w:eastAsia="宋体" w:cs="宋体"/>
          <w:sz w:val="24"/>
          <w:szCs w:val="24"/>
          <w:highlight w:val="none"/>
        </w:rPr>
        <w:t>（1）项目经理1名，需满足安全等级测评师资质。</w:t>
      </w:r>
    </w:p>
    <w:p w14:paraId="47AD71C9">
      <w:pPr>
        <w:pStyle w:val="24"/>
        <w:spacing w:line="440" w:lineRule="exact"/>
        <w:ind w:left="0" w:leftChars="0" w:firstLine="480"/>
        <w:outlineLvl w:val="2"/>
        <w:rPr>
          <w:rFonts w:ascii="宋体" w:hAnsi="宋体" w:eastAsia="宋体" w:cs="宋体"/>
          <w:sz w:val="24"/>
          <w:szCs w:val="24"/>
          <w:highlight w:val="none"/>
        </w:rPr>
      </w:pPr>
      <w:r>
        <w:rPr>
          <w:rFonts w:hint="eastAsia" w:ascii="宋体" w:hAnsi="宋体" w:eastAsia="宋体" w:cs="宋体"/>
          <w:sz w:val="24"/>
          <w:szCs w:val="24"/>
          <w:highlight w:val="none"/>
        </w:rPr>
        <w:t>（2）安全托管服务经理：不少于1名，具备10年以上相关工作经验，熟练掌握网络安全技术，包括但不限于防火墙配置、安全策略制定、漏洞扫描工具使用等。</w:t>
      </w:r>
    </w:p>
    <w:p w14:paraId="77B2EA9C">
      <w:pPr>
        <w:pStyle w:val="24"/>
        <w:spacing w:line="440" w:lineRule="exact"/>
        <w:ind w:left="0" w:leftChars="0" w:firstLine="480"/>
        <w:outlineLvl w:val="2"/>
        <w:rPr>
          <w:rFonts w:ascii="宋体" w:hAnsi="宋体" w:eastAsia="宋体" w:cs="宋体"/>
          <w:sz w:val="24"/>
          <w:szCs w:val="24"/>
          <w:highlight w:val="none"/>
        </w:rPr>
      </w:pPr>
      <w:r>
        <w:rPr>
          <w:rFonts w:hint="eastAsia" w:ascii="宋体" w:hAnsi="宋体" w:eastAsia="宋体" w:cs="宋体"/>
          <w:sz w:val="24"/>
          <w:szCs w:val="24"/>
          <w:highlight w:val="none"/>
        </w:rPr>
        <w:t>（3）线下安全服务工程师：不少于2名，具备3年以上渗透测试、漏洞扫描经验，能够熟练运用各种渗透测试工具和方法，对目标系统进行全面、深入的漏洞挖掘，准确评估系统安全风险。</w:t>
      </w:r>
    </w:p>
    <w:p w14:paraId="63E2B377">
      <w:pPr>
        <w:pStyle w:val="24"/>
        <w:spacing w:line="440" w:lineRule="exact"/>
        <w:ind w:left="0" w:leftChars="0" w:firstLine="480"/>
        <w:outlineLvl w:val="2"/>
        <w:rPr>
          <w:rFonts w:ascii="宋体" w:hAnsi="宋体" w:eastAsia="宋体" w:cs="宋体"/>
          <w:sz w:val="24"/>
          <w:szCs w:val="24"/>
          <w:highlight w:val="none"/>
        </w:rPr>
      </w:pPr>
      <w:r>
        <w:rPr>
          <w:rFonts w:hint="eastAsia" w:ascii="宋体" w:hAnsi="宋体" w:eastAsia="宋体" w:cs="宋体"/>
          <w:sz w:val="24"/>
          <w:szCs w:val="24"/>
          <w:highlight w:val="none"/>
        </w:rPr>
        <w:t>现场测评结束后，提供一年的售后服务，售后服务期内根据业主需求能及时安排参与现场测评的测评师到达现场协助和指导整改工作。</w:t>
      </w:r>
    </w:p>
    <w:p w14:paraId="07EBC92D">
      <w:pPr>
        <w:pStyle w:val="24"/>
        <w:spacing w:line="440" w:lineRule="exact"/>
        <w:ind w:left="0" w:leftChars="0" w:firstLine="480"/>
        <w:rPr>
          <w:rFonts w:ascii="宋体" w:hAnsi="宋体" w:eastAsia="宋体" w:cs="宋体"/>
          <w:i/>
          <w:sz w:val="24"/>
          <w:szCs w:val="24"/>
          <w:highlight w:val="none"/>
        </w:rPr>
      </w:pPr>
      <w:r>
        <w:rPr>
          <w:rFonts w:hint="eastAsia" w:ascii="宋体" w:hAnsi="宋体" w:eastAsia="宋体" w:cs="宋体"/>
          <w:sz w:val="24"/>
          <w:szCs w:val="24"/>
          <w:highlight w:val="none"/>
        </w:rPr>
        <w:t>4.2、计划实施进度：成交人需在中标后7个工作日内与成交人对接，详细了解学校的网络架构、业务系统、安全需求等相关信息，并收集必要的技术资料，包括但不限于网络拓扑图、业务系统清单等。</w:t>
      </w:r>
    </w:p>
    <w:p w14:paraId="1FBC5272">
      <w:pPr>
        <w:pStyle w:val="24"/>
        <w:spacing w:line="440" w:lineRule="exact"/>
        <w:ind w:left="0" w:leftChars="0" w:firstLine="480"/>
        <w:rPr>
          <w:rFonts w:ascii="宋体" w:hAnsi="宋体" w:eastAsia="宋体" w:cs="宋体"/>
          <w:sz w:val="24"/>
          <w:szCs w:val="24"/>
          <w:highlight w:val="none"/>
        </w:rPr>
      </w:pPr>
      <w:r>
        <w:rPr>
          <w:rFonts w:hint="eastAsia" w:ascii="宋体" w:hAnsi="宋体" w:eastAsia="宋体" w:cs="宋体"/>
          <w:sz w:val="24"/>
          <w:szCs w:val="24"/>
          <w:highlight w:val="none"/>
        </w:rPr>
        <w:t>4.3、实施过程管理：</w:t>
      </w:r>
    </w:p>
    <w:p w14:paraId="6C1133C9">
      <w:pPr>
        <w:spacing w:line="4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（1）数据备份与安全措施</w:t>
      </w:r>
    </w:p>
    <w:p w14:paraId="3B7F8B3A">
      <w:pPr>
        <w:spacing w:line="4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成交人在实施渗透测试和漏洞扫描前，需对学校的关键业务系统和数据进行备份操作，确保在测试过程中不会对现有数据造成损坏或丢失。</w:t>
      </w:r>
    </w:p>
    <w:p w14:paraId="4C341F11">
      <w:pPr>
        <w:spacing w:line="4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数据备份完成后，成交人需进行数据恢复测试，验证备份数据的完整性和可用性，并将测试结果形成报告提交给学校备案。</w:t>
      </w:r>
    </w:p>
    <w:p w14:paraId="0028BB47">
      <w:pPr>
        <w:spacing w:line="4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成交人需在实施过程中采取必要的安全措施，确保测试活动不会对学校的网络、系统和数据安全造成威胁。成交人应提前对测试活动进行全面的风险评估，识别可能存在的风险点，并制定相应的风险应对措施。</w:t>
      </w:r>
    </w:p>
    <w:p w14:paraId="7F6F82FB">
      <w:pPr>
        <w:spacing w:line="4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风险评估报告需提交给学校审核，学校有权要求中标人对高风险环节进行优化调整，中标人需在5个工作日内完成调整并重新提交审核。</w:t>
      </w:r>
    </w:p>
    <w:p w14:paraId="6C8BC420">
      <w:pPr>
        <w:spacing w:line="4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（2）测试实施与监控</w:t>
      </w:r>
    </w:p>
    <w:p w14:paraId="661B9DDB">
      <w:pPr>
        <w:spacing w:line="4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成交人需按照项目实施规划，严格遵守学校的网络和系统访问权限要求，开展渗透测试和漏洞扫描工作。测试过程中，成交人应详细记录测试步骤、发现的漏洞、漏洞利用方法、测试结果等内容，并形成完整的测试记录。</w:t>
      </w:r>
    </w:p>
    <w:p w14:paraId="183BF869">
      <w:pPr>
        <w:spacing w:line="4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在实施过程中，成交人需确保测试活动的合法性和合规性，不得对学校的业务系统进行未经授权的攻击或破坏行为。如因成交人的不当操作导致学校业务系统出现故障或数据丢失，成交人需承担相应的法律责任和经济赔偿。</w:t>
      </w:r>
    </w:p>
    <w:p w14:paraId="339D0BEE">
      <w:pPr>
        <w:spacing w:line="4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（3）漏洞修复与验证</w:t>
      </w:r>
    </w:p>
    <w:p w14:paraId="1D4370C4">
      <w:pPr>
        <w:spacing w:line="4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成交人在完成渗透测试和漏洞扫描后，需向学校提供详细的漏洞修复建议书，建议书应包括漏洞描述、风险等级、修复方法、修复步骤等内容，并协助学校进行漏洞修复工作。</w:t>
      </w:r>
    </w:p>
    <w:p w14:paraId="44253B81">
      <w:pPr>
        <w:spacing w:line="4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成交人需在学校进行漏洞修复过程中提供技术支持，及时解答学校在修复过程中遇到的问题，并根据学校的需求，提供必要的现场技术支持服务。</w:t>
      </w:r>
    </w:p>
    <w:p w14:paraId="3C83B1B4">
      <w:pPr>
        <w:spacing w:line="4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学校完成漏洞修复后，成交人需在15个工作日内对修复结果进行验证，确保漏洞已彻底修复且未对系统功能造成影响。验证完成后，成交人需出具漏洞修复验证报告，报告应详细记录验证方法、验证结果等内容，并提交给学校备案。</w:t>
      </w:r>
    </w:p>
    <w:p w14:paraId="3CD1F792">
      <w:pPr>
        <w:spacing w:line="4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5、数据标准或系统集成</w:t>
      </w:r>
    </w:p>
    <w:p w14:paraId="06F554F1">
      <w:pPr>
        <w:pStyle w:val="7"/>
        <w:ind w:firstLine="480" w:firstLineChars="200"/>
        <w:rPr>
          <w:rFonts w:ascii="宋体" w:hAnsi="宋体" w:cs="宋体"/>
          <w:sz w:val="24"/>
          <w:szCs w:val="24"/>
          <w:highlight w:val="none"/>
        </w:rPr>
      </w:pPr>
      <w:r>
        <w:rPr>
          <w:rFonts w:hint="eastAsia" w:ascii="宋体" w:hAnsi="宋体" w:cs="宋体"/>
          <w:sz w:val="24"/>
          <w:szCs w:val="24"/>
          <w:highlight w:val="none"/>
        </w:rPr>
        <w:t>无</w:t>
      </w:r>
    </w:p>
    <w:p w14:paraId="0A4B97B2">
      <w:pPr>
        <w:spacing w:line="4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6、保密要求</w:t>
      </w:r>
    </w:p>
    <w:p w14:paraId="6A04E13E">
      <w:pPr>
        <w:spacing w:line="4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成交人需在项目实施过程中对相关文档进行严格管理，包括项目实施规划、测试记录、漏洞报告、修复建议书、项目进展报告、项目总结报告等。</w:t>
      </w:r>
    </w:p>
    <w:p w14:paraId="37EE4A44">
      <w:pPr>
        <w:spacing w:line="4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所有文档需按照学校的要求进行编号、归档，并确保文档的完整性和准确性。项目结束后，成交人需将所有文档的电子版和纸质版提交给学校存档。</w:t>
      </w:r>
    </w:p>
    <w:p w14:paraId="36C1B2A7">
      <w:pPr>
        <w:spacing w:line="4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7、项目培训</w:t>
      </w:r>
    </w:p>
    <w:p w14:paraId="6ED6B3D8">
      <w:pPr>
        <w:spacing w:line="4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针对等级保护测评安全管理工作，为学校提供注册信息安全专业人员或数据安全相关培训不低于2次。</w:t>
      </w:r>
    </w:p>
    <w:p w14:paraId="623B6C8A">
      <w:pPr>
        <w:spacing w:line="440" w:lineRule="exact"/>
        <w:ind w:firstLine="480" w:firstLineChars="200"/>
        <w:outlineLvl w:val="0"/>
        <w:rPr>
          <w:rFonts w:ascii="宋体" w:hAnsi="宋体" w:eastAsia="宋体" w:cs="宋体"/>
          <w:sz w:val="24"/>
          <w:szCs w:val="24"/>
          <w:highlight w:val="none"/>
        </w:rPr>
      </w:pPr>
      <w:r>
        <w:rPr>
          <w:rFonts w:hint="eastAsia" w:ascii="宋体" w:hAnsi="宋体" w:eastAsia="宋体" w:cs="宋体"/>
          <w:sz w:val="24"/>
          <w:szCs w:val="24"/>
          <w:highlight w:val="none"/>
        </w:rPr>
        <w:t>四、采购清单（分项预算、单位：万元）</w:t>
      </w:r>
    </w:p>
    <w:p w14:paraId="0BB835D6">
      <w:pPr>
        <w:spacing w:line="4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清单内容与建设内容相对应，供应商对此清单分项报价</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3150"/>
        <w:gridCol w:w="851"/>
        <w:gridCol w:w="1276"/>
        <w:gridCol w:w="1351"/>
        <w:gridCol w:w="854"/>
      </w:tblGrid>
      <w:tr w14:paraId="5FD19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14:paraId="11B182EC">
            <w:pPr>
              <w:spacing w:line="44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序号</w:t>
            </w:r>
          </w:p>
        </w:tc>
        <w:tc>
          <w:tcPr>
            <w:tcW w:w="3150" w:type="dxa"/>
          </w:tcPr>
          <w:p w14:paraId="598044D6">
            <w:pPr>
              <w:spacing w:line="44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名称</w:t>
            </w:r>
          </w:p>
        </w:tc>
        <w:tc>
          <w:tcPr>
            <w:tcW w:w="851" w:type="dxa"/>
          </w:tcPr>
          <w:p w14:paraId="52572A47">
            <w:pPr>
              <w:spacing w:line="44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数量</w:t>
            </w:r>
          </w:p>
        </w:tc>
        <w:tc>
          <w:tcPr>
            <w:tcW w:w="1276" w:type="dxa"/>
          </w:tcPr>
          <w:p w14:paraId="4C91EF61">
            <w:pPr>
              <w:spacing w:line="44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单位</w:t>
            </w:r>
          </w:p>
        </w:tc>
        <w:tc>
          <w:tcPr>
            <w:tcW w:w="1351" w:type="dxa"/>
          </w:tcPr>
          <w:p w14:paraId="236D82ED">
            <w:pPr>
              <w:spacing w:line="44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单价/万元</w:t>
            </w:r>
          </w:p>
        </w:tc>
        <w:tc>
          <w:tcPr>
            <w:tcW w:w="854" w:type="dxa"/>
          </w:tcPr>
          <w:p w14:paraId="556907F7">
            <w:pPr>
              <w:spacing w:line="44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小计</w:t>
            </w:r>
          </w:p>
        </w:tc>
      </w:tr>
      <w:tr w14:paraId="18026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vAlign w:val="center"/>
          </w:tcPr>
          <w:p w14:paraId="2555BEDC">
            <w:pPr>
              <w:widowControl/>
              <w:spacing w:line="440" w:lineRule="exact"/>
              <w:jc w:val="center"/>
              <w:textAlignment w:val="center"/>
              <w:rPr>
                <w:rFonts w:ascii="宋体" w:hAnsi="宋体" w:eastAsia="宋体" w:cs="宋体"/>
                <w:sz w:val="24"/>
                <w:szCs w:val="24"/>
                <w:highlight w:val="none"/>
              </w:rPr>
            </w:pPr>
            <w:r>
              <w:rPr>
                <w:rFonts w:hint="eastAsia" w:ascii="宋体" w:hAnsi="宋体" w:eastAsia="宋体" w:cs="宋体"/>
                <w:sz w:val="24"/>
                <w:szCs w:val="24"/>
                <w:highlight w:val="none"/>
              </w:rPr>
              <w:t>1</w:t>
            </w:r>
          </w:p>
        </w:tc>
        <w:tc>
          <w:tcPr>
            <w:tcW w:w="3150" w:type="dxa"/>
            <w:vAlign w:val="center"/>
          </w:tcPr>
          <w:p w14:paraId="2C19A31E">
            <w:pPr>
              <w:widowControl/>
              <w:spacing w:line="440" w:lineRule="exact"/>
              <w:jc w:val="center"/>
              <w:textAlignment w:val="center"/>
              <w:rPr>
                <w:rFonts w:ascii="宋体" w:hAnsi="宋体" w:eastAsia="宋体" w:cs="宋体"/>
                <w:sz w:val="24"/>
                <w:szCs w:val="24"/>
                <w:highlight w:val="none"/>
              </w:rPr>
            </w:pPr>
            <w:r>
              <w:rPr>
                <w:rFonts w:hint="eastAsia" w:ascii="宋体" w:hAnsi="宋体" w:eastAsia="宋体" w:cs="宋体"/>
                <w:sz w:val="24"/>
                <w:szCs w:val="24"/>
                <w:highlight w:val="none"/>
              </w:rPr>
              <w:t>信息系统等保测评（二级）</w:t>
            </w:r>
          </w:p>
        </w:tc>
        <w:tc>
          <w:tcPr>
            <w:tcW w:w="851" w:type="dxa"/>
          </w:tcPr>
          <w:p w14:paraId="27AF43E0">
            <w:pPr>
              <w:widowControl/>
              <w:spacing w:line="440" w:lineRule="exact"/>
              <w:jc w:val="center"/>
              <w:textAlignment w:val="center"/>
              <w:rPr>
                <w:rFonts w:ascii="宋体" w:hAnsi="宋体" w:eastAsia="宋体" w:cs="宋体"/>
                <w:sz w:val="24"/>
                <w:szCs w:val="24"/>
                <w:highlight w:val="none"/>
              </w:rPr>
            </w:pPr>
            <w:r>
              <w:rPr>
                <w:rFonts w:hint="eastAsia" w:ascii="宋体" w:hAnsi="宋体" w:eastAsia="宋体" w:cs="宋体"/>
                <w:sz w:val="24"/>
                <w:szCs w:val="24"/>
                <w:highlight w:val="none"/>
              </w:rPr>
              <w:t>12</w:t>
            </w:r>
          </w:p>
        </w:tc>
        <w:tc>
          <w:tcPr>
            <w:tcW w:w="1276" w:type="dxa"/>
          </w:tcPr>
          <w:p w14:paraId="112E64F3">
            <w:pPr>
              <w:widowControl/>
              <w:spacing w:line="440" w:lineRule="exact"/>
              <w:jc w:val="center"/>
              <w:textAlignment w:val="center"/>
              <w:rPr>
                <w:rFonts w:ascii="宋体" w:hAnsi="宋体" w:eastAsia="宋体" w:cs="宋体"/>
                <w:sz w:val="24"/>
                <w:szCs w:val="24"/>
                <w:highlight w:val="none"/>
              </w:rPr>
            </w:pPr>
            <w:r>
              <w:rPr>
                <w:rFonts w:hint="eastAsia" w:ascii="宋体" w:hAnsi="宋体" w:eastAsia="宋体" w:cs="宋体"/>
                <w:sz w:val="24"/>
                <w:szCs w:val="24"/>
                <w:highlight w:val="none"/>
              </w:rPr>
              <w:t>项</w:t>
            </w:r>
          </w:p>
        </w:tc>
        <w:tc>
          <w:tcPr>
            <w:tcW w:w="1351" w:type="dxa"/>
          </w:tcPr>
          <w:p w14:paraId="05D293AD">
            <w:pPr>
              <w:widowControl/>
              <w:spacing w:line="440" w:lineRule="exact"/>
              <w:jc w:val="center"/>
              <w:textAlignment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4.1</w:t>
            </w:r>
          </w:p>
        </w:tc>
        <w:tc>
          <w:tcPr>
            <w:tcW w:w="854" w:type="dxa"/>
          </w:tcPr>
          <w:p w14:paraId="01234DDA">
            <w:pPr>
              <w:widowControl/>
              <w:spacing w:line="440" w:lineRule="exact"/>
              <w:jc w:val="center"/>
              <w:textAlignment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49.2</w:t>
            </w:r>
          </w:p>
        </w:tc>
      </w:tr>
      <w:tr w14:paraId="4D657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vAlign w:val="center"/>
          </w:tcPr>
          <w:p w14:paraId="08BCF7C5">
            <w:pPr>
              <w:widowControl/>
              <w:spacing w:line="440" w:lineRule="exact"/>
              <w:jc w:val="center"/>
              <w:textAlignment w:val="center"/>
              <w:rPr>
                <w:rFonts w:ascii="宋体" w:hAnsi="宋体" w:eastAsia="宋体" w:cs="宋体"/>
                <w:sz w:val="24"/>
                <w:szCs w:val="24"/>
                <w:highlight w:val="none"/>
              </w:rPr>
            </w:pPr>
            <w:r>
              <w:rPr>
                <w:rFonts w:hint="eastAsia" w:ascii="宋体" w:hAnsi="宋体" w:eastAsia="宋体" w:cs="宋体"/>
                <w:sz w:val="24"/>
                <w:szCs w:val="24"/>
                <w:highlight w:val="none"/>
              </w:rPr>
              <w:t>2</w:t>
            </w:r>
          </w:p>
        </w:tc>
        <w:tc>
          <w:tcPr>
            <w:tcW w:w="3150" w:type="dxa"/>
            <w:vAlign w:val="center"/>
          </w:tcPr>
          <w:p w14:paraId="74F271B3">
            <w:pPr>
              <w:widowControl/>
              <w:spacing w:line="440" w:lineRule="exact"/>
              <w:jc w:val="center"/>
              <w:textAlignment w:val="center"/>
              <w:rPr>
                <w:rFonts w:ascii="宋体" w:hAnsi="宋体" w:eastAsia="宋体" w:cs="宋体"/>
                <w:sz w:val="24"/>
                <w:szCs w:val="24"/>
                <w:highlight w:val="none"/>
              </w:rPr>
            </w:pPr>
            <w:r>
              <w:rPr>
                <w:rFonts w:hint="eastAsia" w:ascii="宋体" w:hAnsi="宋体" w:eastAsia="宋体" w:cs="宋体"/>
                <w:sz w:val="24"/>
                <w:szCs w:val="24"/>
                <w:highlight w:val="none"/>
              </w:rPr>
              <w:t>信息系统安全托管服务</w:t>
            </w:r>
          </w:p>
        </w:tc>
        <w:tc>
          <w:tcPr>
            <w:tcW w:w="851" w:type="dxa"/>
          </w:tcPr>
          <w:p w14:paraId="61498359">
            <w:pPr>
              <w:widowControl/>
              <w:spacing w:line="440" w:lineRule="exact"/>
              <w:jc w:val="center"/>
              <w:textAlignment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1</w:t>
            </w:r>
          </w:p>
        </w:tc>
        <w:tc>
          <w:tcPr>
            <w:tcW w:w="1276" w:type="dxa"/>
          </w:tcPr>
          <w:p w14:paraId="05D727C3">
            <w:pPr>
              <w:widowControl/>
              <w:spacing w:line="440" w:lineRule="exact"/>
              <w:jc w:val="center"/>
              <w:textAlignment w:val="center"/>
              <w:rPr>
                <w:rFonts w:ascii="宋体" w:hAnsi="宋体" w:eastAsia="宋体" w:cs="宋体"/>
                <w:kern w:val="0"/>
                <w:sz w:val="24"/>
                <w:szCs w:val="24"/>
                <w:highlight w:val="none"/>
              </w:rPr>
            </w:pPr>
            <w:r>
              <w:rPr>
                <w:rFonts w:hint="eastAsia" w:ascii="宋体" w:hAnsi="宋体" w:eastAsia="宋体" w:cs="宋体"/>
                <w:sz w:val="24"/>
                <w:szCs w:val="24"/>
                <w:highlight w:val="none"/>
              </w:rPr>
              <w:t>项</w:t>
            </w:r>
          </w:p>
        </w:tc>
        <w:tc>
          <w:tcPr>
            <w:tcW w:w="1351" w:type="dxa"/>
          </w:tcPr>
          <w:p w14:paraId="0B4C2263">
            <w:pPr>
              <w:widowControl/>
              <w:spacing w:line="440" w:lineRule="exact"/>
              <w:jc w:val="center"/>
              <w:textAlignment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19.8</w:t>
            </w:r>
          </w:p>
        </w:tc>
        <w:tc>
          <w:tcPr>
            <w:tcW w:w="854" w:type="dxa"/>
          </w:tcPr>
          <w:p w14:paraId="4780C631">
            <w:pPr>
              <w:widowControl/>
              <w:spacing w:line="440" w:lineRule="exact"/>
              <w:jc w:val="center"/>
              <w:textAlignment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19.8</w:t>
            </w:r>
          </w:p>
        </w:tc>
      </w:tr>
    </w:tbl>
    <w:p w14:paraId="2C52458E">
      <w:pPr>
        <w:spacing w:line="360" w:lineRule="auto"/>
        <w:outlineLvl w:val="1"/>
        <w:rPr>
          <w:rFonts w:ascii="宋体" w:hAnsi="宋体" w:eastAsia="宋体"/>
          <w:bCs/>
          <w:sz w:val="24"/>
          <w:szCs w:val="18"/>
          <w:highlight w:val="none"/>
        </w:rPr>
      </w:pPr>
    </w:p>
    <w:bookmarkEnd w:id="90"/>
    <w:p w14:paraId="6A0A4379">
      <w:pPr>
        <w:spacing w:line="360" w:lineRule="auto"/>
        <w:rPr>
          <w:rFonts w:asciiTheme="minorEastAsia" w:hAnsiTheme="minorEastAsia" w:eastAsiaTheme="minorEastAsia"/>
          <w:sz w:val="24"/>
          <w:highlight w:val="none"/>
        </w:rPr>
      </w:pPr>
      <w:r>
        <w:rPr>
          <w:rFonts w:asciiTheme="minorEastAsia" w:hAnsiTheme="minorEastAsia" w:eastAsiaTheme="minorEastAsia"/>
          <w:sz w:val="24"/>
          <w:highlight w:val="none"/>
        </w:rPr>
        <w:br w:type="page"/>
      </w:r>
    </w:p>
    <w:p w14:paraId="12CDF053">
      <w:pPr>
        <w:spacing w:line="360" w:lineRule="auto"/>
        <w:jc w:val="center"/>
        <w:outlineLvl w:val="0"/>
        <w:rPr>
          <w:rFonts w:asciiTheme="minorEastAsia" w:hAnsiTheme="minorEastAsia" w:eastAsiaTheme="minorEastAsia"/>
          <w:b/>
          <w:sz w:val="28"/>
          <w:highlight w:val="none"/>
        </w:rPr>
      </w:pPr>
      <w:bookmarkStart w:id="97" w:name="_Toc25534"/>
      <w:r>
        <w:rPr>
          <w:rFonts w:hint="eastAsia" w:asciiTheme="minorEastAsia" w:hAnsiTheme="minorEastAsia" w:eastAsiaTheme="minorEastAsia"/>
          <w:b/>
          <w:sz w:val="28"/>
          <w:highlight w:val="none"/>
        </w:rPr>
        <w:t>第四章  评审方法和标准</w:t>
      </w:r>
      <w:bookmarkEnd w:id="97"/>
    </w:p>
    <w:p w14:paraId="2EA4D4E1">
      <w:pPr>
        <w:spacing w:line="360" w:lineRule="auto"/>
        <w:ind w:firstLine="437"/>
        <w:outlineLvl w:val="1"/>
        <w:rPr>
          <w:rFonts w:asciiTheme="minorEastAsia" w:hAnsiTheme="minorEastAsia" w:eastAsiaTheme="minorEastAsia"/>
          <w:b/>
          <w:sz w:val="24"/>
          <w:highlight w:val="none"/>
        </w:rPr>
      </w:pPr>
      <w:bookmarkStart w:id="98" w:name="_Toc12199"/>
      <w:bookmarkStart w:id="99" w:name="_Toc21211"/>
      <w:bookmarkStart w:id="100" w:name="_Toc23963"/>
      <w:r>
        <w:rPr>
          <w:rFonts w:hint="eastAsia" w:asciiTheme="minorEastAsia" w:hAnsiTheme="minorEastAsia" w:eastAsiaTheme="minorEastAsia"/>
          <w:b/>
          <w:sz w:val="24"/>
          <w:highlight w:val="none"/>
        </w:rPr>
        <w:t>一、总则</w:t>
      </w:r>
      <w:bookmarkEnd w:id="98"/>
      <w:bookmarkEnd w:id="99"/>
      <w:bookmarkEnd w:id="100"/>
    </w:p>
    <w:p w14:paraId="77FDC0FC">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本项目将按照磋商文件第二章 供应商须知的相关要求</w:t>
      </w:r>
      <w:r>
        <w:rPr>
          <w:rFonts w:asciiTheme="minorEastAsia" w:hAnsiTheme="minorEastAsia" w:eastAsiaTheme="minorEastAsia"/>
          <w:sz w:val="24"/>
          <w:highlight w:val="none"/>
        </w:rPr>
        <w:t>及本章的规定</w:t>
      </w:r>
      <w:r>
        <w:rPr>
          <w:rFonts w:hint="eastAsia" w:asciiTheme="minorEastAsia" w:hAnsiTheme="minorEastAsia" w:eastAsiaTheme="minorEastAsia"/>
          <w:sz w:val="24"/>
          <w:highlight w:val="none"/>
        </w:rPr>
        <w:t>评审</w:t>
      </w:r>
      <w:r>
        <w:rPr>
          <w:rFonts w:asciiTheme="minorEastAsia" w:hAnsiTheme="minorEastAsia" w:eastAsiaTheme="minorEastAsia"/>
          <w:sz w:val="24"/>
          <w:highlight w:val="none"/>
        </w:rPr>
        <w:t>。</w:t>
      </w:r>
    </w:p>
    <w:p w14:paraId="24B75B8D">
      <w:pPr>
        <w:spacing w:line="360" w:lineRule="auto"/>
        <w:ind w:firstLine="437"/>
        <w:outlineLvl w:val="1"/>
        <w:rPr>
          <w:rFonts w:asciiTheme="minorEastAsia" w:hAnsiTheme="minorEastAsia" w:eastAsiaTheme="minorEastAsia"/>
          <w:b/>
          <w:sz w:val="24"/>
          <w:highlight w:val="none"/>
        </w:rPr>
      </w:pPr>
      <w:bookmarkStart w:id="101" w:name="_Toc13039"/>
      <w:bookmarkStart w:id="102" w:name="_Toc16885"/>
      <w:bookmarkStart w:id="103" w:name="_Toc5204"/>
      <w:r>
        <w:rPr>
          <w:rFonts w:hint="eastAsia" w:asciiTheme="minorEastAsia" w:hAnsiTheme="minorEastAsia" w:eastAsiaTheme="minorEastAsia"/>
          <w:b/>
          <w:sz w:val="24"/>
          <w:highlight w:val="none"/>
        </w:rPr>
        <w:t>二、评审方法</w:t>
      </w:r>
      <w:bookmarkEnd w:id="101"/>
      <w:bookmarkEnd w:id="102"/>
      <w:bookmarkEnd w:id="103"/>
    </w:p>
    <w:p w14:paraId="76B7AA90">
      <w:pPr>
        <w:spacing w:line="360" w:lineRule="auto"/>
        <w:ind w:firstLine="435"/>
        <w:outlineLvl w:val="2"/>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2.1初审</w:t>
      </w:r>
    </w:p>
    <w:p w14:paraId="16875E88">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磋商小组对供应商的响应文件进行初审，以确定其是否满足磋商文件的实质性要求。初审表如下：</w:t>
      </w:r>
    </w:p>
    <w:tbl>
      <w:tblPr>
        <w:tblStyle w:val="25"/>
        <w:tblW w:w="51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810"/>
        <w:gridCol w:w="4998"/>
        <w:gridCol w:w="2079"/>
      </w:tblGrid>
      <w:tr w14:paraId="3E457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35830CFC">
            <w:pPr>
              <w:adjustRightInd w:val="0"/>
              <w:snapToGrid w:val="0"/>
              <w:spacing w:line="360" w:lineRule="auto"/>
              <w:ind w:right="-10"/>
              <w:jc w:val="center"/>
              <w:rPr>
                <w:rFonts w:ascii="宋体" w:hAnsi="宋体" w:eastAsia="宋体"/>
                <w:sz w:val="24"/>
                <w:highlight w:val="none"/>
              </w:rPr>
            </w:pPr>
            <w:r>
              <w:rPr>
                <w:rFonts w:hint="eastAsia" w:ascii="宋体" w:hAnsi="宋体" w:eastAsia="宋体"/>
                <w:b/>
                <w:sz w:val="24"/>
                <w:szCs w:val="22"/>
                <w:highlight w:val="none"/>
              </w:rPr>
              <w:t>初审表</w:t>
            </w:r>
          </w:p>
        </w:tc>
      </w:tr>
      <w:tr w14:paraId="790C8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tcBorders>
              <w:bottom w:val="single" w:color="auto" w:sz="4" w:space="0"/>
            </w:tcBorders>
            <w:vAlign w:val="center"/>
          </w:tcPr>
          <w:p w14:paraId="7FFE906D">
            <w:pPr>
              <w:adjustRightInd w:val="0"/>
              <w:snapToGrid w:val="0"/>
              <w:spacing w:line="360" w:lineRule="auto"/>
              <w:ind w:right="-10"/>
              <w:jc w:val="center"/>
              <w:rPr>
                <w:rFonts w:ascii="宋体" w:hAnsi="宋体" w:eastAsia="宋体"/>
                <w:sz w:val="24"/>
                <w:highlight w:val="none"/>
              </w:rPr>
            </w:pPr>
            <w:r>
              <w:rPr>
                <w:rFonts w:hint="eastAsia" w:ascii="宋体" w:hAnsi="宋体" w:eastAsia="宋体"/>
                <w:sz w:val="24"/>
                <w:highlight w:val="none"/>
              </w:rPr>
              <w:t>序号</w:t>
            </w:r>
          </w:p>
        </w:tc>
        <w:tc>
          <w:tcPr>
            <w:tcW w:w="942" w:type="pct"/>
            <w:tcBorders>
              <w:bottom w:val="single" w:color="auto" w:sz="4" w:space="0"/>
            </w:tcBorders>
            <w:vAlign w:val="center"/>
          </w:tcPr>
          <w:p w14:paraId="698D91BF">
            <w:pPr>
              <w:pStyle w:val="46"/>
              <w:pBdr>
                <w:bottom w:val="none" w:color="auto" w:sz="0" w:space="0"/>
              </w:pBdr>
              <w:tabs>
                <w:tab w:val="clear" w:pos="4153"/>
                <w:tab w:val="clear" w:pos="8306"/>
              </w:tabs>
              <w:snapToGrid w:val="0"/>
              <w:spacing w:line="360" w:lineRule="auto"/>
              <w:ind w:right="-10"/>
              <w:textAlignment w:val="auto"/>
              <w:rPr>
                <w:rFonts w:ascii="宋体" w:hAnsi="宋体" w:eastAsia="宋体"/>
                <w:kern w:val="2"/>
                <w:szCs w:val="24"/>
                <w:highlight w:val="none"/>
              </w:rPr>
            </w:pPr>
            <w:r>
              <w:rPr>
                <w:rFonts w:hint="eastAsia" w:ascii="宋体" w:hAnsi="宋体" w:eastAsia="宋体"/>
                <w:kern w:val="2"/>
                <w:szCs w:val="24"/>
                <w:highlight w:val="none"/>
              </w:rPr>
              <w:t>审查指标</w:t>
            </w:r>
          </w:p>
        </w:tc>
        <w:tc>
          <w:tcPr>
            <w:tcW w:w="2601" w:type="pct"/>
            <w:tcBorders>
              <w:bottom w:val="single" w:color="auto" w:sz="4" w:space="0"/>
            </w:tcBorders>
            <w:vAlign w:val="center"/>
          </w:tcPr>
          <w:p w14:paraId="6CCF0187">
            <w:pPr>
              <w:adjustRightInd w:val="0"/>
              <w:snapToGrid w:val="0"/>
              <w:spacing w:line="360" w:lineRule="auto"/>
              <w:ind w:right="-10"/>
              <w:jc w:val="center"/>
              <w:rPr>
                <w:rFonts w:ascii="宋体" w:hAnsi="宋体" w:eastAsia="宋体"/>
                <w:sz w:val="24"/>
                <w:highlight w:val="none"/>
              </w:rPr>
            </w:pPr>
            <w:r>
              <w:rPr>
                <w:rFonts w:hint="eastAsia" w:ascii="宋体" w:hAnsi="宋体" w:eastAsia="宋体"/>
                <w:sz w:val="24"/>
                <w:highlight w:val="none"/>
              </w:rPr>
              <w:t>审查标准</w:t>
            </w:r>
          </w:p>
        </w:tc>
        <w:tc>
          <w:tcPr>
            <w:tcW w:w="1080" w:type="pct"/>
            <w:tcBorders>
              <w:bottom w:val="single" w:color="auto" w:sz="4" w:space="0"/>
            </w:tcBorders>
            <w:vAlign w:val="center"/>
          </w:tcPr>
          <w:p w14:paraId="0552A66C">
            <w:pPr>
              <w:adjustRightInd w:val="0"/>
              <w:snapToGrid w:val="0"/>
              <w:spacing w:line="360" w:lineRule="auto"/>
              <w:ind w:right="-10"/>
              <w:jc w:val="center"/>
              <w:rPr>
                <w:rFonts w:ascii="宋体" w:hAnsi="宋体" w:eastAsia="宋体"/>
                <w:sz w:val="24"/>
                <w:highlight w:val="none"/>
              </w:rPr>
            </w:pPr>
            <w:r>
              <w:rPr>
                <w:rFonts w:hint="eastAsia" w:ascii="宋体" w:hAnsi="宋体" w:eastAsia="宋体"/>
                <w:sz w:val="24"/>
                <w:highlight w:val="none"/>
              </w:rPr>
              <w:t>格式要求</w:t>
            </w:r>
          </w:p>
        </w:tc>
      </w:tr>
      <w:tr w14:paraId="41F64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375" w:type="pct"/>
            <w:tcBorders>
              <w:bottom w:val="single" w:color="auto" w:sz="4" w:space="0"/>
            </w:tcBorders>
            <w:vAlign w:val="center"/>
          </w:tcPr>
          <w:p w14:paraId="11D4F4E2">
            <w:pPr>
              <w:adjustRightInd w:val="0"/>
              <w:snapToGrid w:val="0"/>
              <w:spacing w:line="360" w:lineRule="auto"/>
              <w:ind w:right="-10"/>
              <w:jc w:val="center"/>
              <w:rPr>
                <w:rFonts w:ascii="宋体" w:hAnsi="宋体" w:eastAsia="宋体"/>
                <w:sz w:val="24"/>
                <w:highlight w:val="none"/>
              </w:rPr>
            </w:pPr>
            <w:r>
              <w:rPr>
                <w:rFonts w:hint="eastAsia" w:ascii="宋体" w:hAnsi="宋体" w:eastAsia="宋体"/>
                <w:sz w:val="24"/>
                <w:highlight w:val="none"/>
              </w:rPr>
              <w:t>1</w:t>
            </w:r>
          </w:p>
        </w:tc>
        <w:tc>
          <w:tcPr>
            <w:tcW w:w="942" w:type="pct"/>
            <w:tcBorders>
              <w:bottom w:val="single" w:color="auto" w:sz="4" w:space="0"/>
            </w:tcBorders>
            <w:vAlign w:val="center"/>
          </w:tcPr>
          <w:p w14:paraId="0C77E6AB">
            <w:pPr>
              <w:spacing w:after="50" w:line="360" w:lineRule="auto"/>
              <w:ind w:right="-10"/>
              <w:jc w:val="center"/>
              <w:rPr>
                <w:rFonts w:ascii="宋体" w:hAnsi="宋体" w:eastAsia="宋体"/>
                <w:sz w:val="24"/>
                <w:szCs w:val="28"/>
                <w:highlight w:val="none"/>
              </w:rPr>
            </w:pPr>
            <w:r>
              <w:rPr>
                <w:rFonts w:ascii="宋体" w:hAnsi="宋体" w:eastAsia="宋体" w:cs="宋体"/>
                <w:spacing w:val="9"/>
                <w:sz w:val="24"/>
                <w:szCs w:val="24"/>
                <w:highlight w:val="none"/>
              </w:rPr>
              <w:t>营业执照等证明</w:t>
            </w:r>
            <w:r>
              <w:rPr>
                <w:rFonts w:ascii="宋体" w:hAnsi="宋体" w:eastAsia="宋体" w:cs="宋体"/>
                <w:spacing w:val="-3"/>
                <w:sz w:val="24"/>
                <w:szCs w:val="24"/>
                <w:highlight w:val="none"/>
              </w:rPr>
              <w:t>文件</w:t>
            </w:r>
          </w:p>
        </w:tc>
        <w:tc>
          <w:tcPr>
            <w:tcW w:w="2601" w:type="pct"/>
            <w:tcBorders>
              <w:bottom w:val="single" w:color="auto" w:sz="4" w:space="0"/>
            </w:tcBorders>
            <w:vAlign w:val="center"/>
          </w:tcPr>
          <w:p w14:paraId="4D05ABD9">
            <w:pPr>
              <w:spacing w:after="50" w:line="360" w:lineRule="auto"/>
              <w:ind w:right="-10"/>
              <w:jc w:val="left"/>
              <w:rPr>
                <w:rFonts w:ascii="宋体" w:hAnsi="宋体" w:eastAsia="宋体" w:cs="宋体"/>
                <w:sz w:val="24"/>
                <w:szCs w:val="24"/>
                <w:highlight w:val="none"/>
              </w:rPr>
            </w:pPr>
            <w:r>
              <w:rPr>
                <w:rFonts w:hint="eastAsia" w:ascii="宋体" w:hAnsi="宋体" w:eastAsia="宋体" w:cs="宋体"/>
                <w:sz w:val="24"/>
                <w:szCs w:val="24"/>
                <w:highlight w:val="none"/>
              </w:rPr>
              <w:t>（1）供应商</w:t>
            </w:r>
            <w:r>
              <w:rPr>
                <w:rFonts w:ascii="宋体" w:hAnsi="宋体" w:eastAsia="宋体" w:cs="宋体"/>
                <w:sz w:val="24"/>
                <w:szCs w:val="24"/>
                <w:highlight w:val="none"/>
              </w:rPr>
              <w:t>为企业（包括合伙企业）的，应</w:t>
            </w:r>
            <w:r>
              <w:rPr>
                <w:rFonts w:hint="eastAsia" w:ascii="宋体" w:hAnsi="宋体" w:eastAsia="宋体" w:cs="宋体"/>
                <w:sz w:val="24"/>
                <w:szCs w:val="24"/>
                <w:highlight w:val="none"/>
              </w:rPr>
              <w:t>提</w:t>
            </w:r>
            <w:r>
              <w:rPr>
                <w:rFonts w:ascii="宋体" w:hAnsi="宋体" w:eastAsia="宋体" w:cs="宋体"/>
                <w:sz w:val="24"/>
                <w:szCs w:val="24"/>
                <w:highlight w:val="none"/>
              </w:rPr>
              <w:t>供有效的营业执照；</w:t>
            </w:r>
          </w:p>
          <w:p w14:paraId="3D19BAF0">
            <w:pPr>
              <w:spacing w:after="50" w:line="360" w:lineRule="auto"/>
              <w:ind w:right="-10"/>
              <w:jc w:val="left"/>
              <w:rPr>
                <w:rFonts w:ascii="宋体" w:hAnsi="宋体" w:eastAsia="宋体" w:cs="宋体"/>
                <w:sz w:val="24"/>
                <w:szCs w:val="24"/>
                <w:highlight w:val="none"/>
              </w:rPr>
            </w:pPr>
            <w:r>
              <w:rPr>
                <w:rFonts w:hint="eastAsia" w:ascii="宋体" w:hAnsi="宋体" w:eastAsia="宋体" w:cs="宋体"/>
                <w:sz w:val="24"/>
                <w:szCs w:val="24"/>
                <w:highlight w:val="none"/>
              </w:rPr>
              <w:t>（2）供应商</w:t>
            </w:r>
            <w:r>
              <w:rPr>
                <w:rFonts w:ascii="宋体" w:hAnsi="宋体" w:eastAsia="宋体" w:cs="宋体"/>
                <w:sz w:val="24"/>
                <w:szCs w:val="24"/>
                <w:highlight w:val="none"/>
              </w:rPr>
              <w:t>为事业单位的，应</w:t>
            </w:r>
            <w:r>
              <w:rPr>
                <w:rFonts w:hint="eastAsia" w:ascii="宋体" w:hAnsi="宋体" w:eastAsia="宋体" w:cs="宋体"/>
                <w:sz w:val="24"/>
                <w:szCs w:val="24"/>
                <w:highlight w:val="none"/>
              </w:rPr>
              <w:t>提</w:t>
            </w:r>
            <w:r>
              <w:rPr>
                <w:rFonts w:ascii="宋体" w:hAnsi="宋体" w:eastAsia="宋体" w:cs="宋体"/>
                <w:sz w:val="24"/>
                <w:szCs w:val="24"/>
                <w:highlight w:val="none"/>
              </w:rPr>
              <w:t>供有效的事业单位法人证书；</w:t>
            </w:r>
          </w:p>
          <w:p w14:paraId="3A40037F">
            <w:pPr>
              <w:spacing w:after="50" w:line="360" w:lineRule="auto"/>
              <w:ind w:right="-10"/>
              <w:jc w:val="left"/>
              <w:rPr>
                <w:rFonts w:ascii="宋体" w:hAnsi="宋体" w:eastAsia="宋体" w:cs="宋体"/>
                <w:sz w:val="24"/>
                <w:szCs w:val="24"/>
                <w:highlight w:val="none"/>
              </w:rPr>
            </w:pPr>
            <w:r>
              <w:rPr>
                <w:rFonts w:hint="eastAsia" w:ascii="宋体" w:hAnsi="宋体" w:eastAsia="宋体" w:cs="宋体"/>
                <w:sz w:val="24"/>
                <w:szCs w:val="24"/>
                <w:highlight w:val="none"/>
              </w:rPr>
              <w:t>（3）供应商</w:t>
            </w:r>
            <w:r>
              <w:rPr>
                <w:rFonts w:ascii="宋体" w:hAnsi="宋体" w:eastAsia="宋体" w:cs="宋体"/>
                <w:sz w:val="24"/>
                <w:szCs w:val="24"/>
                <w:highlight w:val="none"/>
              </w:rPr>
              <w:t>是非企业机构的，应</w:t>
            </w:r>
            <w:r>
              <w:rPr>
                <w:rFonts w:hint="eastAsia" w:ascii="宋体" w:hAnsi="宋体" w:eastAsia="宋体" w:cs="宋体"/>
                <w:sz w:val="24"/>
                <w:szCs w:val="24"/>
                <w:highlight w:val="none"/>
              </w:rPr>
              <w:t>提</w:t>
            </w:r>
            <w:r>
              <w:rPr>
                <w:rFonts w:ascii="宋体" w:hAnsi="宋体" w:eastAsia="宋体" w:cs="宋体"/>
                <w:sz w:val="24"/>
                <w:szCs w:val="24"/>
                <w:highlight w:val="none"/>
              </w:rPr>
              <w:t>供有效的执业许可证</w:t>
            </w:r>
            <w:r>
              <w:rPr>
                <w:rFonts w:hint="eastAsia" w:ascii="宋体" w:hAnsi="宋体" w:eastAsia="宋体" w:cs="宋体"/>
                <w:sz w:val="24"/>
                <w:szCs w:val="24"/>
                <w:highlight w:val="none"/>
              </w:rPr>
              <w:t>或</w:t>
            </w:r>
            <w:r>
              <w:rPr>
                <w:rFonts w:ascii="宋体" w:hAnsi="宋体" w:eastAsia="宋体" w:cs="宋体"/>
                <w:sz w:val="24"/>
                <w:szCs w:val="24"/>
                <w:highlight w:val="none"/>
              </w:rPr>
              <w:t>登记证书等证明文件；</w:t>
            </w:r>
          </w:p>
          <w:p w14:paraId="3BBD84C9">
            <w:pPr>
              <w:spacing w:after="50" w:line="360" w:lineRule="auto"/>
              <w:ind w:right="-10"/>
              <w:jc w:val="left"/>
              <w:rPr>
                <w:rFonts w:ascii="宋体" w:hAnsi="宋体" w:eastAsia="宋体" w:cs="宋体"/>
                <w:sz w:val="24"/>
                <w:szCs w:val="24"/>
                <w:highlight w:val="none"/>
              </w:rPr>
            </w:pPr>
            <w:r>
              <w:rPr>
                <w:rFonts w:hint="eastAsia" w:ascii="宋体" w:hAnsi="宋体" w:eastAsia="宋体" w:cs="宋体"/>
                <w:sz w:val="24"/>
                <w:szCs w:val="24"/>
                <w:highlight w:val="none"/>
              </w:rPr>
              <w:t>（4）供应商</w:t>
            </w:r>
            <w:r>
              <w:rPr>
                <w:rFonts w:ascii="宋体" w:hAnsi="宋体" w:eastAsia="宋体" w:cs="宋体"/>
                <w:sz w:val="24"/>
                <w:szCs w:val="24"/>
                <w:highlight w:val="none"/>
              </w:rPr>
              <w:t>是个体工商户的，应</w:t>
            </w:r>
            <w:r>
              <w:rPr>
                <w:rFonts w:hint="eastAsia" w:ascii="宋体" w:hAnsi="宋体" w:eastAsia="宋体" w:cs="宋体"/>
                <w:sz w:val="24"/>
                <w:szCs w:val="24"/>
                <w:highlight w:val="none"/>
              </w:rPr>
              <w:t>提</w:t>
            </w:r>
            <w:r>
              <w:rPr>
                <w:rFonts w:ascii="宋体" w:hAnsi="宋体" w:eastAsia="宋体" w:cs="宋体"/>
                <w:sz w:val="24"/>
                <w:szCs w:val="24"/>
                <w:highlight w:val="none"/>
              </w:rPr>
              <w:t>供有效的个体工商户营业执照；</w:t>
            </w:r>
          </w:p>
          <w:p w14:paraId="50B7255B">
            <w:pPr>
              <w:spacing w:after="50" w:line="360" w:lineRule="auto"/>
              <w:ind w:right="-10"/>
              <w:jc w:val="left"/>
              <w:rPr>
                <w:rFonts w:ascii="宋体" w:hAnsi="宋体" w:eastAsia="宋体"/>
                <w:sz w:val="24"/>
                <w:szCs w:val="28"/>
                <w:highlight w:val="none"/>
              </w:rPr>
            </w:pPr>
            <w:r>
              <w:rPr>
                <w:rFonts w:hint="eastAsia" w:ascii="宋体" w:hAnsi="宋体" w:eastAsia="宋体" w:cs="宋体"/>
                <w:sz w:val="24"/>
                <w:szCs w:val="24"/>
                <w:highlight w:val="none"/>
              </w:rPr>
              <w:t>（5）供应商</w:t>
            </w:r>
            <w:r>
              <w:rPr>
                <w:rFonts w:ascii="宋体" w:hAnsi="宋体" w:eastAsia="宋体" w:cs="宋体"/>
                <w:sz w:val="24"/>
                <w:szCs w:val="24"/>
                <w:highlight w:val="none"/>
              </w:rPr>
              <w:t>是自然人的，应</w:t>
            </w:r>
            <w:r>
              <w:rPr>
                <w:rFonts w:hint="eastAsia" w:ascii="宋体" w:hAnsi="宋体" w:eastAsia="宋体" w:cs="宋体"/>
                <w:sz w:val="24"/>
                <w:szCs w:val="24"/>
                <w:highlight w:val="none"/>
              </w:rPr>
              <w:t>提</w:t>
            </w:r>
            <w:r>
              <w:rPr>
                <w:rFonts w:ascii="宋体" w:hAnsi="宋体" w:eastAsia="宋体" w:cs="宋体"/>
                <w:sz w:val="24"/>
                <w:szCs w:val="24"/>
                <w:highlight w:val="none"/>
              </w:rPr>
              <w:t>供有效的自然人身份证明。</w:t>
            </w:r>
          </w:p>
        </w:tc>
        <w:tc>
          <w:tcPr>
            <w:tcW w:w="1080" w:type="pct"/>
            <w:vAlign w:val="center"/>
          </w:tcPr>
          <w:p w14:paraId="6DC2EFDD">
            <w:pPr>
              <w:spacing w:line="360" w:lineRule="auto"/>
              <w:jc w:val="left"/>
              <w:rPr>
                <w:rFonts w:ascii="宋体" w:hAnsi="宋体" w:eastAsia="宋体"/>
                <w:sz w:val="24"/>
                <w:highlight w:val="none"/>
              </w:rPr>
            </w:pPr>
            <w:r>
              <w:rPr>
                <w:rFonts w:hint="eastAsia" w:ascii="宋体" w:hAnsi="宋体" w:eastAsia="宋体" w:cs="宋体"/>
                <w:sz w:val="24"/>
                <w:szCs w:val="24"/>
                <w:highlight w:val="none"/>
              </w:rPr>
              <w:t>提供材料扫描件或电子证照，应完整的体现出材料或电子证照全部内容。联合体磋商的联合体各方均须提供。</w:t>
            </w:r>
          </w:p>
        </w:tc>
      </w:tr>
      <w:tr w14:paraId="50DF3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375" w:type="pct"/>
            <w:tcBorders>
              <w:bottom w:val="single" w:color="auto" w:sz="4" w:space="0"/>
            </w:tcBorders>
            <w:vAlign w:val="center"/>
          </w:tcPr>
          <w:p w14:paraId="2906B16E">
            <w:pPr>
              <w:adjustRightInd w:val="0"/>
              <w:snapToGrid w:val="0"/>
              <w:spacing w:line="360" w:lineRule="auto"/>
              <w:ind w:right="-10"/>
              <w:jc w:val="center"/>
              <w:rPr>
                <w:rFonts w:ascii="宋体" w:hAnsi="宋体" w:eastAsia="宋体"/>
                <w:sz w:val="24"/>
                <w:highlight w:val="none"/>
              </w:rPr>
            </w:pPr>
            <w:r>
              <w:rPr>
                <w:rFonts w:hint="eastAsia" w:ascii="宋体" w:hAnsi="宋体" w:eastAsia="宋体"/>
                <w:sz w:val="24"/>
                <w:highlight w:val="none"/>
              </w:rPr>
              <w:t>2</w:t>
            </w:r>
          </w:p>
        </w:tc>
        <w:tc>
          <w:tcPr>
            <w:tcW w:w="942" w:type="pct"/>
            <w:tcBorders>
              <w:bottom w:val="single" w:color="auto" w:sz="4" w:space="0"/>
            </w:tcBorders>
            <w:vAlign w:val="center"/>
          </w:tcPr>
          <w:p w14:paraId="57020FD2">
            <w:pPr>
              <w:spacing w:after="50" w:line="360" w:lineRule="auto"/>
              <w:ind w:right="-10"/>
              <w:jc w:val="center"/>
              <w:rPr>
                <w:rFonts w:ascii="宋体" w:hAnsi="宋体" w:eastAsia="宋体"/>
                <w:sz w:val="24"/>
                <w:szCs w:val="28"/>
                <w:highlight w:val="none"/>
              </w:rPr>
            </w:pPr>
            <w:r>
              <w:rPr>
                <w:rFonts w:hint="eastAsia" w:ascii="宋体" w:hAnsi="宋体" w:eastAsia="宋体"/>
                <w:sz w:val="24"/>
                <w:szCs w:val="18"/>
                <w:highlight w:val="none"/>
              </w:rPr>
              <w:t>供应商资格声明书</w:t>
            </w:r>
          </w:p>
        </w:tc>
        <w:tc>
          <w:tcPr>
            <w:tcW w:w="2601" w:type="pct"/>
            <w:tcBorders>
              <w:bottom w:val="single" w:color="auto" w:sz="4" w:space="0"/>
            </w:tcBorders>
            <w:vAlign w:val="center"/>
          </w:tcPr>
          <w:p w14:paraId="32890366">
            <w:pPr>
              <w:spacing w:after="50" w:line="360" w:lineRule="auto"/>
              <w:ind w:right="-10"/>
              <w:jc w:val="left"/>
              <w:rPr>
                <w:rFonts w:ascii="宋体" w:hAnsi="宋体" w:eastAsia="宋体"/>
                <w:sz w:val="24"/>
                <w:szCs w:val="28"/>
                <w:highlight w:val="none"/>
              </w:rPr>
            </w:pPr>
            <w:r>
              <w:rPr>
                <w:rFonts w:hint="eastAsia" w:ascii="宋体" w:hAnsi="宋体" w:eastAsia="宋体" w:cs="宋体"/>
                <w:sz w:val="24"/>
                <w:szCs w:val="24"/>
                <w:highlight w:val="none"/>
              </w:rPr>
              <w:t>提</w:t>
            </w:r>
            <w:r>
              <w:rPr>
                <w:rFonts w:ascii="宋体" w:hAnsi="宋体" w:eastAsia="宋体" w:cs="宋体"/>
                <w:sz w:val="24"/>
                <w:szCs w:val="24"/>
                <w:highlight w:val="none"/>
              </w:rPr>
              <w:t>供符合</w:t>
            </w:r>
            <w:r>
              <w:rPr>
                <w:rFonts w:hint="eastAsia" w:ascii="宋体" w:hAnsi="宋体" w:eastAsia="宋体" w:cs="宋体"/>
                <w:sz w:val="24"/>
                <w:szCs w:val="24"/>
                <w:highlight w:val="none"/>
              </w:rPr>
              <w:t>磋商</w:t>
            </w:r>
            <w:r>
              <w:rPr>
                <w:rFonts w:ascii="宋体" w:hAnsi="宋体" w:eastAsia="宋体" w:cs="宋体"/>
                <w:sz w:val="24"/>
                <w:szCs w:val="24"/>
                <w:highlight w:val="none"/>
              </w:rPr>
              <w:t>文件要求的《</w:t>
            </w:r>
            <w:r>
              <w:rPr>
                <w:rFonts w:hint="eastAsia" w:ascii="宋体" w:hAnsi="宋体" w:eastAsia="宋体" w:cs="宋体"/>
                <w:sz w:val="24"/>
                <w:szCs w:val="24"/>
                <w:highlight w:val="none"/>
              </w:rPr>
              <w:t>供应商</w:t>
            </w:r>
            <w:r>
              <w:rPr>
                <w:rFonts w:ascii="宋体" w:hAnsi="宋体" w:eastAsia="宋体" w:cs="宋体"/>
                <w:sz w:val="24"/>
                <w:szCs w:val="24"/>
                <w:highlight w:val="none"/>
              </w:rPr>
              <w:t>资格声明书》</w:t>
            </w:r>
            <w:r>
              <w:rPr>
                <w:rFonts w:hint="eastAsia" w:ascii="宋体" w:hAnsi="宋体" w:eastAsia="宋体" w:cs="宋体"/>
                <w:sz w:val="24"/>
                <w:szCs w:val="24"/>
                <w:highlight w:val="none"/>
              </w:rPr>
              <w:t>。</w:t>
            </w:r>
          </w:p>
        </w:tc>
        <w:tc>
          <w:tcPr>
            <w:tcW w:w="1080" w:type="pct"/>
            <w:vAlign w:val="center"/>
          </w:tcPr>
          <w:p w14:paraId="4B6F77B3">
            <w:pPr>
              <w:spacing w:line="360" w:lineRule="auto"/>
              <w:jc w:val="left"/>
              <w:rPr>
                <w:rFonts w:ascii="宋体" w:hAnsi="宋体" w:eastAsia="宋体" w:cs="宋体"/>
                <w:sz w:val="24"/>
                <w:szCs w:val="24"/>
                <w:highlight w:val="none"/>
              </w:rPr>
            </w:pPr>
            <w:r>
              <w:rPr>
                <w:rFonts w:hint="eastAsia" w:ascii="宋体" w:hAnsi="宋体" w:eastAsia="宋体"/>
                <w:sz w:val="24"/>
                <w:highlight w:val="none"/>
              </w:rPr>
              <w:t>详见第六章响应文件格式。</w:t>
            </w:r>
          </w:p>
        </w:tc>
      </w:tr>
      <w:tr w14:paraId="19467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tcBorders>
              <w:bottom w:val="single" w:color="auto" w:sz="4" w:space="0"/>
            </w:tcBorders>
            <w:vAlign w:val="center"/>
          </w:tcPr>
          <w:p w14:paraId="2928DEDE">
            <w:pPr>
              <w:adjustRightInd w:val="0"/>
              <w:snapToGrid w:val="0"/>
              <w:spacing w:line="360" w:lineRule="auto"/>
              <w:ind w:right="-10"/>
              <w:jc w:val="center"/>
              <w:rPr>
                <w:rFonts w:ascii="宋体" w:hAnsi="宋体" w:eastAsia="宋体"/>
                <w:sz w:val="24"/>
                <w:highlight w:val="none"/>
              </w:rPr>
            </w:pPr>
            <w:r>
              <w:rPr>
                <w:rFonts w:hint="eastAsia" w:ascii="宋体" w:hAnsi="宋体" w:eastAsia="宋体"/>
                <w:sz w:val="24"/>
                <w:highlight w:val="none"/>
              </w:rPr>
              <w:t>3</w:t>
            </w:r>
          </w:p>
        </w:tc>
        <w:tc>
          <w:tcPr>
            <w:tcW w:w="942" w:type="pct"/>
            <w:tcBorders>
              <w:bottom w:val="single" w:color="auto" w:sz="4" w:space="0"/>
            </w:tcBorders>
            <w:vAlign w:val="center"/>
          </w:tcPr>
          <w:p w14:paraId="09E81F61">
            <w:pPr>
              <w:spacing w:after="50" w:line="360" w:lineRule="auto"/>
              <w:ind w:right="-10"/>
              <w:jc w:val="center"/>
              <w:rPr>
                <w:rFonts w:ascii="宋体" w:hAnsi="宋体" w:eastAsia="宋体"/>
                <w:sz w:val="24"/>
                <w:szCs w:val="28"/>
                <w:highlight w:val="none"/>
              </w:rPr>
            </w:pPr>
            <w:r>
              <w:rPr>
                <w:rFonts w:hint="eastAsia" w:ascii="宋体" w:hAnsi="宋体" w:eastAsia="宋体"/>
                <w:sz w:val="24"/>
                <w:szCs w:val="18"/>
                <w:highlight w:val="none"/>
              </w:rPr>
              <w:t>供应商</w:t>
            </w:r>
            <w:r>
              <w:rPr>
                <w:rFonts w:hint="eastAsia" w:ascii="宋体" w:hAnsi="宋体" w:eastAsia="宋体" w:cs="宋体"/>
                <w:sz w:val="24"/>
                <w:szCs w:val="24"/>
                <w:highlight w:val="none"/>
              </w:rPr>
              <w:t>信用记录</w:t>
            </w:r>
          </w:p>
        </w:tc>
        <w:tc>
          <w:tcPr>
            <w:tcW w:w="2601" w:type="pct"/>
            <w:tcBorders>
              <w:bottom w:val="single" w:color="auto" w:sz="4" w:space="0"/>
            </w:tcBorders>
            <w:vAlign w:val="center"/>
          </w:tcPr>
          <w:p w14:paraId="1E027265">
            <w:pPr>
              <w:spacing w:after="50" w:line="360" w:lineRule="auto"/>
              <w:ind w:right="-10"/>
              <w:jc w:val="left"/>
              <w:rPr>
                <w:highlight w:val="none"/>
              </w:rPr>
            </w:pPr>
            <w:r>
              <w:rPr>
                <w:rFonts w:hint="eastAsia" w:ascii="宋体" w:hAnsi="宋体" w:eastAsia="宋体" w:cs="宋体"/>
                <w:sz w:val="24"/>
                <w:szCs w:val="24"/>
                <w:highlight w:val="none"/>
              </w:rPr>
              <w:t>供应商</w:t>
            </w:r>
            <w:r>
              <w:rPr>
                <w:rFonts w:hint="eastAsia" w:ascii="宋体" w:hAnsi="宋体" w:eastAsia="宋体" w:cs="宋体"/>
                <w:sz w:val="24"/>
                <w:szCs w:val="24"/>
                <w:highlight w:val="none"/>
                <w:lang w:val="zh-CN"/>
              </w:rPr>
              <w:t>不得存在</w:t>
            </w:r>
            <w:r>
              <w:rPr>
                <w:rFonts w:hint="eastAsia" w:ascii="宋体" w:hAnsi="宋体" w:eastAsia="宋体" w:cs="宋体"/>
                <w:sz w:val="24"/>
                <w:szCs w:val="24"/>
                <w:highlight w:val="none"/>
              </w:rPr>
              <w:t>供应商</w:t>
            </w:r>
            <w:r>
              <w:rPr>
                <w:rFonts w:hint="eastAsia" w:ascii="宋体" w:hAnsi="宋体" w:eastAsia="宋体" w:cs="宋体"/>
                <w:sz w:val="24"/>
                <w:szCs w:val="24"/>
                <w:highlight w:val="none"/>
                <w:lang w:val="zh-CN"/>
              </w:rPr>
              <w:t>须知正文第1</w:t>
            </w:r>
            <w:r>
              <w:rPr>
                <w:rFonts w:hint="eastAsia" w:ascii="宋体" w:hAnsi="宋体" w:eastAsia="宋体" w:cs="宋体"/>
                <w:sz w:val="24"/>
                <w:szCs w:val="24"/>
                <w:highlight w:val="none"/>
              </w:rPr>
              <w:t>4</w:t>
            </w: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rPr>
              <w:t>3条中</w:t>
            </w:r>
            <w:r>
              <w:rPr>
                <w:rFonts w:hint="eastAsia" w:ascii="宋体" w:hAnsi="宋体" w:eastAsia="宋体"/>
                <w:sz w:val="24"/>
                <w:szCs w:val="28"/>
                <w:highlight w:val="none"/>
              </w:rPr>
              <w:t>的</w:t>
            </w:r>
            <w:r>
              <w:rPr>
                <w:rFonts w:hint="eastAsia" w:ascii="宋体" w:hAnsi="宋体" w:eastAsia="宋体"/>
                <w:sz w:val="24"/>
                <w:szCs w:val="18"/>
                <w:highlight w:val="none"/>
              </w:rPr>
              <w:t>不良信用记录情形</w:t>
            </w:r>
          </w:p>
        </w:tc>
        <w:tc>
          <w:tcPr>
            <w:tcW w:w="1080" w:type="pct"/>
            <w:tcBorders>
              <w:bottom w:val="single" w:color="auto" w:sz="4" w:space="0"/>
            </w:tcBorders>
            <w:vAlign w:val="center"/>
          </w:tcPr>
          <w:p w14:paraId="0AA9DA34">
            <w:pPr>
              <w:spacing w:line="360" w:lineRule="auto"/>
              <w:jc w:val="left"/>
              <w:rPr>
                <w:highlight w:val="none"/>
              </w:rPr>
            </w:pPr>
            <w:r>
              <w:rPr>
                <w:rFonts w:hint="eastAsia" w:ascii="宋体" w:hAnsi="宋体" w:eastAsia="宋体" w:cs="宋体"/>
                <w:sz w:val="24"/>
                <w:szCs w:val="24"/>
                <w:highlight w:val="none"/>
              </w:rPr>
              <w:t>无须供应商提供，由采购人或采购代理机构查询。</w:t>
            </w:r>
          </w:p>
        </w:tc>
      </w:tr>
      <w:tr w14:paraId="633D8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tcBorders>
              <w:bottom w:val="single" w:color="auto" w:sz="4" w:space="0"/>
            </w:tcBorders>
            <w:vAlign w:val="center"/>
          </w:tcPr>
          <w:p w14:paraId="6AB15422">
            <w:pPr>
              <w:adjustRightInd w:val="0"/>
              <w:snapToGrid w:val="0"/>
              <w:spacing w:line="360" w:lineRule="auto"/>
              <w:ind w:right="-10"/>
              <w:jc w:val="center"/>
              <w:rPr>
                <w:rFonts w:ascii="宋体" w:hAnsi="宋体" w:eastAsia="宋体"/>
                <w:sz w:val="24"/>
                <w:highlight w:val="none"/>
              </w:rPr>
            </w:pPr>
            <w:r>
              <w:rPr>
                <w:rFonts w:hint="eastAsia" w:ascii="宋体" w:hAnsi="宋体" w:eastAsia="宋体"/>
                <w:sz w:val="24"/>
                <w:highlight w:val="none"/>
              </w:rPr>
              <w:t>4</w:t>
            </w:r>
          </w:p>
        </w:tc>
        <w:tc>
          <w:tcPr>
            <w:tcW w:w="942" w:type="pct"/>
            <w:tcBorders>
              <w:bottom w:val="single" w:color="auto" w:sz="4" w:space="0"/>
            </w:tcBorders>
            <w:vAlign w:val="center"/>
          </w:tcPr>
          <w:p w14:paraId="52F06070">
            <w:pPr>
              <w:spacing w:after="50" w:line="360" w:lineRule="auto"/>
              <w:ind w:right="-10"/>
              <w:jc w:val="center"/>
              <w:rPr>
                <w:rFonts w:ascii="宋体" w:hAnsi="宋体" w:eastAsia="宋体" w:cs="宋体"/>
                <w:sz w:val="24"/>
                <w:szCs w:val="24"/>
                <w:highlight w:val="none"/>
              </w:rPr>
            </w:pPr>
            <w:r>
              <w:rPr>
                <w:rFonts w:hint="eastAsia" w:ascii="宋体" w:hAnsi="宋体" w:eastAsia="宋体" w:cs="宋体"/>
                <w:sz w:val="24"/>
                <w:szCs w:val="24"/>
                <w:highlight w:val="none"/>
              </w:rPr>
              <w:t>中小企业证明文件（</w:t>
            </w:r>
            <w:r>
              <w:rPr>
                <w:rFonts w:hint="eastAsia" w:ascii="宋体" w:hAnsi="宋体" w:eastAsia="宋体" w:cs="宋体"/>
                <w:i/>
                <w:iCs/>
                <w:sz w:val="24"/>
                <w:szCs w:val="24"/>
                <w:highlight w:val="none"/>
              </w:rPr>
              <w:t>适用于专门面向中小企业采购项目或预留中小企业采购份额项目</w:t>
            </w:r>
            <w:r>
              <w:rPr>
                <w:rFonts w:hint="eastAsia" w:ascii="宋体" w:hAnsi="宋体" w:eastAsia="宋体" w:cs="宋体"/>
                <w:sz w:val="24"/>
                <w:szCs w:val="24"/>
                <w:highlight w:val="none"/>
              </w:rPr>
              <w:t>）</w:t>
            </w:r>
          </w:p>
        </w:tc>
        <w:tc>
          <w:tcPr>
            <w:tcW w:w="2601" w:type="pct"/>
            <w:tcBorders>
              <w:bottom w:val="single" w:color="auto" w:sz="4" w:space="0"/>
            </w:tcBorders>
          </w:tcPr>
          <w:p w14:paraId="2072B797">
            <w:pPr>
              <w:spacing w:after="50" w:line="360" w:lineRule="auto"/>
              <w:ind w:right="-10"/>
              <w:jc w:val="left"/>
              <w:rPr>
                <w:rFonts w:ascii="宋体" w:hAnsi="宋体" w:eastAsia="宋体" w:cs="宋体"/>
                <w:sz w:val="24"/>
                <w:szCs w:val="24"/>
                <w:highlight w:val="none"/>
              </w:rPr>
            </w:pPr>
            <w:r>
              <w:rPr>
                <w:rFonts w:hint="eastAsia" w:ascii="宋体" w:hAnsi="宋体" w:eastAsia="宋体"/>
                <w:sz w:val="24"/>
                <w:szCs w:val="28"/>
                <w:highlight w:val="none"/>
              </w:rPr>
              <w:t>符合申请人的资格要求中落实政府采购政策需满足的资格要求：</w:t>
            </w:r>
          </w:p>
          <w:p w14:paraId="4520A3A9">
            <w:pPr>
              <w:spacing w:after="50" w:line="360" w:lineRule="auto"/>
              <w:ind w:right="-10"/>
              <w:jc w:val="left"/>
              <w:rPr>
                <w:rFonts w:ascii="宋体" w:hAnsi="宋体" w:eastAsia="宋体" w:cs="宋体"/>
                <w:sz w:val="24"/>
                <w:szCs w:val="24"/>
                <w:highlight w:val="none"/>
              </w:rPr>
            </w:pPr>
            <w:r>
              <w:rPr>
                <w:rFonts w:hint="eastAsia" w:ascii="宋体" w:hAnsi="宋体" w:eastAsia="宋体" w:cs="宋体"/>
                <w:sz w:val="24"/>
                <w:szCs w:val="24"/>
                <w:highlight w:val="none"/>
              </w:rPr>
              <w:t>（1）专门面向中小企业采购的，供应商应提供《中小企业声明函》或《残疾人福利性单位声明函》或由省级以上监狱管理局、戒毒管理局（含新疆 生产建设兵团）出具的属于监狱企业的证明文件。</w:t>
            </w:r>
          </w:p>
          <w:p w14:paraId="50695DBC">
            <w:pPr>
              <w:spacing w:after="50" w:line="360" w:lineRule="auto"/>
              <w:ind w:right="-10"/>
              <w:jc w:val="left"/>
              <w:rPr>
                <w:rFonts w:ascii="宋体" w:hAnsi="宋体" w:eastAsia="宋体" w:cs="宋体"/>
                <w:sz w:val="24"/>
                <w:szCs w:val="24"/>
                <w:highlight w:val="none"/>
              </w:rPr>
            </w:pPr>
            <w:r>
              <w:rPr>
                <w:rFonts w:hint="eastAsia" w:ascii="宋体" w:hAnsi="宋体" w:eastAsia="宋体" w:cs="宋体"/>
                <w:sz w:val="24"/>
                <w:szCs w:val="24"/>
                <w:highlight w:val="none"/>
              </w:rPr>
              <w:t>（2）如磋商文件要求以联合体形式参加或者要求合同分包的，且供应商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磋商文件关于预留份额的要求。</w:t>
            </w:r>
          </w:p>
        </w:tc>
        <w:tc>
          <w:tcPr>
            <w:tcW w:w="1080" w:type="pct"/>
            <w:tcBorders>
              <w:bottom w:val="single" w:color="auto" w:sz="4" w:space="0"/>
            </w:tcBorders>
            <w:vAlign w:val="center"/>
          </w:tcPr>
          <w:p w14:paraId="0C80D571">
            <w:pPr>
              <w:spacing w:after="50" w:line="360" w:lineRule="auto"/>
              <w:ind w:right="-10"/>
              <w:jc w:val="center"/>
              <w:rPr>
                <w:rFonts w:ascii="宋体" w:hAnsi="宋体" w:eastAsia="宋体" w:cs="宋体"/>
                <w:sz w:val="24"/>
                <w:szCs w:val="24"/>
                <w:highlight w:val="none"/>
              </w:rPr>
            </w:pPr>
            <w:r>
              <w:rPr>
                <w:rFonts w:hint="eastAsia" w:ascii="宋体" w:hAnsi="宋体" w:eastAsia="宋体"/>
                <w:sz w:val="24"/>
                <w:highlight w:val="none"/>
              </w:rPr>
              <w:t>详见第六章响应文件格式。</w:t>
            </w:r>
          </w:p>
        </w:tc>
      </w:tr>
      <w:tr w14:paraId="7F7F1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tcBorders>
              <w:bottom w:val="single" w:color="auto" w:sz="4" w:space="0"/>
            </w:tcBorders>
            <w:vAlign w:val="center"/>
          </w:tcPr>
          <w:p w14:paraId="16C169E5">
            <w:pPr>
              <w:adjustRightInd w:val="0"/>
              <w:snapToGrid w:val="0"/>
              <w:spacing w:line="360" w:lineRule="auto"/>
              <w:ind w:right="-10"/>
              <w:jc w:val="center"/>
              <w:rPr>
                <w:rFonts w:ascii="宋体" w:hAnsi="宋体" w:eastAsia="宋体"/>
                <w:sz w:val="24"/>
                <w:highlight w:val="none"/>
              </w:rPr>
            </w:pPr>
            <w:r>
              <w:rPr>
                <w:rFonts w:hint="eastAsia" w:ascii="宋体" w:hAnsi="宋体" w:eastAsia="宋体"/>
                <w:sz w:val="24"/>
                <w:highlight w:val="none"/>
              </w:rPr>
              <w:t>5</w:t>
            </w:r>
          </w:p>
        </w:tc>
        <w:tc>
          <w:tcPr>
            <w:tcW w:w="942" w:type="pct"/>
            <w:tcBorders>
              <w:bottom w:val="single" w:color="auto" w:sz="4" w:space="0"/>
            </w:tcBorders>
            <w:vAlign w:val="center"/>
          </w:tcPr>
          <w:p w14:paraId="65A44DAE">
            <w:pPr>
              <w:spacing w:after="50" w:line="360" w:lineRule="auto"/>
              <w:ind w:right="-10"/>
              <w:rPr>
                <w:rFonts w:ascii="宋体" w:hAnsi="宋体" w:eastAsia="宋体" w:cs="宋体"/>
                <w:sz w:val="24"/>
                <w:szCs w:val="24"/>
                <w:highlight w:val="none"/>
              </w:rPr>
            </w:pPr>
            <w:r>
              <w:rPr>
                <w:rFonts w:ascii="宋体" w:hAnsi="宋体" w:eastAsia="宋体" w:cs="宋体"/>
                <w:spacing w:val="10"/>
                <w:sz w:val="24"/>
                <w:szCs w:val="24"/>
                <w:highlight w:val="none"/>
              </w:rPr>
              <w:t>其它落实政府采</w:t>
            </w:r>
            <w:r>
              <w:rPr>
                <w:rFonts w:ascii="宋体" w:hAnsi="宋体" w:eastAsia="宋体" w:cs="宋体"/>
                <w:spacing w:val="11"/>
                <w:sz w:val="24"/>
                <w:szCs w:val="24"/>
                <w:highlight w:val="none"/>
              </w:rPr>
              <w:t>购政策的资格要</w:t>
            </w:r>
            <w:r>
              <w:rPr>
                <w:rFonts w:ascii="宋体" w:hAnsi="宋体" w:eastAsia="宋体" w:cs="宋体"/>
                <w:sz w:val="24"/>
                <w:szCs w:val="24"/>
                <w:highlight w:val="none"/>
              </w:rPr>
              <w:t>求</w:t>
            </w:r>
          </w:p>
        </w:tc>
        <w:tc>
          <w:tcPr>
            <w:tcW w:w="2601" w:type="pct"/>
            <w:tcBorders>
              <w:bottom w:val="single" w:color="auto" w:sz="4" w:space="0"/>
            </w:tcBorders>
            <w:vAlign w:val="center"/>
          </w:tcPr>
          <w:p w14:paraId="28359ED1">
            <w:pPr>
              <w:spacing w:after="50" w:line="360" w:lineRule="auto"/>
              <w:ind w:right="-10"/>
              <w:rPr>
                <w:rFonts w:ascii="宋体" w:hAnsi="宋体" w:eastAsia="宋体" w:cs="宋体"/>
                <w:sz w:val="24"/>
                <w:szCs w:val="24"/>
                <w:highlight w:val="none"/>
              </w:rPr>
            </w:pPr>
            <w:r>
              <w:rPr>
                <w:rFonts w:ascii="宋体" w:hAnsi="宋体" w:eastAsia="宋体" w:cs="宋体"/>
                <w:spacing w:val="-2"/>
                <w:sz w:val="24"/>
                <w:szCs w:val="24"/>
                <w:highlight w:val="none"/>
              </w:rPr>
              <w:t>如有，见第一章《</w:t>
            </w:r>
            <w:r>
              <w:rPr>
                <w:rFonts w:hint="eastAsia" w:ascii="宋体" w:hAnsi="宋体" w:eastAsia="宋体" w:cs="宋体"/>
                <w:spacing w:val="-2"/>
                <w:sz w:val="24"/>
                <w:szCs w:val="24"/>
                <w:highlight w:val="none"/>
                <w:lang w:val="en-US" w:eastAsia="zh-CN"/>
              </w:rPr>
              <w:t>竞争性磋商公告</w:t>
            </w:r>
            <w:r>
              <w:rPr>
                <w:rFonts w:ascii="宋体" w:hAnsi="宋体" w:eastAsia="宋体" w:cs="宋体"/>
                <w:spacing w:val="-2"/>
                <w:sz w:val="24"/>
                <w:szCs w:val="24"/>
                <w:highlight w:val="none"/>
              </w:rPr>
              <w:t>》</w:t>
            </w:r>
          </w:p>
        </w:tc>
        <w:tc>
          <w:tcPr>
            <w:tcW w:w="1080" w:type="pct"/>
            <w:tcBorders>
              <w:bottom w:val="single" w:color="auto" w:sz="4" w:space="0"/>
            </w:tcBorders>
            <w:vAlign w:val="center"/>
          </w:tcPr>
          <w:p w14:paraId="57A7DFC5">
            <w:pPr>
              <w:spacing w:after="50" w:line="360" w:lineRule="auto"/>
              <w:ind w:right="-10"/>
              <w:rPr>
                <w:rFonts w:ascii="宋体" w:hAnsi="宋体" w:eastAsia="宋体"/>
                <w:sz w:val="24"/>
                <w:highlight w:val="none"/>
              </w:rPr>
            </w:pPr>
          </w:p>
        </w:tc>
      </w:tr>
      <w:tr w14:paraId="67072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14:paraId="3C02008A">
            <w:pPr>
              <w:adjustRightInd w:val="0"/>
              <w:snapToGrid w:val="0"/>
              <w:spacing w:line="360" w:lineRule="auto"/>
              <w:ind w:right="-10"/>
              <w:jc w:val="center"/>
              <w:rPr>
                <w:rFonts w:ascii="宋体" w:hAnsi="宋体" w:eastAsia="宋体"/>
                <w:sz w:val="24"/>
                <w:highlight w:val="none"/>
              </w:rPr>
            </w:pPr>
            <w:r>
              <w:rPr>
                <w:rFonts w:hint="eastAsia" w:ascii="宋体" w:hAnsi="宋体" w:eastAsia="宋体"/>
                <w:sz w:val="24"/>
                <w:highlight w:val="none"/>
              </w:rPr>
              <w:t>6</w:t>
            </w:r>
          </w:p>
        </w:tc>
        <w:tc>
          <w:tcPr>
            <w:tcW w:w="942" w:type="pct"/>
            <w:vAlign w:val="center"/>
          </w:tcPr>
          <w:p w14:paraId="79463CF9">
            <w:pPr>
              <w:spacing w:after="50" w:line="360" w:lineRule="auto"/>
              <w:ind w:right="-10"/>
              <w:rPr>
                <w:rFonts w:ascii="宋体" w:hAnsi="宋体" w:eastAsia="宋体" w:cs="宋体"/>
                <w:spacing w:val="10"/>
                <w:sz w:val="24"/>
                <w:szCs w:val="24"/>
                <w:highlight w:val="none"/>
              </w:rPr>
            </w:pPr>
            <w:r>
              <w:rPr>
                <w:rFonts w:ascii="宋体" w:hAnsi="宋体" w:eastAsia="宋体" w:cs="宋体"/>
                <w:spacing w:val="10"/>
                <w:sz w:val="24"/>
                <w:szCs w:val="24"/>
                <w:highlight w:val="none"/>
              </w:rPr>
              <w:t>其他特定资格要求</w:t>
            </w:r>
          </w:p>
        </w:tc>
        <w:tc>
          <w:tcPr>
            <w:tcW w:w="2601" w:type="pct"/>
            <w:vAlign w:val="center"/>
          </w:tcPr>
          <w:p w14:paraId="147E55DC">
            <w:pPr>
              <w:spacing w:after="50" w:line="360" w:lineRule="auto"/>
              <w:ind w:right="-10"/>
              <w:rPr>
                <w:rFonts w:ascii="宋体" w:hAnsi="宋体" w:eastAsia="宋体" w:cs="宋体"/>
                <w:spacing w:val="10"/>
                <w:sz w:val="24"/>
                <w:szCs w:val="24"/>
                <w:highlight w:val="none"/>
              </w:rPr>
            </w:pPr>
            <w:r>
              <w:rPr>
                <w:rFonts w:ascii="宋体" w:hAnsi="宋体" w:eastAsia="宋体" w:cs="宋体"/>
                <w:spacing w:val="10"/>
                <w:sz w:val="24"/>
                <w:szCs w:val="24"/>
                <w:highlight w:val="none"/>
              </w:rPr>
              <w:t>如有，见第一章《</w:t>
            </w:r>
            <w:r>
              <w:rPr>
                <w:rFonts w:hint="eastAsia" w:ascii="宋体" w:hAnsi="宋体" w:eastAsia="宋体" w:cs="宋体"/>
                <w:spacing w:val="-2"/>
                <w:sz w:val="24"/>
                <w:szCs w:val="24"/>
                <w:highlight w:val="none"/>
                <w:lang w:val="en-US" w:eastAsia="zh-CN"/>
              </w:rPr>
              <w:t>竞争性磋商公告</w:t>
            </w:r>
            <w:r>
              <w:rPr>
                <w:rFonts w:ascii="宋体" w:hAnsi="宋体" w:eastAsia="宋体" w:cs="宋体"/>
                <w:spacing w:val="10"/>
                <w:sz w:val="24"/>
                <w:szCs w:val="24"/>
                <w:highlight w:val="none"/>
              </w:rPr>
              <w:t>》</w:t>
            </w:r>
          </w:p>
        </w:tc>
        <w:tc>
          <w:tcPr>
            <w:tcW w:w="1080" w:type="pct"/>
            <w:vAlign w:val="center"/>
          </w:tcPr>
          <w:p w14:paraId="3A3EFCDC">
            <w:pPr>
              <w:spacing w:after="50" w:line="360" w:lineRule="auto"/>
              <w:ind w:right="-10"/>
              <w:rPr>
                <w:rFonts w:ascii="宋体" w:hAnsi="宋体" w:eastAsia="宋体" w:cs="宋体"/>
                <w:spacing w:val="10"/>
                <w:sz w:val="24"/>
                <w:szCs w:val="24"/>
                <w:highlight w:val="none"/>
              </w:rPr>
            </w:pPr>
          </w:p>
        </w:tc>
      </w:tr>
      <w:tr w14:paraId="0D838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14:paraId="7860F399">
            <w:pPr>
              <w:adjustRightInd w:val="0"/>
              <w:snapToGrid w:val="0"/>
              <w:spacing w:line="360" w:lineRule="auto"/>
              <w:ind w:right="-10"/>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7</w:t>
            </w:r>
          </w:p>
        </w:tc>
        <w:tc>
          <w:tcPr>
            <w:tcW w:w="942" w:type="pct"/>
            <w:vAlign w:val="center"/>
          </w:tcPr>
          <w:p w14:paraId="24CB0746">
            <w:pPr>
              <w:spacing w:after="50" w:line="360" w:lineRule="auto"/>
              <w:ind w:right="-10"/>
              <w:jc w:val="center"/>
              <w:rPr>
                <w:rFonts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磋商响应函</w:t>
            </w:r>
          </w:p>
        </w:tc>
        <w:tc>
          <w:tcPr>
            <w:tcW w:w="2601" w:type="pct"/>
            <w:vAlign w:val="center"/>
          </w:tcPr>
          <w:p w14:paraId="1968DCAE">
            <w:pPr>
              <w:spacing w:after="50" w:line="360" w:lineRule="auto"/>
              <w:ind w:right="-10"/>
              <w:jc w:val="center"/>
              <w:rPr>
                <w:rFonts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格式、填写要求符合磋商文件规定并加盖供应商电子签章</w:t>
            </w:r>
          </w:p>
        </w:tc>
        <w:tc>
          <w:tcPr>
            <w:tcW w:w="1080" w:type="pct"/>
            <w:vAlign w:val="center"/>
          </w:tcPr>
          <w:p w14:paraId="1FD8C1F2">
            <w:pPr>
              <w:adjustRightInd w:val="0"/>
              <w:snapToGrid w:val="0"/>
              <w:spacing w:line="360" w:lineRule="auto"/>
              <w:ind w:right="-10"/>
              <w:jc w:val="center"/>
              <w:rPr>
                <w:rFonts w:asciiTheme="minorEastAsia" w:hAnsiTheme="minorEastAsia" w:eastAsiaTheme="minorEastAsia"/>
                <w:sz w:val="24"/>
                <w:highlight w:val="none"/>
              </w:rPr>
            </w:pPr>
            <w:r>
              <w:rPr>
                <w:rFonts w:hint="eastAsia" w:ascii="宋体" w:hAnsi="宋体" w:eastAsia="宋体"/>
                <w:sz w:val="24"/>
                <w:highlight w:val="none"/>
              </w:rPr>
              <w:t>详见第六章响应文件格式。</w:t>
            </w:r>
          </w:p>
        </w:tc>
      </w:tr>
      <w:tr w14:paraId="6F6E1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14:paraId="51F13023">
            <w:pPr>
              <w:adjustRightInd w:val="0"/>
              <w:snapToGrid w:val="0"/>
              <w:spacing w:line="360" w:lineRule="auto"/>
              <w:ind w:right="-10"/>
              <w:jc w:val="center"/>
              <w:rPr>
                <w:rFonts w:ascii="宋体" w:hAnsi="宋体" w:eastAsia="宋体"/>
                <w:sz w:val="24"/>
                <w:highlight w:val="none"/>
              </w:rPr>
            </w:pPr>
            <w:r>
              <w:rPr>
                <w:rFonts w:hint="eastAsia" w:ascii="宋体" w:hAnsi="宋体" w:eastAsia="宋体"/>
                <w:sz w:val="24"/>
                <w:highlight w:val="none"/>
              </w:rPr>
              <w:t>8</w:t>
            </w:r>
          </w:p>
        </w:tc>
        <w:tc>
          <w:tcPr>
            <w:tcW w:w="942" w:type="pct"/>
            <w:vAlign w:val="center"/>
          </w:tcPr>
          <w:p w14:paraId="407740A8">
            <w:pPr>
              <w:spacing w:after="50" w:line="360" w:lineRule="auto"/>
              <w:ind w:right="-10"/>
              <w:jc w:val="center"/>
              <w:rPr>
                <w:rFonts w:ascii="宋体" w:hAnsi="宋体" w:eastAsia="宋体" w:cs="宋体"/>
                <w:spacing w:val="10"/>
                <w:sz w:val="24"/>
                <w:szCs w:val="24"/>
                <w:highlight w:val="none"/>
              </w:rPr>
            </w:pPr>
            <w:r>
              <w:rPr>
                <w:rFonts w:hint="eastAsia" w:asciiTheme="minorEastAsia" w:hAnsiTheme="minorEastAsia" w:eastAsiaTheme="minorEastAsia"/>
                <w:sz w:val="24"/>
                <w:szCs w:val="28"/>
                <w:highlight w:val="none"/>
              </w:rPr>
              <w:t>授权书</w:t>
            </w:r>
          </w:p>
        </w:tc>
        <w:tc>
          <w:tcPr>
            <w:tcW w:w="2601" w:type="pct"/>
            <w:vAlign w:val="center"/>
          </w:tcPr>
          <w:p w14:paraId="0C82EEAD">
            <w:pPr>
              <w:spacing w:after="50" w:line="360" w:lineRule="auto"/>
              <w:ind w:right="-10"/>
              <w:jc w:val="center"/>
              <w:rPr>
                <w:rFonts w:ascii="宋体" w:hAnsi="宋体" w:eastAsia="宋体" w:cs="宋体"/>
                <w:spacing w:val="10"/>
                <w:sz w:val="24"/>
                <w:szCs w:val="24"/>
                <w:highlight w:val="none"/>
              </w:rPr>
            </w:pPr>
            <w:r>
              <w:rPr>
                <w:rFonts w:hint="eastAsia" w:asciiTheme="minorEastAsia" w:hAnsiTheme="minorEastAsia" w:eastAsiaTheme="minorEastAsia"/>
                <w:sz w:val="24"/>
                <w:szCs w:val="28"/>
                <w:highlight w:val="none"/>
              </w:rPr>
              <w:t>格式、填写要求符合</w:t>
            </w:r>
            <w:r>
              <w:rPr>
                <w:rFonts w:hint="eastAsia" w:ascii="宋体" w:hAnsi="宋体" w:eastAsia="宋体" w:cs="宋体"/>
                <w:spacing w:val="10"/>
                <w:sz w:val="24"/>
                <w:szCs w:val="24"/>
                <w:highlight w:val="none"/>
              </w:rPr>
              <w:t>磋商</w:t>
            </w:r>
            <w:r>
              <w:rPr>
                <w:rFonts w:hint="eastAsia" w:asciiTheme="minorEastAsia" w:hAnsiTheme="minorEastAsia" w:eastAsiaTheme="minorEastAsia"/>
                <w:sz w:val="24"/>
                <w:szCs w:val="28"/>
                <w:highlight w:val="none"/>
              </w:rPr>
              <w:t>文件规定并加盖</w:t>
            </w:r>
            <w:r>
              <w:rPr>
                <w:rFonts w:hint="eastAsia" w:asciiTheme="minorEastAsia" w:hAnsiTheme="minorEastAsia" w:eastAsiaTheme="minorEastAsia"/>
                <w:sz w:val="24"/>
                <w:highlight w:val="none"/>
              </w:rPr>
              <w:t>供应商</w:t>
            </w:r>
            <w:r>
              <w:rPr>
                <w:rFonts w:hint="eastAsia" w:asciiTheme="minorEastAsia" w:hAnsiTheme="minorEastAsia" w:eastAsiaTheme="minorEastAsia"/>
                <w:sz w:val="24"/>
                <w:szCs w:val="28"/>
                <w:highlight w:val="none"/>
              </w:rPr>
              <w:t>电子签章</w:t>
            </w:r>
          </w:p>
        </w:tc>
        <w:tc>
          <w:tcPr>
            <w:tcW w:w="1080" w:type="pct"/>
            <w:vAlign w:val="center"/>
          </w:tcPr>
          <w:p w14:paraId="191EF565">
            <w:pPr>
              <w:adjustRightInd w:val="0"/>
              <w:snapToGrid w:val="0"/>
              <w:spacing w:line="360" w:lineRule="auto"/>
              <w:ind w:right="-10"/>
              <w:jc w:val="center"/>
              <w:rPr>
                <w:rFonts w:ascii="宋体" w:hAnsi="宋体" w:eastAsia="宋体" w:cs="宋体"/>
                <w:sz w:val="24"/>
                <w:szCs w:val="24"/>
                <w:highlight w:val="none"/>
              </w:rPr>
            </w:pPr>
            <w:r>
              <w:rPr>
                <w:rFonts w:hint="eastAsia" w:asciiTheme="minorEastAsia" w:hAnsiTheme="minorEastAsia" w:eastAsiaTheme="minorEastAsia"/>
                <w:sz w:val="24"/>
                <w:highlight w:val="none"/>
              </w:rPr>
              <w:t>法定代表人参加磋商的无需此件，提供身份证明即可。详见第六章响应文件格式。</w:t>
            </w:r>
          </w:p>
        </w:tc>
      </w:tr>
      <w:tr w14:paraId="0F260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14:paraId="6B583554">
            <w:pPr>
              <w:adjustRightInd w:val="0"/>
              <w:snapToGrid w:val="0"/>
              <w:spacing w:line="360" w:lineRule="auto"/>
              <w:ind w:right="-10"/>
              <w:jc w:val="center"/>
              <w:rPr>
                <w:rFonts w:ascii="宋体" w:hAnsi="宋体" w:eastAsia="宋体"/>
                <w:sz w:val="24"/>
                <w:highlight w:val="none"/>
              </w:rPr>
            </w:pPr>
            <w:r>
              <w:rPr>
                <w:rFonts w:hint="eastAsia" w:asciiTheme="minorEastAsia" w:hAnsiTheme="minorEastAsia" w:eastAsiaTheme="minorEastAsia"/>
                <w:sz w:val="24"/>
                <w:highlight w:val="none"/>
              </w:rPr>
              <w:t>9</w:t>
            </w:r>
          </w:p>
        </w:tc>
        <w:tc>
          <w:tcPr>
            <w:tcW w:w="942" w:type="pct"/>
            <w:vAlign w:val="center"/>
          </w:tcPr>
          <w:p w14:paraId="34D774B0">
            <w:pPr>
              <w:spacing w:after="50" w:line="360" w:lineRule="auto"/>
              <w:ind w:right="-10"/>
              <w:jc w:val="center"/>
              <w:rPr>
                <w:rFonts w:ascii="宋体" w:hAnsi="宋体" w:eastAsia="宋体" w:cs="宋体"/>
                <w:spacing w:val="10"/>
                <w:sz w:val="24"/>
                <w:szCs w:val="24"/>
                <w:highlight w:val="none"/>
              </w:rPr>
            </w:pPr>
            <w:r>
              <w:rPr>
                <w:rFonts w:hint="eastAsia" w:asciiTheme="minorEastAsia" w:hAnsiTheme="minorEastAsia" w:eastAsiaTheme="minorEastAsia"/>
                <w:sz w:val="24"/>
                <w:szCs w:val="28"/>
                <w:highlight w:val="none"/>
              </w:rPr>
              <w:t>磋商报价</w:t>
            </w:r>
          </w:p>
        </w:tc>
        <w:tc>
          <w:tcPr>
            <w:tcW w:w="2601" w:type="pct"/>
            <w:vAlign w:val="center"/>
          </w:tcPr>
          <w:p w14:paraId="0F43A92F">
            <w:pPr>
              <w:spacing w:after="50" w:line="360" w:lineRule="auto"/>
              <w:ind w:right="-10"/>
              <w:jc w:val="center"/>
              <w:rPr>
                <w:rFonts w:ascii="宋体" w:hAnsi="宋体" w:eastAsia="宋体" w:cs="宋体"/>
                <w:spacing w:val="10"/>
                <w:sz w:val="24"/>
                <w:szCs w:val="24"/>
                <w:highlight w:val="none"/>
              </w:rPr>
            </w:pPr>
            <w:r>
              <w:rPr>
                <w:rFonts w:hint="eastAsia" w:asciiTheme="minorEastAsia" w:hAnsiTheme="minorEastAsia" w:eastAsiaTheme="minorEastAsia"/>
                <w:sz w:val="24"/>
                <w:szCs w:val="28"/>
                <w:highlight w:val="none"/>
              </w:rPr>
              <w:t>符合</w:t>
            </w:r>
            <w:r>
              <w:rPr>
                <w:rFonts w:hint="eastAsia" w:ascii="宋体" w:hAnsi="宋体" w:eastAsia="宋体" w:cs="宋体"/>
                <w:spacing w:val="10"/>
                <w:sz w:val="24"/>
                <w:szCs w:val="24"/>
                <w:highlight w:val="none"/>
              </w:rPr>
              <w:t>磋商</w:t>
            </w:r>
            <w:r>
              <w:rPr>
                <w:rFonts w:hint="eastAsia" w:asciiTheme="minorEastAsia" w:hAnsiTheme="minorEastAsia" w:eastAsiaTheme="minorEastAsia"/>
                <w:sz w:val="24"/>
                <w:highlight w:val="none"/>
              </w:rPr>
              <w:t>文件供应商须知正文第9条要求</w:t>
            </w:r>
          </w:p>
        </w:tc>
        <w:tc>
          <w:tcPr>
            <w:tcW w:w="1080" w:type="pct"/>
            <w:vAlign w:val="center"/>
          </w:tcPr>
          <w:p w14:paraId="7674297B">
            <w:pPr>
              <w:adjustRightInd w:val="0"/>
              <w:snapToGrid w:val="0"/>
              <w:spacing w:line="360" w:lineRule="auto"/>
              <w:ind w:right="-10"/>
              <w:jc w:val="center"/>
              <w:rPr>
                <w:rFonts w:ascii="宋体" w:hAnsi="宋体" w:eastAsia="宋体" w:cs="宋体"/>
                <w:sz w:val="24"/>
                <w:szCs w:val="24"/>
                <w:highlight w:val="none"/>
              </w:rPr>
            </w:pPr>
            <w:r>
              <w:rPr>
                <w:rFonts w:hint="eastAsia" w:asciiTheme="minorEastAsia" w:hAnsiTheme="minorEastAsia" w:eastAsiaTheme="minorEastAsia"/>
                <w:sz w:val="24"/>
                <w:highlight w:val="none"/>
              </w:rPr>
              <w:t>详见第六章响应文件格式。</w:t>
            </w:r>
          </w:p>
        </w:tc>
      </w:tr>
      <w:tr w14:paraId="32783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14:paraId="35BEB344">
            <w:pPr>
              <w:adjustRightInd w:val="0"/>
              <w:snapToGrid w:val="0"/>
              <w:spacing w:line="360" w:lineRule="auto"/>
              <w:ind w:right="-10"/>
              <w:jc w:val="center"/>
              <w:rPr>
                <w:rFonts w:ascii="宋体" w:hAnsi="宋体" w:eastAsia="宋体"/>
                <w:sz w:val="24"/>
                <w:highlight w:val="none"/>
              </w:rPr>
            </w:pPr>
            <w:r>
              <w:rPr>
                <w:rFonts w:hint="eastAsia" w:asciiTheme="minorEastAsia" w:hAnsiTheme="minorEastAsia" w:eastAsiaTheme="minorEastAsia"/>
                <w:sz w:val="24"/>
                <w:highlight w:val="none"/>
              </w:rPr>
              <w:t>10</w:t>
            </w:r>
          </w:p>
        </w:tc>
        <w:tc>
          <w:tcPr>
            <w:tcW w:w="942" w:type="pct"/>
            <w:vAlign w:val="center"/>
          </w:tcPr>
          <w:p w14:paraId="43212444">
            <w:pPr>
              <w:spacing w:after="50" w:line="360" w:lineRule="auto"/>
              <w:ind w:right="-10"/>
              <w:jc w:val="center"/>
              <w:rPr>
                <w:rFonts w:ascii="宋体" w:hAnsi="宋体" w:eastAsia="宋体" w:cs="宋体"/>
                <w:spacing w:val="10"/>
                <w:sz w:val="24"/>
                <w:szCs w:val="24"/>
                <w:highlight w:val="none"/>
              </w:rPr>
            </w:pPr>
            <w:r>
              <w:rPr>
                <w:rFonts w:hint="eastAsia" w:asciiTheme="minorEastAsia" w:hAnsiTheme="minorEastAsia" w:eastAsiaTheme="minorEastAsia"/>
                <w:sz w:val="24"/>
                <w:szCs w:val="28"/>
                <w:highlight w:val="none"/>
              </w:rPr>
              <w:t>商务响应情况</w:t>
            </w:r>
          </w:p>
        </w:tc>
        <w:tc>
          <w:tcPr>
            <w:tcW w:w="2601" w:type="pct"/>
            <w:vAlign w:val="center"/>
          </w:tcPr>
          <w:p w14:paraId="714A834C">
            <w:pPr>
              <w:spacing w:after="50" w:line="360" w:lineRule="auto"/>
              <w:ind w:right="-10"/>
              <w:jc w:val="center"/>
              <w:rPr>
                <w:rFonts w:ascii="宋体" w:hAnsi="宋体" w:eastAsia="宋体" w:cs="宋体"/>
                <w:spacing w:val="10"/>
                <w:sz w:val="24"/>
                <w:szCs w:val="24"/>
                <w:highlight w:val="none"/>
              </w:rPr>
            </w:pPr>
            <w:r>
              <w:rPr>
                <w:rFonts w:hint="eastAsia" w:asciiTheme="minorEastAsia" w:hAnsiTheme="minorEastAsia" w:eastAsiaTheme="minorEastAsia"/>
                <w:sz w:val="24"/>
                <w:szCs w:val="28"/>
                <w:highlight w:val="none"/>
              </w:rPr>
              <w:t>符合</w:t>
            </w:r>
            <w:r>
              <w:rPr>
                <w:rFonts w:hint="eastAsia" w:ascii="宋体" w:hAnsi="宋体" w:eastAsia="宋体" w:cs="宋体"/>
                <w:spacing w:val="10"/>
                <w:sz w:val="24"/>
                <w:szCs w:val="24"/>
                <w:highlight w:val="none"/>
              </w:rPr>
              <w:t>磋商</w:t>
            </w:r>
            <w:r>
              <w:rPr>
                <w:rFonts w:hint="eastAsia" w:asciiTheme="minorEastAsia" w:hAnsiTheme="minorEastAsia" w:eastAsiaTheme="minorEastAsia"/>
                <w:sz w:val="24"/>
                <w:szCs w:val="28"/>
                <w:highlight w:val="none"/>
              </w:rPr>
              <w:t>文件采购需求中对付款方式、服务地点、服务期限等实质性要求</w:t>
            </w:r>
          </w:p>
        </w:tc>
        <w:tc>
          <w:tcPr>
            <w:tcW w:w="1080" w:type="pct"/>
            <w:vAlign w:val="center"/>
          </w:tcPr>
          <w:p w14:paraId="24D2FDB1">
            <w:pPr>
              <w:adjustRightInd w:val="0"/>
              <w:snapToGrid w:val="0"/>
              <w:spacing w:line="360" w:lineRule="auto"/>
              <w:ind w:right="-10"/>
              <w:jc w:val="center"/>
              <w:rPr>
                <w:rFonts w:ascii="宋体" w:hAnsi="宋体" w:eastAsia="宋体" w:cs="宋体"/>
                <w:sz w:val="24"/>
                <w:szCs w:val="24"/>
                <w:highlight w:val="none"/>
              </w:rPr>
            </w:pPr>
            <w:r>
              <w:rPr>
                <w:rFonts w:hint="eastAsia" w:asciiTheme="minorEastAsia" w:hAnsiTheme="minorEastAsia" w:eastAsiaTheme="minorEastAsia"/>
                <w:sz w:val="24"/>
                <w:highlight w:val="none"/>
              </w:rPr>
              <w:t>详见第六章响应文件格式。</w:t>
            </w:r>
          </w:p>
        </w:tc>
      </w:tr>
      <w:tr w14:paraId="7B93D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14:paraId="6D0459C2">
            <w:pPr>
              <w:adjustRightInd w:val="0"/>
              <w:snapToGrid w:val="0"/>
              <w:spacing w:line="360" w:lineRule="auto"/>
              <w:ind w:right="-10"/>
              <w:jc w:val="center"/>
              <w:rPr>
                <w:rFonts w:ascii="宋体" w:hAnsi="宋体" w:eastAsia="宋体"/>
                <w:sz w:val="24"/>
                <w:highlight w:val="none"/>
              </w:rPr>
            </w:pPr>
            <w:r>
              <w:rPr>
                <w:rFonts w:hint="eastAsia" w:asciiTheme="minorEastAsia" w:hAnsiTheme="minorEastAsia" w:eastAsiaTheme="minorEastAsia"/>
                <w:sz w:val="24"/>
                <w:highlight w:val="none"/>
              </w:rPr>
              <w:t>11</w:t>
            </w:r>
          </w:p>
        </w:tc>
        <w:tc>
          <w:tcPr>
            <w:tcW w:w="942" w:type="pct"/>
            <w:vAlign w:val="center"/>
          </w:tcPr>
          <w:p w14:paraId="4A2F6321">
            <w:pPr>
              <w:spacing w:line="360" w:lineRule="auto"/>
              <w:outlineLvl w:val="2"/>
              <w:rPr>
                <w:rFonts w:ascii="宋体" w:hAnsi="宋体" w:eastAsia="宋体" w:cs="宋体"/>
                <w:spacing w:val="10"/>
                <w:sz w:val="24"/>
                <w:szCs w:val="24"/>
                <w:highlight w:val="none"/>
              </w:rPr>
            </w:pPr>
            <w:r>
              <w:rPr>
                <w:rFonts w:hint="eastAsia" w:asciiTheme="minorEastAsia" w:hAnsiTheme="minorEastAsia" w:eastAsiaTheme="minorEastAsia"/>
                <w:sz w:val="24"/>
                <w:szCs w:val="28"/>
                <w:highlight w:val="none"/>
              </w:rPr>
              <w:t>技术响应情况</w:t>
            </w:r>
          </w:p>
        </w:tc>
        <w:tc>
          <w:tcPr>
            <w:tcW w:w="2601" w:type="pct"/>
            <w:vAlign w:val="center"/>
          </w:tcPr>
          <w:p w14:paraId="0C953931">
            <w:pPr>
              <w:spacing w:after="50" w:line="360" w:lineRule="auto"/>
              <w:ind w:right="-10"/>
              <w:jc w:val="center"/>
              <w:rPr>
                <w:rFonts w:ascii="宋体" w:hAnsi="宋体" w:eastAsia="宋体" w:cs="宋体"/>
                <w:spacing w:val="10"/>
                <w:sz w:val="24"/>
                <w:szCs w:val="24"/>
                <w:highlight w:val="none"/>
              </w:rPr>
            </w:pPr>
            <w:r>
              <w:rPr>
                <w:rFonts w:hint="eastAsia" w:asciiTheme="minorEastAsia" w:hAnsiTheme="minorEastAsia" w:eastAsiaTheme="minorEastAsia"/>
                <w:sz w:val="24"/>
                <w:szCs w:val="28"/>
                <w:highlight w:val="none"/>
              </w:rPr>
              <w:t>符合磋商文件采购需求中货物技术参数等实质性要求</w:t>
            </w:r>
          </w:p>
        </w:tc>
        <w:tc>
          <w:tcPr>
            <w:tcW w:w="1080" w:type="pct"/>
            <w:vAlign w:val="center"/>
          </w:tcPr>
          <w:p w14:paraId="27E54F88">
            <w:pPr>
              <w:adjustRightInd w:val="0"/>
              <w:snapToGrid w:val="0"/>
              <w:spacing w:line="360" w:lineRule="auto"/>
              <w:ind w:right="-10"/>
              <w:jc w:val="center"/>
              <w:rPr>
                <w:rFonts w:ascii="宋体" w:hAnsi="宋体" w:eastAsia="宋体" w:cs="宋体"/>
                <w:sz w:val="24"/>
                <w:szCs w:val="24"/>
                <w:highlight w:val="none"/>
              </w:rPr>
            </w:pPr>
            <w:r>
              <w:rPr>
                <w:rFonts w:hint="eastAsia" w:asciiTheme="minorEastAsia" w:hAnsiTheme="minorEastAsia" w:eastAsiaTheme="minorEastAsia"/>
                <w:sz w:val="24"/>
                <w:highlight w:val="none"/>
              </w:rPr>
              <w:t>详见第六章响应文件格式。</w:t>
            </w:r>
          </w:p>
        </w:tc>
      </w:tr>
      <w:tr w14:paraId="01435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14:paraId="0BD41D51">
            <w:pPr>
              <w:adjustRightInd w:val="0"/>
              <w:snapToGrid w:val="0"/>
              <w:spacing w:line="360" w:lineRule="auto"/>
              <w:ind w:right="-10"/>
              <w:jc w:val="center"/>
              <w:rPr>
                <w:rFonts w:ascii="宋体" w:hAnsi="宋体" w:eastAsia="宋体"/>
                <w:sz w:val="24"/>
                <w:highlight w:val="none"/>
              </w:rPr>
            </w:pPr>
            <w:r>
              <w:rPr>
                <w:rFonts w:hint="eastAsia" w:asciiTheme="minorEastAsia" w:hAnsiTheme="minorEastAsia" w:eastAsiaTheme="minorEastAsia"/>
                <w:sz w:val="24"/>
                <w:highlight w:val="none"/>
              </w:rPr>
              <w:t>12</w:t>
            </w:r>
          </w:p>
        </w:tc>
        <w:tc>
          <w:tcPr>
            <w:tcW w:w="942" w:type="pct"/>
            <w:vAlign w:val="center"/>
          </w:tcPr>
          <w:p w14:paraId="7E8B8882">
            <w:pPr>
              <w:spacing w:after="50" w:line="360" w:lineRule="auto"/>
              <w:ind w:right="-10"/>
              <w:jc w:val="center"/>
              <w:rPr>
                <w:rFonts w:ascii="宋体" w:hAnsi="宋体" w:eastAsia="宋体" w:cs="宋体"/>
                <w:spacing w:val="10"/>
                <w:sz w:val="24"/>
                <w:szCs w:val="24"/>
                <w:highlight w:val="none"/>
              </w:rPr>
            </w:pPr>
            <w:r>
              <w:rPr>
                <w:rFonts w:hint="eastAsia" w:asciiTheme="minorEastAsia" w:hAnsiTheme="minorEastAsia" w:eastAsiaTheme="minorEastAsia"/>
                <w:sz w:val="24"/>
                <w:szCs w:val="28"/>
                <w:highlight w:val="none"/>
              </w:rPr>
              <w:t>其他要求</w:t>
            </w:r>
          </w:p>
        </w:tc>
        <w:tc>
          <w:tcPr>
            <w:tcW w:w="2601" w:type="pct"/>
            <w:vAlign w:val="center"/>
          </w:tcPr>
          <w:p w14:paraId="413242B2">
            <w:pPr>
              <w:spacing w:after="50" w:line="360" w:lineRule="auto"/>
              <w:ind w:right="-10"/>
              <w:jc w:val="center"/>
              <w:rPr>
                <w:rFonts w:ascii="宋体" w:hAnsi="宋体" w:eastAsia="宋体" w:cs="宋体"/>
                <w:spacing w:val="10"/>
                <w:sz w:val="24"/>
                <w:szCs w:val="24"/>
                <w:highlight w:val="none"/>
              </w:rPr>
            </w:pPr>
            <w:r>
              <w:rPr>
                <w:rFonts w:hint="eastAsia" w:asciiTheme="minorEastAsia" w:hAnsiTheme="minorEastAsia" w:eastAsiaTheme="minorEastAsia"/>
                <w:sz w:val="24"/>
                <w:szCs w:val="28"/>
                <w:highlight w:val="none"/>
              </w:rPr>
              <w:t>符合法律、行政法规规定的其他条件或磋商文件列明的其他实质性要求</w:t>
            </w:r>
          </w:p>
        </w:tc>
        <w:tc>
          <w:tcPr>
            <w:tcW w:w="1080" w:type="pct"/>
            <w:vAlign w:val="center"/>
          </w:tcPr>
          <w:p w14:paraId="6577A763">
            <w:pPr>
              <w:adjustRightInd w:val="0"/>
              <w:snapToGrid w:val="0"/>
              <w:spacing w:line="360" w:lineRule="auto"/>
              <w:ind w:right="-10"/>
              <w:jc w:val="center"/>
              <w:rPr>
                <w:rFonts w:ascii="宋体" w:hAnsi="宋体" w:eastAsia="宋体" w:cs="宋体"/>
                <w:sz w:val="24"/>
                <w:szCs w:val="24"/>
                <w:highlight w:val="none"/>
              </w:rPr>
            </w:pPr>
          </w:p>
        </w:tc>
      </w:tr>
      <w:tr w14:paraId="5E1B1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14:paraId="0E6D42BF">
            <w:pPr>
              <w:adjustRightInd w:val="0"/>
              <w:snapToGrid w:val="0"/>
              <w:spacing w:line="360" w:lineRule="auto"/>
              <w:ind w:right="-10"/>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13</w:t>
            </w:r>
          </w:p>
        </w:tc>
        <w:tc>
          <w:tcPr>
            <w:tcW w:w="942" w:type="pct"/>
            <w:vAlign w:val="center"/>
          </w:tcPr>
          <w:p w14:paraId="487035A8">
            <w:pPr>
              <w:spacing w:after="50" w:line="360" w:lineRule="auto"/>
              <w:ind w:right="-10"/>
              <w:jc w:val="center"/>
              <w:rPr>
                <w:rFonts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硬件信息</w:t>
            </w:r>
          </w:p>
        </w:tc>
        <w:tc>
          <w:tcPr>
            <w:tcW w:w="2601" w:type="pct"/>
            <w:vAlign w:val="center"/>
          </w:tcPr>
          <w:p w14:paraId="2DAFF0DE">
            <w:pPr>
              <w:spacing w:after="50" w:line="360" w:lineRule="auto"/>
              <w:ind w:right="-10"/>
              <w:jc w:val="center"/>
              <w:rPr>
                <w:rFonts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本项目评审时将查询生成响应文件的硬件信息，如不同响应文件的硬件信息异常一致，相关响应文件将被认定为无效，并报政府采购监督管理部门处理。</w:t>
            </w:r>
          </w:p>
        </w:tc>
        <w:tc>
          <w:tcPr>
            <w:tcW w:w="1080" w:type="pct"/>
            <w:vAlign w:val="center"/>
          </w:tcPr>
          <w:p w14:paraId="687AC481">
            <w:pPr>
              <w:adjustRightInd w:val="0"/>
              <w:snapToGrid w:val="0"/>
              <w:spacing w:line="360" w:lineRule="auto"/>
              <w:ind w:right="-10"/>
              <w:jc w:val="center"/>
              <w:rPr>
                <w:rFonts w:ascii="宋体" w:hAnsi="宋体" w:eastAsia="宋体" w:cs="宋体"/>
                <w:sz w:val="24"/>
                <w:szCs w:val="24"/>
                <w:highlight w:val="none"/>
              </w:rPr>
            </w:pPr>
          </w:p>
        </w:tc>
      </w:tr>
    </w:tbl>
    <w:p w14:paraId="6C40DAD3">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b/>
          <w:bCs/>
          <w:sz w:val="24"/>
          <w:highlight w:val="none"/>
        </w:rPr>
        <w:t>初审指标通过标准：</w:t>
      </w:r>
      <w:r>
        <w:rPr>
          <w:rFonts w:hint="eastAsia" w:asciiTheme="minorEastAsia" w:hAnsiTheme="minorEastAsia" w:eastAsiaTheme="minorEastAsia"/>
          <w:sz w:val="24"/>
          <w:highlight w:val="none"/>
        </w:rPr>
        <w:t>供应商必须通过初审表中的全部评审指标。</w:t>
      </w:r>
    </w:p>
    <w:p w14:paraId="5F2A53B8">
      <w:pPr>
        <w:spacing w:line="360" w:lineRule="auto"/>
        <w:ind w:firstLine="435"/>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2.2综合评分</w:t>
      </w:r>
    </w:p>
    <w:p w14:paraId="229E124F">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磋商小组按照下表对</w:t>
      </w:r>
      <w:r>
        <w:rPr>
          <w:rFonts w:hint="eastAsia" w:ascii="宋体" w:hAnsi="宋体" w:eastAsia="宋体"/>
          <w:sz w:val="24"/>
          <w:highlight w:val="none"/>
        </w:rPr>
        <w:t>进入综合评分的所有供应商的</w:t>
      </w:r>
      <w:r>
        <w:rPr>
          <w:rFonts w:hint="eastAsia" w:asciiTheme="minorEastAsia" w:hAnsiTheme="minorEastAsia" w:eastAsiaTheme="minorEastAsia"/>
          <w:sz w:val="24"/>
          <w:highlight w:val="none"/>
        </w:rPr>
        <w:t>响应文件进行综合评分。</w:t>
      </w:r>
    </w:p>
    <w:p w14:paraId="3F52AAE3">
      <w:pPr>
        <w:spacing w:line="360" w:lineRule="auto"/>
        <w:ind w:firstLine="435"/>
        <w:rPr>
          <w:highlight w:val="none"/>
        </w:rPr>
      </w:pP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本项目综合评分满分为1</w:t>
      </w:r>
      <w:r>
        <w:rPr>
          <w:rFonts w:asciiTheme="minorEastAsia" w:hAnsiTheme="minorEastAsia" w:eastAsiaTheme="minorEastAsia"/>
          <w:sz w:val="24"/>
          <w:highlight w:val="none"/>
        </w:rPr>
        <w:t>00</w:t>
      </w:r>
      <w:r>
        <w:rPr>
          <w:rFonts w:hint="eastAsia" w:asciiTheme="minorEastAsia" w:hAnsiTheme="minorEastAsia" w:eastAsiaTheme="minorEastAsia"/>
          <w:sz w:val="24"/>
          <w:highlight w:val="none"/>
        </w:rPr>
        <w:t>分，其中：技术资信分值占总分值的权重为</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u w:val="single"/>
        </w:rPr>
        <w:t>90</w:t>
      </w:r>
      <w:r>
        <w:rPr>
          <w:rFonts w:asciiTheme="minorEastAsia" w:hAnsiTheme="minorEastAsia" w:eastAsiaTheme="minorEastAsia"/>
          <w:sz w:val="24"/>
          <w:highlight w:val="none"/>
          <w:u w:val="single"/>
        </w:rPr>
        <w:t xml:space="preserve"> </w:t>
      </w:r>
      <w:r>
        <w:rPr>
          <w:rFonts w:asciiTheme="minorEastAsia" w:hAnsiTheme="minorEastAsia" w:eastAsiaTheme="minorEastAsia"/>
          <w:sz w:val="24"/>
          <w:highlight w:val="none"/>
        </w:rPr>
        <w:t>%，价格分值占总分值的权重为</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u w:val="single"/>
        </w:rPr>
        <w:t>10</w:t>
      </w:r>
      <w:r>
        <w:rPr>
          <w:rFonts w:asciiTheme="minorEastAsia" w:hAnsiTheme="minorEastAsia" w:eastAsiaTheme="minorEastAsia"/>
          <w:sz w:val="24"/>
          <w:highlight w:val="none"/>
          <w:u w:val="single"/>
        </w:rPr>
        <w:t xml:space="preserve"> </w:t>
      </w:r>
      <w:r>
        <w:rPr>
          <w:rFonts w:asciiTheme="minorEastAsia" w:hAnsiTheme="minorEastAsia" w:eastAsiaTheme="minorEastAsia"/>
          <w:sz w:val="24"/>
          <w:highlight w:val="none"/>
        </w:rPr>
        <w:t>%。具体评分细则如下：</w:t>
      </w:r>
    </w:p>
    <w:tbl>
      <w:tblPr>
        <w:tblStyle w:val="25"/>
        <w:tblW w:w="8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903"/>
        <w:gridCol w:w="6030"/>
        <w:gridCol w:w="1058"/>
      </w:tblGrid>
      <w:tr w14:paraId="349BB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727" w:type="dxa"/>
            <w:gridSpan w:val="2"/>
            <w:tcBorders>
              <w:top w:val="single" w:color="auto" w:sz="4" w:space="0"/>
              <w:left w:val="single" w:color="auto" w:sz="4" w:space="0"/>
              <w:bottom w:val="single" w:color="auto" w:sz="4" w:space="0"/>
              <w:right w:val="single" w:color="auto" w:sz="4" w:space="0"/>
            </w:tcBorders>
            <w:vAlign w:val="center"/>
          </w:tcPr>
          <w:p w14:paraId="7EBFCA3D">
            <w:pPr>
              <w:widowControl/>
              <w:spacing w:line="36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指标</w:t>
            </w:r>
          </w:p>
        </w:tc>
        <w:tc>
          <w:tcPr>
            <w:tcW w:w="6030" w:type="dxa"/>
            <w:tcBorders>
              <w:top w:val="single" w:color="auto" w:sz="4" w:space="0"/>
              <w:left w:val="single" w:color="auto" w:sz="4" w:space="0"/>
              <w:bottom w:val="single" w:color="auto" w:sz="4" w:space="0"/>
              <w:right w:val="single" w:color="auto" w:sz="4" w:space="0"/>
            </w:tcBorders>
            <w:vAlign w:val="center"/>
          </w:tcPr>
          <w:p w14:paraId="15532C34">
            <w:pPr>
              <w:widowControl/>
              <w:spacing w:line="36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指标描述</w:t>
            </w:r>
          </w:p>
        </w:tc>
        <w:tc>
          <w:tcPr>
            <w:tcW w:w="1058" w:type="dxa"/>
            <w:tcBorders>
              <w:top w:val="single" w:color="auto" w:sz="4" w:space="0"/>
              <w:left w:val="single" w:color="auto" w:sz="4" w:space="0"/>
              <w:bottom w:val="single" w:color="auto" w:sz="4" w:space="0"/>
              <w:right w:val="single" w:color="auto" w:sz="4" w:space="0"/>
            </w:tcBorders>
            <w:vAlign w:val="center"/>
          </w:tcPr>
          <w:p w14:paraId="4C8B8A6F">
            <w:pPr>
              <w:widowControl/>
              <w:spacing w:line="36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分值</w:t>
            </w:r>
          </w:p>
          <w:p w14:paraId="399BCE76">
            <w:pPr>
              <w:widowControl/>
              <w:spacing w:line="36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范围</w:t>
            </w:r>
          </w:p>
        </w:tc>
      </w:tr>
      <w:tr w14:paraId="03D54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24" w:type="dxa"/>
            <w:vMerge w:val="restart"/>
            <w:tcBorders>
              <w:top w:val="single" w:color="auto" w:sz="4" w:space="0"/>
              <w:left w:val="single" w:color="auto" w:sz="4" w:space="0"/>
              <w:right w:val="single" w:color="auto" w:sz="4" w:space="0"/>
            </w:tcBorders>
            <w:vAlign w:val="center"/>
          </w:tcPr>
          <w:p w14:paraId="7A6F760B">
            <w:pPr>
              <w:pStyle w:val="71"/>
              <w:spacing w:before="41" w:line="360" w:lineRule="auto"/>
              <w:ind w:left="10" w:right="-29"/>
              <w:jc w:val="center"/>
              <w:rPr>
                <w:color w:val="auto"/>
                <w:kern w:val="2"/>
                <w:sz w:val="24"/>
                <w:szCs w:val="24"/>
                <w:highlight w:val="none"/>
                <w:lang w:val="en-US" w:bidi="ar-SA"/>
              </w:rPr>
            </w:pPr>
            <w:r>
              <w:rPr>
                <w:rFonts w:hint="eastAsia"/>
                <w:color w:val="auto"/>
                <w:kern w:val="2"/>
                <w:sz w:val="24"/>
                <w:szCs w:val="24"/>
                <w:highlight w:val="none"/>
                <w:lang w:val="en-US" w:bidi="ar-SA"/>
              </w:rPr>
              <w:t>技术、</w:t>
            </w:r>
          </w:p>
          <w:p w14:paraId="56AFE0D9">
            <w:pPr>
              <w:pStyle w:val="71"/>
              <w:spacing w:before="41" w:line="360" w:lineRule="auto"/>
              <w:ind w:left="10" w:right="-29"/>
              <w:jc w:val="center"/>
              <w:rPr>
                <w:color w:val="auto"/>
                <w:kern w:val="2"/>
                <w:sz w:val="24"/>
                <w:szCs w:val="24"/>
                <w:highlight w:val="none"/>
                <w:lang w:val="en-US" w:bidi="ar-SA"/>
              </w:rPr>
            </w:pPr>
            <w:r>
              <w:rPr>
                <w:rFonts w:hint="eastAsia"/>
                <w:color w:val="auto"/>
                <w:kern w:val="2"/>
                <w:sz w:val="24"/>
                <w:szCs w:val="24"/>
                <w:highlight w:val="none"/>
                <w:lang w:val="en-US" w:bidi="ar-SA"/>
              </w:rPr>
              <w:t>资信部分</w:t>
            </w:r>
          </w:p>
          <w:p w14:paraId="220CB964">
            <w:pPr>
              <w:pStyle w:val="71"/>
              <w:spacing w:before="41" w:line="360" w:lineRule="auto"/>
              <w:ind w:left="10" w:right="-29"/>
              <w:jc w:val="center"/>
              <w:rPr>
                <w:color w:val="auto"/>
                <w:kern w:val="2"/>
                <w:sz w:val="24"/>
                <w:szCs w:val="24"/>
                <w:highlight w:val="none"/>
                <w:lang w:val="en-US" w:bidi="ar-SA"/>
              </w:rPr>
            </w:pPr>
            <w:r>
              <w:rPr>
                <w:rFonts w:hint="eastAsia"/>
                <w:color w:val="auto"/>
                <w:kern w:val="2"/>
                <w:sz w:val="24"/>
                <w:szCs w:val="24"/>
                <w:highlight w:val="none"/>
                <w:lang w:val="en-US" w:bidi="ar-SA"/>
              </w:rPr>
              <w:t>90分</w:t>
            </w:r>
          </w:p>
        </w:tc>
        <w:tc>
          <w:tcPr>
            <w:tcW w:w="903" w:type="dxa"/>
            <w:tcBorders>
              <w:top w:val="single" w:color="auto" w:sz="4" w:space="0"/>
              <w:left w:val="single" w:color="auto" w:sz="4" w:space="0"/>
              <w:bottom w:val="single" w:color="auto" w:sz="4" w:space="0"/>
              <w:right w:val="single" w:color="auto" w:sz="4" w:space="0"/>
            </w:tcBorders>
            <w:shd w:val="clear" w:color="auto" w:fill="auto"/>
            <w:vAlign w:val="center"/>
          </w:tcPr>
          <w:p w14:paraId="3EA4FCDB">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服务求响应</w:t>
            </w:r>
          </w:p>
          <w:p w14:paraId="0F86F941">
            <w:pPr>
              <w:spacing w:line="360" w:lineRule="auto"/>
              <w:rPr>
                <w:rFonts w:ascii="宋体" w:hAnsi="宋体" w:eastAsia="宋体" w:cs="宋体"/>
                <w:color w:val="auto"/>
                <w:sz w:val="24"/>
                <w:szCs w:val="24"/>
                <w:highlight w:val="none"/>
              </w:rPr>
            </w:pPr>
          </w:p>
        </w:tc>
        <w:tc>
          <w:tcPr>
            <w:tcW w:w="6030" w:type="dxa"/>
            <w:tcBorders>
              <w:top w:val="single" w:color="auto" w:sz="4" w:space="0"/>
              <w:left w:val="single" w:color="auto" w:sz="4" w:space="0"/>
              <w:bottom w:val="single" w:color="auto" w:sz="4" w:space="0"/>
              <w:right w:val="single" w:color="auto" w:sz="4" w:space="0"/>
            </w:tcBorders>
            <w:shd w:val="clear" w:color="auto" w:fill="auto"/>
            <w:vAlign w:val="center"/>
          </w:tcPr>
          <w:p w14:paraId="2AEDD00E">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根据采购需求中“信息系统安全托管服务”需求响应情况进行评分：</w:t>
            </w:r>
          </w:p>
          <w:p w14:paraId="2939A878">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1、标注“★”代表关键指标，每满足一项得5分，共3项，共计15分。</w:t>
            </w:r>
          </w:p>
          <w:p w14:paraId="5F5107D8">
            <w:pPr>
              <w:pStyle w:val="8"/>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2、未标注“★”代表基础指标，3项及以上不满足响应无效。</w:t>
            </w:r>
          </w:p>
          <w:p w14:paraId="74F83FA7">
            <w:pPr>
              <w:pStyle w:val="8"/>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注：以采购需求中要求提供的材料及磋商响应表作为评审依据。</w:t>
            </w:r>
          </w:p>
        </w:tc>
        <w:tc>
          <w:tcPr>
            <w:tcW w:w="1058" w:type="dxa"/>
            <w:tcBorders>
              <w:top w:val="single" w:color="auto" w:sz="4" w:space="0"/>
              <w:left w:val="single" w:color="auto" w:sz="4" w:space="0"/>
              <w:bottom w:val="single" w:color="auto" w:sz="4" w:space="0"/>
              <w:right w:val="single" w:color="auto" w:sz="4" w:space="0"/>
            </w:tcBorders>
            <w:shd w:val="clear" w:color="auto" w:fill="auto"/>
            <w:vAlign w:val="center"/>
          </w:tcPr>
          <w:p w14:paraId="0C57FE20">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0-15分</w:t>
            </w:r>
          </w:p>
        </w:tc>
      </w:tr>
      <w:tr w14:paraId="55F6A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24" w:type="dxa"/>
            <w:vMerge w:val="continue"/>
            <w:tcBorders>
              <w:left w:val="single" w:color="auto" w:sz="4" w:space="0"/>
              <w:right w:val="single" w:color="auto" w:sz="4" w:space="0"/>
            </w:tcBorders>
            <w:vAlign w:val="center"/>
          </w:tcPr>
          <w:p w14:paraId="2AB763DC">
            <w:pPr>
              <w:pStyle w:val="71"/>
              <w:spacing w:before="41" w:line="360" w:lineRule="auto"/>
              <w:ind w:left="10" w:right="-29"/>
              <w:jc w:val="center"/>
              <w:rPr>
                <w:color w:val="auto"/>
                <w:kern w:val="2"/>
                <w:sz w:val="24"/>
                <w:szCs w:val="24"/>
                <w:highlight w:val="none"/>
                <w:lang w:val="en-US" w:bidi="ar-SA"/>
              </w:rPr>
            </w:pPr>
          </w:p>
        </w:tc>
        <w:tc>
          <w:tcPr>
            <w:tcW w:w="903" w:type="dxa"/>
            <w:tcBorders>
              <w:top w:val="single" w:color="auto" w:sz="4" w:space="0"/>
              <w:left w:val="single" w:color="auto" w:sz="4" w:space="0"/>
              <w:bottom w:val="single" w:color="auto" w:sz="4" w:space="0"/>
              <w:right w:val="single" w:color="auto" w:sz="4" w:space="0"/>
            </w:tcBorders>
            <w:shd w:val="clear" w:color="auto" w:fill="auto"/>
            <w:vAlign w:val="center"/>
          </w:tcPr>
          <w:p w14:paraId="11B99581">
            <w:pPr>
              <w:pStyle w:val="71"/>
              <w:spacing w:before="41" w:line="360" w:lineRule="auto"/>
              <w:ind w:left="10" w:right="-29"/>
              <w:jc w:val="center"/>
              <w:rPr>
                <w:color w:val="auto"/>
                <w:kern w:val="2"/>
                <w:sz w:val="24"/>
                <w:szCs w:val="24"/>
                <w:highlight w:val="none"/>
                <w:lang w:val="en-US" w:bidi="ar-SA"/>
              </w:rPr>
            </w:pPr>
            <w:r>
              <w:rPr>
                <w:rFonts w:hint="eastAsia"/>
                <w:color w:val="auto"/>
                <w:sz w:val="24"/>
                <w:szCs w:val="24"/>
                <w:highlight w:val="none"/>
              </w:rPr>
              <w:t>等级保护测评准备方案</w:t>
            </w:r>
          </w:p>
        </w:tc>
        <w:tc>
          <w:tcPr>
            <w:tcW w:w="6030" w:type="dxa"/>
            <w:tcBorders>
              <w:top w:val="single" w:color="auto" w:sz="4" w:space="0"/>
              <w:left w:val="single" w:color="auto" w:sz="4" w:space="0"/>
              <w:bottom w:val="single" w:color="auto" w:sz="4" w:space="0"/>
              <w:right w:val="single" w:color="auto" w:sz="4" w:space="0"/>
            </w:tcBorders>
            <w:shd w:val="clear" w:color="auto" w:fill="auto"/>
            <w:vAlign w:val="center"/>
          </w:tcPr>
          <w:p w14:paraId="62780C7E">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供应商提供等级保护测评准备方案，</w:t>
            </w:r>
            <w:r>
              <w:rPr>
                <w:rFonts w:hint="eastAsia" w:ascii="宋体" w:hAnsi="宋体" w:eastAsia="宋体" w:cs="宋体"/>
                <w:color w:val="auto"/>
                <w:sz w:val="24"/>
                <w:szCs w:val="24"/>
                <w:highlight w:val="none"/>
                <w:lang w:val="en-US" w:eastAsia="zh-CN"/>
              </w:rPr>
              <w:t>从用户测评需求、当前环境等方面内容，</w:t>
            </w:r>
            <w:r>
              <w:rPr>
                <w:rFonts w:hint="eastAsia" w:ascii="宋体" w:hAnsi="宋体" w:eastAsia="宋体" w:cs="宋体"/>
                <w:color w:val="auto"/>
                <w:sz w:val="24"/>
                <w:szCs w:val="24"/>
                <w:highlight w:val="none"/>
              </w:rPr>
              <w:t>评审小组酌情评审。</w:t>
            </w:r>
          </w:p>
          <w:p w14:paraId="1D145E16">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1、对本项目特点和难点理解准确，测评准备方案优于本项目采购需求，完整详细，可行性、实用性、针对性强，得5分；</w:t>
            </w:r>
          </w:p>
          <w:p w14:paraId="316A2BEA">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2、对本项目特点和难点理解基本准确，测评准备方案适合本项目采购需求，完整详细，具有可行性、实用性和针对性，得3分；</w:t>
            </w:r>
          </w:p>
          <w:p w14:paraId="51237325">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3、对本项目特点和难点理解有待提升，测评准备方案适合本项目采购需求，可行性、实用性、针对性有待改善，得1分；</w:t>
            </w:r>
          </w:p>
          <w:p w14:paraId="05E829C8">
            <w:pPr>
              <w:spacing w:line="360" w:lineRule="auto"/>
              <w:rPr>
                <w:color w:val="auto"/>
                <w:sz w:val="24"/>
                <w:szCs w:val="24"/>
                <w:highlight w:val="none"/>
              </w:rPr>
            </w:pPr>
            <w:r>
              <w:rPr>
                <w:rFonts w:hint="eastAsia" w:ascii="宋体" w:hAnsi="宋体" w:eastAsia="宋体" w:cs="宋体"/>
                <w:color w:val="auto"/>
                <w:sz w:val="24"/>
                <w:szCs w:val="24"/>
                <w:highlight w:val="none"/>
              </w:rPr>
              <w:t>4、较差或未提供不得分。</w:t>
            </w:r>
          </w:p>
        </w:tc>
        <w:tc>
          <w:tcPr>
            <w:tcW w:w="1058" w:type="dxa"/>
            <w:tcBorders>
              <w:top w:val="single" w:color="auto" w:sz="4" w:space="0"/>
              <w:left w:val="single" w:color="auto" w:sz="4" w:space="0"/>
              <w:bottom w:val="single" w:color="auto" w:sz="4" w:space="0"/>
              <w:right w:val="single" w:color="auto" w:sz="4" w:space="0"/>
            </w:tcBorders>
            <w:shd w:val="clear" w:color="auto" w:fill="auto"/>
            <w:vAlign w:val="center"/>
          </w:tcPr>
          <w:p w14:paraId="7A4CC0F2">
            <w:pPr>
              <w:pStyle w:val="71"/>
              <w:spacing w:before="41" w:line="360" w:lineRule="auto"/>
              <w:ind w:left="10" w:right="-29"/>
              <w:jc w:val="center"/>
              <w:rPr>
                <w:color w:val="auto"/>
                <w:kern w:val="2"/>
                <w:sz w:val="24"/>
                <w:szCs w:val="24"/>
                <w:highlight w:val="none"/>
                <w:lang w:val="en-US" w:bidi="ar-SA"/>
              </w:rPr>
            </w:pPr>
            <w:r>
              <w:rPr>
                <w:rFonts w:hint="eastAsia"/>
                <w:color w:val="auto"/>
                <w:kern w:val="2"/>
                <w:sz w:val="24"/>
                <w:szCs w:val="24"/>
                <w:highlight w:val="none"/>
                <w:lang w:val="en-US" w:bidi="ar-SA"/>
              </w:rPr>
              <w:t>0-</w:t>
            </w:r>
            <w:r>
              <w:rPr>
                <w:color w:val="auto"/>
                <w:kern w:val="2"/>
                <w:sz w:val="24"/>
                <w:szCs w:val="24"/>
                <w:highlight w:val="none"/>
                <w:lang w:val="en-US" w:bidi="ar-SA"/>
              </w:rPr>
              <w:t>5</w:t>
            </w:r>
            <w:r>
              <w:rPr>
                <w:rFonts w:hint="eastAsia"/>
                <w:color w:val="auto"/>
                <w:kern w:val="2"/>
                <w:sz w:val="24"/>
                <w:szCs w:val="24"/>
                <w:highlight w:val="none"/>
                <w:lang w:val="en-US" w:bidi="ar-SA"/>
              </w:rPr>
              <w:t>分</w:t>
            </w:r>
          </w:p>
        </w:tc>
      </w:tr>
      <w:tr w14:paraId="2FFF5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24" w:type="dxa"/>
            <w:vMerge w:val="continue"/>
            <w:tcBorders>
              <w:left w:val="single" w:color="auto" w:sz="4" w:space="0"/>
              <w:right w:val="single" w:color="auto" w:sz="4" w:space="0"/>
            </w:tcBorders>
            <w:vAlign w:val="center"/>
          </w:tcPr>
          <w:p w14:paraId="481630B1">
            <w:pPr>
              <w:pStyle w:val="71"/>
              <w:spacing w:before="41" w:line="360" w:lineRule="auto"/>
              <w:ind w:left="10" w:right="-29"/>
              <w:jc w:val="center"/>
              <w:rPr>
                <w:color w:val="auto"/>
                <w:kern w:val="2"/>
                <w:sz w:val="24"/>
                <w:szCs w:val="24"/>
                <w:highlight w:val="none"/>
                <w:lang w:val="en-US" w:bidi="ar-SA"/>
              </w:rPr>
            </w:pPr>
          </w:p>
        </w:tc>
        <w:tc>
          <w:tcPr>
            <w:tcW w:w="903" w:type="dxa"/>
            <w:tcBorders>
              <w:top w:val="single" w:color="auto" w:sz="4" w:space="0"/>
              <w:left w:val="single" w:color="auto" w:sz="4" w:space="0"/>
              <w:bottom w:val="single" w:color="auto" w:sz="4" w:space="0"/>
              <w:right w:val="single" w:color="auto" w:sz="4" w:space="0"/>
            </w:tcBorders>
            <w:shd w:val="clear" w:color="auto" w:fill="auto"/>
            <w:vAlign w:val="center"/>
          </w:tcPr>
          <w:p w14:paraId="1656C68D">
            <w:pPr>
              <w:pStyle w:val="71"/>
              <w:spacing w:before="41" w:line="360" w:lineRule="auto"/>
              <w:ind w:left="10" w:right="-29"/>
              <w:jc w:val="center"/>
              <w:rPr>
                <w:color w:val="auto"/>
                <w:sz w:val="24"/>
                <w:szCs w:val="24"/>
                <w:highlight w:val="none"/>
              </w:rPr>
            </w:pPr>
            <w:r>
              <w:rPr>
                <w:rFonts w:hint="eastAsia"/>
                <w:color w:val="auto"/>
                <w:highlight w:val="none"/>
              </w:rPr>
              <w:t>等级保护</w:t>
            </w:r>
            <w:r>
              <w:rPr>
                <w:color w:val="auto"/>
                <w:highlight w:val="none"/>
              </w:rPr>
              <w:t>测评</w:t>
            </w:r>
            <w:r>
              <w:rPr>
                <w:rFonts w:hint="eastAsia"/>
                <w:color w:val="auto"/>
                <w:highlight w:val="none"/>
              </w:rPr>
              <w:t>实施</w:t>
            </w:r>
            <w:r>
              <w:rPr>
                <w:color w:val="auto"/>
                <w:highlight w:val="none"/>
              </w:rPr>
              <w:t>方案</w:t>
            </w:r>
          </w:p>
        </w:tc>
        <w:tc>
          <w:tcPr>
            <w:tcW w:w="6030" w:type="dxa"/>
            <w:tcBorders>
              <w:top w:val="single" w:color="auto" w:sz="4" w:space="0"/>
              <w:left w:val="single" w:color="auto" w:sz="4" w:space="0"/>
              <w:bottom w:val="single" w:color="auto" w:sz="4" w:space="0"/>
              <w:right w:val="single" w:color="auto" w:sz="4" w:space="0"/>
            </w:tcBorders>
            <w:shd w:val="clear" w:color="auto" w:fill="auto"/>
            <w:vAlign w:val="center"/>
          </w:tcPr>
          <w:p w14:paraId="3CB6F1F1">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供应商提供等级保护测评实施方案，</w:t>
            </w:r>
            <w:r>
              <w:rPr>
                <w:rFonts w:hint="eastAsia" w:ascii="宋体" w:hAnsi="宋体" w:eastAsia="宋体" w:cs="宋体"/>
                <w:color w:val="auto"/>
                <w:sz w:val="24"/>
                <w:szCs w:val="24"/>
                <w:highlight w:val="none"/>
                <w:lang w:val="en-US" w:eastAsia="zh-CN"/>
              </w:rPr>
              <w:t>从实施人员组成、实施流程设计、风险防控等方面，</w:t>
            </w:r>
            <w:r>
              <w:rPr>
                <w:rFonts w:hint="eastAsia" w:ascii="宋体" w:hAnsi="宋体" w:eastAsia="宋体" w:cs="宋体"/>
                <w:color w:val="auto"/>
                <w:sz w:val="24"/>
                <w:szCs w:val="24"/>
                <w:highlight w:val="none"/>
              </w:rPr>
              <w:t>评审小组酌情评审。</w:t>
            </w:r>
          </w:p>
          <w:p w14:paraId="516C8F8E">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1、对本项目特点和难点理解准确，测评实施方案优于本项目采购需求，完整详细，可行性、实用性、针对性强，得5分；</w:t>
            </w:r>
          </w:p>
          <w:p w14:paraId="4CCC0EBB">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2、对本项目特点和难点理解基本准确，测评实施方案适合本项目采购需求，完整详细，具有可行性、实用性和针对性，得3分；</w:t>
            </w:r>
          </w:p>
          <w:p w14:paraId="4B5DF519">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3、对本项目特点和难点理解有待提升，测评实施方案适合本项目采购需求，可行性、实用性、针对性有待改善，得1分；</w:t>
            </w:r>
          </w:p>
          <w:p w14:paraId="1A0BD74E">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4、较差或未提供不得分。</w:t>
            </w:r>
          </w:p>
        </w:tc>
        <w:tc>
          <w:tcPr>
            <w:tcW w:w="1058" w:type="dxa"/>
            <w:tcBorders>
              <w:top w:val="single" w:color="auto" w:sz="4" w:space="0"/>
              <w:left w:val="single" w:color="auto" w:sz="4" w:space="0"/>
              <w:bottom w:val="single" w:color="auto" w:sz="4" w:space="0"/>
              <w:right w:val="single" w:color="auto" w:sz="4" w:space="0"/>
            </w:tcBorders>
            <w:shd w:val="clear" w:color="auto" w:fill="auto"/>
            <w:vAlign w:val="center"/>
          </w:tcPr>
          <w:p w14:paraId="534F9B22">
            <w:pPr>
              <w:pStyle w:val="71"/>
              <w:spacing w:before="41" w:line="360" w:lineRule="auto"/>
              <w:ind w:left="10" w:right="-29"/>
              <w:jc w:val="center"/>
              <w:rPr>
                <w:color w:val="auto"/>
                <w:kern w:val="2"/>
                <w:sz w:val="24"/>
                <w:szCs w:val="24"/>
                <w:highlight w:val="none"/>
                <w:lang w:val="en-US" w:bidi="ar-SA"/>
              </w:rPr>
            </w:pPr>
            <w:r>
              <w:rPr>
                <w:rFonts w:hint="eastAsia"/>
                <w:color w:val="auto"/>
                <w:kern w:val="2"/>
                <w:sz w:val="24"/>
                <w:szCs w:val="24"/>
                <w:highlight w:val="none"/>
                <w:lang w:val="en-US" w:bidi="ar-SA"/>
              </w:rPr>
              <w:t>0</w:t>
            </w:r>
            <w:r>
              <w:rPr>
                <w:color w:val="auto"/>
                <w:kern w:val="2"/>
                <w:sz w:val="24"/>
                <w:szCs w:val="24"/>
                <w:highlight w:val="none"/>
                <w:lang w:val="en-US" w:bidi="ar-SA"/>
              </w:rPr>
              <w:t>-5</w:t>
            </w:r>
            <w:r>
              <w:rPr>
                <w:rFonts w:hint="eastAsia"/>
                <w:color w:val="auto"/>
                <w:kern w:val="2"/>
                <w:sz w:val="24"/>
                <w:szCs w:val="24"/>
                <w:highlight w:val="none"/>
                <w:lang w:val="en-US" w:bidi="ar-SA"/>
              </w:rPr>
              <w:t>分</w:t>
            </w:r>
          </w:p>
        </w:tc>
      </w:tr>
      <w:tr w14:paraId="703CC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24" w:type="dxa"/>
            <w:vMerge w:val="continue"/>
            <w:tcBorders>
              <w:left w:val="single" w:color="auto" w:sz="4" w:space="0"/>
              <w:right w:val="single" w:color="auto" w:sz="4" w:space="0"/>
            </w:tcBorders>
            <w:vAlign w:val="center"/>
          </w:tcPr>
          <w:p w14:paraId="7F3FB237">
            <w:pPr>
              <w:pStyle w:val="71"/>
              <w:spacing w:before="41" w:line="360" w:lineRule="auto"/>
              <w:ind w:left="10" w:right="-29"/>
              <w:jc w:val="center"/>
              <w:rPr>
                <w:color w:val="auto"/>
                <w:kern w:val="2"/>
                <w:sz w:val="24"/>
                <w:szCs w:val="24"/>
                <w:highlight w:val="none"/>
                <w:lang w:val="en-US" w:bidi="ar-SA"/>
              </w:rPr>
            </w:pPr>
          </w:p>
        </w:tc>
        <w:tc>
          <w:tcPr>
            <w:tcW w:w="903" w:type="dxa"/>
            <w:tcBorders>
              <w:top w:val="single" w:color="auto" w:sz="4" w:space="0"/>
              <w:left w:val="single" w:color="auto" w:sz="4" w:space="0"/>
              <w:bottom w:val="single" w:color="auto" w:sz="4" w:space="0"/>
              <w:right w:val="single" w:color="auto" w:sz="4" w:space="0"/>
            </w:tcBorders>
            <w:shd w:val="clear" w:color="auto" w:fill="auto"/>
            <w:vAlign w:val="center"/>
          </w:tcPr>
          <w:p w14:paraId="49A4D620">
            <w:pPr>
              <w:pStyle w:val="71"/>
              <w:spacing w:before="41" w:line="360" w:lineRule="auto"/>
              <w:ind w:left="10" w:right="-29"/>
              <w:jc w:val="center"/>
              <w:rPr>
                <w:color w:val="auto"/>
                <w:sz w:val="24"/>
                <w:szCs w:val="24"/>
                <w:highlight w:val="none"/>
              </w:rPr>
            </w:pPr>
            <w:r>
              <w:rPr>
                <w:rFonts w:hint="eastAsia"/>
                <w:color w:val="auto"/>
                <w:highlight w:val="none"/>
              </w:rPr>
              <w:t>等级保护</w:t>
            </w:r>
            <w:r>
              <w:rPr>
                <w:color w:val="auto"/>
                <w:highlight w:val="none"/>
              </w:rPr>
              <w:t>测评管理方案</w:t>
            </w:r>
          </w:p>
        </w:tc>
        <w:tc>
          <w:tcPr>
            <w:tcW w:w="6030" w:type="dxa"/>
            <w:tcBorders>
              <w:top w:val="single" w:color="auto" w:sz="4" w:space="0"/>
              <w:left w:val="single" w:color="auto" w:sz="4" w:space="0"/>
              <w:bottom w:val="single" w:color="auto" w:sz="4" w:space="0"/>
              <w:right w:val="single" w:color="auto" w:sz="4" w:space="0"/>
            </w:tcBorders>
            <w:shd w:val="clear" w:color="auto" w:fill="auto"/>
            <w:vAlign w:val="center"/>
          </w:tcPr>
          <w:p w14:paraId="7241F606">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供应商提供等级保护测评管理方案，</w:t>
            </w:r>
            <w:r>
              <w:rPr>
                <w:rFonts w:hint="eastAsia" w:ascii="宋体" w:hAnsi="宋体" w:eastAsia="宋体" w:cs="宋体"/>
                <w:color w:val="auto"/>
                <w:sz w:val="24"/>
                <w:szCs w:val="24"/>
                <w:highlight w:val="none"/>
                <w:lang w:val="en-US" w:eastAsia="zh-CN"/>
              </w:rPr>
              <w:t>从对人员管理、设备管理、数据安全管理等方面，</w:t>
            </w:r>
            <w:r>
              <w:rPr>
                <w:rFonts w:hint="eastAsia" w:ascii="宋体" w:hAnsi="宋体" w:eastAsia="宋体" w:cs="宋体"/>
                <w:color w:val="auto"/>
                <w:sz w:val="24"/>
                <w:szCs w:val="24"/>
                <w:highlight w:val="none"/>
              </w:rPr>
              <w:t>评审小组酌情评审。</w:t>
            </w:r>
          </w:p>
          <w:p w14:paraId="67882E20">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1、对本项目特点和难点理解准确，测评管理方案优于本项目采购需求，完整详细，可行性、实用性、针对性强，得5分；</w:t>
            </w:r>
          </w:p>
          <w:p w14:paraId="6E5E7BD5">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2、对本项目特点和难点理解基本准确，测评管理方案适合本项目采购需求，完整详细，具有可行性、实用性和针对性，得3分；</w:t>
            </w:r>
          </w:p>
          <w:p w14:paraId="39C17E09">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3、对本项目特点和难点理解有待提升，测评管理方案适合本项目采购需求，可行性、实用性、针对性有待改善，得1分；</w:t>
            </w:r>
          </w:p>
          <w:p w14:paraId="53B76410">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4、较差或未提供不得分。</w:t>
            </w:r>
          </w:p>
        </w:tc>
        <w:tc>
          <w:tcPr>
            <w:tcW w:w="1058" w:type="dxa"/>
            <w:tcBorders>
              <w:top w:val="single" w:color="auto" w:sz="4" w:space="0"/>
              <w:left w:val="single" w:color="auto" w:sz="4" w:space="0"/>
              <w:bottom w:val="single" w:color="auto" w:sz="4" w:space="0"/>
              <w:right w:val="single" w:color="auto" w:sz="4" w:space="0"/>
            </w:tcBorders>
            <w:shd w:val="clear" w:color="auto" w:fill="auto"/>
            <w:vAlign w:val="center"/>
          </w:tcPr>
          <w:p w14:paraId="3D869CDE">
            <w:pPr>
              <w:pStyle w:val="71"/>
              <w:spacing w:before="41" w:line="360" w:lineRule="auto"/>
              <w:ind w:left="10" w:right="-29"/>
              <w:jc w:val="center"/>
              <w:rPr>
                <w:color w:val="auto"/>
                <w:kern w:val="2"/>
                <w:sz w:val="24"/>
                <w:szCs w:val="24"/>
                <w:highlight w:val="none"/>
                <w:lang w:val="en-US" w:bidi="ar-SA"/>
              </w:rPr>
            </w:pPr>
            <w:r>
              <w:rPr>
                <w:rFonts w:hint="eastAsia"/>
                <w:color w:val="auto"/>
                <w:kern w:val="2"/>
                <w:sz w:val="24"/>
                <w:szCs w:val="24"/>
                <w:highlight w:val="none"/>
                <w:lang w:val="en-US" w:bidi="ar-SA"/>
              </w:rPr>
              <w:t>0</w:t>
            </w:r>
            <w:r>
              <w:rPr>
                <w:color w:val="auto"/>
                <w:kern w:val="2"/>
                <w:sz w:val="24"/>
                <w:szCs w:val="24"/>
                <w:highlight w:val="none"/>
                <w:lang w:val="en-US" w:bidi="ar-SA"/>
              </w:rPr>
              <w:t>-5</w:t>
            </w:r>
            <w:r>
              <w:rPr>
                <w:rFonts w:hint="eastAsia"/>
                <w:color w:val="auto"/>
                <w:kern w:val="2"/>
                <w:sz w:val="24"/>
                <w:szCs w:val="24"/>
                <w:highlight w:val="none"/>
                <w:lang w:val="en-US" w:bidi="ar-SA"/>
              </w:rPr>
              <w:t>分</w:t>
            </w:r>
          </w:p>
        </w:tc>
      </w:tr>
      <w:tr w14:paraId="3ACA1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24" w:type="dxa"/>
            <w:vMerge w:val="continue"/>
            <w:tcBorders>
              <w:left w:val="single" w:color="auto" w:sz="4" w:space="0"/>
              <w:right w:val="single" w:color="auto" w:sz="4" w:space="0"/>
            </w:tcBorders>
            <w:vAlign w:val="center"/>
          </w:tcPr>
          <w:p w14:paraId="75B98957">
            <w:pPr>
              <w:pStyle w:val="71"/>
              <w:spacing w:before="41" w:line="360" w:lineRule="auto"/>
              <w:ind w:left="10" w:right="-29"/>
              <w:jc w:val="center"/>
              <w:rPr>
                <w:color w:val="auto"/>
                <w:kern w:val="2"/>
                <w:sz w:val="24"/>
                <w:szCs w:val="24"/>
                <w:highlight w:val="none"/>
                <w:lang w:val="en-US" w:bidi="ar-SA"/>
              </w:rPr>
            </w:pPr>
          </w:p>
        </w:tc>
        <w:tc>
          <w:tcPr>
            <w:tcW w:w="903" w:type="dxa"/>
            <w:tcBorders>
              <w:top w:val="single" w:color="auto" w:sz="4" w:space="0"/>
              <w:left w:val="single" w:color="auto" w:sz="4" w:space="0"/>
              <w:bottom w:val="single" w:color="auto" w:sz="4" w:space="0"/>
              <w:right w:val="single" w:color="auto" w:sz="4" w:space="0"/>
            </w:tcBorders>
            <w:shd w:val="clear" w:color="auto" w:fill="auto"/>
            <w:vAlign w:val="center"/>
          </w:tcPr>
          <w:p w14:paraId="69D6C883">
            <w:pPr>
              <w:pStyle w:val="71"/>
              <w:spacing w:before="41" w:line="360" w:lineRule="auto"/>
              <w:ind w:left="10" w:right="-29"/>
              <w:jc w:val="center"/>
              <w:rPr>
                <w:color w:val="auto"/>
                <w:sz w:val="24"/>
                <w:szCs w:val="24"/>
                <w:highlight w:val="none"/>
              </w:rPr>
            </w:pPr>
            <w:r>
              <w:rPr>
                <w:rFonts w:hint="eastAsia"/>
                <w:color w:val="auto"/>
                <w:highlight w:val="none"/>
              </w:rPr>
              <w:t>等级保护</w:t>
            </w:r>
            <w:r>
              <w:rPr>
                <w:color w:val="auto"/>
                <w:highlight w:val="none"/>
              </w:rPr>
              <w:t>测评工具配置</w:t>
            </w:r>
            <w:r>
              <w:rPr>
                <w:rFonts w:hint="eastAsia"/>
                <w:color w:val="auto"/>
                <w:highlight w:val="none"/>
              </w:rPr>
              <w:t>方案</w:t>
            </w:r>
          </w:p>
        </w:tc>
        <w:tc>
          <w:tcPr>
            <w:tcW w:w="6030" w:type="dxa"/>
            <w:tcBorders>
              <w:top w:val="single" w:color="auto" w:sz="4" w:space="0"/>
              <w:left w:val="single" w:color="auto" w:sz="4" w:space="0"/>
              <w:bottom w:val="single" w:color="auto" w:sz="4" w:space="0"/>
              <w:right w:val="single" w:color="auto" w:sz="4" w:space="0"/>
            </w:tcBorders>
            <w:shd w:val="clear" w:color="auto" w:fill="auto"/>
            <w:vAlign w:val="center"/>
          </w:tcPr>
          <w:p w14:paraId="43119026">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供应商提供等级保护测评配置方案，</w:t>
            </w:r>
            <w:r>
              <w:rPr>
                <w:rFonts w:hint="eastAsia" w:ascii="宋体" w:hAnsi="宋体" w:eastAsia="宋体" w:cs="宋体"/>
                <w:color w:val="auto"/>
                <w:sz w:val="24"/>
                <w:szCs w:val="24"/>
                <w:highlight w:val="none"/>
                <w:lang w:val="en-US" w:eastAsia="zh-CN"/>
              </w:rPr>
              <w:t>从测评工具的种类、级别、功能、性能、形式（如云端、本地）等方面，</w:t>
            </w:r>
            <w:r>
              <w:rPr>
                <w:rFonts w:hint="eastAsia" w:ascii="宋体" w:hAnsi="宋体" w:eastAsia="宋体" w:cs="宋体"/>
                <w:color w:val="auto"/>
                <w:sz w:val="24"/>
                <w:szCs w:val="24"/>
                <w:highlight w:val="none"/>
              </w:rPr>
              <w:t>评审小组酌情评审。</w:t>
            </w:r>
          </w:p>
          <w:p w14:paraId="13D3D008">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1、对本项目特点和难点理解准确，测评工具配置方案优于本项目采购需求，完整详细，可行性、实用性、针对性强，得5分；</w:t>
            </w:r>
          </w:p>
          <w:p w14:paraId="3FE08EA9">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2、对本项目特点和难点理解基本准确，测评工具配置方案适合本项目采购需求，完整详细，具有可行性、实用性和针对性，得3分；</w:t>
            </w:r>
          </w:p>
          <w:p w14:paraId="24CDB560">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3、对本项目特点和难点理解有待提升，测评工具配置方案适合本项目采购需求，可行性、实用性、针对性有待改善，得1分；</w:t>
            </w:r>
          </w:p>
          <w:p w14:paraId="6FD737CF">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4、较差或未提供不得分。</w:t>
            </w:r>
          </w:p>
        </w:tc>
        <w:tc>
          <w:tcPr>
            <w:tcW w:w="1058" w:type="dxa"/>
            <w:tcBorders>
              <w:top w:val="single" w:color="auto" w:sz="4" w:space="0"/>
              <w:left w:val="single" w:color="auto" w:sz="4" w:space="0"/>
              <w:bottom w:val="single" w:color="auto" w:sz="4" w:space="0"/>
              <w:right w:val="single" w:color="auto" w:sz="4" w:space="0"/>
            </w:tcBorders>
            <w:shd w:val="clear" w:color="auto" w:fill="auto"/>
            <w:vAlign w:val="center"/>
          </w:tcPr>
          <w:p w14:paraId="2E84E175">
            <w:pPr>
              <w:pStyle w:val="71"/>
              <w:spacing w:before="41" w:line="360" w:lineRule="auto"/>
              <w:ind w:left="10" w:right="-29"/>
              <w:jc w:val="center"/>
              <w:rPr>
                <w:color w:val="auto"/>
                <w:kern w:val="2"/>
                <w:sz w:val="24"/>
                <w:szCs w:val="24"/>
                <w:highlight w:val="none"/>
                <w:lang w:val="en-US" w:bidi="ar-SA"/>
              </w:rPr>
            </w:pPr>
            <w:r>
              <w:rPr>
                <w:rFonts w:hint="eastAsia"/>
                <w:color w:val="auto"/>
                <w:kern w:val="2"/>
                <w:sz w:val="24"/>
                <w:szCs w:val="24"/>
                <w:highlight w:val="none"/>
                <w:lang w:val="en-US" w:bidi="ar-SA"/>
              </w:rPr>
              <w:t>0</w:t>
            </w:r>
            <w:r>
              <w:rPr>
                <w:color w:val="auto"/>
                <w:kern w:val="2"/>
                <w:sz w:val="24"/>
                <w:szCs w:val="24"/>
                <w:highlight w:val="none"/>
                <w:lang w:val="en-US" w:bidi="ar-SA"/>
              </w:rPr>
              <w:t>-5</w:t>
            </w:r>
            <w:r>
              <w:rPr>
                <w:rFonts w:hint="eastAsia"/>
                <w:color w:val="auto"/>
                <w:kern w:val="2"/>
                <w:sz w:val="24"/>
                <w:szCs w:val="24"/>
                <w:highlight w:val="none"/>
                <w:lang w:val="en-US" w:bidi="ar-SA"/>
              </w:rPr>
              <w:t>分</w:t>
            </w:r>
          </w:p>
        </w:tc>
      </w:tr>
      <w:tr w14:paraId="514C6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24" w:type="dxa"/>
            <w:vMerge w:val="continue"/>
            <w:tcBorders>
              <w:left w:val="single" w:color="auto" w:sz="4" w:space="0"/>
              <w:right w:val="single" w:color="auto" w:sz="4" w:space="0"/>
            </w:tcBorders>
            <w:vAlign w:val="center"/>
          </w:tcPr>
          <w:p w14:paraId="7E8D7D13">
            <w:pPr>
              <w:pStyle w:val="71"/>
              <w:spacing w:before="41" w:line="360" w:lineRule="auto"/>
              <w:ind w:left="10" w:right="-29"/>
              <w:jc w:val="center"/>
              <w:rPr>
                <w:color w:val="auto"/>
                <w:kern w:val="2"/>
                <w:sz w:val="24"/>
                <w:szCs w:val="24"/>
                <w:highlight w:val="none"/>
                <w:lang w:val="en-US" w:bidi="ar-SA"/>
              </w:rPr>
            </w:pPr>
          </w:p>
        </w:tc>
        <w:tc>
          <w:tcPr>
            <w:tcW w:w="903" w:type="dxa"/>
            <w:tcBorders>
              <w:top w:val="single" w:color="auto" w:sz="4" w:space="0"/>
              <w:left w:val="single" w:color="auto" w:sz="4" w:space="0"/>
              <w:bottom w:val="single" w:color="auto" w:sz="4" w:space="0"/>
              <w:right w:val="single" w:color="auto" w:sz="4" w:space="0"/>
            </w:tcBorders>
            <w:shd w:val="clear" w:color="auto" w:fill="auto"/>
            <w:vAlign w:val="center"/>
          </w:tcPr>
          <w:p w14:paraId="15043F8F">
            <w:pPr>
              <w:pStyle w:val="71"/>
              <w:spacing w:before="41" w:line="360" w:lineRule="auto"/>
              <w:ind w:left="10" w:right="-29"/>
              <w:jc w:val="center"/>
              <w:rPr>
                <w:color w:val="auto"/>
                <w:highlight w:val="none"/>
              </w:rPr>
            </w:pPr>
            <w:r>
              <w:rPr>
                <w:rFonts w:hint="eastAsia"/>
                <w:color w:val="auto"/>
                <w:highlight w:val="none"/>
              </w:rPr>
              <w:t>培训方案</w:t>
            </w:r>
          </w:p>
        </w:tc>
        <w:tc>
          <w:tcPr>
            <w:tcW w:w="6030" w:type="dxa"/>
            <w:tcBorders>
              <w:top w:val="single" w:color="auto" w:sz="4" w:space="0"/>
              <w:left w:val="single" w:color="auto" w:sz="4" w:space="0"/>
              <w:bottom w:val="single" w:color="auto" w:sz="4" w:space="0"/>
              <w:right w:val="single" w:color="auto" w:sz="4" w:space="0"/>
            </w:tcBorders>
            <w:shd w:val="clear" w:color="auto" w:fill="auto"/>
            <w:vAlign w:val="center"/>
          </w:tcPr>
          <w:p w14:paraId="78C03B36">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供应商提供项目培训方案，</w:t>
            </w:r>
            <w:r>
              <w:rPr>
                <w:rFonts w:hint="eastAsia" w:ascii="宋体" w:hAnsi="宋体" w:eastAsia="宋体" w:cs="宋体"/>
                <w:color w:val="auto"/>
                <w:sz w:val="24"/>
                <w:szCs w:val="24"/>
                <w:highlight w:val="none"/>
                <w:lang w:val="en-US" w:eastAsia="zh-CN"/>
              </w:rPr>
              <w:t>从培训人员组成、培训内容、培训形式、培训效果评价等方面，</w:t>
            </w:r>
            <w:r>
              <w:rPr>
                <w:rFonts w:hint="eastAsia" w:ascii="宋体" w:hAnsi="宋体" w:eastAsia="宋体" w:cs="宋体"/>
                <w:color w:val="auto"/>
                <w:sz w:val="24"/>
                <w:szCs w:val="24"/>
                <w:highlight w:val="none"/>
              </w:rPr>
              <w:t>评审小组酌情评审。</w:t>
            </w:r>
          </w:p>
          <w:p w14:paraId="01AC80D4">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1、对本项目特点和难点理解准确，培训方案优于本项目采购需求，完整详细，可行性、实用性、针对性强，得5分；</w:t>
            </w:r>
          </w:p>
          <w:p w14:paraId="51D70262">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2、对本项目特点和难点理解基本准确，培训方案适合本项目采购需求，完整详细，具有可行性、实用性和针对性，得3分；</w:t>
            </w:r>
          </w:p>
          <w:p w14:paraId="40833A60">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3、对本项目特点和难点理解有待提升，培训方案适合本项目采购需求，可行性、实用性、针对性有待改善，得1分；</w:t>
            </w:r>
          </w:p>
          <w:p w14:paraId="5F071BF3">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4、较差或未提供不得分。</w:t>
            </w:r>
          </w:p>
        </w:tc>
        <w:tc>
          <w:tcPr>
            <w:tcW w:w="1058" w:type="dxa"/>
            <w:tcBorders>
              <w:top w:val="single" w:color="auto" w:sz="4" w:space="0"/>
              <w:left w:val="single" w:color="auto" w:sz="4" w:space="0"/>
              <w:bottom w:val="single" w:color="auto" w:sz="4" w:space="0"/>
              <w:right w:val="single" w:color="auto" w:sz="4" w:space="0"/>
            </w:tcBorders>
            <w:shd w:val="clear" w:color="auto" w:fill="auto"/>
            <w:vAlign w:val="center"/>
          </w:tcPr>
          <w:p w14:paraId="2EC832AA">
            <w:pPr>
              <w:pStyle w:val="71"/>
              <w:spacing w:before="41" w:line="360" w:lineRule="auto"/>
              <w:ind w:left="10" w:right="-29"/>
              <w:jc w:val="center"/>
              <w:rPr>
                <w:color w:val="auto"/>
                <w:kern w:val="2"/>
                <w:sz w:val="24"/>
                <w:szCs w:val="24"/>
                <w:highlight w:val="none"/>
                <w:lang w:val="en-US" w:bidi="ar-SA"/>
              </w:rPr>
            </w:pPr>
            <w:r>
              <w:rPr>
                <w:rFonts w:hint="eastAsia"/>
                <w:color w:val="auto"/>
                <w:kern w:val="2"/>
                <w:sz w:val="24"/>
                <w:szCs w:val="24"/>
                <w:highlight w:val="none"/>
                <w:lang w:val="en-US" w:bidi="ar-SA"/>
              </w:rPr>
              <w:t>0</w:t>
            </w:r>
            <w:r>
              <w:rPr>
                <w:color w:val="auto"/>
                <w:kern w:val="2"/>
                <w:sz w:val="24"/>
                <w:szCs w:val="24"/>
                <w:highlight w:val="none"/>
                <w:lang w:val="en-US" w:bidi="ar-SA"/>
              </w:rPr>
              <w:t>-5</w:t>
            </w:r>
            <w:r>
              <w:rPr>
                <w:rFonts w:hint="eastAsia"/>
                <w:color w:val="auto"/>
                <w:kern w:val="2"/>
                <w:sz w:val="24"/>
                <w:szCs w:val="24"/>
                <w:highlight w:val="none"/>
                <w:lang w:val="en-US" w:bidi="ar-SA"/>
              </w:rPr>
              <w:t>分</w:t>
            </w:r>
          </w:p>
        </w:tc>
      </w:tr>
      <w:tr w14:paraId="11BB8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24" w:type="dxa"/>
            <w:vMerge w:val="continue"/>
            <w:tcBorders>
              <w:left w:val="single" w:color="auto" w:sz="4" w:space="0"/>
              <w:right w:val="single" w:color="auto" w:sz="4" w:space="0"/>
            </w:tcBorders>
            <w:vAlign w:val="center"/>
          </w:tcPr>
          <w:p w14:paraId="7AE1B117">
            <w:pPr>
              <w:pStyle w:val="71"/>
              <w:spacing w:before="41" w:line="360" w:lineRule="auto"/>
              <w:ind w:left="10" w:right="-29"/>
              <w:jc w:val="center"/>
              <w:rPr>
                <w:color w:val="auto"/>
                <w:kern w:val="2"/>
                <w:sz w:val="24"/>
                <w:szCs w:val="24"/>
                <w:highlight w:val="none"/>
                <w:lang w:val="en-US" w:bidi="ar-SA"/>
              </w:rPr>
            </w:pPr>
          </w:p>
        </w:tc>
        <w:tc>
          <w:tcPr>
            <w:tcW w:w="903" w:type="dxa"/>
            <w:tcBorders>
              <w:top w:val="single" w:color="auto" w:sz="4" w:space="0"/>
              <w:left w:val="single" w:color="auto" w:sz="4" w:space="0"/>
              <w:bottom w:val="single" w:color="auto" w:sz="4" w:space="0"/>
              <w:right w:val="single" w:color="auto" w:sz="4" w:space="0"/>
            </w:tcBorders>
            <w:shd w:val="clear" w:color="auto" w:fill="auto"/>
            <w:vAlign w:val="center"/>
          </w:tcPr>
          <w:p w14:paraId="3F53B1B2">
            <w:pPr>
              <w:pStyle w:val="71"/>
              <w:spacing w:before="41" w:line="360" w:lineRule="auto"/>
              <w:ind w:left="10" w:right="-29"/>
              <w:jc w:val="center"/>
              <w:rPr>
                <w:color w:val="auto"/>
                <w:highlight w:val="none"/>
              </w:rPr>
            </w:pPr>
            <w:r>
              <w:rPr>
                <w:color w:val="auto"/>
                <w:highlight w:val="none"/>
              </w:rPr>
              <w:t>售后及技术支持服务</w:t>
            </w:r>
            <w:r>
              <w:rPr>
                <w:rFonts w:hint="eastAsia"/>
                <w:color w:val="auto"/>
                <w:highlight w:val="none"/>
              </w:rPr>
              <w:t>方案</w:t>
            </w:r>
          </w:p>
        </w:tc>
        <w:tc>
          <w:tcPr>
            <w:tcW w:w="6030" w:type="dxa"/>
            <w:tcBorders>
              <w:top w:val="single" w:color="auto" w:sz="4" w:space="0"/>
              <w:left w:val="single" w:color="auto" w:sz="4" w:space="0"/>
              <w:bottom w:val="single" w:color="auto" w:sz="4" w:space="0"/>
              <w:right w:val="single" w:color="auto" w:sz="4" w:space="0"/>
            </w:tcBorders>
            <w:shd w:val="clear" w:color="auto" w:fill="auto"/>
            <w:vAlign w:val="center"/>
          </w:tcPr>
          <w:p w14:paraId="08F6CC7D">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供应商提供项目售后及技术支持服务方案，</w:t>
            </w:r>
            <w:r>
              <w:rPr>
                <w:rFonts w:hint="eastAsia" w:ascii="宋体" w:hAnsi="宋体" w:eastAsia="宋体" w:cs="宋体"/>
                <w:color w:val="auto"/>
                <w:sz w:val="24"/>
                <w:szCs w:val="24"/>
                <w:highlight w:val="none"/>
                <w:lang w:val="en-US" w:eastAsia="zh-CN"/>
              </w:rPr>
              <w:t>从售后内容、响应时限、技术支持形式、人员组成等方面，</w:t>
            </w:r>
            <w:r>
              <w:rPr>
                <w:rFonts w:hint="eastAsia" w:ascii="宋体" w:hAnsi="宋体" w:eastAsia="宋体" w:cs="宋体"/>
                <w:color w:val="auto"/>
                <w:sz w:val="24"/>
                <w:szCs w:val="24"/>
                <w:highlight w:val="none"/>
              </w:rPr>
              <w:t>评审小组酌情评审。</w:t>
            </w:r>
          </w:p>
          <w:p w14:paraId="7F0F8DBB">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1、对本项目特点和难点理解准确，售后及技术支持服务方案优于本项目采购需求，完整详细，可行性、实用性、针对性强，得5分；</w:t>
            </w:r>
          </w:p>
          <w:p w14:paraId="12BD333A">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2、对本项目特点和难点理解基本准确，售后及技术支持服务方案适合本项目采购需求，完整详细，具有可行性、实用性和针对性，得3分；</w:t>
            </w:r>
          </w:p>
          <w:p w14:paraId="7F62E7F2">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3、对本项目特点和难点理解有待提升，售后及技术支持服务方案适合本项目采购需求，可行性、实用性、针对性有待改善，得1分；</w:t>
            </w:r>
          </w:p>
          <w:p w14:paraId="08D4DAB3">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4、较差或未提供不得分。</w:t>
            </w:r>
          </w:p>
        </w:tc>
        <w:tc>
          <w:tcPr>
            <w:tcW w:w="1058" w:type="dxa"/>
            <w:tcBorders>
              <w:top w:val="single" w:color="auto" w:sz="4" w:space="0"/>
              <w:left w:val="single" w:color="auto" w:sz="4" w:space="0"/>
              <w:bottom w:val="single" w:color="auto" w:sz="4" w:space="0"/>
              <w:right w:val="single" w:color="auto" w:sz="4" w:space="0"/>
            </w:tcBorders>
            <w:shd w:val="clear" w:color="auto" w:fill="auto"/>
            <w:vAlign w:val="center"/>
          </w:tcPr>
          <w:p w14:paraId="68D6C11E">
            <w:pPr>
              <w:pStyle w:val="71"/>
              <w:spacing w:before="41" w:line="360" w:lineRule="auto"/>
              <w:ind w:left="10" w:right="-29"/>
              <w:jc w:val="center"/>
              <w:rPr>
                <w:color w:val="auto"/>
                <w:kern w:val="2"/>
                <w:sz w:val="24"/>
                <w:szCs w:val="24"/>
                <w:highlight w:val="none"/>
                <w:lang w:val="en-US" w:bidi="ar-SA"/>
              </w:rPr>
            </w:pPr>
            <w:r>
              <w:rPr>
                <w:rFonts w:hint="eastAsia"/>
                <w:color w:val="auto"/>
                <w:kern w:val="2"/>
                <w:sz w:val="24"/>
                <w:szCs w:val="24"/>
                <w:highlight w:val="none"/>
                <w:lang w:val="en-US" w:bidi="ar-SA"/>
              </w:rPr>
              <w:t>0</w:t>
            </w:r>
            <w:r>
              <w:rPr>
                <w:color w:val="auto"/>
                <w:kern w:val="2"/>
                <w:sz w:val="24"/>
                <w:szCs w:val="24"/>
                <w:highlight w:val="none"/>
                <w:lang w:val="en-US" w:bidi="ar-SA"/>
              </w:rPr>
              <w:t>-5</w:t>
            </w:r>
            <w:r>
              <w:rPr>
                <w:rFonts w:hint="eastAsia"/>
                <w:color w:val="auto"/>
                <w:kern w:val="2"/>
                <w:sz w:val="24"/>
                <w:szCs w:val="24"/>
                <w:highlight w:val="none"/>
                <w:lang w:val="en-US" w:bidi="ar-SA"/>
              </w:rPr>
              <w:t>分</w:t>
            </w:r>
          </w:p>
        </w:tc>
      </w:tr>
      <w:tr w14:paraId="75585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824" w:type="dxa"/>
            <w:vMerge w:val="continue"/>
            <w:tcBorders>
              <w:left w:val="single" w:color="auto" w:sz="4" w:space="0"/>
              <w:right w:val="single" w:color="auto" w:sz="4" w:space="0"/>
            </w:tcBorders>
            <w:vAlign w:val="center"/>
          </w:tcPr>
          <w:p w14:paraId="066A996E">
            <w:pPr>
              <w:pStyle w:val="71"/>
              <w:spacing w:before="41" w:line="360" w:lineRule="auto"/>
              <w:ind w:left="10" w:right="-29"/>
              <w:jc w:val="center"/>
              <w:rPr>
                <w:color w:val="auto"/>
                <w:kern w:val="2"/>
                <w:sz w:val="24"/>
                <w:szCs w:val="24"/>
                <w:highlight w:val="none"/>
                <w:lang w:val="en-US" w:bidi="ar-SA"/>
              </w:rPr>
            </w:pPr>
          </w:p>
        </w:tc>
        <w:tc>
          <w:tcPr>
            <w:tcW w:w="903" w:type="dxa"/>
            <w:tcBorders>
              <w:top w:val="single" w:color="auto" w:sz="4" w:space="0"/>
              <w:left w:val="single" w:color="auto" w:sz="4" w:space="0"/>
              <w:bottom w:val="single" w:color="auto" w:sz="4" w:space="0"/>
              <w:right w:val="single" w:color="auto" w:sz="4" w:space="0"/>
            </w:tcBorders>
            <w:vAlign w:val="center"/>
          </w:tcPr>
          <w:p w14:paraId="099B7F80">
            <w:pPr>
              <w:pStyle w:val="71"/>
              <w:spacing w:line="360" w:lineRule="auto"/>
              <w:jc w:val="center"/>
              <w:rPr>
                <w:color w:val="auto"/>
                <w:kern w:val="2"/>
                <w:sz w:val="24"/>
                <w:szCs w:val="24"/>
                <w:highlight w:val="none"/>
                <w:lang w:val="en-US" w:bidi="ar-SA"/>
              </w:rPr>
            </w:pPr>
            <w:r>
              <w:rPr>
                <w:rFonts w:hint="eastAsia"/>
                <w:color w:val="auto"/>
                <w:sz w:val="24"/>
                <w:szCs w:val="24"/>
                <w:highlight w:val="none"/>
              </w:rPr>
              <w:t>网络安全防御建议方案</w:t>
            </w:r>
          </w:p>
        </w:tc>
        <w:tc>
          <w:tcPr>
            <w:tcW w:w="6030" w:type="dxa"/>
            <w:tcBorders>
              <w:top w:val="single" w:color="auto" w:sz="4" w:space="0"/>
              <w:left w:val="single" w:color="auto" w:sz="4" w:space="0"/>
              <w:bottom w:val="single" w:color="auto" w:sz="4" w:space="0"/>
              <w:right w:val="single" w:color="auto" w:sz="4" w:space="0"/>
            </w:tcBorders>
            <w:vAlign w:val="center"/>
          </w:tcPr>
          <w:p w14:paraId="51263438">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供应商提供网络安全防御建议方案。按照等级保护的要求，结合用户的网络结构，制定详细网络安全防御建议，有针对性的指导用户设计好网络安全架构，协助用户建立完善网络安全技术防护体系，包括重点时期网络安全保障措施。</w:t>
            </w:r>
            <w:r>
              <w:rPr>
                <w:rFonts w:hint="eastAsia" w:ascii="宋体" w:hAnsi="宋体" w:eastAsia="宋体" w:cs="宋体"/>
                <w:color w:val="auto"/>
                <w:sz w:val="24"/>
                <w:szCs w:val="24"/>
                <w:highlight w:val="none"/>
                <w:lang w:val="en-US" w:eastAsia="zh-CN"/>
              </w:rPr>
              <w:t>对于以上内容，</w:t>
            </w:r>
            <w:r>
              <w:rPr>
                <w:rFonts w:hint="eastAsia" w:ascii="宋体" w:hAnsi="宋体" w:eastAsia="宋体" w:cs="宋体"/>
                <w:color w:val="auto"/>
                <w:sz w:val="24"/>
                <w:szCs w:val="24"/>
                <w:highlight w:val="none"/>
              </w:rPr>
              <w:t>评审小组酌情评审</w:t>
            </w:r>
            <w:r>
              <w:rPr>
                <w:rFonts w:hint="eastAsia" w:ascii="宋体" w:hAnsi="宋体" w:eastAsia="宋体" w:cs="宋体"/>
                <w:color w:val="auto"/>
                <w:sz w:val="24"/>
                <w:szCs w:val="24"/>
                <w:highlight w:val="none"/>
                <w:lang w:eastAsia="zh-CN"/>
              </w:rPr>
              <w:t>。</w:t>
            </w:r>
          </w:p>
          <w:p w14:paraId="3A7C5914">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1.对本项目特点和难点理解准确，网络安全防御建议方案优于本项目采购需求，完整详细，可行性、实用性、针对性强，得5分；</w:t>
            </w:r>
          </w:p>
          <w:p w14:paraId="4F723872">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2.对本项目特点和难点理解基本准确，网络安全防御建议方案适合本项目采购需求，完整详细，具有可行性、实用性和针对性，得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14:paraId="6BEC41A2">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3.对本项目特点和难点理解有待提升，网络安全防御建议方案适合本项目采购需求，可行性、实用性、针对性有待改善，得1分；</w:t>
            </w:r>
          </w:p>
          <w:p w14:paraId="17BC0180">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4.较差或未提供不得分。</w:t>
            </w:r>
          </w:p>
        </w:tc>
        <w:tc>
          <w:tcPr>
            <w:tcW w:w="1058" w:type="dxa"/>
            <w:tcBorders>
              <w:top w:val="single" w:color="auto" w:sz="4" w:space="0"/>
              <w:left w:val="single" w:color="auto" w:sz="4" w:space="0"/>
              <w:bottom w:val="single" w:color="auto" w:sz="4" w:space="0"/>
              <w:right w:val="single" w:color="auto" w:sz="4" w:space="0"/>
            </w:tcBorders>
            <w:vAlign w:val="center"/>
          </w:tcPr>
          <w:p w14:paraId="0A39AC48">
            <w:pPr>
              <w:pStyle w:val="71"/>
              <w:spacing w:before="41" w:line="360" w:lineRule="auto"/>
              <w:ind w:left="10" w:right="-29"/>
              <w:jc w:val="center"/>
              <w:rPr>
                <w:color w:val="auto"/>
                <w:kern w:val="2"/>
                <w:sz w:val="24"/>
                <w:szCs w:val="24"/>
                <w:highlight w:val="none"/>
                <w:lang w:val="en-US" w:bidi="ar-SA"/>
              </w:rPr>
            </w:pPr>
            <w:r>
              <w:rPr>
                <w:rFonts w:hint="eastAsia"/>
                <w:color w:val="auto"/>
                <w:kern w:val="2"/>
                <w:sz w:val="24"/>
                <w:szCs w:val="24"/>
                <w:highlight w:val="none"/>
                <w:lang w:val="en-US" w:bidi="ar-SA"/>
              </w:rPr>
              <w:t>0-</w:t>
            </w:r>
            <w:r>
              <w:rPr>
                <w:color w:val="auto"/>
                <w:kern w:val="2"/>
                <w:sz w:val="24"/>
                <w:szCs w:val="24"/>
                <w:highlight w:val="none"/>
                <w:lang w:val="en-US" w:bidi="ar-SA"/>
              </w:rPr>
              <w:t>5</w:t>
            </w:r>
            <w:r>
              <w:rPr>
                <w:rFonts w:hint="eastAsia"/>
                <w:color w:val="auto"/>
                <w:kern w:val="2"/>
                <w:sz w:val="24"/>
                <w:szCs w:val="24"/>
                <w:highlight w:val="none"/>
                <w:lang w:val="en-US" w:bidi="ar-SA"/>
              </w:rPr>
              <w:t>分</w:t>
            </w:r>
          </w:p>
        </w:tc>
      </w:tr>
      <w:tr w14:paraId="457CE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824" w:type="dxa"/>
            <w:vMerge w:val="continue"/>
            <w:tcBorders>
              <w:left w:val="single" w:color="auto" w:sz="4" w:space="0"/>
              <w:right w:val="single" w:color="auto" w:sz="4" w:space="0"/>
            </w:tcBorders>
            <w:vAlign w:val="center"/>
          </w:tcPr>
          <w:p w14:paraId="62AC762E">
            <w:pPr>
              <w:pStyle w:val="71"/>
              <w:spacing w:before="41" w:line="360" w:lineRule="auto"/>
              <w:ind w:left="10" w:right="-29"/>
              <w:jc w:val="center"/>
              <w:rPr>
                <w:color w:val="auto"/>
                <w:kern w:val="2"/>
                <w:sz w:val="24"/>
                <w:szCs w:val="24"/>
                <w:highlight w:val="none"/>
                <w:lang w:val="en-US" w:bidi="ar-SA"/>
              </w:rPr>
            </w:pPr>
          </w:p>
        </w:tc>
        <w:tc>
          <w:tcPr>
            <w:tcW w:w="903" w:type="dxa"/>
            <w:tcBorders>
              <w:top w:val="single" w:color="auto" w:sz="4" w:space="0"/>
              <w:left w:val="single" w:color="auto" w:sz="4" w:space="0"/>
              <w:bottom w:val="single" w:color="auto" w:sz="4" w:space="0"/>
              <w:right w:val="single" w:color="auto" w:sz="4" w:space="0"/>
            </w:tcBorders>
            <w:vAlign w:val="center"/>
          </w:tcPr>
          <w:p w14:paraId="0C55FA52">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安全加固建议方案</w:t>
            </w:r>
          </w:p>
        </w:tc>
        <w:tc>
          <w:tcPr>
            <w:tcW w:w="6030" w:type="dxa"/>
            <w:tcBorders>
              <w:top w:val="single" w:color="auto" w:sz="4" w:space="0"/>
              <w:left w:val="single" w:color="auto" w:sz="4" w:space="0"/>
              <w:bottom w:val="single" w:color="auto" w:sz="4" w:space="0"/>
              <w:right w:val="single" w:color="auto" w:sz="4" w:space="0"/>
            </w:tcBorders>
          </w:tcPr>
          <w:p w14:paraId="608E1474">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供应商提供安全加固建议方案。根据等保测评结果，提供协助系统整改及安全加固建议，整改加固建议内容、方式、加固方案示例、风险规避措施描述的全面性、可行性、准确性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对于以上内容，</w:t>
            </w:r>
            <w:r>
              <w:rPr>
                <w:rFonts w:hint="eastAsia" w:ascii="宋体" w:hAnsi="宋体" w:eastAsia="宋体" w:cs="宋体"/>
                <w:color w:val="auto"/>
                <w:sz w:val="24"/>
                <w:szCs w:val="24"/>
                <w:highlight w:val="none"/>
              </w:rPr>
              <w:t>评审小组酌情评审</w:t>
            </w:r>
            <w:r>
              <w:rPr>
                <w:rFonts w:hint="eastAsia" w:ascii="宋体" w:hAnsi="宋体" w:eastAsia="宋体" w:cs="宋体"/>
                <w:color w:val="auto"/>
                <w:sz w:val="24"/>
                <w:szCs w:val="24"/>
                <w:highlight w:val="none"/>
                <w:lang w:eastAsia="zh-CN"/>
              </w:rPr>
              <w:t>。</w:t>
            </w:r>
          </w:p>
          <w:p w14:paraId="311D0B72">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1.对本项目特点和难点理解准确，安全加固建议方案优于本项目采购需求，完整详细，可行性、实用性、针对性强，得5分</w:t>
            </w:r>
          </w:p>
          <w:p w14:paraId="424CEC4E">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2.对本项目特点和难点理解基本准确，安全加固建议方案适合本项目采购需求，完整详细，具有可行性、实用性和针对性，得3分</w:t>
            </w:r>
          </w:p>
          <w:p w14:paraId="1C1248A6">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3.对本项目特点和难点理解有待提升，安全加固建议方案适合本项目采购需求，可行性、实用性、针对性有待改善，得1分</w:t>
            </w:r>
          </w:p>
          <w:p w14:paraId="466E7214">
            <w:pPr>
              <w:spacing w:line="360" w:lineRule="auto"/>
              <w:rPr>
                <w:rFonts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4.较差或未提供不得分。</w:t>
            </w:r>
          </w:p>
        </w:tc>
        <w:tc>
          <w:tcPr>
            <w:tcW w:w="1058" w:type="dxa"/>
            <w:tcBorders>
              <w:top w:val="single" w:color="auto" w:sz="4" w:space="0"/>
              <w:left w:val="single" w:color="auto" w:sz="4" w:space="0"/>
              <w:bottom w:val="single" w:color="auto" w:sz="4" w:space="0"/>
              <w:right w:val="single" w:color="auto" w:sz="4" w:space="0"/>
            </w:tcBorders>
            <w:vAlign w:val="center"/>
          </w:tcPr>
          <w:p w14:paraId="3EB47B9B">
            <w:pPr>
              <w:pStyle w:val="71"/>
              <w:spacing w:before="41" w:line="360" w:lineRule="auto"/>
              <w:ind w:left="10" w:right="-29"/>
              <w:jc w:val="center"/>
              <w:rPr>
                <w:color w:val="auto"/>
                <w:kern w:val="2"/>
                <w:sz w:val="24"/>
                <w:szCs w:val="24"/>
                <w:highlight w:val="none"/>
                <w:lang w:val="en-US" w:bidi="ar-SA"/>
              </w:rPr>
            </w:pPr>
            <w:r>
              <w:rPr>
                <w:rFonts w:hint="eastAsia"/>
                <w:color w:val="auto"/>
                <w:kern w:val="2"/>
                <w:sz w:val="24"/>
                <w:szCs w:val="24"/>
                <w:highlight w:val="none"/>
                <w:lang w:val="en-US" w:bidi="ar-SA"/>
              </w:rPr>
              <w:t>0-</w:t>
            </w:r>
            <w:r>
              <w:rPr>
                <w:color w:val="auto"/>
                <w:kern w:val="2"/>
                <w:sz w:val="24"/>
                <w:szCs w:val="24"/>
                <w:highlight w:val="none"/>
                <w:lang w:val="en-US" w:bidi="ar-SA"/>
              </w:rPr>
              <w:t>5</w:t>
            </w:r>
            <w:r>
              <w:rPr>
                <w:rFonts w:hint="eastAsia"/>
                <w:color w:val="auto"/>
                <w:kern w:val="2"/>
                <w:sz w:val="24"/>
                <w:szCs w:val="24"/>
                <w:highlight w:val="none"/>
                <w:lang w:val="en-US" w:bidi="ar-SA"/>
              </w:rPr>
              <w:t>分</w:t>
            </w:r>
          </w:p>
        </w:tc>
      </w:tr>
      <w:tr w14:paraId="411D5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824" w:type="dxa"/>
            <w:vMerge w:val="continue"/>
            <w:tcBorders>
              <w:left w:val="single" w:color="auto" w:sz="4" w:space="0"/>
              <w:right w:val="single" w:color="auto" w:sz="4" w:space="0"/>
            </w:tcBorders>
            <w:vAlign w:val="center"/>
          </w:tcPr>
          <w:p w14:paraId="1079D225">
            <w:pPr>
              <w:pStyle w:val="71"/>
              <w:spacing w:before="41" w:line="360" w:lineRule="auto"/>
              <w:ind w:left="10" w:right="-29"/>
              <w:jc w:val="center"/>
              <w:rPr>
                <w:color w:val="auto"/>
                <w:kern w:val="2"/>
                <w:sz w:val="24"/>
                <w:szCs w:val="24"/>
                <w:highlight w:val="none"/>
                <w:lang w:val="en-US" w:bidi="ar-SA"/>
              </w:rPr>
            </w:pPr>
          </w:p>
        </w:tc>
        <w:tc>
          <w:tcPr>
            <w:tcW w:w="903" w:type="dxa"/>
            <w:tcBorders>
              <w:top w:val="single" w:color="auto" w:sz="4" w:space="0"/>
              <w:left w:val="single" w:color="auto" w:sz="4" w:space="0"/>
              <w:bottom w:val="single" w:color="auto" w:sz="4" w:space="0"/>
              <w:right w:val="single" w:color="auto" w:sz="4" w:space="0"/>
            </w:tcBorders>
            <w:vAlign w:val="center"/>
          </w:tcPr>
          <w:p w14:paraId="04C07942">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安全事件处置与应急响应方案</w:t>
            </w:r>
          </w:p>
        </w:tc>
        <w:tc>
          <w:tcPr>
            <w:tcW w:w="6030" w:type="dxa"/>
            <w:tcBorders>
              <w:top w:val="single" w:color="auto" w:sz="4" w:space="0"/>
              <w:left w:val="single" w:color="auto" w:sz="4" w:space="0"/>
              <w:bottom w:val="single" w:color="auto" w:sz="4" w:space="0"/>
              <w:right w:val="single" w:color="auto" w:sz="4" w:space="0"/>
            </w:tcBorders>
          </w:tcPr>
          <w:p w14:paraId="71DC0BED">
            <w:pPr>
              <w:pStyle w:val="71"/>
              <w:spacing w:before="3" w:line="360" w:lineRule="auto"/>
              <w:ind w:right="-15"/>
              <w:jc w:val="both"/>
              <w:rPr>
                <w:rFonts w:hint="eastAsia" w:eastAsia="宋体"/>
                <w:color w:val="auto"/>
                <w:kern w:val="2"/>
                <w:sz w:val="24"/>
                <w:szCs w:val="24"/>
                <w:highlight w:val="none"/>
                <w:lang w:val="en-US" w:eastAsia="zh-CN"/>
              </w:rPr>
            </w:pPr>
            <w:r>
              <w:rPr>
                <w:rFonts w:hint="eastAsia"/>
                <w:color w:val="auto"/>
                <w:kern w:val="2"/>
                <w:sz w:val="24"/>
                <w:szCs w:val="24"/>
                <w:highlight w:val="none"/>
              </w:rPr>
              <w:t>供应商提供安全事件处置与应急响应方案。</w:t>
            </w:r>
            <w:r>
              <w:rPr>
                <w:rFonts w:hint="eastAsia"/>
                <w:color w:val="auto"/>
                <w:kern w:val="2"/>
                <w:sz w:val="24"/>
                <w:szCs w:val="24"/>
                <w:highlight w:val="none"/>
                <w:lang w:val="en-US" w:eastAsia="zh-CN"/>
              </w:rPr>
              <w:t>快速、高效响应并处置安全时间，从</w:t>
            </w:r>
            <w:r>
              <w:rPr>
                <w:rFonts w:hint="eastAsia"/>
                <w:color w:val="auto"/>
                <w:kern w:val="2"/>
                <w:sz w:val="24"/>
                <w:szCs w:val="24"/>
                <w:highlight w:val="none"/>
              </w:rPr>
              <w:t>安全事件处置与应急响应</w:t>
            </w:r>
            <w:r>
              <w:rPr>
                <w:rFonts w:hint="eastAsia"/>
                <w:color w:val="auto"/>
                <w:kern w:val="2"/>
                <w:sz w:val="24"/>
                <w:szCs w:val="24"/>
                <w:highlight w:val="none"/>
                <w:lang w:val="en-US" w:eastAsia="zh-CN"/>
              </w:rPr>
              <w:t>的分级定义、对应具体措施、响应时限、人员组成、响应形式等方面，</w:t>
            </w:r>
            <w:r>
              <w:rPr>
                <w:rFonts w:hint="eastAsia" w:ascii="宋体" w:hAnsi="宋体" w:eastAsia="宋体" w:cs="宋体"/>
                <w:color w:val="auto"/>
                <w:sz w:val="24"/>
                <w:szCs w:val="24"/>
                <w:highlight w:val="none"/>
              </w:rPr>
              <w:t>评审小组酌情评审</w:t>
            </w:r>
            <w:r>
              <w:rPr>
                <w:rFonts w:hint="eastAsia"/>
                <w:color w:val="auto"/>
                <w:kern w:val="2"/>
                <w:sz w:val="24"/>
                <w:szCs w:val="24"/>
                <w:highlight w:val="none"/>
              </w:rPr>
              <w:t>。</w:t>
            </w:r>
          </w:p>
          <w:p w14:paraId="3E39A14E">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1.对本项目特点和难点理解准确，安全事件处置与应急响应方案优于本项目采购需求，完整详细，可行性、实用性、针对性强，得5分</w:t>
            </w:r>
          </w:p>
          <w:p w14:paraId="43EE006E">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2.对本项目特点和难点理解基本准确，安全事件处置与应急响应方案适合本项目采购需求，完整详细，具有可行性、实用性和针对性，得3分</w:t>
            </w:r>
          </w:p>
          <w:p w14:paraId="1C9366A9">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3.对本项目特点和难点理解有待提升，安全事件处置与应急响应方案适合本项目采购需求，可行性、实用性、针对性有待改善，得1分</w:t>
            </w:r>
          </w:p>
          <w:p w14:paraId="67F14089">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4.较差或未提供不得分。</w:t>
            </w:r>
          </w:p>
        </w:tc>
        <w:tc>
          <w:tcPr>
            <w:tcW w:w="1058" w:type="dxa"/>
            <w:tcBorders>
              <w:top w:val="single" w:color="auto" w:sz="4" w:space="0"/>
              <w:left w:val="single" w:color="auto" w:sz="4" w:space="0"/>
              <w:bottom w:val="single" w:color="auto" w:sz="4" w:space="0"/>
              <w:right w:val="single" w:color="auto" w:sz="4" w:space="0"/>
            </w:tcBorders>
            <w:vAlign w:val="center"/>
          </w:tcPr>
          <w:p w14:paraId="04D91049">
            <w:pPr>
              <w:pStyle w:val="71"/>
              <w:spacing w:before="41" w:line="360" w:lineRule="auto"/>
              <w:ind w:left="10" w:right="-29"/>
              <w:jc w:val="center"/>
              <w:rPr>
                <w:color w:val="auto"/>
                <w:kern w:val="2"/>
                <w:sz w:val="24"/>
                <w:szCs w:val="24"/>
                <w:highlight w:val="none"/>
                <w:lang w:val="en-US" w:bidi="ar-SA"/>
              </w:rPr>
            </w:pPr>
            <w:r>
              <w:rPr>
                <w:rFonts w:hint="eastAsia"/>
                <w:color w:val="auto"/>
                <w:kern w:val="2"/>
                <w:sz w:val="24"/>
                <w:szCs w:val="24"/>
                <w:highlight w:val="none"/>
                <w:lang w:val="en-US" w:bidi="ar-SA"/>
              </w:rPr>
              <w:t>0-</w:t>
            </w:r>
            <w:r>
              <w:rPr>
                <w:color w:val="auto"/>
                <w:kern w:val="2"/>
                <w:sz w:val="24"/>
                <w:szCs w:val="24"/>
                <w:highlight w:val="none"/>
                <w:lang w:val="en-US" w:bidi="ar-SA"/>
              </w:rPr>
              <w:t>5</w:t>
            </w:r>
            <w:r>
              <w:rPr>
                <w:rFonts w:hint="eastAsia"/>
                <w:color w:val="auto"/>
                <w:kern w:val="2"/>
                <w:sz w:val="24"/>
                <w:szCs w:val="24"/>
                <w:highlight w:val="none"/>
                <w:lang w:val="en-US" w:bidi="ar-SA"/>
              </w:rPr>
              <w:t>分</w:t>
            </w:r>
          </w:p>
        </w:tc>
      </w:tr>
      <w:tr w14:paraId="12A88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824" w:type="dxa"/>
            <w:vMerge w:val="continue"/>
            <w:tcBorders>
              <w:left w:val="single" w:color="auto" w:sz="4" w:space="0"/>
              <w:right w:val="single" w:color="auto" w:sz="4" w:space="0"/>
            </w:tcBorders>
            <w:vAlign w:val="center"/>
          </w:tcPr>
          <w:p w14:paraId="18A85168">
            <w:pPr>
              <w:pStyle w:val="71"/>
              <w:spacing w:before="41" w:line="360" w:lineRule="auto"/>
              <w:ind w:left="10" w:right="-29"/>
              <w:jc w:val="center"/>
              <w:rPr>
                <w:color w:val="auto"/>
                <w:kern w:val="2"/>
                <w:sz w:val="24"/>
                <w:szCs w:val="24"/>
                <w:highlight w:val="none"/>
                <w:lang w:val="en-US" w:bidi="ar-SA"/>
              </w:rPr>
            </w:pPr>
          </w:p>
        </w:tc>
        <w:tc>
          <w:tcPr>
            <w:tcW w:w="903" w:type="dxa"/>
            <w:tcBorders>
              <w:top w:val="single" w:color="auto" w:sz="4" w:space="0"/>
              <w:left w:val="single" w:color="auto" w:sz="4" w:space="0"/>
              <w:bottom w:val="single" w:color="auto" w:sz="4" w:space="0"/>
              <w:right w:val="single" w:color="auto" w:sz="4" w:space="0"/>
            </w:tcBorders>
            <w:vAlign w:val="center"/>
          </w:tcPr>
          <w:p w14:paraId="09E7CE55">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人员实力</w:t>
            </w:r>
          </w:p>
        </w:tc>
        <w:tc>
          <w:tcPr>
            <w:tcW w:w="6030" w:type="dxa"/>
            <w:tcBorders>
              <w:top w:val="single" w:color="auto" w:sz="4" w:space="0"/>
              <w:left w:val="single" w:color="auto" w:sz="4" w:space="0"/>
              <w:bottom w:val="single" w:color="auto" w:sz="4" w:space="0"/>
              <w:right w:val="single" w:color="auto" w:sz="4" w:space="0"/>
            </w:tcBorders>
          </w:tcPr>
          <w:p w14:paraId="1B543822">
            <w:pPr>
              <w:spacing w:line="360" w:lineRule="auto"/>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供应商拟为本项目配备下列人员：</w:t>
            </w:r>
          </w:p>
          <w:p w14:paraId="53AA9EB1">
            <w:pPr>
              <w:spacing w:line="360" w:lineRule="auto"/>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1、项目经理（1人），具有信息系统项目管理师得3分，</w:t>
            </w:r>
          </w:p>
          <w:p w14:paraId="78F178D7">
            <w:pPr>
              <w:spacing w:line="360" w:lineRule="auto"/>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2、测评人员（除项目经理外）：</w:t>
            </w:r>
          </w:p>
          <w:p w14:paraId="5F0C7DB8">
            <w:pPr>
              <w:spacing w:line="360" w:lineRule="auto"/>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供应商为本项目配备的测评人员具备下列证书的，每项得2分，满分8分。</w:t>
            </w:r>
          </w:p>
          <w:p w14:paraId="503E5B9E">
            <w:pPr>
              <w:spacing w:line="360" w:lineRule="auto"/>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1）网络规划设计师；</w:t>
            </w:r>
          </w:p>
          <w:p w14:paraId="21846AEF">
            <w:pPr>
              <w:spacing w:line="360" w:lineRule="auto"/>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2）信息安全工程师；</w:t>
            </w:r>
          </w:p>
          <w:p w14:paraId="719F511E">
            <w:pPr>
              <w:spacing w:line="360" w:lineRule="auto"/>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3）CISP；</w:t>
            </w:r>
          </w:p>
          <w:p w14:paraId="6563A46C">
            <w:pPr>
              <w:spacing w:line="360" w:lineRule="auto"/>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4）数据安全管理与网络安全渗透测试技术（高级）。</w:t>
            </w:r>
          </w:p>
          <w:p w14:paraId="5D635265">
            <w:pPr>
              <w:spacing w:line="360" w:lineRule="auto"/>
              <w:jc w:val="lef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注：同一人员具有多个证书的不累计计分，响应文件中同时提供：</w:t>
            </w:r>
          </w:p>
          <w:p w14:paraId="2B8DAD7C">
            <w:pPr>
              <w:spacing w:line="360" w:lineRule="auto"/>
              <w:jc w:val="lef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1）证书扫描件； </w:t>
            </w:r>
          </w:p>
          <w:p w14:paraId="6E84D69F">
            <w:pPr>
              <w:spacing w:line="360" w:lineRule="auto"/>
              <w:jc w:val="lef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2）人员名单（格式自拟）； </w:t>
            </w:r>
          </w:p>
          <w:p w14:paraId="4D54551B">
            <w:pPr>
              <w:spacing w:line="360" w:lineRule="auto"/>
              <w:jc w:val="left"/>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3）供应商为人员缴纳的近三个月内（任意一个月）的社保证明材料，提供任意五险之一的社保缴纳证明即可</w:t>
            </w:r>
            <w:r>
              <w:rPr>
                <w:rFonts w:hint="eastAsia" w:ascii="宋体" w:hAnsi="宋体" w:eastAsia="宋体" w:cs="宋体"/>
                <w:color w:val="auto"/>
                <w:sz w:val="24"/>
                <w:szCs w:val="24"/>
                <w:highlight w:val="none"/>
              </w:rPr>
              <w:t>。</w:t>
            </w:r>
          </w:p>
        </w:tc>
        <w:tc>
          <w:tcPr>
            <w:tcW w:w="1058" w:type="dxa"/>
            <w:tcBorders>
              <w:top w:val="single" w:color="auto" w:sz="4" w:space="0"/>
              <w:left w:val="single" w:color="auto" w:sz="4" w:space="0"/>
              <w:bottom w:val="single" w:color="auto" w:sz="4" w:space="0"/>
              <w:right w:val="single" w:color="auto" w:sz="4" w:space="0"/>
            </w:tcBorders>
            <w:vAlign w:val="center"/>
          </w:tcPr>
          <w:p w14:paraId="6A0FD055">
            <w:pPr>
              <w:pStyle w:val="71"/>
              <w:spacing w:before="41" w:line="360" w:lineRule="auto"/>
              <w:ind w:left="10" w:right="-29"/>
              <w:jc w:val="center"/>
              <w:rPr>
                <w:color w:val="auto"/>
                <w:kern w:val="2"/>
                <w:sz w:val="24"/>
                <w:szCs w:val="24"/>
                <w:highlight w:val="none"/>
                <w:lang w:val="en-US" w:bidi="ar-SA"/>
              </w:rPr>
            </w:pPr>
            <w:r>
              <w:rPr>
                <w:rFonts w:hint="eastAsia"/>
                <w:color w:val="auto"/>
                <w:kern w:val="2"/>
                <w:sz w:val="24"/>
                <w:szCs w:val="24"/>
                <w:highlight w:val="none"/>
                <w:lang w:val="en-US" w:bidi="ar-SA"/>
              </w:rPr>
              <w:t>0-11分</w:t>
            </w:r>
          </w:p>
        </w:tc>
      </w:tr>
      <w:tr w14:paraId="607A0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824" w:type="dxa"/>
            <w:vMerge w:val="continue"/>
            <w:tcBorders>
              <w:left w:val="single" w:color="auto" w:sz="4" w:space="0"/>
              <w:right w:val="single" w:color="auto" w:sz="4" w:space="0"/>
            </w:tcBorders>
            <w:vAlign w:val="center"/>
          </w:tcPr>
          <w:p w14:paraId="1CE43385">
            <w:pPr>
              <w:pStyle w:val="71"/>
              <w:spacing w:before="41" w:line="360" w:lineRule="auto"/>
              <w:ind w:left="10" w:right="-29"/>
              <w:jc w:val="center"/>
              <w:rPr>
                <w:color w:val="auto"/>
                <w:kern w:val="2"/>
                <w:sz w:val="24"/>
                <w:szCs w:val="24"/>
                <w:highlight w:val="none"/>
                <w:lang w:val="en-US" w:bidi="ar-SA"/>
              </w:rPr>
            </w:pPr>
          </w:p>
        </w:tc>
        <w:tc>
          <w:tcPr>
            <w:tcW w:w="903" w:type="dxa"/>
            <w:tcBorders>
              <w:top w:val="single" w:color="auto" w:sz="4" w:space="0"/>
              <w:left w:val="single" w:color="auto" w:sz="4" w:space="0"/>
              <w:bottom w:val="single" w:color="auto" w:sz="4" w:space="0"/>
              <w:right w:val="single" w:color="auto" w:sz="4" w:space="0"/>
            </w:tcBorders>
            <w:shd w:val="clear" w:color="auto" w:fill="auto"/>
            <w:vAlign w:val="center"/>
          </w:tcPr>
          <w:p w14:paraId="541CC646">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供应商资质</w:t>
            </w:r>
          </w:p>
        </w:tc>
        <w:tc>
          <w:tcPr>
            <w:tcW w:w="6030" w:type="dxa"/>
            <w:tcBorders>
              <w:top w:val="single" w:color="auto" w:sz="4" w:space="0"/>
              <w:left w:val="single" w:color="auto" w:sz="4" w:space="0"/>
              <w:bottom w:val="single" w:color="auto" w:sz="4" w:space="0"/>
              <w:right w:val="single" w:color="auto" w:sz="4" w:space="0"/>
            </w:tcBorders>
            <w:shd w:val="clear" w:color="auto" w:fill="auto"/>
          </w:tcPr>
          <w:p w14:paraId="09678A29">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1、供应商具有信息技术服务管理体系认证证书、信息安全管理体系认证证书、业务连续性管理体系认证证书，每提供1个得2分，满分6分；</w:t>
            </w:r>
          </w:p>
          <w:p w14:paraId="7E2D871B">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3、供应商具有以下信息安全服务资质证书的，每提供1个得2分，满分</w:t>
            </w:r>
            <w:r>
              <w:rPr>
                <w:rFonts w:ascii="宋体" w:hAnsi="宋体" w:eastAsia="宋体" w:cs="宋体"/>
                <w:color w:val="auto"/>
                <w:sz w:val="24"/>
                <w:szCs w:val="24"/>
                <w:highlight w:val="none"/>
              </w:rPr>
              <w:t>4</w:t>
            </w:r>
            <w:r>
              <w:rPr>
                <w:rFonts w:hint="eastAsia" w:ascii="宋体" w:hAnsi="宋体" w:eastAsia="宋体" w:cs="宋体"/>
                <w:color w:val="auto"/>
                <w:sz w:val="24"/>
                <w:szCs w:val="24"/>
                <w:highlight w:val="none"/>
              </w:rPr>
              <w:t>分：</w:t>
            </w:r>
          </w:p>
          <w:p w14:paraId="7414CEA1">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（1）风险评估一级；</w:t>
            </w:r>
          </w:p>
          <w:p w14:paraId="71C7B366">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（2）安全运维二级及以上；</w:t>
            </w:r>
          </w:p>
          <w:p w14:paraId="3748C678">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（3）安全集成二级及以上。</w:t>
            </w:r>
          </w:p>
          <w:p w14:paraId="1C647BBB">
            <w:pPr>
              <w:spacing w:line="360" w:lineRule="auto"/>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注：响应文件中提供证书扫描件。</w:t>
            </w:r>
          </w:p>
        </w:tc>
        <w:tc>
          <w:tcPr>
            <w:tcW w:w="1058" w:type="dxa"/>
            <w:tcBorders>
              <w:top w:val="single" w:color="auto" w:sz="4" w:space="0"/>
              <w:left w:val="single" w:color="auto" w:sz="4" w:space="0"/>
              <w:bottom w:val="single" w:color="auto" w:sz="4" w:space="0"/>
              <w:right w:val="single" w:color="auto" w:sz="4" w:space="0"/>
            </w:tcBorders>
            <w:shd w:val="clear" w:color="auto" w:fill="auto"/>
            <w:vAlign w:val="center"/>
          </w:tcPr>
          <w:p w14:paraId="0CC6ED37">
            <w:pPr>
              <w:pStyle w:val="71"/>
              <w:spacing w:before="41" w:line="360" w:lineRule="auto"/>
              <w:ind w:left="10" w:right="-29"/>
              <w:jc w:val="center"/>
              <w:rPr>
                <w:color w:val="auto"/>
                <w:kern w:val="2"/>
                <w:sz w:val="24"/>
                <w:szCs w:val="24"/>
                <w:highlight w:val="none"/>
                <w:lang w:val="en-US" w:bidi="ar-SA"/>
              </w:rPr>
            </w:pPr>
            <w:r>
              <w:rPr>
                <w:rFonts w:hint="eastAsia"/>
                <w:color w:val="auto"/>
                <w:kern w:val="2"/>
                <w:sz w:val="24"/>
                <w:szCs w:val="24"/>
                <w:highlight w:val="none"/>
                <w:lang w:val="en-US" w:bidi="ar-SA"/>
              </w:rPr>
              <w:t>0-1</w:t>
            </w:r>
            <w:r>
              <w:rPr>
                <w:color w:val="auto"/>
                <w:kern w:val="2"/>
                <w:sz w:val="24"/>
                <w:szCs w:val="24"/>
                <w:highlight w:val="none"/>
                <w:lang w:val="en-US" w:bidi="ar-SA"/>
              </w:rPr>
              <w:t>0</w:t>
            </w:r>
            <w:r>
              <w:rPr>
                <w:rFonts w:hint="eastAsia"/>
                <w:color w:val="auto"/>
                <w:kern w:val="2"/>
                <w:sz w:val="24"/>
                <w:szCs w:val="24"/>
                <w:highlight w:val="none"/>
                <w:lang w:val="en-US" w:bidi="ar-SA"/>
              </w:rPr>
              <w:t>分</w:t>
            </w:r>
          </w:p>
        </w:tc>
      </w:tr>
      <w:tr w14:paraId="77824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24" w:type="dxa"/>
            <w:vMerge w:val="continue"/>
            <w:tcBorders>
              <w:left w:val="single" w:color="auto" w:sz="4" w:space="0"/>
              <w:right w:val="single" w:color="auto" w:sz="4" w:space="0"/>
            </w:tcBorders>
            <w:vAlign w:val="center"/>
          </w:tcPr>
          <w:p w14:paraId="4F1C815F">
            <w:pPr>
              <w:pStyle w:val="71"/>
              <w:spacing w:before="41" w:line="360" w:lineRule="auto"/>
              <w:ind w:left="10" w:right="-29"/>
              <w:jc w:val="center"/>
              <w:rPr>
                <w:color w:val="auto"/>
                <w:kern w:val="2"/>
                <w:sz w:val="24"/>
                <w:szCs w:val="24"/>
                <w:highlight w:val="none"/>
                <w:lang w:val="en-US" w:bidi="ar-SA"/>
              </w:rPr>
            </w:pPr>
          </w:p>
        </w:tc>
        <w:tc>
          <w:tcPr>
            <w:tcW w:w="903" w:type="dxa"/>
            <w:tcBorders>
              <w:top w:val="single" w:color="auto" w:sz="4" w:space="0"/>
              <w:left w:val="single" w:color="auto" w:sz="4" w:space="0"/>
              <w:bottom w:val="single" w:color="auto" w:sz="4" w:space="0"/>
              <w:right w:val="single" w:color="auto" w:sz="4" w:space="0"/>
            </w:tcBorders>
            <w:vAlign w:val="center"/>
          </w:tcPr>
          <w:p w14:paraId="7F02A75E">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业绩</w:t>
            </w:r>
          </w:p>
        </w:tc>
        <w:tc>
          <w:tcPr>
            <w:tcW w:w="6030" w:type="dxa"/>
            <w:tcBorders>
              <w:top w:val="single" w:color="auto" w:sz="4" w:space="0"/>
              <w:left w:val="single" w:color="auto" w:sz="4" w:space="0"/>
              <w:bottom w:val="single" w:color="auto" w:sz="4" w:space="0"/>
              <w:right w:val="single" w:color="auto" w:sz="4" w:space="0"/>
            </w:tcBorders>
            <w:vAlign w:val="center"/>
          </w:tcPr>
          <w:p w14:paraId="05D068AD">
            <w:pPr>
              <w:spacing w:line="360" w:lineRule="auto"/>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自 2020 年 1月 1日以来，</w:t>
            </w:r>
            <w:r>
              <w:rPr>
                <w:rFonts w:hint="eastAsia" w:ascii="宋体" w:hAnsi="宋体" w:eastAsia="宋体" w:cs="宋体"/>
                <w:color w:val="auto"/>
                <w:sz w:val="24"/>
                <w:szCs w:val="24"/>
                <w:highlight w:val="none"/>
              </w:rPr>
              <w:t>供应商具备同类业务（等保测评或等保服务）服务业绩的，每提供一个得3分，满分9分。</w:t>
            </w:r>
          </w:p>
          <w:p w14:paraId="13365185">
            <w:pPr>
              <w:widowControl/>
              <w:spacing w:line="360" w:lineRule="auto"/>
              <w:jc w:val="left"/>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注：响应文件中提供业绩合同扫描件，如合同中无法体现项目签订时间，项目内容等关键评审因素的，须另附业主证明扫描件(不区分履约中业绩和履约完成业绩)。</w:t>
            </w:r>
          </w:p>
        </w:tc>
        <w:tc>
          <w:tcPr>
            <w:tcW w:w="1058" w:type="dxa"/>
            <w:tcBorders>
              <w:top w:val="single" w:color="auto" w:sz="4" w:space="0"/>
              <w:left w:val="single" w:color="auto" w:sz="4" w:space="0"/>
              <w:bottom w:val="single" w:color="auto" w:sz="4" w:space="0"/>
              <w:right w:val="single" w:color="auto" w:sz="4" w:space="0"/>
            </w:tcBorders>
            <w:vAlign w:val="center"/>
          </w:tcPr>
          <w:p w14:paraId="1EC75424">
            <w:pPr>
              <w:pStyle w:val="71"/>
              <w:spacing w:before="41" w:line="360" w:lineRule="auto"/>
              <w:ind w:left="10" w:right="-29"/>
              <w:jc w:val="center"/>
              <w:rPr>
                <w:color w:val="auto"/>
                <w:kern w:val="2"/>
                <w:sz w:val="24"/>
                <w:szCs w:val="24"/>
                <w:highlight w:val="none"/>
                <w:lang w:val="en-US" w:bidi="ar-SA"/>
              </w:rPr>
            </w:pPr>
            <w:r>
              <w:rPr>
                <w:rFonts w:hint="eastAsia"/>
                <w:color w:val="auto"/>
                <w:kern w:val="2"/>
                <w:sz w:val="24"/>
                <w:szCs w:val="24"/>
                <w:highlight w:val="none"/>
                <w:lang w:val="en-US" w:bidi="ar-SA"/>
              </w:rPr>
              <w:t>0-9分</w:t>
            </w:r>
          </w:p>
        </w:tc>
      </w:tr>
      <w:tr w14:paraId="28289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727" w:type="dxa"/>
            <w:gridSpan w:val="2"/>
            <w:tcBorders>
              <w:left w:val="single" w:color="auto" w:sz="4" w:space="0"/>
              <w:right w:val="single" w:color="auto" w:sz="4" w:space="0"/>
            </w:tcBorders>
            <w:vAlign w:val="center"/>
          </w:tcPr>
          <w:p w14:paraId="7DFAC84D">
            <w:pPr>
              <w:pStyle w:val="71"/>
              <w:spacing w:before="41" w:line="360" w:lineRule="auto"/>
              <w:ind w:left="10" w:right="-29"/>
              <w:jc w:val="center"/>
              <w:rPr>
                <w:color w:val="auto"/>
                <w:kern w:val="2"/>
                <w:sz w:val="24"/>
                <w:szCs w:val="24"/>
                <w:highlight w:val="none"/>
                <w:lang w:val="en-US" w:bidi="ar-SA"/>
              </w:rPr>
            </w:pPr>
            <w:r>
              <w:rPr>
                <w:rFonts w:hint="eastAsia"/>
                <w:color w:val="auto"/>
                <w:kern w:val="2"/>
                <w:sz w:val="24"/>
                <w:szCs w:val="24"/>
                <w:highlight w:val="none"/>
                <w:lang w:val="en-US" w:bidi="ar-SA"/>
              </w:rPr>
              <w:t>报价部分</w:t>
            </w:r>
          </w:p>
          <w:p w14:paraId="552E54C3">
            <w:pPr>
              <w:pStyle w:val="71"/>
              <w:spacing w:before="41" w:line="360" w:lineRule="auto"/>
              <w:ind w:left="10" w:right="-29"/>
              <w:jc w:val="center"/>
              <w:rPr>
                <w:color w:val="auto"/>
                <w:kern w:val="2"/>
                <w:sz w:val="24"/>
                <w:szCs w:val="24"/>
                <w:highlight w:val="none"/>
                <w:lang w:val="en-US" w:bidi="ar-SA"/>
              </w:rPr>
            </w:pPr>
            <w:r>
              <w:rPr>
                <w:rFonts w:hint="eastAsia"/>
                <w:color w:val="auto"/>
                <w:kern w:val="2"/>
                <w:sz w:val="24"/>
                <w:szCs w:val="24"/>
                <w:highlight w:val="none"/>
                <w:lang w:val="en-US" w:bidi="ar-SA"/>
              </w:rPr>
              <w:t>10分</w:t>
            </w:r>
          </w:p>
        </w:tc>
        <w:tc>
          <w:tcPr>
            <w:tcW w:w="7088" w:type="dxa"/>
            <w:gridSpan w:val="2"/>
            <w:tcBorders>
              <w:top w:val="single" w:color="auto" w:sz="4" w:space="0"/>
              <w:left w:val="single" w:color="auto" w:sz="4" w:space="0"/>
              <w:bottom w:val="single" w:color="auto" w:sz="4" w:space="0"/>
              <w:right w:val="single" w:color="auto" w:sz="4" w:space="0"/>
            </w:tcBorders>
            <w:vAlign w:val="center"/>
          </w:tcPr>
          <w:p w14:paraId="336B3A6D">
            <w:pPr>
              <w:pStyle w:val="71"/>
              <w:spacing w:before="41" w:line="360" w:lineRule="auto"/>
              <w:ind w:left="10" w:right="-29"/>
              <w:rPr>
                <w:color w:val="auto"/>
                <w:kern w:val="2"/>
                <w:sz w:val="24"/>
                <w:szCs w:val="24"/>
                <w:highlight w:val="none"/>
                <w:lang w:val="en-US" w:bidi="ar-SA"/>
              </w:rPr>
            </w:pPr>
            <w:r>
              <w:rPr>
                <w:rFonts w:hint="eastAsia"/>
                <w:color w:val="auto"/>
                <w:kern w:val="2"/>
                <w:sz w:val="24"/>
                <w:szCs w:val="24"/>
                <w:highlight w:val="none"/>
                <w:lang w:val="en-US" w:bidi="ar-SA"/>
              </w:rPr>
              <w:t>价格分采用低价优先法计算，即满足采购文件要求且投标价格最低的响应报价为评审基准价，其价格分为满分。其他供应商的价格分统一按照下列公式计算：</w:t>
            </w:r>
          </w:p>
          <w:p w14:paraId="0D5CCB60">
            <w:pPr>
              <w:pStyle w:val="71"/>
              <w:spacing w:before="41" w:line="360" w:lineRule="auto"/>
              <w:ind w:left="10" w:right="-29"/>
              <w:rPr>
                <w:color w:val="auto"/>
                <w:kern w:val="2"/>
                <w:sz w:val="24"/>
                <w:szCs w:val="24"/>
                <w:highlight w:val="none"/>
                <w:lang w:val="en-US" w:bidi="ar-SA"/>
              </w:rPr>
            </w:pPr>
            <w:r>
              <w:rPr>
                <w:rFonts w:hint="eastAsia"/>
                <w:color w:val="auto"/>
                <w:kern w:val="2"/>
                <w:sz w:val="24"/>
                <w:szCs w:val="24"/>
                <w:highlight w:val="none"/>
                <w:lang w:val="en-US" w:bidi="ar-SA"/>
              </w:rPr>
              <w:t>报价得分=（评审基准价／响应报价）×10；</w:t>
            </w:r>
          </w:p>
          <w:p w14:paraId="43A17990">
            <w:pPr>
              <w:pStyle w:val="71"/>
              <w:spacing w:before="41" w:line="360" w:lineRule="auto"/>
              <w:ind w:left="10" w:right="-29"/>
              <w:rPr>
                <w:color w:val="auto"/>
                <w:kern w:val="2"/>
                <w:sz w:val="24"/>
                <w:szCs w:val="24"/>
                <w:highlight w:val="none"/>
                <w:lang w:val="en-US" w:bidi="ar-SA"/>
              </w:rPr>
            </w:pPr>
            <w:r>
              <w:rPr>
                <w:rFonts w:hint="eastAsia"/>
                <w:color w:val="auto"/>
                <w:kern w:val="2"/>
                <w:sz w:val="24"/>
                <w:szCs w:val="24"/>
                <w:highlight w:val="none"/>
                <w:lang w:val="en-US" w:bidi="ar-SA"/>
              </w:rPr>
              <w:t>因落实政府采购政策需进行价格扣除的，以扣除后的价格计算评标基准价和响应报价。</w:t>
            </w:r>
          </w:p>
        </w:tc>
      </w:tr>
    </w:tbl>
    <w:p w14:paraId="35D72A50">
      <w:pPr>
        <w:spacing w:line="360" w:lineRule="auto"/>
        <w:ind w:firstLine="435"/>
        <w:rPr>
          <w:rFonts w:asciiTheme="minorEastAsia" w:hAnsiTheme="minorEastAsia" w:eastAsiaTheme="minorEastAsia"/>
          <w:sz w:val="24"/>
          <w:highlight w:val="none"/>
        </w:rPr>
      </w:pPr>
    </w:p>
    <w:p w14:paraId="15F22735">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.3</w:t>
      </w:r>
      <w:r>
        <w:rPr>
          <w:rFonts w:hint="eastAsia" w:asciiTheme="minorEastAsia" w:hAnsiTheme="minorEastAsia" w:eastAsiaTheme="minorEastAsia"/>
          <w:sz w:val="24"/>
          <w:highlight w:val="none"/>
        </w:rPr>
        <w:t>分值汇总</w:t>
      </w:r>
    </w:p>
    <w:p w14:paraId="65D517F1">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1）磋商小组各成员应当独立对每个有效响应的文件进行评价、打分，然后汇总每个供应商每项评分因素的得分，再取各位评委评分之平均值，四舍五入保留至小数点后两位数，得到该供应商的技术资信分。</w:t>
      </w:r>
    </w:p>
    <w:p w14:paraId="6058BD1E">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2）将每个供应商的技术资信分加上根据上述标准计算出的价格分，即为该供应商的综合总得分。</w:t>
      </w:r>
    </w:p>
    <w:p w14:paraId="63FE83B2">
      <w:pPr>
        <w:widowControl/>
        <w:jc w:val="left"/>
        <w:rPr>
          <w:rFonts w:asciiTheme="minorEastAsia" w:hAnsiTheme="minorEastAsia" w:eastAsiaTheme="minorEastAsia"/>
          <w:sz w:val="24"/>
          <w:highlight w:val="none"/>
        </w:rPr>
      </w:pPr>
      <w:r>
        <w:rPr>
          <w:rFonts w:asciiTheme="minorEastAsia" w:hAnsiTheme="minorEastAsia" w:eastAsiaTheme="minorEastAsia"/>
          <w:sz w:val="24"/>
          <w:highlight w:val="none"/>
        </w:rPr>
        <w:br w:type="page"/>
      </w:r>
    </w:p>
    <w:p w14:paraId="45742480">
      <w:pPr>
        <w:spacing w:line="360" w:lineRule="auto"/>
        <w:jc w:val="center"/>
        <w:outlineLvl w:val="0"/>
        <w:rPr>
          <w:rFonts w:asciiTheme="minorEastAsia" w:hAnsiTheme="minorEastAsia" w:eastAsiaTheme="minorEastAsia"/>
          <w:b/>
          <w:sz w:val="28"/>
          <w:highlight w:val="none"/>
        </w:rPr>
      </w:pPr>
      <w:bookmarkStart w:id="104" w:name="_Toc19183"/>
      <w:bookmarkStart w:id="105" w:name="_Toc63440921"/>
      <w:r>
        <w:rPr>
          <w:rFonts w:hint="eastAsia" w:asciiTheme="minorEastAsia" w:hAnsiTheme="minorEastAsia" w:eastAsiaTheme="minorEastAsia"/>
          <w:b/>
          <w:sz w:val="28"/>
          <w:highlight w:val="none"/>
        </w:rPr>
        <w:t>第五章  政府采购合同</w:t>
      </w:r>
      <w:bookmarkEnd w:id="104"/>
      <w:bookmarkEnd w:id="105"/>
    </w:p>
    <w:p w14:paraId="0A7AC100">
      <w:pPr>
        <w:spacing w:line="480" w:lineRule="auto"/>
        <w:jc w:val="center"/>
        <w:rPr>
          <w:rFonts w:ascii="宋体" w:hAnsi="宋体" w:eastAsia="宋体"/>
          <w:b/>
          <w:sz w:val="24"/>
          <w:highlight w:val="none"/>
        </w:rPr>
      </w:pPr>
    </w:p>
    <w:p w14:paraId="3FBB61F2">
      <w:pPr>
        <w:spacing w:line="480" w:lineRule="auto"/>
        <w:jc w:val="center"/>
        <w:rPr>
          <w:rFonts w:ascii="宋体" w:hAnsi="宋体" w:eastAsia="宋体"/>
          <w:b/>
          <w:sz w:val="24"/>
          <w:highlight w:val="none"/>
        </w:rPr>
      </w:pPr>
    </w:p>
    <w:p w14:paraId="2B8E3D30">
      <w:pPr>
        <w:spacing w:line="480" w:lineRule="auto"/>
        <w:jc w:val="center"/>
        <w:rPr>
          <w:rFonts w:ascii="宋体" w:hAnsi="宋体" w:eastAsia="宋体"/>
          <w:b/>
          <w:sz w:val="24"/>
          <w:highlight w:val="none"/>
        </w:rPr>
      </w:pPr>
    </w:p>
    <w:p w14:paraId="18DEE285">
      <w:pPr>
        <w:spacing w:line="480" w:lineRule="auto"/>
        <w:jc w:val="center"/>
        <w:outlineLvl w:val="1"/>
        <w:rPr>
          <w:rFonts w:ascii="宋体" w:hAnsi="宋体" w:eastAsia="宋体"/>
          <w:b/>
          <w:sz w:val="32"/>
          <w:szCs w:val="32"/>
          <w:highlight w:val="none"/>
        </w:rPr>
      </w:pPr>
      <w:bookmarkStart w:id="106" w:name="_Toc32700"/>
      <w:r>
        <w:rPr>
          <w:rFonts w:ascii="宋体" w:hAnsi="宋体" w:eastAsia="宋体"/>
          <w:b/>
          <w:sz w:val="32"/>
          <w:szCs w:val="32"/>
          <w:highlight w:val="none"/>
        </w:rPr>
        <w:t>政府采购合同</w:t>
      </w:r>
      <w:r>
        <w:rPr>
          <w:rFonts w:hint="eastAsia" w:ascii="宋体" w:hAnsi="宋体" w:eastAsia="宋体"/>
          <w:b/>
          <w:sz w:val="32"/>
          <w:szCs w:val="32"/>
          <w:highlight w:val="none"/>
        </w:rPr>
        <w:t>参考范本</w:t>
      </w:r>
      <w:bookmarkEnd w:id="106"/>
    </w:p>
    <w:p w14:paraId="3B06E32B">
      <w:pPr>
        <w:spacing w:line="480" w:lineRule="auto"/>
        <w:jc w:val="center"/>
        <w:outlineLvl w:val="1"/>
        <w:rPr>
          <w:rFonts w:ascii="宋体" w:hAnsi="宋体" w:eastAsia="宋体"/>
          <w:b/>
          <w:sz w:val="32"/>
          <w:szCs w:val="32"/>
          <w:highlight w:val="none"/>
        </w:rPr>
      </w:pPr>
      <w:bookmarkStart w:id="107" w:name="_Toc23719"/>
      <w:r>
        <w:rPr>
          <w:rFonts w:hint="eastAsia" w:ascii="宋体" w:hAnsi="宋体" w:eastAsia="宋体"/>
          <w:b/>
          <w:sz w:val="32"/>
          <w:szCs w:val="32"/>
          <w:highlight w:val="none"/>
        </w:rPr>
        <w:t>（服务类）</w:t>
      </w:r>
      <w:bookmarkEnd w:id="107"/>
    </w:p>
    <w:p w14:paraId="38602353">
      <w:pPr>
        <w:spacing w:line="480" w:lineRule="auto"/>
        <w:jc w:val="center"/>
        <w:rPr>
          <w:rFonts w:ascii="宋体" w:hAnsi="宋体" w:eastAsia="宋体"/>
          <w:b/>
          <w:sz w:val="24"/>
          <w:highlight w:val="none"/>
        </w:rPr>
      </w:pPr>
    </w:p>
    <w:p w14:paraId="152B442C">
      <w:pPr>
        <w:spacing w:line="480" w:lineRule="auto"/>
        <w:jc w:val="center"/>
        <w:rPr>
          <w:rFonts w:ascii="宋体" w:hAnsi="宋体" w:eastAsia="宋体"/>
          <w:b/>
          <w:sz w:val="24"/>
          <w:highlight w:val="none"/>
        </w:rPr>
      </w:pPr>
    </w:p>
    <w:p w14:paraId="4F8778BD">
      <w:pPr>
        <w:spacing w:line="480" w:lineRule="auto"/>
        <w:jc w:val="center"/>
        <w:rPr>
          <w:rFonts w:ascii="宋体" w:hAnsi="宋体" w:eastAsia="宋体"/>
          <w:b/>
          <w:sz w:val="24"/>
          <w:highlight w:val="none"/>
        </w:rPr>
      </w:pPr>
    </w:p>
    <w:p w14:paraId="7A98D684">
      <w:pPr>
        <w:spacing w:line="360" w:lineRule="auto"/>
        <w:jc w:val="center"/>
        <w:outlineLvl w:val="1"/>
        <w:rPr>
          <w:rFonts w:ascii="宋体" w:hAnsi="宋体" w:eastAsia="宋体"/>
          <w:b/>
          <w:sz w:val="24"/>
          <w:highlight w:val="none"/>
        </w:rPr>
      </w:pPr>
      <w:bookmarkStart w:id="108" w:name="_Toc1120"/>
      <w:r>
        <w:rPr>
          <w:rFonts w:hint="eastAsia" w:ascii="宋体" w:hAnsi="宋体" w:eastAsia="宋体"/>
          <w:b/>
          <w:sz w:val="24"/>
          <w:highlight w:val="none"/>
        </w:rPr>
        <w:t>第一部分 合同书</w:t>
      </w:r>
      <w:bookmarkEnd w:id="108"/>
    </w:p>
    <w:p w14:paraId="4A6262CB">
      <w:pPr>
        <w:spacing w:line="480" w:lineRule="auto"/>
        <w:jc w:val="center"/>
        <w:rPr>
          <w:rFonts w:ascii="宋体" w:hAnsi="宋体" w:eastAsia="宋体"/>
          <w:b/>
          <w:sz w:val="24"/>
          <w:highlight w:val="none"/>
        </w:rPr>
      </w:pPr>
    </w:p>
    <w:p w14:paraId="0833D185">
      <w:pPr>
        <w:spacing w:line="480" w:lineRule="auto"/>
        <w:jc w:val="center"/>
        <w:rPr>
          <w:rFonts w:ascii="宋体" w:hAnsi="宋体" w:eastAsia="宋体"/>
          <w:b/>
          <w:sz w:val="24"/>
          <w:highlight w:val="none"/>
        </w:rPr>
      </w:pPr>
    </w:p>
    <w:p w14:paraId="69E9460C">
      <w:pPr>
        <w:spacing w:line="480" w:lineRule="auto"/>
        <w:jc w:val="center"/>
        <w:rPr>
          <w:rFonts w:ascii="宋体" w:hAnsi="宋体" w:eastAsia="宋体"/>
          <w:b/>
          <w:sz w:val="24"/>
          <w:highlight w:val="none"/>
        </w:rPr>
      </w:pPr>
    </w:p>
    <w:p w14:paraId="04EF5740">
      <w:pPr>
        <w:spacing w:before="120" w:line="480" w:lineRule="auto"/>
        <w:ind w:left="960"/>
        <w:rPr>
          <w:rFonts w:ascii="宋体" w:hAnsi="宋体" w:eastAsia="宋体"/>
          <w:sz w:val="24"/>
          <w:highlight w:val="none"/>
          <w:u w:val="single"/>
        </w:rPr>
      </w:pPr>
      <w:r>
        <w:rPr>
          <w:rFonts w:hint="eastAsia" w:ascii="宋体" w:hAnsi="宋体" w:eastAsia="宋体"/>
          <w:sz w:val="24"/>
          <w:highlight w:val="none"/>
        </w:rPr>
        <w:t>项目名称：</w:t>
      </w:r>
      <w:r>
        <w:rPr>
          <w:rFonts w:hint="eastAsia" w:ascii="宋体" w:hAnsi="宋体" w:eastAsia="宋体"/>
          <w:sz w:val="24"/>
          <w:highlight w:val="none"/>
          <w:u w:val="single"/>
        </w:rPr>
        <w:t xml:space="preserve">           </w:t>
      </w:r>
      <w:r>
        <w:rPr>
          <w:rFonts w:hint="eastAsia" w:ascii="宋体" w:hAnsi="宋体" w:eastAsia="宋体"/>
          <w:i/>
          <w:iCs/>
          <w:sz w:val="24"/>
          <w:highlight w:val="none"/>
        </w:rPr>
        <w:t>（分包项目须填写完整的分包号及分包名称）</w:t>
      </w:r>
    </w:p>
    <w:p w14:paraId="38E8112D">
      <w:pPr>
        <w:spacing w:before="120" w:line="480" w:lineRule="auto"/>
        <w:ind w:left="960"/>
        <w:rPr>
          <w:rFonts w:ascii="宋体" w:hAnsi="宋体" w:eastAsia="宋体"/>
          <w:sz w:val="24"/>
          <w:highlight w:val="none"/>
        </w:rPr>
      </w:pPr>
      <w:r>
        <w:rPr>
          <w:rFonts w:hint="eastAsia" w:ascii="宋体" w:hAnsi="宋体" w:eastAsia="宋体"/>
          <w:sz w:val="24"/>
          <w:highlight w:val="none"/>
        </w:rPr>
        <w:t>项目编号：</w:t>
      </w:r>
      <w:r>
        <w:rPr>
          <w:rFonts w:hint="eastAsia" w:ascii="宋体" w:hAnsi="宋体" w:eastAsia="宋体"/>
          <w:sz w:val="24"/>
          <w:highlight w:val="none"/>
          <w:u w:val="single"/>
        </w:rPr>
        <w:t xml:space="preserve">            </w:t>
      </w:r>
    </w:p>
    <w:p w14:paraId="567201BB">
      <w:pPr>
        <w:spacing w:before="120" w:line="480" w:lineRule="auto"/>
        <w:ind w:left="960"/>
        <w:rPr>
          <w:rFonts w:ascii="宋体" w:hAnsi="宋体" w:eastAsia="宋体"/>
          <w:sz w:val="24"/>
          <w:highlight w:val="none"/>
          <w:u w:val="single"/>
        </w:rPr>
      </w:pPr>
      <w:r>
        <w:rPr>
          <w:rFonts w:hint="eastAsia" w:ascii="宋体" w:hAnsi="宋体" w:eastAsia="宋体"/>
          <w:sz w:val="24"/>
          <w:highlight w:val="none"/>
        </w:rPr>
        <w:t>甲方（采购人）：</w:t>
      </w:r>
      <w:r>
        <w:rPr>
          <w:rFonts w:hint="eastAsia" w:ascii="宋体" w:hAnsi="宋体" w:eastAsia="宋体"/>
          <w:sz w:val="24"/>
          <w:highlight w:val="none"/>
          <w:u w:val="single"/>
        </w:rPr>
        <w:t xml:space="preserve">                              </w:t>
      </w:r>
    </w:p>
    <w:p w14:paraId="08EA89CC">
      <w:pPr>
        <w:spacing w:before="120" w:line="480" w:lineRule="auto"/>
        <w:ind w:left="960"/>
        <w:rPr>
          <w:rFonts w:ascii="宋体" w:hAnsi="宋体" w:eastAsia="宋体"/>
          <w:sz w:val="24"/>
          <w:highlight w:val="none"/>
          <w:u w:val="single"/>
        </w:rPr>
      </w:pPr>
      <w:r>
        <w:rPr>
          <w:rFonts w:hint="eastAsia" w:ascii="宋体" w:hAnsi="宋体" w:eastAsia="宋体"/>
          <w:sz w:val="24"/>
          <w:highlight w:val="none"/>
        </w:rPr>
        <w:t>乙方（成交供应商）：</w:t>
      </w:r>
      <w:r>
        <w:rPr>
          <w:rFonts w:ascii="宋体" w:hAnsi="宋体" w:eastAsia="宋体"/>
          <w:sz w:val="24"/>
          <w:highlight w:val="none"/>
          <w:u w:val="single"/>
        </w:rPr>
        <w:t xml:space="preserve">        </w:t>
      </w:r>
      <w:r>
        <w:rPr>
          <w:rFonts w:hint="eastAsia" w:ascii="宋体" w:hAnsi="宋体" w:eastAsia="宋体"/>
          <w:sz w:val="24"/>
          <w:highlight w:val="none"/>
          <w:u w:val="single"/>
        </w:rPr>
        <w:t xml:space="preserve"> </w:t>
      </w:r>
      <w:r>
        <w:rPr>
          <w:rFonts w:ascii="宋体" w:hAnsi="宋体" w:eastAsia="宋体"/>
          <w:sz w:val="24"/>
          <w:highlight w:val="none"/>
          <w:u w:val="single"/>
        </w:rPr>
        <w:t xml:space="preserve">   </w:t>
      </w:r>
      <w:r>
        <w:rPr>
          <w:rFonts w:hint="eastAsia" w:ascii="宋体" w:hAnsi="宋体" w:eastAsia="宋体"/>
          <w:sz w:val="24"/>
          <w:highlight w:val="none"/>
          <w:u w:val="single"/>
        </w:rPr>
        <w:t xml:space="preserve">                  </w:t>
      </w:r>
    </w:p>
    <w:p w14:paraId="7771A628">
      <w:pPr>
        <w:spacing w:before="120" w:line="480" w:lineRule="auto"/>
        <w:ind w:firstLine="960" w:firstLineChars="400"/>
        <w:rPr>
          <w:rFonts w:ascii="宋体" w:hAnsi="宋体" w:eastAsia="宋体"/>
          <w:sz w:val="24"/>
          <w:highlight w:val="none"/>
          <w:u w:val="single"/>
        </w:rPr>
      </w:pPr>
      <w:r>
        <w:rPr>
          <w:rFonts w:hint="eastAsia" w:ascii="宋体" w:hAnsi="宋体" w:eastAsia="宋体"/>
          <w:sz w:val="24"/>
          <w:highlight w:val="none"/>
        </w:rPr>
        <w:t>签订地：</w:t>
      </w:r>
      <w:r>
        <w:rPr>
          <w:rFonts w:hint="eastAsia" w:ascii="宋体" w:hAnsi="宋体" w:eastAsia="宋体"/>
          <w:sz w:val="24"/>
          <w:highlight w:val="none"/>
          <w:u w:val="single"/>
        </w:rPr>
        <w:t xml:space="preserve">                                     </w:t>
      </w:r>
    </w:p>
    <w:p w14:paraId="0D0280C2">
      <w:pPr>
        <w:spacing w:before="120" w:line="480" w:lineRule="auto"/>
        <w:ind w:firstLine="960" w:firstLineChars="400"/>
        <w:rPr>
          <w:rFonts w:ascii="宋体" w:hAnsi="宋体" w:eastAsia="宋体"/>
          <w:sz w:val="24"/>
          <w:highlight w:val="none"/>
        </w:rPr>
      </w:pPr>
      <w:r>
        <w:rPr>
          <w:rFonts w:hint="eastAsia" w:ascii="宋体" w:hAnsi="宋体" w:eastAsia="宋体"/>
          <w:sz w:val="24"/>
          <w:highlight w:val="none"/>
        </w:rPr>
        <w:t>签订日期：</w:t>
      </w:r>
      <w:r>
        <w:rPr>
          <w:rFonts w:hint="eastAsia" w:ascii="宋体" w:hAnsi="宋体" w:eastAsia="宋体"/>
          <w:sz w:val="24"/>
          <w:highlight w:val="none"/>
          <w:u w:val="single"/>
        </w:rPr>
        <w:t xml:space="preserve">               </w:t>
      </w:r>
      <w:r>
        <w:rPr>
          <w:rFonts w:hint="eastAsia" w:ascii="宋体" w:hAnsi="宋体" w:eastAsia="宋体"/>
          <w:sz w:val="24"/>
          <w:highlight w:val="none"/>
        </w:rPr>
        <w:t>年</w:t>
      </w:r>
      <w:r>
        <w:rPr>
          <w:rFonts w:hint="eastAsia" w:ascii="宋体" w:hAnsi="宋体" w:eastAsia="宋体"/>
          <w:sz w:val="24"/>
          <w:highlight w:val="none"/>
          <w:u w:val="single"/>
        </w:rPr>
        <w:t xml:space="preserve">       </w:t>
      </w:r>
      <w:r>
        <w:rPr>
          <w:rFonts w:hint="eastAsia" w:ascii="宋体" w:hAnsi="宋体" w:eastAsia="宋体"/>
          <w:sz w:val="24"/>
          <w:highlight w:val="none"/>
        </w:rPr>
        <w:t>月</w:t>
      </w:r>
      <w:r>
        <w:rPr>
          <w:rFonts w:hint="eastAsia" w:ascii="宋体" w:hAnsi="宋体" w:eastAsia="宋体"/>
          <w:sz w:val="24"/>
          <w:highlight w:val="none"/>
          <w:u w:val="single"/>
        </w:rPr>
        <w:t xml:space="preserve">       </w:t>
      </w:r>
      <w:r>
        <w:rPr>
          <w:rFonts w:hint="eastAsia" w:ascii="宋体" w:hAnsi="宋体" w:eastAsia="宋体"/>
          <w:sz w:val="24"/>
          <w:highlight w:val="none"/>
        </w:rPr>
        <w:t>日</w:t>
      </w:r>
    </w:p>
    <w:p w14:paraId="2052F532">
      <w:pPr>
        <w:widowControl/>
        <w:jc w:val="left"/>
        <w:rPr>
          <w:rFonts w:ascii="宋体" w:hAnsi="宋体" w:eastAsia="宋体"/>
          <w:sz w:val="24"/>
          <w:highlight w:val="none"/>
        </w:rPr>
      </w:pPr>
      <w:r>
        <w:rPr>
          <w:rFonts w:ascii="宋体" w:hAnsi="宋体" w:eastAsia="宋体"/>
          <w:sz w:val="24"/>
          <w:highlight w:val="none"/>
        </w:rPr>
        <w:br w:type="page"/>
      </w:r>
    </w:p>
    <w:p w14:paraId="27A59F0D">
      <w:pPr>
        <w:spacing w:line="360" w:lineRule="auto"/>
        <w:ind w:firstLine="435"/>
        <w:rPr>
          <w:rFonts w:ascii="宋体" w:hAnsi="宋体" w:eastAsia="宋体"/>
          <w:sz w:val="24"/>
          <w:highlight w:val="none"/>
        </w:rPr>
      </w:pPr>
      <w:r>
        <w:rPr>
          <w:rFonts w:hint="eastAsia" w:ascii="宋体" w:hAnsi="宋体" w:eastAsia="宋体"/>
          <w:sz w:val="24"/>
          <w:highlight w:val="none"/>
          <w:u w:val="single"/>
        </w:rPr>
        <w:t xml:space="preserve">               </w:t>
      </w:r>
      <w:r>
        <w:rPr>
          <w:rFonts w:hint="eastAsia" w:ascii="宋体" w:hAnsi="宋体" w:eastAsia="宋体"/>
          <w:sz w:val="24"/>
          <w:highlight w:val="none"/>
        </w:rPr>
        <w:t>（</w:t>
      </w:r>
      <w:r>
        <w:rPr>
          <w:rFonts w:hint="eastAsia" w:ascii="宋体" w:hAnsi="宋体" w:eastAsia="宋体"/>
          <w:sz w:val="24"/>
          <w:highlight w:val="none"/>
          <w:lang w:val="zh-CN"/>
        </w:rPr>
        <w:t>以下简称：甲方</w:t>
      </w:r>
      <w:r>
        <w:rPr>
          <w:rFonts w:hint="eastAsia" w:ascii="宋体" w:hAnsi="宋体" w:eastAsia="宋体"/>
          <w:sz w:val="24"/>
          <w:highlight w:val="none"/>
        </w:rPr>
        <w:t>）通过</w:t>
      </w:r>
      <w:r>
        <w:rPr>
          <w:rFonts w:hint="eastAsia" w:ascii="宋体" w:hAnsi="宋体" w:eastAsia="宋体"/>
          <w:sz w:val="24"/>
          <w:highlight w:val="none"/>
          <w:u w:val="single"/>
        </w:rPr>
        <w:t xml:space="preserve">               </w:t>
      </w:r>
      <w:r>
        <w:rPr>
          <w:rFonts w:hint="eastAsia" w:ascii="宋体" w:hAnsi="宋体" w:eastAsia="宋体"/>
          <w:sz w:val="24"/>
          <w:highlight w:val="none"/>
        </w:rPr>
        <w:t>组织的</w:t>
      </w:r>
      <w:r>
        <w:rPr>
          <w:rFonts w:hint="eastAsia" w:ascii="宋体" w:hAnsi="宋体" w:eastAsia="宋体"/>
          <w:sz w:val="24"/>
          <w:highlight w:val="none"/>
          <w:u w:val="single"/>
        </w:rPr>
        <w:t>竞争性磋商</w:t>
      </w:r>
      <w:r>
        <w:rPr>
          <w:rFonts w:hint="eastAsia" w:ascii="宋体" w:hAnsi="宋体" w:eastAsia="宋体"/>
          <w:sz w:val="24"/>
          <w:highlight w:val="none"/>
        </w:rPr>
        <w:t>方式采购活动，经</w:t>
      </w:r>
      <w:r>
        <w:rPr>
          <w:rFonts w:hint="eastAsia" w:ascii="宋体" w:hAnsi="宋体" w:eastAsia="宋体"/>
          <w:sz w:val="24"/>
          <w:highlight w:val="none"/>
          <w:u w:val="single"/>
        </w:rPr>
        <w:t>磋商小组</w:t>
      </w:r>
      <w:r>
        <w:rPr>
          <w:rFonts w:hint="eastAsia" w:ascii="宋体" w:hAnsi="宋体" w:eastAsia="宋体"/>
          <w:sz w:val="24"/>
          <w:highlight w:val="none"/>
        </w:rPr>
        <w:t>评定，</w:t>
      </w:r>
      <w:r>
        <w:rPr>
          <w:rFonts w:hint="eastAsia" w:ascii="宋体" w:hAnsi="宋体" w:eastAsia="宋体"/>
          <w:sz w:val="24"/>
          <w:highlight w:val="none"/>
          <w:u w:val="single"/>
        </w:rPr>
        <w:t xml:space="preserve">               </w:t>
      </w:r>
      <w:r>
        <w:rPr>
          <w:rFonts w:hint="eastAsia" w:ascii="宋体" w:hAnsi="宋体" w:eastAsia="宋体"/>
          <w:sz w:val="24"/>
          <w:highlight w:val="none"/>
        </w:rPr>
        <w:t>（</w:t>
      </w:r>
      <w:r>
        <w:rPr>
          <w:rFonts w:hint="eastAsia" w:ascii="宋体" w:hAnsi="宋体" w:eastAsia="宋体"/>
          <w:sz w:val="24"/>
          <w:highlight w:val="none"/>
          <w:lang w:val="zh-CN"/>
        </w:rPr>
        <w:t>以下简称：乙方</w:t>
      </w:r>
      <w:r>
        <w:rPr>
          <w:rFonts w:hint="eastAsia" w:ascii="宋体" w:hAnsi="宋体" w:eastAsia="宋体"/>
          <w:sz w:val="24"/>
          <w:highlight w:val="none"/>
        </w:rPr>
        <w:t>）为本项目成交供应商，现按照采购文件确定的事项签订本合同。</w:t>
      </w:r>
    </w:p>
    <w:p w14:paraId="64ADD34A">
      <w:pPr>
        <w:spacing w:line="360" w:lineRule="auto"/>
        <w:ind w:firstLine="435"/>
        <w:rPr>
          <w:rFonts w:ascii="宋体" w:hAnsi="宋体" w:eastAsia="宋体"/>
          <w:sz w:val="24"/>
          <w:highlight w:val="none"/>
          <w:lang w:val="zh-CN"/>
        </w:rPr>
      </w:pPr>
      <w:r>
        <w:rPr>
          <w:rFonts w:hint="eastAsia" w:ascii="宋体" w:hAnsi="宋体" w:eastAsia="宋体"/>
          <w:sz w:val="24"/>
          <w:highlight w:val="none"/>
        </w:rPr>
        <w:t>根据《中华人民共和国民法典》、《中华人民共和国政府采购法》等相关法律法规之规定，按照平等、自愿、公平和诚实信用的原则，经甲方和乙方协商一致，约定以下合同条款，以兹共同遵守、全面履行。</w:t>
      </w:r>
    </w:p>
    <w:p w14:paraId="2089D47F">
      <w:pPr>
        <w:spacing w:line="360" w:lineRule="auto"/>
        <w:ind w:firstLine="437"/>
        <w:outlineLvl w:val="2"/>
        <w:rPr>
          <w:rFonts w:ascii="宋体" w:hAnsi="宋体" w:eastAsia="宋体"/>
          <w:b/>
          <w:bCs/>
          <w:sz w:val="24"/>
          <w:highlight w:val="none"/>
          <w:lang w:val="zh-CN"/>
        </w:rPr>
      </w:pPr>
      <w:bookmarkStart w:id="109" w:name="_Toc2232"/>
      <w:bookmarkStart w:id="110" w:name="_Toc24059"/>
      <w:bookmarkStart w:id="111" w:name="_Toc3029"/>
      <w:r>
        <w:rPr>
          <w:rFonts w:hint="eastAsia" w:ascii="宋体" w:hAnsi="宋体" w:eastAsia="宋体"/>
          <w:b/>
          <w:bCs/>
          <w:sz w:val="24"/>
          <w:highlight w:val="none"/>
          <w:lang w:val="zh-CN"/>
        </w:rPr>
        <w:t>1.1</w:t>
      </w:r>
      <w:r>
        <w:rPr>
          <w:rFonts w:ascii="宋体" w:hAnsi="宋体" w:eastAsia="宋体"/>
          <w:b/>
          <w:bCs/>
          <w:sz w:val="24"/>
          <w:highlight w:val="none"/>
          <w:lang w:val="zh-CN"/>
        </w:rPr>
        <w:t xml:space="preserve"> </w:t>
      </w:r>
      <w:r>
        <w:rPr>
          <w:rFonts w:hint="eastAsia" w:ascii="宋体" w:hAnsi="宋体" w:eastAsia="宋体"/>
          <w:b/>
          <w:bCs/>
          <w:sz w:val="24"/>
          <w:highlight w:val="none"/>
          <w:lang w:val="zh-CN"/>
        </w:rPr>
        <w:t>合同组成部分</w:t>
      </w:r>
      <w:bookmarkEnd w:id="109"/>
      <w:bookmarkEnd w:id="110"/>
      <w:bookmarkEnd w:id="111"/>
    </w:p>
    <w:p w14:paraId="7970E1C2">
      <w:pPr>
        <w:spacing w:line="360" w:lineRule="auto"/>
        <w:ind w:firstLine="435"/>
        <w:rPr>
          <w:rFonts w:ascii="宋体" w:hAnsi="宋体" w:eastAsia="宋体"/>
          <w:sz w:val="24"/>
          <w:highlight w:val="none"/>
          <w:lang w:val="zh-CN"/>
        </w:rPr>
      </w:pPr>
      <w:r>
        <w:rPr>
          <w:rFonts w:hint="eastAsia" w:ascii="宋体" w:hAnsi="宋体" w:eastAsia="宋体"/>
          <w:sz w:val="24"/>
          <w:highlight w:val="none"/>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14:paraId="5B7116AD">
      <w:pPr>
        <w:spacing w:line="360" w:lineRule="auto"/>
        <w:ind w:firstLine="435"/>
        <w:rPr>
          <w:rFonts w:ascii="宋体" w:hAnsi="宋体" w:eastAsia="宋体"/>
          <w:sz w:val="24"/>
          <w:highlight w:val="none"/>
          <w:lang w:val="zh-CN"/>
        </w:rPr>
      </w:pPr>
      <w:r>
        <w:rPr>
          <w:rFonts w:hint="eastAsia" w:ascii="宋体" w:hAnsi="宋体" w:eastAsia="宋体"/>
          <w:sz w:val="24"/>
          <w:highlight w:val="none"/>
          <w:lang w:val="zh-CN"/>
        </w:rPr>
        <w:t>1.1.1本合同及其补充合同、变更协议；</w:t>
      </w:r>
    </w:p>
    <w:p w14:paraId="4E859EF0">
      <w:pPr>
        <w:spacing w:line="360" w:lineRule="auto"/>
        <w:ind w:firstLine="435"/>
        <w:rPr>
          <w:rFonts w:ascii="宋体" w:hAnsi="宋体" w:eastAsia="宋体"/>
          <w:sz w:val="24"/>
          <w:highlight w:val="none"/>
          <w:lang w:val="zh-CN"/>
        </w:rPr>
      </w:pPr>
      <w:r>
        <w:rPr>
          <w:rFonts w:hint="eastAsia" w:ascii="宋体" w:hAnsi="宋体" w:eastAsia="宋体"/>
          <w:sz w:val="24"/>
          <w:highlight w:val="none"/>
          <w:lang w:val="zh-CN"/>
        </w:rPr>
        <w:t>1.1.2成交通知书；</w:t>
      </w:r>
    </w:p>
    <w:p w14:paraId="68819DF8">
      <w:pPr>
        <w:spacing w:line="360" w:lineRule="auto"/>
        <w:ind w:firstLine="435"/>
        <w:rPr>
          <w:rFonts w:ascii="宋体" w:hAnsi="宋体" w:eastAsia="宋体"/>
          <w:sz w:val="24"/>
          <w:highlight w:val="none"/>
          <w:lang w:val="zh-CN"/>
        </w:rPr>
      </w:pPr>
      <w:r>
        <w:rPr>
          <w:rFonts w:hint="eastAsia" w:ascii="宋体" w:hAnsi="宋体" w:eastAsia="宋体"/>
          <w:sz w:val="24"/>
          <w:highlight w:val="none"/>
          <w:lang w:val="zh-CN"/>
        </w:rPr>
        <w:t>1.1.3响应文件（含澄清或者说明文件）；</w:t>
      </w:r>
    </w:p>
    <w:p w14:paraId="61B367A0">
      <w:pPr>
        <w:spacing w:line="360" w:lineRule="auto"/>
        <w:ind w:firstLine="435"/>
        <w:rPr>
          <w:rFonts w:ascii="宋体" w:hAnsi="宋体" w:eastAsia="宋体"/>
          <w:sz w:val="24"/>
          <w:highlight w:val="none"/>
          <w:lang w:val="zh-CN"/>
        </w:rPr>
      </w:pPr>
      <w:r>
        <w:rPr>
          <w:rFonts w:hint="eastAsia" w:ascii="宋体" w:hAnsi="宋体" w:eastAsia="宋体"/>
          <w:sz w:val="24"/>
          <w:highlight w:val="none"/>
          <w:lang w:val="zh-CN"/>
        </w:rPr>
        <w:t>1.1.4磋商文件（含澄清或者修改文件）；</w:t>
      </w:r>
    </w:p>
    <w:p w14:paraId="606B52AB">
      <w:pPr>
        <w:spacing w:line="360" w:lineRule="auto"/>
        <w:ind w:firstLine="435"/>
        <w:rPr>
          <w:rFonts w:ascii="宋体" w:hAnsi="宋体" w:eastAsia="宋体"/>
          <w:sz w:val="24"/>
          <w:highlight w:val="none"/>
          <w:lang w:val="zh-CN"/>
        </w:rPr>
      </w:pPr>
      <w:r>
        <w:rPr>
          <w:rFonts w:hint="eastAsia" w:ascii="宋体" w:hAnsi="宋体" w:eastAsia="宋体"/>
          <w:sz w:val="24"/>
          <w:highlight w:val="none"/>
          <w:lang w:val="zh-CN"/>
        </w:rPr>
        <w:t>1.1.5其他相关采购文件。</w:t>
      </w:r>
    </w:p>
    <w:p w14:paraId="2312E1B5">
      <w:pPr>
        <w:spacing w:line="360" w:lineRule="auto"/>
        <w:ind w:firstLine="437"/>
        <w:outlineLvl w:val="2"/>
        <w:rPr>
          <w:rFonts w:ascii="宋体" w:hAnsi="宋体" w:eastAsia="宋体"/>
          <w:b/>
          <w:bCs/>
          <w:sz w:val="24"/>
          <w:highlight w:val="none"/>
          <w:lang w:val="zh-CN"/>
        </w:rPr>
      </w:pPr>
      <w:bookmarkStart w:id="112" w:name="_Toc6311"/>
      <w:bookmarkStart w:id="113" w:name="_Toc6773"/>
      <w:bookmarkStart w:id="114" w:name="_Toc22185"/>
      <w:bookmarkStart w:id="115" w:name="_Toc18585"/>
      <w:bookmarkStart w:id="116" w:name="_Toc2918"/>
      <w:r>
        <w:rPr>
          <w:rFonts w:hint="eastAsia" w:ascii="宋体" w:hAnsi="宋体" w:eastAsia="宋体"/>
          <w:b/>
          <w:bCs/>
          <w:sz w:val="24"/>
          <w:highlight w:val="none"/>
          <w:lang w:val="zh-CN"/>
        </w:rPr>
        <w:t xml:space="preserve">1.2 </w:t>
      </w:r>
      <w:bookmarkEnd w:id="112"/>
      <w:bookmarkEnd w:id="113"/>
      <w:bookmarkEnd w:id="114"/>
      <w:bookmarkEnd w:id="115"/>
      <w:bookmarkEnd w:id="116"/>
      <w:r>
        <w:rPr>
          <w:rFonts w:hint="eastAsia" w:ascii="宋体" w:hAnsi="宋体" w:eastAsia="宋体"/>
          <w:b/>
          <w:bCs/>
          <w:sz w:val="24"/>
          <w:highlight w:val="none"/>
          <w:lang w:val="zh-CN"/>
        </w:rPr>
        <w:t>服务</w:t>
      </w:r>
    </w:p>
    <w:p w14:paraId="1592E328">
      <w:pPr>
        <w:spacing w:line="360" w:lineRule="auto"/>
        <w:ind w:firstLine="435"/>
        <w:rPr>
          <w:rFonts w:ascii="宋体" w:hAnsi="宋体" w:eastAsia="宋体"/>
          <w:sz w:val="24"/>
          <w:highlight w:val="none"/>
          <w:u w:val="single"/>
        </w:rPr>
      </w:pPr>
      <w:r>
        <w:rPr>
          <w:rFonts w:hint="eastAsia" w:ascii="宋体" w:hAnsi="宋体" w:eastAsia="宋体"/>
          <w:sz w:val="24"/>
          <w:highlight w:val="none"/>
        </w:rPr>
        <w:t>1.2.1服务</w:t>
      </w:r>
      <w:r>
        <w:rPr>
          <w:rFonts w:ascii="宋体" w:hAnsi="宋体" w:eastAsia="宋体"/>
          <w:sz w:val="24"/>
          <w:highlight w:val="none"/>
        </w:rPr>
        <w:t>名称：</w:t>
      </w:r>
      <w:r>
        <w:rPr>
          <w:rFonts w:hint="eastAsia" w:ascii="宋体" w:hAnsi="宋体" w:eastAsia="宋体"/>
          <w:sz w:val="24"/>
          <w:highlight w:val="none"/>
          <w:u w:val="single"/>
        </w:rPr>
        <w:t xml:space="preserve">                                                </w:t>
      </w:r>
      <w:r>
        <w:rPr>
          <w:rFonts w:hint="eastAsia" w:ascii="宋体" w:hAnsi="宋体" w:eastAsia="宋体"/>
          <w:sz w:val="24"/>
          <w:highlight w:val="none"/>
        </w:rPr>
        <w:t>；</w:t>
      </w:r>
    </w:p>
    <w:p w14:paraId="3352B05D">
      <w:pPr>
        <w:spacing w:line="360" w:lineRule="auto"/>
        <w:ind w:firstLine="435"/>
        <w:rPr>
          <w:rFonts w:ascii="宋体" w:hAnsi="宋体" w:eastAsia="宋体"/>
          <w:sz w:val="24"/>
          <w:highlight w:val="none"/>
          <w:u w:val="single"/>
        </w:rPr>
      </w:pPr>
      <w:r>
        <w:rPr>
          <w:rFonts w:hint="eastAsia" w:ascii="宋体" w:hAnsi="宋体" w:eastAsia="宋体"/>
          <w:sz w:val="24"/>
          <w:highlight w:val="none"/>
        </w:rPr>
        <w:t>1.2.2服务内容</w:t>
      </w:r>
      <w:r>
        <w:rPr>
          <w:rFonts w:ascii="宋体" w:hAnsi="宋体" w:eastAsia="宋体"/>
          <w:sz w:val="24"/>
          <w:highlight w:val="none"/>
        </w:rPr>
        <w:t>：</w:t>
      </w:r>
      <w:r>
        <w:rPr>
          <w:rFonts w:hint="eastAsia" w:ascii="宋体" w:hAnsi="宋体" w:eastAsia="宋体"/>
          <w:sz w:val="24"/>
          <w:highlight w:val="none"/>
          <w:u w:val="single"/>
        </w:rPr>
        <w:t xml:space="preserve">                                                </w:t>
      </w:r>
      <w:r>
        <w:rPr>
          <w:rFonts w:hint="eastAsia" w:ascii="宋体" w:hAnsi="宋体" w:eastAsia="宋体"/>
          <w:sz w:val="24"/>
          <w:highlight w:val="none"/>
        </w:rPr>
        <w:t>；</w:t>
      </w:r>
    </w:p>
    <w:p w14:paraId="1CA85D03">
      <w:pPr>
        <w:spacing w:line="360" w:lineRule="auto"/>
        <w:ind w:firstLine="435"/>
        <w:rPr>
          <w:rFonts w:ascii="宋体" w:hAnsi="宋体" w:eastAsia="宋体"/>
          <w:sz w:val="24"/>
          <w:highlight w:val="none"/>
        </w:rPr>
      </w:pPr>
      <w:r>
        <w:rPr>
          <w:rFonts w:hint="eastAsia" w:ascii="宋体" w:hAnsi="宋体" w:eastAsia="宋体"/>
          <w:sz w:val="24"/>
          <w:highlight w:val="none"/>
        </w:rPr>
        <w:t>1.2.3服务质量：</w:t>
      </w:r>
      <w:r>
        <w:rPr>
          <w:rFonts w:hint="eastAsia" w:ascii="宋体" w:hAnsi="宋体" w:eastAsia="宋体"/>
          <w:sz w:val="24"/>
          <w:highlight w:val="none"/>
          <w:u w:val="single"/>
        </w:rPr>
        <w:t xml:space="preserve">                                                </w:t>
      </w:r>
      <w:r>
        <w:rPr>
          <w:rFonts w:hint="eastAsia" w:ascii="宋体" w:hAnsi="宋体" w:eastAsia="宋体"/>
          <w:sz w:val="24"/>
          <w:highlight w:val="none"/>
        </w:rPr>
        <w:t>。</w:t>
      </w:r>
    </w:p>
    <w:p w14:paraId="230457BA">
      <w:pPr>
        <w:spacing w:line="360" w:lineRule="auto"/>
        <w:ind w:firstLine="437"/>
        <w:outlineLvl w:val="2"/>
        <w:rPr>
          <w:rFonts w:ascii="宋体" w:hAnsi="宋体" w:eastAsia="宋体"/>
          <w:b/>
          <w:bCs/>
          <w:sz w:val="24"/>
          <w:highlight w:val="none"/>
          <w:lang w:val="zh-CN"/>
        </w:rPr>
      </w:pPr>
      <w:bookmarkStart w:id="117" w:name="_Toc23292"/>
      <w:bookmarkStart w:id="118" w:name="_Toc21551"/>
      <w:bookmarkStart w:id="119" w:name="_Toc21631"/>
      <w:r>
        <w:rPr>
          <w:rFonts w:hint="eastAsia" w:ascii="宋体" w:hAnsi="宋体" w:eastAsia="宋体"/>
          <w:b/>
          <w:bCs/>
          <w:sz w:val="24"/>
          <w:highlight w:val="none"/>
          <w:lang w:val="zh-CN"/>
        </w:rPr>
        <w:t>1.</w:t>
      </w:r>
      <w:r>
        <w:rPr>
          <w:rFonts w:ascii="宋体" w:hAnsi="宋体" w:eastAsia="宋体"/>
          <w:b/>
          <w:bCs/>
          <w:sz w:val="24"/>
          <w:highlight w:val="none"/>
          <w:lang w:val="zh-CN"/>
        </w:rPr>
        <w:t xml:space="preserve">3 </w:t>
      </w:r>
      <w:r>
        <w:rPr>
          <w:rFonts w:hint="eastAsia" w:ascii="宋体" w:hAnsi="宋体" w:eastAsia="宋体"/>
          <w:b/>
          <w:bCs/>
          <w:sz w:val="24"/>
          <w:highlight w:val="none"/>
          <w:lang w:val="zh-CN"/>
        </w:rPr>
        <w:t>价款</w:t>
      </w:r>
      <w:bookmarkEnd w:id="117"/>
      <w:bookmarkEnd w:id="118"/>
      <w:bookmarkEnd w:id="119"/>
    </w:p>
    <w:p w14:paraId="43D8D184">
      <w:pPr>
        <w:spacing w:line="360" w:lineRule="auto"/>
        <w:ind w:firstLine="435"/>
        <w:rPr>
          <w:rFonts w:ascii="宋体" w:hAnsi="宋体" w:eastAsia="宋体"/>
          <w:sz w:val="24"/>
          <w:highlight w:val="none"/>
        </w:rPr>
      </w:pPr>
      <w:r>
        <w:rPr>
          <w:rFonts w:ascii="宋体" w:hAnsi="宋体" w:eastAsia="宋体"/>
          <w:sz w:val="24"/>
          <w:highlight w:val="none"/>
        </w:rPr>
        <w:t>本合同总价为</w:t>
      </w:r>
      <w:r>
        <w:rPr>
          <w:rFonts w:hint="eastAsia" w:ascii="宋体" w:hAnsi="宋体" w:eastAsia="宋体"/>
          <w:sz w:val="24"/>
          <w:highlight w:val="none"/>
        </w:rPr>
        <w:t>：￥</w:t>
      </w:r>
      <w:r>
        <w:rPr>
          <w:rFonts w:hint="eastAsia" w:ascii="宋体" w:hAnsi="宋体" w:eastAsia="宋体"/>
          <w:sz w:val="24"/>
          <w:highlight w:val="none"/>
          <w:u w:val="single"/>
        </w:rPr>
        <w:t xml:space="preserve">           </w:t>
      </w:r>
      <w:r>
        <w:rPr>
          <w:rFonts w:ascii="宋体" w:hAnsi="宋体" w:eastAsia="宋体"/>
          <w:sz w:val="24"/>
          <w:highlight w:val="none"/>
        </w:rPr>
        <w:t>元</w:t>
      </w:r>
      <w:r>
        <w:rPr>
          <w:rFonts w:hint="eastAsia" w:ascii="宋体" w:hAnsi="宋体" w:eastAsia="宋体"/>
          <w:sz w:val="24"/>
          <w:highlight w:val="none"/>
        </w:rPr>
        <w:t>（大写：人民币</w:t>
      </w:r>
      <w:r>
        <w:rPr>
          <w:rFonts w:hint="eastAsia" w:ascii="宋体" w:hAnsi="宋体" w:eastAsia="宋体"/>
          <w:sz w:val="24"/>
          <w:highlight w:val="none"/>
          <w:u w:val="single"/>
        </w:rPr>
        <w:t xml:space="preserve">                 </w:t>
      </w:r>
      <w:r>
        <w:rPr>
          <w:rFonts w:hint="eastAsia" w:ascii="宋体" w:hAnsi="宋体" w:eastAsia="宋体"/>
          <w:sz w:val="24"/>
          <w:highlight w:val="none"/>
        </w:rPr>
        <w:t>元）</w:t>
      </w:r>
      <w:r>
        <w:rPr>
          <w:rFonts w:ascii="宋体" w:hAnsi="宋体" w:eastAsia="宋体"/>
          <w:sz w:val="24"/>
          <w:highlight w:val="none"/>
        </w:rPr>
        <w:t>。</w:t>
      </w:r>
    </w:p>
    <w:p w14:paraId="068CA0D0">
      <w:pPr>
        <w:spacing w:line="360" w:lineRule="auto"/>
        <w:ind w:firstLine="435"/>
        <w:rPr>
          <w:rFonts w:ascii="宋体" w:hAnsi="宋体" w:eastAsia="宋体"/>
          <w:sz w:val="24"/>
          <w:highlight w:val="none"/>
          <w:u w:val="single"/>
        </w:rPr>
      </w:pPr>
      <w:r>
        <w:rPr>
          <w:rFonts w:ascii="宋体" w:hAnsi="宋体" w:eastAsia="宋体"/>
          <w:sz w:val="24"/>
          <w:highlight w:val="none"/>
        </w:rPr>
        <w:t>分项价格：</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0"/>
        <w:gridCol w:w="4732"/>
        <w:gridCol w:w="13"/>
        <w:gridCol w:w="3536"/>
        <w:gridCol w:w="14"/>
      </w:tblGrid>
      <w:tr w14:paraId="3C7DF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vAlign w:val="center"/>
          </w:tcPr>
          <w:p w14:paraId="4564D67B">
            <w:pPr>
              <w:jc w:val="center"/>
              <w:rPr>
                <w:rFonts w:ascii="宋体" w:hAnsi="宋体" w:eastAsia="宋体"/>
                <w:sz w:val="24"/>
                <w:highlight w:val="none"/>
                <w:lang w:val="zh-CN"/>
              </w:rPr>
            </w:pPr>
            <w:r>
              <w:rPr>
                <w:rFonts w:ascii="宋体" w:hAnsi="宋体" w:eastAsia="宋体"/>
                <w:sz w:val="24"/>
                <w:highlight w:val="none"/>
                <w:lang w:val="zh-CN"/>
              </w:rPr>
              <w:t>序号</w:t>
            </w:r>
          </w:p>
        </w:tc>
        <w:tc>
          <w:tcPr>
            <w:tcW w:w="2532" w:type="pct"/>
            <w:vAlign w:val="center"/>
          </w:tcPr>
          <w:p w14:paraId="32287F3C">
            <w:pPr>
              <w:pStyle w:val="58"/>
              <w:ind w:firstLine="200"/>
              <w:jc w:val="center"/>
              <w:rPr>
                <w:rFonts w:ascii="宋体" w:hAnsi="宋体" w:eastAsia="宋体"/>
                <w:sz w:val="24"/>
                <w:szCs w:val="24"/>
                <w:highlight w:val="none"/>
              </w:rPr>
            </w:pPr>
            <w:r>
              <w:rPr>
                <w:rFonts w:hint="eastAsia" w:ascii="宋体" w:hAnsi="宋体" w:eastAsia="宋体"/>
                <w:sz w:val="24"/>
                <w:szCs w:val="24"/>
                <w:highlight w:val="none"/>
              </w:rPr>
              <w:t>分项名称</w:t>
            </w:r>
          </w:p>
        </w:tc>
        <w:tc>
          <w:tcPr>
            <w:tcW w:w="1899" w:type="pct"/>
            <w:gridSpan w:val="2"/>
            <w:vAlign w:val="center"/>
          </w:tcPr>
          <w:p w14:paraId="7E559611">
            <w:pPr>
              <w:pStyle w:val="58"/>
              <w:jc w:val="center"/>
              <w:rPr>
                <w:rFonts w:ascii="宋体" w:hAnsi="宋体" w:eastAsia="宋体"/>
                <w:sz w:val="24"/>
                <w:szCs w:val="24"/>
                <w:highlight w:val="none"/>
              </w:rPr>
            </w:pPr>
            <w:r>
              <w:rPr>
                <w:rFonts w:ascii="宋体" w:hAnsi="宋体" w:eastAsia="宋体"/>
                <w:sz w:val="24"/>
                <w:szCs w:val="24"/>
                <w:highlight w:val="none"/>
              </w:rPr>
              <w:t>分项价格</w:t>
            </w:r>
          </w:p>
        </w:tc>
      </w:tr>
      <w:tr w14:paraId="5CF2B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14:paraId="4ECC266E">
            <w:pPr>
              <w:jc w:val="center"/>
              <w:rPr>
                <w:rFonts w:ascii="宋体" w:hAnsi="宋体" w:eastAsia="宋体"/>
                <w:sz w:val="24"/>
                <w:highlight w:val="none"/>
                <w:lang w:val="zh-CN"/>
              </w:rPr>
            </w:pPr>
            <w:r>
              <w:rPr>
                <w:rFonts w:hint="eastAsia" w:ascii="宋体" w:hAnsi="宋体" w:eastAsia="宋体"/>
                <w:sz w:val="24"/>
                <w:highlight w:val="none"/>
                <w:lang w:val="zh-CN"/>
              </w:rPr>
              <w:t>1</w:t>
            </w:r>
          </w:p>
        </w:tc>
        <w:tc>
          <w:tcPr>
            <w:tcW w:w="2532" w:type="pct"/>
            <w:vAlign w:val="center"/>
          </w:tcPr>
          <w:p w14:paraId="36A8CEE8">
            <w:pPr>
              <w:pStyle w:val="58"/>
              <w:ind w:firstLine="200"/>
              <w:jc w:val="center"/>
              <w:rPr>
                <w:rFonts w:ascii="宋体" w:hAnsi="宋体" w:eastAsia="宋体"/>
                <w:sz w:val="24"/>
                <w:szCs w:val="24"/>
                <w:highlight w:val="none"/>
              </w:rPr>
            </w:pPr>
          </w:p>
        </w:tc>
        <w:tc>
          <w:tcPr>
            <w:tcW w:w="1899" w:type="pct"/>
            <w:gridSpan w:val="2"/>
            <w:vAlign w:val="center"/>
          </w:tcPr>
          <w:p w14:paraId="1D3FBD9E">
            <w:pPr>
              <w:pStyle w:val="58"/>
              <w:ind w:firstLine="200"/>
              <w:jc w:val="center"/>
              <w:rPr>
                <w:rFonts w:ascii="宋体" w:hAnsi="宋体" w:eastAsia="宋体"/>
                <w:sz w:val="24"/>
                <w:szCs w:val="24"/>
                <w:highlight w:val="none"/>
              </w:rPr>
            </w:pPr>
          </w:p>
        </w:tc>
      </w:tr>
      <w:tr w14:paraId="26BE2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14:paraId="4CFD38A9">
            <w:pPr>
              <w:jc w:val="center"/>
              <w:rPr>
                <w:rFonts w:ascii="宋体" w:hAnsi="宋体" w:eastAsia="宋体"/>
                <w:sz w:val="24"/>
                <w:highlight w:val="none"/>
                <w:lang w:val="zh-CN"/>
              </w:rPr>
            </w:pPr>
            <w:r>
              <w:rPr>
                <w:rFonts w:hint="eastAsia" w:ascii="宋体" w:hAnsi="宋体" w:eastAsia="宋体"/>
                <w:sz w:val="24"/>
                <w:highlight w:val="none"/>
                <w:lang w:val="zh-CN"/>
              </w:rPr>
              <w:t>2</w:t>
            </w:r>
          </w:p>
        </w:tc>
        <w:tc>
          <w:tcPr>
            <w:tcW w:w="2532" w:type="pct"/>
            <w:vAlign w:val="center"/>
          </w:tcPr>
          <w:p w14:paraId="676429A7">
            <w:pPr>
              <w:pStyle w:val="58"/>
              <w:ind w:firstLine="200"/>
              <w:jc w:val="center"/>
              <w:rPr>
                <w:rFonts w:ascii="宋体" w:hAnsi="宋体" w:eastAsia="宋体"/>
                <w:sz w:val="24"/>
                <w:szCs w:val="24"/>
                <w:highlight w:val="none"/>
              </w:rPr>
            </w:pPr>
          </w:p>
        </w:tc>
        <w:tc>
          <w:tcPr>
            <w:tcW w:w="1899" w:type="pct"/>
            <w:gridSpan w:val="2"/>
            <w:vAlign w:val="center"/>
          </w:tcPr>
          <w:p w14:paraId="4A9AB481">
            <w:pPr>
              <w:pStyle w:val="58"/>
              <w:ind w:firstLine="200"/>
              <w:jc w:val="center"/>
              <w:rPr>
                <w:rFonts w:ascii="宋体" w:hAnsi="宋体" w:eastAsia="宋体"/>
                <w:sz w:val="24"/>
                <w:szCs w:val="24"/>
                <w:highlight w:val="none"/>
              </w:rPr>
            </w:pPr>
          </w:p>
        </w:tc>
      </w:tr>
      <w:tr w14:paraId="3819A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14:paraId="1C6F0E9B">
            <w:pPr>
              <w:jc w:val="center"/>
              <w:rPr>
                <w:rFonts w:ascii="宋体" w:hAnsi="宋体" w:eastAsia="宋体"/>
                <w:sz w:val="24"/>
                <w:highlight w:val="none"/>
                <w:lang w:val="zh-CN"/>
              </w:rPr>
            </w:pPr>
            <w:r>
              <w:rPr>
                <w:rFonts w:ascii="宋体" w:hAnsi="宋体" w:eastAsia="宋体"/>
                <w:sz w:val="24"/>
                <w:highlight w:val="none"/>
                <w:lang w:val="zh-CN"/>
              </w:rPr>
              <w:t>3</w:t>
            </w:r>
          </w:p>
        </w:tc>
        <w:tc>
          <w:tcPr>
            <w:tcW w:w="2532" w:type="pct"/>
            <w:vAlign w:val="center"/>
          </w:tcPr>
          <w:p w14:paraId="25517EB3">
            <w:pPr>
              <w:pStyle w:val="58"/>
              <w:ind w:firstLine="200"/>
              <w:jc w:val="center"/>
              <w:rPr>
                <w:rFonts w:ascii="宋体" w:hAnsi="宋体" w:eastAsia="宋体"/>
                <w:sz w:val="24"/>
                <w:szCs w:val="24"/>
                <w:highlight w:val="none"/>
              </w:rPr>
            </w:pPr>
          </w:p>
        </w:tc>
        <w:tc>
          <w:tcPr>
            <w:tcW w:w="1899" w:type="pct"/>
            <w:gridSpan w:val="2"/>
            <w:vAlign w:val="center"/>
          </w:tcPr>
          <w:p w14:paraId="4FB40AA5">
            <w:pPr>
              <w:pStyle w:val="58"/>
              <w:ind w:firstLine="200"/>
              <w:jc w:val="center"/>
              <w:rPr>
                <w:rFonts w:ascii="宋体" w:hAnsi="宋体" w:eastAsia="宋体"/>
                <w:sz w:val="24"/>
                <w:szCs w:val="24"/>
                <w:highlight w:val="none"/>
              </w:rPr>
            </w:pPr>
          </w:p>
        </w:tc>
      </w:tr>
      <w:tr w14:paraId="2827D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14:paraId="541FB38E">
            <w:pPr>
              <w:jc w:val="center"/>
              <w:rPr>
                <w:rFonts w:ascii="宋体" w:hAnsi="宋体" w:eastAsia="宋体"/>
                <w:sz w:val="24"/>
                <w:highlight w:val="none"/>
                <w:lang w:val="zh-CN"/>
              </w:rPr>
            </w:pPr>
            <w:r>
              <w:rPr>
                <w:rFonts w:hint="eastAsia" w:ascii="宋体" w:hAnsi="宋体" w:eastAsia="宋体"/>
                <w:sz w:val="24"/>
                <w:highlight w:val="none"/>
                <w:lang w:val="zh-CN"/>
              </w:rPr>
              <w:t>……</w:t>
            </w:r>
          </w:p>
        </w:tc>
        <w:tc>
          <w:tcPr>
            <w:tcW w:w="2532" w:type="pct"/>
            <w:vAlign w:val="center"/>
          </w:tcPr>
          <w:p w14:paraId="5AFBEAFD">
            <w:pPr>
              <w:pStyle w:val="58"/>
              <w:ind w:firstLine="200"/>
              <w:jc w:val="center"/>
              <w:rPr>
                <w:rFonts w:ascii="宋体" w:hAnsi="宋体" w:eastAsia="宋体"/>
                <w:sz w:val="24"/>
                <w:szCs w:val="24"/>
                <w:highlight w:val="none"/>
              </w:rPr>
            </w:pPr>
          </w:p>
        </w:tc>
        <w:tc>
          <w:tcPr>
            <w:tcW w:w="1899" w:type="pct"/>
            <w:gridSpan w:val="2"/>
            <w:vAlign w:val="center"/>
          </w:tcPr>
          <w:p w14:paraId="05E33A1B">
            <w:pPr>
              <w:pStyle w:val="58"/>
              <w:ind w:firstLine="200"/>
              <w:jc w:val="center"/>
              <w:rPr>
                <w:rFonts w:ascii="宋体" w:hAnsi="宋体" w:eastAsia="宋体"/>
                <w:sz w:val="24"/>
                <w:szCs w:val="24"/>
                <w:highlight w:val="none"/>
              </w:rPr>
            </w:pPr>
          </w:p>
        </w:tc>
      </w:tr>
      <w:tr w14:paraId="7EFB3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101" w:type="pct"/>
            <w:gridSpan w:val="3"/>
            <w:vAlign w:val="center"/>
          </w:tcPr>
          <w:p w14:paraId="4C538732">
            <w:pPr>
              <w:pStyle w:val="58"/>
              <w:ind w:firstLine="200"/>
              <w:jc w:val="center"/>
              <w:rPr>
                <w:rFonts w:ascii="宋体" w:hAnsi="宋体" w:eastAsia="宋体"/>
                <w:sz w:val="24"/>
                <w:szCs w:val="24"/>
                <w:highlight w:val="none"/>
              </w:rPr>
            </w:pPr>
            <w:r>
              <w:rPr>
                <w:rFonts w:hint="eastAsia" w:ascii="宋体" w:hAnsi="宋体" w:eastAsia="宋体"/>
                <w:sz w:val="24"/>
                <w:szCs w:val="24"/>
                <w:highlight w:val="none"/>
              </w:rPr>
              <w:t>总价</w:t>
            </w:r>
          </w:p>
        </w:tc>
        <w:tc>
          <w:tcPr>
            <w:tcW w:w="1899" w:type="pct"/>
            <w:gridSpan w:val="2"/>
            <w:vAlign w:val="center"/>
          </w:tcPr>
          <w:p w14:paraId="07431F65">
            <w:pPr>
              <w:pStyle w:val="58"/>
              <w:ind w:firstLine="200"/>
              <w:jc w:val="center"/>
              <w:rPr>
                <w:rFonts w:ascii="宋体" w:hAnsi="宋体" w:eastAsia="宋体"/>
                <w:sz w:val="24"/>
                <w:szCs w:val="24"/>
                <w:highlight w:val="none"/>
              </w:rPr>
            </w:pPr>
          </w:p>
        </w:tc>
      </w:tr>
    </w:tbl>
    <w:p w14:paraId="1EDA8C4A">
      <w:pPr>
        <w:spacing w:line="360" w:lineRule="auto"/>
        <w:ind w:firstLine="437"/>
        <w:outlineLvl w:val="2"/>
        <w:rPr>
          <w:rFonts w:ascii="宋体" w:hAnsi="宋体" w:eastAsia="宋体"/>
          <w:b/>
          <w:bCs/>
          <w:sz w:val="24"/>
          <w:highlight w:val="none"/>
          <w:lang w:val="zh-CN"/>
        </w:rPr>
      </w:pPr>
      <w:bookmarkStart w:id="120" w:name="_Toc1814"/>
      <w:bookmarkStart w:id="121" w:name="_Toc10340"/>
      <w:bookmarkStart w:id="122" w:name="_Toc22618"/>
      <w:r>
        <w:rPr>
          <w:rFonts w:hint="eastAsia" w:ascii="宋体" w:hAnsi="宋体" w:eastAsia="宋体"/>
          <w:b/>
          <w:bCs/>
          <w:sz w:val="24"/>
          <w:highlight w:val="none"/>
          <w:lang w:val="zh-CN"/>
        </w:rPr>
        <w:t>1.</w:t>
      </w:r>
      <w:r>
        <w:rPr>
          <w:rFonts w:ascii="宋体" w:hAnsi="宋体" w:eastAsia="宋体"/>
          <w:b/>
          <w:bCs/>
          <w:sz w:val="24"/>
          <w:highlight w:val="none"/>
          <w:lang w:val="zh-CN"/>
        </w:rPr>
        <w:t>4 付款方式和发票开具方式</w:t>
      </w:r>
      <w:bookmarkEnd w:id="120"/>
      <w:bookmarkEnd w:id="121"/>
      <w:bookmarkEnd w:id="122"/>
    </w:p>
    <w:p w14:paraId="4AB57D6D">
      <w:pPr>
        <w:spacing w:line="360" w:lineRule="auto"/>
        <w:ind w:firstLine="435"/>
        <w:rPr>
          <w:rFonts w:ascii="宋体" w:hAnsi="宋体" w:eastAsia="宋体"/>
          <w:sz w:val="24"/>
          <w:highlight w:val="none"/>
        </w:rPr>
      </w:pPr>
      <w:r>
        <w:rPr>
          <w:rFonts w:hint="eastAsia" w:ascii="宋体" w:hAnsi="宋体" w:eastAsia="宋体"/>
          <w:sz w:val="24"/>
          <w:highlight w:val="none"/>
        </w:rPr>
        <w:t>1.4.1</w:t>
      </w:r>
      <w:r>
        <w:rPr>
          <w:rFonts w:ascii="宋体" w:hAnsi="宋体" w:eastAsia="宋体"/>
          <w:sz w:val="24"/>
          <w:highlight w:val="none"/>
        </w:rPr>
        <w:t>付款方式：</w:t>
      </w:r>
      <w:r>
        <w:rPr>
          <w:rFonts w:hint="eastAsia" w:ascii="宋体" w:hAnsi="宋体" w:eastAsia="宋体"/>
          <w:sz w:val="24"/>
          <w:highlight w:val="none"/>
          <w:u w:val="single"/>
        </w:rPr>
        <w:t xml:space="preserve">                                                </w:t>
      </w:r>
      <w:r>
        <w:rPr>
          <w:rFonts w:hint="eastAsia" w:ascii="宋体" w:hAnsi="宋体" w:eastAsia="宋体"/>
          <w:sz w:val="24"/>
          <w:highlight w:val="none"/>
        </w:rPr>
        <w:t>；</w:t>
      </w:r>
    </w:p>
    <w:p w14:paraId="4D9CFD5D">
      <w:pPr>
        <w:spacing w:line="360" w:lineRule="auto"/>
        <w:ind w:firstLine="435"/>
        <w:rPr>
          <w:rFonts w:ascii="宋体" w:hAnsi="宋体" w:eastAsia="宋体"/>
          <w:sz w:val="24"/>
          <w:highlight w:val="none"/>
        </w:rPr>
      </w:pPr>
      <w:r>
        <w:rPr>
          <w:rFonts w:hint="eastAsia" w:ascii="宋体" w:hAnsi="宋体" w:eastAsia="宋体"/>
          <w:sz w:val="24"/>
          <w:highlight w:val="none"/>
        </w:rPr>
        <w:t>1.4.2发票开具方式：</w:t>
      </w:r>
      <w:r>
        <w:rPr>
          <w:rFonts w:hint="eastAsia" w:ascii="宋体" w:hAnsi="宋体" w:eastAsia="宋体"/>
          <w:sz w:val="24"/>
          <w:highlight w:val="none"/>
          <w:u w:val="single"/>
        </w:rPr>
        <w:t xml:space="preserve">                                            </w:t>
      </w:r>
      <w:r>
        <w:rPr>
          <w:rFonts w:hint="eastAsia" w:ascii="宋体" w:hAnsi="宋体" w:eastAsia="宋体"/>
          <w:sz w:val="24"/>
          <w:highlight w:val="none"/>
        </w:rPr>
        <w:t>。</w:t>
      </w:r>
    </w:p>
    <w:p w14:paraId="5E9210B5">
      <w:pPr>
        <w:spacing w:line="360" w:lineRule="auto"/>
        <w:ind w:firstLine="437"/>
        <w:outlineLvl w:val="2"/>
        <w:rPr>
          <w:rFonts w:ascii="宋体" w:hAnsi="宋体" w:eastAsia="宋体"/>
          <w:b/>
          <w:bCs/>
          <w:sz w:val="24"/>
          <w:highlight w:val="none"/>
          <w:lang w:val="zh-CN"/>
        </w:rPr>
      </w:pPr>
      <w:bookmarkStart w:id="123" w:name="_Toc19304"/>
      <w:bookmarkStart w:id="124" w:name="_Toc2846"/>
      <w:bookmarkStart w:id="125" w:name="_Toc32071"/>
      <w:r>
        <w:rPr>
          <w:rFonts w:hint="eastAsia" w:ascii="宋体" w:hAnsi="宋体" w:eastAsia="宋体"/>
          <w:b/>
          <w:bCs/>
          <w:sz w:val="24"/>
          <w:highlight w:val="none"/>
          <w:lang w:val="zh-CN"/>
        </w:rPr>
        <w:t>1.</w:t>
      </w:r>
      <w:r>
        <w:rPr>
          <w:rFonts w:ascii="宋体" w:hAnsi="宋体" w:eastAsia="宋体"/>
          <w:b/>
          <w:bCs/>
          <w:sz w:val="24"/>
          <w:highlight w:val="none"/>
          <w:lang w:val="zh-CN"/>
        </w:rPr>
        <w:t xml:space="preserve">5 </w:t>
      </w:r>
      <w:r>
        <w:rPr>
          <w:rFonts w:hint="eastAsia" w:ascii="宋体" w:hAnsi="宋体" w:eastAsia="宋体"/>
          <w:b/>
          <w:bCs/>
          <w:sz w:val="24"/>
          <w:highlight w:val="none"/>
          <w:lang w:val="zh-CN"/>
        </w:rPr>
        <w:t>服务</w:t>
      </w:r>
      <w:r>
        <w:rPr>
          <w:rFonts w:ascii="宋体" w:hAnsi="宋体" w:eastAsia="宋体"/>
          <w:b/>
          <w:bCs/>
          <w:sz w:val="24"/>
          <w:highlight w:val="none"/>
          <w:lang w:val="zh-CN"/>
        </w:rPr>
        <w:t>期限</w:t>
      </w:r>
      <w:r>
        <w:rPr>
          <w:rFonts w:hint="eastAsia" w:ascii="宋体" w:hAnsi="宋体" w:eastAsia="宋体"/>
          <w:b/>
          <w:bCs/>
          <w:sz w:val="24"/>
          <w:highlight w:val="none"/>
          <w:lang w:val="zh-CN"/>
        </w:rPr>
        <w:t>、地点和方式</w:t>
      </w:r>
      <w:bookmarkEnd w:id="123"/>
      <w:bookmarkEnd w:id="124"/>
      <w:bookmarkEnd w:id="125"/>
    </w:p>
    <w:p w14:paraId="01E46568">
      <w:pPr>
        <w:spacing w:line="360" w:lineRule="auto"/>
        <w:ind w:firstLine="435"/>
        <w:rPr>
          <w:rFonts w:ascii="宋体" w:hAnsi="宋体" w:eastAsia="宋体"/>
          <w:sz w:val="24"/>
          <w:highlight w:val="none"/>
          <w:u w:val="single"/>
        </w:rPr>
      </w:pPr>
      <w:r>
        <w:rPr>
          <w:rFonts w:hint="eastAsia" w:ascii="宋体" w:hAnsi="宋体" w:eastAsia="宋体"/>
          <w:sz w:val="24"/>
          <w:highlight w:val="none"/>
        </w:rPr>
        <w:t>1.5.1服务期限</w:t>
      </w:r>
      <w:r>
        <w:rPr>
          <w:rFonts w:ascii="宋体" w:hAnsi="宋体" w:eastAsia="宋体"/>
          <w:sz w:val="24"/>
          <w:highlight w:val="none"/>
        </w:rPr>
        <w:t>：</w:t>
      </w:r>
      <w:r>
        <w:rPr>
          <w:rFonts w:hint="eastAsia" w:ascii="宋体" w:hAnsi="宋体" w:eastAsia="宋体"/>
          <w:sz w:val="24"/>
          <w:highlight w:val="none"/>
          <w:u w:val="single"/>
        </w:rPr>
        <w:t xml:space="preserve">                                                </w:t>
      </w:r>
      <w:r>
        <w:rPr>
          <w:rFonts w:hint="eastAsia" w:ascii="宋体" w:hAnsi="宋体" w:eastAsia="宋体"/>
          <w:sz w:val="24"/>
          <w:highlight w:val="none"/>
        </w:rPr>
        <w:t>；</w:t>
      </w:r>
    </w:p>
    <w:p w14:paraId="24FB19B1">
      <w:pPr>
        <w:spacing w:line="360" w:lineRule="auto"/>
        <w:ind w:firstLine="435"/>
        <w:rPr>
          <w:rFonts w:ascii="宋体" w:hAnsi="宋体" w:eastAsia="宋体"/>
          <w:sz w:val="24"/>
          <w:highlight w:val="none"/>
        </w:rPr>
      </w:pPr>
      <w:r>
        <w:rPr>
          <w:rFonts w:hint="eastAsia" w:ascii="宋体" w:hAnsi="宋体" w:eastAsia="宋体"/>
          <w:sz w:val="24"/>
          <w:highlight w:val="none"/>
        </w:rPr>
        <w:t>1.5.2服务地点</w:t>
      </w:r>
      <w:r>
        <w:rPr>
          <w:rFonts w:ascii="宋体" w:hAnsi="宋体" w:eastAsia="宋体"/>
          <w:sz w:val="24"/>
          <w:highlight w:val="none"/>
        </w:rPr>
        <w:t>：</w:t>
      </w:r>
      <w:r>
        <w:rPr>
          <w:rFonts w:hint="eastAsia" w:ascii="宋体" w:hAnsi="宋体" w:eastAsia="宋体"/>
          <w:sz w:val="24"/>
          <w:highlight w:val="none"/>
          <w:u w:val="single"/>
        </w:rPr>
        <w:t xml:space="preserve">                                                </w:t>
      </w:r>
      <w:r>
        <w:rPr>
          <w:rFonts w:hint="eastAsia" w:ascii="宋体" w:hAnsi="宋体" w:eastAsia="宋体"/>
          <w:sz w:val="24"/>
          <w:highlight w:val="none"/>
        </w:rPr>
        <w:t>；</w:t>
      </w:r>
    </w:p>
    <w:p w14:paraId="6AD585A1">
      <w:pPr>
        <w:spacing w:line="360" w:lineRule="auto"/>
        <w:ind w:firstLine="435"/>
        <w:rPr>
          <w:rFonts w:ascii="宋体" w:hAnsi="宋体" w:eastAsia="宋体"/>
          <w:sz w:val="24"/>
          <w:highlight w:val="none"/>
        </w:rPr>
      </w:pPr>
      <w:r>
        <w:rPr>
          <w:rFonts w:hint="eastAsia" w:ascii="宋体" w:hAnsi="宋体" w:eastAsia="宋体"/>
          <w:sz w:val="24"/>
          <w:highlight w:val="none"/>
        </w:rPr>
        <w:t>1.5.3服务方式：</w:t>
      </w:r>
      <w:r>
        <w:rPr>
          <w:rFonts w:hint="eastAsia" w:ascii="宋体" w:hAnsi="宋体" w:eastAsia="宋体"/>
          <w:sz w:val="24"/>
          <w:highlight w:val="none"/>
          <w:u w:val="single"/>
        </w:rPr>
        <w:t xml:space="preserve">                                                </w:t>
      </w:r>
      <w:r>
        <w:rPr>
          <w:rFonts w:hint="eastAsia" w:ascii="宋体" w:hAnsi="宋体" w:eastAsia="宋体"/>
          <w:sz w:val="24"/>
          <w:highlight w:val="none"/>
        </w:rPr>
        <w:t>。</w:t>
      </w:r>
    </w:p>
    <w:p w14:paraId="53BADACA">
      <w:pPr>
        <w:spacing w:line="360" w:lineRule="auto"/>
        <w:ind w:firstLine="437"/>
        <w:outlineLvl w:val="2"/>
        <w:rPr>
          <w:rFonts w:ascii="宋体" w:hAnsi="宋体" w:eastAsia="宋体"/>
          <w:b/>
          <w:bCs/>
          <w:sz w:val="24"/>
          <w:highlight w:val="none"/>
          <w:lang w:val="zh-CN"/>
        </w:rPr>
      </w:pPr>
      <w:bookmarkStart w:id="126" w:name="_Toc27250"/>
      <w:bookmarkStart w:id="127" w:name="_Toc21423"/>
      <w:bookmarkStart w:id="128" w:name="_Toc19554"/>
      <w:r>
        <w:rPr>
          <w:rFonts w:hint="eastAsia" w:ascii="宋体" w:hAnsi="宋体" w:eastAsia="宋体"/>
          <w:b/>
          <w:bCs/>
          <w:sz w:val="24"/>
          <w:highlight w:val="none"/>
          <w:lang w:val="zh-CN"/>
        </w:rPr>
        <w:t>1.6 违约责任</w:t>
      </w:r>
      <w:bookmarkEnd w:id="126"/>
      <w:bookmarkEnd w:id="127"/>
      <w:bookmarkEnd w:id="128"/>
    </w:p>
    <w:p w14:paraId="5AFA8AEB">
      <w:pPr>
        <w:spacing w:line="360" w:lineRule="auto"/>
        <w:ind w:firstLine="435"/>
        <w:rPr>
          <w:rFonts w:ascii="宋体" w:hAnsi="宋体" w:eastAsia="宋体"/>
          <w:sz w:val="24"/>
          <w:highlight w:val="none"/>
        </w:rPr>
      </w:pPr>
      <w:r>
        <w:rPr>
          <w:rFonts w:hint="eastAsia" w:ascii="宋体" w:hAnsi="宋体" w:eastAsia="宋体"/>
          <w:sz w:val="24"/>
          <w:highlight w:val="none"/>
        </w:rPr>
        <w:t>1.6.1</w:t>
      </w:r>
      <w:r>
        <w:rPr>
          <w:rFonts w:ascii="宋体" w:hAnsi="宋体" w:eastAsia="宋体"/>
          <w:sz w:val="24"/>
          <w:highlight w:val="none"/>
        </w:rPr>
        <w:t>除不可抗力外，如果乙方没有按照本合同约定的期限</w:t>
      </w:r>
      <w:r>
        <w:rPr>
          <w:rFonts w:hint="eastAsia" w:ascii="宋体" w:hAnsi="宋体" w:eastAsia="宋体"/>
          <w:sz w:val="24"/>
          <w:highlight w:val="none"/>
        </w:rPr>
        <w:t>、</w:t>
      </w:r>
      <w:r>
        <w:rPr>
          <w:rFonts w:ascii="宋体" w:hAnsi="宋体" w:eastAsia="宋体"/>
          <w:sz w:val="24"/>
          <w:highlight w:val="none"/>
        </w:rPr>
        <w:t>地点和方式</w:t>
      </w:r>
      <w:r>
        <w:rPr>
          <w:rFonts w:hint="eastAsia" w:ascii="宋体" w:hAnsi="宋体" w:eastAsia="宋体"/>
          <w:sz w:val="24"/>
          <w:highlight w:val="none"/>
        </w:rPr>
        <w:t>履行</w:t>
      </w:r>
      <w:r>
        <w:rPr>
          <w:rFonts w:ascii="宋体" w:hAnsi="宋体" w:eastAsia="宋体"/>
          <w:sz w:val="24"/>
          <w:highlight w:val="none"/>
        </w:rPr>
        <w:t>，那么甲方可要求乙方支付违约金</w:t>
      </w:r>
      <w:r>
        <w:rPr>
          <w:rFonts w:hint="eastAsia" w:ascii="宋体" w:hAnsi="宋体" w:eastAsia="宋体"/>
          <w:sz w:val="24"/>
          <w:highlight w:val="none"/>
        </w:rPr>
        <w:t>，</w:t>
      </w:r>
      <w:r>
        <w:rPr>
          <w:rFonts w:ascii="宋体" w:hAnsi="宋体" w:eastAsia="宋体"/>
          <w:sz w:val="24"/>
          <w:highlight w:val="none"/>
        </w:rPr>
        <w:t>违约金按每迟延</w:t>
      </w:r>
      <w:r>
        <w:rPr>
          <w:rFonts w:hint="eastAsia" w:ascii="宋体" w:hAnsi="宋体" w:eastAsia="宋体"/>
          <w:sz w:val="24"/>
          <w:highlight w:val="none"/>
        </w:rPr>
        <w:t>履行</w:t>
      </w:r>
      <w:r>
        <w:rPr>
          <w:rFonts w:ascii="宋体" w:hAnsi="宋体" w:eastAsia="宋体"/>
          <w:sz w:val="24"/>
          <w:highlight w:val="none"/>
        </w:rPr>
        <w:t>一日的应提供而未</w:t>
      </w:r>
      <w:r>
        <w:rPr>
          <w:rFonts w:hint="eastAsia" w:ascii="宋体" w:hAnsi="宋体" w:eastAsia="宋体"/>
          <w:sz w:val="24"/>
          <w:highlight w:val="none"/>
        </w:rPr>
        <w:t>提供</w:t>
      </w:r>
      <w:r>
        <w:rPr>
          <w:rFonts w:ascii="宋体" w:hAnsi="宋体" w:eastAsia="宋体"/>
          <w:sz w:val="24"/>
          <w:highlight w:val="none"/>
        </w:rPr>
        <w:t>服务价格的</w:t>
      </w:r>
      <w:r>
        <w:rPr>
          <w:rFonts w:hint="eastAsia" w:ascii="宋体" w:hAnsi="宋体" w:eastAsia="宋体"/>
          <w:sz w:val="24"/>
          <w:highlight w:val="none"/>
          <w:u w:val="single"/>
        </w:rPr>
        <w:t xml:space="preserve"> </w:t>
      </w:r>
      <w:r>
        <w:rPr>
          <w:rFonts w:hint="eastAsia" w:ascii="宋体" w:hAnsi="宋体" w:eastAsia="宋体"/>
          <w:sz w:val="24"/>
          <w:highlight w:val="none"/>
          <w:u w:val="single"/>
          <w:lang w:val="en-US" w:eastAsia="zh-CN"/>
        </w:rPr>
        <w:t>0.25</w:t>
      </w:r>
      <w:r>
        <w:rPr>
          <w:rFonts w:hint="eastAsia" w:ascii="宋体" w:hAnsi="宋体" w:eastAsia="宋体"/>
          <w:sz w:val="24"/>
          <w:highlight w:val="none"/>
          <w:u w:val="single"/>
        </w:rPr>
        <w:t xml:space="preserve"> </w:t>
      </w:r>
      <w:r>
        <w:rPr>
          <w:rFonts w:ascii="宋体" w:hAnsi="宋体" w:eastAsia="宋体"/>
          <w:sz w:val="24"/>
          <w:highlight w:val="none"/>
        </w:rPr>
        <w:t>%计算</w:t>
      </w:r>
      <w:r>
        <w:rPr>
          <w:rFonts w:hint="eastAsia" w:ascii="宋体" w:hAnsi="宋体" w:eastAsia="宋体"/>
          <w:sz w:val="24"/>
          <w:highlight w:val="none"/>
        </w:rPr>
        <w:t>，</w:t>
      </w:r>
      <w:r>
        <w:rPr>
          <w:rFonts w:ascii="宋体" w:hAnsi="宋体" w:eastAsia="宋体"/>
          <w:sz w:val="24"/>
          <w:highlight w:val="none"/>
        </w:rPr>
        <w:t>最高限额为</w:t>
      </w:r>
      <w:r>
        <w:rPr>
          <w:rFonts w:hint="eastAsia" w:ascii="宋体" w:hAnsi="宋体" w:eastAsia="宋体"/>
          <w:sz w:val="24"/>
          <w:highlight w:val="none"/>
        </w:rPr>
        <w:t>本</w:t>
      </w:r>
      <w:r>
        <w:rPr>
          <w:rFonts w:ascii="宋体" w:hAnsi="宋体" w:eastAsia="宋体"/>
          <w:sz w:val="24"/>
          <w:highlight w:val="none"/>
        </w:rPr>
        <w:t>合同总价的</w:t>
      </w:r>
      <w:r>
        <w:rPr>
          <w:rFonts w:hint="eastAsia" w:ascii="宋体" w:hAnsi="宋体" w:eastAsia="宋体"/>
          <w:sz w:val="24"/>
          <w:highlight w:val="none"/>
          <w:u w:val="single"/>
        </w:rPr>
        <w:t xml:space="preserve">  </w:t>
      </w:r>
      <w:r>
        <w:rPr>
          <w:rFonts w:hint="eastAsia" w:ascii="宋体" w:hAnsi="宋体" w:eastAsia="宋体"/>
          <w:sz w:val="24"/>
          <w:highlight w:val="none"/>
          <w:u w:val="single"/>
          <w:lang w:val="en-US" w:eastAsia="zh-CN"/>
        </w:rPr>
        <w:t>2.5</w:t>
      </w:r>
      <w:r>
        <w:rPr>
          <w:rFonts w:hint="eastAsia" w:ascii="宋体" w:hAnsi="宋体" w:eastAsia="宋体"/>
          <w:sz w:val="24"/>
          <w:highlight w:val="none"/>
          <w:u w:val="single"/>
        </w:rPr>
        <w:t xml:space="preserve">   </w:t>
      </w:r>
      <w:r>
        <w:rPr>
          <w:rFonts w:ascii="宋体" w:hAnsi="宋体" w:eastAsia="宋体"/>
          <w:sz w:val="24"/>
          <w:highlight w:val="none"/>
        </w:rPr>
        <w:t>%</w:t>
      </w:r>
      <w:r>
        <w:rPr>
          <w:rFonts w:hint="eastAsia" w:ascii="宋体" w:hAnsi="宋体" w:eastAsia="宋体"/>
          <w:sz w:val="24"/>
          <w:highlight w:val="none"/>
        </w:rPr>
        <w:t>；</w:t>
      </w:r>
      <w:r>
        <w:rPr>
          <w:rFonts w:ascii="宋体" w:hAnsi="宋体" w:eastAsia="宋体"/>
          <w:sz w:val="24"/>
          <w:highlight w:val="none"/>
        </w:rPr>
        <w:t>迟延</w:t>
      </w:r>
      <w:r>
        <w:rPr>
          <w:rFonts w:hint="eastAsia" w:ascii="宋体" w:hAnsi="宋体" w:eastAsia="宋体"/>
          <w:sz w:val="24"/>
          <w:highlight w:val="none"/>
        </w:rPr>
        <w:t>履行</w:t>
      </w:r>
      <w:r>
        <w:rPr>
          <w:rFonts w:ascii="宋体" w:hAnsi="宋体" w:eastAsia="宋体"/>
          <w:sz w:val="24"/>
          <w:highlight w:val="none"/>
        </w:rPr>
        <w:t>的违约金计算数额达到前述最高限额之日起</w:t>
      </w:r>
      <w:r>
        <w:rPr>
          <w:rFonts w:hint="eastAsia" w:ascii="宋体" w:hAnsi="宋体" w:eastAsia="宋体"/>
          <w:sz w:val="24"/>
          <w:highlight w:val="none"/>
        </w:rPr>
        <w:t>，</w:t>
      </w:r>
      <w:r>
        <w:rPr>
          <w:rFonts w:ascii="宋体" w:hAnsi="宋体" w:eastAsia="宋体"/>
          <w:sz w:val="24"/>
          <w:highlight w:val="none"/>
        </w:rPr>
        <w:t>甲方有权在要求乙方支付违约金的同时</w:t>
      </w:r>
      <w:r>
        <w:rPr>
          <w:rFonts w:hint="eastAsia" w:ascii="宋体" w:hAnsi="宋体" w:eastAsia="宋体"/>
          <w:sz w:val="24"/>
          <w:highlight w:val="none"/>
        </w:rPr>
        <w:t>，书面通知乙方</w:t>
      </w:r>
      <w:r>
        <w:rPr>
          <w:rFonts w:ascii="宋体" w:hAnsi="宋体" w:eastAsia="宋体"/>
          <w:sz w:val="24"/>
          <w:highlight w:val="none"/>
        </w:rPr>
        <w:t>解除本合同</w:t>
      </w:r>
      <w:r>
        <w:rPr>
          <w:rFonts w:hint="eastAsia" w:ascii="宋体" w:hAnsi="宋体" w:eastAsia="宋体"/>
          <w:sz w:val="24"/>
          <w:highlight w:val="none"/>
        </w:rPr>
        <w:t>；</w:t>
      </w:r>
    </w:p>
    <w:p w14:paraId="674742DC">
      <w:pPr>
        <w:spacing w:line="360" w:lineRule="auto"/>
        <w:ind w:firstLine="435"/>
        <w:rPr>
          <w:rFonts w:ascii="宋体" w:hAnsi="宋体" w:eastAsia="宋体"/>
          <w:sz w:val="24"/>
          <w:highlight w:val="none"/>
        </w:rPr>
      </w:pPr>
      <w:r>
        <w:rPr>
          <w:rFonts w:hint="eastAsia" w:ascii="宋体" w:hAnsi="宋体" w:eastAsia="宋体"/>
          <w:sz w:val="24"/>
          <w:highlight w:val="none"/>
        </w:rPr>
        <w:t>1.6.2</w:t>
      </w:r>
      <w:r>
        <w:rPr>
          <w:rFonts w:ascii="宋体" w:hAnsi="宋体" w:eastAsia="宋体"/>
          <w:sz w:val="24"/>
          <w:highlight w:val="none"/>
        </w:rPr>
        <w:t>除不可抗力外，如果甲方没有按照本合同约定的付款方式付款，那么乙方可要求甲方支付违约金</w:t>
      </w:r>
      <w:r>
        <w:rPr>
          <w:rFonts w:hint="eastAsia" w:ascii="宋体" w:hAnsi="宋体" w:eastAsia="宋体"/>
          <w:sz w:val="24"/>
          <w:highlight w:val="none"/>
        </w:rPr>
        <w:t>，</w:t>
      </w:r>
      <w:r>
        <w:rPr>
          <w:rFonts w:ascii="宋体" w:hAnsi="宋体" w:eastAsia="宋体"/>
          <w:sz w:val="24"/>
          <w:highlight w:val="none"/>
        </w:rPr>
        <w:t>违约金按每迟延</w:t>
      </w:r>
      <w:r>
        <w:rPr>
          <w:rFonts w:hint="eastAsia" w:ascii="宋体" w:hAnsi="宋体" w:eastAsia="宋体"/>
          <w:sz w:val="24"/>
          <w:highlight w:val="none"/>
        </w:rPr>
        <w:t>付款</w:t>
      </w:r>
      <w:r>
        <w:rPr>
          <w:rFonts w:ascii="宋体" w:hAnsi="宋体" w:eastAsia="宋体"/>
          <w:sz w:val="24"/>
          <w:highlight w:val="none"/>
        </w:rPr>
        <w:t>一日的应付而未付款的</w:t>
      </w:r>
      <w:r>
        <w:rPr>
          <w:rFonts w:hint="eastAsia" w:ascii="宋体" w:hAnsi="宋体" w:eastAsia="宋体"/>
          <w:sz w:val="24"/>
          <w:highlight w:val="none"/>
          <w:u w:val="single"/>
        </w:rPr>
        <w:t xml:space="preserve"> </w:t>
      </w:r>
      <w:r>
        <w:rPr>
          <w:rFonts w:hint="eastAsia" w:ascii="宋体" w:hAnsi="宋体" w:eastAsia="宋体"/>
          <w:sz w:val="24"/>
          <w:highlight w:val="none"/>
          <w:u w:val="single"/>
          <w:lang w:val="en-US" w:eastAsia="zh-CN"/>
        </w:rPr>
        <w:t>0.25</w:t>
      </w:r>
      <w:r>
        <w:rPr>
          <w:rFonts w:hint="eastAsia" w:ascii="宋体" w:hAnsi="宋体" w:eastAsia="宋体"/>
          <w:sz w:val="24"/>
          <w:highlight w:val="none"/>
          <w:u w:val="single"/>
        </w:rPr>
        <w:t xml:space="preserve">   </w:t>
      </w:r>
      <w:r>
        <w:rPr>
          <w:rFonts w:ascii="宋体" w:hAnsi="宋体" w:eastAsia="宋体"/>
          <w:sz w:val="24"/>
          <w:highlight w:val="none"/>
        </w:rPr>
        <w:t>%计算</w:t>
      </w:r>
      <w:r>
        <w:rPr>
          <w:rFonts w:hint="eastAsia" w:ascii="宋体" w:hAnsi="宋体" w:eastAsia="宋体"/>
          <w:sz w:val="24"/>
          <w:highlight w:val="none"/>
        </w:rPr>
        <w:t>，</w:t>
      </w:r>
      <w:r>
        <w:rPr>
          <w:rFonts w:ascii="宋体" w:hAnsi="宋体" w:eastAsia="宋体"/>
          <w:sz w:val="24"/>
          <w:highlight w:val="none"/>
        </w:rPr>
        <w:t>最高限额为</w:t>
      </w:r>
      <w:r>
        <w:rPr>
          <w:rFonts w:hint="eastAsia" w:ascii="宋体" w:hAnsi="宋体" w:eastAsia="宋体"/>
          <w:sz w:val="24"/>
          <w:highlight w:val="none"/>
        </w:rPr>
        <w:t>本</w:t>
      </w:r>
      <w:r>
        <w:rPr>
          <w:rFonts w:ascii="宋体" w:hAnsi="宋体" w:eastAsia="宋体"/>
          <w:sz w:val="24"/>
          <w:highlight w:val="none"/>
        </w:rPr>
        <w:t>合同总价的</w:t>
      </w:r>
      <w:r>
        <w:rPr>
          <w:rFonts w:hint="eastAsia" w:ascii="宋体" w:hAnsi="宋体" w:eastAsia="宋体"/>
          <w:sz w:val="24"/>
          <w:highlight w:val="none"/>
          <w:u w:val="single"/>
        </w:rPr>
        <w:t xml:space="preserve">  </w:t>
      </w:r>
      <w:r>
        <w:rPr>
          <w:rFonts w:hint="eastAsia" w:ascii="宋体" w:hAnsi="宋体" w:eastAsia="宋体"/>
          <w:sz w:val="24"/>
          <w:highlight w:val="none"/>
          <w:u w:val="single"/>
          <w:lang w:val="en-US" w:eastAsia="zh-CN"/>
        </w:rPr>
        <w:t>2.5</w:t>
      </w:r>
      <w:r>
        <w:rPr>
          <w:rFonts w:hint="eastAsia" w:ascii="宋体" w:hAnsi="宋体" w:eastAsia="宋体"/>
          <w:sz w:val="24"/>
          <w:highlight w:val="none"/>
          <w:u w:val="single"/>
        </w:rPr>
        <w:t xml:space="preserve">   </w:t>
      </w:r>
      <w:r>
        <w:rPr>
          <w:rFonts w:ascii="宋体" w:hAnsi="宋体" w:eastAsia="宋体"/>
          <w:sz w:val="24"/>
          <w:highlight w:val="none"/>
        </w:rPr>
        <w:t>%</w:t>
      </w:r>
      <w:r>
        <w:rPr>
          <w:rFonts w:hint="eastAsia" w:ascii="宋体" w:hAnsi="宋体" w:eastAsia="宋体"/>
          <w:sz w:val="24"/>
          <w:highlight w:val="none"/>
        </w:rPr>
        <w:t>；</w:t>
      </w:r>
      <w:r>
        <w:rPr>
          <w:rFonts w:ascii="宋体" w:hAnsi="宋体" w:eastAsia="宋体"/>
          <w:sz w:val="24"/>
          <w:highlight w:val="none"/>
        </w:rPr>
        <w:t>迟延</w:t>
      </w:r>
      <w:r>
        <w:rPr>
          <w:rFonts w:hint="eastAsia" w:ascii="宋体" w:hAnsi="宋体" w:eastAsia="宋体"/>
          <w:sz w:val="24"/>
          <w:highlight w:val="none"/>
        </w:rPr>
        <w:t>付款</w:t>
      </w:r>
      <w:r>
        <w:rPr>
          <w:rFonts w:ascii="宋体" w:hAnsi="宋体" w:eastAsia="宋体"/>
          <w:sz w:val="24"/>
          <w:highlight w:val="none"/>
        </w:rPr>
        <w:t>的违约金计算数额达到前述最高限额之日起</w:t>
      </w:r>
      <w:r>
        <w:rPr>
          <w:rFonts w:hint="eastAsia" w:ascii="宋体" w:hAnsi="宋体" w:eastAsia="宋体"/>
          <w:sz w:val="24"/>
          <w:highlight w:val="none"/>
        </w:rPr>
        <w:t>，乙</w:t>
      </w:r>
      <w:r>
        <w:rPr>
          <w:rFonts w:ascii="宋体" w:hAnsi="宋体" w:eastAsia="宋体"/>
          <w:sz w:val="24"/>
          <w:highlight w:val="none"/>
        </w:rPr>
        <w:t>方有权在要求甲方支付违约金的同时</w:t>
      </w:r>
      <w:r>
        <w:rPr>
          <w:rFonts w:hint="eastAsia" w:ascii="宋体" w:hAnsi="宋体" w:eastAsia="宋体"/>
          <w:sz w:val="24"/>
          <w:highlight w:val="none"/>
        </w:rPr>
        <w:t>，书面通知甲方</w:t>
      </w:r>
      <w:r>
        <w:rPr>
          <w:rFonts w:ascii="宋体" w:hAnsi="宋体" w:eastAsia="宋体"/>
          <w:sz w:val="24"/>
          <w:highlight w:val="none"/>
        </w:rPr>
        <w:t>解除本合同</w:t>
      </w:r>
      <w:r>
        <w:rPr>
          <w:rFonts w:hint="eastAsia" w:ascii="宋体" w:hAnsi="宋体" w:eastAsia="宋体"/>
          <w:sz w:val="24"/>
          <w:highlight w:val="none"/>
        </w:rPr>
        <w:t>；</w:t>
      </w:r>
    </w:p>
    <w:p w14:paraId="3255A046">
      <w:pPr>
        <w:spacing w:line="360" w:lineRule="auto"/>
        <w:ind w:firstLine="435"/>
        <w:rPr>
          <w:rFonts w:ascii="宋体" w:hAnsi="宋体" w:eastAsia="宋体"/>
          <w:sz w:val="24"/>
          <w:highlight w:val="none"/>
        </w:rPr>
      </w:pPr>
      <w:r>
        <w:rPr>
          <w:rFonts w:hint="eastAsia" w:ascii="宋体" w:hAnsi="宋体" w:eastAsia="宋体"/>
          <w:sz w:val="24"/>
          <w:highlight w:val="none"/>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B50700D">
      <w:pPr>
        <w:spacing w:line="360" w:lineRule="auto"/>
        <w:ind w:firstLine="435"/>
        <w:rPr>
          <w:rFonts w:ascii="宋体" w:hAnsi="宋体" w:eastAsia="宋体"/>
          <w:sz w:val="24"/>
          <w:highlight w:val="none"/>
        </w:rPr>
      </w:pPr>
      <w:r>
        <w:rPr>
          <w:rFonts w:hint="eastAsia" w:ascii="宋体" w:hAnsi="宋体" w:eastAsia="宋体"/>
          <w:sz w:val="24"/>
          <w:highlight w:val="none"/>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625BD0C">
      <w:pPr>
        <w:spacing w:line="360" w:lineRule="auto"/>
        <w:ind w:firstLine="435"/>
        <w:rPr>
          <w:rFonts w:ascii="宋体" w:hAnsi="宋体" w:eastAsia="宋体"/>
          <w:sz w:val="24"/>
          <w:highlight w:val="none"/>
        </w:rPr>
      </w:pPr>
      <w:r>
        <w:rPr>
          <w:rFonts w:hint="eastAsia" w:ascii="宋体" w:hAnsi="宋体" w:eastAsia="宋体"/>
          <w:sz w:val="24"/>
          <w:highlight w:val="none"/>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006F4D87">
      <w:pPr>
        <w:spacing w:line="360" w:lineRule="auto"/>
        <w:ind w:firstLine="435"/>
        <w:rPr>
          <w:rFonts w:ascii="宋体" w:hAnsi="宋体" w:eastAsia="宋体"/>
          <w:sz w:val="24"/>
          <w:highlight w:val="none"/>
        </w:rPr>
      </w:pPr>
      <w:r>
        <w:rPr>
          <w:rFonts w:hint="eastAsia" w:ascii="宋体" w:hAnsi="宋体" w:eastAsia="宋体"/>
          <w:sz w:val="24"/>
          <w:highlight w:val="none"/>
        </w:rPr>
        <w:t>1.6.6如果出现政府采购监督管理部门在处理投诉事项期间，书面通知甲方暂停采购活动的情形，或者询问或质疑事项可能影响成交结果的，导致甲方中止履行合同的情形，均不视为甲方违约。</w:t>
      </w:r>
    </w:p>
    <w:p w14:paraId="0D25B2C4">
      <w:pPr>
        <w:spacing w:line="360" w:lineRule="auto"/>
        <w:ind w:firstLine="435"/>
        <w:rPr>
          <w:rFonts w:asciiTheme="minorEastAsia" w:hAnsiTheme="minorEastAsia" w:eastAsiaTheme="minorEastAsia"/>
          <w:sz w:val="24"/>
          <w:highlight w:val="none"/>
        </w:rPr>
      </w:pPr>
      <w:bookmarkStart w:id="129" w:name="_Toc15583"/>
      <w:bookmarkStart w:id="130" w:name="_Toc16021"/>
      <w:bookmarkStart w:id="131" w:name="_Toc28375"/>
      <w:r>
        <w:rPr>
          <w:rFonts w:hint="eastAsia" w:asciiTheme="minorEastAsia" w:hAnsiTheme="minorEastAsia" w:eastAsiaTheme="minorEastAsia"/>
          <w:sz w:val="24"/>
          <w:highlight w:val="none"/>
        </w:rPr>
        <w:t>1.6.7因甲方未按合同约定支付价款、未按合同约定受领标的物、擅自解除合同</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、逾期退还履约保证金</w:t>
      </w:r>
      <w:r>
        <w:rPr>
          <w:rFonts w:hint="eastAsia" w:asciiTheme="minorEastAsia" w:hAnsiTheme="minorEastAsia" w:eastAsiaTheme="minorEastAsia"/>
          <w:sz w:val="24"/>
          <w:highlight w:val="none"/>
        </w:rPr>
        <w:t>导致乙方遭受的直接损失，乙方可向甲方申请赔偿，赔偿金额由双方协商一致；针对因政策变化等原因不能签订合同或解除合同时，造成乙方合法利益受损的情形，可以给予乙方合理补偿，补偿金额不得超过乙方的直接损失。</w:t>
      </w:r>
    </w:p>
    <w:p w14:paraId="6EC7A511">
      <w:pPr>
        <w:spacing w:line="360" w:lineRule="auto"/>
        <w:ind w:firstLine="437"/>
        <w:outlineLvl w:val="2"/>
        <w:rPr>
          <w:rFonts w:ascii="宋体" w:hAnsi="宋体" w:eastAsia="宋体"/>
          <w:b/>
          <w:bCs/>
          <w:sz w:val="24"/>
          <w:highlight w:val="none"/>
          <w:lang w:val="zh-CN"/>
        </w:rPr>
      </w:pPr>
      <w:r>
        <w:rPr>
          <w:rFonts w:hint="eastAsia" w:ascii="宋体" w:hAnsi="宋体" w:eastAsia="宋体"/>
          <w:b/>
          <w:bCs/>
          <w:sz w:val="24"/>
          <w:highlight w:val="none"/>
          <w:lang w:val="zh-CN"/>
        </w:rPr>
        <w:t>1.7</w:t>
      </w:r>
      <w:r>
        <w:rPr>
          <w:rFonts w:ascii="宋体" w:hAnsi="宋体" w:eastAsia="宋体"/>
          <w:b/>
          <w:bCs/>
          <w:sz w:val="24"/>
          <w:highlight w:val="none"/>
          <w:lang w:val="zh-CN"/>
        </w:rPr>
        <w:t xml:space="preserve"> </w:t>
      </w:r>
      <w:r>
        <w:rPr>
          <w:rFonts w:hint="eastAsia" w:ascii="宋体" w:hAnsi="宋体" w:eastAsia="宋体"/>
          <w:b/>
          <w:bCs/>
          <w:sz w:val="24"/>
          <w:highlight w:val="none"/>
          <w:lang w:val="zh-CN"/>
        </w:rPr>
        <w:t>合同</w:t>
      </w:r>
      <w:r>
        <w:rPr>
          <w:rFonts w:ascii="宋体" w:hAnsi="宋体" w:eastAsia="宋体"/>
          <w:b/>
          <w:bCs/>
          <w:sz w:val="24"/>
          <w:highlight w:val="none"/>
          <w:lang w:val="zh-CN"/>
        </w:rPr>
        <w:t>争议的解决</w:t>
      </w:r>
      <w:bookmarkEnd w:id="129"/>
      <w:bookmarkEnd w:id="130"/>
      <w:bookmarkEnd w:id="131"/>
    </w:p>
    <w:p w14:paraId="44D5CAC6">
      <w:pPr>
        <w:spacing w:line="360" w:lineRule="auto"/>
        <w:ind w:firstLine="435"/>
        <w:rPr>
          <w:rFonts w:ascii="宋体" w:hAnsi="宋体" w:eastAsia="宋体"/>
          <w:sz w:val="24"/>
          <w:highlight w:val="none"/>
        </w:rPr>
      </w:pPr>
      <w:r>
        <w:rPr>
          <w:rFonts w:hint="eastAsia" w:ascii="宋体" w:hAnsi="宋体" w:eastAsia="宋体"/>
          <w:sz w:val="24"/>
          <w:highlight w:val="none"/>
        </w:rPr>
        <w:t>本合</w:t>
      </w:r>
      <w:r>
        <w:rPr>
          <w:rFonts w:ascii="宋体" w:hAnsi="宋体" w:eastAsia="宋体"/>
          <w:sz w:val="24"/>
          <w:highlight w:val="none"/>
        </w:rPr>
        <w:t>同履行过程中发生的任何争议，双方当事人均可</w:t>
      </w:r>
      <w:r>
        <w:rPr>
          <w:rFonts w:hint="eastAsia" w:ascii="宋体" w:hAnsi="宋体" w:eastAsia="宋体"/>
          <w:sz w:val="24"/>
          <w:highlight w:val="none"/>
        </w:rPr>
        <w:t>通过和解或者调解解决；不愿和解、调解或者和解、调解不成的，可以选择下列第</w:t>
      </w:r>
      <w:r>
        <w:rPr>
          <w:rFonts w:hint="eastAsia" w:ascii="宋体" w:hAnsi="宋体" w:eastAsia="宋体"/>
          <w:sz w:val="24"/>
          <w:highlight w:val="none"/>
          <w:u w:val="single"/>
        </w:rPr>
        <w:t xml:space="preserve">    </w:t>
      </w:r>
      <w:r>
        <w:rPr>
          <w:rFonts w:hint="eastAsia" w:ascii="宋体" w:hAnsi="宋体" w:eastAsia="宋体"/>
          <w:sz w:val="24"/>
          <w:highlight w:val="none"/>
        </w:rPr>
        <w:t>种方式解决：</w:t>
      </w:r>
    </w:p>
    <w:p w14:paraId="4A9C49CE">
      <w:pPr>
        <w:spacing w:line="360" w:lineRule="auto"/>
        <w:ind w:firstLine="435"/>
        <w:rPr>
          <w:rFonts w:ascii="宋体" w:hAnsi="宋体" w:eastAsia="宋体"/>
          <w:sz w:val="24"/>
          <w:highlight w:val="none"/>
        </w:rPr>
      </w:pPr>
      <w:r>
        <w:rPr>
          <w:rFonts w:hint="eastAsia" w:ascii="宋体" w:hAnsi="宋体" w:eastAsia="宋体"/>
          <w:sz w:val="24"/>
          <w:highlight w:val="none"/>
        </w:rPr>
        <w:t>1.7.1将争议提交</w:t>
      </w:r>
      <w:r>
        <w:rPr>
          <w:rFonts w:hint="eastAsia" w:ascii="宋体" w:hAnsi="宋体" w:eastAsia="宋体"/>
          <w:sz w:val="24"/>
          <w:highlight w:val="none"/>
          <w:u w:val="single"/>
        </w:rPr>
        <w:t xml:space="preserve">              </w:t>
      </w:r>
      <w:r>
        <w:rPr>
          <w:rFonts w:hint="eastAsia" w:ascii="宋体" w:hAnsi="宋体" w:eastAsia="宋体"/>
          <w:sz w:val="24"/>
          <w:highlight w:val="none"/>
        </w:rPr>
        <w:t>仲裁委员会依申请仲裁时其现行有效的仲裁规则裁决；</w:t>
      </w:r>
    </w:p>
    <w:p w14:paraId="3DBBF349">
      <w:pPr>
        <w:spacing w:line="360" w:lineRule="auto"/>
        <w:ind w:firstLine="435"/>
        <w:rPr>
          <w:rFonts w:ascii="宋体" w:hAnsi="宋体" w:eastAsia="宋体"/>
          <w:sz w:val="24"/>
          <w:highlight w:val="none"/>
        </w:rPr>
      </w:pPr>
      <w:r>
        <w:rPr>
          <w:rFonts w:hint="eastAsia" w:ascii="宋体" w:hAnsi="宋体" w:eastAsia="宋体"/>
          <w:sz w:val="24"/>
          <w:highlight w:val="none"/>
        </w:rPr>
        <w:t>1.7.2向</w:t>
      </w:r>
      <w:r>
        <w:rPr>
          <w:rFonts w:hint="eastAsia" w:ascii="宋体" w:hAnsi="宋体" w:eastAsia="宋体"/>
          <w:sz w:val="24"/>
          <w:highlight w:val="none"/>
          <w:u w:val="single"/>
        </w:rPr>
        <w:t xml:space="preserve">      </w:t>
      </w:r>
      <w:r>
        <w:rPr>
          <w:rFonts w:ascii="宋体" w:hAnsi="宋体" w:eastAsia="宋体"/>
          <w:sz w:val="24"/>
          <w:highlight w:val="none"/>
          <w:u w:val="single"/>
        </w:rPr>
        <w:t xml:space="preserve">                 </w:t>
      </w:r>
      <w:r>
        <w:rPr>
          <w:rFonts w:hint="eastAsia" w:ascii="宋体" w:hAnsi="宋体" w:eastAsia="宋体"/>
          <w:sz w:val="24"/>
          <w:highlight w:val="none"/>
          <w:u w:val="single"/>
        </w:rPr>
        <w:t xml:space="preserve"> </w:t>
      </w:r>
      <w:r>
        <w:rPr>
          <w:rFonts w:hint="eastAsia" w:ascii="宋体" w:hAnsi="宋体" w:eastAsia="宋体"/>
          <w:sz w:val="24"/>
          <w:highlight w:val="none"/>
        </w:rPr>
        <w:t>人民法院起诉。</w:t>
      </w:r>
    </w:p>
    <w:p w14:paraId="79962039">
      <w:pPr>
        <w:spacing w:line="360" w:lineRule="auto"/>
        <w:ind w:firstLine="437"/>
        <w:outlineLvl w:val="2"/>
        <w:rPr>
          <w:rFonts w:ascii="宋体" w:hAnsi="宋体" w:eastAsia="宋体"/>
          <w:b/>
          <w:bCs/>
          <w:sz w:val="24"/>
          <w:highlight w:val="none"/>
          <w:lang w:val="zh-CN"/>
        </w:rPr>
      </w:pPr>
      <w:bookmarkStart w:id="132" w:name="_Toc15322"/>
      <w:bookmarkStart w:id="133" w:name="_Toc7245"/>
      <w:bookmarkStart w:id="134" w:name="_Toc11173"/>
      <w:r>
        <w:rPr>
          <w:rFonts w:hint="eastAsia" w:ascii="宋体" w:hAnsi="宋体" w:eastAsia="宋体"/>
          <w:b/>
          <w:bCs/>
          <w:sz w:val="24"/>
          <w:highlight w:val="none"/>
          <w:lang w:val="zh-CN"/>
        </w:rPr>
        <w:t>1.8</w:t>
      </w:r>
      <w:r>
        <w:rPr>
          <w:rFonts w:ascii="宋体" w:hAnsi="宋体" w:eastAsia="宋体"/>
          <w:b/>
          <w:bCs/>
          <w:sz w:val="24"/>
          <w:highlight w:val="none"/>
          <w:lang w:val="zh-CN"/>
        </w:rPr>
        <w:t xml:space="preserve"> 合同生效</w:t>
      </w:r>
      <w:bookmarkEnd w:id="132"/>
      <w:bookmarkEnd w:id="133"/>
      <w:bookmarkEnd w:id="134"/>
    </w:p>
    <w:p w14:paraId="14C0B85B">
      <w:pPr>
        <w:spacing w:line="360" w:lineRule="auto"/>
        <w:ind w:firstLine="435"/>
        <w:rPr>
          <w:rFonts w:ascii="宋体" w:hAnsi="宋体" w:eastAsia="宋体"/>
          <w:sz w:val="24"/>
          <w:highlight w:val="none"/>
        </w:rPr>
      </w:pPr>
      <w:r>
        <w:rPr>
          <w:rFonts w:ascii="宋体" w:hAnsi="宋体" w:eastAsia="宋体"/>
          <w:sz w:val="24"/>
          <w:highlight w:val="none"/>
        </w:rPr>
        <w:t>本合同自</w:t>
      </w:r>
      <w:r>
        <w:rPr>
          <w:rFonts w:hint="eastAsia" w:ascii="宋体" w:hAnsi="宋体" w:eastAsia="宋体"/>
          <w:sz w:val="24"/>
          <w:highlight w:val="none"/>
        </w:rPr>
        <w:t>双方当事人盖章时</w:t>
      </w:r>
      <w:r>
        <w:rPr>
          <w:rFonts w:ascii="宋体" w:hAnsi="宋体" w:eastAsia="宋体"/>
          <w:sz w:val="24"/>
          <w:highlight w:val="none"/>
        </w:rPr>
        <w:t>生效。</w:t>
      </w:r>
    </w:p>
    <w:p w14:paraId="763AD315">
      <w:pPr>
        <w:autoSpaceDE w:val="0"/>
        <w:autoSpaceDN w:val="0"/>
        <w:adjustRightInd w:val="0"/>
        <w:spacing w:line="560" w:lineRule="exact"/>
        <w:rPr>
          <w:rFonts w:ascii="宋体" w:hAnsi="宋体" w:eastAsia="宋体"/>
          <w:sz w:val="24"/>
          <w:highlight w:val="none"/>
          <w:lang w:val="zh-CN"/>
        </w:rPr>
      </w:pPr>
    </w:p>
    <w:p w14:paraId="27240452">
      <w:pPr>
        <w:autoSpaceDE w:val="0"/>
        <w:autoSpaceDN w:val="0"/>
        <w:adjustRightInd w:val="0"/>
        <w:spacing w:line="560" w:lineRule="exact"/>
        <w:rPr>
          <w:rFonts w:ascii="宋体" w:hAnsi="宋体" w:eastAsia="宋体"/>
          <w:sz w:val="24"/>
          <w:highlight w:val="none"/>
          <w:lang w:val="zh-CN"/>
        </w:rPr>
      </w:pPr>
    </w:p>
    <w:p w14:paraId="7A5CB00D">
      <w:pPr>
        <w:autoSpaceDE w:val="0"/>
        <w:autoSpaceDN w:val="0"/>
        <w:adjustRightInd w:val="0"/>
        <w:spacing w:line="560" w:lineRule="exact"/>
        <w:rPr>
          <w:rFonts w:ascii="宋体" w:hAnsi="宋体" w:eastAsia="宋体"/>
          <w:sz w:val="24"/>
          <w:highlight w:val="none"/>
          <w:lang w:val="zh-CN"/>
        </w:rPr>
      </w:pPr>
    </w:p>
    <w:p w14:paraId="0CBCE964">
      <w:pPr>
        <w:autoSpaceDE w:val="0"/>
        <w:autoSpaceDN w:val="0"/>
        <w:adjustRightInd w:val="0"/>
        <w:spacing w:line="560" w:lineRule="exact"/>
        <w:rPr>
          <w:rFonts w:cs="Times New Roman" w:asciiTheme="minorEastAsia" w:hAnsiTheme="minorEastAsia" w:eastAsiaTheme="minorEastAsia"/>
          <w:bCs/>
          <w:sz w:val="24"/>
          <w:szCs w:val="24"/>
          <w:highlight w:val="none"/>
          <w:lang w:val="zh-CN"/>
        </w:rPr>
      </w:pPr>
      <w:bookmarkStart w:id="135" w:name="_Toc331685783"/>
      <w:r>
        <w:rPr>
          <w:rFonts w:hint="eastAsia" w:cs="Times New Roman" w:asciiTheme="minorEastAsia" w:hAnsiTheme="minorEastAsia" w:eastAsiaTheme="minorEastAsia"/>
          <w:bCs/>
          <w:sz w:val="24"/>
          <w:szCs w:val="24"/>
          <w:highlight w:val="none"/>
          <w:lang w:val="zh-CN"/>
        </w:rPr>
        <w:t xml:space="preserve">甲 </w:t>
      </w:r>
      <w:r>
        <w:rPr>
          <w:rFonts w:cs="Times New Roman" w:asciiTheme="minorEastAsia" w:hAnsiTheme="minorEastAsia" w:eastAsiaTheme="minorEastAsia"/>
          <w:bCs/>
          <w:sz w:val="24"/>
          <w:szCs w:val="24"/>
          <w:highlight w:val="none"/>
          <w:lang w:val="zh-CN"/>
        </w:rPr>
        <w:t xml:space="preserve">   </w:t>
      </w:r>
      <w:r>
        <w:rPr>
          <w:rFonts w:hint="eastAsia" w:cs="Times New Roman" w:asciiTheme="minorEastAsia" w:hAnsiTheme="minorEastAsia" w:eastAsiaTheme="minorEastAsia"/>
          <w:bCs/>
          <w:sz w:val="24"/>
          <w:szCs w:val="24"/>
          <w:highlight w:val="none"/>
          <w:lang w:val="zh-CN"/>
        </w:rPr>
        <w:t>方：</w:t>
      </w:r>
      <w:r>
        <w:rPr>
          <w:rFonts w:hint="eastAsia" w:cs="Times New Roman" w:asciiTheme="minorEastAsia" w:hAnsiTheme="minorEastAsia" w:eastAsiaTheme="minorEastAsia"/>
          <w:bCs/>
          <w:sz w:val="24"/>
          <w:szCs w:val="24"/>
          <w:highlight w:val="none"/>
          <w:u w:val="single"/>
          <w:lang w:val="zh-CN"/>
        </w:rPr>
        <w:t xml:space="preserve">    （单位盖章）     </w:t>
      </w:r>
      <w:r>
        <w:rPr>
          <w:rFonts w:hint="eastAsia" w:cs="Times New Roman" w:asciiTheme="minorEastAsia" w:hAnsiTheme="minorEastAsia" w:eastAsiaTheme="minorEastAsia"/>
          <w:bCs/>
          <w:sz w:val="24"/>
          <w:szCs w:val="24"/>
          <w:highlight w:val="none"/>
          <w:lang w:val="zh-CN"/>
        </w:rPr>
        <w:t xml:space="preserve">          乙方：</w:t>
      </w:r>
      <w:r>
        <w:rPr>
          <w:rFonts w:hint="eastAsia" w:cs="Times New Roman" w:asciiTheme="minorEastAsia" w:hAnsiTheme="minorEastAsia" w:eastAsiaTheme="minorEastAsia"/>
          <w:bCs/>
          <w:sz w:val="24"/>
          <w:szCs w:val="24"/>
          <w:highlight w:val="none"/>
          <w:u w:val="single"/>
          <w:lang w:val="zh-CN"/>
        </w:rPr>
        <w:t xml:space="preserve">    （单位盖章）     </w:t>
      </w:r>
    </w:p>
    <w:p w14:paraId="6599B780">
      <w:pPr>
        <w:autoSpaceDE w:val="0"/>
        <w:autoSpaceDN w:val="0"/>
        <w:adjustRightInd w:val="0"/>
        <w:spacing w:line="560" w:lineRule="exact"/>
        <w:rPr>
          <w:rFonts w:cs="Times New Roman" w:asciiTheme="minorEastAsia" w:hAnsiTheme="minorEastAsia" w:eastAsiaTheme="minorEastAsia"/>
          <w:sz w:val="24"/>
          <w:szCs w:val="24"/>
          <w:highlight w:val="none"/>
          <w:lang w:val="zh-CN"/>
        </w:rPr>
      </w:pPr>
      <w:r>
        <w:rPr>
          <w:rFonts w:hint="eastAsia" w:cs="Times New Roman" w:asciiTheme="minorEastAsia" w:hAnsiTheme="minorEastAsia" w:eastAsiaTheme="minorEastAsia"/>
          <w:sz w:val="24"/>
          <w:szCs w:val="24"/>
          <w:highlight w:val="none"/>
          <w:lang w:val="zh-CN"/>
        </w:rPr>
        <w:t xml:space="preserve">法定代表人                             </w:t>
      </w:r>
      <w:r>
        <w:rPr>
          <w:rFonts w:cs="Times New Roman" w:asciiTheme="minorEastAsia" w:hAnsiTheme="minorEastAsia" w:eastAsiaTheme="minorEastAsia"/>
          <w:sz w:val="24"/>
          <w:szCs w:val="24"/>
          <w:highlight w:val="none"/>
          <w:lang w:val="zh-CN"/>
        </w:rPr>
        <w:t xml:space="preserve">  </w:t>
      </w:r>
      <w:r>
        <w:rPr>
          <w:rFonts w:hint="eastAsia" w:cs="Times New Roman" w:asciiTheme="minorEastAsia" w:hAnsiTheme="minorEastAsia" w:eastAsiaTheme="minorEastAsia"/>
          <w:sz w:val="24"/>
          <w:szCs w:val="24"/>
          <w:highlight w:val="none"/>
          <w:lang w:val="zh-CN"/>
        </w:rPr>
        <w:t>法定代表人</w:t>
      </w:r>
    </w:p>
    <w:p w14:paraId="35B3381D">
      <w:pPr>
        <w:autoSpaceDE w:val="0"/>
        <w:autoSpaceDN w:val="0"/>
        <w:adjustRightInd w:val="0"/>
        <w:spacing w:line="560" w:lineRule="exact"/>
        <w:rPr>
          <w:rFonts w:cs="Times New Roman" w:asciiTheme="minorEastAsia" w:hAnsiTheme="minorEastAsia" w:eastAsiaTheme="minorEastAsia"/>
          <w:sz w:val="24"/>
          <w:szCs w:val="24"/>
          <w:highlight w:val="none"/>
          <w:lang w:val="zh-CN"/>
        </w:rPr>
      </w:pPr>
      <w:r>
        <w:rPr>
          <w:rFonts w:hint="eastAsia" w:cs="Times New Roman" w:asciiTheme="minorEastAsia" w:hAnsiTheme="minorEastAsia" w:eastAsiaTheme="minorEastAsia"/>
          <w:sz w:val="24"/>
          <w:szCs w:val="24"/>
          <w:highlight w:val="none"/>
          <w:lang w:val="zh-CN"/>
        </w:rPr>
        <w:t>或授权代表（签字）：                      或授权代表（签字）：</w:t>
      </w:r>
    </w:p>
    <w:p w14:paraId="0AC4C021">
      <w:pPr>
        <w:widowControl/>
        <w:spacing w:line="560" w:lineRule="exact"/>
        <w:jc w:val="left"/>
        <w:rPr>
          <w:rFonts w:cs="Times New Roman" w:asciiTheme="minorEastAsia" w:hAnsiTheme="minorEastAsia" w:eastAsiaTheme="minorEastAsia"/>
          <w:bCs/>
          <w:sz w:val="24"/>
          <w:szCs w:val="24"/>
          <w:highlight w:val="none"/>
        </w:rPr>
      </w:pPr>
      <w:r>
        <w:rPr>
          <w:rFonts w:hint="eastAsia" w:cs="Times New Roman" w:asciiTheme="minorEastAsia" w:hAnsiTheme="minorEastAsia" w:eastAsiaTheme="minorEastAsia"/>
          <w:bCs/>
          <w:sz w:val="24"/>
          <w:szCs w:val="24"/>
          <w:highlight w:val="none"/>
        </w:rPr>
        <w:t>时间：</w:t>
      </w:r>
      <w:r>
        <w:rPr>
          <w:rFonts w:hint="eastAsia" w:cs="Times New Roman" w:asciiTheme="minorEastAsia" w:hAnsiTheme="minorEastAsia" w:eastAsiaTheme="minorEastAsia"/>
          <w:bCs/>
          <w:sz w:val="24"/>
          <w:szCs w:val="24"/>
          <w:highlight w:val="none"/>
          <w:u w:val="single"/>
        </w:rPr>
        <w:t xml:space="preserve">  </w:t>
      </w:r>
      <w:r>
        <w:rPr>
          <w:rFonts w:cs="Times New Roman" w:asciiTheme="minorEastAsia" w:hAnsiTheme="minorEastAsia" w:eastAsiaTheme="minorEastAsia"/>
          <w:bCs/>
          <w:sz w:val="24"/>
          <w:szCs w:val="24"/>
          <w:highlight w:val="none"/>
          <w:u w:val="single"/>
        </w:rPr>
        <w:t xml:space="preserve">  </w:t>
      </w:r>
      <w:r>
        <w:rPr>
          <w:rFonts w:hint="eastAsia" w:cs="Times New Roman" w:asciiTheme="minorEastAsia" w:hAnsiTheme="minorEastAsia" w:eastAsiaTheme="minorEastAsia"/>
          <w:bCs/>
          <w:sz w:val="24"/>
          <w:szCs w:val="24"/>
          <w:highlight w:val="none"/>
          <w:u w:val="single"/>
        </w:rPr>
        <w:t xml:space="preserve">  </w:t>
      </w:r>
      <w:r>
        <w:rPr>
          <w:rFonts w:hint="eastAsia" w:cs="Times New Roman" w:asciiTheme="minorEastAsia" w:hAnsiTheme="minorEastAsia" w:eastAsiaTheme="minorEastAsia"/>
          <w:bCs/>
          <w:sz w:val="24"/>
          <w:szCs w:val="24"/>
          <w:highlight w:val="none"/>
        </w:rPr>
        <w:t>年</w:t>
      </w:r>
      <w:r>
        <w:rPr>
          <w:rFonts w:hint="eastAsia" w:cs="Times New Roman" w:asciiTheme="minorEastAsia" w:hAnsiTheme="minorEastAsia" w:eastAsiaTheme="minorEastAsia"/>
          <w:bCs/>
          <w:sz w:val="24"/>
          <w:szCs w:val="24"/>
          <w:highlight w:val="none"/>
          <w:u w:val="single"/>
        </w:rPr>
        <w:t xml:space="preserve">  </w:t>
      </w:r>
      <w:r>
        <w:rPr>
          <w:rFonts w:cs="Times New Roman" w:asciiTheme="minorEastAsia" w:hAnsiTheme="minorEastAsia" w:eastAsiaTheme="minorEastAsia"/>
          <w:bCs/>
          <w:sz w:val="24"/>
          <w:szCs w:val="24"/>
          <w:highlight w:val="none"/>
          <w:u w:val="single"/>
        </w:rPr>
        <w:t xml:space="preserve"> </w:t>
      </w:r>
      <w:r>
        <w:rPr>
          <w:rFonts w:hint="eastAsia" w:cs="Times New Roman" w:asciiTheme="minorEastAsia" w:hAnsiTheme="minorEastAsia" w:eastAsiaTheme="minorEastAsia"/>
          <w:bCs/>
          <w:sz w:val="24"/>
          <w:szCs w:val="24"/>
          <w:highlight w:val="none"/>
          <w:u w:val="single"/>
        </w:rPr>
        <w:t xml:space="preserve"> </w:t>
      </w:r>
      <w:r>
        <w:rPr>
          <w:rFonts w:hint="eastAsia" w:cs="Times New Roman" w:asciiTheme="minorEastAsia" w:hAnsiTheme="minorEastAsia" w:eastAsiaTheme="minorEastAsia"/>
          <w:bCs/>
          <w:sz w:val="24"/>
          <w:szCs w:val="24"/>
          <w:highlight w:val="none"/>
        </w:rPr>
        <w:t>月</w:t>
      </w:r>
      <w:r>
        <w:rPr>
          <w:rFonts w:hint="eastAsia" w:cs="Times New Roman" w:asciiTheme="minorEastAsia" w:hAnsiTheme="minorEastAsia" w:eastAsiaTheme="minorEastAsia"/>
          <w:bCs/>
          <w:sz w:val="24"/>
          <w:szCs w:val="24"/>
          <w:highlight w:val="none"/>
          <w:u w:val="single"/>
        </w:rPr>
        <w:t xml:space="preserve">  </w:t>
      </w:r>
      <w:r>
        <w:rPr>
          <w:rFonts w:cs="Times New Roman" w:asciiTheme="minorEastAsia" w:hAnsiTheme="minorEastAsia" w:eastAsiaTheme="minorEastAsia"/>
          <w:bCs/>
          <w:sz w:val="24"/>
          <w:szCs w:val="24"/>
          <w:highlight w:val="none"/>
          <w:u w:val="single"/>
        </w:rPr>
        <w:t xml:space="preserve"> </w:t>
      </w:r>
      <w:r>
        <w:rPr>
          <w:rFonts w:hint="eastAsia" w:cs="Times New Roman" w:asciiTheme="minorEastAsia" w:hAnsiTheme="minorEastAsia" w:eastAsiaTheme="minorEastAsia"/>
          <w:bCs/>
          <w:sz w:val="24"/>
          <w:szCs w:val="24"/>
          <w:highlight w:val="none"/>
          <w:u w:val="single"/>
        </w:rPr>
        <w:t xml:space="preserve"> </w:t>
      </w:r>
      <w:r>
        <w:rPr>
          <w:rFonts w:hint="eastAsia" w:cs="Times New Roman" w:asciiTheme="minorEastAsia" w:hAnsiTheme="minorEastAsia" w:eastAsiaTheme="minorEastAsia"/>
          <w:bCs/>
          <w:sz w:val="24"/>
          <w:szCs w:val="24"/>
          <w:highlight w:val="none"/>
        </w:rPr>
        <w:t>日               时间：</w:t>
      </w:r>
      <w:r>
        <w:rPr>
          <w:rFonts w:hint="eastAsia" w:cs="Times New Roman" w:asciiTheme="minorEastAsia" w:hAnsiTheme="minorEastAsia" w:eastAsiaTheme="minorEastAsia"/>
          <w:bCs/>
          <w:sz w:val="24"/>
          <w:szCs w:val="24"/>
          <w:highlight w:val="none"/>
          <w:u w:val="single"/>
        </w:rPr>
        <w:t xml:space="preserve">  </w:t>
      </w:r>
      <w:r>
        <w:rPr>
          <w:rFonts w:cs="Times New Roman" w:asciiTheme="minorEastAsia" w:hAnsiTheme="minorEastAsia" w:eastAsiaTheme="minorEastAsia"/>
          <w:bCs/>
          <w:sz w:val="24"/>
          <w:szCs w:val="24"/>
          <w:highlight w:val="none"/>
          <w:u w:val="single"/>
        </w:rPr>
        <w:t xml:space="preserve">  </w:t>
      </w:r>
      <w:r>
        <w:rPr>
          <w:rFonts w:hint="eastAsia" w:cs="Times New Roman" w:asciiTheme="minorEastAsia" w:hAnsiTheme="minorEastAsia" w:eastAsiaTheme="minorEastAsia"/>
          <w:bCs/>
          <w:sz w:val="24"/>
          <w:szCs w:val="24"/>
          <w:highlight w:val="none"/>
          <w:u w:val="single"/>
        </w:rPr>
        <w:t xml:space="preserve">  </w:t>
      </w:r>
      <w:r>
        <w:rPr>
          <w:rFonts w:hint="eastAsia" w:cs="Times New Roman" w:asciiTheme="minorEastAsia" w:hAnsiTheme="minorEastAsia" w:eastAsiaTheme="minorEastAsia"/>
          <w:bCs/>
          <w:sz w:val="24"/>
          <w:szCs w:val="24"/>
          <w:highlight w:val="none"/>
        </w:rPr>
        <w:t>年</w:t>
      </w:r>
      <w:r>
        <w:rPr>
          <w:rFonts w:hint="eastAsia" w:cs="Times New Roman" w:asciiTheme="minorEastAsia" w:hAnsiTheme="minorEastAsia" w:eastAsiaTheme="minorEastAsia"/>
          <w:bCs/>
          <w:sz w:val="24"/>
          <w:szCs w:val="24"/>
          <w:highlight w:val="none"/>
          <w:u w:val="single"/>
        </w:rPr>
        <w:t xml:space="preserve">  </w:t>
      </w:r>
      <w:r>
        <w:rPr>
          <w:rFonts w:cs="Times New Roman" w:asciiTheme="minorEastAsia" w:hAnsiTheme="minorEastAsia" w:eastAsiaTheme="minorEastAsia"/>
          <w:bCs/>
          <w:sz w:val="24"/>
          <w:szCs w:val="24"/>
          <w:highlight w:val="none"/>
          <w:u w:val="single"/>
        </w:rPr>
        <w:t xml:space="preserve"> </w:t>
      </w:r>
      <w:r>
        <w:rPr>
          <w:rFonts w:hint="eastAsia" w:cs="Times New Roman" w:asciiTheme="minorEastAsia" w:hAnsiTheme="minorEastAsia" w:eastAsiaTheme="minorEastAsia"/>
          <w:bCs/>
          <w:sz w:val="24"/>
          <w:szCs w:val="24"/>
          <w:highlight w:val="none"/>
          <w:u w:val="single"/>
        </w:rPr>
        <w:t xml:space="preserve"> </w:t>
      </w:r>
      <w:r>
        <w:rPr>
          <w:rFonts w:hint="eastAsia" w:cs="Times New Roman" w:asciiTheme="minorEastAsia" w:hAnsiTheme="minorEastAsia" w:eastAsiaTheme="minorEastAsia"/>
          <w:bCs/>
          <w:sz w:val="24"/>
          <w:szCs w:val="24"/>
          <w:highlight w:val="none"/>
        </w:rPr>
        <w:t>月</w:t>
      </w:r>
      <w:r>
        <w:rPr>
          <w:rFonts w:hint="eastAsia" w:cs="Times New Roman" w:asciiTheme="minorEastAsia" w:hAnsiTheme="minorEastAsia" w:eastAsiaTheme="minorEastAsia"/>
          <w:bCs/>
          <w:sz w:val="24"/>
          <w:szCs w:val="24"/>
          <w:highlight w:val="none"/>
          <w:u w:val="single"/>
        </w:rPr>
        <w:t xml:space="preserve"> </w:t>
      </w:r>
      <w:r>
        <w:rPr>
          <w:rFonts w:cs="Times New Roman" w:asciiTheme="minorEastAsia" w:hAnsiTheme="minorEastAsia" w:eastAsiaTheme="minorEastAsia"/>
          <w:bCs/>
          <w:sz w:val="24"/>
          <w:szCs w:val="24"/>
          <w:highlight w:val="none"/>
          <w:u w:val="single"/>
        </w:rPr>
        <w:t xml:space="preserve"> </w:t>
      </w:r>
      <w:r>
        <w:rPr>
          <w:rFonts w:hint="eastAsia" w:cs="Times New Roman" w:asciiTheme="minorEastAsia" w:hAnsiTheme="minorEastAsia" w:eastAsiaTheme="minorEastAsia"/>
          <w:bCs/>
          <w:sz w:val="24"/>
          <w:szCs w:val="24"/>
          <w:highlight w:val="none"/>
          <w:u w:val="single"/>
        </w:rPr>
        <w:t xml:space="preserve">  </w:t>
      </w:r>
      <w:r>
        <w:rPr>
          <w:rFonts w:hint="eastAsia" w:cs="Times New Roman" w:asciiTheme="minorEastAsia" w:hAnsiTheme="minorEastAsia" w:eastAsiaTheme="minorEastAsia"/>
          <w:bCs/>
          <w:sz w:val="24"/>
          <w:szCs w:val="24"/>
          <w:highlight w:val="none"/>
        </w:rPr>
        <w:t>日</w:t>
      </w:r>
    </w:p>
    <w:p w14:paraId="07DFF131">
      <w:pPr>
        <w:widowControl/>
        <w:spacing w:line="560" w:lineRule="exact"/>
        <w:jc w:val="left"/>
        <w:rPr>
          <w:rFonts w:cs="Times New Roman" w:asciiTheme="minorEastAsia" w:hAnsiTheme="minorEastAsia" w:eastAsiaTheme="minorEastAsia"/>
          <w:bCs/>
          <w:sz w:val="24"/>
          <w:szCs w:val="24"/>
          <w:highlight w:val="none"/>
        </w:rPr>
      </w:pPr>
      <w:r>
        <w:rPr>
          <w:rFonts w:hint="eastAsia" w:cs="Times New Roman" w:asciiTheme="minorEastAsia" w:hAnsiTheme="minorEastAsia" w:eastAsiaTheme="minorEastAsia"/>
          <w:bCs/>
          <w:sz w:val="24"/>
          <w:szCs w:val="24"/>
          <w:highlight w:val="none"/>
        </w:rPr>
        <w:t xml:space="preserve">                                        乙方账户信息</w:t>
      </w:r>
    </w:p>
    <w:p w14:paraId="495A387E">
      <w:pPr>
        <w:widowControl/>
        <w:spacing w:line="560" w:lineRule="exact"/>
        <w:jc w:val="left"/>
        <w:rPr>
          <w:rFonts w:cs="Times New Roman" w:asciiTheme="minorEastAsia" w:hAnsiTheme="minorEastAsia" w:eastAsiaTheme="minorEastAsia"/>
          <w:bCs/>
          <w:sz w:val="24"/>
          <w:szCs w:val="24"/>
          <w:highlight w:val="none"/>
          <w:u w:val="single"/>
        </w:rPr>
      </w:pPr>
      <w:r>
        <w:rPr>
          <w:rFonts w:hint="eastAsia" w:cs="Times New Roman" w:asciiTheme="minorEastAsia" w:hAnsiTheme="minorEastAsia" w:eastAsiaTheme="minorEastAsia"/>
          <w:bCs/>
          <w:sz w:val="24"/>
          <w:szCs w:val="24"/>
          <w:highlight w:val="none"/>
        </w:rPr>
        <w:t xml:space="preserve">                                        户名：</w:t>
      </w:r>
      <w:r>
        <w:rPr>
          <w:rFonts w:hint="eastAsia" w:cs="Times New Roman" w:asciiTheme="minorEastAsia" w:hAnsiTheme="minorEastAsia" w:eastAsiaTheme="minorEastAsia"/>
          <w:bCs/>
          <w:sz w:val="24"/>
          <w:szCs w:val="24"/>
          <w:highlight w:val="none"/>
          <w:u w:val="single"/>
        </w:rPr>
        <w:t xml:space="preserve">                    </w:t>
      </w:r>
    </w:p>
    <w:p w14:paraId="636DC3CA">
      <w:pPr>
        <w:widowControl/>
        <w:spacing w:line="560" w:lineRule="exact"/>
        <w:jc w:val="left"/>
        <w:rPr>
          <w:rFonts w:cs="Times New Roman" w:asciiTheme="minorEastAsia" w:hAnsiTheme="minorEastAsia" w:eastAsiaTheme="minorEastAsia"/>
          <w:bCs/>
          <w:sz w:val="24"/>
          <w:szCs w:val="24"/>
          <w:highlight w:val="none"/>
          <w:u w:val="single"/>
        </w:rPr>
      </w:pPr>
      <w:r>
        <w:rPr>
          <w:rFonts w:hint="eastAsia" w:cs="Times New Roman" w:asciiTheme="minorEastAsia" w:hAnsiTheme="minorEastAsia" w:eastAsiaTheme="minorEastAsia"/>
          <w:bCs/>
          <w:sz w:val="24"/>
          <w:szCs w:val="24"/>
          <w:highlight w:val="none"/>
        </w:rPr>
        <w:t xml:space="preserve">                                        账号：</w:t>
      </w:r>
      <w:r>
        <w:rPr>
          <w:rFonts w:hint="eastAsia" w:cs="Times New Roman" w:asciiTheme="minorEastAsia" w:hAnsiTheme="minorEastAsia" w:eastAsiaTheme="minorEastAsia"/>
          <w:bCs/>
          <w:sz w:val="24"/>
          <w:szCs w:val="24"/>
          <w:highlight w:val="none"/>
          <w:u w:val="single"/>
        </w:rPr>
        <w:t xml:space="preserve">                    </w:t>
      </w:r>
    </w:p>
    <w:p w14:paraId="5DB44D6D">
      <w:pPr>
        <w:widowControl/>
        <w:spacing w:line="560" w:lineRule="exact"/>
        <w:jc w:val="left"/>
        <w:rPr>
          <w:rFonts w:cs="Times New Roman" w:asciiTheme="minorEastAsia" w:hAnsiTheme="minorEastAsia" w:eastAsiaTheme="minorEastAsia"/>
          <w:bCs/>
          <w:sz w:val="24"/>
          <w:szCs w:val="24"/>
          <w:highlight w:val="none"/>
          <w:u w:val="single"/>
        </w:rPr>
      </w:pPr>
      <w:r>
        <w:rPr>
          <w:rFonts w:hint="eastAsia" w:cs="Times New Roman" w:asciiTheme="minorEastAsia" w:hAnsiTheme="minorEastAsia" w:eastAsiaTheme="minorEastAsia"/>
          <w:bCs/>
          <w:sz w:val="24"/>
          <w:szCs w:val="24"/>
          <w:highlight w:val="none"/>
        </w:rPr>
        <w:t xml:space="preserve">                                        开户银行：</w:t>
      </w:r>
      <w:r>
        <w:rPr>
          <w:rFonts w:hint="eastAsia" w:cs="Times New Roman" w:asciiTheme="minorEastAsia" w:hAnsiTheme="minorEastAsia" w:eastAsiaTheme="minorEastAsia"/>
          <w:bCs/>
          <w:sz w:val="24"/>
          <w:szCs w:val="24"/>
          <w:highlight w:val="none"/>
          <w:u w:val="single"/>
        </w:rPr>
        <w:t xml:space="preserve">                </w:t>
      </w:r>
    </w:p>
    <w:p w14:paraId="34E33841">
      <w:pPr>
        <w:widowControl/>
        <w:jc w:val="left"/>
        <w:rPr>
          <w:rFonts w:ascii="宋体" w:hAnsi="宋体" w:eastAsia="宋体"/>
          <w:b/>
          <w:sz w:val="24"/>
          <w:highlight w:val="none"/>
        </w:rPr>
      </w:pPr>
      <w:r>
        <w:rPr>
          <w:rFonts w:ascii="宋体" w:hAnsi="宋体" w:eastAsia="宋体"/>
          <w:b/>
          <w:sz w:val="24"/>
          <w:highlight w:val="none"/>
        </w:rPr>
        <w:br w:type="page"/>
      </w:r>
    </w:p>
    <w:p w14:paraId="587FAB2F">
      <w:pPr>
        <w:spacing w:line="360" w:lineRule="auto"/>
        <w:jc w:val="center"/>
        <w:outlineLvl w:val="1"/>
        <w:rPr>
          <w:rFonts w:ascii="宋体" w:hAnsi="宋体" w:eastAsia="宋体"/>
          <w:b/>
          <w:sz w:val="24"/>
          <w:highlight w:val="none"/>
        </w:rPr>
      </w:pPr>
      <w:bookmarkStart w:id="136" w:name="_Toc114"/>
      <w:r>
        <w:rPr>
          <w:rFonts w:hint="eastAsia" w:ascii="宋体" w:hAnsi="宋体" w:eastAsia="宋体"/>
          <w:b/>
          <w:sz w:val="24"/>
          <w:highlight w:val="none"/>
        </w:rPr>
        <w:t>第二部分</w:t>
      </w:r>
      <w:r>
        <w:rPr>
          <w:rFonts w:ascii="宋体" w:hAnsi="宋体" w:eastAsia="宋体"/>
          <w:b/>
          <w:sz w:val="24"/>
          <w:highlight w:val="none"/>
        </w:rPr>
        <w:t xml:space="preserve"> </w:t>
      </w:r>
      <w:r>
        <w:rPr>
          <w:rFonts w:hint="eastAsia" w:ascii="宋体" w:hAnsi="宋体" w:eastAsia="宋体"/>
          <w:b/>
          <w:sz w:val="24"/>
          <w:highlight w:val="none"/>
        </w:rPr>
        <w:t>合同一般条款</w:t>
      </w:r>
      <w:bookmarkEnd w:id="135"/>
      <w:bookmarkEnd w:id="136"/>
    </w:p>
    <w:p w14:paraId="53DDC096">
      <w:pPr>
        <w:spacing w:line="360" w:lineRule="auto"/>
        <w:ind w:firstLine="437"/>
        <w:outlineLvl w:val="2"/>
        <w:rPr>
          <w:rFonts w:ascii="宋体" w:hAnsi="宋体" w:eastAsia="宋体"/>
          <w:b/>
          <w:bCs/>
          <w:sz w:val="24"/>
          <w:highlight w:val="none"/>
          <w:lang w:val="zh-CN"/>
        </w:rPr>
      </w:pPr>
      <w:bookmarkStart w:id="137" w:name="_Ref467378499"/>
      <w:bookmarkStart w:id="138" w:name="_Toc279701240"/>
      <w:bookmarkStart w:id="139" w:name="_Toc259093669"/>
      <w:bookmarkStart w:id="140" w:name="_Toc28763"/>
      <w:bookmarkStart w:id="141" w:name="_Ref467378463"/>
      <w:bookmarkStart w:id="142" w:name="_Toc19614"/>
      <w:bookmarkStart w:id="143" w:name="_Ref467379101"/>
      <w:bookmarkStart w:id="144" w:name="_Toc487900349"/>
      <w:bookmarkStart w:id="145" w:name="_Ref467379109"/>
      <w:bookmarkStart w:id="146" w:name="_Ref467379205"/>
      <w:bookmarkStart w:id="147" w:name="_Ref467378404"/>
      <w:bookmarkStart w:id="148" w:name="_Ref467379094"/>
      <w:bookmarkStart w:id="149" w:name="_Ref467379195"/>
      <w:bookmarkStart w:id="150" w:name="_Ref467379225"/>
      <w:bookmarkStart w:id="151" w:name="_Toc16917"/>
      <w:bookmarkStart w:id="152" w:name="_Ref467379214"/>
      <w:r>
        <w:rPr>
          <w:rFonts w:hint="eastAsia" w:ascii="宋体" w:hAnsi="宋体" w:eastAsia="宋体"/>
          <w:b/>
          <w:bCs/>
          <w:sz w:val="24"/>
          <w:highlight w:val="none"/>
          <w:lang w:val="zh-CN"/>
        </w:rPr>
        <w:t>2.1</w:t>
      </w:r>
      <w:r>
        <w:rPr>
          <w:rFonts w:ascii="宋体" w:hAnsi="宋体" w:eastAsia="宋体"/>
          <w:b/>
          <w:bCs/>
          <w:sz w:val="24"/>
          <w:highlight w:val="none"/>
          <w:lang w:val="zh-CN"/>
        </w:rPr>
        <w:t xml:space="preserve"> 定义</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2329DD76">
      <w:pPr>
        <w:spacing w:line="360" w:lineRule="auto"/>
        <w:ind w:firstLine="435"/>
        <w:rPr>
          <w:rFonts w:ascii="宋体" w:hAnsi="宋体" w:eastAsia="宋体"/>
          <w:sz w:val="24"/>
          <w:highlight w:val="none"/>
        </w:rPr>
      </w:pPr>
      <w:r>
        <w:rPr>
          <w:rFonts w:ascii="宋体" w:hAnsi="宋体" w:eastAsia="宋体"/>
          <w:sz w:val="24"/>
          <w:highlight w:val="none"/>
        </w:rPr>
        <w:t>本合同中的下列</w:t>
      </w:r>
      <w:r>
        <w:rPr>
          <w:rFonts w:hint="eastAsia" w:ascii="宋体" w:hAnsi="宋体" w:eastAsia="宋体"/>
          <w:sz w:val="24"/>
          <w:highlight w:val="none"/>
        </w:rPr>
        <w:t>词</w:t>
      </w:r>
      <w:r>
        <w:rPr>
          <w:rFonts w:ascii="宋体" w:hAnsi="宋体" w:eastAsia="宋体"/>
          <w:sz w:val="24"/>
          <w:highlight w:val="none"/>
        </w:rPr>
        <w:t>语应</w:t>
      </w:r>
      <w:r>
        <w:rPr>
          <w:rFonts w:hint="eastAsia" w:ascii="宋体" w:hAnsi="宋体" w:eastAsia="宋体"/>
          <w:sz w:val="24"/>
          <w:highlight w:val="none"/>
        </w:rPr>
        <w:t>按以下内容进行</w:t>
      </w:r>
      <w:r>
        <w:rPr>
          <w:rFonts w:ascii="宋体" w:hAnsi="宋体" w:eastAsia="宋体"/>
          <w:sz w:val="24"/>
          <w:highlight w:val="none"/>
        </w:rPr>
        <w:t>解释：</w:t>
      </w:r>
    </w:p>
    <w:p w14:paraId="7D68945C">
      <w:pPr>
        <w:spacing w:line="360" w:lineRule="auto"/>
        <w:ind w:firstLine="435"/>
        <w:rPr>
          <w:rFonts w:ascii="宋体" w:hAnsi="宋体" w:eastAsia="宋体"/>
          <w:sz w:val="24"/>
          <w:highlight w:val="none"/>
        </w:rPr>
      </w:pPr>
      <w:r>
        <w:rPr>
          <w:rFonts w:hint="eastAsia" w:ascii="宋体" w:hAnsi="宋体" w:eastAsia="宋体"/>
          <w:sz w:val="24"/>
          <w:highlight w:val="none"/>
        </w:rPr>
        <w:t>2</w:t>
      </w:r>
      <w:r>
        <w:rPr>
          <w:rFonts w:ascii="宋体" w:hAnsi="宋体" w:eastAsia="宋体"/>
          <w:sz w:val="24"/>
          <w:highlight w:val="none"/>
        </w:rPr>
        <w:t>.1</w:t>
      </w:r>
      <w:r>
        <w:rPr>
          <w:rFonts w:hint="eastAsia" w:ascii="宋体" w:hAnsi="宋体" w:eastAsia="宋体"/>
          <w:sz w:val="24"/>
          <w:highlight w:val="none"/>
        </w:rPr>
        <w:t>.1</w:t>
      </w:r>
      <w:r>
        <w:rPr>
          <w:rFonts w:ascii="宋体" w:hAnsi="宋体" w:eastAsia="宋体"/>
          <w:sz w:val="24"/>
          <w:highlight w:val="none"/>
        </w:rPr>
        <w:t>“合同”系指采购人和成交供应商签订的载明双方当事人所达成的协议，并包括所有的附件、附录和构成合同的其他文件。</w:t>
      </w:r>
    </w:p>
    <w:p w14:paraId="6240B97B">
      <w:pPr>
        <w:spacing w:line="360" w:lineRule="auto"/>
        <w:ind w:firstLine="435"/>
        <w:rPr>
          <w:rFonts w:ascii="宋体" w:hAnsi="宋体" w:eastAsia="宋体"/>
          <w:sz w:val="24"/>
          <w:highlight w:val="none"/>
        </w:rPr>
      </w:pPr>
      <w:r>
        <w:rPr>
          <w:rFonts w:hint="eastAsia" w:ascii="宋体" w:hAnsi="宋体" w:eastAsia="宋体"/>
          <w:sz w:val="24"/>
          <w:highlight w:val="none"/>
        </w:rPr>
        <w:t>2.</w:t>
      </w:r>
      <w:r>
        <w:rPr>
          <w:rFonts w:ascii="宋体" w:hAnsi="宋体" w:eastAsia="宋体"/>
          <w:sz w:val="24"/>
          <w:highlight w:val="none"/>
        </w:rPr>
        <w:t>1.2“合同价”系指根据合同约定，成交供应商在完全履行合同义务后</w:t>
      </w:r>
      <w:r>
        <w:rPr>
          <w:rFonts w:hint="eastAsia" w:ascii="宋体" w:hAnsi="宋体" w:eastAsia="宋体"/>
          <w:sz w:val="24"/>
          <w:highlight w:val="none"/>
        </w:rPr>
        <w:t>，</w:t>
      </w:r>
      <w:r>
        <w:rPr>
          <w:rFonts w:ascii="宋体" w:hAnsi="宋体" w:eastAsia="宋体"/>
          <w:sz w:val="24"/>
          <w:highlight w:val="none"/>
        </w:rPr>
        <w:t>采购人应支付给成交供应商的价格。</w:t>
      </w:r>
    </w:p>
    <w:p w14:paraId="6BC64DEA">
      <w:pPr>
        <w:spacing w:line="360" w:lineRule="auto"/>
        <w:ind w:firstLine="435"/>
        <w:rPr>
          <w:rFonts w:ascii="宋体" w:hAnsi="宋体" w:eastAsia="宋体"/>
          <w:sz w:val="24"/>
          <w:highlight w:val="none"/>
        </w:rPr>
      </w:pPr>
      <w:r>
        <w:rPr>
          <w:rFonts w:hint="eastAsia" w:ascii="宋体" w:hAnsi="宋体" w:eastAsia="宋体"/>
          <w:sz w:val="24"/>
          <w:highlight w:val="none"/>
        </w:rPr>
        <w:t>2.</w:t>
      </w:r>
      <w:r>
        <w:rPr>
          <w:rFonts w:ascii="宋体" w:hAnsi="宋体" w:eastAsia="宋体"/>
          <w:sz w:val="24"/>
          <w:highlight w:val="none"/>
        </w:rPr>
        <w:t>1.3“</w:t>
      </w:r>
      <w:r>
        <w:rPr>
          <w:rFonts w:hint="eastAsia" w:ascii="宋体" w:hAnsi="宋体" w:eastAsia="宋体"/>
          <w:sz w:val="24"/>
          <w:highlight w:val="none"/>
        </w:rPr>
        <w:t>服务</w:t>
      </w:r>
      <w:r>
        <w:rPr>
          <w:rFonts w:ascii="宋体" w:hAnsi="宋体" w:eastAsia="宋体"/>
          <w:sz w:val="24"/>
          <w:highlight w:val="none"/>
        </w:rPr>
        <w:t>”系指</w:t>
      </w:r>
      <w:r>
        <w:rPr>
          <w:rFonts w:hint="eastAsia" w:ascii="宋体" w:hAnsi="宋体" w:eastAsia="宋体"/>
          <w:sz w:val="24"/>
          <w:highlight w:val="none"/>
        </w:rPr>
        <w:t>成交供应商</w:t>
      </w:r>
      <w:r>
        <w:rPr>
          <w:rFonts w:ascii="宋体" w:hAnsi="宋体" w:eastAsia="宋体"/>
          <w:sz w:val="24"/>
          <w:highlight w:val="none"/>
        </w:rPr>
        <w:t>根据合同约定应向采购人</w:t>
      </w:r>
      <w:r>
        <w:rPr>
          <w:rFonts w:hint="eastAsia" w:ascii="宋体" w:hAnsi="宋体" w:eastAsia="宋体"/>
          <w:sz w:val="24"/>
          <w:highlight w:val="none"/>
        </w:rPr>
        <w:t>履行</w:t>
      </w:r>
      <w:r>
        <w:rPr>
          <w:rFonts w:ascii="宋体" w:hAnsi="宋体" w:eastAsia="宋体"/>
          <w:sz w:val="24"/>
          <w:highlight w:val="none"/>
        </w:rPr>
        <w:t>的</w:t>
      </w:r>
      <w:r>
        <w:rPr>
          <w:rFonts w:hint="eastAsia" w:ascii="宋体" w:hAnsi="宋体" w:eastAsia="宋体"/>
          <w:sz w:val="24"/>
          <w:highlight w:val="none"/>
        </w:rPr>
        <w:t>除货物和工程以外的其他政府采购对象，包括采购人自身需要的服务和向社会公众提供的公共服务。</w:t>
      </w:r>
    </w:p>
    <w:p w14:paraId="0CC0BA01">
      <w:pPr>
        <w:spacing w:line="360" w:lineRule="auto"/>
        <w:ind w:firstLine="435"/>
        <w:rPr>
          <w:rFonts w:ascii="宋体" w:hAnsi="宋体" w:eastAsia="宋体"/>
          <w:sz w:val="24"/>
          <w:highlight w:val="none"/>
        </w:rPr>
      </w:pPr>
      <w:bookmarkStart w:id="153" w:name="_Ref467378840"/>
      <w:r>
        <w:rPr>
          <w:rFonts w:hint="eastAsia" w:ascii="宋体" w:hAnsi="宋体" w:eastAsia="宋体"/>
          <w:sz w:val="24"/>
          <w:highlight w:val="none"/>
        </w:rPr>
        <w:t>2.</w:t>
      </w:r>
      <w:r>
        <w:rPr>
          <w:rFonts w:ascii="宋体" w:hAnsi="宋体" w:eastAsia="宋体"/>
          <w:sz w:val="24"/>
          <w:highlight w:val="none"/>
        </w:rPr>
        <w:t>1.</w:t>
      </w:r>
      <w:r>
        <w:rPr>
          <w:rFonts w:hint="eastAsia" w:ascii="宋体" w:hAnsi="宋体" w:eastAsia="宋体"/>
          <w:sz w:val="24"/>
          <w:highlight w:val="none"/>
        </w:rPr>
        <w:t>4</w:t>
      </w:r>
      <w:r>
        <w:rPr>
          <w:rFonts w:ascii="宋体" w:hAnsi="宋体" w:eastAsia="宋体"/>
          <w:sz w:val="24"/>
          <w:highlight w:val="none"/>
        </w:rPr>
        <w:t>“</w:t>
      </w:r>
      <w:r>
        <w:rPr>
          <w:rFonts w:hint="eastAsia" w:ascii="宋体" w:hAnsi="宋体" w:eastAsia="宋体"/>
          <w:sz w:val="24"/>
          <w:highlight w:val="none"/>
        </w:rPr>
        <w:t>甲方</w:t>
      </w:r>
      <w:r>
        <w:rPr>
          <w:rFonts w:ascii="宋体" w:hAnsi="宋体" w:eastAsia="宋体"/>
          <w:sz w:val="24"/>
          <w:highlight w:val="none"/>
        </w:rPr>
        <w:t>”系指与</w:t>
      </w:r>
      <w:r>
        <w:rPr>
          <w:rFonts w:hint="eastAsia" w:ascii="宋体" w:hAnsi="宋体" w:eastAsia="宋体"/>
          <w:sz w:val="24"/>
          <w:highlight w:val="none"/>
        </w:rPr>
        <w:t>成交供应商</w:t>
      </w:r>
      <w:r>
        <w:rPr>
          <w:rFonts w:ascii="宋体" w:hAnsi="宋体" w:eastAsia="宋体"/>
          <w:sz w:val="24"/>
          <w:highlight w:val="none"/>
        </w:rPr>
        <w:t>签署合同的采购人</w:t>
      </w:r>
      <w:bookmarkEnd w:id="153"/>
      <w:r>
        <w:rPr>
          <w:rFonts w:hint="eastAsia" w:ascii="宋体" w:hAnsi="宋体" w:eastAsia="宋体"/>
          <w:sz w:val="24"/>
          <w:highlight w:val="none"/>
        </w:rPr>
        <w:t>；采购人委托采购代理机构代表其与乙方签订合同的，采购人的授权委托书作为合同附件。</w:t>
      </w:r>
    </w:p>
    <w:p w14:paraId="5FDD2F48">
      <w:pPr>
        <w:spacing w:line="360" w:lineRule="auto"/>
        <w:ind w:firstLine="435"/>
        <w:rPr>
          <w:rFonts w:ascii="宋体" w:hAnsi="宋体" w:eastAsia="宋体"/>
          <w:sz w:val="24"/>
          <w:highlight w:val="none"/>
        </w:rPr>
      </w:pPr>
      <w:bookmarkStart w:id="154" w:name="_Ref467379400"/>
      <w:r>
        <w:rPr>
          <w:rFonts w:hint="eastAsia" w:ascii="宋体" w:hAnsi="宋体" w:eastAsia="宋体"/>
          <w:sz w:val="24"/>
          <w:highlight w:val="none"/>
        </w:rPr>
        <w:t>2.</w:t>
      </w:r>
      <w:r>
        <w:rPr>
          <w:rFonts w:ascii="宋体" w:hAnsi="宋体" w:eastAsia="宋体"/>
          <w:sz w:val="24"/>
          <w:highlight w:val="none"/>
        </w:rPr>
        <w:t>1.</w:t>
      </w:r>
      <w:r>
        <w:rPr>
          <w:rFonts w:hint="eastAsia" w:ascii="宋体" w:hAnsi="宋体" w:eastAsia="宋体"/>
          <w:sz w:val="24"/>
          <w:highlight w:val="none"/>
        </w:rPr>
        <w:t>5</w:t>
      </w:r>
      <w:r>
        <w:rPr>
          <w:rFonts w:ascii="宋体" w:hAnsi="宋体" w:eastAsia="宋体"/>
          <w:sz w:val="24"/>
          <w:highlight w:val="none"/>
        </w:rPr>
        <w:t>“乙方”系指根据合同约定</w:t>
      </w:r>
      <w:r>
        <w:rPr>
          <w:rFonts w:hint="eastAsia" w:ascii="宋体" w:hAnsi="宋体" w:eastAsia="宋体"/>
          <w:sz w:val="24"/>
          <w:highlight w:val="none"/>
        </w:rPr>
        <w:t>提供服务</w:t>
      </w:r>
      <w:r>
        <w:rPr>
          <w:rFonts w:ascii="宋体" w:hAnsi="宋体" w:eastAsia="宋体"/>
          <w:sz w:val="24"/>
          <w:highlight w:val="none"/>
        </w:rPr>
        <w:t>的成交供应商</w:t>
      </w:r>
      <w:bookmarkEnd w:id="154"/>
      <w:r>
        <w:rPr>
          <w:rFonts w:hint="eastAsia" w:ascii="宋体" w:hAnsi="宋体" w:eastAsia="宋体"/>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164D6D4">
      <w:pPr>
        <w:spacing w:line="360" w:lineRule="auto"/>
        <w:ind w:firstLine="435"/>
        <w:rPr>
          <w:rFonts w:ascii="宋体" w:hAnsi="宋体" w:eastAsia="宋体"/>
          <w:sz w:val="24"/>
          <w:highlight w:val="none"/>
        </w:rPr>
      </w:pPr>
      <w:bookmarkStart w:id="155" w:name="_Ref467379436"/>
      <w:r>
        <w:rPr>
          <w:rFonts w:hint="eastAsia" w:ascii="宋体" w:hAnsi="宋体" w:eastAsia="宋体"/>
          <w:sz w:val="24"/>
          <w:highlight w:val="none"/>
        </w:rPr>
        <w:t>2.</w:t>
      </w:r>
      <w:r>
        <w:rPr>
          <w:rFonts w:ascii="宋体" w:hAnsi="宋体" w:eastAsia="宋体"/>
          <w:sz w:val="24"/>
          <w:highlight w:val="none"/>
        </w:rPr>
        <w:t>1.</w:t>
      </w:r>
      <w:r>
        <w:rPr>
          <w:rFonts w:hint="eastAsia" w:ascii="宋体" w:hAnsi="宋体" w:eastAsia="宋体"/>
          <w:sz w:val="24"/>
          <w:highlight w:val="none"/>
        </w:rPr>
        <w:t>6</w:t>
      </w:r>
      <w:r>
        <w:rPr>
          <w:rFonts w:ascii="宋体" w:hAnsi="宋体" w:eastAsia="宋体"/>
          <w:sz w:val="24"/>
          <w:highlight w:val="none"/>
        </w:rPr>
        <w:t>“现场”系指合同约定</w:t>
      </w:r>
      <w:r>
        <w:rPr>
          <w:rFonts w:hint="eastAsia" w:ascii="宋体" w:hAnsi="宋体" w:eastAsia="宋体"/>
          <w:sz w:val="24"/>
          <w:highlight w:val="none"/>
        </w:rPr>
        <w:t>提供服务</w:t>
      </w:r>
      <w:r>
        <w:rPr>
          <w:rFonts w:ascii="宋体" w:hAnsi="宋体" w:eastAsia="宋体"/>
          <w:sz w:val="24"/>
          <w:highlight w:val="none"/>
        </w:rPr>
        <w:t>的地点。</w:t>
      </w:r>
      <w:bookmarkEnd w:id="155"/>
    </w:p>
    <w:p w14:paraId="3BC03FE2">
      <w:pPr>
        <w:spacing w:line="360" w:lineRule="auto"/>
        <w:ind w:firstLine="437"/>
        <w:outlineLvl w:val="2"/>
        <w:rPr>
          <w:rFonts w:ascii="宋体" w:hAnsi="宋体" w:eastAsia="宋体"/>
          <w:b/>
          <w:bCs/>
          <w:sz w:val="24"/>
          <w:highlight w:val="none"/>
          <w:lang w:val="zh-CN"/>
        </w:rPr>
      </w:pPr>
      <w:bookmarkStart w:id="156" w:name="_Toc279701241"/>
      <w:bookmarkStart w:id="157" w:name="_Toc487900350"/>
      <w:bookmarkStart w:id="158" w:name="_Toc32504"/>
      <w:bookmarkStart w:id="159" w:name="_Toc27635"/>
      <w:bookmarkStart w:id="160" w:name="_Toc13336"/>
      <w:bookmarkStart w:id="161" w:name="_Toc259093670"/>
      <w:r>
        <w:rPr>
          <w:rFonts w:hint="eastAsia" w:ascii="宋体" w:hAnsi="宋体" w:eastAsia="宋体"/>
          <w:b/>
          <w:bCs/>
          <w:sz w:val="24"/>
          <w:highlight w:val="none"/>
          <w:lang w:val="zh-CN"/>
        </w:rPr>
        <w:t>2.</w:t>
      </w:r>
      <w:r>
        <w:rPr>
          <w:rFonts w:ascii="宋体" w:hAnsi="宋体" w:eastAsia="宋体"/>
          <w:b/>
          <w:bCs/>
          <w:sz w:val="24"/>
          <w:highlight w:val="none"/>
          <w:lang w:val="zh-CN"/>
        </w:rPr>
        <w:t>2 技术规范</w:t>
      </w:r>
      <w:bookmarkEnd w:id="156"/>
      <w:bookmarkEnd w:id="157"/>
      <w:bookmarkEnd w:id="158"/>
      <w:bookmarkEnd w:id="159"/>
      <w:bookmarkEnd w:id="160"/>
      <w:bookmarkEnd w:id="161"/>
    </w:p>
    <w:p w14:paraId="2E522E58">
      <w:pPr>
        <w:spacing w:line="360" w:lineRule="auto"/>
        <w:ind w:firstLine="435"/>
        <w:rPr>
          <w:rFonts w:ascii="宋体" w:hAnsi="宋体" w:eastAsia="宋体"/>
          <w:sz w:val="24"/>
          <w:highlight w:val="none"/>
        </w:rPr>
      </w:pPr>
      <w:r>
        <w:rPr>
          <w:rFonts w:ascii="宋体" w:hAnsi="宋体" w:eastAsia="宋体"/>
          <w:sz w:val="24"/>
          <w:highlight w:val="none"/>
        </w:rPr>
        <w:t>货物所应遵守的技术规范应与采购文件规定的技术规范和技术规范附件(如果有的话)及其技术规范偏差表(如果被甲方接受的话)相一致</w:t>
      </w:r>
      <w:r>
        <w:rPr>
          <w:rFonts w:hint="eastAsia" w:ascii="宋体" w:hAnsi="宋体" w:eastAsia="宋体"/>
          <w:sz w:val="24"/>
          <w:highlight w:val="none"/>
        </w:rPr>
        <w:t>；</w:t>
      </w:r>
      <w:r>
        <w:rPr>
          <w:rFonts w:ascii="宋体" w:hAnsi="宋体" w:eastAsia="宋体"/>
          <w:sz w:val="24"/>
          <w:highlight w:val="none"/>
        </w:rPr>
        <w:t>如果采购文件中没有技术规范的相应说明，那么应以国家有关部门最新颁布的相应标准</w:t>
      </w:r>
      <w:r>
        <w:rPr>
          <w:rFonts w:hint="eastAsia" w:ascii="宋体" w:hAnsi="宋体" w:eastAsia="宋体"/>
          <w:sz w:val="24"/>
          <w:highlight w:val="none"/>
        </w:rPr>
        <w:t>和</w:t>
      </w:r>
      <w:r>
        <w:rPr>
          <w:rFonts w:ascii="宋体" w:hAnsi="宋体" w:eastAsia="宋体"/>
          <w:sz w:val="24"/>
          <w:highlight w:val="none"/>
        </w:rPr>
        <w:t>规范为准。</w:t>
      </w:r>
    </w:p>
    <w:p w14:paraId="25EB198C">
      <w:pPr>
        <w:spacing w:line="360" w:lineRule="auto"/>
        <w:ind w:firstLine="437"/>
        <w:outlineLvl w:val="2"/>
        <w:rPr>
          <w:rFonts w:ascii="宋体" w:hAnsi="宋体" w:eastAsia="宋体"/>
          <w:b/>
          <w:bCs/>
          <w:sz w:val="24"/>
          <w:highlight w:val="none"/>
          <w:lang w:val="zh-CN"/>
        </w:rPr>
      </w:pPr>
      <w:bookmarkStart w:id="162" w:name="_Toc9829"/>
      <w:bookmarkStart w:id="163" w:name="_Toc27853"/>
      <w:bookmarkStart w:id="164" w:name="_Toc279701242"/>
      <w:bookmarkStart w:id="165" w:name="_Toc487900351"/>
      <w:bookmarkStart w:id="166" w:name="_Toc259093671"/>
      <w:bookmarkStart w:id="167" w:name="_Toc31634"/>
      <w:r>
        <w:rPr>
          <w:rFonts w:hint="eastAsia" w:ascii="宋体" w:hAnsi="宋体" w:eastAsia="宋体"/>
          <w:b/>
          <w:bCs/>
          <w:sz w:val="24"/>
          <w:highlight w:val="none"/>
          <w:lang w:val="zh-CN"/>
        </w:rPr>
        <w:t>2.</w:t>
      </w:r>
      <w:r>
        <w:rPr>
          <w:rFonts w:ascii="宋体" w:hAnsi="宋体" w:eastAsia="宋体"/>
          <w:b/>
          <w:bCs/>
          <w:sz w:val="24"/>
          <w:highlight w:val="none"/>
          <w:lang w:val="zh-CN"/>
        </w:rPr>
        <w:t>3 知识产权</w:t>
      </w:r>
      <w:bookmarkEnd w:id="162"/>
      <w:bookmarkEnd w:id="163"/>
      <w:bookmarkEnd w:id="164"/>
      <w:bookmarkEnd w:id="165"/>
      <w:bookmarkEnd w:id="166"/>
      <w:bookmarkEnd w:id="167"/>
    </w:p>
    <w:p w14:paraId="0A92A380">
      <w:pPr>
        <w:spacing w:line="360" w:lineRule="auto"/>
        <w:ind w:firstLine="435"/>
        <w:rPr>
          <w:rFonts w:ascii="宋体" w:hAnsi="宋体" w:eastAsia="宋体"/>
          <w:sz w:val="24"/>
          <w:highlight w:val="none"/>
        </w:rPr>
      </w:pPr>
      <w:r>
        <w:rPr>
          <w:rFonts w:hint="eastAsia" w:ascii="宋体" w:hAnsi="宋体" w:eastAsia="宋体"/>
          <w:sz w:val="24"/>
          <w:highlight w:val="none"/>
        </w:rPr>
        <w:t>2.3.1乙</w:t>
      </w:r>
      <w:r>
        <w:rPr>
          <w:rFonts w:ascii="宋体" w:hAnsi="宋体" w:eastAsia="宋体"/>
          <w:sz w:val="24"/>
          <w:highlight w:val="none"/>
        </w:rPr>
        <w:t>方应保证</w:t>
      </w:r>
      <w:r>
        <w:rPr>
          <w:rFonts w:hint="eastAsia" w:ascii="宋体" w:hAnsi="宋体" w:eastAsia="宋体"/>
          <w:sz w:val="24"/>
          <w:highlight w:val="none"/>
        </w:rPr>
        <w:t>其提供的服务</w:t>
      </w:r>
      <w:r>
        <w:rPr>
          <w:rFonts w:ascii="宋体" w:hAnsi="宋体" w:eastAsia="宋体"/>
          <w:sz w:val="24"/>
          <w:highlight w:val="none"/>
        </w:rPr>
        <w:t>不受任何第三方提出的侵犯其著作权、商标权、专利权等知识产权方面的起诉</w:t>
      </w:r>
      <w:r>
        <w:rPr>
          <w:rFonts w:hint="eastAsia" w:ascii="宋体" w:hAnsi="宋体" w:eastAsia="宋体"/>
          <w:sz w:val="24"/>
          <w:highlight w:val="none"/>
        </w:rPr>
        <w:t>；</w:t>
      </w:r>
      <w:r>
        <w:rPr>
          <w:rFonts w:ascii="宋体" w:hAnsi="宋体" w:eastAsia="宋体"/>
          <w:sz w:val="24"/>
          <w:highlight w:val="none"/>
        </w:rPr>
        <w:t>如果任何第三方提出侵权</w:t>
      </w:r>
      <w:r>
        <w:rPr>
          <w:rFonts w:hint="eastAsia" w:ascii="宋体" w:hAnsi="宋体" w:eastAsia="宋体"/>
          <w:sz w:val="24"/>
          <w:highlight w:val="none"/>
        </w:rPr>
        <w:t>指控</w:t>
      </w:r>
      <w:r>
        <w:rPr>
          <w:rFonts w:ascii="宋体" w:hAnsi="宋体" w:eastAsia="宋体"/>
          <w:sz w:val="24"/>
          <w:highlight w:val="none"/>
        </w:rPr>
        <w:t>，那么乙方须与该第三方交涉并承担由此发生的一切责任、费用和赔偿</w:t>
      </w:r>
      <w:r>
        <w:rPr>
          <w:rFonts w:hint="eastAsia" w:ascii="宋体" w:hAnsi="宋体" w:eastAsia="宋体"/>
          <w:sz w:val="24"/>
          <w:highlight w:val="none"/>
        </w:rPr>
        <w:t>；</w:t>
      </w:r>
    </w:p>
    <w:p w14:paraId="08C29A83">
      <w:pPr>
        <w:spacing w:line="360" w:lineRule="auto"/>
        <w:ind w:firstLine="435"/>
        <w:rPr>
          <w:rFonts w:ascii="宋体" w:hAnsi="宋体" w:eastAsia="宋体"/>
          <w:sz w:val="24"/>
          <w:highlight w:val="none"/>
        </w:rPr>
      </w:pPr>
      <w:r>
        <w:rPr>
          <w:rFonts w:hint="eastAsia" w:ascii="宋体" w:hAnsi="宋体" w:eastAsia="宋体"/>
          <w:sz w:val="24"/>
          <w:highlight w:val="none"/>
        </w:rPr>
        <w:t>2.3.2具有知识产权的计算机软件等货物的知识产权归属，</w:t>
      </w:r>
      <w:r>
        <w:rPr>
          <w:rFonts w:ascii="宋体" w:hAnsi="宋体" w:eastAsia="宋体"/>
          <w:sz w:val="24"/>
          <w:highlight w:val="none"/>
        </w:rPr>
        <w:t>详见</w:t>
      </w:r>
      <w:r>
        <w:rPr>
          <w:rFonts w:ascii="宋体" w:hAnsi="宋体" w:eastAsia="宋体"/>
          <w:b/>
          <w:i/>
          <w:sz w:val="24"/>
          <w:highlight w:val="none"/>
          <w:u w:val="single"/>
        </w:rPr>
        <w:t>合同专用条款</w:t>
      </w:r>
      <w:r>
        <w:rPr>
          <w:rFonts w:ascii="宋体" w:hAnsi="宋体" w:eastAsia="宋体"/>
          <w:sz w:val="24"/>
          <w:highlight w:val="none"/>
        </w:rPr>
        <w:t>。</w:t>
      </w:r>
    </w:p>
    <w:p w14:paraId="1BEAEFE0">
      <w:pPr>
        <w:spacing w:line="360" w:lineRule="auto"/>
        <w:ind w:firstLine="437"/>
        <w:outlineLvl w:val="2"/>
        <w:rPr>
          <w:rFonts w:ascii="宋体" w:hAnsi="宋体" w:eastAsia="宋体"/>
          <w:b/>
          <w:bCs/>
          <w:sz w:val="24"/>
          <w:highlight w:val="none"/>
          <w:lang w:val="zh-CN"/>
        </w:rPr>
      </w:pPr>
      <w:bookmarkStart w:id="168" w:name="_Ref467379536"/>
      <w:bookmarkStart w:id="169" w:name="_Toc279701245"/>
      <w:bookmarkStart w:id="170" w:name="_Ref467378541"/>
      <w:bookmarkStart w:id="171" w:name="_Ref467379542"/>
      <w:bookmarkStart w:id="172" w:name="_Toc259093674"/>
      <w:bookmarkStart w:id="173" w:name="_Ref467379527"/>
      <w:bookmarkStart w:id="174" w:name="_Ref467378591"/>
      <w:bookmarkStart w:id="175" w:name="_Toc487900354"/>
      <w:bookmarkStart w:id="176" w:name="_Toc26182"/>
      <w:bookmarkStart w:id="177" w:name="_Toc30272"/>
      <w:bookmarkStart w:id="178" w:name="_Toc19074"/>
      <w:r>
        <w:rPr>
          <w:rFonts w:hint="eastAsia" w:ascii="宋体" w:hAnsi="宋体" w:eastAsia="宋体"/>
          <w:b/>
          <w:bCs/>
          <w:sz w:val="24"/>
          <w:highlight w:val="none"/>
          <w:lang w:val="zh-CN"/>
        </w:rPr>
        <w:t>2.</w:t>
      </w:r>
      <w:bookmarkEnd w:id="168"/>
      <w:bookmarkEnd w:id="169"/>
      <w:bookmarkEnd w:id="170"/>
      <w:bookmarkEnd w:id="171"/>
      <w:bookmarkEnd w:id="172"/>
      <w:bookmarkEnd w:id="173"/>
      <w:bookmarkEnd w:id="174"/>
      <w:bookmarkEnd w:id="175"/>
      <w:r>
        <w:rPr>
          <w:rFonts w:ascii="宋体" w:hAnsi="宋体" w:eastAsia="宋体"/>
          <w:b/>
          <w:bCs/>
          <w:sz w:val="24"/>
          <w:highlight w:val="none"/>
          <w:lang w:val="zh-CN"/>
        </w:rPr>
        <w:t xml:space="preserve">4 </w:t>
      </w:r>
      <w:r>
        <w:rPr>
          <w:rFonts w:hint="eastAsia" w:ascii="宋体" w:hAnsi="宋体" w:eastAsia="宋体"/>
          <w:b/>
          <w:bCs/>
          <w:sz w:val="24"/>
          <w:highlight w:val="none"/>
          <w:lang w:val="zh-CN"/>
        </w:rPr>
        <w:t>履约检查和问题反馈</w:t>
      </w:r>
      <w:bookmarkEnd w:id="176"/>
      <w:bookmarkEnd w:id="177"/>
      <w:bookmarkEnd w:id="178"/>
    </w:p>
    <w:p w14:paraId="638EDC83">
      <w:pPr>
        <w:spacing w:line="360" w:lineRule="auto"/>
        <w:ind w:firstLine="435"/>
        <w:rPr>
          <w:rFonts w:ascii="宋体" w:hAnsi="宋体" w:eastAsia="宋体"/>
          <w:sz w:val="24"/>
          <w:highlight w:val="none"/>
        </w:rPr>
      </w:pPr>
      <w:bookmarkStart w:id="179" w:name="_Toc186431854"/>
      <w:bookmarkStart w:id="180" w:name="_Ref467379807"/>
      <w:bookmarkStart w:id="181" w:name="_Ref467379793"/>
      <w:bookmarkStart w:id="182" w:name="_Toc487900357"/>
      <w:bookmarkStart w:id="183" w:name="_Toc259093676"/>
      <w:bookmarkStart w:id="184" w:name="_Toc279701247"/>
      <w:r>
        <w:rPr>
          <w:rFonts w:hint="eastAsia" w:ascii="宋体" w:hAnsi="宋体" w:eastAsia="宋体"/>
          <w:sz w:val="24"/>
          <w:highlight w:val="none"/>
        </w:rPr>
        <w:t>2.4</w:t>
      </w:r>
      <w:r>
        <w:rPr>
          <w:rFonts w:ascii="宋体" w:hAnsi="宋体" w:eastAsia="宋体"/>
          <w:sz w:val="24"/>
          <w:highlight w:val="none"/>
        </w:rPr>
        <w:t>.1甲方</w:t>
      </w:r>
      <w:r>
        <w:rPr>
          <w:rFonts w:hint="eastAsia" w:ascii="宋体" w:hAnsi="宋体" w:eastAsia="宋体"/>
          <w:sz w:val="24"/>
          <w:highlight w:val="none"/>
        </w:rPr>
        <w:t>有权</w:t>
      </w:r>
      <w:r>
        <w:rPr>
          <w:rFonts w:ascii="宋体" w:hAnsi="宋体" w:eastAsia="宋体"/>
          <w:sz w:val="24"/>
          <w:highlight w:val="none"/>
        </w:rPr>
        <w:t>在其认为必要时</w:t>
      </w:r>
      <w:r>
        <w:rPr>
          <w:rFonts w:hint="eastAsia" w:ascii="宋体" w:hAnsi="宋体" w:eastAsia="宋体"/>
          <w:sz w:val="24"/>
          <w:highlight w:val="none"/>
        </w:rPr>
        <w:t>，对乙方是否能够按照合同约定提供服务进行履约检查，以确保乙方所提供的服务能够依约满足甲方项目需求，但不得因履约检查妨碍乙方的正常工作，乙方应予积极配合；</w:t>
      </w:r>
    </w:p>
    <w:p w14:paraId="77D0B106">
      <w:pPr>
        <w:spacing w:line="360" w:lineRule="auto"/>
        <w:ind w:firstLine="435"/>
        <w:rPr>
          <w:rFonts w:ascii="宋体" w:hAnsi="宋体" w:eastAsia="宋体"/>
          <w:sz w:val="24"/>
          <w:highlight w:val="none"/>
        </w:rPr>
      </w:pPr>
      <w:r>
        <w:rPr>
          <w:rFonts w:hint="eastAsia" w:ascii="宋体" w:hAnsi="宋体" w:eastAsia="宋体"/>
          <w:sz w:val="24"/>
          <w:highlight w:val="none"/>
        </w:rPr>
        <w:t>2.</w:t>
      </w:r>
      <w:r>
        <w:rPr>
          <w:rFonts w:ascii="宋体" w:hAnsi="宋体" w:eastAsia="宋体"/>
          <w:sz w:val="24"/>
          <w:highlight w:val="none"/>
        </w:rPr>
        <w:t>4</w:t>
      </w:r>
      <w:r>
        <w:rPr>
          <w:rFonts w:hint="eastAsia" w:ascii="宋体" w:hAnsi="宋体" w:eastAsia="宋体"/>
          <w:sz w:val="24"/>
          <w:highlight w:val="none"/>
        </w:rPr>
        <w:t>.2合同履行期间，甲方有权将履行过程中出现的问题反馈给乙方，双方当事人应以书面形式约定需要完善和改进的内容</w:t>
      </w:r>
      <w:bookmarkEnd w:id="179"/>
      <w:bookmarkStart w:id="185" w:name="_Toc186431855"/>
      <w:r>
        <w:rPr>
          <w:rFonts w:hint="eastAsia" w:ascii="宋体" w:hAnsi="宋体" w:eastAsia="宋体"/>
          <w:sz w:val="24"/>
          <w:highlight w:val="none"/>
        </w:rPr>
        <w:t>。</w:t>
      </w:r>
    </w:p>
    <w:bookmarkEnd w:id="185"/>
    <w:p w14:paraId="614DF497">
      <w:pPr>
        <w:spacing w:line="360" w:lineRule="auto"/>
        <w:ind w:firstLine="437"/>
        <w:outlineLvl w:val="2"/>
        <w:rPr>
          <w:rFonts w:ascii="宋体" w:hAnsi="宋体" w:eastAsia="宋体"/>
          <w:b/>
          <w:bCs/>
          <w:sz w:val="24"/>
          <w:highlight w:val="none"/>
          <w:lang w:val="zh-CN"/>
        </w:rPr>
      </w:pPr>
      <w:bookmarkStart w:id="186" w:name="_Toc7836"/>
      <w:bookmarkStart w:id="187" w:name="_Toc28451"/>
      <w:bookmarkStart w:id="188" w:name="_Toc19219"/>
      <w:r>
        <w:rPr>
          <w:rFonts w:hint="eastAsia" w:ascii="宋体" w:hAnsi="宋体" w:eastAsia="宋体"/>
          <w:b/>
          <w:bCs/>
          <w:sz w:val="24"/>
          <w:highlight w:val="none"/>
          <w:lang w:val="zh-CN"/>
        </w:rPr>
        <w:t>2.</w:t>
      </w:r>
      <w:r>
        <w:rPr>
          <w:rFonts w:ascii="宋体" w:hAnsi="宋体" w:eastAsia="宋体"/>
          <w:b/>
          <w:bCs/>
          <w:sz w:val="24"/>
          <w:highlight w:val="none"/>
          <w:lang w:val="zh-CN"/>
        </w:rPr>
        <w:t>5</w:t>
      </w:r>
      <w:r>
        <w:rPr>
          <w:rFonts w:hint="eastAsia" w:ascii="宋体" w:hAnsi="宋体" w:eastAsia="宋体"/>
          <w:b/>
          <w:bCs/>
          <w:sz w:val="24"/>
          <w:highlight w:val="none"/>
          <w:lang w:val="zh-CN"/>
        </w:rPr>
        <w:t xml:space="preserve"> </w:t>
      </w:r>
      <w:r>
        <w:rPr>
          <w:rFonts w:ascii="宋体" w:hAnsi="宋体" w:eastAsia="宋体"/>
          <w:b/>
          <w:bCs/>
          <w:sz w:val="24"/>
          <w:highlight w:val="none"/>
          <w:lang w:val="zh-CN"/>
        </w:rPr>
        <w:t>结算方式和付款条件</w:t>
      </w:r>
      <w:bookmarkEnd w:id="180"/>
      <w:bookmarkEnd w:id="181"/>
      <w:bookmarkEnd w:id="182"/>
      <w:bookmarkEnd w:id="183"/>
      <w:bookmarkEnd w:id="184"/>
      <w:bookmarkEnd w:id="186"/>
      <w:bookmarkEnd w:id="187"/>
      <w:bookmarkEnd w:id="188"/>
    </w:p>
    <w:p w14:paraId="04130457">
      <w:pPr>
        <w:spacing w:line="360" w:lineRule="auto"/>
        <w:ind w:firstLine="435"/>
        <w:rPr>
          <w:rFonts w:ascii="宋体" w:hAnsi="宋体" w:eastAsia="宋体"/>
          <w:sz w:val="24"/>
          <w:highlight w:val="none"/>
        </w:rPr>
      </w:pPr>
      <w:r>
        <w:rPr>
          <w:rFonts w:ascii="宋体" w:hAnsi="宋体" w:eastAsia="宋体"/>
          <w:sz w:val="24"/>
          <w:highlight w:val="none"/>
        </w:rPr>
        <w:t>详见</w:t>
      </w:r>
      <w:r>
        <w:rPr>
          <w:rFonts w:ascii="宋体" w:hAnsi="宋体" w:eastAsia="宋体"/>
          <w:b/>
          <w:i/>
          <w:sz w:val="24"/>
          <w:highlight w:val="none"/>
          <w:u w:val="single"/>
        </w:rPr>
        <w:t>合同专用条款</w:t>
      </w:r>
      <w:r>
        <w:rPr>
          <w:rFonts w:ascii="宋体" w:hAnsi="宋体" w:eastAsia="宋体"/>
          <w:sz w:val="24"/>
          <w:highlight w:val="none"/>
        </w:rPr>
        <w:t>。</w:t>
      </w:r>
    </w:p>
    <w:p w14:paraId="28C8ACA0">
      <w:pPr>
        <w:spacing w:line="360" w:lineRule="auto"/>
        <w:ind w:firstLine="437"/>
        <w:outlineLvl w:val="2"/>
        <w:rPr>
          <w:rFonts w:ascii="宋体" w:hAnsi="宋体" w:eastAsia="宋体"/>
          <w:b/>
          <w:bCs/>
          <w:sz w:val="24"/>
          <w:highlight w:val="none"/>
          <w:lang w:val="zh-CN"/>
        </w:rPr>
      </w:pPr>
      <w:bookmarkStart w:id="189" w:name="_Toc259093677"/>
      <w:bookmarkStart w:id="190" w:name="_Ref467379852"/>
      <w:bookmarkStart w:id="191" w:name="_Ref467379863"/>
      <w:bookmarkStart w:id="192" w:name="_Ref467379923"/>
      <w:bookmarkStart w:id="193" w:name="_Toc487900358"/>
      <w:bookmarkStart w:id="194" w:name="_Toc279701248"/>
      <w:bookmarkStart w:id="195" w:name="_Toc16110"/>
      <w:bookmarkStart w:id="196" w:name="_Toc774"/>
      <w:bookmarkStart w:id="197" w:name="_Toc3225"/>
      <w:r>
        <w:rPr>
          <w:rFonts w:hint="eastAsia" w:ascii="宋体" w:hAnsi="宋体" w:eastAsia="宋体"/>
          <w:b/>
          <w:bCs/>
          <w:sz w:val="24"/>
          <w:highlight w:val="none"/>
          <w:lang w:val="zh-CN"/>
        </w:rPr>
        <w:t>2.</w:t>
      </w:r>
      <w:r>
        <w:rPr>
          <w:rFonts w:ascii="宋体" w:hAnsi="宋体" w:eastAsia="宋体"/>
          <w:b/>
          <w:bCs/>
          <w:sz w:val="24"/>
          <w:highlight w:val="none"/>
          <w:lang w:val="zh-CN"/>
        </w:rPr>
        <w:t>6</w:t>
      </w:r>
      <w:r>
        <w:rPr>
          <w:rFonts w:hint="eastAsia" w:ascii="宋体" w:hAnsi="宋体" w:eastAsia="宋体"/>
          <w:b/>
          <w:bCs/>
          <w:sz w:val="24"/>
          <w:highlight w:val="none"/>
          <w:lang w:val="zh-CN"/>
        </w:rPr>
        <w:t xml:space="preserve"> </w:t>
      </w:r>
      <w:r>
        <w:rPr>
          <w:rFonts w:ascii="宋体" w:hAnsi="宋体" w:eastAsia="宋体"/>
          <w:b/>
          <w:bCs/>
          <w:sz w:val="24"/>
          <w:highlight w:val="none"/>
          <w:lang w:val="zh-CN"/>
        </w:rPr>
        <w:t>技术资料</w:t>
      </w:r>
      <w:bookmarkEnd w:id="189"/>
      <w:bookmarkEnd w:id="190"/>
      <w:bookmarkEnd w:id="191"/>
      <w:bookmarkEnd w:id="192"/>
      <w:bookmarkEnd w:id="193"/>
      <w:bookmarkEnd w:id="194"/>
      <w:r>
        <w:rPr>
          <w:rFonts w:ascii="宋体" w:hAnsi="宋体" w:eastAsia="宋体"/>
          <w:b/>
          <w:bCs/>
          <w:sz w:val="24"/>
          <w:highlight w:val="none"/>
          <w:lang w:val="zh-CN"/>
        </w:rPr>
        <w:t>和保密义务</w:t>
      </w:r>
      <w:bookmarkEnd w:id="195"/>
      <w:bookmarkEnd w:id="196"/>
      <w:bookmarkEnd w:id="197"/>
    </w:p>
    <w:p w14:paraId="62757D78">
      <w:pPr>
        <w:spacing w:line="360" w:lineRule="auto"/>
        <w:ind w:firstLine="435"/>
        <w:rPr>
          <w:rFonts w:ascii="宋体" w:hAnsi="宋体" w:eastAsia="宋体"/>
          <w:sz w:val="24"/>
          <w:highlight w:val="none"/>
        </w:rPr>
      </w:pPr>
      <w:r>
        <w:rPr>
          <w:rFonts w:hint="eastAsia" w:ascii="宋体" w:hAnsi="宋体" w:eastAsia="宋体"/>
          <w:sz w:val="24"/>
          <w:highlight w:val="none"/>
        </w:rPr>
        <w:t>2.</w:t>
      </w:r>
      <w:r>
        <w:rPr>
          <w:rFonts w:ascii="宋体" w:hAnsi="宋体" w:eastAsia="宋体"/>
          <w:sz w:val="24"/>
          <w:highlight w:val="none"/>
        </w:rPr>
        <w:t>6.1</w:t>
      </w:r>
      <w:r>
        <w:rPr>
          <w:rFonts w:hint="eastAsia" w:ascii="宋体" w:hAnsi="宋体" w:eastAsia="宋体"/>
          <w:sz w:val="24"/>
          <w:highlight w:val="none"/>
        </w:rPr>
        <w:t>乙方有权依据合同约定和项目需要，向甲方了解有关情况，调阅有关资料等，甲方应予积极配合；</w:t>
      </w:r>
    </w:p>
    <w:p w14:paraId="16128BC9">
      <w:pPr>
        <w:spacing w:line="360" w:lineRule="auto"/>
        <w:ind w:firstLine="435"/>
        <w:rPr>
          <w:rFonts w:ascii="宋体" w:hAnsi="宋体" w:eastAsia="宋体"/>
          <w:sz w:val="24"/>
          <w:highlight w:val="none"/>
        </w:rPr>
      </w:pPr>
      <w:r>
        <w:rPr>
          <w:rFonts w:hint="eastAsia" w:ascii="宋体" w:hAnsi="宋体" w:eastAsia="宋体"/>
          <w:sz w:val="24"/>
          <w:highlight w:val="none"/>
        </w:rPr>
        <w:t>2.</w:t>
      </w:r>
      <w:r>
        <w:rPr>
          <w:rFonts w:ascii="宋体" w:hAnsi="宋体" w:eastAsia="宋体"/>
          <w:sz w:val="24"/>
          <w:highlight w:val="none"/>
        </w:rPr>
        <w:t>6</w:t>
      </w:r>
      <w:r>
        <w:rPr>
          <w:rFonts w:hint="eastAsia" w:ascii="宋体" w:hAnsi="宋体" w:eastAsia="宋体"/>
          <w:sz w:val="24"/>
          <w:highlight w:val="none"/>
        </w:rPr>
        <w:t>.2乙方有义务妥善保管和保护由甲方提供的前款信息和资料等；</w:t>
      </w:r>
    </w:p>
    <w:p w14:paraId="71F23256">
      <w:pPr>
        <w:spacing w:line="360" w:lineRule="auto"/>
        <w:ind w:firstLine="435"/>
        <w:rPr>
          <w:rFonts w:ascii="宋体" w:hAnsi="宋体" w:eastAsia="宋体"/>
          <w:sz w:val="24"/>
          <w:highlight w:val="none"/>
        </w:rPr>
      </w:pPr>
      <w:r>
        <w:rPr>
          <w:rFonts w:hint="eastAsia" w:ascii="宋体" w:hAnsi="宋体" w:eastAsia="宋体"/>
          <w:sz w:val="24"/>
          <w:highlight w:val="none"/>
        </w:rPr>
        <w:t>2.</w:t>
      </w:r>
      <w:r>
        <w:rPr>
          <w:rFonts w:ascii="宋体" w:hAnsi="宋体" w:eastAsia="宋体"/>
          <w:sz w:val="24"/>
          <w:highlight w:val="none"/>
        </w:rPr>
        <w:t>6.</w:t>
      </w:r>
      <w:r>
        <w:rPr>
          <w:rFonts w:hint="eastAsia" w:ascii="宋体" w:hAnsi="宋体" w:eastAsia="宋体"/>
          <w:sz w:val="24"/>
          <w:highlight w:val="none"/>
        </w:rPr>
        <w:t>3除非依照法律规定或者对方当事人的书面同意，任何一方均应保证不向任何第三方提供或披露有关合同的或者履行合同过程中知悉的对方当事人任何未公开的信息和资料，包括但不限于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eastAsia="宋体"/>
          <w:sz w:val="24"/>
          <w:highlight w:val="none"/>
        </w:rPr>
        <w:t>技术情报</w:t>
      </w:r>
      <w:r>
        <w:rPr>
          <w:rFonts w:hint="eastAsia" w:ascii="宋体" w:hAnsi="宋体" w:eastAsia="宋体"/>
          <w:sz w:val="24"/>
          <w:highlight w:val="none"/>
        </w:rPr>
        <w:t>、</w:t>
      </w:r>
      <w:r>
        <w:rPr>
          <w:rFonts w:ascii="宋体" w:hAnsi="宋体" w:eastAsia="宋体"/>
          <w:sz w:val="24"/>
          <w:highlight w:val="none"/>
        </w:rPr>
        <w:t>技术资料</w:t>
      </w:r>
      <w:r>
        <w:rPr>
          <w:rFonts w:hint="eastAsia" w:ascii="宋体" w:hAnsi="宋体" w:eastAsia="宋体"/>
          <w:sz w:val="24"/>
          <w:highlight w:val="none"/>
        </w:rPr>
        <w:t>、商业秘密和商业信息等，并采取一切合理和必要措施和方式防止任何第三方接触到对方当事人的上述保密信息和资料。</w:t>
      </w:r>
    </w:p>
    <w:p w14:paraId="3467DC71">
      <w:pPr>
        <w:spacing w:line="360" w:lineRule="auto"/>
        <w:ind w:firstLine="437"/>
        <w:outlineLvl w:val="2"/>
        <w:rPr>
          <w:rFonts w:ascii="宋体" w:hAnsi="宋体" w:eastAsia="宋体"/>
          <w:b/>
          <w:bCs/>
          <w:sz w:val="24"/>
          <w:highlight w:val="none"/>
          <w:lang w:val="zh-CN"/>
        </w:rPr>
      </w:pPr>
      <w:bookmarkStart w:id="198" w:name="_Toc7860"/>
      <w:r>
        <w:rPr>
          <w:rFonts w:ascii="宋体" w:hAnsi="宋体" w:eastAsia="宋体"/>
          <w:b/>
          <w:bCs/>
          <w:sz w:val="24"/>
          <w:highlight w:val="none"/>
          <w:lang w:val="zh-CN"/>
        </w:rPr>
        <w:t>2.7 质量保证</w:t>
      </w:r>
      <w:bookmarkEnd w:id="198"/>
    </w:p>
    <w:p w14:paraId="6222F3F2">
      <w:pPr>
        <w:spacing w:line="360" w:lineRule="auto"/>
        <w:ind w:firstLine="435"/>
        <w:rPr>
          <w:rFonts w:ascii="宋体" w:hAnsi="宋体" w:eastAsia="宋体"/>
          <w:sz w:val="24"/>
          <w:highlight w:val="none"/>
        </w:rPr>
      </w:pPr>
      <w:r>
        <w:rPr>
          <w:rFonts w:hint="eastAsia" w:ascii="宋体" w:hAnsi="宋体" w:eastAsia="宋体"/>
          <w:sz w:val="24"/>
          <w:highlight w:val="none"/>
        </w:rPr>
        <w:t>2.</w:t>
      </w:r>
      <w:r>
        <w:rPr>
          <w:rFonts w:ascii="宋体" w:hAnsi="宋体" w:eastAsia="宋体"/>
          <w:sz w:val="24"/>
          <w:highlight w:val="none"/>
        </w:rPr>
        <w:t>7</w:t>
      </w:r>
      <w:r>
        <w:rPr>
          <w:rFonts w:hint="eastAsia" w:ascii="宋体" w:hAnsi="宋体" w:eastAsia="宋体"/>
          <w:sz w:val="24"/>
          <w:highlight w:val="none"/>
        </w:rPr>
        <w:t>.1乙方应建立和完善履行合同的内部质量保证体系，并提供相关内部规章制度给甲方，以便甲方进行监督检查；</w:t>
      </w:r>
    </w:p>
    <w:p w14:paraId="31155D09">
      <w:pPr>
        <w:spacing w:line="360" w:lineRule="auto"/>
        <w:ind w:firstLine="435"/>
        <w:rPr>
          <w:rFonts w:ascii="宋体" w:hAnsi="宋体" w:eastAsia="宋体"/>
          <w:sz w:val="24"/>
          <w:highlight w:val="none"/>
        </w:rPr>
      </w:pPr>
      <w:r>
        <w:rPr>
          <w:rFonts w:hint="eastAsia" w:ascii="宋体" w:hAnsi="宋体" w:eastAsia="宋体"/>
          <w:sz w:val="24"/>
          <w:highlight w:val="none"/>
        </w:rPr>
        <w:t>2.</w:t>
      </w:r>
      <w:r>
        <w:rPr>
          <w:rFonts w:ascii="宋体" w:hAnsi="宋体" w:eastAsia="宋体"/>
          <w:sz w:val="24"/>
          <w:highlight w:val="none"/>
        </w:rPr>
        <w:t>7</w:t>
      </w:r>
      <w:r>
        <w:rPr>
          <w:rFonts w:hint="eastAsia" w:ascii="宋体" w:hAnsi="宋体" w:eastAsia="宋体"/>
          <w:sz w:val="24"/>
          <w:highlight w:val="none"/>
        </w:rPr>
        <w:t>.2乙方应保证履行合同的人员数量和素质、软件和硬件设备的配置、场地、环境和设施等满足全面履行合同的要求，并应接受甲方的监督检查。</w:t>
      </w:r>
    </w:p>
    <w:p w14:paraId="62CD048F">
      <w:pPr>
        <w:spacing w:line="360" w:lineRule="auto"/>
        <w:ind w:firstLine="437"/>
        <w:outlineLvl w:val="2"/>
        <w:rPr>
          <w:rFonts w:ascii="宋体" w:hAnsi="宋体" w:eastAsia="宋体"/>
          <w:b/>
          <w:sz w:val="24"/>
          <w:highlight w:val="none"/>
        </w:rPr>
      </w:pPr>
      <w:bookmarkStart w:id="199" w:name="_Toc22267"/>
      <w:r>
        <w:rPr>
          <w:rFonts w:hint="eastAsia" w:ascii="宋体" w:hAnsi="宋体" w:eastAsia="宋体"/>
          <w:b/>
          <w:sz w:val="24"/>
          <w:highlight w:val="none"/>
        </w:rPr>
        <w:t>2.8 延迟履行</w:t>
      </w:r>
      <w:bookmarkEnd w:id="199"/>
    </w:p>
    <w:p w14:paraId="22F81DC8">
      <w:pPr>
        <w:spacing w:line="360" w:lineRule="auto"/>
        <w:ind w:firstLine="435"/>
        <w:rPr>
          <w:rFonts w:ascii="宋体" w:hAnsi="宋体" w:eastAsia="宋体"/>
          <w:sz w:val="24"/>
          <w:highlight w:val="none"/>
        </w:rPr>
      </w:pPr>
      <w:r>
        <w:rPr>
          <w:rFonts w:ascii="宋体" w:hAnsi="宋体" w:eastAsia="宋体"/>
          <w:sz w:val="24"/>
          <w:highlight w:val="none"/>
        </w:rPr>
        <w:t>在合同履行过程中，如果乙方遇到不能按时</w:t>
      </w:r>
      <w:r>
        <w:rPr>
          <w:rFonts w:hint="eastAsia" w:ascii="宋体" w:hAnsi="宋体" w:eastAsia="宋体"/>
          <w:sz w:val="24"/>
          <w:highlight w:val="none"/>
        </w:rPr>
        <w:t>提供服务</w:t>
      </w:r>
      <w:r>
        <w:rPr>
          <w:rFonts w:ascii="宋体" w:hAnsi="宋体" w:eastAsia="宋体"/>
          <w:sz w:val="24"/>
          <w:highlight w:val="none"/>
        </w:rPr>
        <w:t>的情况，应及时以书面形式将不能按时</w:t>
      </w:r>
      <w:r>
        <w:rPr>
          <w:rFonts w:hint="eastAsia" w:ascii="宋体" w:hAnsi="宋体" w:eastAsia="宋体"/>
          <w:sz w:val="24"/>
          <w:highlight w:val="none"/>
        </w:rPr>
        <w:t>提供服务</w:t>
      </w:r>
      <w:r>
        <w:rPr>
          <w:rFonts w:ascii="宋体" w:hAnsi="宋体" w:eastAsia="宋体"/>
          <w:sz w:val="24"/>
          <w:highlight w:val="none"/>
        </w:rPr>
        <w:t>的理由、预期延误时间通知甲方</w:t>
      </w:r>
      <w:r>
        <w:rPr>
          <w:rFonts w:hint="eastAsia" w:ascii="宋体" w:hAnsi="宋体" w:eastAsia="宋体"/>
          <w:sz w:val="24"/>
          <w:highlight w:val="none"/>
        </w:rPr>
        <w:t>；甲</w:t>
      </w:r>
      <w:r>
        <w:rPr>
          <w:rFonts w:ascii="宋体" w:hAnsi="宋体" w:eastAsia="宋体"/>
          <w:sz w:val="24"/>
          <w:highlight w:val="none"/>
        </w:rPr>
        <w:t>方收到乙方通知后，认为其理由正当的，可以书面形式酌情同意乙方可以延长</w:t>
      </w:r>
      <w:r>
        <w:rPr>
          <w:rFonts w:hint="eastAsia" w:ascii="宋体" w:hAnsi="宋体" w:eastAsia="宋体"/>
          <w:sz w:val="24"/>
          <w:highlight w:val="none"/>
        </w:rPr>
        <w:t>履行</w:t>
      </w:r>
      <w:r>
        <w:rPr>
          <w:rFonts w:ascii="宋体" w:hAnsi="宋体" w:eastAsia="宋体"/>
          <w:sz w:val="24"/>
          <w:highlight w:val="none"/>
        </w:rPr>
        <w:t>的具体时间。</w:t>
      </w:r>
    </w:p>
    <w:p w14:paraId="2A4910DD">
      <w:pPr>
        <w:spacing w:line="360" w:lineRule="auto"/>
        <w:ind w:firstLine="437"/>
        <w:outlineLvl w:val="2"/>
        <w:rPr>
          <w:rFonts w:ascii="宋体" w:hAnsi="宋体" w:eastAsia="宋体"/>
          <w:b/>
          <w:bCs/>
          <w:sz w:val="24"/>
          <w:highlight w:val="none"/>
          <w:lang w:val="zh-CN"/>
        </w:rPr>
      </w:pPr>
      <w:bookmarkStart w:id="200" w:name="_Toc7502"/>
      <w:bookmarkStart w:id="201" w:name="_Ref467378121"/>
      <w:bookmarkStart w:id="202" w:name="_Toc487900364"/>
      <w:bookmarkStart w:id="203" w:name="_Toc279701254"/>
      <w:bookmarkStart w:id="204" w:name="_Toc259093683"/>
      <w:r>
        <w:rPr>
          <w:rFonts w:ascii="宋体" w:hAnsi="宋体" w:eastAsia="宋体"/>
          <w:b/>
          <w:bCs/>
          <w:sz w:val="24"/>
          <w:highlight w:val="none"/>
          <w:lang w:val="zh-CN"/>
        </w:rPr>
        <w:t>2.9 合同变更</w:t>
      </w:r>
      <w:bookmarkEnd w:id="200"/>
    </w:p>
    <w:p w14:paraId="32BC9192">
      <w:pPr>
        <w:spacing w:line="360" w:lineRule="auto"/>
        <w:ind w:firstLine="435"/>
        <w:rPr>
          <w:rFonts w:ascii="宋体" w:hAnsi="宋体" w:eastAsia="宋体"/>
          <w:sz w:val="24"/>
          <w:highlight w:val="none"/>
        </w:rPr>
      </w:pPr>
      <w:r>
        <w:rPr>
          <w:rFonts w:hint="eastAsia" w:ascii="宋体" w:hAnsi="宋体" w:eastAsia="宋体"/>
          <w:sz w:val="24"/>
          <w:highlight w:val="none"/>
        </w:rPr>
        <w:t>2.</w:t>
      </w:r>
      <w:r>
        <w:rPr>
          <w:rFonts w:ascii="宋体" w:hAnsi="宋体" w:eastAsia="宋体"/>
          <w:sz w:val="24"/>
          <w:highlight w:val="none"/>
        </w:rPr>
        <w:t>9</w:t>
      </w:r>
      <w:r>
        <w:rPr>
          <w:rFonts w:hint="eastAsia" w:ascii="宋体" w:hAnsi="宋体" w:eastAsia="宋体"/>
          <w:sz w:val="24"/>
          <w:highlight w:val="none"/>
        </w:rPr>
        <w:t>.1双方当事人协商一致，可以签订书面补充合同的形式变更合同，但不得违背采购文件确定的事项；</w:t>
      </w:r>
    </w:p>
    <w:p w14:paraId="4711D508">
      <w:pPr>
        <w:spacing w:line="360" w:lineRule="auto"/>
        <w:ind w:firstLine="435"/>
        <w:rPr>
          <w:rFonts w:ascii="宋体" w:hAnsi="宋体" w:eastAsia="宋体"/>
          <w:sz w:val="24"/>
          <w:highlight w:val="none"/>
        </w:rPr>
      </w:pPr>
      <w:r>
        <w:rPr>
          <w:rFonts w:hint="eastAsia" w:ascii="宋体" w:hAnsi="宋体" w:eastAsia="宋体"/>
          <w:sz w:val="24"/>
          <w:highlight w:val="none"/>
        </w:rPr>
        <w:t>2.</w:t>
      </w:r>
      <w:r>
        <w:rPr>
          <w:rFonts w:ascii="宋体" w:hAnsi="宋体" w:eastAsia="宋体"/>
          <w:sz w:val="24"/>
          <w:highlight w:val="none"/>
        </w:rPr>
        <w:t>9</w:t>
      </w:r>
      <w:r>
        <w:rPr>
          <w:rFonts w:hint="eastAsia" w:ascii="宋体" w:hAnsi="宋体" w:eastAsia="宋体"/>
          <w:sz w:val="24"/>
          <w:highlight w:val="none"/>
        </w:rPr>
        <w:t>.2合同继续履行将损害国家利益和社会公共利益的，双方当事人应当以书面形式变更合同。有过错的一方应当承担赔偿责任，双方当事人都有过错的，各自承担相应的责任。</w:t>
      </w:r>
      <w:bookmarkStart w:id="205" w:name="_Toc487900369"/>
      <w:bookmarkStart w:id="206" w:name="_Toc279701259"/>
      <w:bookmarkStart w:id="207" w:name="_Toc259093688"/>
    </w:p>
    <w:p w14:paraId="3F9A7699">
      <w:pPr>
        <w:spacing w:line="360" w:lineRule="auto"/>
        <w:ind w:firstLine="437"/>
        <w:outlineLvl w:val="2"/>
        <w:rPr>
          <w:rFonts w:ascii="宋体" w:hAnsi="宋体" w:eastAsia="宋体"/>
          <w:b/>
          <w:bCs/>
          <w:sz w:val="24"/>
          <w:highlight w:val="none"/>
          <w:lang w:val="zh-CN"/>
        </w:rPr>
      </w:pPr>
      <w:bookmarkStart w:id="208" w:name="_Toc10366"/>
      <w:bookmarkStart w:id="209" w:name="_Toc15237"/>
      <w:bookmarkStart w:id="210" w:name="_Toc22955"/>
      <w:r>
        <w:rPr>
          <w:rFonts w:hint="eastAsia" w:ascii="宋体" w:hAnsi="宋体" w:eastAsia="宋体"/>
          <w:b/>
          <w:bCs/>
          <w:sz w:val="24"/>
          <w:highlight w:val="none"/>
          <w:lang w:val="zh-CN"/>
        </w:rPr>
        <w:t>2.1</w:t>
      </w:r>
      <w:r>
        <w:rPr>
          <w:rFonts w:ascii="宋体" w:hAnsi="宋体" w:eastAsia="宋体"/>
          <w:b/>
          <w:bCs/>
          <w:sz w:val="24"/>
          <w:highlight w:val="none"/>
          <w:lang w:val="zh-CN"/>
        </w:rPr>
        <w:t>0</w:t>
      </w:r>
      <w:r>
        <w:rPr>
          <w:rFonts w:hint="eastAsia" w:ascii="宋体" w:hAnsi="宋体" w:eastAsia="宋体"/>
          <w:b/>
          <w:bCs/>
          <w:sz w:val="24"/>
          <w:highlight w:val="none"/>
          <w:lang w:val="zh-CN"/>
        </w:rPr>
        <w:t xml:space="preserve"> </w:t>
      </w:r>
      <w:r>
        <w:rPr>
          <w:rFonts w:ascii="宋体" w:hAnsi="宋体" w:eastAsia="宋体"/>
          <w:b/>
          <w:bCs/>
          <w:sz w:val="24"/>
          <w:highlight w:val="none"/>
          <w:lang w:val="zh-CN"/>
        </w:rPr>
        <w:t>合同转让</w:t>
      </w:r>
      <w:bookmarkEnd w:id="205"/>
      <w:bookmarkEnd w:id="206"/>
      <w:bookmarkEnd w:id="207"/>
      <w:r>
        <w:rPr>
          <w:rFonts w:ascii="宋体" w:hAnsi="宋体" w:eastAsia="宋体"/>
          <w:b/>
          <w:bCs/>
          <w:sz w:val="24"/>
          <w:highlight w:val="none"/>
          <w:lang w:val="zh-CN"/>
        </w:rPr>
        <w:t>和分包</w:t>
      </w:r>
      <w:bookmarkEnd w:id="208"/>
      <w:bookmarkEnd w:id="209"/>
      <w:bookmarkEnd w:id="210"/>
    </w:p>
    <w:p w14:paraId="6D81FB2F">
      <w:pPr>
        <w:spacing w:line="360" w:lineRule="auto"/>
        <w:ind w:firstLine="435"/>
        <w:rPr>
          <w:rFonts w:ascii="宋体" w:hAnsi="宋体" w:eastAsia="宋体"/>
          <w:sz w:val="24"/>
          <w:highlight w:val="none"/>
        </w:rPr>
      </w:pPr>
      <w:r>
        <w:rPr>
          <w:rFonts w:ascii="宋体" w:hAnsi="宋体" w:eastAsia="宋体"/>
          <w:sz w:val="24"/>
          <w:highlight w:val="none"/>
        </w:rPr>
        <w:t>合同的权利义务依法不</w:t>
      </w:r>
      <w:r>
        <w:rPr>
          <w:rFonts w:hint="eastAsia" w:ascii="宋体" w:hAnsi="宋体" w:eastAsia="宋体"/>
          <w:sz w:val="24"/>
          <w:highlight w:val="none"/>
        </w:rPr>
        <w:t>得</w:t>
      </w:r>
      <w:r>
        <w:rPr>
          <w:rFonts w:ascii="宋体" w:hAnsi="宋体" w:eastAsia="宋体"/>
          <w:sz w:val="24"/>
          <w:highlight w:val="none"/>
        </w:rPr>
        <w:t>转让</w:t>
      </w:r>
      <w:r>
        <w:rPr>
          <w:rFonts w:hint="eastAsia" w:ascii="宋体" w:hAnsi="宋体" w:eastAsia="宋体"/>
          <w:sz w:val="24"/>
          <w:highlight w:val="none"/>
        </w:rPr>
        <w:t>，</w:t>
      </w:r>
      <w:r>
        <w:rPr>
          <w:rFonts w:ascii="宋体" w:hAnsi="宋体" w:eastAsia="宋体"/>
          <w:sz w:val="24"/>
          <w:highlight w:val="none"/>
        </w:rPr>
        <w:t>但经甲方</w:t>
      </w:r>
      <w:r>
        <w:rPr>
          <w:rFonts w:hint="eastAsia" w:ascii="宋体" w:hAnsi="宋体" w:eastAsia="宋体"/>
          <w:sz w:val="24"/>
          <w:highlight w:val="none"/>
        </w:rPr>
        <w:t>同意，乙方可以依法采取分包方式履行合同，即：依法可以</w:t>
      </w:r>
      <w:r>
        <w:rPr>
          <w:rFonts w:ascii="宋体" w:hAnsi="宋体" w:eastAsia="宋体"/>
          <w:sz w:val="24"/>
          <w:highlight w:val="none"/>
        </w:rPr>
        <w:t>将合同项下的部分非主体、非关键性工作分包给他人完成</w:t>
      </w:r>
      <w:r>
        <w:rPr>
          <w:rFonts w:hint="eastAsia" w:ascii="宋体" w:hAnsi="宋体" w:eastAsia="宋体"/>
          <w:sz w:val="24"/>
          <w:highlight w:val="none"/>
        </w:rPr>
        <w:t>，</w:t>
      </w:r>
      <w:r>
        <w:rPr>
          <w:rFonts w:ascii="宋体" w:hAnsi="宋体" w:eastAsia="宋体"/>
          <w:sz w:val="24"/>
          <w:highlight w:val="none"/>
        </w:rPr>
        <w:t>接受分包的人应当具备相应的资格条件，并不得再次分包</w:t>
      </w:r>
      <w:r>
        <w:rPr>
          <w:rFonts w:hint="eastAsia" w:ascii="宋体" w:hAnsi="宋体" w:eastAsia="宋体"/>
          <w:sz w:val="24"/>
          <w:highlight w:val="none"/>
        </w:rPr>
        <w:t>，</w:t>
      </w:r>
      <w:r>
        <w:rPr>
          <w:rFonts w:ascii="宋体" w:hAnsi="宋体" w:eastAsia="宋体"/>
          <w:sz w:val="24"/>
          <w:highlight w:val="none"/>
        </w:rPr>
        <w:t>且乙方应就分包项目向甲方负责</w:t>
      </w:r>
      <w:r>
        <w:rPr>
          <w:rFonts w:hint="eastAsia" w:ascii="宋体" w:hAnsi="宋体" w:eastAsia="宋体"/>
          <w:sz w:val="24"/>
          <w:highlight w:val="none"/>
        </w:rPr>
        <w:t>，</w:t>
      </w:r>
      <w:r>
        <w:rPr>
          <w:rFonts w:ascii="宋体" w:hAnsi="宋体" w:eastAsia="宋体"/>
          <w:sz w:val="24"/>
          <w:highlight w:val="none"/>
        </w:rPr>
        <w:t>并</w:t>
      </w:r>
      <w:r>
        <w:rPr>
          <w:rFonts w:hint="eastAsia" w:ascii="宋体" w:hAnsi="宋体" w:eastAsia="宋体"/>
          <w:sz w:val="24"/>
          <w:highlight w:val="none"/>
        </w:rPr>
        <w:t>与分包供应商就分包项目向甲方承担连带责任。</w:t>
      </w:r>
    </w:p>
    <w:p w14:paraId="72163D4B">
      <w:pPr>
        <w:spacing w:line="360" w:lineRule="auto"/>
        <w:ind w:firstLine="437"/>
        <w:outlineLvl w:val="2"/>
        <w:rPr>
          <w:rFonts w:ascii="宋体" w:hAnsi="宋体" w:eastAsia="宋体"/>
          <w:b/>
          <w:bCs/>
          <w:sz w:val="24"/>
          <w:highlight w:val="none"/>
          <w:lang w:val="zh-CN"/>
        </w:rPr>
      </w:pPr>
      <w:bookmarkStart w:id="211" w:name="_Toc16508"/>
      <w:bookmarkStart w:id="212" w:name="_Toc13566"/>
      <w:bookmarkStart w:id="213" w:name="_Toc14066"/>
      <w:r>
        <w:rPr>
          <w:rFonts w:hint="eastAsia" w:ascii="宋体" w:hAnsi="宋体" w:eastAsia="宋体"/>
          <w:b/>
          <w:bCs/>
          <w:sz w:val="24"/>
          <w:highlight w:val="none"/>
          <w:lang w:val="zh-CN"/>
        </w:rPr>
        <w:t>2.1</w:t>
      </w:r>
      <w:r>
        <w:rPr>
          <w:rFonts w:ascii="宋体" w:hAnsi="宋体" w:eastAsia="宋体"/>
          <w:b/>
          <w:bCs/>
          <w:sz w:val="24"/>
          <w:highlight w:val="none"/>
          <w:lang w:val="zh-CN"/>
        </w:rPr>
        <w:t>1 不可抗力</w:t>
      </w:r>
      <w:bookmarkEnd w:id="211"/>
      <w:bookmarkEnd w:id="212"/>
      <w:bookmarkEnd w:id="213"/>
    </w:p>
    <w:p w14:paraId="29656D7F">
      <w:pPr>
        <w:spacing w:line="360" w:lineRule="auto"/>
        <w:ind w:firstLine="435"/>
        <w:rPr>
          <w:rFonts w:ascii="宋体" w:hAnsi="宋体" w:eastAsia="宋体"/>
          <w:sz w:val="24"/>
          <w:highlight w:val="none"/>
        </w:rPr>
      </w:pPr>
      <w:r>
        <w:rPr>
          <w:rFonts w:hint="eastAsia" w:ascii="宋体" w:hAnsi="宋体" w:eastAsia="宋体"/>
          <w:sz w:val="24"/>
          <w:highlight w:val="none"/>
        </w:rPr>
        <w:t>2.1</w:t>
      </w:r>
      <w:r>
        <w:rPr>
          <w:rFonts w:ascii="宋体" w:hAnsi="宋体" w:eastAsia="宋体"/>
          <w:sz w:val="24"/>
          <w:highlight w:val="none"/>
        </w:rPr>
        <w:t>1.1如果任何一方遭遇法律规定的不可抗力，致使合同履行受阻时，履行合同的期限应予延长，延长的期限应相当于不可抗力所影响的时间</w:t>
      </w:r>
      <w:r>
        <w:rPr>
          <w:rFonts w:hint="eastAsia" w:ascii="宋体" w:hAnsi="宋体" w:eastAsia="宋体"/>
          <w:sz w:val="24"/>
          <w:highlight w:val="none"/>
        </w:rPr>
        <w:t>；</w:t>
      </w:r>
    </w:p>
    <w:p w14:paraId="3ED41DC1">
      <w:pPr>
        <w:spacing w:line="360" w:lineRule="auto"/>
        <w:ind w:firstLine="435"/>
        <w:rPr>
          <w:rFonts w:ascii="宋体" w:hAnsi="宋体" w:eastAsia="宋体"/>
          <w:sz w:val="24"/>
          <w:highlight w:val="none"/>
        </w:rPr>
      </w:pPr>
      <w:r>
        <w:rPr>
          <w:rFonts w:hint="eastAsia" w:ascii="宋体" w:hAnsi="宋体" w:eastAsia="宋体"/>
          <w:sz w:val="24"/>
          <w:highlight w:val="none"/>
        </w:rPr>
        <w:t>2.1</w:t>
      </w:r>
      <w:r>
        <w:rPr>
          <w:rFonts w:ascii="宋体" w:hAnsi="宋体" w:eastAsia="宋体"/>
          <w:sz w:val="24"/>
          <w:highlight w:val="none"/>
        </w:rPr>
        <w:t>1</w:t>
      </w:r>
      <w:r>
        <w:rPr>
          <w:rFonts w:hint="eastAsia" w:ascii="宋体" w:hAnsi="宋体" w:eastAsia="宋体"/>
          <w:sz w:val="24"/>
          <w:highlight w:val="none"/>
        </w:rPr>
        <w:t>.2因不可抗力致使不能实现合同目的的，当事人可以解除合同；</w:t>
      </w:r>
    </w:p>
    <w:p w14:paraId="718D4642">
      <w:pPr>
        <w:spacing w:line="360" w:lineRule="auto"/>
        <w:ind w:firstLine="435"/>
        <w:rPr>
          <w:rFonts w:ascii="宋体" w:hAnsi="宋体" w:eastAsia="宋体"/>
          <w:sz w:val="24"/>
          <w:highlight w:val="none"/>
        </w:rPr>
      </w:pPr>
      <w:r>
        <w:rPr>
          <w:rFonts w:hint="eastAsia" w:ascii="宋体" w:hAnsi="宋体" w:eastAsia="宋体"/>
          <w:sz w:val="24"/>
          <w:highlight w:val="none"/>
        </w:rPr>
        <w:t>2.1</w:t>
      </w:r>
      <w:r>
        <w:rPr>
          <w:rFonts w:ascii="宋体" w:hAnsi="宋体" w:eastAsia="宋体"/>
          <w:sz w:val="24"/>
          <w:highlight w:val="none"/>
        </w:rPr>
        <w:t>1</w:t>
      </w:r>
      <w:r>
        <w:rPr>
          <w:rFonts w:hint="eastAsia" w:ascii="宋体" w:hAnsi="宋体" w:eastAsia="宋体"/>
          <w:sz w:val="24"/>
          <w:highlight w:val="none"/>
        </w:rPr>
        <w:t>.3因</w:t>
      </w:r>
      <w:r>
        <w:rPr>
          <w:rFonts w:ascii="宋体" w:hAnsi="宋体" w:eastAsia="宋体"/>
          <w:sz w:val="24"/>
          <w:highlight w:val="none"/>
        </w:rPr>
        <w:t>不可抗力致使合同有变更必要的，双方当事人应在</w:t>
      </w:r>
      <w:r>
        <w:rPr>
          <w:rFonts w:ascii="宋体" w:hAnsi="宋体" w:eastAsia="宋体"/>
          <w:b/>
          <w:i/>
          <w:sz w:val="24"/>
          <w:highlight w:val="none"/>
          <w:u w:val="single"/>
        </w:rPr>
        <w:t>合同专用条款</w:t>
      </w:r>
      <w:r>
        <w:rPr>
          <w:rFonts w:ascii="宋体" w:hAnsi="宋体" w:eastAsia="宋体"/>
          <w:sz w:val="24"/>
          <w:highlight w:val="none"/>
        </w:rPr>
        <w:t>约定时间内以书面形式变更合同</w:t>
      </w:r>
      <w:r>
        <w:rPr>
          <w:rFonts w:hint="eastAsia" w:ascii="宋体" w:hAnsi="宋体" w:eastAsia="宋体"/>
          <w:sz w:val="24"/>
          <w:highlight w:val="none"/>
        </w:rPr>
        <w:t>；</w:t>
      </w:r>
    </w:p>
    <w:p w14:paraId="014E652A">
      <w:pPr>
        <w:spacing w:line="360" w:lineRule="auto"/>
        <w:ind w:firstLine="435"/>
        <w:rPr>
          <w:rFonts w:ascii="宋体" w:hAnsi="宋体" w:eastAsia="宋体"/>
          <w:sz w:val="24"/>
          <w:highlight w:val="none"/>
        </w:rPr>
      </w:pPr>
      <w:r>
        <w:rPr>
          <w:rFonts w:hint="eastAsia" w:ascii="宋体" w:hAnsi="宋体" w:eastAsia="宋体"/>
          <w:sz w:val="24"/>
          <w:highlight w:val="none"/>
        </w:rPr>
        <w:t>2.1</w:t>
      </w:r>
      <w:r>
        <w:rPr>
          <w:rFonts w:ascii="宋体" w:hAnsi="宋体" w:eastAsia="宋体"/>
          <w:sz w:val="24"/>
          <w:highlight w:val="none"/>
        </w:rPr>
        <w:t>1.</w:t>
      </w:r>
      <w:r>
        <w:rPr>
          <w:rFonts w:hint="eastAsia" w:ascii="宋体" w:hAnsi="宋体" w:eastAsia="宋体"/>
          <w:sz w:val="24"/>
          <w:highlight w:val="none"/>
        </w:rPr>
        <w:t>4</w:t>
      </w:r>
      <w:r>
        <w:rPr>
          <w:rFonts w:ascii="宋体" w:hAnsi="宋体" w:eastAsia="宋体"/>
          <w:sz w:val="24"/>
          <w:highlight w:val="none"/>
        </w:rPr>
        <w:t>受</w:t>
      </w:r>
      <w:r>
        <w:rPr>
          <w:rFonts w:hint="eastAsia" w:ascii="宋体" w:hAnsi="宋体" w:eastAsia="宋体"/>
          <w:sz w:val="24"/>
          <w:highlight w:val="none"/>
        </w:rPr>
        <w:t>不可抗力</w:t>
      </w:r>
      <w:r>
        <w:rPr>
          <w:rFonts w:ascii="宋体" w:hAnsi="宋体" w:eastAsia="宋体"/>
          <w:sz w:val="24"/>
          <w:highlight w:val="none"/>
        </w:rPr>
        <w:t>影响的一方在不可抗力发生后</w:t>
      </w:r>
      <w:r>
        <w:rPr>
          <w:rFonts w:hint="eastAsia" w:ascii="宋体" w:hAnsi="宋体" w:eastAsia="宋体"/>
          <w:sz w:val="24"/>
          <w:highlight w:val="none"/>
        </w:rPr>
        <w:t>，</w:t>
      </w:r>
      <w:r>
        <w:rPr>
          <w:rFonts w:ascii="宋体" w:hAnsi="宋体" w:eastAsia="宋体"/>
          <w:sz w:val="24"/>
          <w:highlight w:val="none"/>
        </w:rPr>
        <w:t>应在</w:t>
      </w:r>
      <w:r>
        <w:rPr>
          <w:rFonts w:ascii="宋体" w:hAnsi="宋体" w:eastAsia="宋体"/>
          <w:b/>
          <w:i/>
          <w:sz w:val="24"/>
          <w:highlight w:val="none"/>
          <w:u w:val="single"/>
        </w:rPr>
        <w:t>合同专用条款</w:t>
      </w:r>
      <w:r>
        <w:rPr>
          <w:rFonts w:ascii="宋体" w:hAnsi="宋体" w:eastAsia="宋体"/>
          <w:sz w:val="24"/>
          <w:highlight w:val="none"/>
        </w:rPr>
        <w:t>约定时间内以书面形式通知</w:t>
      </w:r>
      <w:r>
        <w:rPr>
          <w:rFonts w:hint="eastAsia" w:ascii="宋体" w:hAnsi="宋体" w:eastAsia="宋体"/>
          <w:sz w:val="24"/>
          <w:highlight w:val="none"/>
        </w:rPr>
        <w:t>对</w:t>
      </w:r>
      <w:r>
        <w:rPr>
          <w:rFonts w:ascii="宋体" w:hAnsi="宋体" w:eastAsia="宋体"/>
          <w:sz w:val="24"/>
          <w:highlight w:val="none"/>
        </w:rPr>
        <w:t>方当事人，并在</w:t>
      </w:r>
      <w:r>
        <w:rPr>
          <w:rFonts w:ascii="宋体" w:hAnsi="宋体" w:eastAsia="宋体"/>
          <w:b/>
          <w:i/>
          <w:sz w:val="24"/>
          <w:highlight w:val="none"/>
          <w:u w:val="single"/>
        </w:rPr>
        <w:t>合同专用条款</w:t>
      </w:r>
      <w:r>
        <w:rPr>
          <w:rFonts w:ascii="宋体" w:hAnsi="宋体" w:eastAsia="宋体"/>
          <w:sz w:val="24"/>
          <w:highlight w:val="none"/>
        </w:rPr>
        <w:t>约定时间内，将有关部门出具的证明文件送达</w:t>
      </w:r>
      <w:r>
        <w:rPr>
          <w:rFonts w:hint="eastAsia" w:ascii="宋体" w:hAnsi="宋体" w:eastAsia="宋体"/>
          <w:sz w:val="24"/>
          <w:highlight w:val="none"/>
        </w:rPr>
        <w:t>对方当事人</w:t>
      </w:r>
      <w:r>
        <w:rPr>
          <w:rFonts w:ascii="宋体" w:hAnsi="宋体" w:eastAsia="宋体"/>
          <w:sz w:val="24"/>
          <w:highlight w:val="none"/>
        </w:rPr>
        <w:t>。</w:t>
      </w:r>
    </w:p>
    <w:p w14:paraId="26291B5C">
      <w:pPr>
        <w:spacing w:line="360" w:lineRule="auto"/>
        <w:ind w:firstLine="437"/>
        <w:outlineLvl w:val="2"/>
        <w:rPr>
          <w:rFonts w:ascii="宋体" w:hAnsi="宋体" w:eastAsia="宋体"/>
          <w:b/>
          <w:bCs/>
          <w:sz w:val="24"/>
          <w:highlight w:val="none"/>
          <w:lang w:val="zh-CN"/>
        </w:rPr>
      </w:pPr>
      <w:bookmarkStart w:id="214" w:name="_Toc689"/>
      <w:bookmarkStart w:id="215" w:name="_Toc259093684"/>
      <w:bookmarkStart w:id="216" w:name="_Toc279701255"/>
      <w:bookmarkStart w:id="217" w:name="_Toc6969"/>
      <w:bookmarkStart w:id="218" w:name="_Toc30676"/>
      <w:bookmarkStart w:id="219" w:name="_Toc487900365"/>
      <w:r>
        <w:rPr>
          <w:rFonts w:hint="eastAsia" w:ascii="宋体" w:hAnsi="宋体" w:eastAsia="宋体"/>
          <w:b/>
          <w:bCs/>
          <w:sz w:val="24"/>
          <w:highlight w:val="none"/>
          <w:lang w:val="zh-CN"/>
        </w:rPr>
        <w:t>2.</w:t>
      </w:r>
      <w:r>
        <w:rPr>
          <w:rFonts w:ascii="宋体" w:hAnsi="宋体" w:eastAsia="宋体"/>
          <w:b/>
          <w:bCs/>
          <w:sz w:val="24"/>
          <w:highlight w:val="none"/>
          <w:lang w:val="zh-CN"/>
        </w:rPr>
        <w:t>12</w:t>
      </w:r>
      <w:r>
        <w:rPr>
          <w:rFonts w:hint="eastAsia" w:ascii="宋体" w:hAnsi="宋体" w:eastAsia="宋体"/>
          <w:b/>
          <w:bCs/>
          <w:sz w:val="24"/>
          <w:highlight w:val="none"/>
          <w:lang w:val="zh-CN"/>
        </w:rPr>
        <w:t xml:space="preserve"> </w:t>
      </w:r>
      <w:r>
        <w:rPr>
          <w:rFonts w:ascii="宋体" w:hAnsi="宋体" w:eastAsia="宋体"/>
          <w:b/>
          <w:bCs/>
          <w:sz w:val="24"/>
          <w:highlight w:val="none"/>
          <w:lang w:val="zh-CN"/>
        </w:rPr>
        <w:t>税费</w:t>
      </w:r>
      <w:bookmarkEnd w:id="214"/>
      <w:bookmarkEnd w:id="215"/>
      <w:bookmarkEnd w:id="216"/>
      <w:bookmarkEnd w:id="217"/>
      <w:bookmarkEnd w:id="218"/>
      <w:bookmarkEnd w:id="219"/>
    </w:p>
    <w:p w14:paraId="5589F8B7">
      <w:pPr>
        <w:spacing w:line="360" w:lineRule="auto"/>
        <w:ind w:firstLine="435"/>
        <w:rPr>
          <w:rFonts w:ascii="宋体" w:hAnsi="宋体" w:eastAsia="宋体"/>
          <w:sz w:val="24"/>
          <w:highlight w:val="none"/>
        </w:rPr>
      </w:pPr>
      <w:r>
        <w:rPr>
          <w:rFonts w:ascii="宋体" w:hAnsi="宋体" w:eastAsia="宋体"/>
          <w:sz w:val="24"/>
          <w:highlight w:val="none"/>
        </w:rPr>
        <w:t>与合同有关的一切税费</w:t>
      </w:r>
      <w:r>
        <w:rPr>
          <w:rFonts w:hint="eastAsia" w:ascii="宋体" w:hAnsi="宋体" w:eastAsia="宋体"/>
          <w:sz w:val="24"/>
          <w:highlight w:val="none"/>
        </w:rPr>
        <w:t>，</w:t>
      </w:r>
      <w:r>
        <w:rPr>
          <w:rFonts w:ascii="宋体" w:hAnsi="宋体" w:eastAsia="宋体"/>
          <w:sz w:val="24"/>
          <w:highlight w:val="none"/>
        </w:rPr>
        <w:t>均按照中华人民共和国法律的相关规定</w:t>
      </w:r>
      <w:r>
        <w:rPr>
          <w:rFonts w:hint="eastAsia" w:ascii="宋体" w:hAnsi="宋体" w:eastAsia="宋体"/>
          <w:sz w:val="24"/>
          <w:highlight w:val="none"/>
        </w:rPr>
        <w:t>缴纳</w:t>
      </w:r>
      <w:r>
        <w:rPr>
          <w:rFonts w:ascii="宋体" w:hAnsi="宋体" w:eastAsia="宋体"/>
          <w:sz w:val="24"/>
          <w:highlight w:val="none"/>
        </w:rPr>
        <w:t>。</w:t>
      </w:r>
    </w:p>
    <w:p w14:paraId="41D9081E">
      <w:pPr>
        <w:spacing w:line="360" w:lineRule="auto"/>
        <w:ind w:firstLine="437"/>
        <w:outlineLvl w:val="2"/>
        <w:rPr>
          <w:rFonts w:ascii="宋体" w:hAnsi="宋体" w:eastAsia="宋体"/>
          <w:b/>
          <w:bCs/>
          <w:sz w:val="24"/>
          <w:highlight w:val="none"/>
          <w:lang w:val="zh-CN"/>
        </w:rPr>
      </w:pPr>
      <w:bookmarkStart w:id="220" w:name="_Toc487900368"/>
      <w:bookmarkStart w:id="221" w:name="_Toc7102"/>
      <w:bookmarkStart w:id="222" w:name="_Toc8298"/>
      <w:bookmarkStart w:id="223" w:name="_Toc16959"/>
      <w:bookmarkStart w:id="224" w:name="_Toc279701258"/>
      <w:bookmarkStart w:id="225" w:name="_Toc259093687"/>
      <w:r>
        <w:rPr>
          <w:rFonts w:hint="eastAsia" w:ascii="宋体" w:hAnsi="宋体" w:eastAsia="宋体"/>
          <w:b/>
          <w:bCs/>
          <w:sz w:val="24"/>
          <w:highlight w:val="none"/>
          <w:lang w:val="zh-CN"/>
        </w:rPr>
        <w:t>2.</w:t>
      </w:r>
      <w:r>
        <w:rPr>
          <w:rFonts w:ascii="宋体" w:hAnsi="宋体" w:eastAsia="宋体"/>
          <w:b/>
          <w:bCs/>
          <w:sz w:val="24"/>
          <w:highlight w:val="none"/>
          <w:lang w:val="zh-CN"/>
        </w:rPr>
        <w:t>13</w:t>
      </w:r>
      <w:r>
        <w:rPr>
          <w:rFonts w:hint="eastAsia" w:ascii="宋体" w:hAnsi="宋体" w:eastAsia="宋体"/>
          <w:b/>
          <w:bCs/>
          <w:sz w:val="24"/>
          <w:highlight w:val="none"/>
          <w:lang w:val="zh-CN"/>
        </w:rPr>
        <w:t xml:space="preserve"> </w:t>
      </w:r>
      <w:r>
        <w:rPr>
          <w:rFonts w:ascii="宋体" w:hAnsi="宋体" w:eastAsia="宋体"/>
          <w:b/>
          <w:bCs/>
          <w:sz w:val="24"/>
          <w:highlight w:val="none"/>
          <w:lang w:val="zh-CN"/>
        </w:rPr>
        <w:t>乙方破产</w:t>
      </w:r>
      <w:bookmarkEnd w:id="220"/>
      <w:bookmarkEnd w:id="221"/>
      <w:bookmarkEnd w:id="222"/>
      <w:bookmarkEnd w:id="223"/>
      <w:bookmarkEnd w:id="224"/>
      <w:bookmarkEnd w:id="225"/>
    </w:p>
    <w:p w14:paraId="1D0A37B4">
      <w:pPr>
        <w:spacing w:line="360" w:lineRule="auto"/>
        <w:ind w:firstLine="435"/>
        <w:rPr>
          <w:rFonts w:ascii="宋体" w:hAnsi="宋体" w:eastAsia="宋体"/>
          <w:sz w:val="24"/>
          <w:highlight w:val="none"/>
        </w:rPr>
      </w:pPr>
      <w:r>
        <w:rPr>
          <w:rFonts w:ascii="宋体" w:hAnsi="宋体" w:eastAsia="宋体"/>
          <w:sz w:val="24"/>
          <w:highlight w:val="none"/>
        </w:rPr>
        <w:t>如果乙方破产导致合同无法履行时，甲方可以书面形式通知乙方终止合同且不给予乙方任何补偿和赔偿</w:t>
      </w:r>
      <w:r>
        <w:rPr>
          <w:rFonts w:hint="eastAsia" w:ascii="宋体" w:hAnsi="宋体" w:eastAsia="宋体"/>
          <w:sz w:val="24"/>
          <w:highlight w:val="none"/>
        </w:rPr>
        <w:t>，但合同的</w:t>
      </w:r>
      <w:r>
        <w:rPr>
          <w:rFonts w:ascii="宋体" w:hAnsi="宋体" w:eastAsia="宋体"/>
          <w:sz w:val="24"/>
          <w:highlight w:val="none"/>
        </w:rPr>
        <w:t>终止不损害或不影响甲方已经采取或将要采取的任何要求乙方支付违约金</w:t>
      </w:r>
      <w:r>
        <w:rPr>
          <w:rFonts w:hint="eastAsia" w:ascii="宋体" w:hAnsi="宋体" w:eastAsia="宋体"/>
          <w:sz w:val="24"/>
          <w:highlight w:val="none"/>
        </w:rPr>
        <w:t>、</w:t>
      </w:r>
      <w:r>
        <w:rPr>
          <w:rFonts w:ascii="宋体" w:hAnsi="宋体" w:eastAsia="宋体"/>
          <w:sz w:val="24"/>
          <w:highlight w:val="none"/>
        </w:rPr>
        <w:t>赔偿损失等的行动或补救措施的权利</w:t>
      </w:r>
      <w:r>
        <w:rPr>
          <w:rFonts w:hint="eastAsia" w:ascii="宋体" w:hAnsi="宋体" w:eastAsia="宋体"/>
          <w:sz w:val="24"/>
          <w:highlight w:val="none"/>
        </w:rPr>
        <w:t>。</w:t>
      </w:r>
    </w:p>
    <w:p w14:paraId="2CCED5CB">
      <w:pPr>
        <w:spacing w:line="360" w:lineRule="auto"/>
        <w:ind w:firstLine="437"/>
        <w:outlineLvl w:val="2"/>
        <w:rPr>
          <w:rFonts w:ascii="宋体" w:hAnsi="宋体" w:eastAsia="宋体"/>
          <w:b/>
          <w:sz w:val="24"/>
          <w:highlight w:val="none"/>
        </w:rPr>
      </w:pPr>
      <w:bookmarkStart w:id="226" w:name="_Toc29333"/>
      <w:bookmarkStart w:id="227" w:name="_Toc6134"/>
      <w:bookmarkStart w:id="228" w:name="_Toc15387"/>
      <w:r>
        <w:rPr>
          <w:rFonts w:hint="eastAsia" w:ascii="宋体" w:hAnsi="宋体" w:eastAsia="宋体"/>
          <w:b/>
          <w:bCs/>
          <w:sz w:val="24"/>
          <w:highlight w:val="none"/>
          <w:lang w:val="zh-CN"/>
        </w:rPr>
        <w:t>2.1</w:t>
      </w:r>
      <w:r>
        <w:rPr>
          <w:rFonts w:ascii="宋体" w:hAnsi="宋体" w:eastAsia="宋体"/>
          <w:b/>
          <w:bCs/>
          <w:sz w:val="24"/>
          <w:highlight w:val="none"/>
          <w:lang w:val="zh-CN"/>
        </w:rPr>
        <w:t>4</w:t>
      </w:r>
      <w:r>
        <w:rPr>
          <w:rFonts w:hint="eastAsia" w:ascii="宋体" w:hAnsi="宋体" w:eastAsia="宋体"/>
          <w:b/>
          <w:bCs/>
          <w:sz w:val="24"/>
          <w:highlight w:val="none"/>
          <w:lang w:val="zh-CN"/>
        </w:rPr>
        <w:t xml:space="preserve"> 合同中止、终止</w:t>
      </w:r>
      <w:bookmarkEnd w:id="226"/>
      <w:bookmarkEnd w:id="227"/>
      <w:bookmarkEnd w:id="228"/>
    </w:p>
    <w:p w14:paraId="40CA2EBD">
      <w:pPr>
        <w:spacing w:line="360" w:lineRule="auto"/>
        <w:ind w:firstLine="435"/>
        <w:rPr>
          <w:rFonts w:ascii="宋体" w:hAnsi="宋体" w:eastAsia="宋体"/>
          <w:sz w:val="24"/>
          <w:highlight w:val="none"/>
        </w:rPr>
      </w:pPr>
      <w:r>
        <w:rPr>
          <w:rFonts w:hint="eastAsia" w:ascii="宋体" w:hAnsi="宋体" w:eastAsia="宋体"/>
          <w:sz w:val="24"/>
          <w:highlight w:val="none"/>
        </w:rPr>
        <w:t>2.1</w:t>
      </w:r>
      <w:r>
        <w:rPr>
          <w:rFonts w:ascii="宋体" w:hAnsi="宋体" w:eastAsia="宋体"/>
          <w:sz w:val="24"/>
          <w:highlight w:val="none"/>
        </w:rPr>
        <w:t>4</w:t>
      </w:r>
      <w:r>
        <w:rPr>
          <w:rFonts w:hint="eastAsia" w:ascii="宋体" w:hAnsi="宋体" w:eastAsia="宋体"/>
          <w:sz w:val="24"/>
          <w:highlight w:val="none"/>
        </w:rPr>
        <w:t>.1双方当事人不得擅自中止或者终止合同；</w:t>
      </w:r>
    </w:p>
    <w:p w14:paraId="5A2D7FFB">
      <w:pPr>
        <w:spacing w:line="360" w:lineRule="auto"/>
        <w:ind w:firstLine="435"/>
        <w:rPr>
          <w:rFonts w:ascii="宋体" w:hAnsi="宋体" w:eastAsia="宋体"/>
          <w:sz w:val="24"/>
          <w:highlight w:val="none"/>
        </w:rPr>
      </w:pPr>
      <w:r>
        <w:rPr>
          <w:rFonts w:hint="eastAsia" w:ascii="宋体" w:hAnsi="宋体" w:eastAsia="宋体"/>
          <w:sz w:val="24"/>
          <w:highlight w:val="none"/>
        </w:rPr>
        <w:t>2.1</w:t>
      </w:r>
      <w:r>
        <w:rPr>
          <w:rFonts w:ascii="宋体" w:hAnsi="宋体" w:eastAsia="宋体"/>
          <w:sz w:val="24"/>
          <w:highlight w:val="none"/>
        </w:rPr>
        <w:t>4</w:t>
      </w:r>
      <w:r>
        <w:rPr>
          <w:rFonts w:hint="eastAsia" w:ascii="宋体" w:hAnsi="宋体" w:eastAsia="宋体"/>
          <w:sz w:val="24"/>
          <w:highlight w:val="none"/>
        </w:rPr>
        <w:t>.2合同继续履行将损害国家利益和社会公共利益的，双方当事人应当中止或者终止合同。有过错的一方应当承担赔偿责任，双方当事人都有过错的，各自承担相应的责任。</w:t>
      </w:r>
    </w:p>
    <w:p w14:paraId="1B4AF8B1">
      <w:pPr>
        <w:spacing w:line="360" w:lineRule="auto"/>
        <w:ind w:firstLine="437"/>
        <w:outlineLvl w:val="2"/>
        <w:rPr>
          <w:rFonts w:ascii="宋体" w:hAnsi="宋体" w:eastAsia="宋体"/>
          <w:b/>
          <w:bCs/>
          <w:sz w:val="24"/>
          <w:highlight w:val="none"/>
          <w:lang w:val="zh-CN"/>
        </w:rPr>
      </w:pPr>
      <w:bookmarkStart w:id="229" w:name="_Toc6596"/>
      <w:bookmarkStart w:id="230" w:name="_Toc1125"/>
      <w:bookmarkStart w:id="231" w:name="_Toc14563"/>
      <w:r>
        <w:rPr>
          <w:rFonts w:hint="eastAsia" w:ascii="宋体" w:hAnsi="宋体" w:eastAsia="宋体"/>
          <w:b/>
          <w:bCs/>
          <w:sz w:val="24"/>
          <w:highlight w:val="none"/>
          <w:lang w:val="zh-CN"/>
        </w:rPr>
        <w:t>2.1</w:t>
      </w:r>
      <w:r>
        <w:rPr>
          <w:rFonts w:ascii="宋体" w:hAnsi="宋体" w:eastAsia="宋体"/>
          <w:b/>
          <w:bCs/>
          <w:sz w:val="24"/>
          <w:highlight w:val="none"/>
          <w:lang w:val="zh-CN"/>
        </w:rPr>
        <w:t>5</w:t>
      </w:r>
      <w:r>
        <w:rPr>
          <w:rFonts w:hint="eastAsia" w:ascii="宋体" w:hAnsi="宋体" w:eastAsia="宋体"/>
          <w:b/>
          <w:bCs/>
          <w:sz w:val="24"/>
          <w:highlight w:val="none"/>
          <w:lang w:val="zh-CN"/>
        </w:rPr>
        <w:t xml:space="preserve"> 检验和验收</w:t>
      </w:r>
      <w:bookmarkEnd w:id="229"/>
      <w:bookmarkEnd w:id="230"/>
      <w:bookmarkEnd w:id="231"/>
    </w:p>
    <w:p w14:paraId="01B44516">
      <w:pPr>
        <w:spacing w:line="360" w:lineRule="auto"/>
        <w:ind w:firstLine="435"/>
        <w:rPr>
          <w:rFonts w:ascii="宋体" w:hAnsi="宋体" w:eastAsia="宋体"/>
          <w:sz w:val="24"/>
          <w:highlight w:val="none"/>
        </w:rPr>
      </w:pPr>
      <w:r>
        <w:rPr>
          <w:rFonts w:hint="eastAsia" w:ascii="宋体" w:hAnsi="宋体" w:eastAsia="宋体"/>
          <w:sz w:val="24"/>
          <w:highlight w:val="none"/>
        </w:rPr>
        <w:t>2.</w:t>
      </w:r>
      <w:r>
        <w:rPr>
          <w:rFonts w:ascii="宋体" w:hAnsi="宋体" w:eastAsia="宋体"/>
          <w:sz w:val="24"/>
          <w:highlight w:val="none"/>
        </w:rPr>
        <w:t>1</w:t>
      </w:r>
      <w:r>
        <w:rPr>
          <w:rFonts w:hint="eastAsia" w:ascii="宋体" w:hAnsi="宋体" w:eastAsia="宋体"/>
          <w:sz w:val="24"/>
          <w:highlight w:val="none"/>
        </w:rPr>
        <w:t>5</w:t>
      </w:r>
      <w:r>
        <w:rPr>
          <w:rFonts w:ascii="宋体" w:hAnsi="宋体" w:eastAsia="宋体"/>
          <w:sz w:val="24"/>
          <w:highlight w:val="none"/>
        </w:rPr>
        <w:t>.</w:t>
      </w:r>
      <w:r>
        <w:rPr>
          <w:rFonts w:hint="eastAsia" w:ascii="宋体" w:hAnsi="宋体" w:eastAsia="宋体"/>
          <w:sz w:val="24"/>
          <w:highlight w:val="none"/>
        </w:rPr>
        <w:t>1乙方按照</w:t>
      </w:r>
      <w:r>
        <w:rPr>
          <w:rFonts w:ascii="宋体" w:hAnsi="宋体" w:eastAsia="宋体"/>
          <w:b/>
          <w:i/>
          <w:sz w:val="24"/>
          <w:highlight w:val="none"/>
          <w:u w:val="single"/>
        </w:rPr>
        <w:t>合同专用条款</w:t>
      </w:r>
      <w:r>
        <w:rPr>
          <w:rFonts w:ascii="宋体" w:hAnsi="宋体" w:eastAsia="宋体"/>
          <w:sz w:val="24"/>
          <w:highlight w:val="none"/>
        </w:rPr>
        <w:t>的约定</w:t>
      </w:r>
      <w:r>
        <w:rPr>
          <w:rFonts w:hint="eastAsia" w:ascii="宋体" w:hAnsi="宋体" w:eastAsia="宋体"/>
          <w:sz w:val="24"/>
          <w:highlight w:val="none"/>
        </w:rPr>
        <w:t>，</w:t>
      </w:r>
      <w:r>
        <w:rPr>
          <w:rFonts w:ascii="宋体" w:hAnsi="宋体" w:eastAsia="宋体"/>
          <w:sz w:val="24"/>
          <w:highlight w:val="none"/>
        </w:rPr>
        <w:t>定期提交服务报告</w:t>
      </w:r>
      <w:r>
        <w:rPr>
          <w:rFonts w:hint="eastAsia" w:ascii="宋体" w:hAnsi="宋体" w:eastAsia="宋体"/>
          <w:sz w:val="24"/>
          <w:highlight w:val="none"/>
        </w:rPr>
        <w:t>，甲方按照</w:t>
      </w:r>
      <w:r>
        <w:rPr>
          <w:rFonts w:ascii="宋体" w:hAnsi="宋体" w:eastAsia="宋体"/>
          <w:b/>
          <w:i/>
          <w:sz w:val="24"/>
          <w:highlight w:val="none"/>
          <w:u w:val="single"/>
        </w:rPr>
        <w:t>合同专用条款</w:t>
      </w:r>
      <w:r>
        <w:rPr>
          <w:rFonts w:ascii="宋体" w:hAnsi="宋体" w:eastAsia="宋体"/>
          <w:sz w:val="24"/>
          <w:highlight w:val="none"/>
        </w:rPr>
        <w:t>的约定进行定期验收</w:t>
      </w:r>
      <w:r>
        <w:rPr>
          <w:rFonts w:hint="eastAsia" w:ascii="宋体" w:hAnsi="宋体" w:eastAsia="宋体"/>
          <w:sz w:val="24"/>
          <w:highlight w:val="none"/>
        </w:rPr>
        <w:t>；</w:t>
      </w:r>
    </w:p>
    <w:p w14:paraId="3EB82128">
      <w:pPr>
        <w:spacing w:line="360" w:lineRule="auto"/>
        <w:ind w:firstLine="435"/>
        <w:rPr>
          <w:rFonts w:ascii="宋体" w:hAnsi="宋体" w:eastAsia="宋体"/>
          <w:sz w:val="24"/>
          <w:highlight w:val="none"/>
        </w:rPr>
      </w:pPr>
      <w:r>
        <w:rPr>
          <w:rFonts w:hint="eastAsia" w:ascii="宋体" w:hAnsi="宋体" w:eastAsia="宋体"/>
          <w:sz w:val="24"/>
          <w:highlight w:val="none"/>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7361267">
      <w:pPr>
        <w:spacing w:line="360" w:lineRule="auto"/>
        <w:ind w:firstLine="435"/>
        <w:rPr>
          <w:rFonts w:ascii="宋体" w:hAnsi="宋体" w:eastAsia="宋体"/>
          <w:sz w:val="24"/>
          <w:highlight w:val="none"/>
        </w:rPr>
      </w:pPr>
      <w:r>
        <w:rPr>
          <w:rFonts w:hint="eastAsia" w:ascii="宋体" w:hAnsi="宋体" w:eastAsia="宋体"/>
          <w:sz w:val="24"/>
          <w:highlight w:val="none"/>
        </w:rPr>
        <w:t>2.15.3检验和验收标准、程序等具体内容以及前述验收书的效力详见</w:t>
      </w:r>
      <w:r>
        <w:rPr>
          <w:rFonts w:ascii="宋体" w:hAnsi="宋体" w:eastAsia="宋体"/>
          <w:b/>
          <w:i/>
          <w:sz w:val="24"/>
          <w:highlight w:val="none"/>
          <w:u w:val="single"/>
        </w:rPr>
        <w:t>合同专用条款</w:t>
      </w:r>
      <w:r>
        <w:rPr>
          <w:rFonts w:hint="eastAsia" w:ascii="宋体" w:hAnsi="宋体" w:eastAsia="宋体"/>
          <w:i/>
          <w:sz w:val="24"/>
          <w:highlight w:val="none"/>
        </w:rPr>
        <w:t>。</w:t>
      </w:r>
    </w:p>
    <w:bookmarkEnd w:id="201"/>
    <w:bookmarkEnd w:id="202"/>
    <w:bookmarkEnd w:id="203"/>
    <w:bookmarkEnd w:id="204"/>
    <w:p w14:paraId="5524A2D5">
      <w:pPr>
        <w:spacing w:line="360" w:lineRule="auto"/>
        <w:ind w:firstLine="437"/>
        <w:outlineLvl w:val="2"/>
        <w:rPr>
          <w:rFonts w:ascii="宋体" w:hAnsi="宋体" w:eastAsia="宋体"/>
          <w:b/>
          <w:bCs/>
          <w:sz w:val="24"/>
          <w:highlight w:val="none"/>
        </w:rPr>
      </w:pPr>
      <w:bookmarkStart w:id="232" w:name="_Toc10330"/>
      <w:bookmarkStart w:id="233" w:name="_Toc12773"/>
      <w:bookmarkStart w:id="234" w:name="_Toc259093692"/>
      <w:bookmarkStart w:id="235" w:name="_Toc487900373"/>
      <w:bookmarkStart w:id="236" w:name="_Toc279701263"/>
      <w:bookmarkStart w:id="237" w:name="_Toc18567"/>
      <w:r>
        <w:rPr>
          <w:rFonts w:hint="eastAsia" w:ascii="宋体" w:hAnsi="宋体" w:eastAsia="宋体"/>
          <w:b/>
          <w:bCs/>
          <w:sz w:val="24"/>
          <w:highlight w:val="none"/>
        </w:rPr>
        <w:t>2.</w:t>
      </w:r>
      <w:r>
        <w:rPr>
          <w:rFonts w:ascii="宋体" w:hAnsi="宋体" w:eastAsia="宋体"/>
          <w:b/>
          <w:bCs/>
          <w:sz w:val="24"/>
          <w:highlight w:val="none"/>
        </w:rPr>
        <w:t>16</w:t>
      </w:r>
      <w:r>
        <w:rPr>
          <w:rFonts w:hint="eastAsia" w:ascii="宋体" w:hAnsi="宋体" w:eastAsia="宋体"/>
          <w:b/>
          <w:bCs/>
          <w:sz w:val="24"/>
          <w:highlight w:val="none"/>
        </w:rPr>
        <w:t xml:space="preserve"> </w:t>
      </w:r>
      <w:r>
        <w:rPr>
          <w:rFonts w:hint="eastAsia" w:ascii="宋体" w:hAnsi="宋体" w:eastAsia="宋体"/>
          <w:b/>
          <w:bCs/>
          <w:sz w:val="24"/>
          <w:highlight w:val="none"/>
          <w:lang w:val="zh-CN"/>
        </w:rPr>
        <w:t>合同使用的文字和</w:t>
      </w:r>
      <w:r>
        <w:rPr>
          <w:rFonts w:ascii="宋体" w:hAnsi="宋体" w:eastAsia="宋体"/>
          <w:b/>
          <w:bCs/>
          <w:sz w:val="24"/>
          <w:highlight w:val="none"/>
          <w:lang w:val="zh-CN"/>
        </w:rPr>
        <w:t>适用的法律</w:t>
      </w:r>
      <w:bookmarkEnd w:id="232"/>
      <w:bookmarkEnd w:id="233"/>
      <w:bookmarkEnd w:id="234"/>
      <w:bookmarkEnd w:id="235"/>
      <w:bookmarkEnd w:id="236"/>
      <w:bookmarkEnd w:id="237"/>
    </w:p>
    <w:p w14:paraId="27DA90E0">
      <w:pPr>
        <w:spacing w:line="360" w:lineRule="auto"/>
        <w:ind w:firstLine="435"/>
        <w:rPr>
          <w:rFonts w:ascii="宋体" w:hAnsi="宋体" w:eastAsia="宋体"/>
          <w:sz w:val="24"/>
          <w:highlight w:val="none"/>
        </w:rPr>
      </w:pPr>
      <w:r>
        <w:rPr>
          <w:rFonts w:hint="eastAsia" w:ascii="宋体" w:hAnsi="宋体" w:eastAsia="宋体"/>
          <w:sz w:val="24"/>
          <w:highlight w:val="none"/>
        </w:rPr>
        <w:t>2.</w:t>
      </w:r>
      <w:r>
        <w:rPr>
          <w:rFonts w:ascii="宋体" w:hAnsi="宋体" w:eastAsia="宋体"/>
          <w:sz w:val="24"/>
          <w:highlight w:val="none"/>
        </w:rPr>
        <w:t>16.1合同使用汉语书就</w:t>
      </w:r>
      <w:r>
        <w:rPr>
          <w:rFonts w:hint="eastAsia" w:ascii="宋体" w:hAnsi="宋体" w:eastAsia="宋体"/>
          <w:sz w:val="24"/>
          <w:highlight w:val="none"/>
        </w:rPr>
        <w:t>、</w:t>
      </w:r>
      <w:r>
        <w:rPr>
          <w:rFonts w:ascii="宋体" w:hAnsi="宋体" w:eastAsia="宋体"/>
          <w:sz w:val="24"/>
          <w:highlight w:val="none"/>
        </w:rPr>
        <w:t>变更和解释</w:t>
      </w:r>
      <w:r>
        <w:rPr>
          <w:rFonts w:hint="eastAsia" w:ascii="宋体" w:hAnsi="宋体" w:eastAsia="宋体"/>
          <w:sz w:val="24"/>
          <w:highlight w:val="none"/>
        </w:rPr>
        <w:t>；</w:t>
      </w:r>
    </w:p>
    <w:p w14:paraId="1B46CC95">
      <w:pPr>
        <w:spacing w:line="360" w:lineRule="auto"/>
        <w:ind w:firstLine="435"/>
        <w:rPr>
          <w:rFonts w:ascii="宋体" w:hAnsi="宋体" w:eastAsia="宋体"/>
          <w:sz w:val="24"/>
          <w:highlight w:val="none"/>
        </w:rPr>
      </w:pPr>
      <w:r>
        <w:rPr>
          <w:rFonts w:hint="eastAsia" w:ascii="宋体" w:hAnsi="宋体" w:eastAsia="宋体"/>
          <w:sz w:val="24"/>
          <w:highlight w:val="none"/>
        </w:rPr>
        <w:t>2.</w:t>
      </w:r>
      <w:r>
        <w:rPr>
          <w:rFonts w:ascii="宋体" w:hAnsi="宋体" w:eastAsia="宋体"/>
          <w:sz w:val="24"/>
          <w:highlight w:val="none"/>
        </w:rPr>
        <w:t>16</w:t>
      </w:r>
      <w:r>
        <w:rPr>
          <w:rFonts w:hint="eastAsia" w:ascii="宋体" w:hAnsi="宋体" w:eastAsia="宋体"/>
          <w:sz w:val="24"/>
          <w:highlight w:val="none"/>
        </w:rPr>
        <w:t>.2合同适用</w:t>
      </w:r>
      <w:r>
        <w:rPr>
          <w:rFonts w:ascii="宋体" w:hAnsi="宋体" w:eastAsia="宋体"/>
          <w:sz w:val="24"/>
          <w:highlight w:val="none"/>
        </w:rPr>
        <w:t>中华人民共和国法律。</w:t>
      </w:r>
    </w:p>
    <w:p w14:paraId="5889063C">
      <w:pPr>
        <w:spacing w:line="360" w:lineRule="auto"/>
        <w:ind w:firstLine="437"/>
        <w:outlineLvl w:val="2"/>
        <w:rPr>
          <w:rFonts w:ascii="宋体" w:hAnsi="宋体" w:eastAsia="宋体"/>
          <w:b/>
          <w:sz w:val="24"/>
          <w:highlight w:val="none"/>
        </w:rPr>
      </w:pPr>
      <w:bookmarkStart w:id="238" w:name="_Toc279701264"/>
      <w:bookmarkStart w:id="239" w:name="_Toc259093693"/>
      <w:bookmarkStart w:id="240" w:name="_Toc16673"/>
      <w:bookmarkStart w:id="241" w:name="_Toc3148"/>
      <w:bookmarkStart w:id="242" w:name="_Toc12004"/>
      <w:bookmarkStart w:id="243" w:name="_Toc487900374"/>
      <w:r>
        <w:rPr>
          <w:rFonts w:hint="eastAsia" w:ascii="宋体" w:hAnsi="宋体" w:eastAsia="宋体"/>
          <w:b/>
          <w:bCs/>
          <w:sz w:val="24"/>
          <w:highlight w:val="none"/>
          <w:lang w:val="zh-CN"/>
        </w:rPr>
        <w:t>2.</w:t>
      </w:r>
      <w:r>
        <w:rPr>
          <w:rFonts w:ascii="宋体" w:hAnsi="宋体" w:eastAsia="宋体"/>
          <w:b/>
          <w:bCs/>
          <w:sz w:val="24"/>
          <w:highlight w:val="none"/>
          <w:lang w:val="zh-CN"/>
        </w:rPr>
        <w:t>17</w:t>
      </w:r>
      <w:r>
        <w:rPr>
          <w:rFonts w:hint="eastAsia" w:ascii="宋体" w:hAnsi="宋体" w:eastAsia="宋体"/>
          <w:b/>
          <w:bCs/>
          <w:sz w:val="24"/>
          <w:highlight w:val="none"/>
          <w:lang w:val="zh-CN"/>
        </w:rPr>
        <w:t xml:space="preserve"> </w:t>
      </w:r>
      <w:r>
        <w:rPr>
          <w:rFonts w:ascii="宋体" w:hAnsi="宋体" w:eastAsia="宋体"/>
          <w:b/>
          <w:bCs/>
          <w:sz w:val="24"/>
          <w:highlight w:val="none"/>
          <w:lang w:val="zh-CN"/>
        </w:rPr>
        <w:t>履约保证金</w:t>
      </w:r>
      <w:bookmarkEnd w:id="238"/>
      <w:bookmarkEnd w:id="239"/>
      <w:bookmarkEnd w:id="240"/>
      <w:bookmarkEnd w:id="241"/>
      <w:bookmarkEnd w:id="242"/>
    </w:p>
    <w:p w14:paraId="5DBB515B">
      <w:pPr>
        <w:spacing w:line="360" w:lineRule="auto"/>
        <w:ind w:firstLine="435"/>
        <w:rPr>
          <w:rFonts w:ascii="宋体" w:hAnsi="宋体" w:eastAsia="宋体"/>
          <w:sz w:val="24"/>
          <w:highlight w:val="none"/>
        </w:rPr>
      </w:pPr>
      <w:r>
        <w:rPr>
          <w:rFonts w:hint="eastAsia" w:ascii="宋体" w:hAnsi="宋体" w:eastAsia="宋体"/>
          <w:sz w:val="24"/>
          <w:highlight w:val="none"/>
        </w:rPr>
        <w:t>2.</w:t>
      </w:r>
      <w:r>
        <w:rPr>
          <w:rFonts w:ascii="宋体" w:hAnsi="宋体" w:eastAsia="宋体"/>
          <w:sz w:val="24"/>
          <w:highlight w:val="none"/>
        </w:rPr>
        <w:t>17</w:t>
      </w:r>
      <w:r>
        <w:rPr>
          <w:rFonts w:hint="eastAsia" w:ascii="宋体" w:hAnsi="宋体" w:eastAsia="宋体"/>
          <w:sz w:val="24"/>
          <w:highlight w:val="none"/>
        </w:rPr>
        <w:t>.1采购文件要求乙方提交履约保证金的，乙方</w:t>
      </w:r>
      <w:r>
        <w:rPr>
          <w:rFonts w:ascii="宋体" w:hAnsi="宋体" w:eastAsia="宋体"/>
          <w:sz w:val="24"/>
          <w:highlight w:val="none"/>
        </w:rPr>
        <w:t>应按</w:t>
      </w:r>
      <w:r>
        <w:rPr>
          <w:rFonts w:ascii="宋体" w:hAnsi="宋体" w:eastAsia="宋体"/>
          <w:b/>
          <w:i/>
          <w:sz w:val="24"/>
          <w:highlight w:val="none"/>
          <w:u w:val="single"/>
        </w:rPr>
        <w:t>合同专用条款</w:t>
      </w:r>
      <w:r>
        <w:rPr>
          <w:rFonts w:ascii="宋体" w:hAnsi="宋体" w:eastAsia="宋体"/>
          <w:sz w:val="24"/>
          <w:highlight w:val="none"/>
        </w:rPr>
        <w:t>约定的方式</w:t>
      </w:r>
      <w:r>
        <w:rPr>
          <w:rFonts w:hint="eastAsia" w:ascii="宋体" w:hAnsi="宋体" w:eastAsia="宋体"/>
          <w:sz w:val="24"/>
          <w:highlight w:val="none"/>
        </w:rPr>
        <w:t>，以支票、汇票、本票或者金融机构、担保机构出具的保函等非现金形式提交；</w:t>
      </w:r>
    </w:p>
    <w:p w14:paraId="505629CB">
      <w:pPr>
        <w:spacing w:line="360" w:lineRule="auto"/>
        <w:ind w:firstLine="435"/>
        <w:rPr>
          <w:rFonts w:ascii="宋体" w:hAnsi="宋体" w:eastAsia="宋体"/>
          <w:sz w:val="24"/>
          <w:highlight w:val="none"/>
        </w:rPr>
      </w:pPr>
      <w:r>
        <w:rPr>
          <w:rFonts w:hint="eastAsia" w:ascii="宋体" w:hAnsi="宋体" w:eastAsia="宋体"/>
          <w:sz w:val="24"/>
          <w:highlight w:val="none"/>
        </w:rPr>
        <w:t>2.</w:t>
      </w:r>
      <w:r>
        <w:rPr>
          <w:rFonts w:ascii="宋体" w:hAnsi="宋体" w:eastAsia="宋体"/>
          <w:sz w:val="24"/>
          <w:highlight w:val="none"/>
        </w:rPr>
        <w:t>17.2履约保证金在</w:t>
      </w:r>
      <w:r>
        <w:rPr>
          <w:rFonts w:ascii="宋体" w:hAnsi="宋体" w:eastAsia="宋体"/>
          <w:b/>
          <w:i/>
          <w:sz w:val="24"/>
          <w:highlight w:val="none"/>
          <w:u w:val="single"/>
        </w:rPr>
        <w:t>合同专用条款</w:t>
      </w:r>
      <w:r>
        <w:rPr>
          <w:rFonts w:ascii="宋体" w:hAnsi="宋体" w:eastAsia="宋体"/>
          <w:sz w:val="24"/>
          <w:highlight w:val="none"/>
        </w:rPr>
        <w:t>约定期间内不予退还或者应完全有效</w:t>
      </w:r>
      <w:r>
        <w:rPr>
          <w:rFonts w:hint="eastAsia" w:ascii="宋体" w:hAnsi="宋体" w:eastAsia="宋体"/>
          <w:sz w:val="24"/>
          <w:highlight w:val="none"/>
        </w:rPr>
        <w:t>，前述约定期间届满</w:t>
      </w:r>
      <w:r>
        <w:rPr>
          <w:rFonts w:ascii="宋体" w:hAnsi="宋体" w:eastAsia="宋体"/>
          <w:sz w:val="24"/>
          <w:highlight w:val="none"/>
        </w:rPr>
        <w:t>之日起</w:t>
      </w:r>
      <w:r>
        <w:rPr>
          <w:rFonts w:hint="eastAsia" w:ascii="宋体" w:hAnsi="宋体" w:eastAsia="宋体"/>
          <w:sz w:val="24"/>
          <w:highlight w:val="none"/>
          <w:u w:val="single"/>
        </w:rPr>
        <w:t xml:space="preserve"> </w:t>
      </w:r>
      <w:r>
        <w:rPr>
          <w:rFonts w:ascii="宋体" w:hAnsi="宋体" w:eastAsia="宋体"/>
          <w:sz w:val="24"/>
          <w:highlight w:val="none"/>
          <w:u w:val="single"/>
        </w:rPr>
        <w:t xml:space="preserve"> </w:t>
      </w:r>
      <w:r>
        <w:rPr>
          <w:rFonts w:hint="eastAsia" w:ascii="宋体" w:hAnsi="宋体" w:eastAsia="宋体"/>
          <w:sz w:val="24"/>
          <w:highlight w:val="none"/>
          <w:u w:val="single"/>
        </w:rPr>
        <w:t xml:space="preserve"> </w:t>
      </w:r>
      <w:r>
        <w:rPr>
          <w:rFonts w:hint="eastAsia" w:ascii="宋体" w:hAnsi="宋体" w:eastAsia="宋体"/>
          <w:sz w:val="24"/>
          <w:highlight w:val="none"/>
        </w:rPr>
        <w:t>个</w:t>
      </w:r>
      <w:r>
        <w:rPr>
          <w:rFonts w:ascii="宋体" w:hAnsi="宋体" w:eastAsia="宋体"/>
          <w:sz w:val="24"/>
          <w:highlight w:val="none"/>
        </w:rPr>
        <w:t>工作日内，甲方应将履约保证金退还乙方</w:t>
      </w:r>
      <w:r>
        <w:rPr>
          <w:rFonts w:hint="eastAsia" w:ascii="宋体" w:hAnsi="宋体" w:eastAsia="宋体"/>
          <w:sz w:val="24"/>
          <w:highlight w:val="none"/>
        </w:rPr>
        <w:t>，</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甲方逾期退还履约保证金应承担违约责任。</w:t>
      </w:r>
    </w:p>
    <w:p w14:paraId="246246A0">
      <w:pPr>
        <w:spacing w:line="360" w:lineRule="auto"/>
        <w:ind w:firstLine="435"/>
        <w:rPr>
          <w:rFonts w:ascii="宋体" w:hAnsi="宋体" w:eastAsia="宋体"/>
          <w:sz w:val="24"/>
          <w:highlight w:val="none"/>
        </w:rPr>
      </w:pPr>
      <w:r>
        <w:rPr>
          <w:rFonts w:hint="eastAsia" w:ascii="宋体" w:hAnsi="宋体" w:eastAsia="宋体"/>
          <w:sz w:val="24"/>
          <w:highlight w:val="none"/>
        </w:rPr>
        <w:t>2.</w:t>
      </w:r>
      <w:r>
        <w:rPr>
          <w:rFonts w:ascii="宋体" w:hAnsi="宋体" w:eastAsia="宋体"/>
          <w:sz w:val="24"/>
          <w:highlight w:val="none"/>
        </w:rPr>
        <w:t>17</w:t>
      </w:r>
      <w:r>
        <w:rPr>
          <w:rFonts w:hint="eastAsia" w:ascii="宋体" w:hAnsi="宋体" w:eastAsia="宋体"/>
          <w:sz w:val="24"/>
          <w:highlight w:val="none"/>
        </w:rPr>
        <w:t>.3</w:t>
      </w:r>
      <w:r>
        <w:rPr>
          <w:rFonts w:ascii="宋体" w:hAnsi="宋体" w:eastAsia="宋体"/>
          <w:sz w:val="24"/>
          <w:highlight w:val="none"/>
        </w:rPr>
        <w:t>如果乙方不履行合同</w:t>
      </w:r>
      <w:r>
        <w:rPr>
          <w:rFonts w:hint="eastAsia" w:ascii="宋体" w:hAnsi="宋体" w:eastAsia="宋体"/>
          <w:sz w:val="24"/>
          <w:highlight w:val="none"/>
        </w:rPr>
        <w:t>，履约保证金不予退还；如果乙方</w:t>
      </w:r>
      <w:r>
        <w:rPr>
          <w:rFonts w:ascii="宋体" w:hAnsi="宋体" w:eastAsia="宋体"/>
          <w:sz w:val="24"/>
          <w:highlight w:val="none"/>
        </w:rPr>
        <w:t>未能按合同</w:t>
      </w:r>
      <w:r>
        <w:rPr>
          <w:rFonts w:hint="eastAsia" w:ascii="宋体" w:hAnsi="宋体" w:eastAsia="宋体"/>
          <w:sz w:val="24"/>
          <w:highlight w:val="none"/>
        </w:rPr>
        <w:t>约</w:t>
      </w:r>
      <w:r>
        <w:rPr>
          <w:rFonts w:ascii="宋体" w:hAnsi="宋体" w:eastAsia="宋体"/>
          <w:sz w:val="24"/>
          <w:highlight w:val="none"/>
        </w:rPr>
        <w:t>定全面履行义务，那么甲方有权从履约保证金中取得补偿或赔偿</w:t>
      </w:r>
      <w:r>
        <w:rPr>
          <w:rFonts w:hint="eastAsia" w:ascii="宋体" w:hAnsi="宋体" w:eastAsia="宋体"/>
          <w:sz w:val="24"/>
          <w:highlight w:val="none"/>
        </w:rPr>
        <w:t>，同时不影响甲方要求乙方承担合同约定的超过履约保证金的违约责任的权利。</w:t>
      </w:r>
    </w:p>
    <w:bookmarkEnd w:id="243"/>
    <w:p w14:paraId="15AD5964">
      <w:pPr>
        <w:spacing w:line="360" w:lineRule="auto"/>
        <w:ind w:firstLine="437"/>
        <w:outlineLvl w:val="2"/>
        <w:rPr>
          <w:rFonts w:ascii="宋体" w:hAnsi="宋体" w:eastAsia="宋体"/>
          <w:b/>
          <w:sz w:val="24"/>
          <w:highlight w:val="none"/>
        </w:rPr>
      </w:pPr>
      <w:bookmarkStart w:id="244" w:name="_Toc6885"/>
      <w:bookmarkStart w:id="245" w:name="_Toc14001"/>
      <w:bookmarkStart w:id="246" w:name="_Toc19890"/>
      <w:r>
        <w:rPr>
          <w:rFonts w:hint="eastAsia" w:ascii="宋体" w:hAnsi="宋体" w:eastAsia="宋体"/>
          <w:b/>
          <w:bCs/>
          <w:sz w:val="24"/>
          <w:highlight w:val="none"/>
          <w:lang w:val="zh-CN"/>
        </w:rPr>
        <w:t>2.</w:t>
      </w:r>
      <w:r>
        <w:rPr>
          <w:rFonts w:ascii="宋体" w:hAnsi="宋体" w:eastAsia="宋体"/>
          <w:b/>
          <w:bCs/>
          <w:sz w:val="24"/>
          <w:highlight w:val="none"/>
          <w:lang w:val="zh-CN"/>
        </w:rPr>
        <w:t>18</w:t>
      </w:r>
      <w:r>
        <w:rPr>
          <w:rFonts w:hint="eastAsia" w:ascii="宋体" w:hAnsi="宋体" w:eastAsia="宋体"/>
          <w:b/>
          <w:bCs/>
          <w:sz w:val="24"/>
          <w:highlight w:val="none"/>
          <w:lang w:val="zh-CN"/>
        </w:rPr>
        <w:t xml:space="preserve"> 合同份数</w:t>
      </w:r>
      <w:bookmarkEnd w:id="244"/>
      <w:bookmarkEnd w:id="245"/>
      <w:bookmarkEnd w:id="246"/>
    </w:p>
    <w:p w14:paraId="1C9F3B39">
      <w:pPr>
        <w:spacing w:line="360" w:lineRule="auto"/>
        <w:ind w:firstLine="435"/>
        <w:rPr>
          <w:rFonts w:ascii="宋体" w:hAnsi="宋体" w:eastAsia="宋体"/>
          <w:sz w:val="24"/>
          <w:highlight w:val="none"/>
        </w:rPr>
      </w:pPr>
      <w:r>
        <w:rPr>
          <w:rFonts w:ascii="宋体" w:hAnsi="宋体" w:eastAsia="宋体"/>
          <w:sz w:val="24"/>
          <w:highlight w:val="none"/>
        </w:rPr>
        <w:t>合同份数按</w:t>
      </w:r>
      <w:r>
        <w:rPr>
          <w:rFonts w:ascii="宋体" w:hAnsi="宋体" w:eastAsia="宋体"/>
          <w:b/>
          <w:i/>
          <w:sz w:val="24"/>
          <w:highlight w:val="none"/>
          <w:u w:val="single"/>
        </w:rPr>
        <w:t>合同专用条款</w:t>
      </w:r>
      <w:r>
        <w:rPr>
          <w:rFonts w:ascii="宋体" w:hAnsi="宋体" w:eastAsia="宋体"/>
          <w:sz w:val="24"/>
          <w:highlight w:val="none"/>
        </w:rPr>
        <w:t>规定</w:t>
      </w:r>
      <w:r>
        <w:rPr>
          <w:rFonts w:hint="eastAsia" w:ascii="宋体" w:hAnsi="宋体" w:eastAsia="宋体"/>
          <w:sz w:val="24"/>
          <w:highlight w:val="none"/>
        </w:rPr>
        <w:t>，</w:t>
      </w:r>
      <w:r>
        <w:rPr>
          <w:rFonts w:ascii="宋体" w:hAnsi="宋体" w:eastAsia="宋体"/>
          <w:sz w:val="24"/>
          <w:highlight w:val="none"/>
        </w:rPr>
        <w:t>每份均具有同等法律效力</w:t>
      </w:r>
      <w:r>
        <w:rPr>
          <w:rFonts w:hint="eastAsia" w:ascii="宋体" w:hAnsi="宋体" w:eastAsia="宋体"/>
          <w:sz w:val="24"/>
          <w:highlight w:val="none"/>
        </w:rPr>
        <w:t>。</w:t>
      </w:r>
    </w:p>
    <w:p w14:paraId="7FA7F869">
      <w:pPr>
        <w:spacing w:line="360" w:lineRule="auto"/>
        <w:jc w:val="center"/>
        <w:outlineLvl w:val="1"/>
        <w:rPr>
          <w:rFonts w:ascii="宋体" w:hAnsi="宋体" w:eastAsia="宋体"/>
          <w:b/>
          <w:sz w:val="24"/>
          <w:highlight w:val="none"/>
        </w:rPr>
      </w:pPr>
      <w:r>
        <w:rPr>
          <w:rFonts w:ascii="宋体" w:hAnsi="宋体" w:eastAsia="宋体"/>
          <w:sz w:val="24"/>
          <w:highlight w:val="none"/>
        </w:rPr>
        <w:br w:type="page"/>
      </w:r>
      <w:bookmarkStart w:id="247" w:name="_Toc26232"/>
      <w:bookmarkStart w:id="248" w:name="_Toc331685784"/>
      <w:r>
        <w:rPr>
          <w:rFonts w:hint="eastAsia" w:ascii="宋体" w:hAnsi="宋体" w:eastAsia="宋体"/>
          <w:b/>
          <w:sz w:val="24"/>
          <w:highlight w:val="none"/>
        </w:rPr>
        <w:t>第三部分</w:t>
      </w:r>
      <w:r>
        <w:rPr>
          <w:rFonts w:ascii="宋体" w:hAnsi="宋体" w:eastAsia="宋体"/>
          <w:b/>
          <w:sz w:val="24"/>
          <w:highlight w:val="none"/>
        </w:rPr>
        <w:t xml:space="preserve"> </w:t>
      </w:r>
      <w:r>
        <w:rPr>
          <w:rFonts w:hint="eastAsia" w:ascii="宋体" w:hAnsi="宋体" w:eastAsia="宋体"/>
          <w:b/>
          <w:sz w:val="24"/>
          <w:highlight w:val="none"/>
        </w:rPr>
        <w:t>合同专用条款</w:t>
      </w:r>
      <w:bookmarkEnd w:id="247"/>
      <w:bookmarkEnd w:id="248"/>
    </w:p>
    <w:p w14:paraId="61FB8D5A">
      <w:pPr>
        <w:spacing w:line="360" w:lineRule="auto"/>
        <w:ind w:firstLine="435"/>
        <w:rPr>
          <w:rFonts w:ascii="宋体" w:hAnsi="宋体" w:eastAsia="宋体"/>
          <w:sz w:val="24"/>
          <w:highlight w:val="none"/>
        </w:rPr>
      </w:pPr>
      <w:r>
        <w:rPr>
          <w:rFonts w:hint="eastAsia" w:ascii="宋体" w:hAnsi="宋体" w:eastAsia="宋体"/>
          <w:sz w:val="24"/>
          <w:highlight w:val="none"/>
        </w:rPr>
        <w:t>本部分</w:t>
      </w:r>
      <w:r>
        <w:rPr>
          <w:rFonts w:ascii="宋体" w:hAnsi="宋体" w:eastAsia="宋体"/>
          <w:sz w:val="24"/>
          <w:highlight w:val="none"/>
        </w:rPr>
        <w:t>是对</w:t>
      </w:r>
      <w:r>
        <w:rPr>
          <w:rFonts w:hint="eastAsia" w:ascii="宋体" w:hAnsi="宋体" w:eastAsia="宋体"/>
          <w:sz w:val="24"/>
          <w:highlight w:val="none"/>
        </w:rPr>
        <w:t>前两</w:t>
      </w:r>
      <w:r>
        <w:rPr>
          <w:rFonts w:ascii="宋体" w:hAnsi="宋体" w:eastAsia="宋体"/>
          <w:sz w:val="24"/>
          <w:highlight w:val="none"/>
        </w:rPr>
        <w:t>部分的补充和修改</w:t>
      </w:r>
      <w:r>
        <w:rPr>
          <w:rFonts w:hint="eastAsia" w:ascii="宋体" w:hAnsi="宋体" w:eastAsia="宋体"/>
          <w:sz w:val="24"/>
          <w:highlight w:val="none"/>
        </w:rPr>
        <w:t>，</w:t>
      </w:r>
      <w:r>
        <w:rPr>
          <w:rFonts w:ascii="宋体" w:hAnsi="宋体" w:eastAsia="宋体"/>
          <w:sz w:val="24"/>
          <w:highlight w:val="none"/>
        </w:rPr>
        <w:t>如果</w:t>
      </w:r>
      <w:r>
        <w:rPr>
          <w:rFonts w:hint="eastAsia" w:ascii="宋体" w:hAnsi="宋体" w:eastAsia="宋体"/>
          <w:sz w:val="24"/>
          <w:highlight w:val="none"/>
        </w:rPr>
        <w:t>前两</w:t>
      </w:r>
      <w:r>
        <w:rPr>
          <w:rFonts w:ascii="宋体" w:hAnsi="宋体" w:eastAsia="宋体"/>
          <w:sz w:val="24"/>
          <w:highlight w:val="none"/>
        </w:rPr>
        <w:t>部分和本部分的约定不一致</w:t>
      </w:r>
      <w:r>
        <w:rPr>
          <w:rFonts w:hint="eastAsia" w:ascii="宋体" w:hAnsi="宋体" w:eastAsia="宋体"/>
          <w:sz w:val="24"/>
          <w:highlight w:val="none"/>
        </w:rPr>
        <w:t>，</w:t>
      </w:r>
      <w:r>
        <w:rPr>
          <w:rFonts w:ascii="宋体" w:hAnsi="宋体" w:eastAsia="宋体"/>
          <w:sz w:val="24"/>
          <w:highlight w:val="none"/>
        </w:rPr>
        <w:t>应以本部分的约定为准</w:t>
      </w:r>
      <w:r>
        <w:rPr>
          <w:rFonts w:hint="eastAsia" w:ascii="宋体" w:hAnsi="宋体" w:eastAsia="宋体"/>
          <w:sz w:val="24"/>
          <w:highlight w:val="none"/>
        </w:rPr>
        <w:t>。</w:t>
      </w:r>
      <w:r>
        <w:rPr>
          <w:rFonts w:ascii="宋体" w:hAnsi="宋体" w:eastAsia="宋体"/>
          <w:sz w:val="24"/>
          <w:highlight w:val="none"/>
        </w:rPr>
        <w:t>本部分的条款号应与</w:t>
      </w:r>
      <w:r>
        <w:rPr>
          <w:rFonts w:hint="eastAsia" w:ascii="宋体" w:hAnsi="宋体" w:eastAsia="宋体"/>
          <w:sz w:val="24"/>
          <w:highlight w:val="none"/>
        </w:rPr>
        <w:t>前两部分</w:t>
      </w:r>
      <w:r>
        <w:rPr>
          <w:rFonts w:ascii="宋体" w:hAnsi="宋体" w:eastAsia="宋体"/>
          <w:sz w:val="24"/>
          <w:highlight w:val="none"/>
        </w:rPr>
        <w:t>的条款号保持对应</w:t>
      </w:r>
      <w:r>
        <w:rPr>
          <w:rFonts w:hint="eastAsia" w:ascii="宋体" w:hAnsi="宋体" w:eastAsia="宋体"/>
          <w:sz w:val="24"/>
          <w:highlight w:val="none"/>
        </w:rPr>
        <w:t>；与前两部分</w:t>
      </w:r>
      <w:r>
        <w:rPr>
          <w:rFonts w:ascii="宋体" w:hAnsi="宋体" w:eastAsia="宋体"/>
          <w:sz w:val="24"/>
          <w:highlight w:val="none"/>
        </w:rPr>
        <w:t>无对应关系的内容可另行编制条款号</w:t>
      </w:r>
      <w:r>
        <w:rPr>
          <w:rFonts w:hint="eastAsia" w:ascii="宋体" w:hAnsi="宋体" w:eastAsia="宋体"/>
          <w:sz w:val="24"/>
          <w:highlight w:val="none"/>
        </w:rPr>
        <w:t>。</w:t>
      </w:r>
    </w:p>
    <w:tbl>
      <w:tblPr>
        <w:tblStyle w:val="2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73"/>
        <w:gridCol w:w="8312"/>
      </w:tblGrid>
      <w:tr w14:paraId="1C72D1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475" w:type="pct"/>
            <w:tcBorders>
              <w:left w:val="single" w:color="auto" w:sz="4" w:space="0"/>
            </w:tcBorders>
            <w:vAlign w:val="center"/>
          </w:tcPr>
          <w:p w14:paraId="434010BF">
            <w:pPr>
              <w:jc w:val="center"/>
              <w:rPr>
                <w:rFonts w:ascii="宋体" w:hAnsi="宋体" w:eastAsia="宋体"/>
                <w:b/>
                <w:sz w:val="24"/>
                <w:highlight w:val="none"/>
              </w:rPr>
            </w:pPr>
            <w:r>
              <w:rPr>
                <w:rFonts w:ascii="宋体" w:hAnsi="宋体" w:eastAsia="宋体"/>
                <w:b/>
                <w:sz w:val="24"/>
                <w:highlight w:val="none"/>
              </w:rPr>
              <w:t>条款号</w:t>
            </w:r>
          </w:p>
        </w:tc>
        <w:tc>
          <w:tcPr>
            <w:tcW w:w="4525" w:type="pct"/>
            <w:vAlign w:val="center"/>
          </w:tcPr>
          <w:p w14:paraId="24203F92">
            <w:pPr>
              <w:jc w:val="center"/>
              <w:rPr>
                <w:rFonts w:ascii="宋体" w:hAnsi="宋体" w:eastAsia="宋体"/>
                <w:b/>
                <w:sz w:val="24"/>
                <w:highlight w:val="none"/>
              </w:rPr>
            </w:pPr>
            <w:r>
              <w:rPr>
                <w:rFonts w:ascii="宋体" w:hAnsi="宋体" w:eastAsia="宋体"/>
                <w:b/>
                <w:sz w:val="24"/>
                <w:highlight w:val="none"/>
              </w:rPr>
              <w:t>约定内容</w:t>
            </w:r>
          </w:p>
        </w:tc>
      </w:tr>
      <w:tr w14:paraId="24858F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75" w:type="pct"/>
            <w:tcBorders>
              <w:left w:val="single" w:color="auto" w:sz="4" w:space="0"/>
            </w:tcBorders>
            <w:vAlign w:val="center"/>
          </w:tcPr>
          <w:p w14:paraId="42B0165D">
            <w:pPr>
              <w:spacing w:line="560" w:lineRule="exact"/>
              <w:rPr>
                <w:rFonts w:ascii="宋体" w:hAnsi="宋体" w:eastAsia="宋体"/>
                <w:sz w:val="24"/>
                <w:highlight w:val="none"/>
              </w:rPr>
            </w:pPr>
          </w:p>
        </w:tc>
        <w:tc>
          <w:tcPr>
            <w:tcW w:w="4525" w:type="pct"/>
            <w:vAlign w:val="center"/>
          </w:tcPr>
          <w:p w14:paraId="09DBE34E">
            <w:pPr>
              <w:spacing w:line="560" w:lineRule="exact"/>
              <w:rPr>
                <w:rFonts w:ascii="宋体" w:hAnsi="宋体" w:eastAsia="宋体"/>
                <w:sz w:val="24"/>
                <w:highlight w:val="none"/>
              </w:rPr>
            </w:pPr>
          </w:p>
        </w:tc>
      </w:tr>
      <w:tr w14:paraId="20F298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14:paraId="2FFDA554">
            <w:pPr>
              <w:spacing w:line="560" w:lineRule="exact"/>
              <w:rPr>
                <w:rFonts w:ascii="宋体" w:hAnsi="宋体" w:eastAsia="宋体"/>
                <w:sz w:val="24"/>
                <w:highlight w:val="none"/>
              </w:rPr>
            </w:pPr>
          </w:p>
        </w:tc>
        <w:tc>
          <w:tcPr>
            <w:tcW w:w="4525" w:type="pct"/>
            <w:vAlign w:val="center"/>
          </w:tcPr>
          <w:p w14:paraId="04DF2717">
            <w:pPr>
              <w:spacing w:line="560" w:lineRule="exact"/>
              <w:rPr>
                <w:rFonts w:ascii="宋体" w:hAnsi="宋体" w:eastAsia="宋体"/>
                <w:sz w:val="24"/>
                <w:highlight w:val="none"/>
              </w:rPr>
            </w:pPr>
          </w:p>
        </w:tc>
      </w:tr>
      <w:tr w14:paraId="70330A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14:paraId="28F43CCE">
            <w:pPr>
              <w:spacing w:line="560" w:lineRule="exact"/>
              <w:rPr>
                <w:rFonts w:ascii="宋体" w:hAnsi="宋体" w:eastAsia="宋体"/>
                <w:sz w:val="24"/>
                <w:highlight w:val="none"/>
              </w:rPr>
            </w:pPr>
          </w:p>
        </w:tc>
        <w:tc>
          <w:tcPr>
            <w:tcW w:w="4525" w:type="pct"/>
            <w:vAlign w:val="center"/>
          </w:tcPr>
          <w:p w14:paraId="0D3323C6">
            <w:pPr>
              <w:spacing w:line="560" w:lineRule="exact"/>
              <w:rPr>
                <w:rFonts w:ascii="宋体" w:hAnsi="宋体" w:eastAsia="宋体"/>
                <w:sz w:val="24"/>
                <w:highlight w:val="none"/>
              </w:rPr>
            </w:pPr>
          </w:p>
        </w:tc>
      </w:tr>
      <w:tr w14:paraId="44A3C6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14:paraId="1BBAFF38">
            <w:pPr>
              <w:spacing w:line="560" w:lineRule="exact"/>
              <w:rPr>
                <w:rFonts w:ascii="宋体" w:hAnsi="宋体" w:eastAsia="宋体"/>
                <w:sz w:val="24"/>
                <w:highlight w:val="none"/>
              </w:rPr>
            </w:pPr>
          </w:p>
        </w:tc>
        <w:tc>
          <w:tcPr>
            <w:tcW w:w="4525" w:type="pct"/>
            <w:vAlign w:val="center"/>
          </w:tcPr>
          <w:p w14:paraId="12380773">
            <w:pPr>
              <w:spacing w:line="560" w:lineRule="exact"/>
              <w:rPr>
                <w:rFonts w:ascii="宋体" w:hAnsi="宋体" w:eastAsia="宋体"/>
                <w:sz w:val="24"/>
                <w:highlight w:val="none"/>
              </w:rPr>
            </w:pPr>
          </w:p>
        </w:tc>
      </w:tr>
      <w:tr w14:paraId="1BDEB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14:paraId="2D932840">
            <w:pPr>
              <w:spacing w:line="560" w:lineRule="exact"/>
              <w:rPr>
                <w:rFonts w:ascii="宋体" w:hAnsi="宋体" w:eastAsia="宋体"/>
                <w:sz w:val="24"/>
                <w:highlight w:val="none"/>
              </w:rPr>
            </w:pPr>
          </w:p>
        </w:tc>
        <w:tc>
          <w:tcPr>
            <w:tcW w:w="4525" w:type="pct"/>
            <w:vAlign w:val="center"/>
          </w:tcPr>
          <w:p w14:paraId="2F4E24FB">
            <w:pPr>
              <w:spacing w:line="560" w:lineRule="exact"/>
              <w:rPr>
                <w:rFonts w:ascii="宋体" w:hAnsi="宋体" w:eastAsia="宋体"/>
                <w:sz w:val="24"/>
                <w:highlight w:val="none"/>
                <w:u w:val="single"/>
              </w:rPr>
            </w:pPr>
          </w:p>
        </w:tc>
      </w:tr>
      <w:tr w14:paraId="1492F1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14:paraId="1C92D14A">
            <w:pPr>
              <w:spacing w:line="560" w:lineRule="exact"/>
              <w:rPr>
                <w:rFonts w:ascii="宋体" w:hAnsi="宋体" w:eastAsia="宋体"/>
                <w:sz w:val="24"/>
                <w:highlight w:val="none"/>
              </w:rPr>
            </w:pPr>
          </w:p>
        </w:tc>
        <w:tc>
          <w:tcPr>
            <w:tcW w:w="4525" w:type="pct"/>
            <w:vAlign w:val="center"/>
          </w:tcPr>
          <w:p w14:paraId="408531C6">
            <w:pPr>
              <w:spacing w:line="560" w:lineRule="exact"/>
              <w:rPr>
                <w:rFonts w:ascii="宋体" w:hAnsi="宋体" w:eastAsia="宋体"/>
                <w:sz w:val="24"/>
                <w:highlight w:val="none"/>
              </w:rPr>
            </w:pPr>
          </w:p>
        </w:tc>
      </w:tr>
      <w:tr w14:paraId="110F17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14:paraId="7BCCCBFE">
            <w:pPr>
              <w:spacing w:line="560" w:lineRule="exact"/>
              <w:rPr>
                <w:rFonts w:ascii="宋体" w:hAnsi="宋体" w:eastAsia="宋体"/>
                <w:sz w:val="24"/>
                <w:highlight w:val="none"/>
              </w:rPr>
            </w:pPr>
          </w:p>
        </w:tc>
        <w:tc>
          <w:tcPr>
            <w:tcW w:w="4525" w:type="pct"/>
            <w:vAlign w:val="center"/>
          </w:tcPr>
          <w:p w14:paraId="3A4A5969">
            <w:pPr>
              <w:spacing w:line="560" w:lineRule="exact"/>
              <w:rPr>
                <w:rFonts w:ascii="宋体" w:hAnsi="宋体" w:eastAsia="宋体"/>
                <w:sz w:val="24"/>
                <w:highlight w:val="none"/>
                <w:u w:val="single"/>
              </w:rPr>
            </w:pPr>
          </w:p>
        </w:tc>
      </w:tr>
      <w:tr w14:paraId="48C46D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14:paraId="386B87B0">
            <w:pPr>
              <w:spacing w:line="560" w:lineRule="exact"/>
              <w:rPr>
                <w:rFonts w:ascii="宋体" w:hAnsi="宋体" w:eastAsia="宋体"/>
                <w:sz w:val="24"/>
                <w:highlight w:val="none"/>
              </w:rPr>
            </w:pPr>
          </w:p>
        </w:tc>
        <w:tc>
          <w:tcPr>
            <w:tcW w:w="4525" w:type="pct"/>
            <w:vAlign w:val="center"/>
          </w:tcPr>
          <w:p w14:paraId="27D52619">
            <w:pPr>
              <w:spacing w:line="560" w:lineRule="exact"/>
              <w:rPr>
                <w:rFonts w:ascii="宋体" w:hAnsi="宋体" w:eastAsia="宋体"/>
                <w:sz w:val="24"/>
                <w:highlight w:val="none"/>
              </w:rPr>
            </w:pPr>
          </w:p>
        </w:tc>
      </w:tr>
      <w:tr w14:paraId="5D8B59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14:paraId="4B4A3618">
            <w:pPr>
              <w:spacing w:line="560" w:lineRule="exact"/>
              <w:rPr>
                <w:rFonts w:ascii="宋体" w:hAnsi="宋体" w:eastAsia="宋体"/>
                <w:sz w:val="24"/>
                <w:highlight w:val="none"/>
              </w:rPr>
            </w:pPr>
          </w:p>
        </w:tc>
        <w:tc>
          <w:tcPr>
            <w:tcW w:w="4525" w:type="pct"/>
            <w:vAlign w:val="center"/>
          </w:tcPr>
          <w:p w14:paraId="78A8B761">
            <w:pPr>
              <w:spacing w:line="560" w:lineRule="exact"/>
              <w:rPr>
                <w:rFonts w:ascii="宋体" w:hAnsi="宋体" w:eastAsia="宋体"/>
                <w:sz w:val="24"/>
                <w:highlight w:val="none"/>
              </w:rPr>
            </w:pPr>
          </w:p>
        </w:tc>
      </w:tr>
      <w:tr w14:paraId="05BC21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14:paraId="466910BF">
            <w:pPr>
              <w:spacing w:line="560" w:lineRule="exact"/>
              <w:rPr>
                <w:rFonts w:ascii="宋体" w:hAnsi="宋体" w:eastAsia="宋体"/>
                <w:sz w:val="24"/>
                <w:highlight w:val="none"/>
              </w:rPr>
            </w:pPr>
          </w:p>
        </w:tc>
        <w:tc>
          <w:tcPr>
            <w:tcW w:w="4525" w:type="pct"/>
            <w:vAlign w:val="center"/>
          </w:tcPr>
          <w:p w14:paraId="59107C09">
            <w:pPr>
              <w:spacing w:line="560" w:lineRule="exact"/>
              <w:rPr>
                <w:rFonts w:ascii="宋体" w:hAnsi="宋体" w:eastAsia="宋体"/>
                <w:sz w:val="24"/>
                <w:highlight w:val="none"/>
              </w:rPr>
            </w:pPr>
          </w:p>
        </w:tc>
      </w:tr>
      <w:tr w14:paraId="775BEB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top w:val="single" w:color="auto" w:sz="6" w:space="0"/>
              <w:left w:val="single" w:color="auto" w:sz="4" w:space="0"/>
              <w:bottom w:val="single" w:color="auto" w:sz="6" w:space="0"/>
              <w:right w:val="single" w:color="auto" w:sz="6" w:space="0"/>
            </w:tcBorders>
            <w:vAlign w:val="center"/>
          </w:tcPr>
          <w:p w14:paraId="4AD33962">
            <w:pPr>
              <w:spacing w:line="560" w:lineRule="exact"/>
              <w:rPr>
                <w:rFonts w:ascii="宋体" w:hAnsi="宋体" w:eastAsia="宋体"/>
                <w:sz w:val="24"/>
                <w:highlight w:val="none"/>
              </w:rPr>
            </w:pPr>
          </w:p>
        </w:tc>
        <w:tc>
          <w:tcPr>
            <w:tcW w:w="4525" w:type="pct"/>
            <w:tcBorders>
              <w:top w:val="single" w:color="auto" w:sz="6" w:space="0"/>
              <w:left w:val="single" w:color="auto" w:sz="6" w:space="0"/>
              <w:bottom w:val="single" w:color="auto" w:sz="6" w:space="0"/>
              <w:right w:val="single" w:color="auto" w:sz="6" w:space="0"/>
            </w:tcBorders>
            <w:vAlign w:val="center"/>
          </w:tcPr>
          <w:p w14:paraId="2D477A94">
            <w:pPr>
              <w:spacing w:line="560" w:lineRule="exact"/>
              <w:rPr>
                <w:rFonts w:ascii="宋体" w:hAnsi="宋体" w:eastAsia="宋体"/>
                <w:sz w:val="24"/>
                <w:highlight w:val="none"/>
              </w:rPr>
            </w:pPr>
          </w:p>
        </w:tc>
      </w:tr>
      <w:tr w14:paraId="3D03F9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top w:val="single" w:color="auto" w:sz="6" w:space="0"/>
              <w:left w:val="single" w:color="auto" w:sz="4" w:space="0"/>
              <w:bottom w:val="single" w:color="auto" w:sz="6" w:space="0"/>
              <w:right w:val="single" w:color="auto" w:sz="6" w:space="0"/>
            </w:tcBorders>
            <w:vAlign w:val="center"/>
          </w:tcPr>
          <w:p w14:paraId="7D574767">
            <w:pPr>
              <w:spacing w:line="560" w:lineRule="exact"/>
              <w:rPr>
                <w:rFonts w:ascii="宋体" w:hAnsi="宋体" w:eastAsia="宋体"/>
                <w:sz w:val="24"/>
                <w:highlight w:val="none"/>
              </w:rPr>
            </w:pPr>
          </w:p>
        </w:tc>
        <w:tc>
          <w:tcPr>
            <w:tcW w:w="4525" w:type="pct"/>
            <w:tcBorders>
              <w:top w:val="single" w:color="auto" w:sz="6" w:space="0"/>
              <w:left w:val="single" w:color="auto" w:sz="6" w:space="0"/>
              <w:bottom w:val="single" w:color="auto" w:sz="6" w:space="0"/>
              <w:right w:val="single" w:color="auto" w:sz="6" w:space="0"/>
            </w:tcBorders>
            <w:vAlign w:val="center"/>
          </w:tcPr>
          <w:p w14:paraId="1B508260">
            <w:pPr>
              <w:spacing w:line="560" w:lineRule="exact"/>
              <w:rPr>
                <w:rFonts w:ascii="宋体" w:hAnsi="宋体" w:eastAsia="宋体"/>
                <w:sz w:val="24"/>
                <w:highlight w:val="none"/>
              </w:rPr>
            </w:pPr>
          </w:p>
        </w:tc>
      </w:tr>
    </w:tbl>
    <w:p w14:paraId="607F2FC2">
      <w:pPr>
        <w:spacing w:line="360" w:lineRule="auto"/>
        <w:rPr>
          <w:rFonts w:asciiTheme="minorEastAsia" w:hAnsiTheme="minorEastAsia" w:eastAsiaTheme="minorEastAsia" w:cstheme="minorEastAsia"/>
          <w:sz w:val="28"/>
          <w:szCs w:val="27"/>
          <w:highlight w:val="none"/>
        </w:rPr>
      </w:pPr>
      <w:r>
        <w:rPr>
          <w:rFonts w:hint="eastAsia" w:asciiTheme="minorEastAsia" w:hAnsiTheme="minorEastAsia" w:eastAsiaTheme="minorEastAsia" w:cstheme="minorEastAsia"/>
          <w:sz w:val="28"/>
          <w:szCs w:val="27"/>
          <w:highlight w:val="none"/>
        </w:rPr>
        <w:br w:type="page"/>
      </w:r>
    </w:p>
    <w:p w14:paraId="2B013E74">
      <w:pPr>
        <w:spacing w:line="360" w:lineRule="auto"/>
        <w:jc w:val="center"/>
        <w:outlineLvl w:val="0"/>
        <w:rPr>
          <w:rFonts w:asciiTheme="minorEastAsia" w:hAnsiTheme="minorEastAsia" w:eastAsiaTheme="minorEastAsia"/>
          <w:b/>
          <w:sz w:val="28"/>
          <w:highlight w:val="none"/>
        </w:rPr>
      </w:pPr>
      <w:bookmarkStart w:id="249" w:name="_Toc2430"/>
      <w:bookmarkStart w:id="250" w:name="_Toc18917"/>
      <w:r>
        <w:rPr>
          <w:rFonts w:hint="eastAsia" w:asciiTheme="minorEastAsia" w:hAnsiTheme="minorEastAsia" w:eastAsiaTheme="minorEastAsia"/>
          <w:b/>
          <w:sz w:val="28"/>
          <w:highlight w:val="none"/>
        </w:rPr>
        <w:t>第六章  响应文件格式</w:t>
      </w:r>
      <w:bookmarkEnd w:id="249"/>
      <w:bookmarkEnd w:id="250"/>
    </w:p>
    <w:p w14:paraId="23C41B9A">
      <w:pPr>
        <w:spacing w:line="900" w:lineRule="exact"/>
        <w:jc w:val="center"/>
        <w:rPr>
          <w:rFonts w:asciiTheme="minorEastAsia" w:hAnsiTheme="minorEastAsia" w:eastAsiaTheme="minorEastAsia"/>
          <w:b/>
          <w:sz w:val="72"/>
          <w:highlight w:val="none"/>
        </w:rPr>
      </w:pPr>
    </w:p>
    <w:p w14:paraId="1F00E006">
      <w:pPr>
        <w:spacing w:line="900" w:lineRule="exact"/>
        <w:jc w:val="center"/>
        <w:outlineLvl w:val="2"/>
        <w:rPr>
          <w:rFonts w:asciiTheme="minorEastAsia" w:hAnsiTheme="minorEastAsia" w:eastAsiaTheme="minorEastAsia"/>
          <w:b/>
          <w:sz w:val="72"/>
          <w:highlight w:val="none"/>
        </w:rPr>
      </w:pPr>
      <w:r>
        <w:rPr>
          <w:rFonts w:hint="eastAsia" w:asciiTheme="minorEastAsia" w:hAnsiTheme="minorEastAsia" w:eastAsiaTheme="minorEastAsia"/>
          <w:b/>
          <w:sz w:val="72"/>
          <w:highlight w:val="none"/>
        </w:rPr>
        <w:t>响</w:t>
      </w:r>
    </w:p>
    <w:p w14:paraId="37507376">
      <w:pPr>
        <w:spacing w:line="900" w:lineRule="exact"/>
        <w:jc w:val="center"/>
        <w:rPr>
          <w:rFonts w:asciiTheme="minorEastAsia" w:hAnsiTheme="minorEastAsia" w:eastAsiaTheme="minorEastAsia"/>
          <w:b/>
          <w:sz w:val="72"/>
          <w:highlight w:val="none"/>
        </w:rPr>
      </w:pPr>
    </w:p>
    <w:p w14:paraId="36C9B99A">
      <w:pPr>
        <w:spacing w:line="900" w:lineRule="exact"/>
        <w:jc w:val="center"/>
        <w:outlineLvl w:val="2"/>
        <w:rPr>
          <w:rFonts w:asciiTheme="minorEastAsia" w:hAnsiTheme="minorEastAsia" w:eastAsiaTheme="minorEastAsia"/>
          <w:b/>
          <w:sz w:val="72"/>
          <w:highlight w:val="none"/>
        </w:rPr>
      </w:pPr>
      <w:r>
        <w:rPr>
          <w:rFonts w:hint="eastAsia" w:asciiTheme="minorEastAsia" w:hAnsiTheme="minorEastAsia" w:eastAsiaTheme="minorEastAsia"/>
          <w:b/>
          <w:sz w:val="72"/>
          <w:highlight w:val="none"/>
        </w:rPr>
        <w:t>应</w:t>
      </w:r>
    </w:p>
    <w:p w14:paraId="469C036C">
      <w:pPr>
        <w:spacing w:line="900" w:lineRule="exact"/>
        <w:jc w:val="center"/>
        <w:rPr>
          <w:rFonts w:asciiTheme="minorEastAsia" w:hAnsiTheme="minorEastAsia" w:eastAsiaTheme="minorEastAsia"/>
          <w:b/>
          <w:sz w:val="72"/>
          <w:highlight w:val="none"/>
        </w:rPr>
      </w:pPr>
    </w:p>
    <w:p w14:paraId="6FCDEFB1">
      <w:pPr>
        <w:spacing w:line="900" w:lineRule="exact"/>
        <w:jc w:val="center"/>
        <w:outlineLvl w:val="2"/>
        <w:rPr>
          <w:rFonts w:asciiTheme="minorEastAsia" w:hAnsiTheme="minorEastAsia" w:eastAsiaTheme="minorEastAsia"/>
          <w:b/>
          <w:sz w:val="72"/>
          <w:highlight w:val="none"/>
        </w:rPr>
      </w:pPr>
      <w:r>
        <w:rPr>
          <w:rFonts w:hint="eastAsia" w:asciiTheme="minorEastAsia" w:hAnsiTheme="minorEastAsia" w:eastAsiaTheme="minorEastAsia"/>
          <w:b/>
          <w:sz w:val="72"/>
          <w:highlight w:val="none"/>
        </w:rPr>
        <w:t>文</w:t>
      </w:r>
    </w:p>
    <w:p w14:paraId="67C6EC6C">
      <w:pPr>
        <w:spacing w:line="900" w:lineRule="exact"/>
        <w:jc w:val="center"/>
        <w:rPr>
          <w:rFonts w:asciiTheme="minorEastAsia" w:hAnsiTheme="minorEastAsia" w:eastAsiaTheme="minorEastAsia"/>
          <w:b/>
          <w:sz w:val="72"/>
          <w:highlight w:val="none"/>
        </w:rPr>
      </w:pPr>
    </w:p>
    <w:p w14:paraId="09A79651">
      <w:pPr>
        <w:jc w:val="center"/>
        <w:outlineLvl w:val="2"/>
        <w:rPr>
          <w:rFonts w:asciiTheme="minorEastAsia" w:hAnsiTheme="minorEastAsia" w:eastAsiaTheme="minorEastAsia"/>
          <w:b/>
          <w:sz w:val="72"/>
          <w:highlight w:val="none"/>
        </w:rPr>
      </w:pPr>
      <w:r>
        <w:rPr>
          <w:rFonts w:hint="eastAsia" w:asciiTheme="minorEastAsia" w:hAnsiTheme="minorEastAsia" w:eastAsiaTheme="minorEastAsia"/>
          <w:b/>
          <w:sz w:val="72"/>
          <w:highlight w:val="none"/>
        </w:rPr>
        <w:t>件</w:t>
      </w:r>
    </w:p>
    <w:p w14:paraId="0429C414">
      <w:pPr>
        <w:spacing w:after="120" w:afterLines="50"/>
        <w:jc w:val="center"/>
        <w:rPr>
          <w:rFonts w:asciiTheme="minorEastAsia" w:hAnsiTheme="minorEastAsia" w:eastAsiaTheme="minorEastAsia"/>
          <w:b/>
          <w:sz w:val="72"/>
          <w:highlight w:val="none"/>
        </w:rPr>
      </w:pPr>
    </w:p>
    <w:p w14:paraId="0A2D788F">
      <w:pPr>
        <w:spacing w:after="120" w:afterLines="50" w:line="500" w:lineRule="exact"/>
        <w:rPr>
          <w:rFonts w:asciiTheme="minorEastAsia" w:hAnsiTheme="minorEastAsia" w:eastAsiaTheme="minorEastAsia"/>
          <w:b/>
          <w:sz w:val="72"/>
          <w:highlight w:val="none"/>
        </w:rPr>
      </w:pPr>
    </w:p>
    <w:p w14:paraId="385E019E">
      <w:pPr>
        <w:spacing w:after="120" w:afterLines="50" w:line="500" w:lineRule="exact"/>
        <w:jc w:val="center"/>
        <w:rPr>
          <w:rFonts w:asciiTheme="minorEastAsia" w:hAnsiTheme="minorEastAsia" w:eastAsiaTheme="minorEastAsia"/>
          <w:b/>
          <w:sz w:val="28"/>
          <w:szCs w:val="28"/>
          <w:highlight w:val="none"/>
        </w:rPr>
      </w:pPr>
    </w:p>
    <w:p w14:paraId="7910382A">
      <w:pPr>
        <w:tabs>
          <w:tab w:val="left" w:pos="2410"/>
        </w:tabs>
        <w:autoSpaceDE w:val="0"/>
        <w:autoSpaceDN w:val="0"/>
        <w:adjustRightInd w:val="0"/>
        <w:snapToGrid w:val="0"/>
        <w:spacing w:line="360" w:lineRule="auto"/>
        <w:ind w:firstLine="643" w:firstLineChars="200"/>
        <w:rPr>
          <w:rFonts w:ascii="宋体" w:hAnsi="宋体" w:eastAsia="宋体"/>
          <w:b/>
          <w:spacing w:val="20"/>
          <w:kern w:val="0"/>
          <w:sz w:val="32"/>
          <w:szCs w:val="32"/>
          <w:highlight w:val="none"/>
        </w:rPr>
      </w:pPr>
      <w:r>
        <w:rPr>
          <w:rFonts w:hint="eastAsia" w:asciiTheme="minorEastAsia" w:hAnsiTheme="minorEastAsia" w:eastAsiaTheme="minorEastAsia"/>
          <w:b/>
          <w:sz w:val="32"/>
          <w:highlight w:val="none"/>
        </w:rPr>
        <w:t>项目名称：</w:t>
      </w:r>
      <w:r>
        <w:rPr>
          <w:rFonts w:hint="eastAsia" w:asciiTheme="minorEastAsia" w:hAnsiTheme="minorEastAsia" w:eastAsiaTheme="minorEastAsia"/>
          <w:b/>
          <w:sz w:val="32"/>
          <w:highlight w:val="none"/>
          <w:u w:val="single"/>
        </w:rPr>
        <w:t xml:space="preserve">                  </w:t>
      </w:r>
    </w:p>
    <w:p w14:paraId="429927E2">
      <w:pPr>
        <w:tabs>
          <w:tab w:val="left" w:pos="2410"/>
        </w:tabs>
        <w:autoSpaceDE w:val="0"/>
        <w:autoSpaceDN w:val="0"/>
        <w:adjustRightInd w:val="0"/>
        <w:snapToGrid w:val="0"/>
        <w:spacing w:line="360" w:lineRule="auto"/>
        <w:ind w:firstLine="643" w:firstLineChars="200"/>
        <w:rPr>
          <w:rFonts w:asciiTheme="minorEastAsia" w:hAnsiTheme="minorEastAsia" w:eastAsiaTheme="minorEastAsia"/>
          <w:b/>
          <w:sz w:val="32"/>
          <w:highlight w:val="none"/>
          <w:u w:val="single"/>
        </w:rPr>
      </w:pPr>
      <w:r>
        <w:rPr>
          <w:rFonts w:hint="eastAsia" w:asciiTheme="minorEastAsia" w:hAnsiTheme="minorEastAsia" w:eastAsiaTheme="minorEastAsia"/>
          <w:b/>
          <w:sz w:val="32"/>
          <w:highlight w:val="none"/>
        </w:rPr>
        <w:t>项目编号：</w:t>
      </w:r>
      <w:r>
        <w:rPr>
          <w:rFonts w:hint="eastAsia" w:asciiTheme="minorEastAsia" w:hAnsiTheme="minorEastAsia" w:eastAsiaTheme="minorEastAsia"/>
          <w:b/>
          <w:sz w:val="32"/>
          <w:highlight w:val="none"/>
          <w:u w:val="single"/>
        </w:rPr>
        <w:t xml:space="preserve">                  </w:t>
      </w:r>
    </w:p>
    <w:p w14:paraId="477484B1">
      <w:pPr>
        <w:tabs>
          <w:tab w:val="left" w:pos="2410"/>
        </w:tabs>
        <w:autoSpaceDE w:val="0"/>
        <w:autoSpaceDN w:val="0"/>
        <w:adjustRightInd w:val="0"/>
        <w:snapToGrid w:val="0"/>
        <w:spacing w:line="360" w:lineRule="auto"/>
        <w:ind w:firstLine="643" w:firstLineChars="200"/>
        <w:rPr>
          <w:rFonts w:asciiTheme="minorEastAsia" w:hAnsiTheme="minorEastAsia" w:eastAsiaTheme="minorEastAsia"/>
          <w:b/>
          <w:sz w:val="32"/>
          <w:highlight w:val="none"/>
          <w:u w:val="single"/>
        </w:rPr>
      </w:pPr>
      <w:r>
        <w:rPr>
          <w:rFonts w:hint="eastAsia" w:asciiTheme="minorEastAsia" w:hAnsiTheme="minorEastAsia" w:eastAsiaTheme="minorEastAsia"/>
          <w:b/>
          <w:sz w:val="32"/>
          <w:highlight w:val="none"/>
        </w:rPr>
        <w:t>供 应 商：</w:t>
      </w:r>
      <w:r>
        <w:rPr>
          <w:rFonts w:hint="eastAsia" w:asciiTheme="minorEastAsia" w:hAnsiTheme="minorEastAsia" w:eastAsiaTheme="minorEastAsia"/>
          <w:b/>
          <w:sz w:val="32"/>
          <w:highlight w:val="none"/>
          <w:u w:val="single"/>
        </w:rPr>
        <w:t xml:space="preserve">                  </w:t>
      </w:r>
    </w:p>
    <w:p w14:paraId="6B30DAD2">
      <w:pPr>
        <w:spacing w:after="120" w:afterLines="50" w:line="500" w:lineRule="exact"/>
        <w:jc w:val="center"/>
        <w:rPr>
          <w:rFonts w:asciiTheme="minorEastAsia" w:hAnsiTheme="minorEastAsia" w:eastAsiaTheme="minorEastAsia"/>
          <w:b/>
          <w:sz w:val="32"/>
          <w:highlight w:val="none"/>
        </w:rPr>
      </w:pPr>
      <w:r>
        <w:rPr>
          <w:rFonts w:hint="eastAsia" w:asciiTheme="minorEastAsia" w:hAnsiTheme="minorEastAsia" w:eastAsiaTheme="minorEastAsia"/>
          <w:b/>
          <w:sz w:val="32"/>
          <w:highlight w:val="none"/>
          <w:u w:val="single"/>
        </w:rPr>
        <w:t xml:space="preserve">  </w:t>
      </w:r>
      <w:bookmarkStart w:id="251" w:name="_Toc8037"/>
      <w:r>
        <w:rPr>
          <w:rFonts w:hint="eastAsia" w:asciiTheme="minorEastAsia" w:hAnsiTheme="minorEastAsia" w:eastAsiaTheme="minorEastAsia"/>
          <w:b/>
          <w:sz w:val="32"/>
          <w:highlight w:val="none"/>
        </w:rPr>
        <w:t>年</w:t>
      </w:r>
      <w:r>
        <w:rPr>
          <w:rFonts w:hint="eastAsia" w:asciiTheme="minorEastAsia" w:hAnsiTheme="minorEastAsia" w:eastAsiaTheme="minorEastAsia"/>
          <w:b/>
          <w:sz w:val="32"/>
          <w:highlight w:val="none"/>
          <w:u w:val="single"/>
        </w:rPr>
        <w:t xml:space="preserve">  </w:t>
      </w:r>
      <w:r>
        <w:rPr>
          <w:rFonts w:hint="eastAsia" w:asciiTheme="minorEastAsia" w:hAnsiTheme="minorEastAsia" w:eastAsiaTheme="minorEastAsia"/>
          <w:b/>
          <w:sz w:val="32"/>
          <w:highlight w:val="none"/>
        </w:rPr>
        <w:t>月</w:t>
      </w:r>
      <w:r>
        <w:rPr>
          <w:rFonts w:hint="eastAsia" w:asciiTheme="minorEastAsia" w:hAnsiTheme="minorEastAsia" w:eastAsiaTheme="minorEastAsia"/>
          <w:b/>
          <w:sz w:val="32"/>
          <w:highlight w:val="none"/>
          <w:u w:val="single"/>
        </w:rPr>
        <w:t xml:space="preserve">  </w:t>
      </w:r>
      <w:r>
        <w:rPr>
          <w:rFonts w:hint="eastAsia" w:asciiTheme="minorEastAsia" w:hAnsiTheme="minorEastAsia" w:eastAsiaTheme="minorEastAsia"/>
          <w:b/>
          <w:sz w:val="32"/>
          <w:highlight w:val="none"/>
        </w:rPr>
        <w:t>日</w:t>
      </w:r>
      <w:bookmarkEnd w:id="251"/>
    </w:p>
    <w:p w14:paraId="50D9B524">
      <w:pPr>
        <w:widowControl/>
        <w:jc w:val="left"/>
        <w:rPr>
          <w:rFonts w:asciiTheme="minorEastAsia" w:hAnsiTheme="minorEastAsia" w:eastAsiaTheme="minorEastAsia"/>
          <w:b/>
          <w:sz w:val="28"/>
          <w:highlight w:val="none"/>
        </w:rPr>
      </w:pPr>
      <w:r>
        <w:rPr>
          <w:rFonts w:asciiTheme="minorEastAsia" w:hAnsiTheme="minorEastAsia" w:eastAsiaTheme="minorEastAsia"/>
          <w:b/>
          <w:sz w:val="28"/>
          <w:highlight w:val="none"/>
        </w:rPr>
        <w:br w:type="page"/>
      </w:r>
    </w:p>
    <w:p w14:paraId="40293295">
      <w:pPr>
        <w:spacing w:line="360" w:lineRule="auto"/>
        <w:jc w:val="center"/>
        <w:outlineLvl w:val="1"/>
        <w:rPr>
          <w:rFonts w:asciiTheme="minorEastAsia" w:hAnsiTheme="minorEastAsia" w:eastAsiaTheme="minorEastAsia"/>
          <w:b/>
          <w:sz w:val="24"/>
          <w:highlight w:val="none"/>
        </w:rPr>
      </w:pPr>
      <w:bookmarkStart w:id="252" w:name="_Toc461056631"/>
      <w:bookmarkStart w:id="253" w:name="_Toc461053086"/>
      <w:bookmarkStart w:id="254" w:name="_Toc12947"/>
      <w:bookmarkStart w:id="255" w:name="_Toc520983587"/>
      <w:bookmarkStart w:id="256" w:name="_Toc5881"/>
      <w:bookmarkStart w:id="257" w:name="_Toc26791"/>
      <w:r>
        <w:rPr>
          <w:rFonts w:hint="eastAsia" w:asciiTheme="minorEastAsia" w:hAnsiTheme="minorEastAsia" w:eastAsiaTheme="minorEastAsia"/>
          <w:b/>
          <w:sz w:val="24"/>
          <w:highlight w:val="none"/>
        </w:rPr>
        <w:t>一</w:t>
      </w:r>
      <w:bookmarkEnd w:id="252"/>
      <w:bookmarkEnd w:id="253"/>
      <w:r>
        <w:rPr>
          <w:rFonts w:hint="eastAsia" w:asciiTheme="minorEastAsia" w:hAnsiTheme="minorEastAsia" w:eastAsiaTheme="minorEastAsia"/>
          <w:b/>
          <w:sz w:val="24"/>
          <w:highlight w:val="none"/>
        </w:rPr>
        <w:t>、报价表格式</w:t>
      </w:r>
      <w:bookmarkEnd w:id="254"/>
      <w:bookmarkEnd w:id="255"/>
      <w:bookmarkEnd w:id="256"/>
      <w:bookmarkEnd w:id="257"/>
    </w:p>
    <w:p w14:paraId="218A6BCB">
      <w:pPr>
        <w:spacing w:before="120" w:beforeLines="50" w:after="120" w:afterLines="50" w:line="360" w:lineRule="auto"/>
        <w:jc w:val="left"/>
        <w:outlineLvl w:val="2"/>
        <w:rPr>
          <w:rFonts w:ascii="宋体" w:hAnsi="宋体" w:eastAsia="宋体"/>
          <w:b/>
          <w:sz w:val="24"/>
          <w:szCs w:val="28"/>
          <w:highlight w:val="none"/>
        </w:rPr>
      </w:pPr>
      <w:r>
        <w:rPr>
          <w:rFonts w:hint="eastAsia" w:ascii="宋体" w:hAnsi="宋体" w:eastAsia="宋体"/>
          <w:b/>
          <w:sz w:val="24"/>
          <w:szCs w:val="28"/>
          <w:highlight w:val="none"/>
        </w:rPr>
        <w:t>1-1 报价表</w:t>
      </w:r>
    </w:p>
    <w:p w14:paraId="57937FEE">
      <w:pPr>
        <w:snapToGrid w:val="0"/>
        <w:spacing w:line="360" w:lineRule="auto"/>
        <w:jc w:val="left"/>
        <w:rPr>
          <w:rFonts w:ascii="宋体" w:hAnsi="宋体" w:eastAsia="宋体"/>
          <w:b/>
          <w:sz w:val="24"/>
          <w:szCs w:val="28"/>
          <w:highlight w:val="none"/>
        </w:rPr>
      </w:pPr>
      <w:r>
        <w:rPr>
          <w:rFonts w:hint="eastAsia" w:ascii="宋体" w:hAnsi="宋体" w:eastAsia="宋体"/>
          <w:b/>
          <w:sz w:val="24"/>
          <w:szCs w:val="28"/>
          <w:highlight w:val="none"/>
        </w:rPr>
        <w:t>项目名称：</w:t>
      </w:r>
      <w:r>
        <w:rPr>
          <w:rFonts w:hint="eastAsia" w:ascii="宋体" w:hAnsi="宋体" w:eastAsia="宋体"/>
          <w:b/>
          <w:sz w:val="24"/>
          <w:szCs w:val="28"/>
          <w:highlight w:val="none"/>
          <w:u w:val="single"/>
        </w:rPr>
        <w:t xml:space="preserve">          </w:t>
      </w:r>
    </w:p>
    <w:p w14:paraId="3BB4D75A">
      <w:pPr>
        <w:snapToGrid w:val="0"/>
        <w:spacing w:after="120" w:afterLines="50" w:line="360" w:lineRule="auto"/>
        <w:jc w:val="left"/>
        <w:rPr>
          <w:rFonts w:ascii="宋体" w:hAnsi="宋体" w:eastAsia="宋体"/>
          <w:b/>
          <w:bCs/>
          <w:sz w:val="24"/>
          <w:szCs w:val="28"/>
          <w:highlight w:val="none"/>
          <w:u w:val="single"/>
        </w:rPr>
      </w:pPr>
      <w:r>
        <w:rPr>
          <w:rFonts w:hint="eastAsia" w:ascii="宋体" w:hAnsi="宋体" w:eastAsia="宋体"/>
          <w:b/>
          <w:sz w:val="24"/>
          <w:szCs w:val="28"/>
          <w:highlight w:val="none"/>
        </w:rPr>
        <w:t>项目编号：</w:t>
      </w:r>
      <w:r>
        <w:rPr>
          <w:rFonts w:hint="eastAsia" w:ascii="宋体" w:hAnsi="宋体" w:eastAsia="宋体"/>
          <w:b/>
          <w:sz w:val="24"/>
          <w:szCs w:val="28"/>
          <w:highlight w:val="none"/>
          <w:u w:val="single"/>
        </w:rPr>
        <w:t xml:space="preserve">          </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7"/>
        <w:gridCol w:w="6648"/>
      </w:tblGrid>
      <w:tr w14:paraId="56C26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0544FF61">
            <w:pPr>
              <w:spacing w:line="360" w:lineRule="auto"/>
              <w:jc w:val="center"/>
              <w:rPr>
                <w:rFonts w:ascii="宋体" w:hAnsi="宋体" w:eastAsia="宋体"/>
                <w:b/>
                <w:sz w:val="24"/>
                <w:highlight w:val="none"/>
              </w:rPr>
            </w:pPr>
            <w:r>
              <w:rPr>
                <w:rFonts w:hint="eastAsia" w:ascii="宋体" w:hAnsi="宋体" w:eastAsia="宋体"/>
                <w:b/>
                <w:sz w:val="24"/>
                <w:highlight w:val="none"/>
              </w:rPr>
              <w:t>供应商名称</w:t>
            </w:r>
          </w:p>
        </w:tc>
        <w:tc>
          <w:tcPr>
            <w:tcW w:w="3557" w:type="pct"/>
            <w:tcBorders>
              <w:left w:val="single" w:color="auto" w:sz="4" w:space="0"/>
            </w:tcBorders>
          </w:tcPr>
          <w:p w14:paraId="69DDEF5E">
            <w:pPr>
              <w:spacing w:line="360" w:lineRule="auto"/>
              <w:rPr>
                <w:rFonts w:ascii="宋体" w:hAnsi="宋体" w:eastAsia="宋体"/>
                <w:b/>
                <w:sz w:val="24"/>
                <w:highlight w:val="none"/>
              </w:rPr>
            </w:pPr>
          </w:p>
        </w:tc>
      </w:tr>
      <w:tr w14:paraId="06FC9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6A435E80">
            <w:pPr>
              <w:spacing w:line="360" w:lineRule="exact"/>
              <w:jc w:val="center"/>
              <w:rPr>
                <w:rFonts w:ascii="宋体" w:hAnsi="宋体" w:eastAsia="宋体"/>
                <w:b/>
                <w:sz w:val="24"/>
                <w:highlight w:val="none"/>
              </w:rPr>
            </w:pPr>
            <w:r>
              <w:rPr>
                <w:rFonts w:hint="eastAsia" w:ascii="宋体" w:hAnsi="宋体" w:eastAsia="宋体"/>
                <w:b/>
                <w:sz w:val="24"/>
                <w:highlight w:val="none"/>
              </w:rPr>
              <w:t>磋商范围</w:t>
            </w:r>
          </w:p>
        </w:tc>
        <w:tc>
          <w:tcPr>
            <w:tcW w:w="3557" w:type="pct"/>
            <w:tcBorders>
              <w:left w:val="single" w:color="auto" w:sz="4" w:space="0"/>
            </w:tcBorders>
            <w:vAlign w:val="center"/>
          </w:tcPr>
          <w:p w14:paraId="46D2E2DA">
            <w:pPr>
              <w:widowControl/>
              <w:spacing w:line="360" w:lineRule="exact"/>
              <w:rPr>
                <w:rFonts w:ascii="宋体" w:hAnsi="宋体" w:eastAsia="宋体"/>
                <w:b/>
                <w:sz w:val="24"/>
                <w:highlight w:val="none"/>
              </w:rPr>
            </w:pPr>
            <w:r>
              <w:rPr>
                <w:rFonts w:hint="eastAsia" w:asciiTheme="minorEastAsia" w:hAnsiTheme="minorEastAsia" w:eastAsiaTheme="minorEastAsia"/>
                <w:sz w:val="24"/>
                <w:szCs w:val="28"/>
                <w:highlight w:val="none"/>
              </w:rPr>
              <w:t>全部 / 第</w:t>
            </w:r>
            <w:r>
              <w:rPr>
                <w:rFonts w:hint="eastAsia" w:asciiTheme="minorEastAsia" w:hAnsiTheme="minorEastAsia" w:eastAsiaTheme="minorEastAsia"/>
                <w:sz w:val="24"/>
                <w:szCs w:val="28"/>
                <w:highlight w:val="none"/>
                <w:u w:val="single"/>
              </w:rPr>
              <w:t xml:space="preserve">   </w:t>
            </w:r>
            <w:r>
              <w:rPr>
                <w:rFonts w:hint="eastAsia" w:asciiTheme="minorEastAsia" w:hAnsiTheme="minorEastAsia" w:eastAsiaTheme="minorEastAsia"/>
                <w:sz w:val="24"/>
                <w:szCs w:val="28"/>
                <w:highlight w:val="none"/>
              </w:rPr>
              <w:t>包</w:t>
            </w:r>
          </w:p>
        </w:tc>
      </w:tr>
      <w:tr w14:paraId="368D4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vAlign w:val="center"/>
          </w:tcPr>
          <w:p w14:paraId="63DD9624">
            <w:pPr>
              <w:spacing w:line="360" w:lineRule="auto"/>
              <w:jc w:val="center"/>
              <w:rPr>
                <w:rFonts w:ascii="宋体" w:hAnsi="宋体" w:eastAsia="宋体"/>
                <w:b/>
                <w:sz w:val="24"/>
                <w:highlight w:val="none"/>
              </w:rPr>
            </w:pPr>
            <w:r>
              <w:rPr>
                <w:rFonts w:hint="eastAsia" w:ascii="宋体" w:hAnsi="宋体" w:eastAsia="宋体"/>
                <w:b/>
                <w:sz w:val="24"/>
                <w:highlight w:val="none"/>
              </w:rPr>
              <w:t>响应报价</w:t>
            </w:r>
          </w:p>
        </w:tc>
        <w:tc>
          <w:tcPr>
            <w:tcW w:w="3557" w:type="pct"/>
            <w:vAlign w:val="center"/>
          </w:tcPr>
          <w:p w14:paraId="301DD25D">
            <w:pPr>
              <w:snapToGrid w:val="0"/>
              <w:spacing w:line="360" w:lineRule="auto"/>
              <w:rPr>
                <w:rFonts w:hint="default" w:ascii="宋体" w:hAnsi="宋体" w:eastAsia="宋体"/>
                <w:b/>
                <w:sz w:val="24"/>
                <w:highlight w:val="none"/>
                <w:lang w:val="en-US" w:eastAsia="zh-CN"/>
              </w:rPr>
            </w:pPr>
            <w:r>
              <w:rPr>
                <w:rFonts w:hint="eastAsia" w:ascii="宋体" w:hAnsi="宋体" w:eastAsia="宋体"/>
                <w:b/>
                <w:sz w:val="24"/>
                <w:highlight w:val="none"/>
                <w:lang w:val="en-US" w:eastAsia="zh-CN"/>
              </w:rPr>
              <w:t>人民币：</w:t>
            </w:r>
            <w:r>
              <w:rPr>
                <w:rFonts w:hint="eastAsia" w:ascii="宋体" w:hAnsi="宋体" w:eastAsia="宋体"/>
                <w:b/>
                <w:sz w:val="24"/>
                <w:highlight w:val="none"/>
                <w:u w:val="single"/>
                <w:lang w:val="en-US" w:eastAsia="zh-CN"/>
              </w:rPr>
              <w:t xml:space="preserve">          </w:t>
            </w:r>
            <w:r>
              <w:rPr>
                <w:rFonts w:hint="eastAsia" w:ascii="宋体" w:hAnsi="宋体" w:eastAsia="宋体"/>
                <w:b/>
                <w:sz w:val="24"/>
                <w:highlight w:val="none"/>
                <w:lang w:val="en-US" w:eastAsia="zh-CN"/>
              </w:rPr>
              <w:t>元</w:t>
            </w:r>
          </w:p>
        </w:tc>
      </w:tr>
      <w:tr w14:paraId="2FF78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jc w:val="center"/>
        </w:trPr>
        <w:tc>
          <w:tcPr>
            <w:tcW w:w="1443" w:type="pct"/>
            <w:vAlign w:val="center"/>
          </w:tcPr>
          <w:p w14:paraId="1E0D35DB">
            <w:pPr>
              <w:spacing w:line="360" w:lineRule="auto"/>
              <w:jc w:val="center"/>
              <w:rPr>
                <w:rFonts w:ascii="宋体" w:hAnsi="宋体" w:eastAsia="宋体"/>
                <w:b/>
                <w:sz w:val="24"/>
                <w:highlight w:val="none"/>
              </w:rPr>
            </w:pPr>
            <w:r>
              <w:rPr>
                <w:rFonts w:hint="eastAsia" w:ascii="宋体" w:hAnsi="宋体" w:eastAsia="宋体"/>
                <w:b/>
                <w:sz w:val="24"/>
                <w:highlight w:val="none"/>
              </w:rPr>
              <w:t>备注说明</w:t>
            </w:r>
          </w:p>
        </w:tc>
        <w:tc>
          <w:tcPr>
            <w:tcW w:w="3557" w:type="pct"/>
          </w:tcPr>
          <w:p w14:paraId="4ED8CAB7">
            <w:pPr>
              <w:spacing w:line="360" w:lineRule="auto"/>
              <w:rPr>
                <w:rFonts w:ascii="宋体" w:hAnsi="宋体" w:eastAsia="宋体"/>
                <w:b/>
                <w:sz w:val="24"/>
                <w:highlight w:val="none"/>
              </w:rPr>
            </w:pPr>
          </w:p>
        </w:tc>
      </w:tr>
    </w:tbl>
    <w:p w14:paraId="3BF651D6">
      <w:pPr>
        <w:spacing w:line="360" w:lineRule="auto"/>
        <w:ind w:firstLine="4800" w:firstLineChars="2000"/>
        <w:rPr>
          <w:rFonts w:ascii="宋体" w:hAnsi="宋体" w:eastAsia="宋体"/>
          <w:sz w:val="24"/>
          <w:highlight w:val="none"/>
        </w:rPr>
      </w:pPr>
      <w:r>
        <w:rPr>
          <w:rFonts w:hint="eastAsia" w:ascii="宋体" w:hAnsi="宋体" w:eastAsia="宋体"/>
          <w:sz w:val="24"/>
          <w:highlight w:val="none"/>
        </w:rPr>
        <w:t>供应商电子签章：</w:t>
      </w:r>
      <w:r>
        <w:rPr>
          <w:rFonts w:hint="eastAsia" w:ascii="宋体" w:hAnsi="宋体" w:eastAsia="宋体"/>
          <w:sz w:val="24"/>
          <w:highlight w:val="none"/>
          <w:u w:val="single"/>
        </w:rPr>
        <w:t xml:space="preserve">             </w:t>
      </w:r>
    </w:p>
    <w:p w14:paraId="5BD19193">
      <w:pPr>
        <w:spacing w:line="360" w:lineRule="auto"/>
        <w:ind w:firstLine="4800" w:firstLineChars="2000"/>
        <w:rPr>
          <w:rFonts w:ascii="宋体" w:hAnsi="宋体" w:eastAsia="宋体"/>
          <w:sz w:val="24"/>
          <w:highlight w:val="none"/>
          <w:u w:val="single"/>
        </w:rPr>
      </w:pPr>
      <w:r>
        <w:rPr>
          <w:rFonts w:hint="eastAsia" w:ascii="宋体" w:hAnsi="宋体" w:eastAsia="宋体"/>
          <w:sz w:val="24"/>
          <w:highlight w:val="none"/>
        </w:rPr>
        <w:t>日          期：</w:t>
      </w:r>
      <w:r>
        <w:rPr>
          <w:rFonts w:hint="eastAsia" w:ascii="宋体" w:hAnsi="宋体" w:eastAsia="宋体"/>
          <w:sz w:val="24"/>
          <w:highlight w:val="none"/>
          <w:u w:val="single"/>
        </w:rPr>
        <w:t xml:space="preserve">             </w:t>
      </w:r>
    </w:p>
    <w:p w14:paraId="3DD8ED6F">
      <w:pPr>
        <w:adjustRightInd w:val="0"/>
        <w:snapToGrid w:val="0"/>
        <w:spacing w:line="360" w:lineRule="auto"/>
        <w:rPr>
          <w:rFonts w:ascii="宋体" w:hAnsi="宋体" w:eastAsia="宋体"/>
          <w:b/>
          <w:bCs/>
          <w:sz w:val="24"/>
          <w:szCs w:val="28"/>
          <w:highlight w:val="none"/>
        </w:rPr>
      </w:pPr>
      <w:r>
        <w:rPr>
          <w:rFonts w:hint="eastAsia" w:ascii="宋体" w:hAnsi="宋体" w:eastAsia="宋体"/>
          <w:b/>
          <w:bCs/>
          <w:sz w:val="24"/>
          <w:szCs w:val="28"/>
          <w:highlight w:val="none"/>
        </w:rPr>
        <w:t>注：</w:t>
      </w:r>
    </w:p>
    <w:p w14:paraId="6B1F3EE7">
      <w:pPr>
        <w:adjustRightInd w:val="0"/>
        <w:snapToGrid w:val="0"/>
        <w:spacing w:line="360" w:lineRule="auto"/>
        <w:ind w:firstLine="482" w:firstLineChars="200"/>
        <w:rPr>
          <w:rFonts w:ascii="宋体" w:hAnsi="宋体" w:eastAsia="宋体"/>
          <w:sz w:val="24"/>
          <w:highlight w:val="none"/>
        </w:rPr>
      </w:pPr>
      <w:r>
        <w:rPr>
          <w:rFonts w:hint="eastAsia" w:ascii="宋体" w:hAnsi="宋体" w:eastAsia="宋体"/>
          <w:b/>
          <w:bCs/>
          <w:sz w:val="24"/>
          <w:szCs w:val="28"/>
          <w:highlight w:val="none"/>
        </w:rPr>
        <w:t>1.本表内容根据磋商文件要求包括了服务及其配套的设计、采购、制造、检测、试验、运输、保险、仓储、税费以及现场落地、安装及安装耗损、调试、培训、技术服务（包括技术资料、图纸的提供）质保期内的售后服务保障等所有费用。</w:t>
      </w:r>
    </w:p>
    <w:p w14:paraId="6F7624AF">
      <w:pPr>
        <w:adjustRightInd w:val="0"/>
        <w:snapToGrid w:val="0"/>
        <w:spacing w:line="360" w:lineRule="auto"/>
        <w:ind w:firstLine="482" w:firstLineChars="200"/>
        <w:rPr>
          <w:rFonts w:ascii="宋体" w:hAnsi="宋体" w:eastAsia="宋体"/>
          <w:b/>
          <w:bCs/>
          <w:sz w:val="24"/>
          <w:szCs w:val="28"/>
          <w:highlight w:val="none"/>
        </w:rPr>
      </w:pPr>
      <w:r>
        <w:rPr>
          <w:rFonts w:hint="eastAsia" w:ascii="宋体" w:hAnsi="宋体" w:eastAsia="宋体"/>
          <w:b/>
          <w:bCs/>
          <w:sz w:val="24"/>
          <w:szCs w:val="28"/>
          <w:highlight w:val="none"/>
        </w:rPr>
        <w:t>2.特殊事项在备注中注明。</w:t>
      </w:r>
    </w:p>
    <w:p w14:paraId="1410F3D0">
      <w:pPr>
        <w:adjustRightInd w:val="0"/>
        <w:snapToGrid w:val="0"/>
        <w:spacing w:line="360" w:lineRule="auto"/>
        <w:ind w:firstLine="482" w:firstLineChars="200"/>
        <w:rPr>
          <w:rFonts w:ascii="宋体" w:hAnsi="宋体" w:eastAsia="宋体"/>
          <w:b/>
          <w:bCs/>
          <w:sz w:val="24"/>
          <w:szCs w:val="28"/>
          <w:highlight w:val="none"/>
        </w:rPr>
      </w:pPr>
      <w:r>
        <w:rPr>
          <w:rFonts w:hint="eastAsia" w:ascii="宋体" w:hAnsi="宋体" w:eastAsia="宋体"/>
          <w:b/>
          <w:bCs/>
          <w:sz w:val="24"/>
          <w:szCs w:val="28"/>
          <w:highlight w:val="none"/>
        </w:rPr>
        <w:t>3.表中大写金额与小写金额不一致的，以大写金额为准。</w:t>
      </w:r>
    </w:p>
    <w:p w14:paraId="5404C0C5">
      <w:pPr>
        <w:widowControl/>
        <w:jc w:val="left"/>
        <w:rPr>
          <w:rFonts w:ascii="宋体" w:hAnsi="宋体" w:eastAsia="宋体"/>
          <w:b/>
          <w:bCs/>
          <w:sz w:val="24"/>
          <w:szCs w:val="28"/>
          <w:highlight w:val="none"/>
        </w:rPr>
      </w:pPr>
      <w:r>
        <w:rPr>
          <w:rFonts w:ascii="宋体" w:hAnsi="宋体" w:eastAsia="宋体"/>
          <w:b/>
          <w:bCs/>
          <w:sz w:val="24"/>
          <w:szCs w:val="28"/>
          <w:highlight w:val="none"/>
        </w:rPr>
        <w:br w:type="page"/>
      </w:r>
    </w:p>
    <w:p w14:paraId="6BC9BECF">
      <w:pPr>
        <w:spacing w:before="120" w:beforeLines="50" w:after="120" w:afterLines="50" w:line="360" w:lineRule="auto"/>
        <w:jc w:val="left"/>
        <w:outlineLvl w:val="2"/>
        <w:rPr>
          <w:rFonts w:hint="eastAsia" w:ascii="宋体" w:hAnsi="宋体" w:eastAsia="宋体"/>
          <w:b/>
          <w:sz w:val="24"/>
          <w:szCs w:val="28"/>
          <w:highlight w:val="none"/>
        </w:rPr>
      </w:pPr>
      <w:r>
        <w:rPr>
          <w:rFonts w:hint="eastAsia" w:ascii="宋体" w:hAnsi="宋体" w:eastAsia="宋体"/>
          <w:b/>
          <w:sz w:val="24"/>
          <w:szCs w:val="28"/>
          <w:highlight w:val="none"/>
        </w:rPr>
        <w:t>1-2 分项报价明细表</w:t>
      </w:r>
    </w:p>
    <w:tbl>
      <w:tblPr>
        <w:tblStyle w:val="2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4"/>
        <w:gridCol w:w="3251"/>
        <w:gridCol w:w="829"/>
        <w:gridCol w:w="1244"/>
        <w:gridCol w:w="1554"/>
        <w:gridCol w:w="1587"/>
      </w:tblGrid>
      <w:tr w14:paraId="62044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tcPr>
          <w:p w14:paraId="153A8665">
            <w:pPr>
              <w:spacing w:line="44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序号</w:t>
            </w:r>
          </w:p>
        </w:tc>
        <w:tc>
          <w:tcPr>
            <w:tcW w:w="1740" w:type="pct"/>
          </w:tcPr>
          <w:p w14:paraId="422FBE39">
            <w:pPr>
              <w:spacing w:line="44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名称</w:t>
            </w:r>
          </w:p>
        </w:tc>
        <w:tc>
          <w:tcPr>
            <w:tcW w:w="444" w:type="pct"/>
          </w:tcPr>
          <w:p w14:paraId="3EBFF955">
            <w:pPr>
              <w:spacing w:line="44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数量</w:t>
            </w:r>
          </w:p>
        </w:tc>
        <w:tc>
          <w:tcPr>
            <w:tcW w:w="666" w:type="pct"/>
          </w:tcPr>
          <w:p w14:paraId="690A481B">
            <w:pPr>
              <w:spacing w:line="44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单位</w:t>
            </w:r>
          </w:p>
        </w:tc>
        <w:tc>
          <w:tcPr>
            <w:tcW w:w="831" w:type="pct"/>
          </w:tcPr>
          <w:p w14:paraId="1D36CB19">
            <w:pPr>
              <w:spacing w:line="44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单价/万元</w:t>
            </w:r>
          </w:p>
        </w:tc>
        <w:tc>
          <w:tcPr>
            <w:tcW w:w="849" w:type="pct"/>
          </w:tcPr>
          <w:p w14:paraId="39304164">
            <w:pPr>
              <w:spacing w:line="44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小计</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万元</w:t>
            </w:r>
            <w:r>
              <w:rPr>
                <w:rFonts w:hint="eastAsia" w:ascii="宋体" w:hAnsi="宋体" w:eastAsia="宋体" w:cs="宋体"/>
                <w:sz w:val="24"/>
                <w:szCs w:val="24"/>
                <w:highlight w:val="none"/>
                <w:lang w:eastAsia="zh-CN"/>
              </w:rPr>
              <w:t>）</w:t>
            </w:r>
          </w:p>
        </w:tc>
      </w:tr>
      <w:tr w14:paraId="5D2AB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Align w:val="center"/>
          </w:tcPr>
          <w:p w14:paraId="3F04B81B">
            <w:pPr>
              <w:widowControl/>
              <w:spacing w:line="440" w:lineRule="exact"/>
              <w:jc w:val="center"/>
              <w:textAlignment w:val="center"/>
              <w:rPr>
                <w:rFonts w:ascii="宋体" w:hAnsi="宋体" w:eastAsia="宋体" w:cs="宋体"/>
                <w:sz w:val="24"/>
                <w:szCs w:val="24"/>
                <w:highlight w:val="none"/>
              </w:rPr>
            </w:pPr>
            <w:r>
              <w:rPr>
                <w:rFonts w:hint="eastAsia" w:ascii="宋体" w:hAnsi="宋体" w:eastAsia="宋体" w:cs="宋体"/>
                <w:sz w:val="24"/>
                <w:szCs w:val="24"/>
                <w:highlight w:val="none"/>
              </w:rPr>
              <w:t>1</w:t>
            </w:r>
          </w:p>
        </w:tc>
        <w:tc>
          <w:tcPr>
            <w:tcW w:w="1740" w:type="pct"/>
            <w:vAlign w:val="center"/>
          </w:tcPr>
          <w:p w14:paraId="779AFBC7">
            <w:pPr>
              <w:widowControl/>
              <w:spacing w:line="440" w:lineRule="exact"/>
              <w:jc w:val="center"/>
              <w:textAlignment w:val="center"/>
              <w:rPr>
                <w:rFonts w:ascii="宋体" w:hAnsi="宋体" w:eastAsia="宋体" w:cs="宋体"/>
                <w:sz w:val="24"/>
                <w:szCs w:val="24"/>
                <w:highlight w:val="none"/>
              </w:rPr>
            </w:pPr>
            <w:r>
              <w:rPr>
                <w:rFonts w:hint="eastAsia" w:ascii="宋体" w:hAnsi="宋体" w:eastAsia="宋体" w:cs="宋体"/>
                <w:sz w:val="24"/>
                <w:szCs w:val="24"/>
                <w:highlight w:val="none"/>
              </w:rPr>
              <w:t>信息系统等保测评（二级）</w:t>
            </w:r>
          </w:p>
        </w:tc>
        <w:tc>
          <w:tcPr>
            <w:tcW w:w="444" w:type="pct"/>
          </w:tcPr>
          <w:p w14:paraId="4EE830EC">
            <w:pPr>
              <w:widowControl/>
              <w:spacing w:line="440" w:lineRule="exact"/>
              <w:jc w:val="center"/>
              <w:textAlignment w:val="center"/>
              <w:rPr>
                <w:rFonts w:ascii="宋体" w:hAnsi="宋体" w:eastAsia="宋体" w:cs="宋体"/>
                <w:sz w:val="24"/>
                <w:szCs w:val="24"/>
                <w:highlight w:val="none"/>
              </w:rPr>
            </w:pPr>
            <w:r>
              <w:rPr>
                <w:rFonts w:hint="eastAsia" w:ascii="宋体" w:hAnsi="宋体" w:eastAsia="宋体" w:cs="宋体"/>
                <w:sz w:val="24"/>
                <w:szCs w:val="24"/>
                <w:highlight w:val="none"/>
              </w:rPr>
              <w:t>12</w:t>
            </w:r>
          </w:p>
        </w:tc>
        <w:tc>
          <w:tcPr>
            <w:tcW w:w="666" w:type="pct"/>
          </w:tcPr>
          <w:p w14:paraId="72A0BF96">
            <w:pPr>
              <w:widowControl/>
              <w:spacing w:line="440" w:lineRule="exact"/>
              <w:jc w:val="center"/>
              <w:textAlignment w:val="center"/>
              <w:rPr>
                <w:rFonts w:ascii="宋体" w:hAnsi="宋体" w:eastAsia="宋体" w:cs="宋体"/>
                <w:sz w:val="24"/>
                <w:szCs w:val="24"/>
                <w:highlight w:val="none"/>
              </w:rPr>
            </w:pPr>
            <w:r>
              <w:rPr>
                <w:rFonts w:hint="eastAsia" w:ascii="宋体" w:hAnsi="宋体" w:eastAsia="宋体" w:cs="宋体"/>
                <w:sz w:val="24"/>
                <w:szCs w:val="24"/>
                <w:highlight w:val="none"/>
              </w:rPr>
              <w:t>项</w:t>
            </w:r>
          </w:p>
        </w:tc>
        <w:tc>
          <w:tcPr>
            <w:tcW w:w="831" w:type="pct"/>
          </w:tcPr>
          <w:p w14:paraId="49DBB7B7">
            <w:pPr>
              <w:widowControl/>
              <w:spacing w:line="440" w:lineRule="exact"/>
              <w:jc w:val="center"/>
              <w:textAlignment w:val="center"/>
              <w:rPr>
                <w:rFonts w:ascii="宋体" w:hAnsi="宋体" w:eastAsia="宋体" w:cs="宋体"/>
                <w:kern w:val="0"/>
                <w:sz w:val="24"/>
                <w:szCs w:val="24"/>
                <w:highlight w:val="none"/>
              </w:rPr>
            </w:pPr>
          </w:p>
        </w:tc>
        <w:tc>
          <w:tcPr>
            <w:tcW w:w="849" w:type="pct"/>
          </w:tcPr>
          <w:p w14:paraId="79755FDF">
            <w:pPr>
              <w:widowControl/>
              <w:spacing w:line="440" w:lineRule="exact"/>
              <w:jc w:val="center"/>
              <w:textAlignment w:val="center"/>
              <w:rPr>
                <w:rFonts w:ascii="宋体" w:hAnsi="宋体" w:eastAsia="宋体" w:cs="宋体"/>
                <w:kern w:val="0"/>
                <w:sz w:val="24"/>
                <w:szCs w:val="24"/>
                <w:highlight w:val="none"/>
              </w:rPr>
            </w:pPr>
          </w:p>
        </w:tc>
      </w:tr>
      <w:tr w14:paraId="67B50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Align w:val="center"/>
          </w:tcPr>
          <w:p w14:paraId="3F4E0053">
            <w:pPr>
              <w:widowControl/>
              <w:spacing w:line="440" w:lineRule="exact"/>
              <w:jc w:val="center"/>
              <w:textAlignment w:val="center"/>
              <w:rPr>
                <w:rFonts w:ascii="宋体" w:hAnsi="宋体" w:eastAsia="宋体" w:cs="宋体"/>
                <w:sz w:val="24"/>
                <w:szCs w:val="24"/>
                <w:highlight w:val="none"/>
              </w:rPr>
            </w:pPr>
            <w:r>
              <w:rPr>
                <w:rFonts w:hint="eastAsia" w:ascii="宋体" w:hAnsi="宋体" w:eastAsia="宋体" w:cs="宋体"/>
                <w:sz w:val="24"/>
                <w:szCs w:val="24"/>
                <w:highlight w:val="none"/>
              </w:rPr>
              <w:t>2</w:t>
            </w:r>
          </w:p>
        </w:tc>
        <w:tc>
          <w:tcPr>
            <w:tcW w:w="1740" w:type="pct"/>
            <w:vAlign w:val="center"/>
          </w:tcPr>
          <w:p w14:paraId="4CCF1C5E">
            <w:pPr>
              <w:widowControl/>
              <w:spacing w:line="440" w:lineRule="exact"/>
              <w:jc w:val="center"/>
              <w:textAlignment w:val="center"/>
              <w:rPr>
                <w:rFonts w:ascii="宋体" w:hAnsi="宋体" w:eastAsia="宋体" w:cs="宋体"/>
                <w:sz w:val="24"/>
                <w:szCs w:val="24"/>
                <w:highlight w:val="none"/>
              </w:rPr>
            </w:pPr>
            <w:r>
              <w:rPr>
                <w:rFonts w:hint="eastAsia" w:ascii="宋体" w:hAnsi="宋体" w:eastAsia="宋体" w:cs="宋体"/>
                <w:sz w:val="24"/>
                <w:szCs w:val="24"/>
                <w:highlight w:val="none"/>
              </w:rPr>
              <w:t>信息系统安全托管服务</w:t>
            </w:r>
          </w:p>
        </w:tc>
        <w:tc>
          <w:tcPr>
            <w:tcW w:w="444" w:type="pct"/>
          </w:tcPr>
          <w:p w14:paraId="28D06FF9">
            <w:pPr>
              <w:widowControl/>
              <w:spacing w:line="440" w:lineRule="exact"/>
              <w:jc w:val="center"/>
              <w:textAlignment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1</w:t>
            </w:r>
          </w:p>
        </w:tc>
        <w:tc>
          <w:tcPr>
            <w:tcW w:w="666" w:type="pct"/>
          </w:tcPr>
          <w:p w14:paraId="7B6FE813">
            <w:pPr>
              <w:widowControl/>
              <w:spacing w:line="440" w:lineRule="exact"/>
              <w:jc w:val="center"/>
              <w:textAlignment w:val="center"/>
              <w:rPr>
                <w:rFonts w:ascii="宋体" w:hAnsi="宋体" w:eastAsia="宋体" w:cs="宋体"/>
                <w:kern w:val="0"/>
                <w:sz w:val="24"/>
                <w:szCs w:val="24"/>
                <w:highlight w:val="none"/>
              </w:rPr>
            </w:pPr>
            <w:r>
              <w:rPr>
                <w:rFonts w:hint="eastAsia" w:ascii="宋体" w:hAnsi="宋体" w:eastAsia="宋体" w:cs="宋体"/>
                <w:sz w:val="24"/>
                <w:szCs w:val="24"/>
                <w:highlight w:val="none"/>
              </w:rPr>
              <w:t>项</w:t>
            </w:r>
          </w:p>
        </w:tc>
        <w:tc>
          <w:tcPr>
            <w:tcW w:w="831" w:type="pct"/>
          </w:tcPr>
          <w:p w14:paraId="168699BC">
            <w:pPr>
              <w:widowControl/>
              <w:spacing w:line="440" w:lineRule="exact"/>
              <w:jc w:val="center"/>
              <w:textAlignment w:val="center"/>
              <w:rPr>
                <w:rFonts w:ascii="宋体" w:hAnsi="宋体" w:eastAsia="宋体" w:cs="宋体"/>
                <w:kern w:val="0"/>
                <w:sz w:val="24"/>
                <w:szCs w:val="24"/>
                <w:highlight w:val="none"/>
              </w:rPr>
            </w:pPr>
          </w:p>
        </w:tc>
        <w:tc>
          <w:tcPr>
            <w:tcW w:w="849" w:type="pct"/>
          </w:tcPr>
          <w:p w14:paraId="0CB8B164">
            <w:pPr>
              <w:widowControl/>
              <w:spacing w:line="440" w:lineRule="exact"/>
              <w:jc w:val="center"/>
              <w:textAlignment w:val="center"/>
              <w:rPr>
                <w:rFonts w:ascii="宋体" w:hAnsi="宋体" w:eastAsia="宋体" w:cs="宋体"/>
                <w:kern w:val="0"/>
                <w:sz w:val="24"/>
                <w:szCs w:val="24"/>
                <w:highlight w:val="none"/>
              </w:rPr>
            </w:pPr>
          </w:p>
        </w:tc>
      </w:tr>
      <w:tr w14:paraId="7354D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Align w:val="center"/>
          </w:tcPr>
          <w:p w14:paraId="6622454C">
            <w:pPr>
              <w:widowControl/>
              <w:spacing w:line="440" w:lineRule="exact"/>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c>
          <w:tcPr>
            <w:tcW w:w="1740" w:type="pct"/>
            <w:vAlign w:val="center"/>
          </w:tcPr>
          <w:p w14:paraId="728338C9">
            <w:pPr>
              <w:widowControl/>
              <w:spacing w:line="440" w:lineRule="exact"/>
              <w:jc w:val="center"/>
              <w:textAlignment w:val="center"/>
              <w:rPr>
                <w:rFonts w:hint="eastAsia" w:ascii="宋体" w:hAnsi="宋体" w:eastAsia="宋体" w:cs="宋体"/>
                <w:sz w:val="24"/>
                <w:szCs w:val="24"/>
                <w:highlight w:val="none"/>
              </w:rPr>
            </w:pPr>
          </w:p>
        </w:tc>
        <w:tc>
          <w:tcPr>
            <w:tcW w:w="444" w:type="pct"/>
          </w:tcPr>
          <w:p w14:paraId="1B998B88">
            <w:pPr>
              <w:widowControl/>
              <w:spacing w:line="440" w:lineRule="exact"/>
              <w:jc w:val="center"/>
              <w:textAlignment w:val="center"/>
              <w:rPr>
                <w:rFonts w:hint="eastAsia" w:ascii="宋体" w:hAnsi="宋体" w:eastAsia="宋体" w:cs="宋体"/>
                <w:kern w:val="0"/>
                <w:sz w:val="24"/>
                <w:szCs w:val="24"/>
                <w:highlight w:val="none"/>
              </w:rPr>
            </w:pPr>
          </w:p>
        </w:tc>
        <w:tc>
          <w:tcPr>
            <w:tcW w:w="666" w:type="pct"/>
          </w:tcPr>
          <w:p w14:paraId="4023DE92">
            <w:pPr>
              <w:widowControl/>
              <w:spacing w:line="440" w:lineRule="exact"/>
              <w:jc w:val="center"/>
              <w:textAlignment w:val="center"/>
              <w:rPr>
                <w:rFonts w:hint="eastAsia" w:ascii="宋体" w:hAnsi="宋体" w:eastAsia="宋体" w:cs="宋体"/>
                <w:sz w:val="24"/>
                <w:szCs w:val="24"/>
                <w:highlight w:val="none"/>
              </w:rPr>
            </w:pPr>
          </w:p>
        </w:tc>
        <w:tc>
          <w:tcPr>
            <w:tcW w:w="831" w:type="pct"/>
          </w:tcPr>
          <w:p w14:paraId="5E95F900">
            <w:pPr>
              <w:widowControl/>
              <w:spacing w:line="440" w:lineRule="exact"/>
              <w:jc w:val="center"/>
              <w:textAlignment w:val="center"/>
              <w:rPr>
                <w:rFonts w:ascii="宋体" w:hAnsi="宋体" w:eastAsia="宋体" w:cs="宋体"/>
                <w:kern w:val="0"/>
                <w:sz w:val="24"/>
                <w:szCs w:val="24"/>
                <w:highlight w:val="none"/>
              </w:rPr>
            </w:pPr>
          </w:p>
        </w:tc>
        <w:tc>
          <w:tcPr>
            <w:tcW w:w="849" w:type="pct"/>
          </w:tcPr>
          <w:p w14:paraId="0C334DD2">
            <w:pPr>
              <w:widowControl/>
              <w:spacing w:line="440" w:lineRule="exact"/>
              <w:jc w:val="center"/>
              <w:textAlignment w:val="center"/>
              <w:rPr>
                <w:rFonts w:ascii="宋体" w:hAnsi="宋体" w:eastAsia="宋体" w:cs="宋体"/>
                <w:kern w:val="0"/>
                <w:sz w:val="24"/>
                <w:szCs w:val="24"/>
                <w:highlight w:val="none"/>
              </w:rPr>
            </w:pPr>
          </w:p>
        </w:tc>
      </w:tr>
      <w:tr w14:paraId="5AEA2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Align w:val="center"/>
          </w:tcPr>
          <w:p w14:paraId="73211EFA">
            <w:pPr>
              <w:widowControl/>
              <w:spacing w:line="440" w:lineRule="exact"/>
              <w:jc w:val="center"/>
              <w:textAlignment w:val="center"/>
              <w:rPr>
                <w:rFonts w:hint="eastAsia" w:ascii="宋体" w:hAnsi="宋体" w:eastAsia="宋体" w:cs="宋体"/>
                <w:sz w:val="24"/>
                <w:szCs w:val="24"/>
                <w:highlight w:val="none"/>
                <w:lang w:val="en-US" w:eastAsia="zh-CN"/>
              </w:rPr>
            </w:pPr>
          </w:p>
        </w:tc>
        <w:tc>
          <w:tcPr>
            <w:tcW w:w="1740" w:type="pct"/>
            <w:vAlign w:val="center"/>
          </w:tcPr>
          <w:p w14:paraId="2D6C73ED">
            <w:pPr>
              <w:widowControl/>
              <w:spacing w:line="440" w:lineRule="exact"/>
              <w:jc w:val="center"/>
              <w:textAlignment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其他费用</w:t>
            </w:r>
          </w:p>
        </w:tc>
        <w:tc>
          <w:tcPr>
            <w:tcW w:w="444" w:type="pct"/>
          </w:tcPr>
          <w:p w14:paraId="515F8DE3">
            <w:pPr>
              <w:widowControl/>
              <w:spacing w:line="440" w:lineRule="exact"/>
              <w:jc w:val="center"/>
              <w:textAlignment w:val="center"/>
              <w:rPr>
                <w:rFonts w:hint="eastAsia" w:ascii="宋体" w:hAnsi="宋体" w:eastAsia="宋体" w:cs="宋体"/>
                <w:kern w:val="0"/>
                <w:sz w:val="24"/>
                <w:szCs w:val="24"/>
                <w:highlight w:val="none"/>
              </w:rPr>
            </w:pPr>
          </w:p>
        </w:tc>
        <w:tc>
          <w:tcPr>
            <w:tcW w:w="666" w:type="pct"/>
          </w:tcPr>
          <w:p w14:paraId="54BF3854">
            <w:pPr>
              <w:widowControl/>
              <w:spacing w:line="440" w:lineRule="exact"/>
              <w:jc w:val="center"/>
              <w:textAlignment w:val="center"/>
              <w:rPr>
                <w:rFonts w:hint="eastAsia" w:ascii="宋体" w:hAnsi="宋体" w:eastAsia="宋体" w:cs="宋体"/>
                <w:sz w:val="24"/>
                <w:szCs w:val="24"/>
                <w:highlight w:val="none"/>
              </w:rPr>
            </w:pPr>
          </w:p>
        </w:tc>
        <w:tc>
          <w:tcPr>
            <w:tcW w:w="831" w:type="pct"/>
          </w:tcPr>
          <w:p w14:paraId="59CE6DA9">
            <w:pPr>
              <w:widowControl/>
              <w:spacing w:line="440" w:lineRule="exact"/>
              <w:jc w:val="center"/>
              <w:textAlignment w:val="center"/>
              <w:rPr>
                <w:rFonts w:ascii="宋体" w:hAnsi="宋体" w:eastAsia="宋体" w:cs="宋体"/>
                <w:kern w:val="0"/>
                <w:sz w:val="24"/>
                <w:szCs w:val="24"/>
                <w:highlight w:val="none"/>
              </w:rPr>
            </w:pPr>
          </w:p>
        </w:tc>
        <w:tc>
          <w:tcPr>
            <w:tcW w:w="849" w:type="pct"/>
          </w:tcPr>
          <w:p w14:paraId="69D98C9E">
            <w:pPr>
              <w:widowControl/>
              <w:spacing w:line="440" w:lineRule="exact"/>
              <w:jc w:val="center"/>
              <w:textAlignment w:val="center"/>
              <w:rPr>
                <w:rFonts w:ascii="宋体" w:hAnsi="宋体" w:eastAsia="宋体" w:cs="宋体"/>
                <w:kern w:val="0"/>
                <w:sz w:val="24"/>
                <w:szCs w:val="24"/>
                <w:highlight w:val="none"/>
              </w:rPr>
            </w:pPr>
          </w:p>
        </w:tc>
      </w:tr>
      <w:tr w14:paraId="3A6AC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Align w:val="center"/>
          </w:tcPr>
          <w:p w14:paraId="4DE703CD">
            <w:pPr>
              <w:widowControl/>
              <w:spacing w:line="440" w:lineRule="exact"/>
              <w:jc w:val="center"/>
              <w:textAlignment w:val="center"/>
              <w:rPr>
                <w:rFonts w:hint="eastAsia" w:ascii="宋体" w:hAnsi="宋体" w:eastAsia="宋体" w:cs="宋体"/>
                <w:sz w:val="24"/>
                <w:szCs w:val="24"/>
                <w:highlight w:val="none"/>
                <w:lang w:val="en-US" w:eastAsia="zh-CN"/>
              </w:rPr>
            </w:pPr>
          </w:p>
        </w:tc>
        <w:tc>
          <w:tcPr>
            <w:tcW w:w="1740" w:type="pct"/>
            <w:vAlign w:val="center"/>
          </w:tcPr>
          <w:p w14:paraId="4A7B3A0A">
            <w:pPr>
              <w:widowControl/>
              <w:spacing w:line="440" w:lineRule="exact"/>
              <w:jc w:val="center"/>
              <w:textAlignment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w:t>
            </w:r>
          </w:p>
        </w:tc>
        <w:tc>
          <w:tcPr>
            <w:tcW w:w="444" w:type="pct"/>
          </w:tcPr>
          <w:p w14:paraId="13E48F7E">
            <w:pPr>
              <w:widowControl/>
              <w:spacing w:line="440" w:lineRule="exact"/>
              <w:jc w:val="center"/>
              <w:textAlignment w:val="center"/>
              <w:rPr>
                <w:rFonts w:hint="eastAsia" w:ascii="宋体" w:hAnsi="宋体" w:eastAsia="宋体" w:cs="宋体"/>
                <w:kern w:val="0"/>
                <w:sz w:val="24"/>
                <w:szCs w:val="24"/>
                <w:highlight w:val="none"/>
              </w:rPr>
            </w:pPr>
          </w:p>
        </w:tc>
        <w:tc>
          <w:tcPr>
            <w:tcW w:w="666" w:type="pct"/>
          </w:tcPr>
          <w:p w14:paraId="68259DED">
            <w:pPr>
              <w:widowControl/>
              <w:spacing w:line="440" w:lineRule="exact"/>
              <w:jc w:val="center"/>
              <w:textAlignment w:val="center"/>
              <w:rPr>
                <w:rFonts w:hint="eastAsia" w:ascii="宋体" w:hAnsi="宋体" w:eastAsia="宋体" w:cs="宋体"/>
                <w:sz w:val="24"/>
                <w:szCs w:val="24"/>
                <w:highlight w:val="none"/>
              </w:rPr>
            </w:pPr>
          </w:p>
        </w:tc>
        <w:tc>
          <w:tcPr>
            <w:tcW w:w="831" w:type="pct"/>
          </w:tcPr>
          <w:p w14:paraId="64F3E365">
            <w:pPr>
              <w:widowControl/>
              <w:spacing w:line="440" w:lineRule="exact"/>
              <w:jc w:val="center"/>
              <w:textAlignment w:val="center"/>
              <w:rPr>
                <w:rFonts w:ascii="宋体" w:hAnsi="宋体" w:eastAsia="宋体" w:cs="宋体"/>
                <w:kern w:val="0"/>
                <w:sz w:val="24"/>
                <w:szCs w:val="24"/>
                <w:highlight w:val="none"/>
              </w:rPr>
            </w:pPr>
          </w:p>
        </w:tc>
        <w:tc>
          <w:tcPr>
            <w:tcW w:w="849" w:type="pct"/>
          </w:tcPr>
          <w:p w14:paraId="261AB1DA">
            <w:pPr>
              <w:widowControl/>
              <w:spacing w:line="440" w:lineRule="exact"/>
              <w:jc w:val="center"/>
              <w:textAlignment w:val="center"/>
              <w:rPr>
                <w:rFonts w:ascii="宋体" w:hAnsi="宋体" w:eastAsia="宋体" w:cs="宋体"/>
                <w:kern w:val="0"/>
                <w:sz w:val="24"/>
                <w:szCs w:val="24"/>
                <w:highlight w:val="none"/>
              </w:rPr>
            </w:pPr>
          </w:p>
        </w:tc>
      </w:tr>
      <w:tr w14:paraId="0897F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0" w:type="pct"/>
            <w:gridSpan w:val="5"/>
            <w:vAlign w:val="center"/>
          </w:tcPr>
          <w:p w14:paraId="63B11EC5">
            <w:pPr>
              <w:widowControl/>
              <w:spacing w:line="440" w:lineRule="exact"/>
              <w:jc w:val="center"/>
              <w:textAlignment w:val="center"/>
              <w:rPr>
                <w:rFonts w:ascii="宋体" w:hAnsi="宋体" w:eastAsia="宋体" w:cs="宋体"/>
                <w:kern w:val="0"/>
                <w:sz w:val="24"/>
                <w:szCs w:val="24"/>
                <w:highlight w:val="none"/>
              </w:rPr>
            </w:pPr>
            <w:r>
              <w:rPr>
                <w:rFonts w:hint="eastAsia" w:ascii="宋体" w:hAnsi="宋体" w:eastAsia="宋体"/>
                <w:b/>
                <w:sz w:val="24"/>
                <w:highlight w:val="none"/>
              </w:rPr>
              <w:t>合计金额（</w:t>
            </w:r>
            <w:r>
              <w:rPr>
                <w:rFonts w:hint="eastAsia" w:ascii="宋体" w:hAnsi="宋体" w:eastAsia="宋体"/>
                <w:b/>
                <w:sz w:val="24"/>
                <w:highlight w:val="none"/>
                <w:lang w:val="en-US" w:eastAsia="zh-CN"/>
              </w:rPr>
              <w:t>万</w:t>
            </w:r>
            <w:r>
              <w:rPr>
                <w:rFonts w:hint="eastAsia" w:ascii="宋体" w:hAnsi="宋体" w:eastAsia="宋体"/>
                <w:b/>
                <w:sz w:val="24"/>
                <w:highlight w:val="none"/>
              </w:rPr>
              <w:t>元）</w:t>
            </w:r>
          </w:p>
        </w:tc>
        <w:tc>
          <w:tcPr>
            <w:tcW w:w="849" w:type="pct"/>
          </w:tcPr>
          <w:p w14:paraId="2AAB1D99">
            <w:pPr>
              <w:widowControl/>
              <w:spacing w:line="440" w:lineRule="exact"/>
              <w:jc w:val="center"/>
              <w:textAlignment w:val="center"/>
              <w:rPr>
                <w:rFonts w:ascii="宋体" w:hAnsi="宋体" w:eastAsia="宋体" w:cs="宋体"/>
                <w:kern w:val="0"/>
                <w:sz w:val="24"/>
                <w:szCs w:val="24"/>
                <w:highlight w:val="none"/>
              </w:rPr>
            </w:pPr>
          </w:p>
        </w:tc>
      </w:tr>
    </w:tbl>
    <w:p w14:paraId="15ED2C99">
      <w:pPr>
        <w:spacing w:before="120" w:beforeLines="50" w:after="120" w:afterLines="50" w:line="360" w:lineRule="auto"/>
        <w:jc w:val="left"/>
        <w:outlineLvl w:val="2"/>
        <w:rPr>
          <w:rFonts w:hint="eastAsia" w:ascii="宋体" w:hAnsi="宋体" w:eastAsia="宋体"/>
          <w:b/>
          <w:sz w:val="24"/>
          <w:szCs w:val="28"/>
          <w:highlight w:val="none"/>
          <w:lang w:eastAsia="zh-CN"/>
        </w:rPr>
      </w:pPr>
    </w:p>
    <w:p w14:paraId="0EA4AEC0">
      <w:pPr>
        <w:spacing w:line="360" w:lineRule="auto"/>
        <w:ind w:firstLine="4800" w:firstLineChars="2000"/>
        <w:rPr>
          <w:rFonts w:ascii="宋体" w:hAnsi="宋体" w:eastAsia="宋体"/>
          <w:sz w:val="24"/>
          <w:highlight w:val="none"/>
        </w:rPr>
      </w:pPr>
      <w:r>
        <w:rPr>
          <w:rFonts w:hint="eastAsia" w:ascii="宋体" w:hAnsi="宋体" w:eastAsia="宋体"/>
          <w:sz w:val="24"/>
          <w:highlight w:val="none"/>
        </w:rPr>
        <w:t>供应商电子签章：</w:t>
      </w:r>
      <w:r>
        <w:rPr>
          <w:rFonts w:hint="eastAsia" w:ascii="宋体" w:hAnsi="宋体" w:eastAsia="宋体"/>
          <w:sz w:val="24"/>
          <w:highlight w:val="none"/>
          <w:u w:val="single"/>
        </w:rPr>
        <w:t xml:space="preserve">             </w:t>
      </w:r>
    </w:p>
    <w:p w14:paraId="2249BA75">
      <w:pPr>
        <w:spacing w:line="360" w:lineRule="auto"/>
        <w:ind w:firstLine="4800" w:firstLineChars="2000"/>
        <w:rPr>
          <w:rFonts w:ascii="宋体" w:hAnsi="宋体" w:eastAsia="宋体"/>
          <w:sz w:val="24"/>
          <w:highlight w:val="none"/>
          <w:u w:val="single"/>
        </w:rPr>
      </w:pPr>
      <w:r>
        <w:rPr>
          <w:rFonts w:hint="eastAsia" w:ascii="宋体" w:hAnsi="宋体" w:eastAsia="宋体"/>
          <w:sz w:val="24"/>
          <w:highlight w:val="none"/>
        </w:rPr>
        <w:t>日          期：</w:t>
      </w:r>
      <w:r>
        <w:rPr>
          <w:rFonts w:hint="eastAsia" w:ascii="宋体" w:hAnsi="宋体" w:eastAsia="宋体"/>
          <w:sz w:val="24"/>
          <w:highlight w:val="none"/>
          <w:u w:val="single"/>
        </w:rPr>
        <w:t xml:space="preserve">             </w:t>
      </w:r>
    </w:p>
    <w:p w14:paraId="5A7B122B">
      <w:pPr>
        <w:adjustRightInd w:val="0"/>
        <w:snapToGrid w:val="0"/>
        <w:spacing w:line="360" w:lineRule="auto"/>
        <w:rPr>
          <w:rFonts w:ascii="宋体" w:hAnsi="宋体" w:eastAsia="宋体"/>
          <w:b/>
          <w:bCs/>
          <w:sz w:val="24"/>
          <w:szCs w:val="28"/>
          <w:highlight w:val="none"/>
        </w:rPr>
      </w:pPr>
      <w:r>
        <w:rPr>
          <w:rFonts w:hint="eastAsia" w:ascii="宋体" w:hAnsi="宋体" w:eastAsia="宋体"/>
          <w:b/>
          <w:bCs/>
          <w:sz w:val="24"/>
          <w:szCs w:val="28"/>
          <w:highlight w:val="none"/>
        </w:rPr>
        <w:t>注：</w:t>
      </w:r>
    </w:p>
    <w:p w14:paraId="20D6C17E">
      <w:pPr>
        <w:adjustRightInd w:val="0"/>
        <w:snapToGrid w:val="0"/>
        <w:spacing w:line="360" w:lineRule="auto"/>
        <w:ind w:firstLine="482" w:firstLineChars="200"/>
        <w:rPr>
          <w:rFonts w:ascii="宋体" w:hAnsi="宋体" w:eastAsia="宋体"/>
          <w:b/>
          <w:bCs/>
          <w:sz w:val="24"/>
          <w:szCs w:val="28"/>
          <w:highlight w:val="none"/>
        </w:rPr>
      </w:pPr>
      <w:r>
        <w:rPr>
          <w:rFonts w:hint="eastAsia" w:ascii="宋体" w:hAnsi="宋体" w:eastAsia="宋体"/>
          <w:b/>
          <w:bCs/>
          <w:sz w:val="24"/>
          <w:szCs w:val="28"/>
          <w:highlight w:val="none"/>
        </w:rPr>
        <w:t>表中所列服务为对应本项目需求的全部服务内容。如有漏项或缺项，供应商承担全部责任。</w:t>
      </w:r>
    </w:p>
    <w:p w14:paraId="16B35136">
      <w:pPr>
        <w:widowControl/>
        <w:jc w:val="left"/>
        <w:rPr>
          <w:rFonts w:ascii="宋体" w:hAnsi="宋体" w:eastAsia="宋体"/>
          <w:b/>
          <w:bCs/>
          <w:sz w:val="24"/>
          <w:szCs w:val="28"/>
          <w:highlight w:val="none"/>
        </w:rPr>
      </w:pPr>
      <w:r>
        <w:rPr>
          <w:rFonts w:ascii="宋体" w:hAnsi="宋体" w:eastAsia="宋体"/>
          <w:b/>
          <w:bCs/>
          <w:sz w:val="24"/>
          <w:szCs w:val="28"/>
          <w:highlight w:val="none"/>
        </w:rPr>
        <w:br w:type="page"/>
      </w:r>
    </w:p>
    <w:p w14:paraId="72DFE3DE">
      <w:pPr>
        <w:spacing w:line="360" w:lineRule="auto"/>
        <w:jc w:val="center"/>
        <w:outlineLvl w:val="1"/>
        <w:rPr>
          <w:rFonts w:asciiTheme="minorEastAsia" w:hAnsiTheme="minorEastAsia" w:eastAsiaTheme="minorEastAsia"/>
          <w:b/>
          <w:sz w:val="24"/>
          <w:highlight w:val="none"/>
        </w:rPr>
      </w:pPr>
      <w:bookmarkStart w:id="258" w:name="_Toc461056632"/>
      <w:bookmarkStart w:id="259" w:name="_Toc461053087"/>
      <w:bookmarkStart w:id="260" w:name="_Toc32436"/>
      <w:bookmarkStart w:id="261" w:name="_Toc520983588"/>
      <w:bookmarkStart w:id="262" w:name="_Toc1367"/>
      <w:bookmarkStart w:id="263" w:name="_Toc28695"/>
      <w:r>
        <w:rPr>
          <w:rFonts w:hint="eastAsia" w:asciiTheme="minorEastAsia" w:hAnsiTheme="minorEastAsia" w:eastAsiaTheme="minorEastAsia"/>
          <w:b/>
          <w:sz w:val="24"/>
          <w:highlight w:val="none"/>
        </w:rPr>
        <w:t>二</w:t>
      </w:r>
      <w:bookmarkEnd w:id="258"/>
      <w:bookmarkEnd w:id="259"/>
      <w:r>
        <w:rPr>
          <w:rFonts w:hint="eastAsia" w:asciiTheme="minorEastAsia" w:hAnsiTheme="minorEastAsia" w:eastAsiaTheme="minorEastAsia"/>
          <w:b/>
          <w:sz w:val="24"/>
          <w:highlight w:val="none"/>
        </w:rPr>
        <w:t>、最后承诺报价表</w:t>
      </w:r>
      <w:bookmarkEnd w:id="260"/>
      <w:bookmarkEnd w:id="261"/>
      <w:bookmarkEnd w:id="262"/>
      <w:bookmarkEnd w:id="263"/>
    </w:p>
    <w:p w14:paraId="2F0F7B7E">
      <w:pPr>
        <w:spacing w:before="120" w:beforeLines="50" w:after="120" w:afterLines="50" w:line="360" w:lineRule="auto"/>
        <w:ind w:firstLine="236" w:firstLineChars="98"/>
        <w:jc w:val="center"/>
        <w:rPr>
          <w:rFonts w:ascii="宋体" w:hAnsi="宋体" w:eastAsia="宋体"/>
          <w:b/>
          <w:sz w:val="24"/>
          <w:szCs w:val="28"/>
          <w:highlight w:val="none"/>
        </w:rPr>
      </w:pPr>
      <w:r>
        <w:rPr>
          <w:rFonts w:hint="eastAsia" w:ascii="宋体" w:hAnsi="宋体" w:eastAsia="宋体"/>
          <w:b/>
          <w:sz w:val="24"/>
          <w:szCs w:val="28"/>
          <w:highlight w:val="none"/>
        </w:rPr>
        <w:t>（第</w:t>
      </w:r>
      <w:r>
        <w:rPr>
          <w:rFonts w:hint="eastAsia" w:ascii="宋体" w:hAnsi="宋体" w:eastAsia="宋体"/>
          <w:b/>
          <w:sz w:val="24"/>
          <w:szCs w:val="28"/>
          <w:highlight w:val="none"/>
          <w:u w:val="single"/>
        </w:rPr>
        <w:t xml:space="preserve">   </w:t>
      </w:r>
      <w:r>
        <w:rPr>
          <w:rFonts w:hint="eastAsia" w:ascii="宋体" w:hAnsi="宋体" w:eastAsia="宋体"/>
          <w:b/>
          <w:sz w:val="24"/>
          <w:szCs w:val="28"/>
          <w:highlight w:val="none"/>
        </w:rPr>
        <w:t>次报价书）</w:t>
      </w:r>
    </w:p>
    <w:p w14:paraId="5B07C862">
      <w:pPr>
        <w:snapToGrid w:val="0"/>
        <w:spacing w:line="360" w:lineRule="auto"/>
        <w:jc w:val="left"/>
        <w:rPr>
          <w:rFonts w:ascii="宋体" w:hAnsi="宋体" w:eastAsia="宋体"/>
          <w:b/>
          <w:sz w:val="24"/>
          <w:szCs w:val="28"/>
          <w:highlight w:val="none"/>
        </w:rPr>
      </w:pPr>
      <w:r>
        <w:rPr>
          <w:rFonts w:hint="eastAsia" w:ascii="宋体" w:hAnsi="宋体" w:eastAsia="宋体"/>
          <w:b/>
          <w:sz w:val="24"/>
          <w:szCs w:val="28"/>
          <w:highlight w:val="none"/>
        </w:rPr>
        <w:t>项目名称：</w:t>
      </w:r>
      <w:r>
        <w:rPr>
          <w:rFonts w:hint="eastAsia" w:ascii="宋体" w:hAnsi="宋体" w:eastAsia="宋体"/>
          <w:b/>
          <w:sz w:val="24"/>
          <w:szCs w:val="28"/>
          <w:highlight w:val="none"/>
          <w:u w:val="single"/>
        </w:rPr>
        <w:t xml:space="preserve">          </w:t>
      </w:r>
    </w:p>
    <w:p w14:paraId="7C63EE71">
      <w:pPr>
        <w:snapToGrid w:val="0"/>
        <w:spacing w:after="120" w:afterLines="50" w:line="360" w:lineRule="auto"/>
        <w:jc w:val="left"/>
        <w:rPr>
          <w:rFonts w:ascii="宋体" w:hAnsi="宋体" w:eastAsia="宋体"/>
          <w:b/>
          <w:bCs/>
          <w:sz w:val="24"/>
          <w:szCs w:val="28"/>
          <w:highlight w:val="none"/>
        </w:rPr>
      </w:pPr>
      <w:r>
        <w:rPr>
          <w:rFonts w:hint="eastAsia" w:ascii="宋体" w:hAnsi="宋体" w:eastAsia="宋体"/>
          <w:b/>
          <w:sz w:val="24"/>
          <w:szCs w:val="28"/>
          <w:highlight w:val="none"/>
        </w:rPr>
        <w:t>项目编号：</w:t>
      </w:r>
      <w:r>
        <w:rPr>
          <w:rFonts w:hint="eastAsia" w:ascii="宋体" w:hAnsi="宋体" w:eastAsia="宋体"/>
          <w:b/>
          <w:sz w:val="24"/>
          <w:szCs w:val="28"/>
          <w:highlight w:val="none"/>
          <w:u w:val="single"/>
        </w:rPr>
        <w:t xml:space="preserve">          </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7"/>
        <w:gridCol w:w="6648"/>
      </w:tblGrid>
      <w:tr w14:paraId="28126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58DFFD76">
            <w:pPr>
              <w:spacing w:line="360" w:lineRule="auto"/>
              <w:jc w:val="center"/>
              <w:rPr>
                <w:rFonts w:ascii="宋体" w:hAnsi="宋体" w:eastAsia="宋体"/>
                <w:b/>
                <w:sz w:val="24"/>
                <w:highlight w:val="none"/>
              </w:rPr>
            </w:pPr>
            <w:r>
              <w:rPr>
                <w:rFonts w:hint="eastAsia" w:ascii="宋体" w:hAnsi="宋体" w:eastAsia="宋体"/>
                <w:b/>
                <w:sz w:val="24"/>
                <w:highlight w:val="none"/>
              </w:rPr>
              <w:t>供应商名称</w:t>
            </w:r>
          </w:p>
        </w:tc>
        <w:tc>
          <w:tcPr>
            <w:tcW w:w="3557" w:type="pct"/>
            <w:tcBorders>
              <w:left w:val="single" w:color="auto" w:sz="4" w:space="0"/>
            </w:tcBorders>
          </w:tcPr>
          <w:p w14:paraId="22885120">
            <w:pPr>
              <w:spacing w:line="360" w:lineRule="auto"/>
              <w:rPr>
                <w:rFonts w:ascii="宋体" w:hAnsi="宋体" w:eastAsia="宋体"/>
                <w:b/>
                <w:sz w:val="24"/>
                <w:highlight w:val="none"/>
              </w:rPr>
            </w:pPr>
          </w:p>
        </w:tc>
      </w:tr>
      <w:tr w14:paraId="03DE4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698278B7">
            <w:pPr>
              <w:spacing w:line="360" w:lineRule="exact"/>
              <w:jc w:val="center"/>
              <w:rPr>
                <w:rFonts w:ascii="宋体" w:hAnsi="宋体" w:eastAsia="宋体"/>
                <w:b/>
                <w:sz w:val="24"/>
                <w:highlight w:val="none"/>
              </w:rPr>
            </w:pPr>
            <w:r>
              <w:rPr>
                <w:rFonts w:hint="eastAsia" w:ascii="宋体" w:hAnsi="宋体" w:eastAsia="宋体"/>
                <w:b/>
                <w:bCs/>
                <w:sz w:val="24"/>
                <w:szCs w:val="28"/>
                <w:highlight w:val="none"/>
              </w:rPr>
              <w:t>磋商</w:t>
            </w:r>
            <w:r>
              <w:rPr>
                <w:rFonts w:hint="eastAsia" w:ascii="宋体" w:hAnsi="宋体" w:eastAsia="宋体"/>
                <w:b/>
                <w:sz w:val="24"/>
                <w:highlight w:val="none"/>
              </w:rPr>
              <w:t>范围</w:t>
            </w:r>
          </w:p>
        </w:tc>
        <w:tc>
          <w:tcPr>
            <w:tcW w:w="3557" w:type="pct"/>
            <w:tcBorders>
              <w:left w:val="single" w:color="auto" w:sz="4" w:space="0"/>
            </w:tcBorders>
            <w:vAlign w:val="center"/>
          </w:tcPr>
          <w:p w14:paraId="747933A8">
            <w:pPr>
              <w:widowControl/>
              <w:spacing w:line="360" w:lineRule="exact"/>
              <w:rPr>
                <w:rFonts w:ascii="宋体" w:hAnsi="宋体" w:eastAsia="宋体"/>
                <w:b/>
                <w:sz w:val="24"/>
                <w:highlight w:val="none"/>
              </w:rPr>
            </w:pPr>
            <w:r>
              <w:rPr>
                <w:rFonts w:hint="eastAsia" w:asciiTheme="minorEastAsia" w:hAnsiTheme="minorEastAsia" w:eastAsiaTheme="minorEastAsia"/>
                <w:sz w:val="24"/>
                <w:szCs w:val="28"/>
                <w:highlight w:val="none"/>
              </w:rPr>
              <w:t>全部 / 第</w:t>
            </w:r>
            <w:r>
              <w:rPr>
                <w:rFonts w:hint="eastAsia" w:asciiTheme="minorEastAsia" w:hAnsiTheme="minorEastAsia" w:eastAsiaTheme="minorEastAsia"/>
                <w:sz w:val="24"/>
                <w:szCs w:val="28"/>
                <w:highlight w:val="none"/>
                <w:u w:val="single"/>
              </w:rPr>
              <w:t xml:space="preserve">   </w:t>
            </w:r>
            <w:r>
              <w:rPr>
                <w:rFonts w:hint="eastAsia" w:asciiTheme="minorEastAsia" w:hAnsiTheme="minorEastAsia" w:eastAsiaTheme="minorEastAsia"/>
                <w:sz w:val="24"/>
                <w:szCs w:val="28"/>
                <w:highlight w:val="none"/>
              </w:rPr>
              <w:t>包</w:t>
            </w:r>
          </w:p>
        </w:tc>
      </w:tr>
      <w:tr w14:paraId="396E8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2697" w:type="dxa"/>
            <w:tcBorders>
              <w:top w:val="single" w:color="auto" w:sz="4" w:space="0"/>
            </w:tcBorders>
            <w:vAlign w:val="center"/>
          </w:tcPr>
          <w:p w14:paraId="5E21DAB1">
            <w:pPr>
              <w:spacing w:line="360" w:lineRule="auto"/>
              <w:jc w:val="center"/>
              <w:rPr>
                <w:rFonts w:ascii="宋体" w:hAnsi="宋体" w:eastAsia="宋体"/>
                <w:b/>
                <w:sz w:val="24"/>
                <w:highlight w:val="none"/>
              </w:rPr>
            </w:pPr>
            <w:r>
              <w:rPr>
                <w:rFonts w:hint="eastAsia" w:ascii="宋体" w:hAnsi="宋体" w:eastAsia="宋体"/>
                <w:b/>
                <w:sz w:val="24"/>
                <w:highlight w:val="none"/>
              </w:rPr>
              <w:t>响应报价</w:t>
            </w:r>
          </w:p>
        </w:tc>
        <w:tc>
          <w:tcPr>
            <w:tcW w:w="6648" w:type="dxa"/>
            <w:vAlign w:val="center"/>
          </w:tcPr>
          <w:p w14:paraId="199F6494">
            <w:pPr>
              <w:snapToGrid w:val="0"/>
              <w:spacing w:line="360" w:lineRule="auto"/>
              <w:rPr>
                <w:rFonts w:ascii="宋体" w:hAnsi="宋体" w:eastAsia="宋体"/>
                <w:sz w:val="24"/>
                <w:szCs w:val="28"/>
                <w:highlight w:val="none"/>
              </w:rPr>
            </w:pPr>
            <w:r>
              <w:rPr>
                <w:rFonts w:hint="eastAsia" w:ascii="宋体" w:hAnsi="宋体" w:eastAsia="宋体"/>
                <w:sz w:val="24"/>
                <w:szCs w:val="28"/>
                <w:highlight w:val="none"/>
              </w:rPr>
              <w:t>信息系统等保测评（二级）报价：</w:t>
            </w:r>
            <w:r>
              <w:rPr>
                <w:rFonts w:hint="eastAsia" w:ascii="宋体" w:hAnsi="宋体" w:eastAsia="宋体"/>
                <w:sz w:val="24"/>
                <w:szCs w:val="28"/>
                <w:highlight w:val="none"/>
                <w:u w:val="single"/>
              </w:rPr>
              <w:t xml:space="preserve">    </w:t>
            </w:r>
            <w:r>
              <w:rPr>
                <w:rFonts w:hint="eastAsia" w:ascii="宋体" w:hAnsi="宋体" w:eastAsia="宋体"/>
                <w:sz w:val="24"/>
                <w:szCs w:val="28"/>
                <w:highlight w:val="none"/>
              </w:rPr>
              <w:t>元/项</w:t>
            </w:r>
          </w:p>
          <w:p w14:paraId="6C164374">
            <w:pPr>
              <w:snapToGrid w:val="0"/>
              <w:spacing w:line="360" w:lineRule="auto"/>
              <w:rPr>
                <w:rFonts w:ascii="宋体" w:hAnsi="宋体" w:eastAsia="宋体"/>
                <w:b/>
                <w:sz w:val="24"/>
                <w:highlight w:val="none"/>
              </w:rPr>
            </w:pPr>
            <w:r>
              <w:rPr>
                <w:rFonts w:hint="eastAsia" w:ascii="仿宋" w:hAnsi="仿宋" w:eastAsia="仿宋"/>
                <w:sz w:val="28"/>
                <w:szCs w:val="28"/>
                <w:highlight w:val="none"/>
              </w:rPr>
              <w:t>信息系统安全托管服务</w:t>
            </w:r>
            <w:r>
              <w:rPr>
                <w:rFonts w:hint="eastAsia" w:ascii="宋体" w:hAnsi="宋体" w:eastAsia="宋体"/>
                <w:sz w:val="24"/>
                <w:szCs w:val="28"/>
                <w:highlight w:val="none"/>
              </w:rPr>
              <w:t>报价：</w:t>
            </w:r>
            <w:r>
              <w:rPr>
                <w:rFonts w:hint="eastAsia" w:ascii="宋体" w:hAnsi="宋体" w:eastAsia="宋体"/>
                <w:sz w:val="24"/>
                <w:szCs w:val="28"/>
                <w:highlight w:val="none"/>
                <w:u w:val="single"/>
              </w:rPr>
              <w:t xml:space="preserve">    </w:t>
            </w:r>
            <w:r>
              <w:rPr>
                <w:rFonts w:hint="eastAsia" w:ascii="宋体" w:hAnsi="宋体" w:eastAsia="宋体"/>
                <w:sz w:val="24"/>
                <w:szCs w:val="28"/>
                <w:highlight w:val="none"/>
              </w:rPr>
              <w:t>元/项</w:t>
            </w:r>
          </w:p>
        </w:tc>
      </w:tr>
      <w:tr w14:paraId="3DF2D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4" w:hRule="atLeast"/>
          <w:jc w:val="center"/>
        </w:trPr>
        <w:tc>
          <w:tcPr>
            <w:tcW w:w="1443" w:type="pct"/>
            <w:vAlign w:val="center"/>
          </w:tcPr>
          <w:p w14:paraId="4FD97DAF">
            <w:pPr>
              <w:spacing w:line="360" w:lineRule="auto"/>
              <w:jc w:val="center"/>
              <w:rPr>
                <w:rFonts w:ascii="宋体" w:hAnsi="宋体" w:eastAsia="宋体"/>
                <w:b/>
                <w:sz w:val="24"/>
                <w:highlight w:val="none"/>
              </w:rPr>
            </w:pPr>
            <w:r>
              <w:rPr>
                <w:rFonts w:hint="eastAsia" w:ascii="宋体" w:hAnsi="宋体" w:eastAsia="宋体"/>
                <w:b/>
                <w:sz w:val="24"/>
                <w:highlight w:val="none"/>
              </w:rPr>
              <w:t>备注说明</w:t>
            </w:r>
          </w:p>
        </w:tc>
        <w:tc>
          <w:tcPr>
            <w:tcW w:w="3557" w:type="pct"/>
          </w:tcPr>
          <w:p w14:paraId="2F635273">
            <w:pPr>
              <w:spacing w:line="360" w:lineRule="auto"/>
              <w:rPr>
                <w:rFonts w:ascii="宋体" w:hAnsi="宋体" w:eastAsia="宋体"/>
                <w:b/>
                <w:sz w:val="24"/>
                <w:highlight w:val="none"/>
              </w:rPr>
            </w:pPr>
            <w:r>
              <w:rPr>
                <w:rFonts w:hint="eastAsia" w:ascii="宋体" w:hAnsi="宋体" w:eastAsia="宋体"/>
                <w:b/>
                <w:i/>
                <w:sz w:val="24"/>
                <w:highlight w:val="none"/>
              </w:rPr>
              <w:t>（此处可补充磋商小组根据与供应商磋商情况变动的磋商文件的内容，包括采购需求中的技术、服务要求以及合同草案条款。）</w:t>
            </w:r>
          </w:p>
        </w:tc>
      </w:tr>
      <w:tr w14:paraId="7AD83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443" w:type="pct"/>
            <w:vAlign w:val="center"/>
          </w:tcPr>
          <w:p w14:paraId="510CE9CD">
            <w:pPr>
              <w:spacing w:line="360" w:lineRule="auto"/>
              <w:jc w:val="center"/>
              <w:rPr>
                <w:rFonts w:ascii="宋体" w:hAnsi="宋体" w:eastAsia="宋体"/>
                <w:b/>
                <w:sz w:val="24"/>
                <w:highlight w:val="none"/>
              </w:rPr>
            </w:pPr>
            <w:r>
              <w:rPr>
                <w:rFonts w:hint="eastAsia" w:ascii="宋体" w:hAnsi="宋体" w:eastAsia="宋体"/>
                <w:b/>
                <w:bCs/>
                <w:sz w:val="24"/>
                <w:szCs w:val="28"/>
                <w:highlight w:val="none"/>
              </w:rPr>
              <w:t>磋商小组</w:t>
            </w:r>
            <w:r>
              <w:rPr>
                <w:rFonts w:ascii="宋体" w:hAnsi="宋体" w:eastAsia="宋体"/>
                <w:b/>
                <w:bCs/>
                <w:sz w:val="24"/>
                <w:szCs w:val="28"/>
                <w:highlight w:val="none"/>
              </w:rPr>
              <w:t>签字</w:t>
            </w:r>
          </w:p>
        </w:tc>
        <w:tc>
          <w:tcPr>
            <w:tcW w:w="3557" w:type="pct"/>
          </w:tcPr>
          <w:p w14:paraId="0BD6BD9F">
            <w:pPr>
              <w:spacing w:line="360" w:lineRule="auto"/>
              <w:rPr>
                <w:rFonts w:ascii="宋体" w:hAnsi="宋体" w:eastAsia="宋体"/>
                <w:b/>
                <w:sz w:val="24"/>
                <w:highlight w:val="none"/>
              </w:rPr>
            </w:pPr>
          </w:p>
        </w:tc>
      </w:tr>
    </w:tbl>
    <w:p w14:paraId="4205C4BA">
      <w:pPr>
        <w:spacing w:line="360" w:lineRule="auto"/>
        <w:ind w:firstLine="3600" w:firstLineChars="1500"/>
        <w:jc w:val="left"/>
        <w:rPr>
          <w:rFonts w:ascii="宋体" w:hAnsi="宋体" w:eastAsia="宋体"/>
          <w:sz w:val="24"/>
          <w:highlight w:val="none"/>
        </w:rPr>
      </w:pPr>
      <w:r>
        <w:rPr>
          <w:rFonts w:hint="eastAsia" w:ascii="宋体" w:hAnsi="宋体" w:eastAsia="宋体"/>
          <w:sz w:val="24"/>
          <w:highlight w:val="none"/>
        </w:rPr>
        <w:t>供应商公章或授权代表签字：</w:t>
      </w:r>
      <w:r>
        <w:rPr>
          <w:rFonts w:hint="eastAsia" w:ascii="宋体" w:hAnsi="宋体" w:eastAsia="宋体"/>
          <w:sz w:val="24"/>
          <w:highlight w:val="none"/>
          <w:u w:val="single"/>
        </w:rPr>
        <w:t xml:space="preserve">             </w:t>
      </w:r>
    </w:p>
    <w:p w14:paraId="2457D82B">
      <w:pPr>
        <w:spacing w:line="360" w:lineRule="auto"/>
        <w:ind w:firstLine="4800" w:firstLineChars="2000"/>
        <w:rPr>
          <w:rFonts w:ascii="宋体" w:hAnsi="宋体" w:eastAsia="宋体"/>
          <w:sz w:val="24"/>
          <w:highlight w:val="none"/>
          <w:u w:val="single"/>
        </w:rPr>
      </w:pPr>
      <w:r>
        <w:rPr>
          <w:rFonts w:hint="eastAsia" w:ascii="宋体" w:hAnsi="宋体" w:eastAsia="宋体"/>
          <w:sz w:val="24"/>
          <w:highlight w:val="none"/>
        </w:rPr>
        <w:t>日          期：</w:t>
      </w:r>
      <w:r>
        <w:rPr>
          <w:rFonts w:hint="eastAsia" w:ascii="宋体" w:hAnsi="宋体" w:eastAsia="宋体"/>
          <w:sz w:val="24"/>
          <w:highlight w:val="none"/>
          <w:u w:val="single"/>
        </w:rPr>
        <w:t xml:space="preserve">             </w:t>
      </w:r>
    </w:p>
    <w:p w14:paraId="2837B15D">
      <w:pPr>
        <w:spacing w:line="360" w:lineRule="auto"/>
        <w:jc w:val="left"/>
        <w:rPr>
          <w:rFonts w:ascii="宋体" w:hAnsi="宋体" w:eastAsia="宋体"/>
          <w:b/>
          <w:bCs/>
          <w:sz w:val="24"/>
          <w:highlight w:val="none"/>
        </w:rPr>
      </w:pPr>
      <w:r>
        <w:rPr>
          <w:rFonts w:hint="eastAsia" w:ascii="宋体" w:hAnsi="宋体" w:eastAsia="宋体"/>
          <w:b/>
          <w:bCs/>
          <w:sz w:val="24"/>
          <w:highlight w:val="none"/>
        </w:rPr>
        <w:t>注：</w:t>
      </w:r>
    </w:p>
    <w:p w14:paraId="3F49FE87">
      <w:pPr>
        <w:spacing w:line="360" w:lineRule="auto"/>
        <w:ind w:firstLine="482" w:firstLineChars="200"/>
        <w:jc w:val="left"/>
        <w:rPr>
          <w:rFonts w:ascii="宋体" w:hAnsi="宋体" w:eastAsia="宋体"/>
          <w:bCs/>
          <w:sz w:val="24"/>
          <w:highlight w:val="none"/>
        </w:rPr>
      </w:pPr>
      <w:r>
        <w:rPr>
          <w:rFonts w:hint="eastAsia" w:ascii="宋体" w:hAnsi="宋体" w:eastAsia="宋体"/>
          <w:b/>
          <w:bCs/>
          <w:sz w:val="24"/>
          <w:highlight w:val="none"/>
        </w:rPr>
        <w:t>1.本页《报价表》由供应商在接到报价通知后依据磋商情况填写,并在规定时间内提交。</w:t>
      </w:r>
      <w:r>
        <w:rPr>
          <w:rFonts w:hint="eastAsia" w:ascii="宋体" w:hAnsi="宋体" w:eastAsia="宋体"/>
          <w:sz w:val="24"/>
          <w:highlight w:val="none"/>
        </w:rPr>
        <w:t>考虑磋商报价的方便，供应商在填写最后承诺报价后，（第一次报价-最后承诺报价）除以第一次报价后得出的优惠率视同为需求表中全部分项设备、工程量或服务的优惠浮动值（特定分项优惠除外），而不考虑措施项目清单和规费税金清单的金额改变。</w:t>
      </w:r>
      <w:r>
        <w:rPr>
          <w:rFonts w:hint="eastAsia" w:ascii="宋体" w:hAnsi="宋体" w:eastAsia="宋体"/>
          <w:bCs/>
          <w:sz w:val="24"/>
          <w:highlight w:val="none"/>
        </w:rPr>
        <w:t>此优惠率调整原则适用于合同内价格的计算及项目增减、变更时价格的计算。</w:t>
      </w:r>
    </w:p>
    <w:p w14:paraId="4C413525">
      <w:pPr>
        <w:adjustRightInd w:val="0"/>
        <w:snapToGrid w:val="0"/>
        <w:spacing w:line="360" w:lineRule="auto"/>
        <w:ind w:firstLine="482" w:firstLineChars="200"/>
        <w:rPr>
          <w:rFonts w:ascii="宋体" w:hAnsi="宋体" w:eastAsia="宋体"/>
          <w:bCs/>
          <w:sz w:val="24"/>
          <w:highlight w:val="none"/>
        </w:rPr>
      </w:pPr>
      <w:r>
        <w:rPr>
          <w:rFonts w:hint="eastAsia" w:ascii="宋体" w:hAnsi="宋体" w:eastAsia="宋体"/>
          <w:b/>
          <w:bCs/>
          <w:sz w:val="24"/>
          <w:szCs w:val="28"/>
          <w:highlight w:val="none"/>
        </w:rPr>
        <w:t>2.表中大写金额与小写金额不一致的，以大写金额为准。</w:t>
      </w:r>
    </w:p>
    <w:p w14:paraId="2B33CC69">
      <w:pPr>
        <w:widowControl/>
        <w:jc w:val="left"/>
        <w:rPr>
          <w:rFonts w:ascii="宋体" w:hAnsi="宋体" w:eastAsia="宋体"/>
          <w:bCs/>
          <w:sz w:val="24"/>
          <w:highlight w:val="none"/>
        </w:rPr>
      </w:pPr>
      <w:r>
        <w:rPr>
          <w:rFonts w:ascii="宋体" w:hAnsi="宋体" w:eastAsia="宋体"/>
          <w:bCs/>
          <w:sz w:val="24"/>
          <w:highlight w:val="none"/>
        </w:rPr>
        <w:br w:type="page"/>
      </w:r>
    </w:p>
    <w:p w14:paraId="6ECBA14A">
      <w:pPr>
        <w:spacing w:line="360" w:lineRule="auto"/>
        <w:jc w:val="center"/>
        <w:outlineLvl w:val="1"/>
        <w:rPr>
          <w:rFonts w:asciiTheme="minorEastAsia" w:hAnsiTheme="minorEastAsia" w:eastAsiaTheme="minorEastAsia"/>
          <w:b/>
          <w:sz w:val="24"/>
          <w:highlight w:val="none"/>
        </w:rPr>
      </w:pPr>
      <w:bookmarkStart w:id="264" w:name="_Toc32385"/>
      <w:bookmarkStart w:id="265" w:name="_Toc520983591"/>
      <w:bookmarkStart w:id="266" w:name="_Toc21904"/>
      <w:bookmarkStart w:id="267" w:name="_Toc11500"/>
      <w:r>
        <w:rPr>
          <w:rFonts w:hint="eastAsia" w:asciiTheme="minorEastAsia" w:hAnsiTheme="minorEastAsia" w:eastAsiaTheme="minorEastAsia"/>
          <w:b/>
          <w:sz w:val="24"/>
          <w:highlight w:val="none"/>
        </w:rPr>
        <w:t>三、磋商响应函</w:t>
      </w:r>
      <w:bookmarkEnd w:id="264"/>
      <w:bookmarkEnd w:id="265"/>
      <w:bookmarkEnd w:id="266"/>
      <w:bookmarkEnd w:id="267"/>
    </w:p>
    <w:p w14:paraId="115B04B3">
      <w:pPr>
        <w:pStyle w:val="14"/>
        <w:spacing w:line="360" w:lineRule="auto"/>
        <w:rPr>
          <w:rFonts w:ascii="宋体" w:hAnsi="宋体"/>
          <w:sz w:val="24"/>
          <w:highlight w:val="none"/>
        </w:rPr>
      </w:pPr>
      <w:r>
        <w:rPr>
          <w:rFonts w:hint="eastAsia" w:ascii="宋体" w:hAnsi="宋体"/>
          <w:sz w:val="24"/>
          <w:highlight w:val="none"/>
        </w:rPr>
        <w:t>致：采购人</w:t>
      </w:r>
    </w:p>
    <w:p w14:paraId="64D9DC5C">
      <w:pPr>
        <w:spacing w:line="360" w:lineRule="auto"/>
        <w:ind w:firstLine="480" w:firstLineChars="200"/>
        <w:rPr>
          <w:rFonts w:ascii="宋体" w:hAnsi="宋体" w:eastAsia="宋体"/>
          <w:dstrike/>
          <w:sz w:val="24"/>
          <w:highlight w:val="none"/>
        </w:rPr>
      </w:pPr>
      <w:r>
        <w:rPr>
          <w:rFonts w:hint="eastAsia" w:ascii="宋体" w:hAnsi="宋体" w:eastAsia="宋体"/>
          <w:sz w:val="24"/>
          <w:highlight w:val="none"/>
        </w:rPr>
        <w:t>根据贵方的</w:t>
      </w:r>
      <w:bookmarkStart w:id="268" w:name="_Hlk44287543"/>
      <w:r>
        <w:rPr>
          <w:rFonts w:hint="eastAsia" w:ascii="宋体" w:hAnsi="宋体" w:eastAsia="宋体"/>
          <w:sz w:val="24"/>
          <w:highlight w:val="none"/>
        </w:rPr>
        <w:t>竞争性磋商公告</w:t>
      </w:r>
      <w:bookmarkEnd w:id="268"/>
      <w:r>
        <w:rPr>
          <w:rFonts w:hint="eastAsia" w:ascii="宋体" w:hAnsi="宋体" w:eastAsia="宋体"/>
          <w:sz w:val="24"/>
          <w:highlight w:val="none"/>
        </w:rPr>
        <w:t>，我方兹宣布同意如下：</w:t>
      </w:r>
    </w:p>
    <w:p w14:paraId="51750B1B">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w:t>
      </w:r>
      <w:r>
        <w:rPr>
          <w:rFonts w:hint="eastAsia" w:ascii="宋体" w:hAnsi="宋体" w:eastAsia="宋体" w:cs="宋体"/>
          <w:sz w:val="24"/>
          <w:szCs w:val="24"/>
          <w:highlight w:val="none"/>
        </w:rPr>
        <w:t>我方根据磋商文件的规定，严格履行合同的责任和义务,并保证于买方要求的日期内完成，并通过买方验收。</w:t>
      </w:r>
    </w:p>
    <w:p w14:paraId="1AC59491">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2.我方已详细审核全部磋商文件，包括磋商文件附件及更正公告（如有），我方正式认可并遵守本次磋商文件，并对磋商文件各项条款、规定及要求均无异议。</w:t>
      </w:r>
    </w:p>
    <w:p w14:paraId="102F6E60">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3.我方同意从磋商文件规定的磋商日期起遵循本磋商文件，并在磋商文件规定的磋商有效期之前均具有约束力。</w:t>
      </w:r>
    </w:p>
    <w:p w14:paraId="401CAD6B">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我方声明响应文件所提供的一切资料均真实无误、及时、有效，企业运营正常。由于我方提供资料不实而造成的责任和后果由我方承担。我方同意按照贵方提出的要求，提供与磋商有关的任何证据、数据或资料。</w:t>
      </w:r>
    </w:p>
    <w:p w14:paraId="0238C873">
      <w:pPr>
        <w:spacing w:line="360" w:lineRule="auto"/>
        <w:ind w:firstLine="480" w:firstLineChars="200"/>
        <w:rPr>
          <w:rFonts w:ascii="宋体" w:hAnsi="宋体" w:eastAsia="宋体"/>
          <w:sz w:val="24"/>
          <w:highlight w:val="none"/>
        </w:rPr>
      </w:pPr>
    </w:p>
    <w:p w14:paraId="57F78A3F">
      <w:pPr>
        <w:spacing w:line="360" w:lineRule="auto"/>
        <w:ind w:firstLine="4800" w:firstLineChars="2000"/>
        <w:rPr>
          <w:rFonts w:ascii="宋体" w:hAnsi="宋体" w:eastAsia="宋体"/>
          <w:sz w:val="24"/>
          <w:highlight w:val="none"/>
        </w:rPr>
      </w:pPr>
      <w:r>
        <w:rPr>
          <w:rFonts w:hint="eastAsia" w:ascii="宋体" w:hAnsi="宋体" w:eastAsia="宋体"/>
          <w:sz w:val="24"/>
          <w:highlight w:val="none"/>
        </w:rPr>
        <w:t>供应商电子签章：</w:t>
      </w:r>
      <w:r>
        <w:rPr>
          <w:rFonts w:hint="eastAsia" w:ascii="宋体" w:hAnsi="宋体" w:eastAsia="宋体"/>
          <w:sz w:val="24"/>
          <w:highlight w:val="none"/>
          <w:u w:val="single"/>
        </w:rPr>
        <w:t xml:space="preserve">             </w:t>
      </w:r>
    </w:p>
    <w:p w14:paraId="2B9C4623">
      <w:pPr>
        <w:spacing w:line="360" w:lineRule="auto"/>
        <w:ind w:firstLine="4800" w:firstLineChars="2000"/>
        <w:rPr>
          <w:rFonts w:ascii="宋体" w:hAnsi="宋体" w:eastAsia="宋体"/>
          <w:sz w:val="24"/>
          <w:highlight w:val="none"/>
          <w:u w:val="single"/>
        </w:rPr>
      </w:pPr>
      <w:r>
        <w:rPr>
          <w:rFonts w:hint="eastAsia" w:ascii="宋体" w:hAnsi="宋体" w:eastAsia="宋体"/>
          <w:sz w:val="24"/>
          <w:highlight w:val="none"/>
        </w:rPr>
        <w:t>日          期：</w:t>
      </w:r>
      <w:r>
        <w:rPr>
          <w:rFonts w:hint="eastAsia" w:ascii="宋体" w:hAnsi="宋体" w:eastAsia="宋体"/>
          <w:sz w:val="24"/>
          <w:highlight w:val="none"/>
          <w:u w:val="single"/>
        </w:rPr>
        <w:t xml:space="preserve">             </w:t>
      </w:r>
    </w:p>
    <w:p w14:paraId="2A9574C0">
      <w:pPr>
        <w:widowControl/>
        <w:jc w:val="left"/>
        <w:rPr>
          <w:rFonts w:ascii="宋体" w:hAnsi="宋体" w:eastAsia="宋体"/>
          <w:sz w:val="24"/>
          <w:highlight w:val="none"/>
        </w:rPr>
      </w:pPr>
      <w:r>
        <w:rPr>
          <w:rFonts w:ascii="宋体" w:hAnsi="宋体" w:eastAsia="宋体"/>
          <w:sz w:val="24"/>
          <w:highlight w:val="none"/>
        </w:rPr>
        <w:br w:type="page"/>
      </w:r>
    </w:p>
    <w:p w14:paraId="322A855E">
      <w:pPr>
        <w:spacing w:line="360" w:lineRule="auto"/>
        <w:jc w:val="center"/>
        <w:outlineLvl w:val="1"/>
        <w:rPr>
          <w:rFonts w:asciiTheme="minorEastAsia" w:hAnsiTheme="minorEastAsia" w:eastAsiaTheme="minorEastAsia"/>
          <w:b/>
          <w:sz w:val="24"/>
          <w:highlight w:val="none"/>
        </w:rPr>
      </w:pPr>
      <w:bookmarkStart w:id="269" w:name="_Toc21328"/>
      <w:bookmarkStart w:id="270" w:name="_Toc32395"/>
      <w:r>
        <w:rPr>
          <w:rFonts w:hint="eastAsia" w:asciiTheme="minorEastAsia" w:hAnsiTheme="minorEastAsia" w:eastAsiaTheme="minorEastAsia"/>
          <w:b/>
          <w:sz w:val="24"/>
          <w:highlight w:val="none"/>
        </w:rPr>
        <w:t>四、供应商资格声明书</w:t>
      </w:r>
      <w:bookmarkEnd w:id="269"/>
      <w:bookmarkEnd w:id="270"/>
    </w:p>
    <w:p w14:paraId="16F9A258">
      <w:pPr>
        <w:pStyle w:val="14"/>
        <w:spacing w:line="360" w:lineRule="auto"/>
        <w:rPr>
          <w:rFonts w:asciiTheme="minorEastAsia" w:hAnsiTheme="minorEastAsia" w:cstheme="minorEastAsia"/>
          <w:sz w:val="24"/>
          <w:szCs w:val="24"/>
          <w:highlight w:val="none"/>
        </w:rPr>
      </w:pPr>
      <w:r>
        <w:rPr>
          <w:rFonts w:hint="eastAsia" w:ascii="宋体" w:hAnsi="宋体"/>
          <w:sz w:val="24"/>
          <w:highlight w:val="none"/>
        </w:rPr>
        <w:t>致：采购人</w:t>
      </w:r>
    </w:p>
    <w:p w14:paraId="6249399C">
      <w:pPr>
        <w:widowControl/>
        <w:spacing w:line="360" w:lineRule="auto"/>
        <w:ind w:firstLine="480" w:firstLineChars="200"/>
        <w:jc w:val="lef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在参与本次项目磋商中，我单位承诺：</w:t>
      </w:r>
    </w:p>
    <w:p w14:paraId="1FB4BBC7">
      <w:pPr>
        <w:widowControl/>
        <w:spacing w:line="360" w:lineRule="auto"/>
        <w:ind w:firstLine="480" w:firstLineChars="200"/>
        <w:jc w:val="lef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（一）具有良好的商业信誉和健全的财务会计制度；</w:t>
      </w:r>
    </w:p>
    <w:p w14:paraId="23B63AE5">
      <w:pPr>
        <w:widowControl/>
        <w:spacing w:line="360" w:lineRule="auto"/>
        <w:ind w:firstLine="480" w:firstLineChars="200"/>
        <w:jc w:val="lef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（二）具有履行合同所必需的设备和专业技术能力；</w:t>
      </w:r>
    </w:p>
    <w:p w14:paraId="65EB4BBF">
      <w:pPr>
        <w:widowControl/>
        <w:spacing w:line="360" w:lineRule="auto"/>
        <w:ind w:firstLine="480" w:firstLineChars="200"/>
        <w:jc w:val="lef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（三）有依法缴纳税收和社会保障资金的良好记录；</w:t>
      </w:r>
    </w:p>
    <w:p w14:paraId="38AC5B6E">
      <w:pPr>
        <w:widowControl/>
        <w:spacing w:line="360" w:lineRule="auto"/>
        <w:ind w:firstLine="480" w:firstLineChars="200"/>
        <w:jc w:val="lef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44C79381">
      <w:pPr>
        <w:widowControl/>
        <w:spacing w:line="360" w:lineRule="auto"/>
        <w:ind w:firstLine="480" w:firstLineChars="200"/>
        <w:jc w:val="lef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（五）我单位不存在为采购项目提供整体设计、规范编制或者项目管理、监理、检测等服务后，再参加该采购项目的其他采购活动的情形（单一来源采购项目除外）；</w:t>
      </w:r>
    </w:p>
    <w:p w14:paraId="27F30A0C">
      <w:pPr>
        <w:widowControl/>
        <w:spacing w:line="360" w:lineRule="auto"/>
        <w:ind w:firstLine="480" w:firstLineChars="200"/>
        <w:jc w:val="left"/>
        <w:rPr>
          <w:rFonts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（六）与我单位存在单位负责人为同一人或者存在直接控股、管理关系的其他法人单位信息如下（如有，不论其是否参加同一合同项下的政府采购活动均须填写）：</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4"/>
        <w:gridCol w:w="4501"/>
        <w:gridCol w:w="2681"/>
      </w:tblGrid>
      <w:tr w14:paraId="05FF5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tcPr>
          <w:p w14:paraId="67DD5ECE">
            <w:pPr>
              <w:widowControl/>
              <w:spacing w:line="360" w:lineRule="auto"/>
              <w:jc w:val="center"/>
              <w:rPr>
                <w:rFonts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序号</w:t>
            </w:r>
          </w:p>
        </w:tc>
        <w:tc>
          <w:tcPr>
            <w:tcW w:w="4501" w:type="dxa"/>
          </w:tcPr>
          <w:p w14:paraId="4D98F4F0">
            <w:pPr>
              <w:pStyle w:val="9"/>
              <w:jc w:val="center"/>
              <w:rPr>
                <w:rFonts w:asciiTheme="minorEastAsia" w:hAnsiTheme="minorEastAsia" w:eastAsiaTheme="minorEastAsia" w:cstheme="minorEastAsia"/>
                <w:color w:val="000000"/>
                <w:kern w:val="0"/>
                <w:sz w:val="24"/>
                <w:highlight w:val="none"/>
                <w:lang w:val="en-US" w:bidi="ar"/>
              </w:rPr>
            </w:pPr>
            <w:r>
              <w:rPr>
                <w:rFonts w:hint="eastAsia" w:asciiTheme="minorEastAsia" w:hAnsiTheme="minorEastAsia" w:eastAsiaTheme="minorEastAsia" w:cstheme="minorEastAsia"/>
                <w:color w:val="000000"/>
                <w:kern w:val="0"/>
                <w:sz w:val="24"/>
                <w:highlight w:val="none"/>
                <w:lang w:val="en-US" w:bidi="ar"/>
              </w:rPr>
              <w:t>单位名称</w:t>
            </w:r>
          </w:p>
        </w:tc>
        <w:tc>
          <w:tcPr>
            <w:tcW w:w="2681" w:type="dxa"/>
          </w:tcPr>
          <w:p w14:paraId="1B279AA3">
            <w:pPr>
              <w:pStyle w:val="9"/>
              <w:jc w:val="center"/>
              <w:rPr>
                <w:rFonts w:asciiTheme="minorEastAsia" w:hAnsiTheme="minorEastAsia" w:eastAsiaTheme="minorEastAsia" w:cstheme="minorEastAsia"/>
                <w:color w:val="000000"/>
                <w:kern w:val="0"/>
                <w:sz w:val="24"/>
                <w:highlight w:val="none"/>
                <w:lang w:val="en-US" w:bidi="ar"/>
              </w:rPr>
            </w:pPr>
            <w:r>
              <w:rPr>
                <w:rFonts w:hint="eastAsia" w:asciiTheme="minorEastAsia" w:hAnsiTheme="minorEastAsia" w:eastAsiaTheme="minorEastAsia" w:cstheme="minorEastAsia"/>
                <w:color w:val="000000"/>
                <w:kern w:val="0"/>
                <w:sz w:val="24"/>
                <w:highlight w:val="none"/>
                <w:lang w:val="en-US" w:bidi="ar"/>
              </w:rPr>
              <w:t>相互关系</w:t>
            </w:r>
          </w:p>
        </w:tc>
      </w:tr>
      <w:tr w14:paraId="629FA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tcPr>
          <w:p w14:paraId="1E40A520">
            <w:pPr>
              <w:pStyle w:val="9"/>
              <w:jc w:val="center"/>
              <w:rPr>
                <w:rFonts w:asciiTheme="minorEastAsia" w:hAnsiTheme="minorEastAsia" w:eastAsiaTheme="minorEastAsia" w:cstheme="minorEastAsia"/>
                <w:color w:val="000000"/>
                <w:kern w:val="0"/>
                <w:sz w:val="24"/>
                <w:highlight w:val="none"/>
                <w:lang w:val="en-US" w:bidi="ar"/>
              </w:rPr>
            </w:pPr>
            <w:r>
              <w:rPr>
                <w:rFonts w:hint="eastAsia" w:asciiTheme="minorEastAsia" w:hAnsiTheme="minorEastAsia" w:eastAsiaTheme="minorEastAsia" w:cstheme="minorEastAsia"/>
                <w:color w:val="000000"/>
                <w:kern w:val="0"/>
                <w:sz w:val="24"/>
                <w:highlight w:val="none"/>
                <w:lang w:val="en-US" w:bidi="ar"/>
              </w:rPr>
              <w:t>1</w:t>
            </w:r>
          </w:p>
        </w:tc>
        <w:tc>
          <w:tcPr>
            <w:tcW w:w="4501" w:type="dxa"/>
          </w:tcPr>
          <w:p w14:paraId="79EFFC09">
            <w:pPr>
              <w:pStyle w:val="9"/>
              <w:jc w:val="center"/>
              <w:rPr>
                <w:rFonts w:asciiTheme="minorEastAsia" w:hAnsiTheme="minorEastAsia" w:eastAsiaTheme="minorEastAsia" w:cstheme="minorEastAsia"/>
                <w:color w:val="000000"/>
                <w:kern w:val="0"/>
                <w:sz w:val="24"/>
                <w:highlight w:val="none"/>
                <w:lang w:val="en-US" w:bidi="ar"/>
              </w:rPr>
            </w:pPr>
          </w:p>
        </w:tc>
        <w:tc>
          <w:tcPr>
            <w:tcW w:w="2681" w:type="dxa"/>
          </w:tcPr>
          <w:p w14:paraId="0A50B7BF">
            <w:pPr>
              <w:pStyle w:val="9"/>
              <w:jc w:val="center"/>
              <w:rPr>
                <w:rFonts w:asciiTheme="minorEastAsia" w:hAnsiTheme="minorEastAsia" w:eastAsiaTheme="minorEastAsia" w:cstheme="minorEastAsia"/>
                <w:color w:val="000000"/>
                <w:kern w:val="0"/>
                <w:sz w:val="24"/>
                <w:highlight w:val="none"/>
                <w:lang w:val="en-US" w:bidi="ar"/>
              </w:rPr>
            </w:pPr>
          </w:p>
        </w:tc>
      </w:tr>
      <w:tr w14:paraId="47AE4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tcPr>
          <w:p w14:paraId="58440A88">
            <w:pPr>
              <w:pStyle w:val="9"/>
              <w:jc w:val="center"/>
              <w:rPr>
                <w:rFonts w:asciiTheme="minorEastAsia" w:hAnsiTheme="minorEastAsia" w:eastAsiaTheme="minorEastAsia" w:cstheme="minorEastAsia"/>
                <w:color w:val="000000"/>
                <w:kern w:val="0"/>
                <w:sz w:val="24"/>
                <w:highlight w:val="none"/>
                <w:lang w:val="en-US" w:bidi="ar"/>
              </w:rPr>
            </w:pPr>
            <w:r>
              <w:rPr>
                <w:rFonts w:hint="eastAsia" w:asciiTheme="minorEastAsia" w:hAnsiTheme="minorEastAsia" w:eastAsiaTheme="minorEastAsia" w:cstheme="minorEastAsia"/>
                <w:color w:val="000000"/>
                <w:kern w:val="0"/>
                <w:sz w:val="24"/>
                <w:highlight w:val="none"/>
                <w:lang w:val="en-US" w:bidi="ar"/>
              </w:rPr>
              <w:t>2</w:t>
            </w:r>
          </w:p>
        </w:tc>
        <w:tc>
          <w:tcPr>
            <w:tcW w:w="4501" w:type="dxa"/>
          </w:tcPr>
          <w:p w14:paraId="1D66A514">
            <w:pPr>
              <w:pStyle w:val="9"/>
              <w:jc w:val="center"/>
              <w:rPr>
                <w:rFonts w:asciiTheme="minorEastAsia" w:hAnsiTheme="minorEastAsia" w:eastAsiaTheme="minorEastAsia" w:cstheme="minorEastAsia"/>
                <w:color w:val="000000"/>
                <w:kern w:val="0"/>
                <w:sz w:val="24"/>
                <w:highlight w:val="none"/>
                <w:lang w:val="en-US" w:bidi="ar"/>
              </w:rPr>
            </w:pPr>
          </w:p>
        </w:tc>
        <w:tc>
          <w:tcPr>
            <w:tcW w:w="2681" w:type="dxa"/>
          </w:tcPr>
          <w:p w14:paraId="26EC1348">
            <w:pPr>
              <w:pStyle w:val="9"/>
              <w:jc w:val="center"/>
              <w:rPr>
                <w:rFonts w:asciiTheme="minorEastAsia" w:hAnsiTheme="minorEastAsia" w:eastAsiaTheme="minorEastAsia" w:cstheme="minorEastAsia"/>
                <w:color w:val="000000"/>
                <w:kern w:val="0"/>
                <w:sz w:val="24"/>
                <w:highlight w:val="none"/>
                <w:lang w:val="en-US" w:bidi="ar"/>
              </w:rPr>
            </w:pPr>
          </w:p>
        </w:tc>
      </w:tr>
    </w:tbl>
    <w:p w14:paraId="507A147E">
      <w:pPr>
        <w:spacing w:line="360" w:lineRule="auto"/>
        <w:ind w:firstLine="435"/>
        <w:rPr>
          <w:rFonts w:ascii="宋体" w:hAnsi="宋体" w:eastAsia="宋体"/>
          <w:sz w:val="24"/>
          <w:highlight w:val="none"/>
        </w:rPr>
      </w:pPr>
      <w:r>
        <w:rPr>
          <w:rFonts w:hint="eastAsia" w:ascii="宋体" w:hAnsi="宋体" w:eastAsia="宋体"/>
          <w:sz w:val="24"/>
          <w:highlight w:val="none"/>
        </w:rPr>
        <w:t>本单位对</w:t>
      </w:r>
      <w:r>
        <w:rPr>
          <w:rFonts w:hint="eastAsia" w:asciiTheme="minorEastAsia" w:hAnsiTheme="minorEastAsia" w:eastAsiaTheme="minorEastAsia"/>
          <w:sz w:val="24"/>
          <w:highlight w:val="none"/>
        </w:rPr>
        <w:t>上述</w:t>
      </w:r>
      <w:r>
        <w:rPr>
          <w:rFonts w:hint="eastAsia" w:ascii="宋体" w:hAnsi="宋体" w:eastAsia="宋体"/>
          <w:sz w:val="24"/>
          <w:highlight w:val="none"/>
        </w:rPr>
        <w:t>声明的真实性负责。如有虚假，将依法承担相应责任。</w:t>
      </w:r>
    </w:p>
    <w:p w14:paraId="2B2C3D70">
      <w:pPr>
        <w:spacing w:line="360" w:lineRule="auto"/>
        <w:ind w:firstLine="4800" w:firstLineChars="2000"/>
        <w:rPr>
          <w:rFonts w:ascii="宋体" w:hAnsi="宋体" w:eastAsia="宋体"/>
          <w:sz w:val="24"/>
          <w:highlight w:val="none"/>
          <w:u w:val="single"/>
        </w:rPr>
      </w:pPr>
      <w:r>
        <w:rPr>
          <w:rFonts w:hint="eastAsia" w:ascii="宋体" w:hAnsi="宋体" w:eastAsia="宋体"/>
          <w:sz w:val="24"/>
          <w:highlight w:val="none"/>
        </w:rPr>
        <w:t>供应商电子签章：</w:t>
      </w:r>
      <w:r>
        <w:rPr>
          <w:rFonts w:hint="eastAsia" w:ascii="宋体" w:hAnsi="宋体" w:eastAsia="宋体"/>
          <w:sz w:val="24"/>
          <w:highlight w:val="none"/>
          <w:u w:val="single"/>
        </w:rPr>
        <w:t xml:space="preserve">     </w:t>
      </w:r>
      <w:r>
        <w:rPr>
          <w:rFonts w:ascii="宋体" w:hAnsi="宋体" w:eastAsia="宋体"/>
          <w:sz w:val="24"/>
          <w:highlight w:val="none"/>
          <w:u w:val="single"/>
        </w:rPr>
        <w:t xml:space="preserve">    </w:t>
      </w:r>
      <w:r>
        <w:rPr>
          <w:rFonts w:hint="eastAsia" w:ascii="宋体" w:hAnsi="宋体" w:eastAsia="宋体"/>
          <w:sz w:val="24"/>
          <w:highlight w:val="none"/>
          <w:u w:val="single"/>
        </w:rPr>
        <w:t xml:space="preserve">    </w:t>
      </w:r>
    </w:p>
    <w:p w14:paraId="7A53B90A">
      <w:pPr>
        <w:tabs>
          <w:tab w:val="left" w:pos="630"/>
        </w:tabs>
        <w:spacing w:line="360" w:lineRule="auto"/>
        <w:ind w:firstLine="4800" w:firstLineChars="2000"/>
        <w:rPr>
          <w:rFonts w:ascii="宋体" w:hAnsi="宋体" w:eastAsia="宋体"/>
          <w:sz w:val="24"/>
          <w:highlight w:val="none"/>
          <w:u w:val="single"/>
        </w:rPr>
      </w:pPr>
      <w:r>
        <w:rPr>
          <w:rFonts w:hint="eastAsia" w:ascii="宋体" w:hAnsi="宋体" w:eastAsia="宋体"/>
          <w:sz w:val="24"/>
          <w:highlight w:val="none"/>
        </w:rPr>
        <w:t xml:space="preserve">日     </w:t>
      </w:r>
      <w:r>
        <w:rPr>
          <w:rFonts w:ascii="宋体" w:hAnsi="宋体" w:eastAsia="宋体"/>
          <w:sz w:val="24"/>
          <w:highlight w:val="none"/>
        </w:rPr>
        <w:t xml:space="preserve">    </w:t>
      </w:r>
      <w:r>
        <w:rPr>
          <w:rFonts w:hint="eastAsia" w:ascii="宋体" w:hAnsi="宋体" w:eastAsia="宋体"/>
          <w:sz w:val="24"/>
          <w:highlight w:val="none"/>
        </w:rPr>
        <w:t xml:space="preserve"> 期：</w:t>
      </w:r>
      <w:r>
        <w:rPr>
          <w:rFonts w:hint="eastAsia" w:ascii="宋体" w:hAnsi="宋体" w:eastAsia="宋体"/>
          <w:sz w:val="24"/>
          <w:highlight w:val="none"/>
          <w:u w:val="single"/>
        </w:rPr>
        <w:t xml:space="preserve">             </w:t>
      </w:r>
    </w:p>
    <w:p w14:paraId="01A1BE34">
      <w:pPr>
        <w:spacing w:line="440" w:lineRule="exact"/>
        <w:ind w:firstLine="4800" w:firstLineChars="2000"/>
        <w:rPr>
          <w:rFonts w:ascii="宋体" w:hAnsi="宋体" w:eastAsia="宋体"/>
          <w:sz w:val="24"/>
          <w:szCs w:val="24"/>
          <w:highlight w:val="none"/>
          <w:u w:val="single"/>
        </w:rPr>
      </w:pPr>
    </w:p>
    <w:p w14:paraId="718A0DE2">
      <w:pPr>
        <w:widowControl/>
        <w:jc w:val="left"/>
        <w:rPr>
          <w:rFonts w:ascii="宋体" w:hAnsi="宋体" w:eastAsia="宋体"/>
          <w:sz w:val="24"/>
          <w:highlight w:val="none"/>
        </w:rPr>
      </w:pPr>
      <w:r>
        <w:rPr>
          <w:rFonts w:ascii="宋体" w:hAnsi="宋体" w:eastAsia="宋体"/>
          <w:sz w:val="24"/>
          <w:highlight w:val="none"/>
        </w:rPr>
        <w:br w:type="page"/>
      </w:r>
    </w:p>
    <w:p w14:paraId="15A1B37D">
      <w:pPr>
        <w:spacing w:line="360" w:lineRule="auto"/>
        <w:jc w:val="center"/>
        <w:outlineLvl w:val="1"/>
        <w:rPr>
          <w:rFonts w:asciiTheme="minorEastAsia" w:hAnsiTheme="minorEastAsia" w:eastAsiaTheme="minorEastAsia"/>
          <w:b/>
          <w:sz w:val="24"/>
          <w:highlight w:val="none"/>
        </w:rPr>
      </w:pPr>
      <w:bookmarkStart w:id="271" w:name="_Toc7444"/>
      <w:bookmarkStart w:id="272" w:name="_Toc204594911"/>
      <w:bookmarkStart w:id="273" w:name="_Toc26922"/>
      <w:bookmarkStart w:id="274" w:name="_Toc31518"/>
      <w:bookmarkStart w:id="275" w:name="_Toc121626298"/>
      <w:bookmarkStart w:id="276" w:name="_Toc516969106"/>
      <w:bookmarkStart w:id="277" w:name="_Toc520983594"/>
      <w:r>
        <w:rPr>
          <w:rFonts w:hint="eastAsia" w:asciiTheme="minorEastAsia" w:hAnsiTheme="minorEastAsia" w:eastAsiaTheme="minorEastAsia"/>
          <w:b/>
          <w:sz w:val="24"/>
          <w:highlight w:val="none"/>
        </w:rPr>
        <w:t>五、授权书</w:t>
      </w:r>
      <w:bookmarkEnd w:id="271"/>
      <w:bookmarkEnd w:id="272"/>
      <w:bookmarkEnd w:id="273"/>
      <w:bookmarkEnd w:id="274"/>
      <w:bookmarkEnd w:id="275"/>
      <w:bookmarkEnd w:id="276"/>
      <w:bookmarkEnd w:id="277"/>
    </w:p>
    <w:p w14:paraId="08C5A3A5">
      <w:pPr>
        <w:spacing w:line="360" w:lineRule="auto"/>
        <w:jc w:val="center"/>
        <w:rPr>
          <w:rFonts w:asciiTheme="minorEastAsia" w:hAnsiTheme="minorEastAsia" w:eastAsiaTheme="minorEastAsia"/>
          <w:b/>
          <w:sz w:val="24"/>
          <w:highlight w:val="none"/>
        </w:rPr>
      </w:pPr>
    </w:p>
    <w:p w14:paraId="0D7EAA60">
      <w:pPr>
        <w:pStyle w:val="13"/>
        <w:snapToGrid w:val="0"/>
        <w:spacing w:line="360" w:lineRule="auto"/>
        <w:ind w:firstLine="480" w:firstLineChars="200"/>
        <w:jc w:val="left"/>
        <w:rPr>
          <w:rFonts w:hAnsi="宋体" w:eastAsia="宋体"/>
          <w:sz w:val="24"/>
          <w:szCs w:val="28"/>
          <w:highlight w:val="none"/>
        </w:rPr>
      </w:pPr>
      <w:r>
        <w:rPr>
          <w:rFonts w:hint="eastAsia" w:hAnsi="宋体" w:eastAsia="宋体"/>
          <w:sz w:val="24"/>
          <w:szCs w:val="28"/>
          <w:highlight w:val="none"/>
        </w:rPr>
        <w:t>本授权书声明：</w:t>
      </w:r>
      <w:r>
        <w:rPr>
          <w:rFonts w:hint="eastAsia" w:hAnsi="宋体" w:eastAsia="宋体"/>
          <w:sz w:val="24"/>
          <w:szCs w:val="28"/>
          <w:highlight w:val="none"/>
          <w:u w:val="single"/>
        </w:rPr>
        <w:t xml:space="preserve">           </w:t>
      </w:r>
      <w:r>
        <w:rPr>
          <w:rFonts w:hint="eastAsia" w:hAnsi="宋体" w:eastAsia="宋体"/>
          <w:sz w:val="24"/>
          <w:szCs w:val="28"/>
          <w:highlight w:val="none"/>
        </w:rPr>
        <w:t>（供应商名称）授权</w:t>
      </w:r>
      <w:r>
        <w:rPr>
          <w:rFonts w:hint="eastAsia" w:hAnsi="宋体" w:eastAsia="宋体"/>
          <w:sz w:val="24"/>
          <w:szCs w:val="28"/>
          <w:highlight w:val="none"/>
          <w:u w:val="single"/>
        </w:rPr>
        <w:t xml:space="preserve">       </w:t>
      </w:r>
      <w:r>
        <w:rPr>
          <w:rFonts w:hint="eastAsia" w:hAnsi="宋体" w:eastAsia="宋体"/>
          <w:sz w:val="24"/>
          <w:szCs w:val="28"/>
          <w:highlight w:val="none"/>
        </w:rPr>
        <w:t>（供应商授权代表姓名）代表我方参加本项目</w:t>
      </w:r>
      <w:r>
        <w:rPr>
          <w:rFonts w:hint="eastAsia" w:hAnsi="宋体" w:eastAsia="宋体"/>
          <w:bCs/>
          <w:sz w:val="24"/>
          <w:szCs w:val="28"/>
          <w:highlight w:val="none"/>
        </w:rPr>
        <w:t>采购活动</w:t>
      </w:r>
      <w:r>
        <w:rPr>
          <w:rFonts w:hint="eastAsia" w:hAnsi="宋体" w:eastAsia="宋体"/>
          <w:sz w:val="24"/>
          <w:szCs w:val="28"/>
          <w:highlight w:val="none"/>
        </w:rPr>
        <w:t>，全权代表我方处理磋商过程的一切事宜，包括但不限于：提交响应文件、参与磋商、签约等。供应商授权代表在采购活动过程中所签署的一切文件和处理与之有关的一切事务，本公司均予以认可并对此承担责任。供应商授权代表无转委托权。特此授权。</w:t>
      </w:r>
    </w:p>
    <w:p w14:paraId="1A8237C1">
      <w:pPr>
        <w:pStyle w:val="13"/>
        <w:snapToGrid w:val="0"/>
        <w:spacing w:line="360" w:lineRule="auto"/>
        <w:ind w:firstLine="480" w:firstLineChars="200"/>
        <w:jc w:val="left"/>
        <w:rPr>
          <w:rFonts w:hAnsi="宋体" w:eastAsia="宋体"/>
          <w:sz w:val="24"/>
          <w:szCs w:val="28"/>
          <w:highlight w:val="none"/>
        </w:rPr>
      </w:pPr>
      <w:r>
        <w:rPr>
          <w:rFonts w:hint="eastAsia" w:hAnsi="宋体" w:eastAsia="宋体"/>
          <w:sz w:val="24"/>
          <w:szCs w:val="28"/>
          <w:highlight w:val="none"/>
        </w:rPr>
        <w:t>本授权书自出具之日起生效。</w:t>
      </w:r>
    </w:p>
    <w:p w14:paraId="04C84AD4">
      <w:pPr>
        <w:pStyle w:val="13"/>
        <w:snapToGrid w:val="0"/>
        <w:spacing w:line="360" w:lineRule="auto"/>
        <w:ind w:firstLine="480" w:firstLineChars="200"/>
        <w:jc w:val="left"/>
        <w:rPr>
          <w:rFonts w:hAnsi="宋体" w:eastAsia="宋体"/>
          <w:sz w:val="24"/>
          <w:highlight w:val="none"/>
        </w:rPr>
      </w:pPr>
      <w:r>
        <w:rPr>
          <w:rFonts w:hint="eastAsia" w:hAnsi="宋体" w:eastAsia="宋体"/>
          <w:sz w:val="24"/>
          <w:szCs w:val="28"/>
          <w:highlight w:val="none"/>
        </w:rPr>
        <w:t>授权代表</w:t>
      </w:r>
      <w:r>
        <w:rPr>
          <w:rFonts w:hint="eastAsia" w:hAnsi="宋体" w:eastAsia="宋体"/>
          <w:sz w:val="24"/>
          <w:highlight w:val="none"/>
        </w:rPr>
        <w:t>身份证明扫描件：</w:t>
      </w:r>
    </w:p>
    <w:p w14:paraId="0009A0F1">
      <w:pPr>
        <w:pStyle w:val="13"/>
        <w:snapToGrid w:val="0"/>
        <w:spacing w:line="360" w:lineRule="auto"/>
        <w:ind w:firstLine="480" w:firstLineChars="200"/>
        <w:jc w:val="left"/>
        <w:rPr>
          <w:rFonts w:hAnsi="宋体" w:eastAsia="宋体"/>
          <w:sz w:val="24"/>
          <w:highlight w:val="none"/>
        </w:rPr>
      </w:pPr>
    </w:p>
    <w:p w14:paraId="1F1FB8DA">
      <w:pPr>
        <w:pStyle w:val="13"/>
        <w:snapToGrid w:val="0"/>
        <w:spacing w:line="360" w:lineRule="auto"/>
        <w:ind w:firstLine="480" w:firstLineChars="200"/>
        <w:jc w:val="left"/>
        <w:rPr>
          <w:rFonts w:hAnsi="宋体" w:eastAsia="宋体"/>
          <w:sz w:val="24"/>
          <w:highlight w:val="none"/>
        </w:rPr>
      </w:pPr>
    </w:p>
    <w:p w14:paraId="74F0DC2B">
      <w:pPr>
        <w:pStyle w:val="13"/>
        <w:snapToGrid w:val="0"/>
        <w:spacing w:line="360" w:lineRule="auto"/>
        <w:ind w:firstLine="480" w:firstLineChars="200"/>
        <w:jc w:val="left"/>
        <w:rPr>
          <w:rFonts w:hAnsi="宋体" w:eastAsia="宋体"/>
          <w:sz w:val="24"/>
          <w:highlight w:val="none"/>
        </w:rPr>
      </w:pPr>
    </w:p>
    <w:p w14:paraId="0EC734FF">
      <w:pPr>
        <w:pStyle w:val="13"/>
        <w:snapToGrid w:val="0"/>
        <w:spacing w:line="360" w:lineRule="auto"/>
        <w:ind w:firstLine="480" w:firstLineChars="200"/>
        <w:jc w:val="left"/>
        <w:rPr>
          <w:rFonts w:hAnsi="宋体" w:eastAsia="宋体"/>
          <w:sz w:val="24"/>
          <w:highlight w:val="none"/>
        </w:rPr>
      </w:pPr>
    </w:p>
    <w:p w14:paraId="796F5F75">
      <w:pPr>
        <w:pStyle w:val="13"/>
        <w:snapToGrid w:val="0"/>
        <w:spacing w:line="360" w:lineRule="auto"/>
        <w:ind w:firstLine="480" w:firstLineChars="200"/>
        <w:jc w:val="left"/>
        <w:rPr>
          <w:rFonts w:hAnsi="宋体" w:eastAsia="宋体"/>
          <w:sz w:val="24"/>
          <w:szCs w:val="28"/>
          <w:highlight w:val="none"/>
          <w:u w:val="single"/>
        </w:rPr>
      </w:pPr>
      <w:r>
        <w:rPr>
          <w:rFonts w:hint="eastAsia" w:hAnsi="宋体" w:eastAsia="宋体"/>
          <w:sz w:val="24"/>
          <w:szCs w:val="28"/>
          <w:highlight w:val="none"/>
        </w:rPr>
        <w:t>授权代表联系方式：</w:t>
      </w:r>
      <w:r>
        <w:rPr>
          <w:rFonts w:hint="eastAsia" w:hAnsi="宋体" w:eastAsia="宋体"/>
          <w:sz w:val="24"/>
          <w:szCs w:val="28"/>
          <w:highlight w:val="none"/>
          <w:u w:val="single"/>
        </w:rPr>
        <w:t xml:space="preserve">          （请填写手机号码）</w:t>
      </w:r>
    </w:p>
    <w:p w14:paraId="384F599C">
      <w:pPr>
        <w:pStyle w:val="13"/>
        <w:snapToGrid w:val="0"/>
        <w:spacing w:line="360" w:lineRule="auto"/>
        <w:ind w:firstLine="480" w:firstLineChars="200"/>
        <w:jc w:val="left"/>
        <w:rPr>
          <w:rFonts w:hAnsi="宋体" w:eastAsia="宋体"/>
          <w:sz w:val="24"/>
          <w:szCs w:val="28"/>
          <w:highlight w:val="none"/>
        </w:rPr>
      </w:pPr>
    </w:p>
    <w:p w14:paraId="4A5A4E1C">
      <w:pPr>
        <w:spacing w:line="360" w:lineRule="auto"/>
        <w:ind w:firstLine="360" w:firstLineChars="150"/>
        <w:rPr>
          <w:rFonts w:ascii="宋体" w:hAnsi="宋体" w:eastAsia="宋体"/>
          <w:sz w:val="24"/>
          <w:szCs w:val="28"/>
          <w:highlight w:val="none"/>
        </w:rPr>
      </w:pPr>
      <w:r>
        <w:rPr>
          <w:rFonts w:hint="eastAsia" w:ascii="宋体" w:hAnsi="宋体" w:eastAsia="宋体"/>
          <w:sz w:val="24"/>
          <w:szCs w:val="28"/>
          <w:highlight w:val="none"/>
        </w:rPr>
        <w:t>特此声明。</w:t>
      </w:r>
    </w:p>
    <w:p w14:paraId="118AE0D0">
      <w:pPr>
        <w:spacing w:line="360" w:lineRule="auto"/>
        <w:rPr>
          <w:rFonts w:ascii="宋体" w:hAnsi="宋体" w:eastAsia="宋体"/>
          <w:sz w:val="24"/>
          <w:szCs w:val="28"/>
          <w:highlight w:val="none"/>
        </w:rPr>
      </w:pPr>
    </w:p>
    <w:p w14:paraId="34F6AD4A">
      <w:pPr>
        <w:spacing w:line="360" w:lineRule="auto"/>
        <w:ind w:firstLine="4800" w:firstLineChars="2000"/>
        <w:rPr>
          <w:rFonts w:ascii="宋体" w:hAnsi="宋体" w:eastAsia="宋体"/>
          <w:sz w:val="24"/>
          <w:highlight w:val="none"/>
          <w:u w:val="single"/>
        </w:rPr>
      </w:pPr>
      <w:r>
        <w:rPr>
          <w:rFonts w:hint="eastAsia" w:ascii="宋体" w:hAnsi="宋体" w:eastAsia="宋体"/>
          <w:sz w:val="24"/>
          <w:highlight w:val="none"/>
        </w:rPr>
        <w:t>供应商电子签章：</w:t>
      </w:r>
      <w:r>
        <w:rPr>
          <w:rFonts w:hint="eastAsia" w:ascii="宋体" w:hAnsi="宋体" w:eastAsia="宋体"/>
          <w:sz w:val="24"/>
          <w:highlight w:val="none"/>
          <w:u w:val="single"/>
        </w:rPr>
        <w:t xml:space="preserve">     </w:t>
      </w:r>
      <w:r>
        <w:rPr>
          <w:rFonts w:ascii="宋体" w:hAnsi="宋体" w:eastAsia="宋体"/>
          <w:sz w:val="24"/>
          <w:highlight w:val="none"/>
          <w:u w:val="single"/>
        </w:rPr>
        <w:t xml:space="preserve">    </w:t>
      </w:r>
      <w:r>
        <w:rPr>
          <w:rFonts w:hint="eastAsia" w:ascii="宋体" w:hAnsi="宋体" w:eastAsia="宋体"/>
          <w:sz w:val="24"/>
          <w:highlight w:val="none"/>
          <w:u w:val="single"/>
        </w:rPr>
        <w:t xml:space="preserve">    </w:t>
      </w:r>
    </w:p>
    <w:p w14:paraId="3FF06C5B">
      <w:pPr>
        <w:tabs>
          <w:tab w:val="left" w:pos="630"/>
        </w:tabs>
        <w:spacing w:line="360" w:lineRule="auto"/>
        <w:ind w:firstLine="4800" w:firstLineChars="2000"/>
        <w:rPr>
          <w:rFonts w:ascii="宋体" w:hAnsi="宋体" w:eastAsia="宋体"/>
          <w:sz w:val="24"/>
          <w:szCs w:val="28"/>
          <w:highlight w:val="none"/>
        </w:rPr>
      </w:pPr>
      <w:r>
        <w:rPr>
          <w:rFonts w:hint="eastAsia" w:ascii="宋体" w:hAnsi="宋体" w:eastAsia="宋体"/>
          <w:sz w:val="24"/>
          <w:highlight w:val="none"/>
        </w:rPr>
        <w:t xml:space="preserve">日     </w:t>
      </w:r>
      <w:r>
        <w:rPr>
          <w:rFonts w:ascii="宋体" w:hAnsi="宋体" w:eastAsia="宋体"/>
          <w:sz w:val="24"/>
          <w:highlight w:val="none"/>
        </w:rPr>
        <w:t xml:space="preserve">    </w:t>
      </w:r>
      <w:r>
        <w:rPr>
          <w:rFonts w:hint="eastAsia" w:ascii="宋体" w:hAnsi="宋体" w:eastAsia="宋体"/>
          <w:sz w:val="24"/>
          <w:highlight w:val="none"/>
        </w:rPr>
        <w:t xml:space="preserve"> 期：</w:t>
      </w:r>
      <w:r>
        <w:rPr>
          <w:rFonts w:hint="eastAsia" w:ascii="宋体" w:hAnsi="宋体" w:eastAsia="宋体"/>
          <w:sz w:val="24"/>
          <w:highlight w:val="none"/>
          <w:u w:val="single"/>
        </w:rPr>
        <w:t xml:space="preserve">             </w:t>
      </w:r>
    </w:p>
    <w:p w14:paraId="037F748F">
      <w:pPr>
        <w:spacing w:line="360" w:lineRule="auto"/>
        <w:rPr>
          <w:rFonts w:ascii="宋体" w:hAnsi="宋体" w:eastAsia="宋体"/>
          <w:sz w:val="24"/>
          <w:szCs w:val="28"/>
          <w:highlight w:val="none"/>
        </w:rPr>
      </w:pPr>
    </w:p>
    <w:p w14:paraId="705CCCA2">
      <w:pPr>
        <w:spacing w:line="360" w:lineRule="auto"/>
        <w:rPr>
          <w:rFonts w:ascii="宋体" w:hAnsi="宋体" w:eastAsia="宋体"/>
          <w:sz w:val="24"/>
          <w:szCs w:val="28"/>
          <w:highlight w:val="none"/>
        </w:rPr>
      </w:pPr>
    </w:p>
    <w:p w14:paraId="3F1B88E6">
      <w:pPr>
        <w:pStyle w:val="13"/>
        <w:snapToGrid w:val="0"/>
        <w:spacing w:line="360" w:lineRule="auto"/>
        <w:jc w:val="left"/>
        <w:rPr>
          <w:rFonts w:hAnsi="宋体" w:eastAsia="宋体"/>
          <w:sz w:val="24"/>
          <w:szCs w:val="28"/>
          <w:highlight w:val="none"/>
        </w:rPr>
      </w:pPr>
      <w:r>
        <w:rPr>
          <w:rFonts w:hint="eastAsia" w:hAnsi="宋体" w:eastAsia="宋体"/>
          <w:sz w:val="24"/>
          <w:szCs w:val="28"/>
          <w:highlight w:val="none"/>
        </w:rPr>
        <w:t>注：</w:t>
      </w:r>
    </w:p>
    <w:p w14:paraId="01C51AF6">
      <w:pPr>
        <w:pStyle w:val="13"/>
        <w:snapToGrid w:val="0"/>
        <w:spacing w:line="360" w:lineRule="auto"/>
        <w:jc w:val="left"/>
        <w:rPr>
          <w:rFonts w:hAnsi="宋体" w:eastAsia="宋体"/>
          <w:sz w:val="24"/>
          <w:szCs w:val="28"/>
          <w:highlight w:val="none"/>
        </w:rPr>
      </w:pPr>
      <w:r>
        <w:rPr>
          <w:rFonts w:hint="eastAsia" w:hAnsi="宋体" w:eastAsia="宋体"/>
          <w:sz w:val="24"/>
          <w:szCs w:val="28"/>
          <w:highlight w:val="none"/>
        </w:rPr>
        <w:t>1.本项目只允许有唯一的供应商授权代表，提供身份证明扫描件；</w:t>
      </w:r>
    </w:p>
    <w:p w14:paraId="62256624">
      <w:pPr>
        <w:spacing w:line="360" w:lineRule="auto"/>
        <w:jc w:val="left"/>
        <w:rPr>
          <w:rFonts w:ascii="宋体" w:hAnsi="宋体" w:eastAsia="宋体"/>
          <w:sz w:val="24"/>
          <w:highlight w:val="none"/>
        </w:rPr>
      </w:pPr>
      <w:r>
        <w:rPr>
          <w:rFonts w:hint="eastAsia" w:ascii="宋体" w:hAnsi="宋体" w:eastAsia="宋体"/>
          <w:sz w:val="24"/>
          <w:highlight w:val="none"/>
        </w:rPr>
        <w:t>2.法定代表人参加磋商的无需提供授权书，仅提供身份证明扫描件。</w:t>
      </w:r>
    </w:p>
    <w:p w14:paraId="0C891556">
      <w:pPr>
        <w:widowControl/>
        <w:jc w:val="left"/>
        <w:rPr>
          <w:rFonts w:ascii="宋体" w:hAnsi="宋体" w:eastAsia="宋体"/>
          <w:sz w:val="24"/>
          <w:highlight w:val="none"/>
        </w:rPr>
      </w:pPr>
      <w:r>
        <w:rPr>
          <w:rFonts w:ascii="宋体" w:hAnsi="宋体" w:eastAsia="宋体"/>
          <w:sz w:val="24"/>
          <w:highlight w:val="none"/>
        </w:rPr>
        <w:br w:type="page"/>
      </w:r>
    </w:p>
    <w:p w14:paraId="11E2AD26">
      <w:pPr>
        <w:spacing w:line="360" w:lineRule="auto"/>
        <w:jc w:val="center"/>
        <w:outlineLvl w:val="1"/>
        <w:rPr>
          <w:rFonts w:asciiTheme="minorEastAsia" w:hAnsiTheme="minorEastAsia" w:eastAsiaTheme="minorEastAsia"/>
          <w:b/>
          <w:sz w:val="24"/>
          <w:highlight w:val="none"/>
        </w:rPr>
      </w:pPr>
      <w:bookmarkStart w:id="278" w:name="_Toc22233"/>
      <w:bookmarkStart w:id="279" w:name="_Toc439"/>
      <w:bookmarkStart w:id="280" w:name="_Toc28033"/>
      <w:r>
        <w:rPr>
          <w:rFonts w:hint="eastAsia" w:asciiTheme="minorEastAsia" w:hAnsiTheme="minorEastAsia" w:eastAsiaTheme="minorEastAsia"/>
          <w:b/>
          <w:sz w:val="24"/>
          <w:highlight w:val="none"/>
        </w:rPr>
        <w:t>六、磋商响应表</w:t>
      </w:r>
      <w:bookmarkEnd w:id="278"/>
      <w:bookmarkEnd w:id="279"/>
      <w:bookmarkEnd w:id="280"/>
    </w:p>
    <w:p w14:paraId="646FC57B">
      <w:pPr>
        <w:spacing w:line="360" w:lineRule="auto"/>
        <w:ind w:firstLine="435"/>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6</w:t>
      </w:r>
      <w:r>
        <w:rPr>
          <w:rFonts w:asciiTheme="minorEastAsia" w:hAnsiTheme="minorEastAsia" w:eastAsiaTheme="minorEastAsia"/>
          <w:b/>
          <w:sz w:val="24"/>
          <w:highlight w:val="none"/>
        </w:rPr>
        <w:t>.1</w:t>
      </w:r>
      <w:r>
        <w:rPr>
          <w:rFonts w:hint="eastAsia" w:asciiTheme="minorEastAsia" w:hAnsiTheme="minorEastAsia" w:eastAsiaTheme="minorEastAsia"/>
          <w:b/>
          <w:sz w:val="24"/>
          <w:highlight w:val="none"/>
        </w:rPr>
        <w:t>商务响应表</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
        <w:gridCol w:w="2102"/>
        <w:gridCol w:w="2739"/>
        <w:gridCol w:w="2823"/>
        <w:gridCol w:w="888"/>
      </w:tblGrid>
      <w:tr w14:paraId="0D841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4" w:type="pct"/>
            <w:vAlign w:val="center"/>
          </w:tcPr>
          <w:p w14:paraId="4D0A6D92">
            <w:pPr>
              <w:pStyle w:val="13"/>
              <w:jc w:val="center"/>
              <w:rPr>
                <w:rFonts w:cs="Wingdings" w:asciiTheme="minorEastAsia" w:hAnsiTheme="minorEastAsia"/>
                <w:b/>
                <w:sz w:val="24"/>
                <w:highlight w:val="none"/>
              </w:rPr>
            </w:pPr>
            <w:r>
              <w:rPr>
                <w:rFonts w:hint="eastAsia" w:cs="Wingdings" w:asciiTheme="minorEastAsia" w:hAnsiTheme="minorEastAsia"/>
                <w:b/>
                <w:sz w:val="24"/>
                <w:highlight w:val="none"/>
              </w:rPr>
              <w:t>序号</w:t>
            </w:r>
          </w:p>
        </w:tc>
        <w:tc>
          <w:tcPr>
            <w:tcW w:w="1124" w:type="pct"/>
            <w:vAlign w:val="center"/>
          </w:tcPr>
          <w:p w14:paraId="34A43A97">
            <w:pPr>
              <w:pStyle w:val="13"/>
              <w:jc w:val="center"/>
              <w:rPr>
                <w:rFonts w:cs="Wingdings" w:asciiTheme="minorEastAsia" w:hAnsiTheme="minorEastAsia"/>
                <w:b/>
                <w:sz w:val="24"/>
                <w:highlight w:val="none"/>
              </w:rPr>
            </w:pPr>
            <w:r>
              <w:rPr>
                <w:rFonts w:hint="eastAsia" w:asciiTheme="minorEastAsia" w:hAnsiTheme="minorEastAsia"/>
                <w:b/>
                <w:bCs/>
                <w:sz w:val="24"/>
                <w:szCs w:val="24"/>
                <w:highlight w:val="none"/>
              </w:rPr>
              <w:t>商务条款</w:t>
            </w:r>
          </w:p>
        </w:tc>
        <w:tc>
          <w:tcPr>
            <w:tcW w:w="1465" w:type="pct"/>
            <w:vAlign w:val="center"/>
          </w:tcPr>
          <w:p w14:paraId="1B6431CD">
            <w:pPr>
              <w:pStyle w:val="13"/>
              <w:jc w:val="center"/>
              <w:rPr>
                <w:rFonts w:cs="Wingdings" w:asciiTheme="minorEastAsia" w:hAnsiTheme="minorEastAsia"/>
                <w:b/>
                <w:sz w:val="24"/>
                <w:highlight w:val="none"/>
              </w:rPr>
            </w:pPr>
            <w:r>
              <w:rPr>
                <w:rFonts w:hint="eastAsia" w:cs="Wingdings" w:asciiTheme="minorEastAsia" w:hAnsiTheme="minorEastAsia"/>
                <w:b/>
                <w:sz w:val="24"/>
                <w:highlight w:val="none"/>
              </w:rPr>
              <w:t>磋商文件要求</w:t>
            </w:r>
          </w:p>
        </w:tc>
        <w:tc>
          <w:tcPr>
            <w:tcW w:w="1510" w:type="pct"/>
            <w:vAlign w:val="center"/>
          </w:tcPr>
          <w:p w14:paraId="18203E1C">
            <w:pPr>
              <w:pStyle w:val="13"/>
              <w:jc w:val="center"/>
              <w:rPr>
                <w:rFonts w:cs="Wingdings" w:asciiTheme="minorEastAsia" w:hAnsiTheme="minorEastAsia"/>
                <w:b/>
                <w:sz w:val="24"/>
                <w:highlight w:val="none"/>
              </w:rPr>
            </w:pPr>
            <w:r>
              <w:rPr>
                <w:rFonts w:hint="eastAsia" w:cs="Wingdings" w:asciiTheme="minorEastAsia" w:hAnsiTheme="minorEastAsia"/>
                <w:b/>
                <w:sz w:val="24"/>
                <w:highlight w:val="none"/>
              </w:rPr>
              <w:t>供应商承诺</w:t>
            </w:r>
          </w:p>
        </w:tc>
        <w:tc>
          <w:tcPr>
            <w:tcW w:w="475" w:type="pct"/>
            <w:vAlign w:val="center"/>
          </w:tcPr>
          <w:p w14:paraId="57660A01">
            <w:pPr>
              <w:pStyle w:val="13"/>
              <w:jc w:val="center"/>
              <w:rPr>
                <w:rFonts w:cs="Wingdings" w:asciiTheme="minorEastAsia" w:hAnsiTheme="minorEastAsia"/>
                <w:b/>
                <w:sz w:val="24"/>
                <w:highlight w:val="none"/>
              </w:rPr>
            </w:pPr>
            <w:r>
              <w:rPr>
                <w:rFonts w:hint="eastAsia" w:cs="Wingdings" w:asciiTheme="minorEastAsia" w:hAnsiTheme="minorEastAsia"/>
                <w:b/>
                <w:sz w:val="24"/>
                <w:highlight w:val="none"/>
              </w:rPr>
              <w:t>偏离说明</w:t>
            </w:r>
          </w:p>
        </w:tc>
      </w:tr>
      <w:tr w14:paraId="6E115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71E17A99">
            <w:pPr>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1</w:t>
            </w:r>
          </w:p>
        </w:tc>
        <w:tc>
          <w:tcPr>
            <w:tcW w:w="1124" w:type="pct"/>
            <w:vAlign w:val="center"/>
          </w:tcPr>
          <w:p w14:paraId="5A366B47">
            <w:pPr>
              <w:jc w:val="center"/>
              <w:rPr>
                <w:rFonts w:ascii="宋体" w:hAnsi="宋体" w:eastAsia="宋体"/>
                <w:sz w:val="24"/>
                <w:highlight w:val="none"/>
              </w:rPr>
            </w:pPr>
            <w:r>
              <w:rPr>
                <w:rFonts w:asciiTheme="minorEastAsia" w:hAnsiTheme="minorEastAsia" w:eastAsiaTheme="minorEastAsia"/>
                <w:sz w:val="24"/>
                <w:highlight w:val="none"/>
              </w:rPr>
              <w:t>付款方式</w:t>
            </w:r>
          </w:p>
        </w:tc>
        <w:tc>
          <w:tcPr>
            <w:tcW w:w="1465" w:type="pct"/>
            <w:vAlign w:val="center"/>
          </w:tcPr>
          <w:p w14:paraId="62C2EE82">
            <w:pPr>
              <w:jc w:val="center"/>
              <w:rPr>
                <w:rFonts w:asciiTheme="minorEastAsia" w:hAnsiTheme="minorEastAsia" w:eastAsiaTheme="minorEastAsia"/>
                <w:sz w:val="24"/>
                <w:highlight w:val="none"/>
              </w:rPr>
            </w:pPr>
          </w:p>
        </w:tc>
        <w:tc>
          <w:tcPr>
            <w:tcW w:w="1510" w:type="pct"/>
            <w:vAlign w:val="center"/>
          </w:tcPr>
          <w:p w14:paraId="069A44FB">
            <w:pPr>
              <w:jc w:val="center"/>
              <w:rPr>
                <w:rFonts w:asciiTheme="minorEastAsia" w:hAnsiTheme="minorEastAsia" w:eastAsiaTheme="minorEastAsia"/>
                <w:sz w:val="24"/>
                <w:highlight w:val="none"/>
              </w:rPr>
            </w:pPr>
          </w:p>
        </w:tc>
        <w:tc>
          <w:tcPr>
            <w:tcW w:w="475" w:type="pct"/>
            <w:vAlign w:val="center"/>
          </w:tcPr>
          <w:p w14:paraId="04621446">
            <w:pPr>
              <w:jc w:val="center"/>
              <w:rPr>
                <w:rFonts w:asciiTheme="minorEastAsia" w:hAnsiTheme="minorEastAsia" w:eastAsiaTheme="minorEastAsia"/>
                <w:sz w:val="24"/>
                <w:highlight w:val="none"/>
              </w:rPr>
            </w:pPr>
          </w:p>
        </w:tc>
      </w:tr>
      <w:tr w14:paraId="66140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479899AA">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w:t>
            </w:r>
          </w:p>
        </w:tc>
        <w:tc>
          <w:tcPr>
            <w:tcW w:w="1124" w:type="pct"/>
            <w:vAlign w:val="center"/>
          </w:tcPr>
          <w:p w14:paraId="6850D488">
            <w:pPr>
              <w:jc w:val="center"/>
              <w:rPr>
                <w:rFonts w:ascii="宋体" w:hAnsi="宋体" w:eastAsia="宋体"/>
                <w:sz w:val="24"/>
                <w:highlight w:val="none"/>
              </w:rPr>
            </w:pPr>
            <w:r>
              <w:rPr>
                <w:rFonts w:hint="eastAsia" w:ascii="宋体" w:hAnsi="宋体" w:eastAsia="宋体"/>
                <w:sz w:val="24"/>
                <w:highlight w:val="none"/>
              </w:rPr>
              <w:t>服务地点</w:t>
            </w:r>
          </w:p>
        </w:tc>
        <w:tc>
          <w:tcPr>
            <w:tcW w:w="1465" w:type="pct"/>
            <w:vAlign w:val="center"/>
          </w:tcPr>
          <w:p w14:paraId="2CA5581C">
            <w:pPr>
              <w:jc w:val="center"/>
              <w:rPr>
                <w:rFonts w:asciiTheme="minorEastAsia" w:hAnsiTheme="minorEastAsia" w:eastAsiaTheme="minorEastAsia"/>
                <w:sz w:val="24"/>
                <w:highlight w:val="none"/>
              </w:rPr>
            </w:pPr>
          </w:p>
        </w:tc>
        <w:tc>
          <w:tcPr>
            <w:tcW w:w="1510" w:type="pct"/>
            <w:vAlign w:val="center"/>
          </w:tcPr>
          <w:p w14:paraId="2B02F0BB">
            <w:pPr>
              <w:jc w:val="center"/>
              <w:rPr>
                <w:rFonts w:asciiTheme="minorEastAsia" w:hAnsiTheme="minorEastAsia" w:eastAsiaTheme="minorEastAsia"/>
                <w:sz w:val="24"/>
                <w:highlight w:val="none"/>
              </w:rPr>
            </w:pPr>
          </w:p>
        </w:tc>
        <w:tc>
          <w:tcPr>
            <w:tcW w:w="475" w:type="pct"/>
            <w:vAlign w:val="center"/>
          </w:tcPr>
          <w:p w14:paraId="4286A037">
            <w:pPr>
              <w:jc w:val="center"/>
              <w:rPr>
                <w:rFonts w:asciiTheme="minorEastAsia" w:hAnsiTheme="minorEastAsia" w:eastAsiaTheme="minorEastAsia"/>
                <w:sz w:val="24"/>
                <w:highlight w:val="none"/>
              </w:rPr>
            </w:pPr>
          </w:p>
        </w:tc>
      </w:tr>
      <w:tr w14:paraId="4E5AB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3D241D48">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w:t>
            </w:r>
          </w:p>
        </w:tc>
        <w:tc>
          <w:tcPr>
            <w:tcW w:w="1124" w:type="pct"/>
            <w:vAlign w:val="center"/>
          </w:tcPr>
          <w:p w14:paraId="4FF3DE72">
            <w:pPr>
              <w:jc w:val="center"/>
              <w:rPr>
                <w:rFonts w:ascii="宋体" w:hAnsi="宋体" w:eastAsia="宋体"/>
                <w:sz w:val="24"/>
                <w:highlight w:val="none"/>
              </w:rPr>
            </w:pPr>
            <w:r>
              <w:rPr>
                <w:rFonts w:hint="eastAsia" w:ascii="宋体" w:hAnsi="宋体" w:eastAsia="宋体"/>
                <w:sz w:val="24"/>
                <w:highlight w:val="none"/>
              </w:rPr>
              <w:t>服务期限</w:t>
            </w:r>
          </w:p>
        </w:tc>
        <w:tc>
          <w:tcPr>
            <w:tcW w:w="1465" w:type="pct"/>
            <w:vAlign w:val="center"/>
          </w:tcPr>
          <w:p w14:paraId="6D0CAF4B">
            <w:pPr>
              <w:jc w:val="center"/>
              <w:rPr>
                <w:rFonts w:asciiTheme="minorEastAsia" w:hAnsiTheme="minorEastAsia" w:eastAsiaTheme="minorEastAsia"/>
                <w:sz w:val="24"/>
                <w:highlight w:val="none"/>
              </w:rPr>
            </w:pPr>
          </w:p>
        </w:tc>
        <w:tc>
          <w:tcPr>
            <w:tcW w:w="1510" w:type="pct"/>
            <w:vAlign w:val="center"/>
          </w:tcPr>
          <w:p w14:paraId="53364831">
            <w:pPr>
              <w:pStyle w:val="53"/>
              <w:jc w:val="center"/>
              <w:rPr>
                <w:rFonts w:asciiTheme="minorEastAsia" w:hAnsiTheme="minorEastAsia" w:eastAsiaTheme="minorEastAsia"/>
                <w:highlight w:val="none"/>
              </w:rPr>
            </w:pPr>
          </w:p>
        </w:tc>
        <w:tc>
          <w:tcPr>
            <w:tcW w:w="475" w:type="pct"/>
            <w:vAlign w:val="center"/>
          </w:tcPr>
          <w:p w14:paraId="2E14C255">
            <w:pPr>
              <w:jc w:val="center"/>
              <w:rPr>
                <w:rFonts w:asciiTheme="minorEastAsia" w:hAnsiTheme="minorEastAsia" w:eastAsiaTheme="minorEastAsia"/>
                <w:sz w:val="24"/>
                <w:highlight w:val="none"/>
              </w:rPr>
            </w:pPr>
          </w:p>
        </w:tc>
      </w:tr>
      <w:tr w14:paraId="33E15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261361FD">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w:t>
            </w:r>
          </w:p>
        </w:tc>
        <w:tc>
          <w:tcPr>
            <w:tcW w:w="1124" w:type="pct"/>
            <w:vAlign w:val="center"/>
          </w:tcPr>
          <w:p w14:paraId="43317DAB">
            <w:pPr>
              <w:jc w:val="center"/>
              <w:rPr>
                <w:rFonts w:ascii="宋体" w:hAnsi="宋体" w:eastAsia="宋体"/>
                <w:sz w:val="24"/>
                <w:highlight w:val="none"/>
              </w:rPr>
            </w:pPr>
          </w:p>
        </w:tc>
        <w:tc>
          <w:tcPr>
            <w:tcW w:w="1465" w:type="pct"/>
            <w:vAlign w:val="center"/>
          </w:tcPr>
          <w:p w14:paraId="628A2B36">
            <w:pPr>
              <w:jc w:val="center"/>
              <w:rPr>
                <w:rFonts w:asciiTheme="minorEastAsia" w:hAnsiTheme="minorEastAsia" w:eastAsiaTheme="minorEastAsia"/>
                <w:sz w:val="24"/>
                <w:highlight w:val="none"/>
              </w:rPr>
            </w:pPr>
          </w:p>
        </w:tc>
        <w:tc>
          <w:tcPr>
            <w:tcW w:w="1510" w:type="pct"/>
            <w:vAlign w:val="center"/>
          </w:tcPr>
          <w:p w14:paraId="584268E5">
            <w:pPr>
              <w:jc w:val="center"/>
              <w:rPr>
                <w:rFonts w:asciiTheme="minorEastAsia" w:hAnsiTheme="minorEastAsia" w:eastAsiaTheme="minorEastAsia"/>
                <w:sz w:val="24"/>
                <w:highlight w:val="none"/>
              </w:rPr>
            </w:pPr>
          </w:p>
        </w:tc>
        <w:tc>
          <w:tcPr>
            <w:tcW w:w="475" w:type="pct"/>
            <w:vAlign w:val="center"/>
          </w:tcPr>
          <w:p w14:paraId="1F76FE5F">
            <w:pPr>
              <w:jc w:val="center"/>
              <w:rPr>
                <w:rFonts w:asciiTheme="minorEastAsia" w:hAnsiTheme="minorEastAsia" w:eastAsiaTheme="minorEastAsia"/>
                <w:sz w:val="24"/>
                <w:highlight w:val="none"/>
              </w:rPr>
            </w:pPr>
          </w:p>
        </w:tc>
      </w:tr>
    </w:tbl>
    <w:p w14:paraId="2BDB8025">
      <w:pPr>
        <w:spacing w:line="360" w:lineRule="auto"/>
        <w:ind w:firstLine="435"/>
        <w:outlineLvl w:val="2"/>
        <w:rPr>
          <w:rFonts w:asciiTheme="minorEastAsia" w:hAnsiTheme="minorEastAsia" w:eastAsiaTheme="minorEastAsia"/>
          <w:bCs/>
          <w:i/>
          <w:iCs/>
          <w:sz w:val="24"/>
          <w:highlight w:val="none"/>
        </w:rPr>
      </w:pPr>
      <w:r>
        <w:rPr>
          <w:rFonts w:hint="eastAsia" w:asciiTheme="minorEastAsia" w:hAnsiTheme="minorEastAsia" w:eastAsiaTheme="minorEastAsia"/>
          <w:b/>
          <w:sz w:val="24"/>
          <w:highlight w:val="none"/>
        </w:rPr>
        <w:t>6</w:t>
      </w:r>
      <w:r>
        <w:rPr>
          <w:rFonts w:asciiTheme="minorEastAsia" w:hAnsiTheme="minorEastAsia" w:eastAsiaTheme="minorEastAsia"/>
          <w:b/>
          <w:sz w:val="24"/>
          <w:highlight w:val="none"/>
        </w:rPr>
        <w:t>.2</w:t>
      </w:r>
      <w:r>
        <w:rPr>
          <w:rFonts w:hint="eastAsia" w:asciiTheme="minorEastAsia" w:hAnsiTheme="minorEastAsia" w:eastAsiaTheme="minorEastAsia"/>
          <w:b/>
          <w:sz w:val="24"/>
          <w:highlight w:val="none"/>
        </w:rPr>
        <w:t>技术响应表</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3"/>
        <w:gridCol w:w="1711"/>
        <w:gridCol w:w="3141"/>
        <w:gridCol w:w="2722"/>
        <w:gridCol w:w="938"/>
      </w:tblGrid>
      <w:tr w14:paraId="6BFDD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46" w:type="pct"/>
            <w:vAlign w:val="center"/>
          </w:tcPr>
          <w:p w14:paraId="770B9793">
            <w:pPr>
              <w:pStyle w:val="13"/>
              <w:jc w:val="center"/>
              <w:rPr>
                <w:rFonts w:cs="Wingdings" w:asciiTheme="minorEastAsia" w:hAnsiTheme="minorEastAsia"/>
                <w:b/>
                <w:sz w:val="24"/>
                <w:highlight w:val="none"/>
              </w:rPr>
            </w:pPr>
            <w:r>
              <w:rPr>
                <w:rFonts w:hint="eastAsia" w:cs="Wingdings" w:asciiTheme="minorEastAsia" w:hAnsiTheme="minorEastAsia"/>
                <w:b/>
                <w:sz w:val="24"/>
                <w:highlight w:val="none"/>
              </w:rPr>
              <w:t>序号</w:t>
            </w:r>
          </w:p>
        </w:tc>
        <w:tc>
          <w:tcPr>
            <w:tcW w:w="915" w:type="pct"/>
            <w:vAlign w:val="center"/>
          </w:tcPr>
          <w:p w14:paraId="20119402">
            <w:pPr>
              <w:pStyle w:val="13"/>
              <w:jc w:val="center"/>
              <w:rPr>
                <w:rFonts w:cs="Wingdings" w:asciiTheme="minorEastAsia" w:hAnsiTheme="minorEastAsia"/>
                <w:b/>
                <w:sz w:val="24"/>
                <w:highlight w:val="none"/>
              </w:rPr>
            </w:pPr>
            <w:r>
              <w:rPr>
                <w:rFonts w:hint="eastAsia" w:asciiTheme="minorEastAsia" w:hAnsiTheme="minorEastAsia"/>
                <w:b/>
                <w:bCs/>
                <w:sz w:val="24"/>
                <w:szCs w:val="24"/>
                <w:highlight w:val="none"/>
              </w:rPr>
              <w:t>服务名称</w:t>
            </w:r>
          </w:p>
        </w:tc>
        <w:tc>
          <w:tcPr>
            <w:tcW w:w="1680" w:type="pct"/>
            <w:vAlign w:val="center"/>
          </w:tcPr>
          <w:p w14:paraId="7491DF79">
            <w:pPr>
              <w:pStyle w:val="13"/>
              <w:jc w:val="center"/>
              <w:rPr>
                <w:rFonts w:cs="Wingdings" w:asciiTheme="minorEastAsia" w:hAnsiTheme="minorEastAsia"/>
                <w:b/>
                <w:sz w:val="24"/>
                <w:highlight w:val="none"/>
              </w:rPr>
            </w:pPr>
            <w:r>
              <w:rPr>
                <w:rFonts w:hint="eastAsia" w:cs="Wingdings" w:asciiTheme="minorEastAsia" w:hAnsiTheme="minorEastAsia"/>
                <w:b/>
                <w:sz w:val="24"/>
                <w:highlight w:val="none"/>
              </w:rPr>
              <w:t>磋商文件规定的技术参数要求</w:t>
            </w:r>
          </w:p>
        </w:tc>
        <w:tc>
          <w:tcPr>
            <w:tcW w:w="1456" w:type="pct"/>
            <w:vAlign w:val="center"/>
          </w:tcPr>
          <w:p w14:paraId="773219F6">
            <w:pPr>
              <w:pStyle w:val="13"/>
              <w:jc w:val="center"/>
              <w:rPr>
                <w:rFonts w:cs="Wingdings" w:asciiTheme="minorEastAsia" w:hAnsiTheme="minorEastAsia"/>
                <w:b/>
                <w:sz w:val="24"/>
                <w:highlight w:val="none"/>
              </w:rPr>
            </w:pPr>
            <w:r>
              <w:rPr>
                <w:rFonts w:hint="eastAsia" w:cs="Wingdings" w:asciiTheme="minorEastAsia" w:hAnsiTheme="minorEastAsia"/>
                <w:b/>
                <w:sz w:val="24"/>
                <w:highlight w:val="none"/>
              </w:rPr>
              <w:t>所投产品的品牌、型号及技术参数</w:t>
            </w:r>
          </w:p>
        </w:tc>
        <w:tc>
          <w:tcPr>
            <w:tcW w:w="502" w:type="pct"/>
            <w:vAlign w:val="center"/>
          </w:tcPr>
          <w:p w14:paraId="5F1E5894">
            <w:pPr>
              <w:pStyle w:val="13"/>
              <w:jc w:val="center"/>
              <w:rPr>
                <w:rFonts w:cs="Wingdings" w:asciiTheme="minorEastAsia" w:hAnsiTheme="minorEastAsia"/>
                <w:b/>
                <w:sz w:val="24"/>
                <w:highlight w:val="none"/>
              </w:rPr>
            </w:pPr>
            <w:r>
              <w:rPr>
                <w:rFonts w:hint="eastAsia" w:cs="Wingdings" w:asciiTheme="minorEastAsia" w:hAnsiTheme="minorEastAsia"/>
                <w:b/>
                <w:sz w:val="24"/>
                <w:highlight w:val="none"/>
              </w:rPr>
              <w:t>偏离说明</w:t>
            </w:r>
          </w:p>
        </w:tc>
      </w:tr>
      <w:tr w14:paraId="3DDF8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458EE2C1">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w:t>
            </w:r>
          </w:p>
        </w:tc>
        <w:tc>
          <w:tcPr>
            <w:tcW w:w="915" w:type="pct"/>
            <w:vAlign w:val="center"/>
          </w:tcPr>
          <w:p w14:paraId="034ACE20">
            <w:pPr>
              <w:jc w:val="center"/>
              <w:rPr>
                <w:rFonts w:asciiTheme="minorEastAsia" w:hAnsiTheme="minorEastAsia" w:eastAsiaTheme="minorEastAsia"/>
                <w:sz w:val="24"/>
                <w:highlight w:val="none"/>
              </w:rPr>
            </w:pPr>
          </w:p>
        </w:tc>
        <w:tc>
          <w:tcPr>
            <w:tcW w:w="1680" w:type="pct"/>
            <w:vAlign w:val="center"/>
          </w:tcPr>
          <w:p w14:paraId="7E1CBA3A">
            <w:pPr>
              <w:jc w:val="center"/>
              <w:rPr>
                <w:rFonts w:asciiTheme="minorEastAsia" w:hAnsiTheme="minorEastAsia" w:eastAsiaTheme="minorEastAsia"/>
                <w:sz w:val="24"/>
                <w:highlight w:val="none"/>
              </w:rPr>
            </w:pPr>
          </w:p>
        </w:tc>
        <w:tc>
          <w:tcPr>
            <w:tcW w:w="1456" w:type="pct"/>
            <w:vAlign w:val="center"/>
          </w:tcPr>
          <w:p w14:paraId="3148CA51">
            <w:pPr>
              <w:jc w:val="center"/>
              <w:rPr>
                <w:rFonts w:asciiTheme="minorEastAsia" w:hAnsiTheme="minorEastAsia" w:eastAsiaTheme="minorEastAsia"/>
                <w:sz w:val="24"/>
                <w:highlight w:val="none"/>
              </w:rPr>
            </w:pPr>
          </w:p>
        </w:tc>
        <w:tc>
          <w:tcPr>
            <w:tcW w:w="502" w:type="pct"/>
            <w:vAlign w:val="center"/>
          </w:tcPr>
          <w:p w14:paraId="5372352E">
            <w:pPr>
              <w:jc w:val="center"/>
              <w:rPr>
                <w:rFonts w:asciiTheme="minorEastAsia" w:hAnsiTheme="minorEastAsia" w:eastAsiaTheme="minorEastAsia"/>
                <w:sz w:val="24"/>
                <w:highlight w:val="none"/>
              </w:rPr>
            </w:pPr>
          </w:p>
        </w:tc>
      </w:tr>
      <w:tr w14:paraId="1221F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5FB15F56">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w:t>
            </w:r>
          </w:p>
        </w:tc>
        <w:tc>
          <w:tcPr>
            <w:tcW w:w="915" w:type="pct"/>
            <w:vAlign w:val="center"/>
          </w:tcPr>
          <w:p w14:paraId="309D871C">
            <w:pPr>
              <w:jc w:val="center"/>
              <w:rPr>
                <w:rFonts w:asciiTheme="minorEastAsia" w:hAnsiTheme="minorEastAsia" w:eastAsiaTheme="minorEastAsia"/>
                <w:sz w:val="24"/>
                <w:highlight w:val="none"/>
              </w:rPr>
            </w:pPr>
          </w:p>
        </w:tc>
        <w:tc>
          <w:tcPr>
            <w:tcW w:w="1680" w:type="pct"/>
            <w:vAlign w:val="center"/>
          </w:tcPr>
          <w:p w14:paraId="18BE06E6">
            <w:pPr>
              <w:jc w:val="center"/>
              <w:rPr>
                <w:rFonts w:asciiTheme="minorEastAsia" w:hAnsiTheme="minorEastAsia" w:eastAsiaTheme="minorEastAsia"/>
                <w:sz w:val="24"/>
                <w:highlight w:val="none"/>
              </w:rPr>
            </w:pPr>
          </w:p>
        </w:tc>
        <w:tc>
          <w:tcPr>
            <w:tcW w:w="1456" w:type="pct"/>
            <w:vAlign w:val="center"/>
          </w:tcPr>
          <w:p w14:paraId="63A9D77A">
            <w:pPr>
              <w:jc w:val="center"/>
              <w:rPr>
                <w:rFonts w:asciiTheme="minorEastAsia" w:hAnsiTheme="minorEastAsia" w:eastAsiaTheme="minorEastAsia"/>
                <w:sz w:val="24"/>
                <w:highlight w:val="none"/>
              </w:rPr>
            </w:pPr>
          </w:p>
        </w:tc>
        <w:tc>
          <w:tcPr>
            <w:tcW w:w="502" w:type="pct"/>
            <w:vAlign w:val="center"/>
          </w:tcPr>
          <w:p w14:paraId="4A2815A6">
            <w:pPr>
              <w:jc w:val="center"/>
              <w:rPr>
                <w:rFonts w:asciiTheme="minorEastAsia" w:hAnsiTheme="minorEastAsia" w:eastAsiaTheme="minorEastAsia"/>
                <w:sz w:val="24"/>
                <w:highlight w:val="none"/>
              </w:rPr>
            </w:pPr>
          </w:p>
        </w:tc>
      </w:tr>
      <w:tr w14:paraId="1EEB1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481D40D7">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w:t>
            </w:r>
          </w:p>
        </w:tc>
        <w:tc>
          <w:tcPr>
            <w:tcW w:w="915" w:type="pct"/>
            <w:vAlign w:val="center"/>
          </w:tcPr>
          <w:p w14:paraId="36C53BE3">
            <w:pPr>
              <w:jc w:val="center"/>
              <w:rPr>
                <w:rFonts w:asciiTheme="minorEastAsia" w:hAnsiTheme="minorEastAsia" w:eastAsiaTheme="minorEastAsia"/>
                <w:sz w:val="24"/>
                <w:highlight w:val="none"/>
              </w:rPr>
            </w:pPr>
          </w:p>
        </w:tc>
        <w:tc>
          <w:tcPr>
            <w:tcW w:w="1680" w:type="pct"/>
            <w:vAlign w:val="center"/>
          </w:tcPr>
          <w:p w14:paraId="250DBBE0">
            <w:pPr>
              <w:jc w:val="center"/>
              <w:rPr>
                <w:rFonts w:asciiTheme="minorEastAsia" w:hAnsiTheme="minorEastAsia" w:eastAsiaTheme="minorEastAsia"/>
                <w:sz w:val="24"/>
                <w:highlight w:val="none"/>
              </w:rPr>
            </w:pPr>
          </w:p>
        </w:tc>
        <w:tc>
          <w:tcPr>
            <w:tcW w:w="1456" w:type="pct"/>
            <w:vAlign w:val="center"/>
          </w:tcPr>
          <w:p w14:paraId="0630CBD1">
            <w:pPr>
              <w:pStyle w:val="53"/>
              <w:jc w:val="center"/>
              <w:rPr>
                <w:rFonts w:asciiTheme="minorEastAsia" w:hAnsiTheme="minorEastAsia" w:eastAsiaTheme="minorEastAsia"/>
                <w:highlight w:val="none"/>
              </w:rPr>
            </w:pPr>
          </w:p>
        </w:tc>
        <w:tc>
          <w:tcPr>
            <w:tcW w:w="502" w:type="pct"/>
            <w:vAlign w:val="center"/>
          </w:tcPr>
          <w:p w14:paraId="4C074F49">
            <w:pPr>
              <w:jc w:val="center"/>
              <w:rPr>
                <w:rFonts w:asciiTheme="minorEastAsia" w:hAnsiTheme="minorEastAsia" w:eastAsiaTheme="minorEastAsia"/>
                <w:sz w:val="24"/>
                <w:highlight w:val="none"/>
              </w:rPr>
            </w:pPr>
          </w:p>
        </w:tc>
      </w:tr>
      <w:tr w14:paraId="3CB92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04E986AE">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w:t>
            </w:r>
          </w:p>
        </w:tc>
        <w:tc>
          <w:tcPr>
            <w:tcW w:w="915" w:type="pct"/>
            <w:vAlign w:val="center"/>
          </w:tcPr>
          <w:p w14:paraId="0266FA49">
            <w:pPr>
              <w:jc w:val="center"/>
              <w:rPr>
                <w:rFonts w:asciiTheme="minorEastAsia" w:hAnsiTheme="minorEastAsia" w:eastAsiaTheme="minorEastAsia"/>
                <w:sz w:val="24"/>
                <w:highlight w:val="none"/>
              </w:rPr>
            </w:pPr>
          </w:p>
        </w:tc>
        <w:tc>
          <w:tcPr>
            <w:tcW w:w="1680" w:type="pct"/>
            <w:vAlign w:val="center"/>
          </w:tcPr>
          <w:p w14:paraId="3C25993E">
            <w:pPr>
              <w:jc w:val="center"/>
              <w:rPr>
                <w:rFonts w:asciiTheme="minorEastAsia" w:hAnsiTheme="minorEastAsia" w:eastAsiaTheme="minorEastAsia"/>
                <w:sz w:val="24"/>
                <w:highlight w:val="none"/>
              </w:rPr>
            </w:pPr>
          </w:p>
        </w:tc>
        <w:tc>
          <w:tcPr>
            <w:tcW w:w="1456" w:type="pct"/>
            <w:vAlign w:val="center"/>
          </w:tcPr>
          <w:p w14:paraId="46F73268">
            <w:pPr>
              <w:pStyle w:val="53"/>
              <w:jc w:val="center"/>
              <w:rPr>
                <w:rFonts w:asciiTheme="minorEastAsia" w:hAnsiTheme="minorEastAsia" w:eastAsiaTheme="minorEastAsia"/>
                <w:highlight w:val="none"/>
              </w:rPr>
            </w:pPr>
          </w:p>
        </w:tc>
        <w:tc>
          <w:tcPr>
            <w:tcW w:w="502" w:type="pct"/>
            <w:vAlign w:val="center"/>
          </w:tcPr>
          <w:p w14:paraId="3EEDD001">
            <w:pPr>
              <w:jc w:val="center"/>
              <w:rPr>
                <w:rFonts w:asciiTheme="minorEastAsia" w:hAnsiTheme="minorEastAsia" w:eastAsiaTheme="minorEastAsia"/>
                <w:sz w:val="24"/>
                <w:highlight w:val="none"/>
              </w:rPr>
            </w:pPr>
          </w:p>
        </w:tc>
      </w:tr>
      <w:tr w14:paraId="29E0E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0D60B865">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w:t>
            </w:r>
          </w:p>
        </w:tc>
        <w:tc>
          <w:tcPr>
            <w:tcW w:w="915" w:type="pct"/>
            <w:vAlign w:val="center"/>
          </w:tcPr>
          <w:p w14:paraId="39C95FE2">
            <w:pPr>
              <w:jc w:val="center"/>
              <w:rPr>
                <w:rFonts w:asciiTheme="minorEastAsia" w:hAnsiTheme="minorEastAsia" w:eastAsiaTheme="minorEastAsia"/>
                <w:sz w:val="24"/>
                <w:highlight w:val="none"/>
              </w:rPr>
            </w:pPr>
          </w:p>
        </w:tc>
        <w:tc>
          <w:tcPr>
            <w:tcW w:w="1680" w:type="pct"/>
            <w:vAlign w:val="center"/>
          </w:tcPr>
          <w:p w14:paraId="4A75A4C5">
            <w:pPr>
              <w:jc w:val="center"/>
              <w:rPr>
                <w:rFonts w:asciiTheme="minorEastAsia" w:hAnsiTheme="minorEastAsia" w:eastAsiaTheme="minorEastAsia"/>
                <w:sz w:val="24"/>
                <w:highlight w:val="none"/>
              </w:rPr>
            </w:pPr>
          </w:p>
        </w:tc>
        <w:tc>
          <w:tcPr>
            <w:tcW w:w="1456" w:type="pct"/>
            <w:vAlign w:val="center"/>
          </w:tcPr>
          <w:p w14:paraId="76742C3E">
            <w:pPr>
              <w:jc w:val="center"/>
              <w:rPr>
                <w:rFonts w:asciiTheme="minorEastAsia" w:hAnsiTheme="minorEastAsia" w:eastAsiaTheme="minorEastAsia"/>
                <w:sz w:val="24"/>
                <w:highlight w:val="none"/>
              </w:rPr>
            </w:pPr>
          </w:p>
        </w:tc>
        <w:tc>
          <w:tcPr>
            <w:tcW w:w="502" w:type="pct"/>
            <w:vAlign w:val="center"/>
          </w:tcPr>
          <w:p w14:paraId="2D066F63">
            <w:pPr>
              <w:jc w:val="center"/>
              <w:rPr>
                <w:rFonts w:asciiTheme="minorEastAsia" w:hAnsiTheme="minorEastAsia" w:eastAsiaTheme="minorEastAsia"/>
                <w:sz w:val="24"/>
                <w:highlight w:val="none"/>
              </w:rPr>
            </w:pPr>
          </w:p>
        </w:tc>
      </w:tr>
    </w:tbl>
    <w:p w14:paraId="0E2CE158">
      <w:pPr>
        <w:spacing w:line="360" w:lineRule="auto"/>
        <w:rPr>
          <w:rFonts w:ascii="宋体" w:hAnsi="宋体" w:eastAsia="宋体"/>
          <w:sz w:val="24"/>
          <w:highlight w:val="none"/>
        </w:rPr>
      </w:pPr>
      <w:r>
        <w:rPr>
          <w:rFonts w:hint="eastAsia" w:ascii="宋体" w:hAnsi="宋体" w:eastAsia="宋体"/>
          <w:sz w:val="24"/>
          <w:highlight w:val="none"/>
        </w:rPr>
        <w:t>注：针对采购文件第三章采购需求中的技术功能及要求和其他服务要求，在表格中逐条响应</w:t>
      </w:r>
    </w:p>
    <w:p w14:paraId="4FD37902">
      <w:pPr>
        <w:spacing w:line="360" w:lineRule="auto"/>
        <w:ind w:firstLine="4800" w:firstLineChars="2000"/>
        <w:rPr>
          <w:rFonts w:ascii="宋体" w:hAnsi="宋体" w:eastAsia="宋体"/>
          <w:sz w:val="24"/>
          <w:highlight w:val="none"/>
          <w:u w:val="single"/>
        </w:rPr>
      </w:pPr>
      <w:r>
        <w:rPr>
          <w:rFonts w:hint="eastAsia" w:ascii="宋体" w:hAnsi="宋体" w:eastAsia="宋体"/>
          <w:sz w:val="24"/>
          <w:highlight w:val="none"/>
        </w:rPr>
        <w:t>供应商电子签章：</w:t>
      </w:r>
      <w:r>
        <w:rPr>
          <w:rFonts w:hint="eastAsia" w:ascii="宋体" w:hAnsi="宋体" w:eastAsia="宋体"/>
          <w:sz w:val="24"/>
          <w:highlight w:val="none"/>
          <w:u w:val="single"/>
        </w:rPr>
        <w:t xml:space="preserve">     </w:t>
      </w:r>
      <w:r>
        <w:rPr>
          <w:rFonts w:ascii="宋体" w:hAnsi="宋体" w:eastAsia="宋体"/>
          <w:sz w:val="24"/>
          <w:highlight w:val="none"/>
          <w:u w:val="single"/>
        </w:rPr>
        <w:t xml:space="preserve">    </w:t>
      </w:r>
      <w:r>
        <w:rPr>
          <w:rFonts w:hint="eastAsia" w:ascii="宋体" w:hAnsi="宋体" w:eastAsia="宋体"/>
          <w:sz w:val="24"/>
          <w:highlight w:val="none"/>
          <w:u w:val="single"/>
        </w:rPr>
        <w:t xml:space="preserve">    </w:t>
      </w:r>
    </w:p>
    <w:p w14:paraId="4BE46C66">
      <w:pPr>
        <w:tabs>
          <w:tab w:val="left" w:pos="630"/>
        </w:tabs>
        <w:spacing w:line="360" w:lineRule="auto"/>
        <w:ind w:firstLine="4800" w:firstLineChars="2000"/>
        <w:rPr>
          <w:rFonts w:asciiTheme="minorEastAsia" w:hAnsiTheme="minorEastAsia" w:eastAsiaTheme="minorEastAsia"/>
          <w:sz w:val="24"/>
          <w:highlight w:val="none"/>
        </w:rPr>
      </w:pPr>
      <w:r>
        <w:rPr>
          <w:rFonts w:hint="eastAsia" w:ascii="宋体" w:hAnsi="宋体" w:eastAsia="宋体"/>
          <w:sz w:val="24"/>
          <w:highlight w:val="none"/>
        </w:rPr>
        <w:t xml:space="preserve">日     </w:t>
      </w:r>
      <w:r>
        <w:rPr>
          <w:rFonts w:ascii="宋体" w:hAnsi="宋体" w:eastAsia="宋体"/>
          <w:sz w:val="24"/>
          <w:highlight w:val="none"/>
        </w:rPr>
        <w:t xml:space="preserve">    </w:t>
      </w:r>
      <w:r>
        <w:rPr>
          <w:rFonts w:hint="eastAsia" w:ascii="宋体" w:hAnsi="宋体" w:eastAsia="宋体"/>
          <w:sz w:val="24"/>
          <w:highlight w:val="none"/>
        </w:rPr>
        <w:t xml:space="preserve"> 期：</w:t>
      </w:r>
      <w:r>
        <w:rPr>
          <w:rFonts w:hint="eastAsia" w:ascii="宋体" w:hAnsi="宋体" w:eastAsia="宋体"/>
          <w:sz w:val="24"/>
          <w:highlight w:val="none"/>
          <w:u w:val="single"/>
        </w:rPr>
        <w:t xml:space="preserve">             </w:t>
      </w:r>
    </w:p>
    <w:p w14:paraId="047F6782">
      <w:pPr>
        <w:pStyle w:val="14"/>
        <w:spacing w:line="360" w:lineRule="auto"/>
        <w:rPr>
          <w:rFonts w:asciiTheme="minorEastAsia" w:hAnsiTheme="minorEastAsia" w:eastAsiaTheme="minorEastAsia"/>
          <w:sz w:val="24"/>
          <w:highlight w:val="none"/>
        </w:rPr>
      </w:pPr>
      <w:r>
        <w:rPr>
          <w:rFonts w:asciiTheme="minorEastAsia" w:hAnsiTheme="minorEastAsia" w:eastAsiaTheme="minorEastAsia"/>
          <w:sz w:val="24"/>
          <w:highlight w:val="none"/>
        </w:rPr>
        <w:br w:type="page"/>
      </w:r>
    </w:p>
    <w:p w14:paraId="3DF4EA96">
      <w:pPr>
        <w:spacing w:line="360" w:lineRule="auto"/>
        <w:jc w:val="center"/>
        <w:outlineLvl w:val="1"/>
        <w:rPr>
          <w:rFonts w:asciiTheme="minorEastAsia" w:hAnsiTheme="minorEastAsia" w:eastAsiaTheme="minorEastAsia"/>
          <w:b/>
          <w:sz w:val="24"/>
          <w:highlight w:val="none"/>
        </w:rPr>
      </w:pPr>
      <w:bookmarkStart w:id="281" w:name="_Toc29455"/>
      <w:bookmarkStart w:id="282" w:name="_Toc11260"/>
      <w:bookmarkStart w:id="283" w:name="_Toc11526"/>
      <w:r>
        <w:rPr>
          <w:rFonts w:hint="eastAsia" w:asciiTheme="minorEastAsia" w:hAnsiTheme="minorEastAsia" w:eastAsiaTheme="minorEastAsia"/>
          <w:b/>
          <w:sz w:val="24"/>
          <w:highlight w:val="none"/>
        </w:rPr>
        <w:t>七、联合协议</w:t>
      </w:r>
      <w:bookmarkEnd w:id="281"/>
      <w:bookmarkEnd w:id="282"/>
      <w:bookmarkEnd w:id="283"/>
    </w:p>
    <w:p w14:paraId="2EFF04E7">
      <w:pPr>
        <w:pStyle w:val="21"/>
        <w:spacing w:line="360" w:lineRule="auto"/>
        <w:rPr>
          <w:rFonts w:asciiTheme="minorEastAsia" w:hAnsiTheme="minorEastAsia" w:eastAsiaTheme="minorEastAsia"/>
          <w:sz w:val="24"/>
          <w:highlight w:val="none"/>
        </w:rPr>
      </w:pPr>
      <w:r>
        <w:rPr>
          <w:rFonts w:hint="eastAsia" w:ascii="宋体" w:hAnsi="宋体" w:eastAsia="宋体"/>
          <w:b w:val="0"/>
          <w:i/>
          <w:color w:val="FF0000"/>
          <w:sz w:val="24"/>
          <w:highlight w:val="none"/>
        </w:rPr>
        <w:t>（不允许联合体磋商或未组成联合体磋商，不需此件，请删去“联合协议”；允许联合体磋商且供应商为联合体磋商的，请将此件制成扫描件上传，同时删去本提示内容）</w:t>
      </w:r>
    </w:p>
    <w:p w14:paraId="7C8AFBDE">
      <w:pPr>
        <w:spacing w:line="360" w:lineRule="auto"/>
        <w:ind w:firstLine="435"/>
        <w:rPr>
          <w:rFonts w:asciiTheme="minorEastAsia" w:hAnsiTheme="minorEastAsia" w:eastAsiaTheme="minorEastAsia"/>
          <w:sz w:val="24"/>
          <w:highlight w:val="none"/>
        </w:rPr>
      </w:pPr>
    </w:p>
    <w:p w14:paraId="7C821B9C">
      <w:pPr>
        <w:spacing w:line="360" w:lineRule="auto"/>
        <w:ind w:firstLine="435"/>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联合体成员一名称：</w:t>
      </w:r>
      <w:r>
        <w:rPr>
          <w:rFonts w:hint="eastAsia" w:asciiTheme="minorEastAsia" w:hAnsiTheme="minorEastAsia" w:eastAsiaTheme="minorEastAsia"/>
          <w:sz w:val="24"/>
          <w:highlight w:val="none"/>
          <w:u w:val="single"/>
        </w:rPr>
        <w:t xml:space="preserve"> </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w:t>
      </w:r>
    </w:p>
    <w:p w14:paraId="378E1151">
      <w:pPr>
        <w:spacing w:line="360" w:lineRule="auto"/>
        <w:ind w:firstLine="435"/>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联合体成员二名称：</w:t>
      </w:r>
      <w:r>
        <w:rPr>
          <w:rFonts w:hint="eastAsia" w:asciiTheme="minorEastAsia" w:hAnsiTheme="minorEastAsia" w:eastAsiaTheme="minorEastAsia"/>
          <w:sz w:val="24"/>
          <w:highlight w:val="none"/>
          <w:u w:val="single"/>
        </w:rPr>
        <w:t xml:space="preserve"> </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w:t>
      </w:r>
    </w:p>
    <w:p w14:paraId="4B3375D0">
      <w:pPr>
        <w:spacing w:line="360" w:lineRule="auto"/>
        <w:ind w:firstLine="435"/>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w:t>
      </w:r>
    </w:p>
    <w:p w14:paraId="2463FF7D">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上述各成员单位经过友好协商，自愿组成</w:t>
      </w:r>
      <w:r>
        <w:rPr>
          <w:rFonts w:asciiTheme="minorEastAsia" w:hAnsiTheme="minorEastAsia" w:eastAsiaTheme="minorEastAsia"/>
          <w:sz w:val="24"/>
          <w:highlight w:val="none"/>
        </w:rPr>
        <w:t>联合体，共同参加</w:t>
      </w:r>
      <w:r>
        <w:rPr>
          <w:rFonts w:hint="eastAsia" w:asciiTheme="minorEastAsia" w:hAnsiTheme="minorEastAsia" w:eastAsiaTheme="minorEastAsia"/>
          <w:sz w:val="24"/>
          <w:highlight w:val="none"/>
        </w:rPr>
        <w:t>本项目的磋商，</w:t>
      </w:r>
      <w:r>
        <w:rPr>
          <w:rFonts w:asciiTheme="minorEastAsia" w:hAnsiTheme="minorEastAsia" w:eastAsiaTheme="minorEastAsia"/>
          <w:sz w:val="24"/>
          <w:highlight w:val="none"/>
        </w:rPr>
        <w:t>现就联合体参加磋商事宜订立如下协议：</w:t>
      </w:r>
    </w:p>
    <w:p w14:paraId="47AD372F">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u w:val="single"/>
        </w:rPr>
        <w:t xml:space="preserve">       </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（成员单位名称）为联合体牵头人。</w:t>
      </w:r>
    </w:p>
    <w:p w14:paraId="4ACB62DE">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在本项目磋商阶段，联合体牵头人负责磋商项目的一切组织、协调工作，并授权代理人以联合体的名义参加项目的磋商，代理人在磋商、合同签订过程中所签署的一切文件和处理与本次磋商有关的一切事务，联合体各方均予以承认并承担法律责任。联合体成交后，联合体各方共同与采购人签订合同，就本项目对采购人承担连带责任。</w:t>
      </w:r>
    </w:p>
    <w:p w14:paraId="65A9193A">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w:t>
      </w:r>
      <w:r>
        <w:rPr>
          <w:rFonts w:asciiTheme="minorEastAsia" w:hAnsiTheme="minorEastAsia" w:eastAsiaTheme="minorEastAsia"/>
          <w:sz w:val="24"/>
          <w:highlight w:val="none"/>
        </w:rPr>
        <w:t>.联合体各成员单位内部的职责分工</w:t>
      </w:r>
      <w:r>
        <w:rPr>
          <w:rFonts w:hint="eastAsia" w:asciiTheme="minorEastAsia" w:hAnsiTheme="minorEastAsia" w:eastAsiaTheme="minorEastAsia"/>
          <w:sz w:val="24"/>
          <w:highlight w:val="none"/>
        </w:rPr>
        <w:t>及各方负责内容的合同金额占总合同金额的百分比</w:t>
      </w:r>
      <w:r>
        <w:rPr>
          <w:rFonts w:asciiTheme="minorEastAsia" w:hAnsiTheme="minorEastAsia" w:eastAsiaTheme="minorEastAsia"/>
          <w:sz w:val="24"/>
          <w:highlight w:val="none"/>
        </w:rPr>
        <w:t>如下：</w:t>
      </w:r>
    </w:p>
    <w:p w14:paraId="40163D26">
      <w:pPr>
        <w:spacing w:line="360" w:lineRule="auto"/>
        <w:ind w:firstLine="435"/>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联合体成员一名称：</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，承担</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工作，负责内容的合同金额占总合同金额的百分比：</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w:t>
      </w:r>
    </w:p>
    <w:p w14:paraId="1959EE8C">
      <w:pPr>
        <w:spacing w:line="360" w:lineRule="auto"/>
        <w:ind w:firstLine="435"/>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联合体成员二名称：</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，承担</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工作，负责内容的合同金额占总合同金额的百分比：</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w:t>
      </w:r>
    </w:p>
    <w:p w14:paraId="7FE1A06C">
      <w:pPr>
        <w:spacing w:line="360" w:lineRule="auto"/>
        <w:ind w:firstLine="435"/>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w:t>
      </w:r>
    </w:p>
    <w:p w14:paraId="4532141F">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4．</w:t>
      </w:r>
      <w:r>
        <w:rPr>
          <w:rFonts w:hint="eastAsia" w:asciiTheme="minorEastAsia" w:hAnsiTheme="minorEastAsia" w:eastAsiaTheme="minorEastAsia"/>
          <w:sz w:val="24"/>
          <w:highlight w:val="none"/>
        </w:rPr>
        <w:t>磋商</w:t>
      </w:r>
      <w:r>
        <w:rPr>
          <w:rFonts w:asciiTheme="minorEastAsia" w:hAnsiTheme="minorEastAsia" w:eastAsiaTheme="minorEastAsia"/>
          <w:sz w:val="24"/>
          <w:highlight w:val="none"/>
        </w:rPr>
        <w:t>工作和联合体在</w:t>
      </w:r>
      <w:r>
        <w:rPr>
          <w:rFonts w:hint="eastAsia" w:asciiTheme="minorEastAsia" w:hAnsiTheme="minorEastAsia" w:eastAsiaTheme="minorEastAsia"/>
          <w:sz w:val="24"/>
          <w:highlight w:val="none"/>
        </w:rPr>
        <w:t>成交</w:t>
      </w:r>
      <w:r>
        <w:rPr>
          <w:rFonts w:asciiTheme="minorEastAsia" w:hAnsiTheme="minorEastAsia" w:eastAsiaTheme="minorEastAsia"/>
          <w:sz w:val="24"/>
          <w:highlight w:val="none"/>
        </w:rPr>
        <w:t>后</w:t>
      </w:r>
      <w:r>
        <w:rPr>
          <w:rFonts w:hint="eastAsia" w:asciiTheme="minorEastAsia" w:hAnsiTheme="minorEastAsia" w:eastAsiaTheme="minorEastAsia"/>
          <w:sz w:val="24"/>
          <w:highlight w:val="none"/>
        </w:rPr>
        <w:t>项目</w:t>
      </w:r>
      <w:r>
        <w:rPr>
          <w:rFonts w:asciiTheme="minorEastAsia" w:hAnsiTheme="minorEastAsia" w:eastAsiaTheme="minorEastAsia"/>
          <w:sz w:val="24"/>
          <w:highlight w:val="none"/>
        </w:rPr>
        <w:t>实施过程中的有关费用按各自承担的工作量分摊。</w:t>
      </w:r>
    </w:p>
    <w:p w14:paraId="4F948055">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5．联合体</w:t>
      </w:r>
      <w:r>
        <w:rPr>
          <w:rFonts w:hint="eastAsia" w:asciiTheme="minorEastAsia" w:hAnsiTheme="minorEastAsia" w:eastAsiaTheme="minorEastAsia"/>
          <w:sz w:val="24"/>
          <w:highlight w:val="none"/>
        </w:rPr>
        <w:t>成交</w:t>
      </w:r>
      <w:r>
        <w:rPr>
          <w:rFonts w:asciiTheme="minorEastAsia" w:hAnsiTheme="minorEastAsia" w:eastAsiaTheme="minorEastAsia"/>
          <w:sz w:val="24"/>
          <w:highlight w:val="none"/>
        </w:rPr>
        <w:t>后，本联合协议是合同的附件，对联合体各成员单位有合同约束力。</w:t>
      </w:r>
    </w:p>
    <w:p w14:paraId="7DF25839">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6．本协议书自签署之日起生效，联合体未</w:t>
      </w:r>
      <w:r>
        <w:rPr>
          <w:rFonts w:hint="eastAsia" w:asciiTheme="minorEastAsia" w:hAnsiTheme="minorEastAsia" w:eastAsiaTheme="minorEastAsia"/>
          <w:sz w:val="24"/>
          <w:highlight w:val="none"/>
        </w:rPr>
        <w:t>成交</w:t>
      </w:r>
      <w:r>
        <w:rPr>
          <w:rFonts w:asciiTheme="minorEastAsia" w:hAnsiTheme="minorEastAsia" w:eastAsiaTheme="minorEastAsia"/>
          <w:sz w:val="24"/>
          <w:highlight w:val="none"/>
        </w:rPr>
        <w:t>或者合同履行完毕后自动失效。</w:t>
      </w:r>
    </w:p>
    <w:p w14:paraId="64A9798B">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联合体成员一：</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（公章）</w:t>
      </w:r>
    </w:p>
    <w:p w14:paraId="57D6A71B">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法定代表人：</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（签字或盖章）</w:t>
      </w:r>
    </w:p>
    <w:p w14:paraId="26E09DE3">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联合体成员二：</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（公章）</w:t>
      </w:r>
    </w:p>
    <w:p w14:paraId="293342F1">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法定代表人：</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（签字或盖章）</w:t>
      </w:r>
    </w:p>
    <w:p w14:paraId="57179A3F">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w:t>
      </w:r>
    </w:p>
    <w:p w14:paraId="36AAC840">
      <w:pPr>
        <w:pStyle w:val="21"/>
        <w:spacing w:line="360" w:lineRule="auto"/>
        <w:rPr>
          <w:rFonts w:asciiTheme="minorEastAsia" w:hAnsiTheme="minorEastAsia" w:eastAsiaTheme="minorEastAsia"/>
          <w:sz w:val="24"/>
          <w:highlight w:val="none"/>
        </w:rPr>
      </w:pPr>
    </w:p>
    <w:p w14:paraId="0308DF99">
      <w:pPr>
        <w:spacing w:line="360" w:lineRule="auto"/>
        <w:ind w:right="480" w:firstLine="4680" w:firstLineChars="1950"/>
        <w:rPr>
          <w:rFonts w:asciiTheme="minorEastAsia" w:hAnsiTheme="minorEastAsia" w:eastAsiaTheme="minorEastAsia"/>
          <w:sz w:val="28"/>
          <w:highlight w:val="none"/>
        </w:rPr>
      </w:pPr>
      <w:r>
        <w:rPr>
          <w:rFonts w:hint="eastAsia" w:asciiTheme="minorEastAsia" w:hAnsiTheme="minorEastAsia" w:eastAsiaTheme="minorEastAsia"/>
          <w:sz w:val="24"/>
          <w:highlight w:val="none"/>
        </w:rPr>
        <w:t>签订日期:</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年</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月</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日</w:t>
      </w:r>
    </w:p>
    <w:p w14:paraId="01DDB8BC">
      <w:pPr>
        <w:widowControl/>
        <w:jc w:val="left"/>
        <w:rPr>
          <w:rFonts w:asciiTheme="minorEastAsia" w:hAnsiTheme="minorEastAsia" w:eastAsiaTheme="minorEastAsia"/>
          <w:sz w:val="24"/>
          <w:highlight w:val="none"/>
        </w:rPr>
      </w:pPr>
      <w:r>
        <w:rPr>
          <w:rFonts w:asciiTheme="minorEastAsia" w:hAnsiTheme="minorEastAsia" w:eastAsiaTheme="minorEastAsia"/>
          <w:sz w:val="24"/>
          <w:highlight w:val="none"/>
        </w:rPr>
        <w:br w:type="page"/>
      </w:r>
    </w:p>
    <w:p w14:paraId="06435507">
      <w:pPr>
        <w:spacing w:line="360" w:lineRule="auto"/>
        <w:jc w:val="center"/>
        <w:outlineLvl w:val="1"/>
        <w:rPr>
          <w:rFonts w:asciiTheme="minorEastAsia" w:hAnsiTheme="minorEastAsia" w:eastAsiaTheme="minorEastAsia"/>
          <w:b/>
          <w:sz w:val="24"/>
          <w:highlight w:val="none"/>
        </w:rPr>
      </w:pPr>
      <w:bookmarkStart w:id="284" w:name="_Toc30332"/>
      <w:bookmarkStart w:id="285" w:name="_Toc4515"/>
      <w:bookmarkStart w:id="286" w:name="_Hlk44283017"/>
      <w:r>
        <w:rPr>
          <w:rFonts w:hint="eastAsia" w:asciiTheme="minorEastAsia" w:hAnsiTheme="minorEastAsia" w:eastAsiaTheme="minorEastAsia"/>
          <w:b/>
          <w:sz w:val="24"/>
          <w:highlight w:val="none"/>
        </w:rPr>
        <w:t>八、拟分包情况说明及分包意向协议</w:t>
      </w:r>
      <w:bookmarkEnd w:id="284"/>
      <w:bookmarkEnd w:id="285"/>
    </w:p>
    <w:p w14:paraId="7934432F">
      <w:pPr>
        <w:pStyle w:val="9"/>
        <w:spacing w:after="0" w:line="360" w:lineRule="auto"/>
        <w:jc w:val="center"/>
        <w:rPr>
          <w:rFonts w:ascii="宋体" w:hAnsi="宋体" w:eastAsia="宋体" w:cs="@仿宋_GB2312"/>
          <w:i/>
          <w:iCs/>
          <w:color w:val="FF0000"/>
          <w:sz w:val="24"/>
          <w:szCs w:val="18"/>
          <w:highlight w:val="none"/>
          <w:lang w:val="en-US"/>
        </w:rPr>
      </w:pPr>
      <w:r>
        <w:rPr>
          <w:rFonts w:hint="eastAsia" w:ascii="宋体" w:hAnsi="宋体" w:eastAsia="宋体" w:cs="@仿宋_GB2312"/>
          <w:i/>
          <w:iCs/>
          <w:color w:val="FF0000"/>
          <w:sz w:val="24"/>
          <w:szCs w:val="18"/>
          <w:highlight w:val="none"/>
          <w:lang w:val="en-US"/>
        </w:rPr>
        <w:t>（</w:t>
      </w:r>
      <w:r>
        <w:rPr>
          <w:rFonts w:hint="eastAsia" w:ascii="宋体" w:hAnsi="宋体" w:eastAsia="宋体"/>
          <w:i/>
          <w:color w:val="FF0000"/>
          <w:sz w:val="24"/>
          <w:highlight w:val="none"/>
        </w:rPr>
        <w:t>不允许</w:t>
      </w:r>
      <w:r>
        <w:rPr>
          <w:rFonts w:hint="eastAsia" w:ascii="宋体" w:hAnsi="宋体" w:eastAsia="宋体"/>
          <w:i/>
          <w:color w:val="FF0000"/>
          <w:sz w:val="24"/>
          <w:highlight w:val="none"/>
          <w:lang w:val="en-US"/>
        </w:rPr>
        <w:t>合同分包</w:t>
      </w:r>
      <w:r>
        <w:rPr>
          <w:rFonts w:hint="eastAsia" w:ascii="宋体" w:hAnsi="宋体" w:eastAsia="宋体"/>
          <w:i/>
          <w:color w:val="FF0000"/>
          <w:sz w:val="24"/>
          <w:highlight w:val="none"/>
        </w:rPr>
        <w:t>或未</w:t>
      </w:r>
      <w:r>
        <w:rPr>
          <w:rFonts w:hint="eastAsia" w:ascii="宋体" w:hAnsi="宋体" w:eastAsia="宋体"/>
          <w:i/>
          <w:color w:val="FF0000"/>
          <w:sz w:val="24"/>
          <w:highlight w:val="none"/>
          <w:lang w:val="en-US"/>
        </w:rPr>
        <w:t>采用合同分包的</w:t>
      </w:r>
      <w:r>
        <w:rPr>
          <w:rFonts w:hint="eastAsia" w:ascii="宋体" w:hAnsi="宋体" w:eastAsia="宋体"/>
          <w:i/>
          <w:color w:val="FF0000"/>
          <w:sz w:val="24"/>
          <w:highlight w:val="none"/>
        </w:rPr>
        <w:t>，</w:t>
      </w:r>
      <w:r>
        <w:rPr>
          <w:rFonts w:hint="eastAsia" w:ascii="宋体" w:hAnsi="宋体" w:eastAsia="宋体" w:cs="@仿宋_GB2312"/>
          <w:i/>
          <w:iCs/>
          <w:color w:val="FF0000"/>
          <w:sz w:val="24"/>
          <w:szCs w:val="18"/>
          <w:highlight w:val="none"/>
          <w:lang w:val="en-US"/>
        </w:rPr>
        <w:t>不需</w:t>
      </w:r>
      <w:r>
        <w:rPr>
          <w:rFonts w:hint="eastAsia" w:ascii="宋体" w:hAnsi="宋体" w:eastAsia="宋体"/>
          <w:i/>
          <w:color w:val="FF0000"/>
          <w:sz w:val="24"/>
          <w:highlight w:val="none"/>
          <w:lang w:val="en-US"/>
        </w:rPr>
        <w:t>此件，请删去“拟分包情况说明及分包意向协议”</w:t>
      </w:r>
      <w:r>
        <w:rPr>
          <w:rFonts w:hint="eastAsia" w:ascii="宋体" w:hAnsi="宋体" w:eastAsia="宋体"/>
          <w:i/>
          <w:color w:val="FF0000"/>
          <w:sz w:val="24"/>
          <w:highlight w:val="none"/>
        </w:rPr>
        <w:t>；</w:t>
      </w:r>
      <w:r>
        <w:rPr>
          <w:rFonts w:hint="eastAsia" w:ascii="宋体" w:hAnsi="宋体" w:eastAsia="宋体"/>
          <w:i/>
          <w:color w:val="FF0000"/>
          <w:sz w:val="24"/>
          <w:highlight w:val="none"/>
          <w:lang w:val="en-US"/>
        </w:rPr>
        <w:t>允许合同分包且供应商采用合同分包的，请将此件制成扫描件上传，同时删去本提示内容）</w:t>
      </w:r>
    </w:p>
    <w:p w14:paraId="7339050D">
      <w:pPr>
        <w:spacing w:line="360" w:lineRule="auto"/>
        <w:jc w:val="center"/>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（一）拟分包情况说明</w:t>
      </w:r>
    </w:p>
    <w:p w14:paraId="4DA52482">
      <w:pPr>
        <w:pStyle w:val="14"/>
        <w:spacing w:line="360" w:lineRule="auto"/>
        <w:rPr>
          <w:rFonts w:ascii="宋体" w:hAnsi="宋体"/>
          <w:sz w:val="24"/>
          <w:highlight w:val="none"/>
          <w:u w:val="single"/>
        </w:rPr>
      </w:pPr>
      <w:r>
        <w:rPr>
          <w:rFonts w:hint="eastAsia" w:ascii="宋体" w:hAnsi="宋体"/>
          <w:sz w:val="24"/>
          <w:highlight w:val="none"/>
        </w:rPr>
        <w:t>致：采购人</w:t>
      </w:r>
    </w:p>
    <w:p w14:paraId="6581EDAA">
      <w:pPr>
        <w:pStyle w:val="9"/>
        <w:spacing w:before="181" w:line="359" w:lineRule="auto"/>
        <w:ind w:left="9" w:right="54" w:firstLine="481"/>
        <w:rPr>
          <w:rFonts w:ascii="宋体" w:hAnsi="宋体" w:eastAsia="宋体" w:cs="宋体"/>
          <w:sz w:val="24"/>
          <w:highlight w:val="none"/>
        </w:rPr>
      </w:pPr>
      <w:r>
        <w:rPr>
          <w:rFonts w:hint="eastAsia" w:ascii="宋体" w:hAnsi="宋体" w:eastAsia="宋体" w:cs="宋体"/>
          <w:spacing w:val="-3"/>
          <w:sz w:val="24"/>
          <w:highlight w:val="none"/>
        </w:rPr>
        <w:t>我单位参加</w:t>
      </w:r>
      <w:r>
        <w:rPr>
          <w:rFonts w:hint="eastAsia" w:ascii="宋体" w:hAnsi="宋体" w:eastAsia="宋体" w:cs="宋体"/>
          <w:spacing w:val="-3"/>
          <w:sz w:val="24"/>
          <w:highlight w:val="none"/>
          <w:lang w:val="en-US"/>
        </w:rPr>
        <w:t>本项目</w:t>
      </w:r>
      <w:r>
        <w:rPr>
          <w:rFonts w:hint="eastAsia" w:cs="@仿宋_GB2312" w:asciiTheme="minorEastAsia" w:hAnsiTheme="minorEastAsia" w:eastAsiaTheme="minorEastAsia"/>
          <w:sz w:val="24"/>
          <w:szCs w:val="20"/>
          <w:highlight w:val="none"/>
          <w:lang w:val="en-US"/>
        </w:rPr>
        <w:t>磋商，拟签订分包合同的单位情况如下表所示，我单位承诺一旦在该项目中获得采购合同将按下表所列情况进行分包，同时承诺分包承担主体不再次分包。</w:t>
      </w:r>
    </w:p>
    <w:tbl>
      <w:tblPr>
        <w:tblStyle w:val="69"/>
        <w:tblW w:w="9111" w:type="dxa"/>
        <w:tblInd w:w="-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3"/>
        <w:gridCol w:w="1286"/>
        <w:gridCol w:w="1684"/>
        <w:gridCol w:w="1122"/>
        <w:gridCol w:w="1390"/>
        <w:gridCol w:w="1497"/>
        <w:gridCol w:w="1569"/>
      </w:tblGrid>
      <w:tr w14:paraId="7686BD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563" w:type="dxa"/>
            <w:textDirection w:val="tbRlV"/>
            <w:vAlign w:val="center"/>
          </w:tcPr>
          <w:p w14:paraId="2600B5A7">
            <w:pPr>
              <w:ind w:left="170" w:right="164"/>
              <w:jc w:val="center"/>
              <w:rPr>
                <w:rFonts w:ascii="宋体" w:hAnsi="宋体" w:eastAsia="宋体" w:cs="宋体"/>
                <w:spacing w:val="-4"/>
                <w:sz w:val="24"/>
                <w:szCs w:val="24"/>
                <w:highlight w:val="none"/>
              </w:rPr>
            </w:pPr>
            <w:r>
              <w:rPr>
                <w:rFonts w:hint="eastAsia" w:ascii="宋体" w:hAnsi="宋体" w:eastAsia="宋体" w:cs="宋体"/>
                <w:spacing w:val="-4"/>
                <w:sz w:val="24"/>
                <w:szCs w:val="24"/>
                <w:highlight w:val="none"/>
              </w:rPr>
              <w:t>序号</w:t>
            </w:r>
          </w:p>
        </w:tc>
        <w:tc>
          <w:tcPr>
            <w:tcW w:w="1286" w:type="dxa"/>
            <w:vAlign w:val="center"/>
          </w:tcPr>
          <w:p w14:paraId="0A747235">
            <w:pPr>
              <w:ind w:left="170" w:right="164"/>
              <w:jc w:val="center"/>
              <w:rPr>
                <w:rFonts w:ascii="宋体" w:hAnsi="宋体" w:eastAsia="宋体" w:cs="宋体"/>
                <w:spacing w:val="-4"/>
                <w:sz w:val="24"/>
                <w:szCs w:val="24"/>
                <w:highlight w:val="none"/>
              </w:rPr>
            </w:pPr>
            <w:r>
              <w:rPr>
                <w:rFonts w:hint="eastAsia" w:ascii="宋体" w:hAnsi="宋体" w:eastAsia="宋体" w:cs="宋体"/>
                <w:spacing w:val="-4"/>
                <w:sz w:val="24"/>
                <w:szCs w:val="24"/>
                <w:highlight w:val="none"/>
              </w:rPr>
              <w:t>分包承担主体名称</w:t>
            </w:r>
          </w:p>
        </w:tc>
        <w:tc>
          <w:tcPr>
            <w:tcW w:w="1684" w:type="dxa"/>
            <w:vAlign w:val="center"/>
          </w:tcPr>
          <w:p w14:paraId="11C8DEA3">
            <w:pPr>
              <w:ind w:left="170" w:right="164"/>
              <w:jc w:val="center"/>
              <w:rPr>
                <w:rFonts w:ascii="宋体" w:hAnsi="宋体" w:eastAsia="宋体" w:cs="宋体"/>
                <w:spacing w:val="-4"/>
                <w:sz w:val="24"/>
                <w:szCs w:val="24"/>
                <w:highlight w:val="none"/>
              </w:rPr>
            </w:pPr>
            <w:r>
              <w:rPr>
                <w:rFonts w:hint="eastAsia" w:ascii="宋体" w:hAnsi="宋体" w:eastAsia="宋体" w:cs="宋体"/>
                <w:spacing w:val="-4"/>
                <w:sz w:val="24"/>
                <w:szCs w:val="24"/>
                <w:highlight w:val="none"/>
              </w:rPr>
              <w:t>分包承担主体类型（选择）</w:t>
            </w:r>
          </w:p>
        </w:tc>
        <w:tc>
          <w:tcPr>
            <w:tcW w:w="1122" w:type="dxa"/>
            <w:vAlign w:val="center"/>
          </w:tcPr>
          <w:p w14:paraId="422B07C2">
            <w:pPr>
              <w:ind w:left="170" w:right="164"/>
              <w:jc w:val="center"/>
              <w:rPr>
                <w:rFonts w:ascii="宋体" w:hAnsi="宋体" w:eastAsia="宋体" w:cs="宋体"/>
                <w:spacing w:val="-4"/>
                <w:sz w:val="24"/>
                <w:szCs w:val="24"/>
                <w:highlight w:val="none"/>
              </w:rPr>
            </w:pPr>
            <w:r>
              <w:rPr>
                <w:rFonts w:hint="eastAsia" w:ascii="宋体" w:hAnsi="宋体" w:eastAsia="宋体" w:cs="宋体"/>
                <w:spacing w:val="-4"/>
                <w:sz w:val="24"/>
                <w:szCs w:val="24"/>
                <w:highlight w:val="none"/>
              </w:rPr>
              <w:t>资质等级</w:t>
            </w:r>
          </w:p>
        </w:tc>
        <w:tc>
          <w:tcPr>
            <w:tcW w:w="1390" w:type="dxa"/>
            <w:vAlign w:val="center"/>
          </w:tcPr>
          <w:p w14:paraId="17C88A38">
            <w:pPr>
              <w:ind w:left="170" w:right="164"/>
              <w:jc w:val="center"/>
              <w:rPr>
                <w:rFonts w:ascii="宋体" w:hAnsi="宋体" w:eastAsia="宋体" w:cs="宋体"/>
                <w:spacing w:val="-4"/>
                <w:sz w:val="24"/>
                <w:szCs w:val="24"/>
                <w:highlight w:val="none"/>
              </w:rPr>
            </w:pPr>
            <w:r>
              <w:rPr>
                <w:rFonts w:hint="eastAsia" w:ascii="宋体" w:hAnsi="宋体" w:eastAsia="宋体" w:cs="宋体"/>
                <w:spacing w:val="-4"/>
                <w:sz w:val="24"/>
                <w:szCs w:val="24"/>
                <w:highlight w:val="none"/>
              </w:rPr>
              <w:t>拟分包合同内容</w:t>
            </w:r>
          </w:p>
        </w:tc>
        <w:tc>
          <w:tcPr>
            <w:tcW w:w="1497" w:type="dxa"/>
            <w:vAlign w:val="center"/>
          </w:tcPr>
          <w:p w14:paraId="6B89E759">
            <w:pPr>
              <w:ind w:left="170" w:right="164"/>
              <w:jc w:val="center"/>
              <w:rPr>
                <w:rFonts w:ascii="宋体" w:hAnsi="宋体" w:eastAsia="宋体" w:cs="宋体"/>
                <w:spacing w:val="-4"/>
                <w:sz w:val="24"/>
                <w:szCs w:val="24"/>
                <w:highlight w:val="none"/>
              </w:rPr>
            </w:pPr>
            <w:r>
              <w:rPr>
                <w:rFonts w:hint="eastAsia" w:ascii="宋体" w:hAnsi="宋体" w:eastAsia="宋体" w:cs="宋体"/>
                <w:spacing w:val="-4"/>
                <w:sz w:val="24"/>
                <w:szCs w:val="24"/>
                <w:highlight w:val="none"/>
              </w:rPr>
              <w:t>拟分包合同金额（人民币元）</w:t>
            </w:r>
          </w:p>
        </w:tc>
        <w:tc>
          <w:tcPr>
            <w:tcW w:w="1569" w:type="dxa"/>
            <w:vAlign w:val="center"/>
          </w:tcPr>
          <w:p w14:paraId="587AEFB2">
            <w:pPr>
              <w:ind w:left="170" w:right="164"/>
              <w:jc w:val="center"/>
              <w:rPr>
                <w:rFonts w:ascii="宋体" w:hAnsi="宋体" w:eastAsia="宋体" w:cs="宋体"/>
                <w:spacing w:val="-4"/>
                <w:sz w:val="24"/>
                <w:szCs w:val="24"/>
                <w:highlight w:val="none"/>
              </w:rPr>
            </w:pPr>
            <w:r>
              <w:rPr>
                <w:rFonts w:hint="eastAsia" w:ascii="宋体" w:hAnsi="宋体" w:eastAsia="宋体" w:cs="宋体"/>
                <w:spacing w:val="-4"/>
                <w:sz w:val="24"/>
                <w:szCs w:val="24"/>
                <w:highlight w:val="none"/>
              </w:rPr>
              <w:t>占合同金额的比例（%）</w:t>
            </w:r>
          </w:p>
        </w:tc>
      </w:tr>
      <w:tr w14:paraId="562EAF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563" w:type="dxa"/>
            <w:vAlign w:val="center"/>
          </w:tcPr>
          <w:p w14:paraId="3E642D2B">
            <w:pPr>
              <w:pStyle w:val="70"/>
              <w:spacing w:before="69" w:line="199"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1</w:t>
            </w:r>
          </w:p>
        </w:tc>
        <w:tc>
          <w:tcPr>
            <w:tcW w:w="1286" w:type="dxa"/>
            <w:vAlign w:val="center"/>
          </w:tcPr>
          <w:p w14:paraId="19059082">
            <w:pPr>
              <w:pStyle w:val="70"/>
              <w:rPr>
                <w:rFonts w:ascii="宋体" w:hAnsi="宋体" w:eastAsia="宋体" w:cs="宋体"/>
                <w:highlight w:val="none"/>
              </w:rPr>
            </w:pPr>
          </w:p>
        </w:tc>
        <w:tc>
          <w:tcPr>
            <w:tcW w:w="1684" w:type="dxa"/>
            <w:vAlign w:val="center"/>
          </w:tcPr>
          <w:p w14:paraId="6FCEA4C1">
            <w:pPr>
              <w:pStyle w:val="70"/>
              <w:spacing w:before="37" w:line="221" w:lineRule="auto"/>
              <w:ind w:left="134"/>
              <w:rPr>
                <w:rFonts w:ascii="宋体" w:hAnsi="宋体" w:eastAsia="宋体" w:cs="宋体"/>
                <w:sz w:val="24"/>
                <w:szCs w:val="24"/>
                <w:highlight w:val="none"/>
                <w:lang w:eastAsia="zh-CN"/>
              </w:rPr>
            </w:pPr>
            <w:r>
              <w:rPr>
                <w:rFonts w:hint="eastAsia" w:ascii="宋体" w:hAnsi="宋体" w:eastAsia="宋体" w:cs="宋体"/>
                <w:spacing w:val="11"/>
                <w:sz w:val="24"/>
                <w:szCs w:val="24"/>
                <w:highlight w:val="none"/>
                <w:lang w:eastAsia="zh-CN"/>
              </w:rPr>
              <w:t>□中型企业</w:t>
            </w:r>
          </w:p>
          <w:p w14:paraId="61882E78">
            <w:pPr>
              <w:pStyle w:val="70"/>
              <w:spacing w:before="22" w:line="223" w:lineRule="auto"/>
              <w:ind w:left="373" w:right="208" w:hanging="239"/>
              <w:rPr>
                <w:rFonts w:ascii="宋体" w:hAnsi="宋体" w:eastAsia="宋体" w:cs="宋体"/>
                <w:spacing w:val="11"/>
                <w:sz w:val="24"/>
                <w:szCs w:val="24"/>
                <w:highlight w:val="none"/>
                <w:lang w:eastAsia="zh-CN"/>
              </w:rPr>
            </w:pPr>
            <w:r>
              <w:rPr>
                <w:rFonts w:hint="eastAsia" w:ascii="宋体" w:hAnsi="宋体" w:eastAsia="宋体" w:cs="宋体"/>
                <w:spacing w:val="11"/>
                <w:sz w:val="24"/>
                <w:szCs w:val="24"/>
                <w:highlight w:val="none"/>
                <w:lang w:eastAsia="zh-CN"/>
              </w:rPr>
              <w:t>□小微企业</w:t>
            </w:r>
          </w:p>
          <w:p w14:paraId="1672D704">
            <w:pPr>
              <w:pStyle w:val="70"/>
              <w:spacing w:before="22" w:line="223" w:lineRule="auto"/>
              <w:ind w:left="373" w:right="208" w:hanging="239"/>
              <w:rPr>
                <w:rFonts w:ascii="宋体" w:hAnsi="宋体" w:eastAsia="宋体" w:cs="宋体"/>
                <w:sz w:val="24"/>
                <w:szCs w:val="24"/>
                <w:highlight w:val="none"/>
                <w:lang w:eastAsia="zh-CN"/>
              </w:rPr>
            </w:pPr>
            <w:r>
              <w:rPr>
                <w:rFonts w:hint="eastAsia" w:ascii="宋体" w:hAnsi="宋体" w:eastAsia="宋体" w:cs="宋体"/>
                <w:spacing w:val="19"/>
                <w:sz w:val="24"/>
                <w:szCs w:val="24"/>
                <w:highlight w:val="none"/>
                <w:lang w:eastAsia="zh-CN"/>
              </w:rPr>
              <w:t>□其他</w:t>
            </w:r>
          </w:p>
        </w:tc>
        <w:tc>
          <w:tcPr>
            <w:tcW w:w="1122" w:type="dxa"/>
            <w:vAlign w:val="center"/>
          </w:tcPr>
          <w:p w14:paraId="13E3C64C">
            <w:pPr>
              <w:pStyle w:val="70"/>
              <w:rPr>
                <w:rFonts w:ascii="宋体" w:hAnsi="宋体" w:eastAsia="宋体" w:cs="宋体"/>
                <w:highlight w:val="none"/>
                <w:lang w:eastAsia="zh-CN"/>
              </w:rPr>
            </w:pPr>
          </w:p>
        </w:tc>
        <w:tc>
          <w:tcPr>
            <w:tcW w:w="1390" w:type="dxa"/>
            <w:vAlign w:val="center"/>
          </w:tcPr>
          <w:p w14:paraId="018DC216">
            <w:pPr>
              <w:pStyle w:val="70"/>
              <w:rPr>
                <w:rFonts w:ascii="宋体" w:hAnsi="宋体" w:eastAsia="宋体" w:cs="宋体"/>
                <w:highlight w:val="none"/>
                <w:lang w:eastAsia="zh-CN"/>
              </w:rPr>
            </w:pPr>
          </w:p>
        </w:tc>
        <w:tc>
          <w:tcPr>
            <w:tcW w:w="1497" w:type="dxa"/>
            <w:vAlign w:val="center"/>
          </w:tcPr>
          <w:p w14:paraId="505ADFDB">
            <w:pPr>
              <w:pStyle w:val="70"/>
              <w:rPr>
                <w:rFonts w:ascii="宋体" w:hAnsi="宋体" w:eastAsia="宋体" w:cs="宋体"/>
                <w:highlight w:val="none"/>
                <w:lang w:eastAsia="zh-CN"/>
              </w:rPr>
            </w:pPr>
          </w:p>
        </w:tc>
        <w:tc>
          <w:tcPr>
            <w:tcW w:w="1569" w:type="dxa"/>
            <w:vAlign w:val="center"/>
          </w:tcPr>
          <w:p w14:paraId="5FB419AD">
            <w:pPr>
              <w:pStyle w:val="70"/>
              <w:rPr>
                <w:rFonts w:ascii="宋体" w:hAnsi="宋体" w:eastAsia="宋体" w:cs="宋体"/>
                <w:highlight w:val="none"/>
                <w:lang w:eastAsia="zh-CN"/>
              </w:rPr>
            </w:pPr>
          </w:p>
        </w:tc>
      </w:tr>
      <w:tr w14:paraId="04E124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2" w:hRule="atLeast"/>
        </w:trPr>
        <w:tc>
          <w:tcPr>
            <w:tcW w:w="563" w:type="dxa"/>
            <w:vAlign w:val="center"/>
          </w:tcPr>
          <w:p w14:paraId="3D7705DC">
            <w:pPr>
              <w:pStyle w:val="70"/>
              <w:spacing w:before="69" w:line="201" w:lineRule="auto"/>
              <w:jc w:val="center"/>
              <w:rPr>
                <w:rFonts w:ascii="宋体" w:hAnsi="宋体" w:eastAsia="宋体" w:cs="宋体"/>
                <w:sz w:val="24"/>
                <w:szCs w:val="24"/>
                <w:highlight w:val="none"/>
              </w:rPr>
            </w:pPr>
            <w:r>
              <w:rPr>
                <w:rFonts w:hint="eastAsia" w:ascii="宋体" w:hAnsi="宋体" w:eastAsia="宋体" w:cs="宋体"/>
                <w:spacing w:val="1"/>
                <w:sz w:val="24"/>
                <w:szCs w:val="24"/>
                <w:highlight w:val="none"/>
              </w:rPr>
              <w:t>2</w:t>
            </w:r>
          </w:p>
        </w:tc>
        <w:tc>
          <w:tcPr>
            <w:tcW w:w="1286" w:type="dxa"/>
            <w:vAlign w:val="center"/>
          </w:tcPr>
          <w:p w14:paraId="01BF2053">
            <w:pPr>
              <w:pStyle w:val="70"/>
              <w:rPr>
                <w:rFonts w:ascii="宋体" w:hAnsi="宋体" w:eastAsia="宋体" w:cs="宋体"/>
                <w:highlight w:val="none"/>
              </w:rPr>
            </w:pPr>
          </w:p>
        </w:tc>
        <w:tc>
          <w:tcPr>
            <w:tcW w:w="1684" w:type="dxa"/>
            <w:vAlign w:val="center"/>
          </w:tcPr>
          <w:p w14:paraId="0AB9CAA0">
            <w:pPr>
              <w:pStyle w:val="70"/>
              <w:spacing w:before="38" w:line="221" w:lineRule="auto"/>
              <w:ind w:left="134"/>
              <w:rPr>
                <w:rFonts w:ascii="宋体" w:hAnsi="宋体" w:eastAsia="宋体" w:cs="宋体"/>
                <w:sz w:val="24"/>
                <w:szCs w:val="24"/>
                <w:highlight w:val="none"/>
                <w:lang w:eastAsia="zh-CN"/>
              </w:rPr>
            </w:pPr>
            <w:r>
              <w:rPr>
                <w:rFonts w:hint="eastAsia" w:ascii="宋体" w:hAnsi="宋体" w:eastAsia="宋体" w:cs="宋体"/>
                <w:spacing w:val="11"/>
                <w:sz w:val="24"/>
                <w:szCs w:val="24"/>
                <w:highlight w:val="none"/>
                <w:lang w:eastAsia="zh-CN"/>
              </w:rPr>
              <w:t>□中型企业</w:t>
            </w:r>
          </w:p>
          <w:p w14:paraId="254A6BF9">
            <w:pPr>
              <w:pStyle w:val="70"/>
              <w:spacing w:before="25" w:line="222" w:lineRule="auto"/>
              <w:ind w:left="373" w:right="208" w:hanging="239"/>
              <w:rPr>
                <w:rFonts w:ascii="宋体" w:hAnsi="宋体" w:eastAsia="宋体" w:cs="宋体"/>
                <w:spacing w:val="11"/>
                <w:sz w:val="24"/>
                <w:szCs w:val="24"/>
                <w:highlight w:val="none"/>
                <w:lang w:eastAsia="zh-CN"/>
              </w:rPr>
            </w:pPr>
            <w:r>
              <w:rPr>
                <w:rFonts w:hint="eastAsia" w:ascii="宋体" w:hAnsi="宋体" w:eastAsia="宋体" w:cs="宋体"/>
                <w:spacing w:val="11"/>
                <w:sz w:val="24"/>
                <w:szCs w:val="24"/>
                <w:highlight w:val="none"/>
                <w:lang w:eastAsia="zh-CN"/>
              </w:rPr>
              <w:t>□小微企业</w:t>
            </w:r>
          </w:p>
          <w:p w14:paraId="17022231">
            <w:pPr>
              <w:pStyle w:val="70"/>
              <w:spacing w:before="25" w:line="222" w:lineRule="auto"/>
              <w:ind w:left="373" w:right="208" w:hanging="239"/>
              <w:rPr>
                <w:rFonts w:ascii="宋体" w:hAnsi="宋体" w:eastAsia="宋体" w:cs="宋体"/>
                <w:sz w:val="24"/>
                <w:szCs w:val="24"/>
                <w:highlight w:val="none"/>
                <w:lang w:eastAsia="zh-CN"/>
              </w:rPr>
            </w:pPr>
            <w:r>
              <w:rPr>
                <w:rFonts w:hint="eastAsia" w:ascii="宋体" w:hAnsi="宋体" w:eastAsia="宋体" w:cs="宋体"/>
                <w:spacing w:val="19"/>
                <w:sz w:val="24"/>
                <w:szCs w:val="24"/>
                <w:highlight w:val="none"/>
                <w:lang w:eastAsia="zh-CN"/>
              </w:rPr>
              <w:t>□其他</w:t>
            </w:r>
          </w:p>
        </w:tc>
        <w:tc>
          <w:tcPr>
            <w:tcW w:w="1122" w:type="dxa"/>
            <w:vAlign w:val="center"/>
          </w:tcPr>
          <w:p w14:paraId="6938DC78">
            <w:pPr>
              <w:pStyle w:val="70"/>
              <w:rPr>
                <w:rFonts w:ascii="宋体" w:hAnsi="宋体" w:eastAsia="宋体" w:cs="宋体"/>
                <w:highlight w:val="none"/>
                <w:lang w:eastAsia="zh-CN"/>
              </w:rPr>
            </w:pPr>
          </w:p>
        </w:tc>
        <w:tc>
          <w:tcPr>
            <w:tcW w:w="1390" w:type="dxa"/>
            <w:vAlign w:val="center"/>
          </w:tcPr>
          <w:p w14:paraId="0817389E">
            <w:pPr>
              <w:pStyle w:val="70"/>
              <w:rPr>
                <w:rFonts w:ascii="宋体" w:hAnsi="宋体" w:eastAsia="宋体" w:cs="宋体"/>
                <w:highlight w:val="none"/>
                <w:lang w:eastAsia="zh-CN"/>
              </w:rPr>
            </w:pPr>
          </w:p>
        </w:tc>
        <w:tc>
          <w:tcPr>
            <w:tcW w:w="1497" w:type="dxa"/>
            <w:vAlign w:val="center"/>
          </w:tcPr>
          <w:p w14:paraId="37FA3D7B">
            <w:pPr>
              <w:pStyle w:val="70"/>
              <w:rPr>
                <w:rFonts w:ascii="宋体" w:hAnsi="宋体" w:eastAsia="宋体" w:cs="宋体"/>
                <w:highlight w:val="none"/>
                <w:lang w:eastAsia="zh-CN"/>
              </w:rPr>
            </w:pPr>
          </w:p>
        </w:tc>
        <w:tc>
          <w:tcPr>
            <w:tcW w:w="1569" w:type="dxa"/>
            <w:vAlign w:val="center"/>
          </w:tcPr>
          <w:p w14:paraId="69ECF104">
            <w:pPr>
              <w:pStyle w:val="70"/>
              <w:rPr>
                <w:rFonts w:ascii="宋体" w:hAnsi="宋体" w:eastAsia="宋体" w:cs="宋体"/>
                <w:highlight w:val="none"/>
                <w:lang w:eastAsia="zh-CN"/>
              </w:rPr>
            </w:pPr>
          </w:p>
        </w:tc>
      </w:tr>
      <w:tr w14:paraId="75129B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3" w:type="dxa"/>
            <w:vAlign w:val="center"/>
          </w:tcPr>
          <w:p w14:paraId="7C05F6D2">
            <w:pPr>
              <w:pStyle w:val="70"/>
              <w:spacing w:before="69" w:line="81" w:lineRule="exact"/>
              <w:jc w:val="center"/>
              <w:rPr>
                <w:rFonts w:ascii="宋体" w:hAnsi="宋体" w:eastAsia="宋体" w:cs="宋体"/>
                <w:sz w:val="24"/>
                <w:szCs w:val="24"/>
                <w:highlight w:val="none"/>
              </w:rPr>
            </w:pPr>
            <w:r>
              <w:rPr>
                <w:rFonts w:hint="eastAsia" w:ascii="宋体" w:hAnsi="宋体" w:eastAsia="宋体" w:cs="宋体"/>
                <w:position w:val="1"/>
                <w:sz w:val="24"/>
                <w:szCs w:val="24"/>
                <w:highlight w:val="none"/>
              </w:rPr>
              <w:t>…</w:t>
            </w:r>
          </w:p>
        </w:tc>
        <w:tc>
          <w:tcPr>
            <w:tcW w:w="1286" w:type="dxa"/>
            <w:vAlign w:val="center"/>
          </w:tcPr>
          <w:p w14:paraId="3A1B8702">
            <w:pPr>
              <w:pStyle w:val="70"/>
              <w:rPr>
                <w:rFonts w:ascii="宋体" w:hAnsi="宋体" w:eastAsia="宋体" w:cs="宋体"/>
                <w:highlight w:val="none"/>
              </w:rPr>
            </w:pPr>
          </w:p>
        </w:tc>
        <w:tc>
          <w:tcPr>
            <w:tcW w:w="1684" w:type="dxa"/>
            <w:vAlign w:val="center"/>
          </w:tcPr>
          <w:p w14:paraId="11E484B3">
            <w:pPr>
              <w:pStyle w:val="70"/>
              <w:rPr>
                <w:rFonts w:ascii="宋体" w:hAnsi="宋体" w:eastAsia="宋体" w:cs="宋体"/>
                <w:highlight w:val="none"/>
              </w:rPr>
            </w:pPr>
          </w:p>
        </w:tc>
        <w:tc>
          <w:tcPr>
            <w:tcW w:w="1122" w:type="dxa"/>
            <w:vAlign w:val="center"/>
          </w:tcPr>
          <w:p w14:paraId="3B0B36F9">
            <w:pPr>
              <w:pStyle w:val="70"/>
              <w:rPr>
                <w:rFonts w:ascii="宋体" w:hAnsi="宋体" w:eastAsia="宋体" w:cs="宋体"/>
                <w:highlight w:val="none"/>
              </w:rPr>
            </w:pPr>
          </w:p>
        </w:tc>
        <w:tc>
          <w:tcPr>
            <w:tcW w:w="1390" w:type="dxa"/>
            <w:vAlign w:val="center"/>
          </w:tcPr>
          <w:p w14:paraId="10F4AF86">
            <w:pPr>
              <w:pStyle w:val="70"/>
              <w:rPr>
                <w:rFonts w:ascii="宋体" w:hAnsi="宋体" w:eastAsia="宋体" w:cs="宋体"/>
                <w:highlight w:val="none"/>
              </w:rPr>
            </w:pPr>
          </w:p>
        </w:tc>
        <w:tc>
          <w:tcPr>
            <w:tcW w:w="1497" w:type="dxa"/>
            <w:vAlign w:val="center"/>
          </w:tcPr>
          <w:p w14:paraId="398446B0">
            <w:pPr>
              <w:pStyle w:val="70"/>
              <w:rPr>
                <w:rFonts w:ascii="宋体" w:hAnsi="宋体" w:eastAsia="宋体" w:cs="宋体"/>
                <w:highlight w:val="none"/>
              </w:rPr>
            </w:pPr>
          </w:p>
        </w:tc>
        <w:tc>
          <w:tcPr>
            <w:tcW w:w="1569" w:type="dxa"/>
            <w:vAlign w:val="center"/>
          </w:tcPr>
          <w:p w14:paraId="1D33B0E7">
            <w:pPr>
              <w:pStyle w:val="70"/>
              <w:rPr>
                <w:rFonts w:ascii="宋体" w:hAnsi="宋体" w:eastAsia="宋体" w:cs="宋体"/>
                <w:highlight w:val="none"/>
              </w:rPr>
            </w:pPr>
          </w:p>
        </w:tc>
      </w:tr>
      <w:tr w14:paraId="672057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045" w:type="dxa"/>
            <w:gridSpan w:val="5"/>
            <w:vAlign w:val="center"/>
          </w:tcPr>
          <w:p w14:paraId="5F244E71">
            <w:pPr>
              <w:spacing w:before="193" w:line="222" w:lineRule="auto"/>
              <w:ind w:left="5170"/>
              <w:rPr>
                <w:rFonts w:ascii="宋体" w:hAnsi="宋体" w:eastAsia="宋体" w:cs="宋体"/>
                <w:sz w:val="24"/>
                <w:szCs w:val="24"/>
                <w:highlight w:val="none"/>
              </w:rPr>
            </w:pPr>
            <w:r>
              <w:rPr>
                <w:rFonts w:hint="eastAsia" w:ascii="宋体" w:hAnsi="宋体" w:eastAsia="宋体" w:cs="宋体"/>
                <w:spacing w:val="-15"/>
                <w:sz w:val="24"/>
                <w:szCs w:val="24"/>
                <w:highlight w:val="none"/>
              </w:rPr>
              <w:t>合计：</w:t>
            </w:r>
          </w:p>
        </w:tc>
        <w:tc>
          <w:tcPr>
            <w:tcW w:w="1497" w:type="dxa"/>
            <w:vAlign w:val="center"/>
          </w:tcPr>
          <w:p w14:paraId="00592E4A">
            <w:pPr>
              <w:pStyle w:val="70"/>
              <w:rPr>
                <w:rFonts w:ascii="宋体" w:hAnsi="宋体" w:eastAsia="宋体" w:cs="宋体"/>
                <w:highlight w:val="none"/>
              </w:rPr>
            </w:pPr>
          </w:p>
        </w:tc>
        <w:tc>
          <w:tcPr>
            <w:tcW w:w="1569" w:type="dxa"/>
            <w:vAlign w:val="center"/>
          </w:tcPr>
          <w:p w14:paraId="736E9D6D">
            <w:pPr>
              <w:pStyle w:val="70"/>
              <w:rPr>
                <w:rFonts w:ascii="宋体" w:hAnsi="宋体" w:eastAsia="宋体" w:cs="宋体"/>
                <w:highlight w:val="none"/>
              </w:rPr>
            </w:pPr>
          </w:p>
        </w:tc>
      </w:tr>
    </w:tbl>
    <w:p w14:paraId="7099A652">
      <w:pPr>
        <w:spacing w:line="272" w:lineRule="auto"/>
        <w:rPr>
          <w:rFonts w:ascii="宋体" w:hAnsi="宋体" w:eastAsia="宋体" w:cs="宋体"/>
          <w:highlight w:val="none"/>
        </w:rPr>
      </w:pPr>
    </w:p>
    <w:p w14:paraId="3BB6FCFC">
      <w:pPr>
        <w:spacing w:line="360" w:lineRule="auto"/>
        <w:ind w:firstLine="4800" w:firstLineChars="2000"/>
        <w:rPr>
          <w:rFonts w:ascii="宋体" w:hAnsi="宋体" w:eastAsia="宋体"/>
          <w:sz w:val="24"/>
          <w:highlight w:val="none"/>
          <w:u w:val="single"/>
        </w:rPr>
      </w:pPr>
      <w:r>
        <w:rPr>
          <w:rFonts w:hint="eastAsia" w:ascii="宋体" w:hAnsi="宋体" w:eastAsia="宋体"/>
          <w:sz w:val="24"/>
          <w:highlight w:val="none"/>
        </w:rPr>
        <w:t>供应商电子签章：</w:t>
      </w:r>
      <w:r>
        <w:rPr>
          <w:rFonts w:hint="eastAsia" w:ascii="宋体" w:hAnsi="宋体" w:eastAsia="宋体"/>
          <w:sz w:val="24"/>
          <w:highlight w:val="none"/>
          <w:u w:val="single"/>
        </w:rPr>
        <w:t xml:space="preserve">             </w:t>
      </w:r>
    </w:p>
    <w:p w14:paraId="6902FEA2">
      <w:pPr>
        <w:spacing w:line="360" w:lineRule="auto"/>
        <w:ind w:firstLine="4800" w:firstLineChars="2000"/>
        <w:rPr>
          <w:rFonts w:ascii="宋体" w:hAnsi="宋体" w:eastAsia="宋体"/>
          <w:sz w:val="24"/>
          <w:highlight w:val="none"/>
          <w:u w:val="single"/>
        </w:rPr>
      </w:pPr>
      <w:r>
        <w:rPr>
          <w:rFonts w:hint="eastAsia" w:ascii="宋体" w:hAnsi="宋体" w:eastAsia="宋体"/>
          <w:sz w:val="24"/>
          <w:highlight w:val="none"/>
        </w:rPr>
        <w:t>日          期：</w:t>
      </w:r>
      <w:r>
        <w:rPr>
          <w:rFonts w:hint="eastAsia" w:ascii="宋体" w:hAnsi="宋体" w:eastAsia="宋体"/>
          <w:sz w:val="24"/>
          <w:highlight w:val="none"/>
          <w:u w:val="single"/>
        </w:rPr>
        <w:t xml:space="preserve">             </w:t>
      </w:r>
    </w:p>
    <w:p w14:paraId="1E26FFBD">
      <w:pPr>
        <w:pStyle w:val="9"/>
        <w:spacing w:before="1" w:line="224" w:lineRule="auto"/>
        <w:ind w:left="9"/>
        <w:rPr>
          <w:rFonts w:ascii="宋体" w:hAnsi="宋体" w:eastAsia="宋体" w:cs="宋体"/>
          <w:sz w:val="24"/>
          <w:highlight w:val="none"/>
        </w:rPr>
      </w:pPr>
      <w:r>
        <w:rPr>
          <w:rFonts w:hint="eastAsia" w:ascii="宋体" w:hAnsi="宋体" w:eastAsia="宋体" w:cs="宋体"/>
          <w:spacing w:val="-17"/>
          <w:sz w:val="24"/>
          <w:highlight w:val="none"/>
        </w:rPr>
        <w:t>注：</w:t>
      </w:r>
    </w:p>
    <w:p w14:paraId="0B88605B">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1.拟分包情况说明仅需加盖供应商电子签章。</w:t>
      </w:r>
    </w:p>
    <w:p w14:paraId="593E0FFE">
      <w:pPr>
        <w:spacing w:line="360" w:lineRule="auto"/>
        <w:ind w:firstLine="435"/>
        <w:rPr>
          <w:rFonts w:asciiTheme="minorEastAsia" w:hAnsiTheme="minorEastAsia" w:eastAsiaTheme="minorEastAsia"/>
          <w:sz w:val="24"/>
          <w:highlight w:val="none"/>
        </w:rPr>
      </w:pPr>
      <w:r>
        <w:rPr>
          <w:rFonts w:hint="eastAsia" w:ascii="宋体" w:hAnsi="宋体" w:eastAsia="宋体"/>
          <w:sz w:val="24"/>
          <w:highlight w:val="none"/>
        </w:rPr>
        <w:t>2.考虑</w:t>
      </w:r>
      <w:r>
        <w:rPr>
          <w:rFonts w:hint="eastAsia" w:ascii="宋体" w:hAnsi="宋体" w:eastAsia="宋体" w:cs="宋体"/>
          <w:spacing w:val="-4"/>
          <w:sz w:val="24"/>
          <w:szCs w:val="24"/>
          <w:highlight w:val="none"/>
        </w:rPr>
        <w:t>拟分包合同金额</w:t>
      </w:r>
      <w:r>
        <w:rPr>
          <w:rFonts w:hint="eastAsia" w:ascii="宋体" w:hAnsi="宋体" w:eastAsia="宋体"/>
          <w:sz w:val="24"/>
          <w:highlight w:val="none"/>
        </w:rPr>
        <w:t>的方便，供应商在填写最后承诺报价后，（第一次报价-最后承诺报价）除以第一次报价后得出的优惠率视同为上述表中</w:t>
      </w:r>
      <w:r>
        <w:rPr>
          <w:rFonts w:hint="eastAsia" w:ascii="宋体" w:hAnsi="宋体" w:eastAsia="宋体" w:cs="宋体"/>
          <w:spacing w:val="-4"/>
          <w:sz w:val="24"/>
          <w:szCs w:val="24"/>
          <w:highlight w:val="none"/>
        </w:rPr>
        <w:t>拟分包合同金额</w:t>
      </w:r>
      <w:r>
        <w:rPr>
          <w:rFonts w:hint="eastAsia" w:ascii="宋体" w:hAnsi="宋体" w:eastAsia="宋体"/>
          <w:sz w:val="24"/>
          <w:highlight w:val="none"/>
        </w:rPr>
        <w:t>的优惠浮动值（特定分项优惠除外），而不考虑措施项目清单和规费税金清单的金额改变</w:t>
      </w:r>
      <w:r>
        <w:rPr>
          <w:rFonts w:hint="eastAsia" w:ascii="宋体" w:hAnsi="宋体" w:eastAsia="宋体"/>
          <w:bCs/>
          <w:sz w:val="24"/>
          <w:highlight w:val="none"/>
        </w:rPr>
        <w:t>。</w:t>
      </w:r>
    </w:p>
    <w:p w14:paraId="3D6D69B0">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3.如磋商文件载明本项目分包承担主体应具备的相应资质条件，则供应商须在本表中列明分包承担主体的资质等级，并后附材料扫描件或电子证照，否则</w:t>
      </w:r>
      <w:r>
        <w:rPr>
          <w:rFonts w:hint="eastAsia" w:asciiTheme="minorEastAsia" w:hAnsiTheme="minorEastAsia" w:eastAsiaTheme="minorEastAsia"/>
          <w:b/>
          <w:bCs/>
          <w:sz w:val="24"/>
          <w:highlight w:val="none"/>
        </w:rPr>
        <w:t>响应无效</w:t>
      </w:r>
      <w:r>
        <w:rPr>
          <w:rFonts w:hint="eastAsia" w:asciiTheme="minorEastAsia" w:hAnsiTheme="minorEastAsia" w:eastAsiaTheme="minorEastAsia"/>
          <w:sz w:val="24"/>
          <w:highlight w:val="none"/>
        </w:rPr>
        <w:t>。</w:t>
      </w:r>
    </w:p>
    <w:p w14:paraId="54D68FE5">
      <w:pPr>
        <w:spacing w:line="220" w:lineRule="auto"/>
        <w:rPr>
          <w:rFonts w:ascii="宋体" w:hAnsi="宋体" w:eastAsia="宋体" w:cs="宋体"/>
          <w:sz w:val="24"/>
          <w:szCs w:val="24"/>
          <w:highlight w:val="none"/>
        </w:rPr>
        <w:sectPr>
          <w:headerReference r:id="rId5" w:type="default"/>
          <w:footerReference r:id="rId6" w:type="default"/>
          <w:pgSz w:w="11907" w:h="16840"/>
          <w:pgMar w:top="1117" w:right="1078" w:bottom="1060" w:left="1700" w:header="510" w:footer="886" w:gutter="0"/>
          <w:pgNumType w:start="1"/>
          <w:cols w:space="720" w:num="1"/>
        </w:sectPr>
      </w:pPr>
    </w:p>
    <w:p w14:paraId="44D01A53">
      <w:pPr>
        <w:spacing w:line="360" w:lineRule="auto"/>
        <w:jc w:val="center"/>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（二）分包意向协议</w:t>
      </w:r>
    </w:p>
    <w:p w14:paraId="49F322D8">
      <w:pPr>
        <w:spacing w:line="360" w:lineRule="auto"/>
        <w:ind w:firstLine="435"/>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供应商名称：</w:t>
      </w:r>
      <w:r>
        <w:rPr>
          <w:rFonts w:hint="eastAsia" w:asciiTheme="minorEastAsia" w:hAnsiTheme="minorEastAsia" w:eastAsiaTheme="minorEastAsia"/>
          <w:sz w:val="24"/>
          <w:highlight w:val="none"/>
          <w:u w:val="single"/>
        </w:rPr>
        <w:t xml:space="preserve"> </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u w:val="single"/>
        </w:rPr>
        <w:t xml:space="preserve">        </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w:t>
      </w:r>
    </w:p>
    <w:p w14:paraId="3CCE0A29">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接受分包企业一名称：</w:t>
      </w:r>
      <w:r>
        <w:rPr>
          <w:rFonts w:hint="eastAsia" w:asciiTheme="minorEastAsia" w:hAnsiTheme="minorEastAsia" w:eastAsiaTheme="minorEastAsia"/>
          <w:sz w:val="24"/>
          <w:highlight w:val="none"/>
          <w:u w:val="single"/>
        </w:rPr>
        <w:t xml:space="preserve"> </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w:t>
      </w:r>
    </w:p>
    <w:p w14:paraId="4E447267">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接受分包企业二名称：</w:t>
      </w:r>
      <w:r>
        <w:rPr>
          <w:rFonts w:hint="eastAsia" w:asciiTheme="minorEastAsia" w:hAnsiTheme="minorEastAsia" w:eastAsiaTheme="minorEastAsia"/>
          <w:sz w:val="24"/>
          <w:highlight w:val="none"/>
          <w:u w:val="single"/>
        </w:rPr>
        <w:t xml:space="preserve"> </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w:t>
      </w:r>
    </w:p>
    <w:p w14:paraId="7385B09C">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w:t>
      </w:r>
    </w:p>
    <w:p w14:paraId="0E6A41AE">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依据《政府采购促进中小企业发展管理办法》（财库〔2020〕46号）第八条规定，</w:t>
      </w:r>
      <w:r>
        <w:rPr>
          <w:rFonts w:asciiTheme="minorEastAsia" w:hAnsiTheme="minorEastAsia" w:eastAsiaTheme="minorEastAsia"/>
          <w:sz w:val="24"/>
          <w:highlight w:val="none"/>
        </w:rPr>
        <w:t>现就</w:t>
      </w:r>
      <w:r>
        <w:rPr>
          <w:rFonts w:hint="eastAsia" w:asciiTheme="minorEastAsia" w:hAnsiTheme="minorEastAsia" w:eastAsiaTheme="minorEastAsia"/>
          <w:sz w:val="24"/>
          <w:highlight w:val="none"/>
        </w:rPr>
        <w:t>分包意向</w:t>
      </w:r>
      <w:r>
        <w:rPr>
          <w:rFonts w:asciiTheme="minorEastAsia" w:hAnsiTheme="minorEastAsia" w:eastAsiaTheme="minorEastAsia"/>
          <w:sz w:val="24"/>
          <w:highlight w:val="none"/>
        </w:rPr>
        <w:t>事宜订立如下协议：</w:t>
      </w:r>
    </w:p>
    <w:p w14:paraId="01CF98A5">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1.本项目供应商为本项目总承包单位。</w:t>
      </w:r>
    </w:p>
    <w:p w14:paraId="2247C6CB">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在本项目磋商阶段，总承包单位负责磋商项目的一切组织、协调工作，并授权代理人参加项目的磋商，代理人在项目采购过程中所签署的一切文件和处理与本次磋商有关的一切事务，总承包单位与采购人签订本项目采购合同，分别与各分包企业签订分包合同，就本项目对采购人承担连带责任。</w:t>
      </w:r>
    </w:p>
    <w:p w14:paraId="643F16AA">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各</w:t>
      </w:r>
      <w:r>
        <w:rPr>
          <w:rFonts w:asciiTheme="minorEastAsia" w:hAnsiTheme="minorEastAsia" w:eastAsiaTheme="minorEastAsia"/>
          <w:sz w:val="24"/>
          <w:highlight w:val="none"/>
        </w:rPr>
        <w:t>单位内部的职责分工</w:t>
      </w:r>
      <w:r>
        <w:rPr>
          <w:rFonts w:hint="eastAsia" w:asciiTheme="minorEastAsia" w:hAnsiTheme="minorEastAsia" w:eastAsiaTheme="minorEastAsia"/>
          <w:sz w:val="24"/>
          <w:highlight w:val="none"/>
        </w:rPr>
        <w:t>及各方负责内容的合同金额占总合同金额的百分比</w:t>
      </w:r>
      <w:r>
        <w:rPr>
          <w:rFonts w:asciiTheme="minorEastAsia" w:hAnsiTheme="minorEastAsia" w:eastAsiaTheme="minorEastAsia"/>
          <w:sz w:val="24"/>
          <w:highlight w:val="none"/>
        </w:rPr>
        <w:t>如下：</w:t>
      </w:r>
    </w:p>
    <w:p w14:paraId="5A2FC082">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供应商名称：</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，承担</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工作，负责内容的合同金额为</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，占总合同金额的百分比：</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w:t>
      </w:r>
    </w:p>
    <w:p w14:paraId="414AA24E">
      <w:pPr>
        <w:spacing w:line="360" w:lineRule="auto"/>
        <w:ind w:firstLine="435"/>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接受分包企业一名称：</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，承担</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工作；负责内容的合同金额为</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，占总合同金额的百分比：</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w:t>
      </w:r>
    </w:p>
    <w:p w14:paraId="2D970B0C">
      <w:pPr>
        <w:spacing w:line="360" w:lineRule="auto"/>
        <w:ind w:firstLine="435"/>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接受分包企业二名称：</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，承担</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工作，负责内容的合同金额为</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，占总合同金额的百分比：</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w:t>
      </w:r>
    </w:p>
    <w:p w14:paraId="03DAE948">
      <w:pPr>
        <w:spacing w:line="360" w:lineRule="auto"/>
        <w:ind w:firstLine="435"/>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w:t>
      </w:r>
    </w:p>
    <w:p w14:paraId="49A3A1BC">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4</w:t>
      </w:r>
      <w:r>
        <w:rPr>
          <w:rFonts w:hint="eastAsia" w:asciiTheme="minorEastAsia" w:hAnsiTheme="minorEastAsia" w:eastAsiaTheme="minorEastAsia"/>
          <w:sz w:val="24"/>
          <w:highlight w:val="none"/>
        </w:rPr>
        <w:t>.成交</w:t>
      </w:r>
      <w:r>
        <w:rPr>
          <w:rFonts w:asciiTheme="minorEastAsia" w:hAnsiTheme="minorEastAsia" w:eastAsiaTheme="minorEastAsia"/>
          <w:sz w:val="24"/>
          <w:highlight w:val="none"/>
        </w:rPr>
        <w:t>后，本</w:t>
      </w:r>
      <w:r>
        <w:rPr>
          <w:rFonts w:hint="eastAsia" w:asciiTheme="minorEastAsia" w:hAnsiTheme="minorEastAsia" w:eastAsiaTheme="minorEastAsia"/>
          <w:sz w:val="24"/>
          <w:highlight w:val="none"/>
        </w:rPr>
        <w:t>分包意向</w:t>
      </w:r>
      <w:r>
        <w:rPr>
          <w:rFonts w:asciiTheme="minorEastAsia" w:hAnsiTheme="minorEastAsia" w:eastAsiaTheme="minorEastAsia"/>
          <w:sz w:val="24"/>
          <w:highlight w:val="none"/>
        </w:rPr>
        <w:t>协议是合同的附件，对</w:t>
      </w:r>
      <w:r>
        <w:rPr>
          <w:rFonts w:hint="eastAsia" w:asciiTheme="minorEastAsia" w:hAnsiTheme="minorEastAsia" w:eastAsiaTheme="minorEastAsia"/>
          <w:sz w:val="24"/>
          <w:highlight w:val="none"/>
        </w:rPr>
        <w:t>分包</w:t>
      </w:r>
      <w:r>
        <w:rPr>
          <w:rFonts w:asciiTheme="minorEastAsia" w:hAnsiTheme="minorEastAsia" w:eastAsiaTheme="minorEastAsia"/>
          <w:sz w:val="24"/>
          <w:highlight w:val="none"/>
        </w:rPr>
        <w:t>各成员单位有合同约束力。</w:t>
      </w:r>
    </w:p>
    <w:p w14:paraId="2239F0E6">
      <w:pPr>
        <w:spacing w:line="360" w:lineRule="auto"/>
        <w:ind w:firstLine="435"/>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5.</w:t>
      </w:r>
      <w:r>
        <w:rPr>
          <w:rFonts w:asciiTheme="minorEastAsia" w:hAnsiTheme="minorEastAsia" w:eastAsiaTheme="minorEastAsia"/>
          <w:sz w:val="24"/>
          <w:highlight w:val="none"/>
        </w:rPr>
        <w:t>本协议书自签署之日起生效，未</w:t>
      </w:r>
      <w:r>
        <w:rPr>
          <w:rFonts w:hint="eastAsia" w:asciiTheme="minorEastAsia" w:hAnsiTheme="minorEastAsia" w:eastAsiaTheme="minorEastAsia"/>
          <w:sz w:val="24"/>
          <w:highlight w:val="none"/>
        </w:rPr>
        <w:t>成交</w:t>
      </w:r>
      <w:r>
        <w:rPr>
          <w:rFonts w:asciiTheme="minorEastAsia" w:hAnsiTheme="minorEastAsia" w:eastAsiaTheme="minorEastAsia"/>
          <w:sz w:val="24"/>
          <w:highlight w:val="none"/>
        </w:rPr>
        <w:t>或者合同履行完毕后自动失效。</w:t>
      </w:r>
    </w:p>
    <w:p w14:paraId="2A89A142">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6.接受分包的中小企业与总承包单位不存在直接控股、管理关系。</w:t>
      </w:r>
    </w:p>
    <w:p w14:paraId="151719F2">
      <w:pPr>
        <w:pStyle w:val="9"/>
        <w:rPr>
          <w:highlight w:val="none"/>
          <w:lang w:val="en-US"/>
        </w:rPr>
      </w:pPr>
    </w:p>
    <w:p w14:paraId="039FD805">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供应商：</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（公章）</w:t>
      </w:r>
    </w:p>
    <w:p w14:paraId="53FB828A">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法定代表人：</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（签字或盖章）</w:t>
      </w:r>
    </w:p>
    <w:p w14:paraId="611F313E">
      <w:pPr>
        <w:spacing w:line="360" w:lineRule="auto"/>
        <w:ind w:firstLine="435"/>
        <w:rPr>
          <w:rFonts w:asciiTheme="minorEastAsia" w:hAnsiTheme="minorEastAsia" w:eastAsiaTheme="minorEastAsia"/>
          <w:sz w:val="24"/>
          <w:highlight w:val="none"/>
        </w:rPr>
      </w:pPr>
    </w:p>
    <w:p w14:paraId="3D285F49">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接受分包企业一：</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（公章）</w:t>
      </w:r>
    </w:p>
    <w:p w14:paraId="1D33EA85">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法定代表人：</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（签字或盖章）</w:t>
      </w:r>
    </w:p>
    <w:p w14:paraId="676DC098">
      <w:pPr>
        <w:spacing w:line="360" w:lineRule="auto"/>
        <w:ind w:firstLine="435"/>
        <w:rPr>
          <w:rFonts w:asciiTheme="minorEastAsia" w:hAnsiTheme="minorEastAsia" w:eastAsiaTheme="minorEastAsia"/>
          <w:sz w:val="24"/>
          <w:highlight w:val="none"/>
        </w:rPr>
      </w:pPr>
    </w:p>
    <w:p w14:paraId="6CFBAF9D">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接受分包企业二：</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（公章）</w:t>
      </w:r>
    </w:p>
    <w:p w14:paraId="442A228E">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法定代表人：</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（签字或盖章）</w:t>
      </w:r>
    </w:p>
    <w:p w14:paraId="056F87AB">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w:t>
      </w:r>
    </w:p>
    <w:p w14:paraId="33A65075">
      <w:pPr>
        <w:pStyle w:val="21"/>
        <w:spacing w:line="360" w:lineRule="auto"/>
        <w:rPr>
          <w:rFonts w:asciiTheme="minorEastAsia" w:hAnsiTheme="minorEastAsia" w:eastAsiaTheme="minorEastAsia"/>
          <w:sz w:val="24"/>
          <w:highlight w:val="none"/>
        </w:rPr>
      </w:pPr>
    </w:p>
    <w:p w14:paraId="2344BA83">
      <w:pPr>
        <w:spacing w:line="360" w:lineRule="auto"/>
        <w:ind w:right="480" w:firstLine="4680" w:firstLineChars="195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签订日期:</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年</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月</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日</w:t>
      </w:r>
    </w:p>
    <w:p w14:paraId="6C07EB38">
      <w:pPr>
        <w:spacing w:line="360" w:lineRule="auto"/>
        <w:ind w:right="480" w:firstLine="4680" w:firstLineChars="1950"/>
        <w:rPr>
          <w:rFonts w:asciiTheme="minorEastAsia" w:hAnsiTheme="minorEastAsia" w:eastAsiaTheme="minorEastAsia"/>
          <w:sz w:val="24"/>
          <w:highlight w:val="none"/>
        </w:rPr>
      </w:pPr>
    </w:p>
    <w:p w14:paraId="2C8397F1">
      <w:pPr>
        <w:spacing w:line="360" w:lineRule="auto"/>
        <w:ind w:right="480" w:firstLine="5460" w:firstLineChars="1950"/>
        <w:rPr>
          <w:rFonts w:asciiTheme="minorEastAsia" w:hAnsiTheme="minorEastAsia" w:eastAsiaTheme="minorEastAsia"/>
          <w:sz w:val="28"/>
          <w:highlight w:val="none"/>
        </w:rPr>
      </w:pPr>
    </w:p>
    <w:p w14:paraId="5A53E776">
      <w:pPr>
        <w:adjustRightInd w:val="0"/>
        <w:snapToGrid w:val="0"/>
        <w:spacing w:line="360" w:lineRule="auto"/>
        <w:rPr>
          <w:rFonts w:asciiTheme="minorEastAsia" w:hAnsiTheme="minorEastAsia" w:eastAsiaTheme="minorEastAsia"/>
          <w:b/>
          <w:bCs/>
          <w:sz w:val="24"/>
          <w:szCs w:val="28"/>
          <w:highlight w:val="none"/>
        </w:rPr>
      </w:pPr>
      <w:r>
        <w:rPr>
          <w:rFonts w:hint="eastAsia" w:asciiTheme="minorEastAsia" w:hAnsiTheme="minorEastAsia" w:eastAsiaTheme="minorEastAsia"/>
          <w:b/>
          <w:bCs/>
          <w:sz w:val="24"/>
          <w:szCs w:val="28"/>
          <w:highlight w:val="none"/>
        </w:rPr>
        <w:t>注：</w:t>
      </w:r>
    </w:p>
    <w:p w14:paraId="1E382144">
      <w:pPr>
        <w:spacing w:line="360" w:lineRule="auto"/>
        <w:ind w:firstLine="435"/>
        <w:rPr>
          <w:rFonts w:ascii="宋体" w:hAnsi="宋体" w:eastAsia="宋体"/>
          <w:sz w:val="24"/>
          <w:highlight w:val="none"/>
        </w:rPr>
      </w:pPr>
      <w:r>
        <w:rPr>
          <w:rFonts w:hint="eastAsia" w:ascii="宋体" w:hAnsi="宋体" w:eastAsia="宋体"/>
          <w:sz w:val="24"/>
          <w:highlight w:val="none"/>
        </w:rPr>
        <w:t>1.分包意向协议中须约定向中小企业分包的项目内容及分包内容占合同金额比例。</w:t>
      </w:r>
    </w:p>
    <w:p w14:paraId="52584744">
      <w:pPr>
        <w:spacing w:line="360" w:lineRule="auto"/>
        <w:ind w:firstLine="435"/>
        <w:rPr>
          <w:rFonts w:asciiTheme="minorEastAsia" w:hAnsiTheme="minorEastAsia" w:eastAsiaTheme="minorEastAsia"/>
          <w:sz w:val="24"/>
          <w:highlight w:val="none"/>
        </w:rPr>
      </w:pPr>
      <w:r>
        <w:rPr>
          <w:rFonts w:hint="eastAsia" w:ascii="宋体" w:hAnsi="宋体" w:eastAsia="宋体"/>
          <w:sz w:val="24"/>
          <w:highlight w:val="none"/>
        </w:rPr>
        <w:t>2.考虑上述</w:t>
      </w:r>
      <w:r>
        <w:rPr>
          <w:rFonts w:hint="eastAsia" w:asciiTheme="minorEastAsia" w:hAnsiTheme="minorEastAsia" w:eastAsiaTheme="minorEastAsia"/>
          <w:sz w:val="24"/>
          <w:highlight w:val="none"/>
        </w:rPr>
        <w:t>负责内容合同金额的</w:t>
      </w:r>
      <w:r>
        <w:rPr>
          <w:rFonts w:hint="eastAsia" w:ascii="宋体" w:hAnsi="宋体" w:eastAsia="宋体"/>
          <w:sz w:val="24"/>
          <w:highlight w:val="none"/>
        </w:rPr>
        <w:t>方便，供应商在填写最后承诺报价后，（第一次报价-最后承诺报价）除以第一次报价后得出的优惠率视同为上述</w:t>
      </w:r>
      <w:r>
        <w:rPr>
          <w:rFonts w:hint="eastAsia" w:asciiTheme="minorEastAsia" w:hAnsiTheme="minorEastAsia" w:eastAsiaTheme="minorEastAsia"/>
          <w:sz w:val="24"/>
          <w:highlight w:val="none"/>
        </w:rPr>
        <w:t>负责内容合同金额</w:t>
      </w:r>
      <w:r>
        <w:rPr>
          <w:rFonts w:hint="eastAsia" w:ascii="宋体" w:hAnsi="宋体" w:eastAsia="宋体"/>
          <w:sz w:val="24"/>
          <w:highlight w:val="none"/>
        </w:rPr>
        <w:t>的优惠浮动值（特定分项优惠除外），而不考虑措施项目清单和规费税金清单的金额改变</w:t>
      </w:r>
      <w:r>
        <w:rPr>
          <w:rFonts w:hint="eastAsia" w:ascii="宋体" w:hAnsi="宋体" w:eastAsia="宋体"/>
          <w:bCs/>
          <w:sz w:val="24"/>
          <w:highlight w:val="none"/>
        </w:rPr>
        <w:t>。</w:t>
      </w:r>
    </w:p>
    <w:p w14:paraId="49D1AF23">
      <w:pPr>
        <w:widowControl/>
        <w:jc w:val="left"/>
        <w:rPr>
          <w:rFonts w:asciiTheme="minorEastAsia" w:hAnsiTheme="minorEastAsia" w:eastAsiaTheme="minorEastAsia"/>
          <w:sz w:val="24"/>
          <w:highlight w:val="none"/>
        </w:rPr>
      </w:pPr>
      <w:r>
        <w:rPr>
          <w:rFonts w:asciiTheme="minorEastAsia" w:hAnsiTheme="minorEastAsia" w:eastAsiaTheme="minorEastAsia"/>
          <w:sz w:val="24"/>
          <w:highlight w:val="none"/>
        </w:rPr>
        <w:br w:type="page"/>
      </w:r>
    </w:p>
    <w:bookmarkEnd w:id="286"/>
    <w:p w14:paraId="60B854F5">
      <w:pPr>
        <w:widowControl/>
        <w:jc w:val="left"/>
        <w:rPr>
          <w:rFonts w:asciiTheme="minorEastAsia" w:hAnsiTheme="minorEastAsia" w:eastAsiaTheme="minorEastAsia"/>
          <w:sz w:val="24"/>
          <w:highlight w:val="none"/>
        </w:rPr>
      </w:pPr>
    </w:p>
    <w:p w14:paraId="22AF6F36">
      <w:pPr>
        <w:spacing w:line="360" w:lineRule="auto"/>
        <w:jc w:val="center"/>
        <w:outlineLvl w:val="1"/>
        <w:rPr>
          <w:rFonts w:asciiTheme="minorEastAsia" w:hAnsiTheme="minorEastAsia" w:eastAsiaTheme="minorEastAsia"/>
          <w:b/>
          <w:sz w:val="24"/>
          <w:highlight w:val="none"/>
        </w:rPr>
      </w:pPr>
      <w:bookmarkStart w:id="287" w:name="_Toc6445"/>
      <w:bookmarkStart w:id="288" w:name="_Toc17888"/>
      <w:bookmarkStart w:id="289" w:name="_Toc6554"/>
      <w:bookmarkStart w:id="290" w:name="_Hlk60608597"/>
      <w:r>
        <w:rPr>
          <w:rFonts w:hint="eastAsia" w:asciiTheme="minorEastAsia" w:hAnsiTheme="minorEastAsia" w:eastAsiaTheme="minorEastAsia"/>
          <w:b/>
          <w:sz w:val="24"/>
          <w:highlight w:val="none"/>
        </w:rPr>
        <w:t>九、中小企业声明函</w:t>
      </w:r>
      <w:bookmarkEnd w:id="287"/>
      <w:bookmarkEnd w:id="288"/>
      <w:bookmarkEnd w:id="289"/>
    </w:p>
    <w:p w14:paraId="2DDEEF14">
      <w:pPr>
        <w:pStyle w:val="9"/>
        <w:jc w:val="center"/>
        <w:rPr>
          <w:rFonts w:ascii="宋体" w:hAnsi="宋体" w:eastAsia="宋体"/>
          <w:i/>
          <w:sz w:val="24"/>
          <w:highlight w:val="none"/>
          <w:lang w:val="en-US"/>
        </w:rPr>
      </w:pPr>
      <w:r>
        <w:rPr>
          <w:rFonts w:hint="eastAsia" w:ascii="宋体" w:hAnsi="宋体" w:eastAsia="宋体"/>
          <w:i/>
          <w:sz w:val="24"/>
          <w:highlight w:val="none"/>
          <w:lang w:val="en-US"/>
        </w:rPr>
        <w:t>（</w:t>
      </w:r>
      <w:r>
        <w:rPr>
          <w:rFonts w:hint="eastAsia" w:ascii="宋体" w:hAnsi="宋体" w:eastAsia="宋体"/>
          <w:i/>
          <w:sz w:val="24"/>
          <w:highlight w:val="none"/>
        </w:rPr>
        <w:t>非中小企业</w:t>
      </w:r>
      <w:r>
        <w:rPr>
          <w:rFonts w:hint="eastAsia" w:ascii="宋体" w:hAnsi="宋体" w:eastAsia="宋体"/>
          <w:i/>
          <w:sz w:val="24"/>
          <w:highlight w:val="none"/>
          <w:lang w:val="en-US"/>
        </w:rPr>
        <w:t>磋商，不需此件，请删去“中小企业声明函”）</w:t>
      </w:r>
    </w:p>
    <w:p w14:paraId="3125810F">
      <w:pPr>
        <w:spacing w:line="360" w:lineRule="auto"/>
        <w:ind w:firstLine="435"/>
        <w:rPr>
          <w:rFonts w:ascii="宋体" w:hAnsi="宋体" w:eastAsia="宋体"/>
          <w:sz w:val="24"/>
          <w:szCs w:val="24"/>
          <w:highlight w:val="none"/>
          <w:lang w:val="zh-CN"/>
        </w:rPr>
      </w:pPr>
      <w:r>
        <w:rPr>
          <w:rFonts w:hint="eastAsia" w:ascii="宋体" w:hAnsi="宋体" w:eastAsia="宋体"/>
          <w:sz w:val="24"/>
          <w:szCs w:val="24"/>
          <w:highlight w:val="none"/>
          <w:lang w:val="zh-CN"/>
        </w:rPr>
        <w:t>本公司（联合体）郑重声明，根据《政府采购促进中小企业发展管理办法》（财库﹝2020﹞46号）的规定，本公司（联合体）参加</w:t>
      </w:r>
      <w:r>
        <w:rPr>
          <w:rFonts w:hint="eastAsia" w:ascii="宋体" w:hAnsi="宋体" w:eastAsia="宋体"/>
          <w:sz w:val="24"/>
          <w:szCs w:val="24"/>
          <w:highlight w:val="none"/>
          <w:u w:val="single"/>
          <w:lang w:val="zh-CN"/>
        </w:rPr>
        <w:t>（单位</w:t>
      </w:r>
      <w:r>
        <w:rPr>
          <w:rFonts w:hint="eastAsia" w:ascii="宋体" w:hAnsi="宋体" w:eastAsia="宋体"/>
          <w:sz w:val="24"/>
          <w:szCs w:val="24"/>
          <w:highlight w:val="none"/>
          <w:u w:val="single"/>
        </w:rPr>
        <w:t>名称</w:t>
      </w:r>
      <w:r>
        <w:rPr>
          <w:rFonts w:hint="eastAsia" w:ascii="宋体" w:hAnsi="宋体" w:eastAsia="宋体"/>
          <w:sz w:val="24"/>
          <w:szCs w:val="24"/>
          <w:highlight w:val="none"/>
          <w:u w:val="single"/>
          <w:lang w:val="zh-CN"/>
        </w:rPr>
        <w:t>）</w:t>
      </w:r>
      <w:r>
        <w:rPr>
          <w:rFonts w:hint="eastAsia" w:ascii="宋体" w:hAnsi="宋体" w:eastAsia="宋体"/>
          <w:sz w:val="24"/>
          <w:szCs w:val="24"/>
          <w:highlight w:val="none"/>
          <w:lang w:val="zh-CN"/>
        </w:rPr>
        <w:t>的</w:t>
      </w:r>
      <w:r>
        <w:rPr>
          <w:rFonts w:hint="eastAsia" w:ascii="宋体" w:hAnsi="宋体" w:eastAsia="宋体"/>
          <w:sz w:val="24"/>
          <w:szCs w:val="24"/>
          <w:highlight w:val="none"/>
          <w:u w:val="single"/>
          <w:lang w:val="zh-CN"/>
        </w:rPr>
        <w:t>（项目</w:t>
      </w:r>
      <w:r>
        <w:rPr>
          <w:rFonts w:hint="eastAsia" w:ascii="宋体" w:hAnsi="宋体" w:eastAsia="宋体"/>
          <w:sz w:val="24"/>
          <w:szCs w:val="24"/>
          <w:highlight w:val="none"/>
          <w:u w:val="single"/>
        </w:rPr>
        <w:t>名称</w:t>
      </w:r>
      <w:r>
        <w:rPr>
          <w:rFonts w:hint="eastAsia" w:ascii="宋体" w:hAnsi="宋体" w:eastAsia="宋体"/>
          <w:sz w:val="24"/>
          <w:szCs w:val="24"/>
          <w:highlight w:val="none"/>
          <w:u w:val="single"/>
          <w:lang w:val="zh-CN"/>
        </w:rPr>
        <w:t>）</w:t>
      </w:r>
      <w:r>
        <w:rPr>
          <w:rFonts w:hint="eastAsia" w:ascii="宋体" w:hAnsi="宋体" w:eastAsia="宋体"/>
          <w:sz w:val="24"/>
          <w:szCs w:val="24"/>
          <w:highlight w:val="none"/>
          <w:lang w:val="zh-CN"/>
        </w:rPr>
        <w:t xml:space="preserve">采购活动，服务全部由符合政策要求的中小企业承接。相关企业（含联合体中的中小企业、签订分包意向协议的中小企业）的具体情况如下： </w:t>
      </w:r>
    </w:p>
    <w:p w14:paraId="1ACC8032">
      <w:pPr>
        <w:spacing w:line="360" w:lineRule="auto"/>
        <w:ind w:firstLine="435"/>
        <w:rPr>
          <w:rFonts w:ascii="宋体" w:hAnsi="宋体" w:eastAsia="宋体"/>
          <w:sz w:val="24"/>
          <w:szCs w:val="24"/>
          <w:highlight w:val="none"/>
          <w:lang w:val="zh-CN"/>
        </w:rPr>
      </w:pPr>
      <w:r>
        <w:rPr>
          <w:rFonts w:hint="eastAsia" w:ascii="宋体" w:hAnsi="宋体" w:eastAsia="宋体"/>
          <w:sz w:val="24"/>
          <w:szCs w:val="24"/>
          <w:highlight w:val="none"/>
          <w:lang w:val="zh-CN"/>
        </w:rPr>
        <w:t>1.</w:t>
      </w:r>
      <w:r>
        <w:rPr>
          <w:rFonts w:hint="eastAsia" w:ascii="宋体" w:hAnsi="宋体" w:eastAsia="宋体"/>
          <w:sz w:val="24"/>
          <w:szCs w:val="24"/>
          <w:highlight w:val="none"/>
          <w:u w:val="single"/>
          <w:lang w:val="zh-CN"/>
        </w:rPr>
        <w:t xml:space="preserve"> （标的名称） </w:t>
      </w:r>
      <w:r>
        <w:rPr>
          <w:rFonts w:hint="eastAsia" w:ascii="宋体" w:hAnsi="宋体" w:eastAsia="宋体"/>
          <w:sz w:val="24"/>
          <w:szCs w:val="24"/>
          <w:highlight w:val="none"/>
          <w:lang w:val="zh-CN"/>
        </w:rPr>
        <w:t>，属于</w:t>
      </w:r>
      <w:r>
        <w:rPr>
          <w:rFonts w:hint="eastAsia" w:ascii="宋体" w:hAnsi="宋体" w:eastAsia="宋体"/>
          <w:sz w:val="24"/>
          <w:szCs w:val="24"/>
          <w:highlight w:val="none"/>
          <w:u w:val="single"/>
          <w:lang w:val="zh-CN"/>
        </w:rPr>
        <w:t>（采购文件中明确的所属行业）</w:t>
      </w:r>
      <w:r>
        <w:rPr>
          <w:rFonts w:hint="eastAsia" w:ascii="宋体" w:hAnsi="宋体" w:eastAsia="宋体"/>
          <w:sz w:val="24"/>
          <w:szCs w:val="24"/>
          <w:highlight w:val="none"/>
          <w:lang w:val="zh-CN"/>
        </w:rPr>
        <w:t>行业；承接企业为</w:t>
      </w:r>
      <w:r>
        <w:rPr>
          <w:rFonts w:hint="eastAsia" w:ascii="宋体" w:hAnsi="宋体" w:eastAsia="宋体"/>
          <w:sz w:val="24"/>
          <w:szCs w:val="24"/>
          <w:highlight w:val="none"/>
          <w:u w:val="single"/>
          <w:lang w:val="zh-CN"/>
        </w:rPr>
        <w:t>（企业名称）</w:t>
      </w:r>
      <w:r>
        <w:rPr>
          <w:rFonts w:hint="eastAsia" w:ascii="宋体" w:hAnsi="宋体" w:eastAsia="宋体"/>
          <w:sz w:val="24"/>
          <w:szCs w:val="24"/>
          <w:highlight w:val="none"/>
          <w:lang w:val="zh-CN"/>
        </w:rPr>
        <w:t>，从业人员</w:t>
      </w:r>
      <w:r>
        <w:rPr>
          <w:rFonts w:hint="eastAsia" w:ascii="宋体" w:hAnsi="宋体" w:eastAsia="宋体"/>
          <w:sz w:val="24"/>
          <w:szCs w:val="24"/>
          <w:highlight w:val="none"/>
          <w:u w:val="single"/>
          <w:lang w:val="zh-CN"/>
        </w:rPr>
        <w:t xml:space="preserve">     </w:t>
      </w:r>
      <w:r>
        <w:rPr>
          <w:rFonts w:hint="eastAsia" w:ascii="宋体" w:hAnsi="宋体" w:eastAsia="宋体"/>
          <w:sz w:val="24"/>
          <w:szCs w:val="24"/>
          <w:highlight w:val="none"/>
          <w:lang w:val="zh-CN"/>
        </w:rPr>
        <w:t>人，营业收入为</w:t>
      </w:r>
      <w:r>
        <w:rPr>
          <w:rFonts w:hint="eastAsia" w:ascii="宋体" w:hAnsi="宋体" w:eastAsia="宋体"/>
          <w:sz w:val="24"/>
          <w:szCs w:val="24"/>
          <w:highlight w:val="none"/>
          <w:u w:val="single"/>
          <w:lang w:val="zh-CN"/>
        </w:rPr>
        <w:t xml:space="preserve">     </w:t>
      </w:r>
      <w:r>
        <w:rPr>
          <w:rFonts w:hint="eastAsia" w:ascii="宋体" w:hAnsi="宋体" w:eastAsia="宋体"/>
          <w:sz w:val="24"/>
          <w:szCs w:val="24"/>
          <w:highlight w:val="none"/>
          <w:lang w:val="zh-CN"/>
        </w:rPr>
        <w:t>万元，资产总额为</w:t>
      </w:r>
      <w:r>
        <w:rPr>
          <w:rFonts w:hint="eastAsia" w:ascii="宋体" w:hAnsi="宋体" w:eastAsia="宋体"/>
          <w:sz w:val="24"/>
          <w:szCs w:val="24"/>
          <w:highlight w:val="none"/>
          <w:u w:val="single"/>
          <w:lang w:val="zh-CN"/>
        </w:rPr>
        <w:t xml:space="preserve">     </w:t>
      </w:r>
      <w:r>
        <w:rPr>
          <w:rFonts w:hint="eastAsia" w:ascii="宋体" w:hAnsi="宋体" w:eastAsia="宋体"/>
          <w:sz w:val="24"/>
          <w:szCs w:val="24"/>
          <w:highlight w:val="none"/>
          <w:lang w:val="zh-CN"/>
        </w:rPr>
        <w:t>万元，属于</w:t>
      </w:r>
      <w:r>
        <w:rPr>
          <w:rFonts w:hint="eastAsia" w:ascii="宋体" w:hAnsi="宋体" w:eastAsia="宋体"/>
          <w:sz w:val="24"/>
          <w:szCs w:val="24"/>
          <w:highlight w:val="none"/>
          <w:u w:val="single"/>
          <w:lang w:val="zh-CN"/>
        </w:rPr>
        <w:t>（中型企业、小型企业、微型企业）</w:t>
      </w:r>
      <w:r>
        <w:rPr>
          <w:rFonts w:hint="eastAsia" w:ascii="宋体" w:hAnsi="宋体" w:eastAsia="宋体"/>
          <w:sz w:val="24"/>
          <w:szCs w:val="24"/>
          <w:highlight w:val="none"/>
          <w:lang w:val="zh-CN"/>
        </w:rPr>
        <w:t xml:space="preserve">； </w:t>
      </w:r>
    </w:p>
    <w:p w14:paraId="635FC83E">
      <w:pPr>
        <w:spacing w:line="360" w:lineRule="auto"/>
        <w:ind w:firstLine="435"/>
        <w:rPr>
          <w:rFonts w:ascii="宋体" w:hAnsi="宋体" w:eastAsia="宋体"/>
          <w:sz w:val="24"/>
          <w:szCs w:val="24"/>
          <w:highlight w:val="none"/>
          <w:lang w:val="zh-CN"/>
        </w:rPr>
      </w:pPr>
      <w:r>
        <w:rPr>
          <w:rFonts w:hint="eastAsia" w:ascii="宋体" w:hAnsi="宋体" w:eastAsia="宋体"/>
          <w:sz w:val="24"/>
          <w:szCs w:val="24"/>
          <w:highlight w:val="none"/>
          <w:lang w:val="zh-CN"/>
        </w:rPr>
        <w:t>2.</w:t>
      </w:r>
      <w:r>
        <w:rPr>
          <w:rFonts w:hint="eastAsia" w:ascii="宋体" w:hAnsi="宋体" w:eastAsia="宋体"/>
          <w:sz w:val="24"/>
          <w:szCs w:val="24"/>
          <w:highlight w:val="none"/>
          <w:u w:val="single"/>
          <w:lang w:val="zh-CN"/>
        </w:rPr>
        <w:t xml:space="preserve"> （标的名称） </w:t>
      </w:r>
      <w:r>
        <w:rPr>
          <w:rFonts w:hint="eastAsia" w:ascii="宋体" w:hAnsi="宋体" w:eastAsia="宋体"/>
          <w:sz w:val="24"/>
          <w:szCs w:val="24"/>
          <w:highlight w:val="none"/>
          <w:lang w:val="zh-CN"/>
        </w:rPr>
        <w:t>，属于</w:t>
      </w:r>
      <w:r>
        <w:rPr>
          <w:rFonts w:hint="eastAsia" w:ascii="宋体" w:hAnsi="宋体" w:eastAsia="宋体"/>
          <w:sz w:val="24"/>
          <w:szCs w:val="24"/>
          <w:highlight w:val="none"/>
          <w:u w:val="single"/>
          <w:lang w:val="zh-CN"/>
        </w:rPr>
        <w:t>（采购文件中明确的所属行业）</w:t>
      </w:r>
      <w:r>
        <w:rPr>
          <w:rFonts w:hint="eastAsia" w:ascii="宋体" w:hAnsi="宋体" w:eastAsia="宋体"/>
          <w:sz w:val="24"/>
          <w:szCs w:val="24"/>
          <w:highlight w:val="none"/>
          <w:lang w:val="zh-CN"/>
        </w:rPr>
        <w:t>行业；承接企业为</w:t>
      </w:r>
      <w:r>
        <w:rPr>
          <w:rFonts w:hint="eastAsia" w:ascii="宋体" w:hAnsi="宋体" w:eastAsia="宋体"/>
          <w:sz w:val="24"/>
          <w:szCs w:val="24"/>
          <w:highlight w:val="none"/>
          <w:u w:val="single"/>
          <w:lang w:val="zh-CN"/>
        </w:rPr>
        <w:t>（企业名称）</w:t>
      </w:r>
      <w:r>
        <w:rPr>
          <w:rFonts w:hint="eastAsia" w:ascii="宋体" w:hAnsi="宋体" w:eastAsia="宋体"/>
          <w:sz w:val="24"/>
          <w:szCs w:val="24"/>
          <w:highlight w:val="none"/>
          <w:lang w:val="zh-CN"/>
        </w:rPr>
        <w:t>，从业人员</w:t>
      </w:r>
      <w:r>
        <w:rPr>
          <w:rFonts w:hint="eastAsia" w:ascii="宋体" w:hAnsi="宋体" w:eastAsia="宋体"/>
          <w:sz w:val="24"/>
          <w:szCs w:val="24"/>
          <w:highlight w:val="none"/>
          <w:u w:val="single"/>
          <w:lang w:val="zh-CN"/>
        </w:rPr>
        <w:t xml:space="preserve">     </w:t>
      </w:r>
      <w:r>
        <w:rPr>
          <w:rFonts w:hint="eastAsia" w:ascii="宋体" w:hAnsi="宋体" w:eastAsia="宋体"/>
          <w:sz w:val="24"/>
          <w:szCs w:val="24"/>
          <w:highlight w:val="none"/>
          <w:lang w:val="zh-CN"/>
        </w:rPr>
        <w:t>人，营业收入为</w:t>
      </w:r>
      <w:r>
        <w:rPr>
          <w:rFonts w:hint="eastAsia" w:ascii="宋体" w:hAnsi="宋体" w:eastAsia="宋体"/>
          <w:sz w:val="24"/>
          <w:szCs w:val="24"/>
          <w:highlight w:val="none"/>
          <w:u w:val="single"/>
          <w:lang w:val="zh-CN"/>
        </w:rPr>
        <w:t xml:space="preserve">     </w:t>
      </w:r>
      <w:r>
        <w:rPr>
          <w:rFonts w:hint="eastAsia" w:ascii="宋体" w:hAnsi="宋体" w:eastAsia="宋体"/>
          <w:sz w:val="24"/>
          <w:szCs w:val="24"/>
          <w:highlight w:val="none"/>
          <w:lang w:val="zh-CN"/>
        </w:rPr>
        <w:t>万元，资产总额为</w:t>
      </w:r>
      <w:r>
        <w:rPr>
          <w:rFonts w:hint="eastAsia" w:ascii="宋体" w:hAnsi="宋体" w:eastAsia="宋体"/>
          <w:sz w:val="24"/>
          <w:szCs w:val="24"/>
          <w:highlight w:val="none"/>
          <w:u w:val="single"/>
          <w:lang w:val="zh-CN"/>
        </w:rPr>
        <w:t xml:space="preserve">     </w:t>
      </w:r>
      <w:r>
        <w:rPr>
          <w:rFonts w:hint="eastAsia" w:ascii="宋体" w:hAnsi="宋体" w:eastAsia="宋体"/>
          <w:sz w:val="24"/>
          <w:szCs w:val="24"/>
          <w:highlight w:val="none"/>
          <w:lang w:val="zh-CN"/>
        </w:rPr>
        <w:t>万元，属于</w:t>
      </w:r>
      <w:r>
        <w:rPr>
          <w:rFonts w:hint="eastAsia" w:ascii="宋体" w:hAnsi="宋体" w:eastAsia="宋体"/>
          <w:sz w:val="24"/>
          <w:szCs w:val="24"/>
          <w:highlight w:val="none"/>
          <w:u w:val="single"/>
          <w:lang w:val="zh-CN"/>
        </w:rPr>
        <w:t>（中型企业、小型企业、微型企业）</w:t>
      </w:r>
      <w:r>
        <w:rPr>
          <w:rFonts w:hint="eastAsia" w:ascii="宋体" w:hAnsi="宋体" w:eastAsia="宋体"/>
          <w:sz w:val="24"/>
          <w:szCs w:val="24"/>
          <w:highlight w:val="none"/>
          <w:lang w:val="zh-CN"/>
        </w:rPr>
        <w:t xml:space="preserve">； </w:t>
      </w:r>
    </w:p>
    <w:p w14:paraId="61AEE9E5">
      <w:pPr>
        <w:spacing w:line="360" w:lineRule="auto"/>
        <w:ind w:firstLine="435"/>
        <w:rPr>
          <w:rFonts w:ascii="宋体" w:hAnsi="宋体" w:eastAsia="宋体"/>
          <w:sz w:val="24"/>
          <w:szCs w:val="24"/>
          <w:highlight w:val="none"/>
          <w:lang w:val="zh-CN"/>
        </w:rPr>
      </w:pPr>
      <w:r>
        <w:rPr>
          <w:rFonts w:hint="eastAsia" w:ascii="宋体" w:hAnsi="宋体" w:eastAsia="宋体"/>
          <w:sz w:val="24"/>
          <w:szCs w:val="24"/>
          <w:highlight w:val="none"/>
          <w:lang w:val="zh-CN"/>
        </w:rPr>
        <w:t>……</w:t>
      </w:r>
    </w:p>
    <w:p w14:paraId="7FF2FB07">
      <w:pPr>
        <w:spacing w:line="360" w:lineRule="auto"/>
        <w:ind w:firstLine="435"/>
        <w:rPr>
          <w:rFonts w:ascii="宋体" w:hAnsi="宋体" w:eastAsia="宋体"/>
          <w:sz w:val="24"/>
          <w:szCs w:val="24"/>
          <w:highlight w:val="none"/>
          <w:lang w:val="zh-CN"/>
        </w:rPr>
      </w:pPr>
      <w:r>
        <w:rPr>
          <w:rFonts w:hint="eastAsia" w:ascii="宋体" w:hAnsi="宋体" w:eastAsia="宋体"/>
          <w:sz w:val="24"/>
          <w:szCs w:val="24"/>
          <w:highlight w:val="none"/>
          <w:lang w:val="zh-CN"/>
        </w:rPr>
        <w:t>以上企业，不属于大企业的分支机构，不存在控股股东为大企业的情形，也不存在与大企业的负责人为同一人的情形。</w:t>
      </w:r>
    </w:p>
    <w:p w14:paraId="5CE8AEB6">
      <w:pPr>
        <w:spacing w:line="360" w:lineRule="auto"/>
        <w:ind w:firstLine="435"/>
        <w:rPr>
          <w:rFonts w:ascii="宋体" w:hAnsi="宋体" w:eastAsia="宋体"/>
          <w:sz w:val="24"/>
          <w:szCs w:val="24"/>
          <w:highlight w:val="none"/>
          <w:lang w:val="zh-CN"/>
        </w:rPr>
      </w:pPr>
      <w:r>
        <w:rPr>
          <w:rFonts w:hint="eastAsia" w:ascii="宋体" w:hAnsi="宋体" w:eastAsia="宋体"/>
          <w:sz w:val="24"/>
          <w:szCs w:val="24"/>
          <w:highlight w:val="none"/>
          <w:lang w:val="zh-CN"/>
        </w:rPr>
        <w:t xml:space="preserve">本企业对上述声明内容的真实性负责。如有虚假，将依法承担相应责任。 </w:t>
      </w:r>
    </w:p>
    <w:p w14:paraId="605BF9F2">
      <w:pPr>
        <w:spacing w:line="360" w:lineRule="auto"/>
        <w:ind w:firstLine="435"/>
        <w:rPr>
          <w:rFonts w:asciiTheme="minorEastAsia" w:hAnsiTheme="minorEastAsia" w:eastAsiaTheme="minorEastAsia"/>
          <w:sz w:val="24"/>
          <w:szCs w:val="24"/>
          <w:highlight w:val="none"/>
        </w:rPr>
      </w:pPr>
    </w:p>
    <w:p w14:paraId="4B85427D">
      <w:pPr>
        <w:spacing w:line="360" w:lineRule="auto"/>
        <w:ind w:firstLine="435"/>
        <w:rPr>
          <w:rFonts w:asciiTheme="minorEastAsia" w:hAnsiTheme="minorEastAsia" w:eastAsiaTheme="minorEastAsia"/>
          <w:sz w:val="24"/>
          <w:szCs w:val="24"/>
          <w:highlight w:val="none"/>
        </w:rPr>
      </w:pPr>
    </w:p>
    <w:p w14:paraId="7532C5DB">
      <w:pPr>
        <w:spacing w:line="360" w:lineRule="auto"/>
        <w:ind w:firstLine="4228" w:firstLineChars="1762"/>
        <w:rPr>
          <w:rFonts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供应商</w:t>
      </w:r>
      <w:r>
        <w:rPr>
          <w:rFonts w:asciiTheme="minorEastAsia" w:hAnsiTheme="minorEastAsia" w:eastAsiaTheme="minorEastAsia"/>
          <w:sz w:val="24"/>
          <w:szCs w:val="24"/>
          <w:highlight w:val="none"/>
        </w:rPr>
        <w:t>电子签章</w:t>
      </w:r>
      <w:r>
        <w:rPr>
          <w:rFonts w:hint="eastAsia" w:asciiTheme="minorEastAsia" w:hAnsiTheme="minorEastAsia" w:eastAsiaTheme="minorEastAsia"/>
          <w:sz w:val="24"/>
          <w:szCs w:val="24"/>
          <w:highlight w:val="none"/>
        </w:rPr>
        <w:t>：</w:t>
      </w:r>
      <w:r>
        <w:rPr>
          <w:rFonts w:asciiTheme="minorEastAsia" w:hAnsiTheme="minorEastAsia" w:eastAsiaTheme="minorEastAsia"/>
          <w:sz w:val="24"/>
          <w:szCs w:val="24"/>
          <w:highlight w:val="none"/>
          <w:u w:val="single"/>
        </w:rPr>
        <w:t xml:space="preserve">             </w:t>
      </w:r>
    </w:p>
    <w:p w14:paraId="1DF9A369">
      <w:pPr>
        <w:tabs>
          <w:tab w:val="left" w:pos="4620"/>
        </w:tabs>
        <w:spacing w:line="360" w:lineRule="auto"/>
        <w:ind w:firstLine="4252" w:firstLineChars="1772"/>
        <w:rPr>
          <w:rFonts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日</w:t>
      </w:r>
      <w:r>
        <w:rPr>
          <w:rFonts w:asciiTheme="minorEastAsia" w:hAnsiTheme="minorEastAsia" w:eastAsiaTheme="minorEastAsia"/>
          <w:sz w:val="24"/>
          <w:szCs w:val="24"/>
          <w:highlight w:val="none"/>
        </w:rPr>
        <w:t xml:space="preserve">      </w:t>
      </w:r>
      <w:r>
        <w:rPr>
          <w:rFonts w:hint="eastAsia" w:asciiTheme="minorEastAsia" w:hAnsiTheme="minorEastAsia" w:eastAsiaTheme="minorEastAsia"/>
          <w:sz w:val="24"/>
          <w:szCs w:val="24"/>
          <w:highlight w:val="none"/>
        </w:rPr>
        <w:t xml:space="preserve">    期：</w:t>
      </w:r>
      <w:r>
        <w:rPr>
          <w:rFonts w:asciiTheme="minorEastAsia" w:hAnsiTheme="minorEastAsia" w:eastAsiaTheme="minorEastAsia"/>
          <w:sz w:val="24"/>
          <w:szCs w:val="24"/>
          <w:highlight w:val="none"/>
          <w:u w:val="single"/>
        </w:rPr>
        <w:t xml:space="preserve">             </w:t>
      </w:r>
    </w:p>
    <w:p w14:paraId="1836135F">
      <w:pPr>
        <w:tabs>
          <w:tab w:val="left" w:pos="4620"/>
        </w:tabs>
        <w:spacing w:line="360" w:lineRule="auto"/>
        <w:jc w:val="left"/>
        <w:rPr>
          <w:rFonts w:asciiTheme="minorEastAsia" w:hAnsiTheme="minorEastAsia" w:eastAsiaTheme="minorEastAsia"/>
          <w:sz w:val="24"/>
          <w:szCs w:val="24"/>
          <w:highlight w:val="none"/>
        </w:rPr>
      </w:pPr>
    </w:p>
    <w:p w14:paraId="3E15BE85">
      <w:pPr>
        <w:tabs>
          <w:tab w:val="left" w:pos="4620"/>
        </w:tabs>
        <w:spacing w:line="360" w:lineRule="auto"/>
        <w:jc w:val="left"/>
        <w:rPr>
          <w:rFonts w:asciiTheme="minorEastAsia" w:hAnsiTheme="minorEastAsia" w:eastAsiaTheme="minorEastAsia"/>
          <w:sz w:val="24"/>
          <w:szCs w:val="24"/>
          <w:highlight w:val="none"/>
        </w:rPr>
      </w:pPr>
    </w:p>
    <w:p w14:paraId="131AA3EF">
      <w:pPr>
        <w:tabs>
          <w:tab w:val="left" w:pos="4620"/>
        </w:tabs>
        <w:spacing w:line="360" w:lineRule="auto"/>
        <w:jc w:val="left"/>
        <w:rPr>
          <w:rFonts w:asciiTheme="minorEastAsia" w:hAnsiTheme="minorEastAsia" w:eastAsiaTheme="minorEastAsia"/>
          <w:sz w:val="24"/>
          <w:szCs w:val="24"/>
          <w:highlight w:val="none"/>
        </w:rPr>
      </w:pPr>
    </w:p>
    <w:p w14:paraId="678C9229">
      <w:pPr>
        <w:tabs>
          <w:tab w:val="left" w:pos="4620"/>
        </w:tabs>
        <w:spacing w:line="360" w:lineRule="auto"/>
        <w:jc w:val="left"/>
        <w:rPr>
          <w:rFonts w:asciiTheme="minorEastAsia" w:hAnsiTheme="minorEastAsia" w:eastAsiaTheme="minorEastAsia"/>
          <w:sz w:val="24"/>
          <w:szCs w:val="24"/>
          <w:highlight w:val="none"/>
        </w:rPr>
      </w:pPr>
    </w:p>
    <w:bookmarkEnd w:id="290"/>
    <w:p w14:paraId="0049F9EE">
      <w:pPr>
        <w:tabs>
          <w:tab w:val="left" w:pos="4620"/>
        </w:tabs>
        <w:spacing w:line="360" w:lineRule="auto"/>
        <w:jc w:val="left"/>
        <w:rPr>
          <w:rFonts w:asciiTheme="minorEastAsia" w:hAnsiTheme="minorEastAsia" w:eastAsiaTheme="minorEastAsia"/>
          <w:b/>
          <w:szCs w:val="24"/>
          <w:highlight w:val="none"/>
        </w:rPr>
      </w:pPr>
      <w:r>
        <w:rPr>
          <w:rFonts w:hint="eastAsia" w:asciiTheme="minorEastAsia" w:hAnsiTheme="minorEastAsia" w:eastAsiaTheme="minorEastAsia"/>
          <w:b/>
          <w:szCs w:val="24"/>
          <w:highlight w:val="none"/>
        </w:rPr>
        <w:t>注：</w:t>
      </w:r>
    </w:p>
    <w:p w14:paraId="536089A9">
      <w:pPr>
        <w:tabs>
          <w:tab w:val="left" w:pos="4620"/>
        </w:tabs>
        <w:spacing w:line="360" w:lineRule="auto"/>
        <w:jc w:val="left"/>
        <w:rPr>
          <w:rFonts w:asciiTheme="minorEastAsia" w:hAnsiTheme="minorEastAsia" w:eastAsiaTheme="minorEastAsia"/>
          <w:szCs w:val="24"/>
          <w:highlight w:val="none"/>
        </w:rPr>
      </w:pPr>
      <w:r>
        <w:rPr>
          <w:rFonts w:asciiTheme="minorEastAsia" w:hAnsiTheme="minorEastAsia" w:eastAsiaTheme="minorEastAsia"/>
          <w:szCs w:val="24"/>
          <w:highlight w:val="none"/>
        </w:rPr>
        <w:t>1.从业人员、营业收入、资产总额填报上一年数据，无上一年数据的新成立企业可不填报。</w:t>
      </w:r>
    </w:p>
    <w:p w14:paraId="7145EBD5">
      <w:pPr>
        <w:tabs>
          <w:tab w:val="left" w:pos="4620"/>
        </w:tabs>
        <w:spacing w:line="360" w:lineRule="auto"/>
        <w:jc w:val="left"/>
        <w:rPr>
          <w:rFonts w:ascii="宋体" w:hAnsi="宋体" w:eastAsia="宋体" w:cs="宋体"/>
          <w:b/>
          <w:bCs/>
          <w:szCs w:val="21"/>
          <w:highlight w:val="none"/>
        </w:rPr>
      </w:pPr>
      <w:r>
        <w:rPr>
          <w:rFonts w:hint="eastAsia" w:ascii="宋体" w:hAnsi="宋体" w:eastAsia="宋体" w:cs="宋体"/>
          <w:b/>
          <w:bCs/>
          <w:szCs w:val="21"/>
          <w:highlight w:val="none"/>
        </w:rPr>
        <w:t>2.供应商应根据《政府采购促进中小企业发展管理办法》（财库﹝2020﹞46号）和《关于印发中小企业划型标准规定的通知》(工信部联企业〔2011〕300号)相关规定，如实填写中小企业声明函。</w:t>
      </w:r>
      <w:r>
        <w:rPr>
          <w:rFonts w:hint="eastAsia" w:ascii="宋体" w:hAnsi="宋体" w:eastAsia="宋体" w:cs="宋体"/>
          <w:b/>
          <w:bCs/>
          <w:szCs w:val="21"/>
          <w:highlight w:val="none"/>
          <w:lang w:val="zh-CN"/>
        </w:rPr>
        <w:t>如有虚假，将依法承担相应责任。</w:t>
      </w:r>
      <w:r>
        <w:rPr>
          <w:rFonts w:hint="eastAsia" w:ascii="宋体" w:hAnsi="宋体" w:eastAsia="宋体" w:cs="宋体"/>
          <w:b/>
          <w:bCs/>
          <w:szCs w:val="21"/>
          <w:highlight w:val="none"/>
        </w:rPr>
        <w:t>供应商自行登录工业和信息化部官网进行中小企业规模类型自测（查询网址https://www.miit.gov.cn/）。</w:t>
      </w:r>
    </w:p>
    <w:p w14:paraId="638A3DB4">
      <w:pPr>
        <w:tabs>
          <w:tab w:val="left" w:pos="4620"/>
        </w:tabs>
        <w:spacing w:line="360" w:lineRule="auto"/>
        <w:jc w:val="left"/>
        <w:rPr>
          <w:rFonts w:ascii="宋体" w:hAnsi="宋体" w:eastAsia="宋体" w:cs="宋体"/>
          <w:b/>
          <w:bCs/>
          <w:szCs w:val="21"/>
          <w:highlight w:val="none"/>
        </w:rPr>
      </w:pPr>
      <w:r>
        <w:rPr>
          <w:rFonts w:hint="eastAsia" w:ascii="宋体" w:hAnsi="宋体" w:eastAsia="宋体" w:cs="宋体"/>
          <w:b/>
          <w:bCs/>
          <w:szCs w:val="21"/>
          <w:highlight w:val="none"/>
        </w:rPr>
        <w:t>3.上述“</w:t>
      </w:r>
      <w:r>
        <w:rPr>
          <w:rFonts w:hint="eastAsia" w:ascii="宋体" w:hAnsi="宋体" w:eastAsia="宋体" w:cs="宋体"/>
          <w:b/>
          <w:bCs/>
          <w:szCs w:val="21"/>
          <w:highlight w:val="none"/>
          <w:u w:val="single"/>
          <w:lang w:val="zh-CN"/>
        </w:rPr>
        <w:t>标的名称</w:t>
      </w:r>
      <w:r>
        <w:rPr>
          <w:rFonts w:hint="eastAsia" w:ascii="宋体" w:hAnsi="宋体" w:eastAsia="宋体" w:cs="宋体"/>
          <w:b/>
          <w:bCs/>
          <w:szCs w:val="21"/>
          <w:highlight w:val="none"/>
        </w:rPr>
        <w:t>”，详见第三章采购需求前附表中明确的“标的名称”。</w:t>
      </w:r>
    </w:p>
    <w:p w14:paraId="5A7CF36C">
      <w:pPr>
        <w:tabs>
          <w:tab w:val="left" w:pos="4620"/>
        </w:tabs>
        <w:spacing w:line="360" w:lineRule="auto"/>
        <w:jc w:val="left"/>
        <w:rPr>
          <w:rFonts w:ascii="宋体" w:hAnsi="宋体" w:eastAsia="宋体" w:cs="宋体"/>
          <w:b/>
          <w:bCs/>
          <w:szCs w:val="21"/>
          <w:highlight w:val="none"/>
        </w:rPr>
      </w:pPr>
      <w:r>
        <w:rPr>
          <w:rFonts w:hint="eastAsia" w:ascii="宋体" w:hAnsi="宋体" w:eastAsia="宋体" w:cs="宋体"/>
          <w:b/>
          <w:bCs/>
          <w:szCs w:val="21"/>
          <w:highlight w:val="none"/>
        </w:rPr>
        <w:t>4.上述“</w:t>
      </w:r>
      <w:r>
        <w:rPr>
          <w:rFonts w:hint="eastAsia" w:ascii="宋体" w:hAnsi="宋体" w:eastAsia="宋体" w:cs="宋体"/>
          <w:b/>
          <w:bCs/>
          <w:szCs w:val="21"/>
          <w:highlight w:val="none"/>
          <w:u w:val="single"/>
        </w:rPr>
        <w:t>采购文件中明确的所属行业</w:t>
      </w:r>
      <w:r>
        <w:rPr>
          <w:rFonts w:hint="eastAsia" w:ascii="宋体" w:hAnsi="宋体" w:eastAsia="宋体" w:cs="宋体"/>
          <w:b/>
          <w:bCs/>
          <w:szCs w:val="21"/>
          <w:highlight w:val="none"/>
        </w:rPr>
        <w:t>”，详见第三章采购需求前附表中明确的“所属行业”。</w:t>
      </w:r>
    </w:p>
    <w:p w14:paraId="24C183C4">
      <w:pPr>
        <w:tabs>
          <w:tab w:val="left" w:pos="4620"/>
        </w:tabs>
        <w:spacing w:line="360" w:lineRule="auto"/>
        <w:jc w:val="left"/>
        <w:rPr>
          <w:rFonts w:ascii="宋体" w:hAnsi="宋体" w:eastAsia="宋体" w:cs="宋体"/>
          <w:b/>
          <w:bCs/>
          <w:szCs w:val="21"/>
          <w:highlight w:val="none"/>
        </w:rPr>
      </w:pPr>
      <w:r>
        <w:rPr>
          <w:rFonts w:hint="eastAsia" w:ascii="宋体" w:hAnsi="宋体" w:eastAsia="宋体" w:cs="宋体"/>
          <w:b/>
          <w:bCs/>
          <w:szCs w:val="21"/>
          <w:highlight w:val="none"/>
        </w:rPr>
        <w:t>5．填写示例：</w:t>
      </w:r>
      <w:r>
        <w:rPr>
          <w:rFonts w:hint="eastAsia" w:ascii="宋体" w:hAnsi="宋体" w:eastAsia="宋体" w:cs="宋体"/>
          <w:b/>
          <w:bCs/>
          <w:szCs w:val="21"/>
          <w:highlight w:val="none"/>
          <w:u w:val="single"/>
        </w:rPr>
        <w:t>某标的名称</w:t>
      </w:r>
      <w:r>
        <w:rPr>
          <w:rFonts w:hint="eastAsia" w:ascii="宋体" w:hAnsi="宋体" w:eastAsia="宋体" w:cs="宋体"/>
          <w:b/>
          <w:bCs/>
          <w:szCs w:val="21"/>
          <w:highlight w:val="none"/>
        </w:rPr>
        <w:t>（</w:t>
      </w:r>
      <w:r>
        <w:rPr>
          <w:rFonts w:hint="eastAsia" w:ascii="宋体" w:hAnsi="宋体" w:eastAsia="宋体" w:cs="宋体"/>
          <w:b/>
          <w:bCs/>
          <w:szCs w:val="21"/>
          <w:highlight w:val="none"/>
          <w:u w:val="single"/>
        </w:rPr>
        <w:t>填写第三章采购需求前附表中明确的“标的名称”</w:t>
      </w:r>
      <w:r>
        <w:rPr>
          <w:rFonts w:hint="eastAsia" w:ascii="宋体" w:hAnsi="宋体" w:eastAsia="宋体" w:cs="宋体"/>
          <w:b/>
          <w:bCs/>
          <w:szCs w:val="21"/>
          <w:highlight w:val="none"/>
        </w:rPr>
        <w:t>），属于</w:t>
      </w:r>
      <w:r>
        <w:rPr>
          <w:rFonts w:hint="eastAsia" w:ascii="宋体" w:hAnsi="宋体" w:eastAsia="宋体" w:cs="宋体"/>
          <w:b/>
          <w:bCs/>
          <w:szCs w:val="21"/>
          <w:highlight w:val="none"/>
          <w:u w:val="single"/>
        </w:rPr>
        <w:t>（填写第三章采购需求前附表中明确的“所属行业”，如软件和信息技术服务业）</w:t>
      </w:r>
      <w:r>
        <w:rPr>
          <w:rFonts w:hint="eastAsia" w:ascii="宋体" w:hAnsi="宋体" w:eastAsia="宋体" w:cs="宋体"/>
          <w:b/>
          <w:bCs/>
          <w:szCs w:val="21"/>
          <w:highlight w:val="none"/>
        </w:rPr>
        <w:t>行业；承接企业为</w:t>
      </w:r>
      <w:r>
        <w:rPr>
          <w:rFonts w:hint="eastAsia" w:ascii="宋体" w:hAnsi="宋体" w:eastAsia="宋体" w:cs="宋体"/>
          <w:b/>
          <w:bCs/>
          <w:szCs w:val="21"/>
          <w:highlight w:val="none"/>
          <w:u w:val="single"/>
          <w:lang w:val="zh-CN"/>
        </w:rPr>
        <w:t>某</w:t>
      </w:r>
      <w:r>
        <w:rPr>
          <w:rFonts w:hint="eastAsia" w:ascii="宋体" w:hAnsi="宋体" w:eastAsia="宋体" w:cs="宋体"/>
          <w:b/>
          <w:bCs/>
          <w:szCs w:val="21"/>
          <w:highlight w:val="none"/>
          <w:u w:val="single"/>
        </w:rPr>
        <w:t>企业</w:t>
      </w:r>
      <w:r>
        <w:rPr>
          <w:rFonts w:hint="eastAsia" w:ascii="宋体" w:hAnsi="宋体" w:eastAsia="宋体" w:cs="宋体"/>
          <w:b/>
          <w:bCs/>
          <w:szCs w:val="21"/>
          <w:highlight w:val="none"/>
        </w:rPr>
        <w:t>，</w:t>
      </w:r>
      <w:r>
        <w:rPr>
          <w:rFonts w:hint="eastAsia" w:ascii="宋体" w:hAnsi="宋体" w:eastAsia="宋体" w:cs="宋体"/>
          <w:b/>
          <w:bCs/>
          <w:szCs w:val="21"/>
          <w:highlight w:val="none"/>
          <w:lang w:val="zh-CN"/>
        </w:rPr>
        <w:t>从业人员</w:t>
      </w:r>
      <w:r>
        <w:rPr>
          <w:rFonts w:hint="eastAsia" w:ascii="宋体" w:hAnsi="宋体" w:eastAsia="宋体" w:cs="宋体"/>
          <w:b/>
          <w:bCs/>
          <w:szCs w:val="21"/>
          <w:highlight w:val="none"/>
          <w:u w:val="single"/>
        </w:rPr>
        <w:t>100</w:t>
      </w:r>
      <w:r>
        <w:rPr>
          <w:rFonts w:hint="eastAsia" w:ascii="宋体" w:hAnsi="宋体" w:eastAsia="宋体" w:cs="宋体"/>
          <w:b/>
          <w:bCs/>
          <w:szCs w:val="21"/>
          <w:highlight w:val="none"/>
          <w:lang w:val="zh-CN"/>
        </w:rPr>
        <w:t>人</w:t>
      </w:r>
      <w:r>
        <w:rPr>
          <w:rFonts w:hint="eastAsia" w:ascii="宋体" w:hAnsi="宋体" w:eastAsia="宋体" w:cs="宋体"/>
          <w:b/>
          <w:bCs/>
          <w:szCs w:val="21"/>
          <w:highlight w:val="none"/>
        </w:rPr>
        <w:t>，</w:t>
      </w:r>
      <w:r>
        <w:rPr>
          <w:rFonts w:hint="eastAsia" w:ascii="宋体" w:hAnsi="宋体" w:eastAsia="宋体" w:cs="宋体"/>
          <w:b/>
          <w:bCs/>
          <w:szCs w:val="21"/>
          <w:highlight w:val="none"/>
          <w:lang w:val="zh-CN"/>
        </w:rPr>
        <w:t>营业收入为</w:t>
      </w:r>
      <w:r>
        <w:rPr>
          <w:rFonts w:hint="eastAsia" w:ascii="宋体" w:hAnsi="宋体" w:eastAsia="宋体" w:cs="宋体"/>
          <w:b/>
          <w:bCs/>
          <w:szCs w:val="21"/>
          <w:highlight w:val="none"/>
          <w:u w:val="single"/>
        </w:rPr>
        <w:t>10000</w:t>
      </w:r>
      <w:r>
        <w:rPr>
          <w:rFonts w:hint="eastAsia" w:ascii="宋体" w:hAnsi="宋体" w:eastAsia="宋体" w:cs="宋体"/>
          <w:b/>
          <w:bCs/>
          <w:szCs w:val="21"/>
          <w:highlight w:val="none"/>
          <w:lang w:val="zh-CN"/>
        </w:rPr>
        <w:t>万元</w:t>
      </w:r>
      <w:r>
        <w:rPr>
          <w:rFonts w:hint="eastAsia" w:ascii="宋体" w:hAnsi="宋体" w:eastAsia="宋体" w:cs="宋体"/>
          <w:b/>
          <w:bCs/>
          <w:szCs w:val="21"/>
          <w:highlight w:val="none"/>
        </w:rPr>
        <w:t>，</w:t>
      </w:r>
      <w:r>
        <w:rPr>
          <w:rFonts w:hint="eastAsia" w:ascii="宋体" w:hAnsi="宋体" w:eastAsia="宋体" w:cs="宋体"/>
          <w:b/>
          <w:bCs/>
          <w:szCs w:val="21"/>
          <w:highlight w:val="none"/>
          <w:lang w:val="zh-CN"/>
        </w:rPr>
        <w:t>资产总额为</w:t>
      </w:r>
      <w:r>
        <w:rPr>
          <w:rFonts w:hint="eastAsia" w:ascii="宋体" w:hAnsi="宋体" w:eastAsia="宋体" w:cs="宋体"/>
          <w:b/>
          <w:bCs/>
          <w:szCs w:val="21"/>
          <w:highlight w:val="none"/>
          <w:u w:val="single"/>
        </w:rPr>
        <w:t>5000</w:t>
      </w:r>
      <w:r>
        <w:rPr>
          <w:rFonts w:hint="eastAsia" w:ascii="宋体" w:hAnsi="宋体" w:eastAsia="宋体" w:cs="宋体"/>
          <w:b/>
          <w:bCs/>
          <w:szCs w:val="21"/>
          <w:highlight w:val="none"/>
          <w:lang w:val="zh-CN"/>
        </w:rPr>
        <w:t>万元</w:t>
      </w:r>
      <w:r>
        <w:rPr>
          <w:rFonts w:hint="eastAsia" w:ascii="宋体" w:hAnsi="宋体" w:eastAsia="宋体" w:cs="宋体"/>
          <w:b/>
          <w:bCs/>
          <w:szCs w:val="21"/>
          <w:highlight w:val="none"/>
        </w:rPr>
        <w:t>，</w:t>
      </w:r>
      <w:r>
        <w:rPr>
          <w:rFonts w:hint="eastAsia" w:ascii="宋体" w:hAnsi="宋体" w:eastAsia="宋体" w:cs="宋体"/>
          <w:b/>
          <w:bCs/>
          <w:szCs w:val="21"/>
          <w:highlight w:val="none"/>
          <w:lang w:val="zh-CN"/>
        </w:rPr>
        <w:t>属于</w:t>
      </w:r>
      <w:r>
        <w:rPr>
          <w:rFonts w:hint="eastAsia" w:ascii="宋体" w:hAnsi="宋体" w:eastAsia="宋体" w:cs="宋体"/>
          <w:b/>
          <w:bCs/>
          <w:szCs w:val="21"/>
          <w:highlight w:val="none"/>
        </w:rPr>
        <w:t>中</w:t>
      </w:r>
      <w:r>
        <w:rPr>
          <w:rFonts w:hint="eastAsia" w:ascii="宋体" w:hAnsi="宋体" w:eastAsia="宋体" w:cs="宋体"/>
          <w:b/>
          <w:bCs/>
          <w:szCs w:val="21"/>
          <w:highlight w:val="none"/>
          <w:u w:val="single"/>
          <w:lang w:val="zh-CN"/>
        </w:rPr>
        <w:t>型</w:t>
      </w:r>
      <w:r>
        <w:rPr>
          <w:rFonts w:hint="eastAsia" w:ascii="宋体" w:hAnsi="宋体" w:eastAsia="宋体" w:cs="宋体"/>
          <w:b/>
          <w:bCs/>
          <w:szCs w:val="21"/>
          <w:highlight w:val="none"/>
          <w:lang w:val="zh-CN"/>
        </w:rPr>
        <w:t>企业</w:t>
      </w:r>
      <w:r>
        <w:rPr>
          <w:rFonts w:hint="eastAsia" w:ascii="宋体" w:hAnsi="宋体" w:eastAsia="宋体" w:cs="宋体"/>
          <w:b/>
          <w:bCs/>
          <w:szCs w:val="21"/>
          <w:highlight w:val="none"/>
        </w:rPr>
        <w:t>[供应商自行登录工业和信息化部官网进行中小企业规模类型自测（查询网址https://www.miit.gov.cn/）]</w:t>
      </w:r>
      <w:r>
        <w:rPr>
          <w:rFonts w:hint="eastAsia" w:ascii="宋体" w:hAnsi="宋体" w:eastAsia="宋体" w:cs="宋体"/>
          <w:b/>
          <w:bCs/>
          <w:szCs w:val="21"/>
          <w:highlight w:val="none"/>
          <w:lang w:val="zh-CN"/>
        </w:rPr>
        <w:t>。</w:t>
      </w:r>
    </w:p>
    <w:p w14:paraId="7FBAE9D4">
      <w:pPr>
        <w:tabs>
          <w:tab w:val="left" w:pos="4620"/>
        </w:tabs>
        <w:spacing w:line="360" w:lineRule="auto"/>
        <w:rPr>
          <w:rFonts w:asciiTheme="minorEastAsia" w:hAnsiTheme="minorEastAsia" w:eastAsiaTheme="minorEastAsia"/>
          <w:sz w:val="24"/>
          <w:highlight w:val="none"/>
        </w:rPr>
      </w:pPr>
      <w:r>
        <w:rPr>
          <w:rFonts w:asciiTheme="minorEastAsia" w:hAnsiTheme="minorEastAsia" w:eastAsiaTheme="minorEastAsia"/>
          <w:sz w:val="24"/>
          <w:highlight w:val="none"/>
        </w:rPr>
        <w:br w:type="page"/>
      </w:r>
    </w:p>
    <w:p w14:paraId="68A1CD49">
      <w:pPr>
        <w:spacing w:line="360" w:lineRule="auto"/>
        <w:jc w:val="center"/>
        <w:outlineLvl w:val="1"/>
        <w:rPr>
          <w:rFonts w:asciiTheme="minorEastAsia" w:hAnsiTheme="minorEastAsia" w:eastAsiaTheme="minorEastAsia"/>
          <w:b/>
          <w:sz w:val="24"/>
          <w:highlight w:val="none"/>
        </w:rPr>
      </w:pPr>
      <w:bookmarkStart w:id="291" w:name="_Toc25599"/>
      <w:bookmarkStart w:id="292" w:name="_Toc5908"/>
      <w:bookmarkStart w:id="293" w:name="_Toc17713"/>
      <w:bookmarkStart w:id="294" w:name="_Hlk60608725"/>
      <w:r>
        <w:rPr>
          <w:rFonts w:hint="eastAsia" w:asciiTheme="minorEastAsia" w:hAnsiTheme="minorEastAsia" w:eastAsiaTheme="minorEastAsia"/>
          <w:b/>
          <w:sz w:val="24"/>
          <w:highlight w:val="none"/>
        </w:rPr>
        <w:t>十、残疾人福利性单位声明函</w:t>
      </w:r>
      <w:bookmarkEnd w:id="291"/>
      <w:bookmarkEnd w:id="292"/>
      <w:bookmarkEnd w:id="293"/>
    </w:p>
    <w:p w14:paraId="664E3942">
      <w:pPr>
        <w:pStyle w:val="9"/>
        <w:jc w:val="center"/>
        <w:rPr>
          <w:rFonts w:asciiTheme="minorEastAsia" w:hAnsiTheme="minorEastAsia" w:eastAsiaTheme="minorEastAsia"/>
          <w:spacing w:val="6"/>
          <w:sz w:val="24"/>
          <w:highlight w:val="none"/>
        </w:rPr>
      </w:pPr>
      <w:r>
        <w:rPr>
          <w:rFonts w:hint="eastAsia" w:ascii="宋体" w:hAnsi="宋体" w:eastAsia="宋体"/>
          <w:i/>
          <w:sz w:val="24"/>
          <w:highlight w:val="none"/>
          <w:lang w:val="en-US"/>
        </w:rPr>
        <w:t>（非残疾人福利性单位磋商，请删去“残疾人福利性单位声明函”）</w:t>
      </w:r>
    </w:p>
    <w:p w14:paraId="1CB0A261">
      <w:pPr>
        <w:spacing w:line="360" w:lineRule="auto"/>
        <w:ind w:firstLine="435"/>
        <w:rPr>
          <w:rFonts w:asciiTheme="minorEastAsia" w:hAnsiTheme="minorEastAsia" w:eastAsiaTheme="minorEastAsia"/>
          <w:spacing w:val="6"/>
          <w:sz w:val="24"/>
          <w:szCs w:val="24"/>
          <w:highlight w:val="none"/>
        </w:rPr>
      </w:pPr>
      <w:r>
        <w:rPr>
          <w:rFonts w:hint="eastAsia" w:asciiTheme="minorEastAsia" w:hAnsiTheme="minorEastAsia" w:eastAsiaTheme="minorEastAsia"/>
          <w:spacing w:val="6"/>
          <w:sz w:val="24"/>
          <w:szCs w:val="24"/>
          <w:highlight w:val="none"/>
        </w:rPr>
        <w:t>本单位</w:t>
      </w:r>
      <w:r>
        <w:rPr>
          <w:rFonts w:hint="eastAsia" w:asciiTheme="minorEastAsia" w:hAnsiTheme="minorEastAsia" w:eastAsiaTheme="minorEastAsia"/>
          <w:sz w:val="24"/>
          <w:highlight w:val="none"/>
        </w:rPr>
        <w:t>郑重</w:t>
      </w:r>
      <w:r>
        <w:rPr>
          <w:rFonts w:hint="eastAsia" w:asciiTheme="minorEastAsia" w:hAnsiTheme="minorEastAsia" w:eastAsiaTheme="minorEastAsia"/>
          <w:spacing w:val="6"/>
          <w:sz w:val="24"/>
          <w:szCs w:val="24"/>
          <w:highlight w:val="none"/>
        </w:rPr>
        <w:t>声明，根据《财政部 民政部 中国残疾人联合会关于促进残疾人就业政府采购政策的通知》（财库</w:t>
      </w:r>
      <w:r>
        <w:rPr>
          <w:rFonts w:hint="eastAsia" w:asciiTheme="minorEastAsia" w:hAnsiTheme="minorEastAsia" w:eastAsiaTheme="minorEastAsia"/>
          <w:sz w:val="24"/>
          <w:szCs w:val="24"/>
          <w:highlight w:val="none"/>
        </w:rPr>
        <w:t>〔2017〕141</w:t>
      </w:r>
      <w:r>
        <w:rPr>
          <w:rFonts w:hint="eastAsia" w:asciiTheme="minorEastAsia" w:hAnsiTheme="minorEastAsia" w:eastAsiaTheme="minorEastAsia"/>
          <w:spacing w:val="6"/>
          <w:sz w:val="24"/>
          <w:szCs w:val="24"/>
          <w:highlight w:val="none"/>
        </w:rPr>
        <w:t>号）的规定，本单位为</w:t>
      </w:r>
      <w:r>
        <w:rPr>
          <w:rFonts w:hint="eastAsia" w:asciiTheme="minorEastAsia" w:hAnsiTheme="minorEastAsia" w:eastAsiaTheme="minorEastAsia"/>
          <w:bCs/>
          <w:sz w:val="24"/>
          <w:szCs w:val="24"/>
          <w:highlight w:val="none"/>
        </w:rPr>
        <w:t>符合</w:t>
      </w:r>
      <w:r>
        <w:rPr>
          <w:rFonts w:hint="eastAsia" w:asciiTheme="minorEastAsia" w:hAnsiTheme="minorEastAsia" w:eastAsiaTheme="minorEastAsia"/>
          <w:spacing w:val="6"/>
          <w:sz w:val="24"/>
          <w:szCs w:val="24"/>
          <w:highlight w:val="none"/>
        </w:rPr>
        <w:t>条件的残疾人福利性单位，且本单位参加</w:t>
      </w:r>
      <w:r>
        <w:rPr>
          <w:rFonts w:hint="eastAsia" w:asciiTheme="minorEastAsia" w:hAnsiTheme="minorEastAsia" w:eastAsiaTheme="minorEastAsia"/>
          <w:spacing w:val="6"/>
          <w:sz w:val="24"/>
          <w:szCs w:val="24"/>
          <w:highlight w:val="none"/>
          <w:u w:val="single"/>
        </w:rPr>
        <w:t xml:space="preserve">      </w:t>
      </w:r>
      <w:r>
        <w:rPr>
          <w:rFonts w:hint="eastAsia" w:asciiTheme="minorEastAsia" w:hAnsiTheme="minorEastAsia" w:eastAsiaTheme="minorEastAsia"/>
          <w:spacing w:val="6"/>
          <w:sz w:val="24"/>
          <w:szCs w:val="24"/>
          <w:highlight w:val="none"/>
        </w:rPr>
        <w:t>单位的</w:t>
      </w:r>
      <w:r>
        <w:rPr>
          <w:rFonts w:hint="eastAsia" w:asciiTheme="minorEastAsia" w:hAnsiTheme="minorEastAsia" w:eastAsiaTheme="minorEastAsia"/>
          <w:spacing w:val="6"/>
          <w:sz w:val="24"/>
          <w:szCs w:val="24"/>
          <w:highlight w:val="none"/>
          <w:u w:val="single"/>
        </w:rPr>
        <w:t xml:space="preserve">      </w:t>
      </w:r>
      <w:r>
        <w:rPr>
          <w:rFonts w:hint="eastAsia" w:asciiTheme="minorEastAsia" w:hAnsiTheme="minorEastAsia" w:eastAsiaTheme="minorEastAsia"/>
          <w:spacing w:val="6"/>
          <w:sz w:val="24"/>
          <w:szCs w:val="24"/>
          <w:highlight w:val="none"/>
        </w:rPr>
        <w:t>项目采购活动提供本单位制造的货物（由本单位承担工程/提供服务），或者提供其他残疾人福利性单位制造的货物（不包括使用非残疾人福利性单位注册商标的货物）。</w:t>
      </w:r>
    </w:p>
    <w:p w14:paraId="5B3B2437">
      <w:pPr>
        <w:spacing w:line="360" w:lineRule="auto"/>
        <w:ind w:firstLine="435"/>
        <w:rPr>
          <w:rFonts w:asciiTheme="minorEastAsia" w:hAnsiTheme="minorEastAsia" w:eastAsiaTheme="minorEastAsia"/>
          <w:spacing w:val="6"/>
          <w:sz w:val="24"/>
          <w:szCs w:val="24"/>
          <w:highlight w:val="none"/>
        </w:rPr>
      </w:pPr>
      <w:r>
        <w:rPr>
          <w:rFonts w:hint="eastAsia" w:asciiTheme="minorEastAsia" w:hAnsiTheme="minorEastAsia" w:eastAsiaTheme="minorEastAsia"/>
          <w:spacing w:val="6"/>
          <w:sz w:val="24"/>
          <w:szCs w:val="24"/>
          <w:highlight w:val="none"/>
        </w:rPr>
        <w:t>本单位对上述声明的真实性负责。如有虚假，将依法承担相应责任。</w:t>
      </w:r>
    </w:p>
    <w:p w14:paraId="07CEC535">
      <w:pPr>
        <w:spacing w:line="360" w:lineRule="auto"/>
        <w:ind w:firstLine="4228" w:firstLineChars="1762"/>
        <w:rPr>
          <w:rFonts w:asciiTheme="minorEastAsia" w:hAnsiTheme="minorEastAsia" w:eastAsiaTheme="minorEastAsia"/>
          <w:sz w:val="24"/>
          <w:szCs w:val="24"/>
          <w:highlight w:val="none"/>
        </w:rPr>
      </w:pPr>
    </w:p>
    <w:p w14:paraId="46D84F90">
      <w:pPr>
        <w:spacing w:line="360" w:lineRule="auto"/>
        <w:ind w:firstLine="4228" w:firstLineChars="1762"/>
        <w:rPr>
          <w:rFonts w:asciiTheme="minorEastAsia" w:hAnsiTheme="minorEastAsia" w:eastAsiaTheme="minorEastAsia"/>
          <w:sz w:val="24"/>
          <w:szCs w:val="24"/>
          <w:highlight w:val="none"/>
        </w:rPr>
      </w:pPr>
    </w:p>
    <w:p w14:paraId="655839C8">
      <w:pPr>
        <w:spacing w:line="360" w:lineRule="auto"/>
        <w:ind w:firstLine="4228" w:firstLineChars="1762"/>
        <w:rPr>
          <w:rFonts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供应商</w:t>
      </w:r>
      <w:r>
        <w:rPr>
          <w:rFonts w:asciiTheme="minorEastAsia" w:hAnsiTheme="minorEastAsia" w:eastAsiaTheme="minorEastAsia"/>
          <w:sz w:val="24"/>
          <w:szCs w:val="24"/>
          <w:highlight w:val="none"/>
        </w:rPr>
        <w:t>电子签章</w:t>
      </w:r>
      <w:r>
        <w:rPr>
          <w:rFonts w:hint="eastAsia" w:asciiTheme="minorEastAsia" w:hAnsiTheme="minorEastAsia" w:eastAsiaTheme="minorEastAsia"/>
          <w:sz w:val="24"/>
          <w:szCs w:val="24"/>
          <w:highlight w:val="none"/>
        </w:rPr>
        <w:t>：</w:t>
      </w:r>
      <w:r>
        <w:rPr>
          <w:rFonts w:asciiTheme="minorEastAsia" w:hAnsiTheme="minorEastAsia" w:eastAsiaTheme="minorEastAsia"/>
          <w:sz w:val="24"/>
          <w:szCs w:val="24"/>
          <w:highlight w:val="none"/>
          <w:u w:val="single"/>
        </w:rPr>
        <w:t xml:space="preserve">             </w:t>
      </w:r>
    </w:p>
    <w:p w14:paraId="10300C55">
      <w:pPr>
        <w:tabs>
          <w:tab w:val="left" w:pos="4620"/>
        </w:tabs>
        <w:spacing w:line="360" w:lineRule="auto"/>
        <w:ind w:firstLine="4252" w:firstLineChars="1772"/>
        <w:rPr>
          <w:rFonts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日</w:t>
      </w:r>
      <w:r>
        <w:rPr>
          <w:rFonts w:asciiTheme="minorEastAsia" w:hAnsiTheme="minorEastAsia" w:eastAsiaTheme="minorEastAsia"/>
          <w:sz w:val="24"/>
          <w:szCs w:val="24"/>
          <w:highlight w:val="none"/>
        </w:rPr>
        <w:t xml:space="preserve">      </w:t>
      </w:r>
      <w:r>
        <w:rPr>
          <w:rFonts w:hint="eastAsia" w:asciiTheme="minorEastAsia" w:hAnsiTheme="minorEastAsia" w:eastAsiaTheme="minorEastAsia"/>
          <w:sz w:val="24"/>
          <w:szCs w:val="24"/>
          <w:highlight w:val="none"/>
        </w:rPr>
        <w:t xml:space="preserve">    期：</w:t>
      </w:r>
      <w:r>
        <w:rPr>
          <w:rFonts w:asciiTheme="minorEastAsia" w:hAnsiTheme="minorEastAsia" w:eastAsiaTheme="minorEastAsia"/>
          <w:sz w:val="24"/>
          <w:szCs w:val="24"/>
          <w:highlight w:val="none"/>
          <w:u w:val="single"/>
        </w:rPr>
        <w:t xml:space="preserve">             </w:t>
      </w:r>
    </w:p>
    <w:bookmarkEnd w:id="294"/>
    <w:p w14:paraId="564176EF">
      <w:pPr>
        <w:widowControl/>
        <w:jc w:val="left"/>
        <w:rPr>
          <w:rFonts w:asciiTheme="minorEastAsia" w:hAnsiTheme="minorEastAsia" w:eastAsiaTheme="minorEastAsia"/>
          <w:sz w:val="24"/>
          <w:highlight w:val="none"/>
        </w:rPr>
      </w:pPr>
      <w:r>
        <w:rPr>
          <w:rFonts w:asciiTheme="minorEastAsia" w:hAnsiTheme="minorEastAsia" w:eastAsiaTheme="minorEastAsia"/>
          <w:sz w:val="24"/>
          <w:highlight w:val="none"/>
        </w:rPr>
        <w:br w:type="page"/>
      </w:r>
    </w:p>
    <w:p w14:paraId="31486ABF">
      <w:pPr>
        <w:spacing w:line="360" w:lineRule="auto"/>
        <w:jc w:val="center"/>
        <w:outlineLvl w:val="1"/>
        <w:rPr>
          <w:rFonts w:asciiTheme="minorEastAsia" w:hAnsiTheme="minorEastAsia" w:eastAsiaTheme="minorEastAsia"/>
          <w:b/>
          <w:sz w:val="24"/>
          <w:highlight w:val="none"/>
        </w:rPr>
      </w:pPr>
      <w:bookmarkStart w:id="295" w:name="_Toc2278"/>
      <w:bookmarkStart w:id="296" w:name="_Toc4839"/>
      <w:bookmarkStart w:id="297" w:name="_Toc20592"/>
      <w:bookmarkStart w:id="298" w:name="_Hlk44283088"/>
      <w:r>
        <w:rPr>
          <w:rFonts w:hint="eastAsia" w:asciiTheme="minorEastAsia" w:hAnsiTheme="minorEastAsia" w:eastAsiaTheme="minorEastAsia"/>
          <w:b/>
          <w:sz w:val="24"/>
          <w:highlight w:val="none"/>
        </w:rPr>
        <w:t>十一、诚信履约承诺函</w:t>
      </w:r>
      <w:bookmarkEnd w:id="295"/>
      <w:bookmarkEnd w:id="296"/>
      <w:bookmarkEnd w:id="297"/>
    </w:p>
    <w:p w14:paraId="423EAED9">
      <w:pPr>
        <w:spacing w:line="360" w:lineRule="auto"/>
        <w:rPr>
          <w:rFonts w:asciiTheme="minorEastAsia" w:hAnsiTheme="minorEastAsia" w:eastAsiaTheme="minorEastAsia"/>
          <w:b/>
          <w:bCs/>
          <w:sz w:val="24"/>
          <w:highlight w:val="none"/>
        </w:rPr>
      </w:pPr>
    </w:p>
    <w:p w14:paraId="6D60EF50">
      <w:pPr>
        <w:spacing w:line="360" w:lineRule="auto"/>
        <w:rPr>
          <w:rFonts w:asciiTheme="minorEastAsia" w:hAnsiTheme="minorEastAsia" w:eastAsiaTheme="minorEastAsia"/>
          <w:b/>
          <w:bCs/>
          <w:sz w:val="24"/>
          <w:highlight w:val="none"/>
          <w:u w:val="single"/>
        </w:rPr>
      </w:pPr>
      <w:r>
        <w:rPr>
          <w:rFonts w:hint="eastAsia" w:asciiTheme="minorEastAsia" w:hAnsiTheme="minorEastAsia" w:eastAsiaTheme="minorEastAsia"/>
          <w:b/>
          <w:bCs/>
          <w:sz w:val="24"/>
          <w:highlight w:val="none"/>
        </w:rPr>
        <w:t>致：采购人</w:t>
      </w:r>
    </w:p>
    <w:p w14:paraId="2E1F8EC8">
      <w:pPr>
        <w:spacing w:line="360" w:lineRule="auto"/>
        <w:ind w:firstLine="480" w:firstLineChars="200"/>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如我单位被确定为本项目成交供应商，我单位承诺在合同签订及履约过程中将严格执行《中华人民共和国政府采购法》、《中华人民共和国政府采购法实施条例》及本项目采购文件中关于合同签订及履约的相关规定，不出现以下情形：</w:t>
      </w:r>
    </w:p>
    <w:p w14:paraId="78940481">
      <w:pPr>
        <w:spacing w:line="360" w:lineRule="auto"/>
        <w:ind w:firstLine="480" w:firstLineChars="200"/>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（1）中标或者成交后无正当理由拒不与采购人签订政府采购合同；</w:t>
      </w:r>
    </w:p>
    <w:p w14:paraId="2C3D57BC">
      <w:pPr>
        <w:spacing w:line="360" w:lineRule="auto"/>
        <w:ind w:firstLine="480" w:firstLineChars="200"/>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（2）未按照采购文件确定的事项签订政府采购合同；</w:t>
      </w:r>
    </w:p>
    <w:p w14:paraId="0864B375">
      <w:pPr>
        <w:spacing w:line="360" w:lineRule="auto"/>
        <w:ind w:firstLine="480" w:firstLineChars="200"/>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（3）将政府采购合同转包；</w:t>
      </w:r>
    </w:p>
    <w:p w14:paraId="7F892922">
      <w:pPr>
        <w:spacing w:line="360" w:lineRule="auto"/>
        <w:ind w:firstLine="480" w:firstLineChars="200"/>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（4）提供假冒伪劣产品；</w:t>
      </w:r>
    </w:p>
    <w:p w14:paraId="6FDA7229">
      <w:pPr>
        <w:spacing w:line="360" w:lineRule="auto"/>
        <w:ind w:firstLine="480" w:firstLineChars="200"/>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（5）擅自变更、中止或者终止政府采购合同。</w:t>
      </w:r>
    </w:p>
    <w:p w14:paraId="2F561B3D">
      <w:pPr>
        <w:spacing w:line="360" w:lineRule="auto"/>
        <w:ind w:firstLine="480" w:firstLineChars="200"/>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CCAD382">
      <w:pPr>
        <w:spacing w:line="360" w:lineRule="auto"/>
        <w:rPr>
          <w:rFonts w:asciiTheme="minorEastAsia" w:hAnsiTheme="minorEastAsia" w:eastAsiaTheme="minorEastAsia"/>
          <w:bCs/>
          <w:sz w:val="24"/>
          <w:highlight w:val="none"/>
        </w:rPr>
      </w:pPr>
    </w:p>
    <w:p w14:paraId="37C10066">
      <w:pPr>
        <w:spacing w:line="360" w:lineRule="auto"/>
        <w:rPr>
          <w:rFonts w:asciiTheme="minorEastAsia" w:hAnsiTheme="minorEastAsia" w:eastAsiaTheme="minorEastAsia"/>
          <w:bCs/>
          <w:sz w:val="24"/>
          <w:highlight w:val="none"/>
        </w:rPr>
      </w:pPr>
    </w:p>
    <w:p w14:paraId="4C63D930">
      <w:pPr>
        <w:spacing w:line="360" w:lineRule="auto"/>
        <w:ind w:firstLine="4320" w:firstLineChars="1800"/>
        <w:rPr>
          <w:rFonts w:asciiTheme="minorEastAsia" w:hAnsiTheme="minorEastAsia" w:eastAsiaTheme="minorEastAsia"/>
          <w:bCs/>
          <w:sz w:val="24"/>
          <w:highlight w:val="none"/>
          <w:u w:val="single"/>
        </w:rPr>
      </w:pPr>
      <w:r>
        <w:rPr>
          <w:rFonts w:hint="eastAsia" w:asciiTheme="minorEastAsia" w:hAnsiTheme="minorEastAsia" w:eastAsiaTheme="minorEastAsia"/>
          <w:bCs/>
          <w:sz w:val="24"/>
          <w:highlight w:val="none"/>
        </w:rPr>
        <w:t>供应商电子签章：</w:t>
      </w:r>
      <w:r>
        <w:rPr>
          <w:rFonts w:hint="eastAsia" w:asciiTheme="minorEastAsia" w:hAnsiTheme="minorEastAsia" w:eastAsiaTheme="minorEastAsia"/>
          <w:bCs/>
          <w:sz w:val="24"/>
          <w:highlight w:val="none"/>
          <w:u w:val="single"/>
        </w:rPr>
        <w:t xml:space="preserve">     </w:t>
      </w:r>
      <w:r>
        <w:rPr>
          <w:rFonts w:asciiTheme="minorEastAsia" w:hAnsiTheme="minorEastAsia" w:eastAsiaTheme="minorEastAsia"/>
          <w:bCs/>
          <w:sz w:val="24"/>
          <w:highlight w:val="none"/>
          <w:u w:val="single"/>
        </w:rPr>
        <w:t xml:space="preserve">    </w:t>
      </w:r>
      <w:r>
        <w:rPr>
          <w:rFonts w:hint="eastAsia" w:asciiTheme="minorEastAsia" w:hAnsiTheme="minorEastAsia" w:eastAsiaTheme="minorEastAsia"/>
          <w:bCs/>
          <w:sz w:val="24"/>
          <w:highlight w:val="none"/>
          <w:u w:val="single"/>
        </w:rPr>
        <w:t xml:space="preserve">    </w:t>
      </w:r>
    </w:p>
    <w:p w14:paraId="770D8C5E">
      <w:pPr>
        <w:spacing w:line="360" w:lineRule="auto"/>
        <w:ind w:firstLine="4320" w:firstLineChars="1800"/>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日          期：</w:t>
      </w:r>
      <w:r>
        <w:rPr>
          <w:rFonts w:hint="eastAsia" w:asciiTheme="minorEastAsia" w:hAnsiTheme="minorEastAsia" w:eastAsiaTheme="minorEastAsia"/>
          <w:bCs/>
          <w:sz w:val="24"/>
          <w:highlight w:val="none"/>
          <w:u w:val="single"/>
        </w:rPr>
        <w:t xml:space="preserve">             </w:t>
      </w:r>
    </w:p>
    <w:p w14:paraId="06F6F0CC">
      <w:pPr>
        <w:widowControl/>
        <w:jc w:val="left"/>
        <w:rPr>
          <w:rFonts w:asciiTheme="minorEastAsia" w:hAnsiTheme="minorEastAsia" w:eastAsiaTheme="minorEastAsia"/>
          <w:b/>
          <w:sz w:val="24"/>
          <w:highlight w:val="none"/>
        </w:rPr>
      </w:pPr>
      <w:r>
        <w:rPr>
          <w:rFonts w:asciiTheme="minorEastAsia" w:hAnsiTheme="minorEastAsia" w:eastAsiaTheme="minorEastAsia"/>
          <w:b/>
          <w:sz w:val="24"/>
          <w:highlight w:val="none"/>
        </w:rPr>
        <w:br w:type="page"/>
      </w:r>
    </w:p>
    <w:bookmarkEnd w:id="298"/>
    <w:p w14:paraId="0EFD092A">
      <w:pPr>
        <w:spacing w:line="360" w:lineRule="auto"/>
        <w:jc w:val="center"/>
        <w:outlineLvl w:val="1"/>
        <w:rPr>
          <w:rFonts w:hint="eastAsia" w:asciiTheme="minorEastAsia" w:hAnsiTheme="minorEastAsia" w:eastAsiaTheme="minorEastAsia"/>
          <w:b/>
          <w:sz w:val="32"/>
          <w:szCs w:val="22"/>
          <w:highlight w:val="none"/>
          <w:lang w:val="en-US" w:eastAsia="zh-CN"/>
        </w:rPr>
      </w:pPr>
      <w:bookmarkStart w:id="299" w:name="_Toc3826"/>
      <w:bookmarkStart w:id="300" w:name="_Toc32025"/>
      <w:bookmarkStart w:id="301" w:name="_Toc7807"/>
      <w:r>
        <w:rPr>
          <w:rFonts w:hint="eastAsia" w:asciiTheme="minorEastAsia" w:hAnsiTheme="minorEastAsia" w:eastAsiaTheme="minorEastAsia"/>
          <w:b/>
          <w:sz w:val="32"/>
          <w:szCs w:val="22"/>
          <w:highlight w:val="none"/>
          <w:lang w:val="en-US" w:eastAsia="zh-CN"/>
        </w:rPr>
        <w:t>承诺函</w:t>
      </w:r>
    </w:p>
    <w:p w14:paraId="1473EB6A">
      <w:pPr>
        <w:spacing w:line="360" w:lineRule="auto"/>
        <w:jc w:val="center"/>
        <w:outlineLvl w:val="1"/>
        <w:rPr>
          <w:rFonts w:hint="eastAsia" w:asciiTheme="minorEastAsia" w:hAnsiTheme="minorEastAsia" w:eastAsiaTheme="minorEastAsia"/>
          <w:b/>
          <w:sz w:val="24"/>
          <w:highlight w:val="none"/>
          <w:lang w:val="en-US" w:eastAsia="zh-CN"/>
        </w:rPr>
      </w:pPr>
      <w:r>
        <w:rPr>
          <w:rFonts w:hint="eastAsia" w:asciiTheme="minorEastAsia" w:hAnsiTheme="minorEastAsia" w:eastAsiaTheme="minorEastAsia"/>
          <w:b/>
          <w:sz w:val="24"/>
          <w:highlight w:val="none"/>
          <w:lang w:val="en-US" w:eastAsia="zh-CN"/>
        </w:rPr>
        <w:t>（仅供参考，请按照采购需求要求格式自拟）</w:t>
      </w:r>
    </w:p>
    <w:p w14:paraId="1F9AD743">
      <w:pPr>
        <w:tabs>
          <w:tab w:val="left" w:pos="4620"/>
        </w:tabs>
        <w:spacing w:line="360" w:lineRule="auto"/>
        <w:ind w:firstLine="480" w:firstLineChars="200"/>
        <w:rPr>
          <w:rFonts w:hint="eastAsia" w:ascii="宋体" w:hAnsi="宋体" w:eastAsia="宋体"/>
          <w:sz w:val="24"/>
          <w:highlight w:val="none"/>
          <w:lang w:val="en-US" w:eastAsia="zh-CN"/>
        </w:rPr>
      </w:pPr>
      <w:r>
        <w:rPr>
          <w:rFonts w:hint="eastAsia" w:ascii="宋体" w:hAnsi="宋体" w:eastAsia="宋体"/>
          <w:sz w:val="24"/>
          <w:highlight w:val="none"/>
          <w:lang w:val="en-US" w:eastAsia="zh-CN"/>
        </w:rPr>
        <w:t>安徽医科大学：</w:t>
      </w:r>
    </w:p>
    <w:p w14:paraId="0887C1D1">
      <w:pPr>
        <w:tabs>
          <w:tab w:val="left" w:pos="4620"/>
        </w:tabs>
        <w:spacing w:line="360" w:lineRule="auto"/>
        <w:ind w:firstLine="480" w:firstLineChars="200"/>
        <w:rPr>
          <w:rFonts w:hint="default" w:ascii="宋体" w:hAnsi="宋体" w:eastAsia="宋体"/>
          <w:sz w:val="24"/>
          <w:highlight w:val="none"/>
          <w:lang w:val="en-US" w:eastAsia="zh-CN"/>
        </w:rPr>
      </w:pPr>
      <w:r>
        <w:rPr>
          <w:rFonts w:hint="default" w:ascii="宋体" w:hAnsi="宋体" w:eastAsia="宋体"/>
          <w:sz w:val="24"/>
          <w:highlight w:val="none"/>
          <w:lang w:val="en-US" w:eastAsia="zh-CN"/>
        </w:rPr>
        <w:t>我单位承诺：</w:t>
      </w:r>
    </w:p>
    <w:p w14:paraId="57175B3F">
      <w:pPr>
        <w:tabs>
          <w:tab w:val="left" w:pos="4620"/>
        </w:tabs>
        <w:spacing w:line="360" w:lineRule="auto"/>
        <w:ind w:firstLine="480" w:firstLineChars="200"/>
        <w:rPr>
          <w:rFonts w:hint="default" w:ascii="宋体" w:hAnsi="宋体" w:eastAsia="宋体"/>
          <w:sz w:val="24"/>
          <w:highlight w:val="none"/>
          <w:lang w:val="en-US" w:eastAsia="zh-CN"/>
        </w:rPr>
      </w:pPr>
      <w:r>
        <w:rPr>
          <w:rFonts w:hint="default" w:ascii="宋体" w:hAnsi="宋体" w:eastAsia="宋体"/>
          <w:sz w:val="24"/>
          <w:highlight w:val="none"/>
          <w:lang w:val="en-US" w:eastAsia="zh-CN"/>
        </w:rPr>
        <w:t>为学校线上配置一名经验丰富的安全专家作为专属服务经理，并且实时响应学校咨询的网络安全相关问题</w:t>
      </w:r>
      <w:r>
        <w:rPr>
          <w:rFonts w:hint="eastAsia" w:ascii="宋体" w:hAnsi="宋体" w:eastAsia="宋体"/>
          <w:sz w:val="24"/>
          <w:highlight w:val="none"/>
          <w:lang w:val="en-US" w:eastAsia="zh-CN"/>
        </w:rPr>
        <w:t>。</w:t>
      </w:r>
    </w:p>
    <w:p w14:paraId="46F31A89">
      <w:pPr>
        <w:tabs>
          <w:tab w:val="left" w:pos="4620"/>
        </w:tabs>
        <w:spacing w:line="360" w:lineRule="auto"/>
        <w:ind w:firstLine="480" w:firstLineChars="200"/>
        <w:rPr>
          <w:rFonts w:hint="default" w:ascii="宋体" w:hAnsi="宋体" w:eastAsia="宋体"/>
          <w:sz w:val="24"/>
          <w:highlight w:val="none"/>
          <w:lang w:val="en-US" w:eastAsia="zh-CN"/>
        </w:rPr>
      </w:pPr>
      <w:r>
        <w:rPr>
          <w:rFonts w:hint="default" w:ascii="宋体" w:hAnsi="宋体" w:eastAsia="宋体"/>
          <w:sz w:val="24"/>
          <w:highlight w:val="none"/>
          <w:lang w:val="en-US" w:eastAsia="zh-CN"/>
        </w:rPr>
        <w:t>服务中的云端服务平台支持对接学校网络中已部署的态势感知平台和防火墙，支持实时接收态势感知平台和防火墙检测到的安全事件信息、安全日志数据。</w:t>
      </w:r>
    </w:p>
    <w:p w14:paraId="296B92BA">
      <w:pPr>
        <w:tabs>
          <w:tab w:val="left" w:pos="4620"/>
        </w:tabs>
        <w:spacing w:line="360" w:lineRule="auto"/>
        <w:ind w:firstLine="480" w:firstLineChars="200"/>
        <w:rPr>
          <w:rFonts w:hint="default" w:ascii="宋体" w:hAnsi="宋体" w:eastAsia="宋体"/>
          <w:sz w:val="24"/>
          <w:highlight w:val="none"/>
          <w:lang w:val="en-US" w:eastAsia="zh-CN"/>
        </w:rPr>
      </w:pPr>
      <w:r>
        <w:rPr>
          <w:rFonts w:hint="default" w:ascii="宋体" w:hAnsi="宋体" w:eastAsia="宋体"/>
          <w:sz w:val="24"/>
          <w:highlight w:val="none"/>
          <w:lang w:val="en-US" w:eastAsia="zh-CN"/>
        </w:rPr>
        <w:t>重大事故启动应急响应机制，工作时间15分钟之内云端专家进行响应，非工作时间30分钟之内云端专家进行响应，2小时上门处置；对服务范围内发现的每一个高危可利用漏洞提供有效防护规则</w:t>
      </w:r>
    </w:p>
    <w:p w14:paraId="5321C2C3">
      <w:pPr>
        <w:tabs>
          <w:tab w:val="left" w:pos="4620"/>
        </w:tabs>
        <w:spacing w:line="360" w:lineRule="auto"/>
        <w:ind w:firstLine="480" w:firstLineChars="200"/>
        <w:rPr>
          <w:rFonts w:hint="default" w:ascii="宋体" w:hAnsi="宋体" w:eastAsia="宋体"/>
          <w:sz w:val="24"/>
          <w:highlight w:val="none"/>
          <w:lang w:val="en-US" w:eastAsia="zh-CN"/>
        </w:rPr>
      </w:pPr>
      <w:r>
        <w:rPr>
          <w:rFonts w:hint="default" w:ascii="宋体" w:hAnsi="宋体" w:eastAsia="宋体"/>
          <w:sz w:val="24"/>
          <w:highlight w:val="none"/>
          <w:lang w:val="en-US" w:eastAsia="zh-CN"/>
        </w:rPr>
        <w:t>产品品控：我单位对所用原料的主要指标、产品成品料的常规指标，做到每批次内部检测与留样制度（提供检测报告及证明文件）。产品留样时间为：产品保质期时间到期后延长一个月。</w:t>
      </w:r>
    </w:p>
    <w:p w14:paraId="33691257">
      <w:pPr>
        <w:tabs>
          <w:tab w:val="left" w:pos="4620"/>
        </w:tabs>
        <w:spacing w:line="360" w:lineRule="auto"/>
        <w:ind w:firstLine="480" w:firstLineChars="200"/>
        <w:rPr>
          <w:rFonts w:hint="default" w:ascii="宋体" w:hAnsi="宋体" w:eastAsia="宋体"/>
          <w:sz w:val="24"/>
          <w:highlight w:val="none"/>
          <w:lang w:val="en-US" w:eastAsia="zh-CN"/>
        </w:rPr>
      </w:pPr>
      <w:r>
        <w:rPr>
          <w:rFonts w:hint="default" w:ascii="宋体" w:hAnsi="宋体" w:eastAsia="宋体"/>
          <w:sz w:val="24"/>
          <w:highlight w:val="none"/>
          <w:lang w:val="en-US" w:eastAsia="zh-CN"/>
        </w:rPr>
        <w:t>成交后合同执行期间，每季度提供具有CMA或CNAS检测资质的第三方检测机构出具的供货饲料全营养成分、化学污染物及微生物指标的检测报告,报告内容必须体现“检测结果合格/符合国家标准”相应内容。</w:t>
      </w:r>
    </w:p>
    <w:p w14:paraId="38DF4BFF">
      <w:pPr>
        <w:tabs>
          <w:tab w:val="left" w:pos="4620"/>
        </w:tabs>
        <w:spacing w:line="360" w:lineRule="auto"/>
        <w:ind w:firstLine="480" w:firstLineChars="200"/>
        <w:rPr>
          <w:rFonts w:hint="eastAsia" w:ascii="宋体" w:hAnsi="宋体" w:eastAsia="宋体"/>
          <w:sz w:val="24"/>
          <w:highlight w:val="none"/>
          <w:lang w:val="en-US" w:eastAsia="zh-CN"/>
        </w:rPr>
      </w:pPr>
      <w:r>
        <w:rPr>
          <w:rFonts w:hint="default" w:ascii="宋体" w:hAnsi="宋体" w:eastAsia="宋体"/>
          <w:sz w:val="24"/>
          <w:highlight w:val="none"/>
          <w:lang w:val="en-US" w:eastAsia="zh-CN"/>
        </w:rPr>
        <w:t>本单位对上述承诺的真实性负责。如有虚假，将依法承担相应责任</w:t>
      </w:r>
      <w:r>
        <w:rPr>
          <w:rFonts w:hint="eastAsia" w:ascii="宋体" w:hAnsi="宋体" w:eastAsia="宋体"/>
          <w:sz w:val="24"/>
          <w:highlight w:val="none"/>
          <w:lang w:val="en-US" w:eastAsia="zh-CN"/>
        </w:rPr>
        <w:t>。</w:t>
      </w:r>
    </w:p>
    <w:p w14:paraId="23B8F0EA">
      <w:pPr>
        <w:tabs>
          <w:tab w:val="left" w:pos="4620"/>
        </w:tabs>
        <w:spacing w:line="360" w:lineRule="auto"/>
        <w:ind w:firstLine="480" w:firstLineChars="200"/>
        <w:rPr>
          <w:rFonts w:hint="default" w:ascii="宋体" w:hAnsi="宋体" w:eastAsia="宋体"/>
          <w:sz w:val="24"/>
          <w:highlight w:val="none"/>
          <w:lang w:val="en-US" w:eastAsia="zh-CN"/>
        </w:rPr>
      </w:pPr>
    </w:p>
    <w:p w14:paraId="7DDA6C40">
      <w:pPr>
        <w:tabs>
          <w:tab w:val="left" w:pos="4620"/>
        </w:tabs>
        <w:spacing w:line="360" w:lineRule="auto"/>
        <w:ind w:firstLine="480" w:firstLineChars="200"/>
        <w:jc w:val="right"/>
        <w:rPr>
          <w:rFonts w:hint="default" w:ascii="宋体" w:hAnsi="宋体" w:eastAsia="宋体"/>
          <w:sz w:val="24"/>
          <w:highlight w:val="none"/>
          <w:lang w:val="en-US" w:eastAsia="zh-CN"/>
        </w:rPr>
      </w:pPr>
      <w:r>
        <w:rPr>
          <w:rFonts w:hint="default" w:ascii="宋体" w:hAnsi="宋体" w:eastAsia="宋体"/>
          <w:sz w:val="24"/>
          <w:highlight w:val="none"/>
          <w:lang w:val="en-US" w:eastAsia="zh-CN"/>
        </w:rPr>
        <w:t xml:space="preserve">               供应商（盖章）：                  </w:t>
      </w:r>
    </w:p>
    <w:p w14:paraId="4888D2B0">
      <w:pPr>
        <w:tabs>
          <w:tab w:val="left" w:pos="4620"/>
        </w:tabs>
        <w:spacing w:line="360" w:lineRule="auto"/>
        <w:ind w:firstLine="480" w:firstLineChars="200"/>
        <w:jc w:val="right"/>
        <w:rPr>
          <w:rFonts w:hint="default" w:ascii="宋体" w:hAnsi="宋体" w:eastAsia="宋体"/>
          <w:sz w:val="24"/>
          <w:highlight w:val="none"/>
          <w:lang w:val="en-US" w:eastAsia="zh-CN"/>
        </w:rPr>
      </w:pPr>
      <w:r>
        <w:rPr>
          <w:rFonts w:hint="default" w:ascii="宋体" w:hAnsi="宋体" w:eastAsia="宋体"/>
          <w:sz w:val="24"/>
          <w:highlight w:val="none"/>
          <w:lang w:val="en-US" w:eastAsia="zh-CN"/>
        </w:rPr>
        <w:t xml:space="preserve">           日      期：                     </w:t>
      </w:r>
    </w:p>
    <w:p w14:paraId="1DB1B953">
      <w:pPr>
        <w:tabs>
          <w:tab w:val="left" w:pos="4620"/>
        </w:tabs>
        <w:spacing w:line="360" w:lineRule="auto"/>
        <w:ind w:firstLine="480" w:firstLineChars="200"/>
        <w:rPr>
          <w:rFonts w:hint="default" w:ascii="宋体" w:hAnsi="宋体" w:eastAsia="宋体"/>
          <w:sz w:val="24"/>
          <w:highlight w:val="none"/>
          <w:lang w:val="en-US" w:eastAsia="zh-CN"/>
        </w:rPr>
      </w:pPr>
    </w:p>
    <w:p w14:paraId="0C90C421">
      <w:pPr>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br w:type="page"/>
      </w:r>
    </w:p>
    <w:p w14:paraId="3D1225D5">
      <w:pPr>
        <w:spacing w:line="360" w:lineRule="auto"/>
        <w:jc w:val="center"/>
        <w:outlineLvl w:val="1"/>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十二、其他相关证明材料</w:t>
      </w:r>
      <w:bookmarkEnd w:id="299"/>
      <w:bookmarkEnd w:id="300"/>
      <w:bookmarkEnd w:id="301"/>
    </w:p>
    <w:p w14:paraId="568FEEDF">
      <w:pPr>
        <w:tabs>
          <w:tab w:val="left" w:pos="4620"/>
        </w:tabs>
        <w:spacing w:line="360" w:lineRule="auto"/>
        <w:ind w:firstLine="480" w:firstLineChars="200"/>
        <w:rPr>
          <w:rFonts w:ascii="宋体" w:hAnsi="宋体" w:eastAsia="宋体"/>
          <w:sz w:val="24"/>
          <w:highlight w:val="none"/>
        </w:rPr>
      </w:pPr>
      <w:r>
        <w:rPr>
          <w:rFonts w:hint="eastAsia" w:ascii="宋体" w:hAnsi="宋体" w:eastAsia="宋体"/>
          <w:sz w:val="24"/>
          <w:highlight w:val="none"/>
        </w:rPr>
        <w:t>提供符合</w:t>
      </w:r>
      <w:r>
        <w:rPr>
          <w:rFonts w:hint="eastAsia" w:ascii="宋体" w:hAnsi="宋体" w:eastAsia="宋体"/>
          <w:sz w:val="24"/>
          <w:highlight w:val="none"/>
          <w:lang w:val="en-US" w:eastAsia="zh-CN"/>
        </w:rPr>
        <w:t>竞争性磋商公告</w:t>
      </w:r>
      <w:r>
        <w:rPr>
          <w:rFonts w:hint="eastAsia" w:ascii="宋体" w:hAnsi="宋体" w:eastAsia="宋体"/>
          <w:sz w:val="24"/>
          <w:highlight w:val="none"/>
        </w:rPr>
        <w:t>、采购需求及评审方法和标准规定的相关证明文件。</w:t>
      </w:r>
    </w:p>
    <w:p w14:paraId="67FEAA60">
      <w:pPr>
        <w:spacing w:line="360" w:lineRule="auto"/>
        <w:ind w:firstLine="435"/>
        <w:rPr>
          <w:rFonts w:asciiTheme="minorEastAsia" w:hAnsiTheme="minorEastAsia" w:eastAsiaTheme="minorEastAsia"/>
          <w:sz w:val="24"/>
          <w:highlight w:val="none"/>
        </w:rPr>
      </w:pPr>
    </w:p>
    <w:p w14:paraId="7E79D6AD">
      <w:pPr>
        <w:spacing w:line="360" w:lineRule="auto"/>
        <w:ind w:firstLine="480" w:firstLineChars="200"/>
        <w:rPr>
          <w:rFonts w:asciiTheme="minorEastAsia" w:hAnsiTheme="minorEastAsia" w:eastAsiaTheme="minorEastAsia"/>
          <w:sz w:val="24"/>
          <w:highlight w:val="none"/>
        </w:rPr>
      </w:pPr>
    </w:p>
    <w:p w14:paraId="3355A4C2">
      <w:pPr>
        <w:spacing w:line="360" w:lineRule="auto"/>
        <w:ind w:firstLine="435"/>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特别提示：</w:t>
      </w:r>
    </w:p>
    <w:p w14:paraId="6BA6FC05">
      <w:pPr>
        <w:spacing w:line="360" w:lineRule="auto"/>
        <w:ind w:firstLine="435"/>
        <w:rPr>
          <w:rFonts w:asciiTheme="minorEastAsia" w:hAnsiTheme="minorEastAsia" w:eastAsiaTheme="minorEastAsia"/>
          <w:b/>
          <w:sz w:val="24"/>
          <w:highlight w:val="none"/>
        </w:rPr>
      </w:pPr>
      <w:r>
        <w:rPr>
          <w:rFonts w:hint="eastAsia" w:asciiTheme="minorEastAsia" w:hAnsiTheme="minorEastAsia" w:eastAsiaTheme="minorEastAsia"/>
          <w:sz w:val="24"/>
          <w:highlight w:val="none"/>
        </w:rPr>
        <w:t>供应商在响应文件制作时可在此栏内上传磋商文件要求上传的证明资料，如营业执照、证书等，应将上述证明材料制作成扫描件上传。</w:t>
      </w:r>
    </w:p>
    <w:p w14:paraId="304E78B8">
      <w:pPr>
        <w:spacing w:line="360" w:lineRule="auto"/>
        <w:jc w:val="center"/>
        <w:rPr>
          <w:rFonts w:asciiTheme="minorEastAsia" w:hAnsiTheme="minorEastAsia" w:eastAsiaTheme="minorEastAsia"/>
          <w:b/>
          <w:sz w:val="24"/>
          <w:highlight w:val="none"/>
        </w:rPr>
      </w:pPr>
    </w:p>
    <w:p w14:paraId="122C1791">
      <w:pPr>
        <w:widowControl/>
        <w:jc w:val="left"/>
        <w:rPr>
          <w:rFonts w:ascii="宋体" w:hAnsi="宋体" w:eastAsia="宋体"/>
          <w:bCs/>
          <w:sz w:val="24"/>
          <w:highlight w:val="none"/>
        </w:rPr>
      </w:pPr>
      <w:r>
        <w:rPr>
          <w:rFonts w:asciiTheme="minorEastAsia" w:hAnsiTheme="minorEastAsia" w:eastAsiaTheme="minorEastAsia"/>
          <w:sz w:val="24"/>
          <w:highlight w:val="none"/>
        </w:rPr>
        <w:br w:type="page"/>
      </w:r>
    </w:p>
    <w:p w14:paraId="691782FD">
      <w:pPr>
        <w:spacing w:line="360" w:lineRule="auto"/>
        <w:jc w:val="center"/>
        <w:outlineLvl w:val="0"/>
        <w:rPr>
          <w:rFonts w:ascii="宋体" w:hAnsi="宋体" w:eastAsia="宋体"/>
          <w:b/>
          <w:bCs/>
          <w:sz w:val="28"/>
          <w:highlight w:val="none"/>
        </w:rPr>
      </w:pPr>
      <w:bookmarkStart w:id="302" w:name="_Toc63440924"/>
      <w:bookmarkStart w:id="303" w:name="_Toc13870"/>
      <w:r>
        <w:rPr>
          <w:rFonts w:hint="eastAsia" w:ascii="宋体" w:hAnsi="宋体" w:eastAsia="宋体"/>
          <w:b/>
          <w:bCs/>
          <w:sz w:val="28"/>
          <w:highlight w:val="none"/>
        </w:rPr>
        <w:t>第七章  政府采购</w:t>
      </w:r>
      <w:bookmarkEnd w:id="302"/>
      <w:r>
        <w:rPr>
          <w:rFonts w:hint="eastAsia" w:asciiTheme="minorEastAsia" w:hAnsiTheme="minorEastAsia" w:eastAsiaTheme="minorEastAsia"/>
          <w:b/>
          <w:sz w:val="28"/>
          <w:highlight w:val="none"/>
        </w:rPr>
        <w:t>供应</w:t>
      </w:r>
      <w:r>
        <w:rPr>
          <w:rFonts w:hint="eastAsia" w:ascii="宋体" w:hAnsi="宋体" w:eastAsia="宋体"/>
          <w:b/>
          <w:bCs/>
          <w:sz w:val="28"/>
          <w:highlight w:val="none"/>
        </w:rPr>
        <w:t>商询问函和质疑函范本</w:t>
      </w:r>
      <w:bookmarkEnd w:id="303"/>
    </w:p>
    <w:p w14:paraId="63078F5E">
      <w:pPr>
        <w:spacing w:line="360" w:lineRule="auto"/>
        <w:jc w:val="center"/>
        <w:outlineLvl w:val="1"/>
        <w:rPr>
          <w:rFonts w:ascii="仿宋" w:hAnsi="仿宋" w:eastAsia="仿宋" w:cs="仿宋"/>
          <w:b/>
          <w:bCs/>
          <w:sz w:val="32"/>
          <w:szCs w:val="44"/>
          <w:highlight w:val="none"/>
        </w:rPr>
      </w:pPr>
      <w:bookmarkStart w:id="304" w:name="_Toc20128"/>
      <w:bookmarkStart w:id="305" w:name="_Toc8735"/>
      <w:bookmarkStart w:id="306" w:name="_Toc2142"/>
      <w:r>
        <w:rPr>
          <w:rFonts w:hint="eastAsia" w:ascii="仿宋" w:hAnsi="仿宋" w:eastAsia="仿宋" w:cs="仿宋"/>
          <w:b/>
          <w:bCs/>
          <w:sz w:val="32"/>
          <w:szCs w:val="44"/>
          <w:highlight w:val="none"/>
        </w:rPr>
        <w:t>询问函范本</w:t>
      </w:r>
      <w:bookmarkEnd w:id="304"/>
      <w:bookmarkEnd w:id="305"/>
      <w:bookmarkEnd w:id="306"/>
    </w:p>
    <w:p w14:paraId="05321C4E">
      <w:pPr>
        <w:adjustRightInd w:val="0"/>
        <w:snapToGrid w:val="0"/>
        <w:spacing w:line="360" w:lineRule="auto"/>
        <w:ind w:firstLine="480" w:firstLineChars="200"/>
        <w:jc w:val="center"/>
        <w:rPr>
          <w:rFonts w:ascii="仿宋" w:hAnsi="仿宋" w:eastAsia="仿宋" w:cs="仿宋"/>
          <w:b/>
          <w:bCs/>
          <w:sz w:val="32"/>
          <w:szCs w:val="44"/>
          <w:highlight w:val="none"/>
        </w:rPr>
      </w:pPr>
      <w:r>
        <w:rPr>
          <w:rFonts w:hint="eastAsia" w:cs="仿宋" w:asciiTheme="minorEastAsia" w:hAnsiTheme="minorEastAsia" w:eastAsiaTheme="minorEastAsia"/>
          <w:i/>
          <w:iCs/>
          <w:sz w:val="24"/>
          <w:szCs w:val="24"/>
          <w:highlight w:val="none"/>
        </w:rPr>
        <w:t>（如为对采购文件或采购程序的询问或疑问，请按询问函范本或电子交易系统中网上询问格式附件进行提交）</w:t>
      </w:r>
    </w:p>
    <w:p w14:paraId="6ECE7121">
      <w:pPr>
        <w:adjustRightInd w:val="0"/>
        <w:snapToGrid w:val="0"/>
        <w:spacing w:line="360" w:lineRule="auto"/>
        <w:rPr>
          <w:rFonts w:cs="仿宋" w:asciiTheme="minorEastAsia" w:hAnsiTheme="minorEastAsia" w:eastAsiaTheme="minorEastAsia"/>
          <w:b/>
          <w:bCs/>
          <w:sz w:val="24"/>
          <w:szCs w:val="24"/>
          <w:highlight w:val="none"/>
        </w:rPr>
      </w:pPr>
      <w:r>
        <w:rPr>
          <w:rFonts w:hint="eastAsia" w:cs="仿宋" w:asciiTheme="minorEastAsia" w:hAnsiTheme="minorEastAsia" w:eastAsiaTheme="minorEastAsia"/>
          <w:b/>
          <w:bCs/>
          <w:sz w:val="24"/>
          <w:szCs w:val="24"/>
          <w:highlight w:val="none"/>
        </w:rPr>
        <w:t>致：采购人</w:t>
      </w:r>
    </w:p>
    <w:p w14:paraId="0A8B4ADD">
      <w:pPr>
        <w:adjustRightInd w:val="0"/>
        <w:snapToGrid w:val="0"/>
        <w:spacing w:line="360" w:lineRule="auto"/>
        <w:ind w:firstLine="480" w:firstLineChars="200"/>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我单位拟参与</w:t>
      </w:r>
      <w:r>
        <w:rPr>
          <w:rFonts w:hint="eastAsia" w:cs="仿宋" w:asciiTheme="minorEastAsia" w:hAnsiTheme="minorEastAsia" w:eastAsiaTheme="minorEastAsia"/>
          <w:sz w:val="24"/>
          <w:szCs w:val="24"/>
          <w:highlight w:val="none"/>
          <w:u w:val="single"/>
        </w:rPr>
        <w:t xml:space="preserve">             </w:t>
      </w:r>
      <w:r>
        <w:rPr>
          <w:rFonts w:hint="eastAsia" w:cs="仿宋" w:asciiTheme="minorEastAsia" w:hAnsiTheme="minorEastAsia" w:eastAsiaTheme="minorEastAsia"/>
          <w:i/>
          <w:iCs/>
          <w:sz w:val="24"/>
          <w:szCs w:val="24"/>
          <w:highlight w:val="none"/>
        </w:rPr>
        <w:t>（项目名称、编号)</w:t>
      </w:r>
      <w:r>
        <w:rPr>
          <w:rFonts w:hint="eastAsia" w:cs="仿宋" w:asciiTheme="minorEastAsia" w:hAnsiTheme="minorEastAsia" w:eastAsiaTheme="minorEastAsia"/>
          <w:sz w:val="24"/>
          <w:szCs w:val="24"/>
          <w:highlight w:val="none"/>
        </w:rPr>
        <w:t>的采购活动，现有以下内容(或条款)存在疑问(或无法理解)，特提出询问。</w:t>
      </w:r>
    </w:p>
    <w:p w14:paraId="35E99DC9">
      <w:pPr>
        <w:adjustRightInd w:val="0"/>
        <w:snapToGrid w:val="0"/>
        <w:spacing w:line="360" w:lineRule="auto"/>
        <w:ind w:firstLine="480" w:firstLineChars="200"/>
        <w:outlineLvl w:val="1"/>
        <w:rPr>
          <w:rFonts w:cs="仿宋" w:asciiTheme="minorEastAsia" w:hAnsiTheme="minorEastAsia" w:eastAsiaTheme="minorEastAsia"/>
          <w:sz w:val="24"/>
          <w:szCs w:val="24"/>
          <w:highlight w:val="none"/>
        </w:rPr>
      </w:pPr>
      <w:bookmarkStart w:id="307" w:name="_Toc31275"/>
      <w:bookmarkStart w:id="308" w:name="_Toc9092"/>
      <w:bookmarkStart w:id="309" w:name="_Toc26386"/>
      <w:r>
        <w:rPr>
          <w:rFonts w:hint="eastAsia" w:cs="仿宋" w:asciiTheme="minorEastAsia" w:hAnsiTheme="minorEastAsia" w:eastAsiaTheme="minorEastAsia"/>
          <w:sz w:val="24"/>
          <w:szCs w:val="24"/>
          <w:highlight w:val="none"/>
        </w:rPr>
        <w:t>一、(事项一)</w:t>
      </w:r>
      <w:bookmarkEnd w:id="307"/>
      <w:bookmarkEnd w:id="308"/>
      <w:bookmarkEnd w:id="309"/>
    </w:p>
    <w:p w14:paraId="63DE21FF">
      <w:pPr>
        <w:adjustRightInd w:val="0"/>
        <w:snapToGrid w:val="0"/>
        <w:spacing w:line="360" w:lineRule="auto"/>
        <w:ind w:firstLine="480" w:firstLineChars="200"/>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1、(内容或条款)</w:t>
      </w:r>
    </w:p>
    <w:p w14:paraId="3A132D29">
      <w:pPr>
        <w:adjustRightInd w:val="0"/>
        <w:snapToGrid w:val="0"/>
        <w:spacing w:line="360" w:lineRule="auto"/>
        <w:ind w:firstLine="480" w:firstLineChars="200"/>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2、(说明疑问或无法理解原因)</w:t>
      </w:r>
    </w:p>
    <w:p w14:paraId="556E7284">
      <w:pPr>
        <w:adjustRightInd w:val="0"/>
        <w:snapToGrid w:val="0"/>
        <w:spacing w:line="360" w:lineRule="auto"/>
        <w:ind w:firstLine="480" w:firstLineChars="200"/>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3、(建议)</w:t>
      </w:r>
    </w:p>
    <w:p w14:paraId="1CBC5197">
      <w:pPr>
        <w:adjustRightInd w:val="0"/>
        <w:snapToGrid w:val="0"/>
        <w:spacing w:line="360" w:lineRule="auto"/>
        <w:ind w:firstLine="480" w:firstLineChars="200"/>
        <w:outlineLvl w:val="1"/>
        <w:rPr>
          <w:rFonts w:cs="仿宋" w:asciiTheme="minorEastAsia" w:hAnsiTheme="minorEastAsia" w:eastAsiaTheme="minorEastAsia"/>
          <w:sz w:val="24"/>
          <w:szCs w:val="24"/>
          <w:highlight w:val="none"/>
        </w:rPr>
      </w:pPr>
      <w:bookmarkStart w:id="310" w:name="_Toc6419"/>
      <w:bookmarkStart w:id="311" w:name="_Toc17582"/>
      <w:bookmarkStart w:id="312" w:name="_Toc9273"/>
      <w:r>
        <w:rPr>
          <w:rFonts w:hint="eastAsia" w:cs="仿宋" w:asciiTheme="minorEastAsia" w:hAnsiTheme="minorEastAsia" w:eastAsiaTheme="minorEastAsia"/>
          <w:sz w:val="24"/>
          <w:szCs w:val="24"/>
          <w:highlight w:val="none"/>
        </w:rPr>
        <w:t>二、(事项二)</w:t>
      </w:r>
      <w:bookmarkEnd w:id="310"/>
      <w:bookmarkEnd w:id="311"/>
      <w:bookmarkEnd w:id="312"/>
    </w:p>
    <w:p w14:paraId="1D4EA89F">
      <w:pPr>
        <w:adjustRightInd w:val="0"/>
        <w:snapToGrid w:val="0"/>
        <w:spacing w:line="360" w:lineRule="auto"/>
        <w:ind w:firstLine="480" w:firstLineChars="200"/>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w:t>
      </w:r>
    </w:p>
    <w:p w14:paraId="22000372">
      <w:pPr>
        <w:adjustRightInd w:val="0"/>
        <w:snapToGrid w:val="0"/>
        <w:spacing w:line="360" w:lineRule="auto"/>
        <w:ind w:firstLine="480" w:firstLineChars="200"/>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 xml:space="preserve">随附相关证明材料如下： </w:t>
      </w:r>
    </w:p>
    <w:p w14:paraId="2C4D8C05">
      <w:pPr>
        <w:spacing w:line="360" w:lineRule="auto"/>
        <w:ind w:firstLine="4228" w:firstLineChars="1762"/>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联 系 人：</w:t>
      </w:r>
      <w:r>
        <w:rPr>
          <w:rFonts w:hint="eastAsia" w:asciiTheme="minorEastAsia" w:hAnsiTheme="minorEastAsia" w:eastAsiaTheme="minorEastAsia"/>
          <w:sz w:val="24"/>
          <w:highlight w:val="none"/>
          <w:u w:val="single"/>
        </w:rPr>
        <w:t xml:space="preserve">              </w:t>
      </w:r>
    </w:p>
    <w:p w14:paraId="2B1ACD37">
      <w:pPr>
        <w:spacing w:line="360" w:lineRule="auto"/>
        <w:ind w:firstLine="4228" w:firstLineChars="1762"/>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联系电话：</w:t>
      </w:r>
      <w:r>
        <w:rPr>
          <w:rFonts w:hint="eastAsia" w:asciiTheme="minorEastAsia" w:hAnsiTheme="minorEastAsia" w:eastAsiaTheme="minorEastAsia"/>
          <w:sz w:val="24"/>
          <w:highlight w:val="none"/>
          <w:u w:val="single"/>
        </w:rPr>
        <w:t xml:space="preserve">              </w:t>
      </w:r>
    </w:p>
    <w:p w14:paraId="5D62ACF6">
      <w:pPr>
        <w:tabs>
          <w:tab w:val="left" w:pos="630"/>
        </w:tabs>
        <w:spacing w:line="360" w:lineRule="auto"/>
        <w:ind w:firstLine="4228" w:firstLineChars="1762"/>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日    期：</w:t>
      </w:r>
      <w:r>
        <w:rPr>
          <w:rFonts w:hint="eastAsia" w:asciiTheme="minorEastAsia" w:hAnsiTheme="minorEastAsia" w:eastAsiaTheme="minorEastAsia"/>
          <w:sz w:val="24"/>
          <w:highlight w:val="none"/>
          <w:u w:val="single"/>
        </w:rPr>
        <w:t xml:space="preserve">       </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u w:val="single"/>
        </w:rPr>
        <w:t xml:space="preserve">    </w:t>
      </w:r>
    </w:p>
    <w:p w14:paraId="0089472C">
      <w:pPr>
        <w:rPr>
          <w:rFonts w:asciiTheme="minorEastAsia" w:hAnsiTheme="minorEastAsia" w:eastAsiaTheme="minorEastAsia"/>
          <w:b/>
          <w:sz w:val="52"/>
          <w:highlight w:val="none"/>
        </w:rPr>
      </w:pPr>
      <w:r>
        <w:rPr>
          <w:rFonts w:hint="eastAsia" w:ascii="仿宋" w:hAnsi="仿宋" w:eastAsia="仿宋" w:cs="仿宋"/>
          <w:b/>
          <w:bCs/>
          <w:sz w:val="32"/>
          <w:szCs w:val="44"/>
          <w:highlight w:val="none"/>
        </w:rPr>
        <w:br w:type="page"/>
      </w:r>
    </w:p>
    <w:p w14:paraId="70871289">
      <w:pPr>
        <w:jc w:val="center"/>
        <w:outlineLvl w:val="1"/>
        <w:rPr>
          <w:rFonts w:ascii="仿宋" w:hAnsi="仿宋" w:eastAsia="仿宋" w:cs="仿宋"/>
          <w:b/>
          <w:bCs/>
          <w:sz w:val="32"/>
          <w:szCs w:val="44"/>
          <w:highlight w:val="none"/>
        </w:rPr>
      </w:pPr>
      <w:bookmarkStart w:id="313" w:name="_Toc6990"/>
      <w:bookmarkStart w:id="314" w:name="_Toc26673"/>
      <w:bookmarkStart w:id="315" w:name="_Toc5937"/>
      <w:r>
        <w:rPr>
          <w:rFonts w:hint="eastAsia" w:ascii="仿宋" w:hAnsi="仿宋" w:eastAsia="仿宋" w:cs="仿宋"/>
          <w:b/>
          <w:bCs/>
          <w:sz w:val="32"/>
          <w:szCs w:val="44"/>
          <w:highlight w:val="none"/>
        </w:rPr>
        <w:t>质疑函范本</w:t>
      </w:r>
      <w:bookmarkEnd w:id="313"/>
      <w:bookmarkEnd w:id="314"/>
      <w:bookmarkEnd w:id="315"/>
    </w:p>
    <w:p w14:paraId="55AD6DF5">
      <w:pPr>
        <w:adjustRightInd w:val="0"/>
        <w:snapToGrid w:val="0"/>
        <w:spacing w:before="312" w:beforeLines="100" w:line="360" w:lineRule="auto"/>
        <w:outlineLvl w:val="1"/>
        <w:rPr>
          <w:rFonts w:cs="仿宋" w:asciiTheme="minorEastAsia" w:hAnsiTheme="minorEastAsia" w:eastAsiaTheme="minorEastAsia"/>
          <w:b/>
          <w:bCs/>
          <w:sz w:val="24"/>
          <w:szCs w:val="24"/>
          <w:highlight w:val="none"/>
        </w:rPr>
      </w:pPr>
      <w:bookmarkStart w:id="316" w:name="_Toc3592"/>
      <w:bookmarkStart w:id="317" w:name="_Toc2994"/>
      <w:bookmarkStart w:id="318" w:name="_Toc29510"/>
      <w:r>
        <w:rPr>
          <w:rFonts w:hint="eastAsia" w:cs="仿宋" w:asciiTheme="minorEastAsia" w:hAnsiTheme="minorEastAsia" w:eastAsiaTheme="minorEastAsia"/>
          <w:b/>
          <w:bCs/>
          <w:sz w:val="24"/>
          <w:szCs w:val="24"/>
          <w:highlight w:val="none"/>
        </w:rPr>
        <w:t>一、质疑供应商基本信息</w:t>
      </w:r>
      <w:bookmarkEnd w:id="316"/>
      <w:bookmarkEnd w:id="317"/>
      <w:bookmarkEnd w:id="318"/>
    </w:p>
    <w:p w14:paraId="71AB6905">
      <w:pPr>
        <w:adjustRightInd w:val="0"/>
        <w:snapToGrid w:val="0"/>
        <w:spacing w:line="360" w:lineRule="auto"/>
        <w:rPr>
          <w:rFonts w:cs="仿宋" w:asciiTheme="minorEastAsia" w:hAnsiTheme="minorEastAsia" w:eastAsiaTheme="minorEastAsia"/>
          <w:sz w:val="24"/>
          <w:szCs w:val="24"/>
          <w:highlight w:val="none"/>
          <w:u w:val="dotted"/>
        </w:rPr>
      </w:pPr>
      <w:r>
        <w:rPr>
          <w:rFonts w:hint="eastAsia" w:cs="仿宋" w:asciiTheme="minorEastAsia" w:hAnsiTheme="minorEastAsia" w:eastAsiaTheme="minorEastAsia"/>
          <w:sz w:val="24"/>
          <w:szCs w:val="24"/>
          <w:highlight w:val="none"/>
        </w:rPr>
        <w:t>质疑供应商：</w:t>
      </w:r>
      <w:r>
        <w:rPr>
          <w:rFonts w:hint="eastAsia" w:cs="仿宋" w:asciiTheme="minorEastAsia" w:hAnsiTheme="minorEastAsia" w:eastAsiaTheme="minorEastAsia"/>
          <w:sz w:val="24"/>
          <w:szCs w:val="24"/>
          <w:highlight w:val="none"/>
          <w:u w:val="dotted"/>
        </w:rPr>
        <w:t xml:space="preserve">                                        </w:t>
      </w:r>
    </w:p>
    <w:p w14:paraId="43D61073">
      <w:pPr>
        <w:adjustRightInd w:val="0"/>
        <w:snapToGrid w:val="0"/>
        <w:spacing w:line="360" w:lineRule="auto"/>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地址：</w:t>
      </w:r>
      <w:r>
        <w:rPr>
          <w:rFonts w:hint="eastAsia" w:cs="仿宋" w:asciiTheme="minorEastAsia" w:hAnsiTheme="minorEastAsia" w:eastAsiaTheme="minorEastAsia"/>
          <w:sz w:val="24"/>
          <w:szCs w:val="24"/>
          <w:highlight w:val="none"/>
          <w:u w:val="dotted"/>
        </w:rPr>
        <w:t xml:space="preserve">                          </w:t>
      </w:r>
      <w:r>
        <w:rPr>
          <w:rFonts w:hint="eastAsia" w:cs="仿宋" w:asciiTheme="minorEastAsia" w:hAnsiTheme="minorEastAsia" w:eastAsiaTheme="minorEastAsia"/>
          <w:sz w:val="24"/>
          <w:szCs w:val="24"/>
          <w:highlight w:val="none"/>
        </w:rPr>
        <w:t>邮编：</w:t>
      </w:r>
      <w:r>
        <w:rPr>
          <w:rFonts w:hint="eastAsia" w:cs="仿宋" w:asciiTheme="minorEastAsia" w:hAnsiTheme="minorEastAsia" w:eastAsiaTheme="minorEastAsia"/>
          <w:sz w:val="24"/>
          <w:szCs w:val="24"/>
          <w:highlight w:val="none"/>
          <w:u w:val="dotted"/>
        </w:rPr>
        <w:t xml:space="preserve">              </w:t>
      </w:r>
    </w:p>
    <w:p w14:paraId="6781434E">
      <w:pPr>
        <w:adjustRightInd w:val="0"/>
        <w:snapToGrid w:val="0"/>
        <w:spacing w:line="360" w:lineRule="auto"/>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联系人：</w:t>
      </w:r>
      <w:r>
        <w:rPr>
          <w:rFonts w:hint="eastAsia" w:cs="仿宋" w:asciiTheme="minorEastAsia" w:hAnsiTheme="minorEastAsia" w:eastAsiaTheme="minorEastAsia"/>
          <w:sz w:val="24"/>
          <w:szCs w:val="24"/>
          <w:highlight w:val="none"/>
          <w:u w:val="dotted"/>
        </w:rPr>
        <w:t xml:space="preserve">                      </w:t>
      </w:r>
      <w:r>
        <w:rPr>
          <w:rFonts w:hint="eastAsia" w:cs="仿宋" w:asciiTheme="minorEastAsia" w:hAnsiTheme="minorEastAsia" w:eastAsiaTheme="minorEastAsia"/>
          <w:sz w:val="24"/>
          <w:szCs w:val="24"/>
          <w:highlight w:val="none"/>
        </w:rPr>
        <w:t>联系电话：</w:t>
      </w:r>
      <w:r>
        <w:rPr>
          <w:rFonts w:hint="eastAsia" w:cs="仿宋" w:asciiTheme="minorEastAsia" w:hAnsiTheme="minorEastAsia" w:eastAsiaTheme="minorEastAsia"/>
          <w:sz w:val="24"/>
          <w:szCs w:val="24"/>
          <w:highlight w:val="none"/>
          <w:u w:val="dotted"/>
        </w:rPr>
        <w:t xml:space="preserve">            </w:t>
      </w:r>
    </w:p>
    <w:p w14:paraId="5D4C9B71">
      <w:pPr>
        <w:adjustRightInd w:val="0"/>
        <w:snapToGrid w:val="0"/>
        <w:spacing w:line="360" w:lineRule="auto"/>
        <w:rPr>
          <w:rFonts w:cs="仿宋" w:asciiTheme="minorEastAsia" w:hAnsiTheme="minorEastAsia" w:eastAsiaTheme="minorEastAsia"/>
          <w:sz w:val="24"/>
          <w:szCs w:val="24"/>
          <w:highlight w:val="none"/>
          <w:u w:val="dotted"/>
        </w:rPr>
      </w:pPr>
      <w:r>
        <w:rPr>
          <w:rFonts w:hint="eastAsia" w:cs="仿宋" w:asciiTheme="minorEastAsia" w:hAnsiTheme="minorEastAsia" w:eastAsiaTheme="minorEastAsia"/>
          <w:sz w:val="24"/>
          <w:szCs w:val="24"/>
          <w:highlight w:val="none"/>
        </w:rPr>
        <w:t>授权代表：</w:t>
      </w:r>
      <w:r>
        <w:rPr>
          <w:rFonts w:hint="eastAsia" w:cs="仿宋" w:asciiTheme="minorEastAsia" w:hAnsiTheme="minorEastAsia" w:eastAsiaTheme="minorEastAsia"/>
          <w:sz w:val="24"/>
          <w:szCs w:val="24"/>
          <w:highlight w:val="none"/>
          <w:u w:val="dotted"/>
        </w:rPr>
        <w:t xml:space="preserve">                                          </w:t>
      </w:r>
    </w:p>
    <w:p w14:paraId="7F250ECA">
      <w:pPr>
        <w:adjustRightInd w:val="0"/>
        <w:snapToGrid w:val="0"/>
        <w:spacing w:line="360" w:lineRule="auto"/>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联系电话：</w:t>
      </w:r>
      <w:r>
        <w:rPr>
          <w:rFonts w:hint="eastAsia" w:cs="仿宋" w:asciiTheme="minorEastAsia" w:hAnsiTheme="minorEastAsia" w:eastAsiaTheme="minorEastAsia"/>
          <w:sz w:val="24"/>
          <w:szCs w:val="24"/>
          <w:highlight w:val="none"/>
          <w:u w:val="dotted"/>
        </w:rPr>
        <w:t xml:space="preserve">                                          </w:t>
      </w:r>
    </w:p>
    <w:p w14:paraId="7E904FCE">
      <w:pPr>
        <w:adjustRightInd w:val="0"/>
        <w:snapToGrid w:val="0"/>
        <w:spacing w:line="360" w:lineRule="auto"/>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地址：</w:t>
      </w:r>
      <w:r>
        <w:rPr>
          <w:rFonts w:cs="仿宋" w:asciiTheme="minorEastAsia" w:hAnsiTheme="minorEastAsia" w:eastAsiaTheme="minorEastAsia"/>
          <w:sz w:val="24"/>
          <w:szCs w:val="24"/>
          <w:highlight w:val="none"/>
        </w:rPr>
        <w:t xml:space="preserve"> </w:t>
      </w:r>
      <w:r>
        <w:rPr>
          <w:rFonts w:hint="eastAsia" w:cs="仿宋" w:asciiTheme="minorEastAsia" w:hAnsiTheme="minorEastAsia" w:eastAsiaTheme="minorEastAsia"/>
          <w:sz w:val="24"/>
          <w:szCs w:val="24"/>
          <w:highlight w:val="none"/>
          <w:u w:val="dotted"/>
        </w:rPr>
        <w:t xml:space="preserve">                        </w:t>
      </w:r>
      <w:r>
        <w:rPr>
          <w:rFonts w:hint="eastAsia" w:cs="仿宋" w:asciiTheme="minorEastAsia" w:hAnsiTheme="minorEastAsia" w:eastAsiaTheme="minorEastAsia"/>
          <w:sz w:val="24"/>
          <w:szCs w:val="24"/>
          <w:highlight w:val="none"/>
        </w:rPr>
        <w:t>邮编：</w:t>
      </w:r>
      <w:r>
        <w:rPr>
          <w:rFonts w:hint="eastAsia" w:cs="仿宋" w:asciiTheme="minorEastAsia" w:hAnsiTheme="minorEastAsia" w:eastAsiaTheme="minorEastAsia"/>
          <w:sz w:val="24"/>
          <w:szCs w:val="24"/>
          <w:highlight w:val="none"/>
          <w:u w:val="dotted"/>
        </w:rPr>
        <w:t xml:space="preserve">               </w:t>
      </w:r>
    </w:p>
    <w:p w14:paraId="6C9F5AA7">
      <w:pPr>
        <w:adjustRightInd w:val="0"/>
        <w:snapToGrid w:val="0"/>
        <w:spacing w:line="360" w:lineRule="auto"/>
        <w:outlineLvl w:val="1"/>
        <w:rPr>
          <w:rFonts w:cs="仿宋" w:asciiTheme="minorEastAsia" w:hAnsiTheme="minorEastAsia" w:eastAsiaTheme="minorEastAsia"/>
          <w:b/>
          <w:bCs/>
          <w:sz w:val="24"/>
          <w:szCs w:val="24"/>
          <w:highlight w:val="none"/>
        </w:rPr>
      </w:pPr>
      <w:bookmarkStart w:id="319" w:name="_Toc4317"/>
      <w:bookmarkStart w:id="320" w:name="_Toc31042"/>
      <w:bookmarkStart w:id="321" w:name="_Toc28130"/>
      <w:r>
        <w:rPr>
          <w:rFonts w:hint="eastAsia" w:cs="仿宋" w:asciiTheme="minorEastAsia" w:hAnsiTheme="minorEastAsia" w:eastAsiaTheme="minorEastAsia"/>
          <w:b/>
          <w:bCs/>
          <w:sz w:val="24"/>
          <w:szCs w:val="24"/>
          <w:highlight w:val="none"/>
        </w:rPr>
        <w:t>二、质疑项目基本情况</w:t>
      </w:r>
      <w:bookmarkEnd w:id="319"/>
      <w:bookmarkEnd w:id="320"/>
      <w:bookmarkEnd w:id="321"/>
    </w:p>
    <w:p w14:paraId="3C6ABAF1">
      <w:pPr>
        <w:adjustRightInd w:val="0"/>
        <w:snapToGrid w:val="0"/>
        <w:spacing w:line="360" w:lineRule="auto"/>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质疑项目的名称：</w:t>
      </w:r>
      <w:r>
        <w:rPr>
          <w:rFonts w:hint="eastAsia" w:cs="仿宋" w:asciiTheme="minorEastAsia" w:hAnsiTheme="minorEastAsia" w:eastAsiaTheme="minorEastAsia"/>
          <w:sz w:val="24"/>
          <w:szCs w:val="24"/>
          <w:highlight w:val="none"/>
          <w:u w:val="dotted"/>
        </w:rPr>
        <w:t xml:space="preserve">                                    </w:t>
      </w:r>
    </w:p>
    <w:p w14:paraId="04A390F8">
      <w:pPr>
        <w:adjustRightInd w:val="0"/>
        <w:snapToGrid w:val="0"/>
        <w:spacing w:line="360" w:lineRule="auto"/>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质疑项目的编号：</w:t>
      </w:r>
      <w:r>
        <w:rPr>
          <w:rFonts w:hint="eastAsia" w:cs="仿宋" w:asciiTheme="minorEastAsia" w:hAnsiTheme="minorEastAsia" w:eastAsiaTheme="minorEastAsia"/>
          <w:sz w:val="24"/>
          <w:szCs w:val="24"/>
          <w:highlight w:val="none"/>
          <w:u w:val="dotted"/>
        </w:rPr>
        <w:t xml:space="preserve">               </w:t>
      </w:r>
      <w:r>
        <w:rPr>
          <w:rFonts w:hint="eastAsia" w:cs="仿宋" w:asciiTheme="minorEastAsia" w:hAnsiTheme="minorEastAsia" w:eastAsiaTheme="minorEastAsia"/>
          <w:sz w:val="24"/>
          <w:szCs w:val="24"/>
          <w:highlight w:val="none"/>
        </w:rPr>
        <w:t>包号：</w:t>
      </w:r>
      <w:r>
        <w:rPr>
          <w:rFonts w:hint="eastAsia" w:cs="仿宋" w:asciiTheme="minorEastAsia" w:hAnsiTheme="minorEastAsia" w:eastAsiaTheme="minorEastAsia"/>
          <w:sz w:val="24"/>
          <w:szCs w:val="24"/>
          <w:highlight w:val="none"/>
          <w:u w:val="dotted"/>
        </w:rPr>
        <w:t xml:space="preserve">               </w:t>
      </w:r>
    </w:p>
    <w:p w14:paraId="2CC13C6D">
      <w:pPr>
        <w:adjustRightInd w:val="0"/>
        <w:snapToGrid w:val="0"/>
        <w:spacing w:line="360" w:lineRule="auto"/>
        <w:rPr>
          <w:rFonts w:cs="仿宋" w:asciiTheme="minorEastAsia" w:hAnsiTheme="minorEastAsia" w:eastAsiaTheme="minorEastAsia"/>
          <w:sz w:val="24"/>
          <w:szCs w:val="24"/>
          <w:highlight w:val="none"/>
          <w:u w:val="dotted"/>
        </w:rPr>
      </w:pPr>
      <w:r>
        <w:rPr>
          <w:rFonts w:hint="eastAsia" w:cs="仿宋" w:asciiTheme="minorEastAsia" w:hAnsiTheme="minorEastAsia" w:eastAsiaTheme="minorEastAsia"/>
          <w:sz w:val="24"/>
          <w:szCs w:val="24"/>
          <w:highlight w:val="none"/>
        </w:rPr>
        <w:t>采购人名称：</w:t>
      </w:r>
      <w:r>
        <w:rPr>
          <w:rFonts w:hint="eastAsia" w:cs="仿宋" w:asciiTheme="minorEastAsia" w:hAnsiTheme="minorEastAsia" w:eastAsiaTheme="minorEastAsia"/>
          <w:sz w:val="24"/>
          <w:szCs w:val="24"/>
          <w:highlight w:val="none"/>
          <w:u w:val="dotted"/>
        </w:rPr>
        <w:t xml:space="preserve">                                        </w:t>
      </w:r>
    </w:p>
    <w:p w14:paraId="638E4718">
      <w:pPr>
        <w:adjustRightInd w:val="0"/>
        <w:snapToGrid w:val="0"/>
        <w:spacing w:line="360" w:lineRule="auto"/>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采购文件获取日期：</w:t>
      </w:r>
      <w:r>
        <w:rPr>
          <w:rFonts w:hint="eastAsia" w:cs="仿宋" w:asciiTheme="minorEastAsia" w:hAnsiTheme="minorEastAsia" w:eastAsiaTheme="minorEastAsia"/>
          <w:sz w:val="24"/>
          <w:szCs w:val="24"/>
          <w:highlight w:val="none"/>
          <w:u w:val="dotted"/>
        </w:rPr>
        <w:t xml:space="preserve">                                  </w:t>
      </w:r>
    </w:p>
    <w:p w14:paraId="407CDD0D">
      <w:pPr>
        <w:adjustRightInd w:val="0"/>
        <w:snapToGrid w:val="0"/>
        <w:spacing w:line="360" w:lineRule="auto"/>
        <w:outlineLvl w:val="1"/>
        <w:rPr>
          <w:rFonts w:cs="仿宋" w:asciiTheme="minorEastAsia" w:hAnsiTheme="minorEastAsia" w:eastAsiaTheme="minorEastAsia"/>
          <w:b/>
          <w:bCs/>
          <w:sz w:val="24"/>
          <w:szCs w:val="24"/>
          <w:highlight w:val="none"/>
        </w:rPr>
      </w:pPr>
      <w:bookmarkStart w:id="322" w:name="_Toc24960"/>
      <w:bookmarkStart w:id="323" w:name="_Toc20587"/>
      <w:bookmarkStart w:id="324" w:name="_Toc6486"/>
      <w:r>
        <w:rPr>
          <w:rFonts w:hint="eastAsia" w:cs="仿宋" w:asciiTheme="minorEastAsia" w:hAnsiTheme="minorEastAsia" w:eastAsiaTheme="minorEastAsia"/>
          <w:b/>
          <w:bCs/>
          <w:sz w:val="24"/>
          <w:szCs w:val="24"/>
          <w:highlight w:val="none"/>
        </w:rPr>
        <w:t>三、质疑事项具体内容</w:t>
      </w:r>
      <w:bookmarkEnd w:id="322"/>
      <w:bookmarkEnd w:id="323"/>
      <w:bookmarkEnd w:id="324"/>
    </w:p>
    <w:p w14:paraId="3A6BB539">
      <w:pPr>
        <w:adjustRightInd w:val="0"/>
        <w:snapToGrid w:val="0"/>
        <w:spacing w:line="360" w:lineRule="auto"/>
        <w:rPr>
          <w:rFonts w:cs="仿宋" w:asciiTheme="minorEastAsia" w:hAnsiTheme="minorEastAsia" w:eastAsiaTheme="minorEastAsia"/>
          <w:sz w:val="24"/>
          <w:szCs w:val="24"/>
          <w:highlight w:val="none"/>
          <w:u w:val="dotted"/>
        </w:rPr>
      </w:pPr>
      <w:r>
        <w:rPr>
          <w:rFonts w:hint="eastAsia" w:cs="仿宋" w:asciiTheme="minorEastAsia" w:hAnsiTheme="minorEastAsia" w:eastAsiaTheme="minorEastAsia"/>
          <w:sz w:val="24"/>
          <w:szCs w:val="24"/>
          <w:highlight w:val="none"/>
        </w:rPr>
        <w:t>质疑事项1：</w:t>
      </w:r>
      <w:r>
        <w:rPr>
          <w:rFonts w:hint="eastAsia" w:cs="仿宋" w:asciiTheme="minorEastAsia" w:hAnsiTheme="minorEastAsia" w:eastAsiaTheme="minorEastAsia"/>
          <w:sz w:val="24"/>
          <w:szCs w:val="24"/>
          <w:highlight w:val="none"/>
          <w:u w:val="dotted"/>
        </w:rPr>
        <w:t xml:space="preserve">                                         </w:t>
      </w:r>
    </w:p>
    <w:p w14:paraId="3DF5F087">
      <w:pPr>
        <w:adjustRightInd w:val="0"/>
        <w:snapToGrid w:val="0"/>
        <w:spacing w:line="360" w:lineRule="auto"/>
        <w:rPr>
          <w:rFonts w:cs="仿宋" w:asciiTheme="minorEastAsia" w:hAnsiTheme="minorEastAsia" w:eastAsiaTheme="minorEastAsia"/>
          <w:sz w:val="24"/>
          <w:szCs w:val="24"/>
          <w:highlight w:val="none"/>
          <w:u w:val="dotted"/>
        </w:rPr>
      </w:pPr>
      <w:r>
        <w:rPr>
          <w:rFonts w:hint="eastAsia" w:cs="仿宋" w:asciiTheme="minorEastAsia" w:hAnsiTheme="minorEastAsia" w:eastAsiaTheme="minorEastAsia"/>
          <w:sz w:val="24"/>
          <w:szCs w:val="24"/>
          <w:highlight w:val="none"/>
        </w:rPr>
        <w:t>事实依据：</w:t>
      </w:r>
      <w:r>
        <w:rPr>
          <w:rFonts w:hint="eastAsia" w:cs="仿宋" w:asciiTheme="minorEastAsia" w:hAnsiTheme="minorEastAsia" w:eastAsiaTheme="minorEastAsia"/>
          <w:sz w:val="24"/>
          <w:szCs w:val="24"/>
          <w:highlight w:val="none"/>
          <w:u w:val="dotted"/>
        </w:rPr>
        <w:t xml:space="preserve">                                          </w:t>
      </w:r>
    </w:p>
    <w:p w14:paraId="0324C279">
      <w:pPr>
        <w:adjustRightInd w:val="0"/>
        <w:snapToGrid w:val="0"/>
        <w:spacing w:line="360" w:lineRule="auto"/>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u w:val="dotted"/>
        </w:rPr>
        <w:t xml:space="preserve">                                                    </w:t>
      </w:r>
    </w:p>
    <w:p w14:paraId="525068CD">
      <w:pPr>
        <w:adjustRightInd w:val="0"/>
        <w:snapToGrid w:val="0"/>
        <w:spacing w:line="360" w:lineRule="auto"/>
        <w:rPr>
          <w:rFonts w:cs="仿宋" w:asciiTheme="minorEastAsia" w:hAnsiTheme="minorEastAsia" w:eastAsiaTheme="minorEastAsia"/>
          <w:sz w:val="24"/>
          <w:szCs w:val="24"/>
          <w:highlight w:val="none"/>
          <w:u w:val="dotted"/>
        </w:rPr>
      </w:pPr>
      <w:r>
        <w:rPr>
          <w:rFonts w:hint="eastAsia" w:cs="仿宋" w:asciiTheme="minorEastAsia" w:hAnsiTheme="minorEastAsia" w:eastAsiaTheme="minorEastAsia"/>
          <w:sz w:val="24"/>
          <w:szCs w:val="24"/>
          <w:highlight w:val="none"/>
        </w:rPr>
        <w:t>法律依据：</w:t>
      </w:r>
      <w:r>
        <w:rPr>
          <w:rFonts w:hint="eastAsia" w:cs="仿宋" w:asciiTheme="minorEastAsia" w:hAnsiTheme="minorEastAsia" w:eastAsiaTheme="minorEastAsia"/>
          <w:sz w:val="24"/>
          <w:szCs w:val="24"/>
          <w:highlight w:val="none"/>
          <w:u w:val="dotted"/>
        </w:rPr>
        <w:t xml:space="preserve">                                          </w:t>
      </w:r>
    </w:p>
    <w:p w14:paraId="1D06E895">
      <w:pPr>
        <w:adjustRightInd w:val="0"/>
        <w:snapToGrid w:val="0"/>
        <w:spacing w:line="360" w:lineRule="auto"/>
        <w:rPr>
          <w:rFonts w:cs="仿宋" w:asciiTheme="minorEastAsia" w:hAnsiTheme="minorEastAsia" w:eastAsiaTheme="minorEastAsia"/>
          <w:sz w:val="24"/>
          <w:szCs w:val="24"/>
          <w:highlight w:val="none"/>
          <w:u w:val="dotted"/>
        </w:rPr>
      </w:pPr>
      <w:r>
        <w:rPr>
          <w:rFonts w:hint="eastAsia" w:cs="仿宋" w:asciiTheme="minorEastAsia" w:hAnsiTheme="minorEastAsia" w:eastAsiaTheme="minorEastAsia"/>
          <w:sz w:val="24"/>
          <w:szCs w:val="24"/>
          <w:highlight w:val="none"/>
          <w:u w:val="dotted"/>
        </w:rPr>
        <w:t xml:space="preserve">                                                    </w:t>
      </w:r>
    </w:p>
    <w:p w14:paraId="16C1A8FB">
      <w:pPr>
        <w:adjustRightInd w:val="0"/>
        <w:snapToGrid w:val="0"/>
        <w:spacing w:line="360" w:lineRule="auto"/>
        <w:rPr>
          <w:rFonts w:cs="仿宋" w:asciiTheme="minorEastAsia" w:hAnsiTheme="minorEastAsia" w:eastAsiaTheme="minorEastAsia"/>
          <w:sz w:val="24"/>
          <w:szCs w:val="24"/>
          <w:highlight w:val="none"/>
          <w:u w:val="dotted"/>
        </w:rPr>
      </w:pPr>
      <w:r>
        <w:rPr>
          <w:rFonts w:hint="eastAsia" w:cs="仿宋" w:asciiTheme="minorEastAsia" w:hAnsiTheme="minorEastAsia" w:eastAsiaTheme="minorEastAsia"/>
          <w:sz w:val="24"/>
          <w:szCs w:val="24"/>
          <w:highlight w:val="none"/>
        </w:rPr>
        <w:t>质疑事项2</w:t>
      </w:r>
    </w:p>
    <w:p w14:paraId="1B18B8A1">
      <w:pPr>
        <w:adjustRightInd w:val="0"/>
        <w:snapToGrid w:val="0"/>
        <w:spacing w:line="360" w:lineRule="auto"/>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w:t>
      </w:r>
    </w:p>
    <w:p w14:paraId="1115B118">
      <w:pPr>
        <w:adjustRightInd w:val="0"/>
        <w:snapToGrid w:val="0"/>
        <w:spacing w:line="360" w:lineRule="auto"/>
        <w:outlineLvl w:val="1"/>
        <w:rPr>
          <w:rFonts w:cs="仿宋" w:asciiTheme="minorEastAsia" w:hAnsiTheme="minorEastAsia" w:eastAsiaTheme="minorEastAsia"/>
          <w:b/>
          <w:bCs/>
          <w:sz w:val="24"/>
          <w:szCs w:val="24"/>
          <w:highlight w:val="none"/>
        </w:rPr>
      </w:pPr>
      <w:bookmarkStart w:id="325" w:name="_Toc20470"/>
      <w:bookmarkStart w:id="326" w:name="_Toc30368"/>
      <w:bookmarkStart w:id="327" w:name="_Toc32755"/>
      <w:r>
        <w:rPr>
          <w:rFonts w:hint="eastAsia" w:cs="仿宋" w:asciiTheme="minorEastAsia" w:hAnsiTheme="minorEastAsia" w:eastAsiaTheme="minorEastAsia"/>
          <w:b/>
          <w:bCs/>
          <w:sz w:val="24"/>
          <w:szCs w:val="24"/>
          <w:highlight w:val="none"/>
        </w:rPr>
        <w:t>四、与质疑事项相关的质疑请求</w:t>
      </w:r>
      <w:bookmarkEnd w:id="325"/>
      <w:bookmarkEnd w:id="326"/>
      <w:bookmarkEnd w:id="327"/>
    </w:p>
    <w:p w14:paraId="4203E519">
      <w:pPr>
        <w:adjustRightInd w:val="0"/>
        <w:snapToGrid w:val="0"/>
        <w:spacing w:line="360" w:lineRule="auto"/>
        <w:rPr>
          <w:rFonts w:cs="仿宋" w:asciiTheme="minorEastAsia" w:hAnsiTheme="minorEastAsia" w:eastAsiaTheme="minorEastAsia"/>
          <w:sz w:val="24"/>
          <w:szCs w:val="24"/>
          <w:highlight w:val="none"/>
          <w:u w:val="dotted"/>
        </w:rPr>
      </w:pPr>
      <w:r>
        <w:rPr>
          <w:rFonts w:hint="eastAsia" w:cs="仿宋" w:asciiTheme="minorEastAsia" w:hAnsiTheme="minorEastAsia" w:eastAsiaTheme="minorEastAsia"/>
          <w:sz w:val="24"/>
          <w:szCs w:val="24"/>
          <w:highlight w:val="none"/>
        </w:rPr>
        <w:t>请求：</w:t>
      </w:r>
      <w:r>
        <w:rPr>
          <w:rFonts w:hint="eastAsia" w:cs="仿宋" w:asciiTheme="minorEastAsia" w:hAnsiTheme="minorEastAsia" w:eastAsiaTheme="minorEastAsia"/>
          <w:sz w:val="24"/>
          <w:szCs w:val="24"/>
          <w:highlight w:val="none"/>
          <w:u w:val="dotted"/>
        </w:rPr>
        <w:t xml:space="preserve">                                              </w:t>
      </w:r>
    </w:p>
    <w:p w14:paraId="768679F4">
      <w:pPr>
        <w:spacing w:line="360" w:lineRule="auto"/>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 xml:space="preserve">签字(签章)：                   公章：                      </w:t>
      </w:r>
    </w:p>
    <w:p w14:paraId="66E26594">
      <w:pPr>
        <w:spacing w:line="360" w:lineRule="auto"/>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 xml:space="preserve">日期：    </w:t>
      </w:r>
    </w:p>
    <w:p w14:paraId="6124E439">
      <w:pPr>
        <w:widowControl/>
        <w:jc w:val="left"/>
        <w:rPr>
          <w:rFonts w:ascii="仿宋" w:hAnsi="仿宋" w:eastAsia="仿宋" w:cs="仿宋"/>
          <w:sz w:val="32"/>
          <w:szCs w:val="32"/>
          <w:highlight w:val="none"/>
        </w:rPr>
      </w:pPr>
      <w:r>
        <w:rPr>
          <w:rFonts w:ascii="仿宋" w:hAnsi="仿宋" w:eastAsia="仿宋" w:cs="仿宋"/>
          <w:sz w:val="32"/>
          <w:szCs w:val="32"/>
          <w:highlight w:val="none"/>
        </w:rPr>
        <w:br w:type="page"/>
      </w:r>
    </w:p>
    <w:p w14:paraId="6EBE694D">
      <w:pPr>
        <w:outlineLvl w:val="0"/>
        <w:rPr>
          <w:rFonts w:asciiTheme="minorEastAsia" w:hAnsiTheme="minorEastAsia" w:eastAsiaTheme="minorEastAsia"/>
          <w:b/>
          <w:sz w:val="28"/>
          <w:szCs w:val="32"/>
          <w:highlight w:val="none"/>
        </w:rPr>
      </w:pPr>
      <w:bookmarkStart w:id="328" w:name="_Toc21667"/>
      <w:bookmarkStart w:id="329" w:name="_Toc8368"/>
      <w:bookmarkStart w:id="330" w:name="_Toc10962"/>
      <w:r>
        <w:rPr>
          <w:rFonts w:hint="eastAsia" w:asciiTheme="minorEastAsia" w:hAnsiTheme="minorEastAsia" w:eastAsiaTheme="minorEastAsia"/>
          <w:b/>
          <w:sz w:val="28"/>
          <w:szCs w:val="32"/>
          <w:highlight w:val="none"/>
        </w:rPr>
        <w:t>质疑函制作说明：</w:t>
      </w:r>
      <w:bookmarkEnd w:id="328"/>
      <w:bookmarkEnd w:id="329"/>
      <w:bookmarkEnd w:id="330"/>
    </w:p>
    <w:p w14:paraId="09DD1366">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1.供应商提出质疑时，应提交质疑函和必要的证明材料。</w:t>
      </w:r>
    </w:p>
    <w:p w14:paraId="7300DDFA">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232D31A">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3.质疑供应商若对项目的某一分包进行质疑，质疑函中应列明具体分包号。</w:t>
      </w:r>
    </w:p>
    <w:p w14:paraId="7B8562CB">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4.质疑函的质疑事项应具体、明确，并有必要的事实依据和法律依据。</w:t>
      </w:r>
    </w:p>
    <w:p w14:paraId="6FE1A584">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5.质疑函的质疑请求应与质疑事项相关。</w:t>
      </w:r>
    </w:p>
    <w:p w14:paraId="7968672A">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6.质疑供应商为自然人的，质疑函应由本人签字；质疑供应商为法人或者其他组织的，质疑函应由法定代表人、主要负责人，或者其授权代表签字或者盖章，并加盖公章。</w:t>
      </w: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crosoft JhengHei">
    <w:panose1 w:val="020B0604030504040204"/>
    <w:charset w:val="88"/>
    <w:family w:val="swiss"/>
    <w:pitch w:val="default"/>
    <w:sig w:usb0="000002A7" w:usb1="28CF4400" w:usb2="00000016" w:usb3="00000000" w:csb0="00100009" w:csb1="00000000"/>
  </w:font>
  <w:font w:name="宋?">
    <w:altName w:val="宋体"/>
    <w:panose1 w:val="00000000000000000000"/>
    <w:charset w:val="81"/>
    <w:family w:val="roman"/>
    <w:pitch w:val="default"/>
    <w:sig w:usb0="00000000" w:usb1="00000000" w:usb2="00000010" w:usb3="00000000" w:csb0="00080000" w:csb1="00000000"/>
  </w:font>
  <w:font w:name="Plotter">
    <w:altName w:val="Times New Roman"/>
    <w:panose1 w:val="00000000000000000000"/>
    <w:charset w:val="00"/>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003" w:usb1="288F0000" w:usb2="0000000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imesNewRomanPSMT">
    <w:altName w:val="Times New Roman"/>
    <w:panose1 w:val="00000000000000000000"/>
    <w:charset w:val="00"/>
    <w:family w:val="roman"/>
    <w:pitch w:val="default"/>
    <w:sig w:usb0="00000000" w:usb1="00000000" w:usb2="00000001" w:usb3="00000000" w:csb0="400001BF" w:csb1="DFF70000"/>
  </w:font>
  <w:font w:name="Sylfaen">
    <w:panose1 w:val="010A0502050306030303"/>
    <w:charset w:val="00"/>
    <w:family w:val="roman"/>
    <w:pitch w:val="default"/>
    <w:sig w:usb0="04000687" w:usb1="00000000" w:usb2="00000000" w:usb3="00000000" w:csb0="2000009F" w:csb1="00000000"/>
  </w:font>
  <w:font w:name="MingLiU">
    <w:panose1 w:val="02020509000000000000"/>
    <w:charset w:val="88"/>
    <w:family w:val="moder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D1C3C">
    <w:pPr>
      <w:pStyle w:val="1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BB405">
    <w:pPr>
      <w:spacing w:line="189" w:lineRule="auto"/>
      <w:ind w:left="4430"/>
      <w:rPr>
        <w:rFonts w:ascii="Arial" w:hAnsi="Arial" w:eastAsia="Arial" w:cs="Arial"/>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5F9007">
                          <w:pPr>
                            <w:pStyle w:val="16"/>
                            <w:rPr>
                              <w:rFonts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54</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5B5F9007">
                    <w:pPr>
                      <w:pStyle w:val="16"/>
                      <w:rPr>
                        <w:rFonts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54</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97862">
    <w:pPr>
      <w:pStyle w:val="16"/>
      <w:rPr>
        <w:rFonts w:asciiTheme="minorEastAsia" w:hAnsiTheme="minorEastAsia" w:eastAsiaTheme="minorEastAsia"/>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posOffset>2157730</wp:posOffset>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7CDBC8">
                          <w:pPr>
                            <w:pStyle w:val="16"/>
                            <w:rPr>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41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54</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69.9pt;margin-top:0pt;height:144pt;width:144pt;mso-position-horizontal-relative:margin;mso-wrap-style:none;z-index:251660288;mso-width-relative:page;mso-height-relative:page;" filled="f" stroked="f" coordsize="21600,21600" o:gfxdata="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FcAboDVAAAACAEAAA8AAAAAAAAAAQAgAAAAIgAAAGRycy9kb3ducmV2LnhtbFBLAQIUABQA&#10;AAAIAIdO4kAXDIm4LAIAAFUEAAAOAAAAAAAAAAEAIAAAACQBAABkcnMvZTJvRG9jLnhtbFBLBQYA&#10;AAAABgAGAFkBAADCBQAAAAA=&#10;">
              <v:fill on="f" focussize="0,0"/>
              <v:stroke on="f" weight="0.5pt"/>
              <v:imagedata o:title=""/>
              <o:lock v:ext="edit" aspectratio="f"/>
              <v:textbox inset="0mm,0mm,0mm,0mm" style="mso-fit-shape-to-text:t;">
                <w:txbxContent>
                  <w:p w14:paraId="757CDBC8">
                    <w:pPr>
                      <w:pStyle w:val="16"/>
                      <w:rPr>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41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54</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67585">
    <w:pPr>
      <w:pStyle w:val="17"/>
      <w:jc w:val="left"/>
    </w:pPr>
    <w:r>
      <w:rPr>
        <w:rFonts w:hint="eastAsia" w:asciiTheme="minorEastAsia" w:hAnsiTheme="minorEastAsia" w:eastAsiaTheme="minorEastAsia"/>
      </w:rPr>
      <w:t>安徽省政府采购项目竞争性磋商文件示范文本（服务类）</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87F76">
    <w:pPr>
      <w:pStyle w:val="17"/>
      <w:jc w:val="left"/>
    </w:pPr>
    <w:r>
      <w:rPr>
        <w:rFonts w:hint="eastAsia" w:asciiTheme="minorEastAsia" w:hAnsiTheme="minorEastAsia" w:eastAsiaTheme="minorEastAsia"/>
      </w:rPr>
      <w:t>安徽省政府采购项目竞争性磋商文件示范文本（服务类）</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1829F">
    <w:pPr>
      <w:pStyle w:val="17"/>
      <w:jc w:val="left"/>
    </w:pPr>
    <w:r>
      <w:rPr>
        <w:rFonts w:hint="eastAsia" w:asciiTheme="minorEastAsia" w:hAnsiTheme="minorEastAsia" w:eastAsiaTheme="minorEastAsia"/>
      </w:rPr>
      <w:t>安徽省政府采购项目竞争性磋商文件示范文本（服务类）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209381"/>
    <w:multiLevelType w:val="singleLevel"/>
    <w:tmpl w:val="50209381"/>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Q1MDdmYTBjM2ViZGYxM2E0NGE5ZWVlZjI5ZjI1ZTgifQ=="/>
  </w:docVars>
  <w:rsids>
    <w:rsidRoot w:val="00276BA1"/>
    <w:rsid w:val="0000043F"/>
    <w:rsid w:val="000037F9"/>
    <w:rsid w:val="000049DA"/>
    <w:rsid w:val="00005403"/>
    <w:rsid w:val="000056B7"/>
    <w:rsid w:val="00007D87"/>
    <w:rsid w:val="000131F7"/>
    <w:rsid w:val="00014039"/>
    <w:rsid w:val="00016B6C"/>
    <w:rsid w:val="00020B57"/>
    <w:rsid w:val="00020B6D"/>
    <w:rsid w:val="000323E2"/>
    <w:rsid w:val="00040C25"/>
    <w:rsid w:val="00042139"/>
    <w:rsid w:val="00042B14"/>
    <w:rsid w:val="00044F49"/>
    <w:rsid w:val="000450C3"/>
    <w:rsid w:val="00050A3F"/>
    <w:rsid w:val="00052F95"/>
    <w:rsid w:val="00054AA3"/>
    <w:rsid w:val="00056ECB"/>
    <w:rsid w:val="00057B40"/>
    <w:rsid w:val="000648D2"/>
    <w:rsid w:val="00070E0E"/>
    <w:rsid w:val="0007146E"/>
    <w:rsid w:val="00076DB7"/>
    <w:rsid w:val="00080FEB"/>
    <w:rsid w:val="00094D41"/>
    <w:rsid w:val="00097CB9"/>
    <w:rsid w:val="000A0161"/>
    <w:rsid w:val="000A10A9"/>
    <w:rsid w:val="000A6693"/>
    <w:rsid w:val="000A7970"/>
    <w:rsid w:val="000A7D94"/>
    <w:rsid w:val="000B1511"/>
    <w:rsid w:val="000B6249"/>
    <w:rsid w:val="000C1DB1"/>
    <w:rsid w:val="000D19EC"/>
    <w:rsid w:val="000D3F37"/>
    <w:rsid w:val="000E3C74"/>
    <w:rsid w:val="000E3F9B"/>
    <w:rsid w:val="000E478E"/>
    <w:rsid w:val="000E6689"/>
    <w:rsid w:val="000F0EBF"/>
    <w:rsid w:val="000F172B"/>
    <w:rsid w:val="000F2198"/>
    <w:rsid w:val="000F39B6"/>
    <w:rsid w:val="000F3A94"/>
    <w:rsid w:val="000F6B7B"/>
    <w:rsid w:val="000F6F95"/>
    <w:rsid w:val="0010021F"/>
    <w:rsid w:val="00100B0F"/>
    <w:rsid w:val="0010187C"/>
    <w:rsid w:val="0010219C"/>
    <w:rsid w:val="001037E3"/>
    <w:rsid w:val="00107022"/>
    <w:rsid w:val="0011660B"/>
    <w:rsid w:val="0012143A"/>
    <w:rsid w:val="0012203E"/>
    <w:rsid w:val="001258BA"/>
    <w:rsid w:val="00130601"/>
    <w:rsid w:val="00132F4D"/>
    <w:rsid w:val="00133EA0"/>
    <w:rsid w:val="00137249"/>
    <w:rsid w:val="00140687"/>
    <w:rsid w:val="00146421"/>
    <w:rsid w:val="00153B20"/>
    <w:rsid w:val="00155F64"/>
    <w:rsid w:val="00157856"/>
    <w:rsid w:val="00160729"/>
    <w:rsid w:val="0016455F"/>
    <w:rsid w:val="00165398"/>
    <w:rsid w:val="00166794"/>
    <w:rsid w:val="00166ED8"/>
    <w:rsid w:val="001714C9"/>
    <w:rsid w:val="00171515"/>
    <w:rsid w:val="00172B93"/>
    <w:rsid w:val="001768BC"/>
    <w:rsid w:val="0018119B"/>
    <w:rsid w:val="001844AB"/>
    <w:rsid w:val="001853C7"/>
    <w:rsid w:val="00192879"/>
    <w:rsid w:val="001944B8"/>
    <w:rsid w:val="001967D2"/>
    <w:rsid w:val="00196DA3"/>
    <w:rsid w:val="001970C3"/>
    <w:rsid w:val="001971E5"/>
    <w:rsid w:val="001A0C0F"/>
    <w:rsid w:val="001A68E5"/>
    <w:rsid w:val="001B2A54"/>
    <w:rsid w:val="001B2BA4"/>
    <w:rsid w:val="001B5014"/>
    <w:rsid w:val="001B7327"/>
    <w:rsid w:val="001C2A15"/>
    <w:rsid w:val="001D22EA"/>
    <w:rsid w:val="001D53B4"/>
    <w:rsid w:val="001E1835"/>
    <w:rsid w:val="001F28D2"/>
    <w:rsid w:val="001F2F45"/>
    <w:rsid w:val="001F3023"/>
    <w:rsid w:val="001F35F6"/>
    <w:rsid w:val="001F4AAF"/>
    <w:rsid w:val="001F74CA"/>
    <w:rsid w:val="001F7590"/>
    <w:rsid w:val="002003B6"/>
    <w:rsid w:val="0020244A"/>
    <w:rsid w:val="002049B4"/>
    <w:rsid w:val="0020520B"/>
    <w:rsid w:val="002076AD"/>
    <w:rsid w:val="00212B8D"/>
    <w:rsid w:val="00213C55"/>
    <w:rsid w:val="00223CF4"/>
    <w:rsid w:val="00224B69"/>
    <w:rsid w:val="00224C4A"/>
    <w:rsid w:val="00231187"/>
    <w:rsid w:val="0023407E"/>
    <w:rsid w:val="00240B40"/>
    <w:rsid w:val="00244182"/>
    <w:rsid w:val="002544A1"/>
    <w:rsid w:val="00257ECE"/>
    <w:rsid w:val="00260382"/>
    <w:rsid w:val="00260B94"/>
    <w:rsid w:val="00264F2E"/>
    <w:rsid w:val="00271245"/>
    <w:rsid w:val="00272BD6"/>
    <w:rsid w:val="00273F66"/>
    <w:rsid w:val="00274A9E"/>
    <w:rsid w:val="00276BA1"/>
    <w:rsid w:val="00280984"/>
    <w:rsid w:val="00280DDC"/>
    <w:rsid w:val="002832CF"/>
    <w:rsid w:val="00283599"/>
    <w:rsid w:val="002835E3"/>
    <w:rsid w:val="00284542"/>
    <w:rsid w:val="002A14D1"/>
    <w:rsid w:val="002A1A1D"/>
    <w:rsid w:val="002A28AD"/>
    <w:rsid w:val="002B04FD"/>
    <w:rsid w:val="002B5318"/>
    <w:rsid w:val="002B6D27"/>
    <w:rsid w:val="002B7A09"/>
    <w:rsid w:val="002C060C"/>
    <w:rsid w:val="002C078A"/>
    <w:rsid w:val="002D05DD"/>
    <w:rsid w:val="002D0E4D"/>
    <w:rsid w:val="002D2965"/>
    <w:rsid w:val="002D3D02"/>
    <w:rsid w:val="002D4CB5"/>
    <w:rsid w:val="002D5900"/>
    <w:rsid w:val="002D684B"/>
    <w:rsid w:val="002E2D3A"/>
    <w:rsid w:val="002E3B26"/>
    <w:rsid w:val="002E4AB8"/>
    <w:rsid w:val="002E7FC4"/>
    <w:rsid w:val="00310070"/>
    <w:rsid w:val="0031081B"/>
    <w:rsid w:val="003110EC"/>
    <w:rsid w:val="00314289"/>
    <w:rsid w:val="003206A6"/>
    <w:rsid w:val="0032560D"/>
    <w:rsid w:val="00327C92"/>
    <w:rsid w:val="00333292"/>
    <w:rsid w:val="003344E7"/>
    <w:rsid w:val="0033580B"/>
    <w:rsid w:val="003365E7"/>
    <w:rsid w:val="003378D5"/>
    <w:rsid w:val="003473D7"/>
    <w:rsid w:val="003511C9"/>
    <w:rsid w:val="00351995"/>
    <w:rsid w:val="00351AC8"/>
    <w:rsid w:val="00353075"/>
    <w:rsid w:val="00363E02"/>
    <w:rsid w:val="00373A96"/>
    <w:rsid w:val="003826C2"/>
    <w:rsid w:val="00383728"/>
    <w:rsid w:val="00384E57"/>
    <w:rsid w:val="003903BB"/>
    <w:rsid w:val="0039195E"/>
    <w:rsid w:val="00392627"/>
    <w:rsid w:val="00394128"/>
    <w:rsid w:val="00394ADC"/>
    <w:rsid w:val="00395235"/>
    <w:rsid w:val="0039561A"/>
    <w:rsid w:val="00397C7D"/>
    <w:rsid w:val="003A004F"/>
    <w:rsid w:val="003A06B6"/>
    <w:rsid w:val="003A2158"/>
    <w:rsid w:val="003A3AC4"/>
    <w:rsid w:val="003B25A5"/>
    <w:rsid w:val="003B4130"/>
    <w:rsid w:val="003B6FA1"/>
    <w:rsid w:val="003B715B"/>
    <w:rsid w:val="003C2C62"/>
    <w:rsid w:val="003C5566"/>
    <w:rsid w:val="003C577A"/>
    <w:rsid w:val="003C7C74"/>
    <w:rsid w:val="003D1D14"/>
    <w:rsid w:val="003D6C7C"/>
    <w:rsid w:val="003D6EFB"/>
    <w:rsid w:val="003D7E52"/>
    <w:rsid w:val="003E25C6"/>
    <w:rsid w:val="003F7528"/>
    <w:rsid w:val="004011AA"/>
    <w:rsid w:val="0040202C"/>
    <w:rsid w:val="00404A8F"/>
    <w:rsid w:val="00406508"/>
    <w:rsid w:val="004110F6"/>
    <w:rsid w:val="004134F8"/>
    <w:rsid w:val="0041456E"/>
    <w:rsid w:val="004148E3"/>
    <w:rsid w:val="00414F7E"/>
    <w:rsid w:val="004164F8"/>
    <w:rsid w:val="00422224"/>
    <w:rsid w:val="00426F05"/>
    <w:rsid w:val="004328E1"/>
    <w:rsid w:val="004427B7"/>
    <w:rsid w:val="0044349F"/>
    <w:rsid w:val="00445F1F"/>
    <w:rsid w:val="00447862"/>
    <w:rsid w:val="00451F60"/>
    <w:rsid w:val="00452BB2"/>
    <w:rsid w:val="00456054"/>
    <w:rsid w:val="0045656D"/>
    <w:rsid w:val="00462D98"/>
    <w:rsid w:val="00463E7D"/>
    <w:rsid w:val="00472A44"/>
    <w:rsid w:val="00473A89"/>
    <w:rsid w:val="00475899"/>
    <w:rsid w:val="00482C78"/>
    <w:rsid w:val="00483ABC"/>
    <w:rsid w:val="0048634A"/>
    <w:rsid w:val="004874AE"/>
    <w:rsid w:val="0049056F"/>
    <w:rsid w:val="00492217"/>
    <w:rsid w:val="00494D24"/>
    <w:rsid w:val="004951D1"/>
    <w:rsid w:val="004960BB"/>
    <w:rsid w:val="004A1BA3"/>
    <w:rsid w:val="004A27D0"/>
    <w:rsid w:val="004A4D67"/>
    <w:rsid w:val="004B7E79"/>
    <w:rsid w:val="004C13CB"/>
    <w:rsid w:val="004C1AAB"/>
    <w:rsid w:val="004C5B90"/>
    <w:rsid w:val="004D3D4B"/>
    <w:rsid w:val="004D5498"/>
    <w:rsid w:val="004D66A5"/>
    <w:rsid w:val="004D6B00"/>
    <w:rsid w:val="004E1D50"/>
    <w:rsid w:val="004E3266"/>
    <w:rsid w:val="004E38BA"/>
    <w:rsid w:val="004E50CA"/>
    <w:rsid w:val="004F27A0"/>
    <w:rsid w:val="0050027D"/>
    <w:rsid w:val="00501382"/>
    <w:rsid w:val="005048FB"/>
    <w:rsid w:val="00510563"/>
    <w:rsid w:val="00510798"/>
    <w:rsid w:val="005119B5"/>
    <w:rsid w:val="005125F1"/>
    <w:rsid w:val="00524A11"/>
    <w:rsid w:val="00527768"/>
    <w:rsid w:val="00530EA4"/>
    <w:rsid w:val="005327FB"/>
    <w:rsid w:val="00533251"/>
    <w:rsid w:val="00533FCA"/>
    <w:rsid w:val="005346EF"/>
    <w:rsid w:val="00542F0C"/>
    <w:rsid w:val="005470D4"/>
    <w:rsid w:val="0055705E"/>
    <w:rsid w:val="005616B5"/>
    <w:rsid w:val="00566690"/>
    <w:rsid w:val="005679A4"/>
    <w:rsid w:val="00574CE6"/>
    <w:rsid w:val="00574E73"/>
    <w:rsid w:val="0059223D"/>
    <w:rsid w:val="0059365B"/>
    <w:rsid w:val="00593ABC"/>
    <w:rsid w:val="00597B15"/>
    <w:rsid w:val="005A044C"/>
    <w:rsid w:val="005A149F"/>
    <w:rsid w:val="005A3A32"/>
    <w:rsid w:val="005B132A"/>
    <w:rsid w:val="005B2C9F"/>
    <w:rsid w:val="005B34C9"/>
    <w:rsid w:val="005B571E"/>
    <w:rsid w:val="005C1D52"/>
    <w:rsid w:val="005C46AC"/>
    <w:rsid w:val="005D0200"/>
    <w:rsid w:val="005D44EF"/>
    <w:rsid w:val="005D5112"/>
    <w:rsid w:val="005D5D67"/>
    <w:rsid w:val="005F34CC"/>
    <w:rsid w:val="005F3914"/>
    <w:rsid w:val="005F3B5A"/>
    <w:rsid w:val="005F6AB4"/>
    <w:rsid w:val="00600AE3"/>
    <w:rsid w:val="00607471"/>
    <w:rsid w:val="00610A66"/>
    <w:rsid w:val="006119B8"/>
    <w:rsid w:val="00613177"/>
    <w:rsid w:val="00613F7C"/>
    <w:rsid w:val="00614BF2"/>
    <w:rsid w:val="0061557C"/>
    <w:rsid w:val="00623DE2"/>
    <w:rsid w:val="00627601"/>
    <w:rsid w:val="006300D0"/>
    <w:rsid w:val="00632012"/>
    <w:rsid w:val="00634694"/>
    <w:rsid w:val="00636517"/>
    <w:rsid w:val="00636EE7"/>
    <w:rsid w:val="00637690"/>
    <w:rsid w:val="00640E1E"/>
    <w:rsid w:val="0064389A"/>
    <w:rsid w:val="00645442"/>
    <w:rsid w:val="006525CD"/>
    <w:rsid w:val="00653F7F"/>
    <w:rsid w:val="00662DCD"/>
    <w:rsid w:val="00662EE8"/>
    <w:rsid w:val="00663813"/>
    <w:rsid w:val="00664AFD"/>
    <w:rsid w:val="00667567"/>
    <w:rsid w:val="006735B4"/>
    <w:rsid w:val="0067391A"/>
    <w:rsid w:val="00674173"/>
    <w:rsid w:val="0067534F"/>
    <w:rsid w:val="00677D87"/>
    <w:rsid w:val="006834FA"/>
    <w:rsid w:val="00690DB1"/>
    <w:rsid w:val="00693404"/>
    <w:rsid w:val="006953D9"/>
    <w:rsid w:val="006A1269"/>
    <w:rsid w:val="006A5803"/>
    <w:rsid w:val="006A69C3"/>
    <w:rsid w:val="006A7C15"/>
    <w:rsid w:val="006B1242"/>
    <w:rsid w:val="006B1DBC"/>
    <w:rsid w:val="006B3712"/>
    <w:rsid w:val="006B7D9A"/>
    <w:rsid w:val="006C06D9"/>
    <w:rsid w:val="006C3E22"/>
    <w:rsid w:val="006C5716"/>
    <w:rsid w:val="006C64B2"/>
    <w:rsid w:val="006C74A9"/>
    <w:rsid w:val="006D07DE"/>
    <w:rsid w:val="006D361A"/>
    <w:rsid w:val="006D6A81"/>
    <w:rsid w:val="006E06D9"/>
    <w:rsid w:val="006E1D40"/>
    <w:rsid w:val="006E2E1F"/>
    <w:rsid w:val="006E5059"/>
    <w:rsid w:val="006F5F03"/>
    <w:rsid w:val="006F5FFF"/>
    <w:rsid w:val="00710804"/>
    <w:rsid w:val="00711FC6"/>
    <w:rsid w:val="00712952"/>
    <w:rsid w:val="007130B1"/>
    <w:rsid w:val="00713487"/>
    <w:rsid w:val="00715071"/>
    <w:rsid w:val="007231E9"/>
    <w:rsid w:val="00724F0E"/>
    <w:rsid w:val="007270A6"/>
    <w:rsid w:val="00727C59"/>
    <w:rsid w:val="00733730"/>
    <w:rsid w:val="00734E5D"/>
    <w:rsid w:val="00736013"/>
    <w:rsid w:val="00737BF8"/>
    <w:rsid w:val="0074339B"/>
    <w:rsid w:val="0074478E"/>
    <w:rsid w:val="00750B60"/>
    <w:rsid w:val="00756245"/>
    <w:rsid w:val="00761662"/>
    <w:rsid w:val="00764043"/>
    <w:rsid w:val="00766A36"/>
    <w:rsid w:val="007702D3"/>
    <w:rsid w:val="007757CF"/>
    <w:rsid w:val="007769F6"/>
    <w:rsid w:val="00780F9D"/>
    <w:rsid w:val="0078128F"/>
    <w:rsid w:val="007819D9"/>
    <w:rsid w:val="0078683C"/>
    <w:rsid w:val="00790EDB"/>
    <w:rsid w:val="00791538"/>
    <w:rsid w:val="0079326E"/>
    <w:rsid w:val="00796EDE"/>
    <w:rsid w:val="007A5A58"/>
    <w:rsid w:val="007B1C56"/>
    <w:rsid w:val="007B2EDC"/>
    <w:rsid w:val="007C1DD7"/>
    <w:rsid w:val="007C3CD5"/>
    <w:rsid w:val="007C4756"/>
    <w:rsid w:val="007C5E88"/>
    <w:rsid w:val="007C61EF"/>
    <w:rsid w:val="007C6783"/>
    <w:rsid w:val="007D03DE"/>
    <w:rsid w:val="007D1C0D"/>
    <w:rsid w:val="007D2D23"/>
    <w:rsid w:val="007E1AE9"/>
    <w:rsid w:val="007E27D6"/>
    <w:rsid w:val="007E3921"/>
    <w:rsid w:val="00801028"/>
    <w:rsid w:val="00803793"/>
    <w:rsid w:val="00804000"/>
    <w:rsid w:val="008101A2"/>
    <w:rsid w:val="00817A01"/>
    <w:rsid w:val="00820937"/>
    <w:rsid w:val="00825E35"/>
    <w:rsid w:val="00830A4E"/>
    <w:rsid w:val="008334F8"/>
    <w:rsid w:val="00835FFD"/>
    <w:rsid w:val="0084381F"/>
    <w:rsid w:val="00843E35"/>
    <w:rsid w:val="00851A63"/>
    <w:rsid w:val="008524CE"/>
    <w:rsid w:val="00857633"/>
    <w:rsid w:val="0086440C"/>
    <w:rsid w:val="008674ED"/>
    <w:rsid w:val="00874EE6"/>
    <w:rsid w:val="00876659"/>
    <w:rsid w:val="0087734C"/>
    <w:rsid w:val="00882141"/>
    <w:rsid w:val="00886BD4"/>
    <w:rsid w:val="008876EC"/>
    <w:rsid w:val="008922A8"/>
    <w:rsid w:val="00895BD5"/>
    <w:rsid w:val="008A16C4"/>
    <w:rsid w:val="008A4A27"/>
    <w:rsid w:val="008A649F"/>
    <w:rsid w:val="008A6FED"/>
    <w:rsid w:val="008B39C5"/>
    <w:rsid w:val="008B51AA"/>
    <w:rsid w:val="008C67F2"/>
    <w:rsid w:val="008D064A"/>
    <w:rsid w:val="008D2537"/>
    <w:rsid w:val="008D2B0F"/>
    <w:rsid w:val="008D633C"/>
    <w:rsid w:val="008E449E"/>
    <w:rsid w:val="008E4BDD"/>
    <w:rsid w:val="008E770C"/>
    <w:rsid w:val="008F187F"/>
    <w:rsid w:val="008F402F"/>
    <w:rsid w:val="008F76E8"/>
    <w:rsid w:val="00904508"/>
    <w:rsid w:val="009078A1"/>
    <w:rsid w:val="00911E9C"/>
    <w:rsid w:val="00917405"/>
    <w:rsid w:val="00920C1F"/>
    <w:rsid w:val="00920F7C"/>
    <w:rsid w:val="00922718"/>
    <w:rsid w:val="009237E7"/>
    <w:rsid w:val="00924743"/>
    <w:rsid w:val="00932A87"/>
    <w:rsid w:val="00934CAE"/>
    <w:rsid w:val="0093560E"/>
    <w:rsid w:val="0094257D"/>
    <w:rsid w:val="009443B6"/>
    <w:rsid w:val="00946F68"/>
    <w:rsid w:val="0095467C"/>
    <w:rsid w:val="00954A61"/>
    <w:rsid w:val="00955C6F"/>
    <w:rsid w:val="00966C7B"/>
    <w:rsid w:val="009701DC"/>
    <w:rsid w:val="009715D8"/>
    <w:rsid w:val="009811A8"/>
    <w:rsid w:val="00991460"/>
    <w:rsid w:val="00991D10"/>
    <w:rsid w:val="00995BF9"/>
    <w:rsid w:val="009975CC"/>
    <w:rsid w:val="009A0CAF"/>
    <w:rsid w:val="009A2207"/>
    <w:rsid w:val="009A2D34"/>
    <w:rsid w:val="009A6565"/>
    <w:rsid w:val="009B0EDA"/>
    <w:rsid w:val="009B6C42"/>
    <w:rsid w:val="009B70E9"/>
    <w:rsid w:val="009C3DC3"/>
    <w:rsid w:val="009D2998"/>
    <w:rsid w:val="009D31F7"/>
    <w:rsid w:val="009D32C2"/>
    <w:rsid w:val="009D50DB"/>
    <w:rsid w:val="009D5361"/>
    <w:rsid w:val="009E2932"/>
    <w:rsid w:val="009E3A0A"/>
    <w:rsid w:val="009F1936"/>
    <w:rsid w:val="009F3E91"/>
    <w:rsid w:val="00A008DA"/>
    <w:rsid w:val="00A00C93"/>
    <w:rsid w:val="00A053F8"/>
    <w:rsid w:val="00A0571E"/>
    <w:rsid w:val="00A13A27"/>
    <w:rsid w:val="00A1499B"/>
    <w:rsid w:val="00A170D8"/>
    <w:rsid w:val="00A30A1B"/>
    <w:rsid w:val="00A311AD"/>
    <w:rsid w:val="00A314C2"/>
    <w:rsid w:val="00A501BF"/>
    <w:rsid w:val="00A519A0"/>
    <w:rsid w:val="00A5274A"/>
    <w:rsid w:val="00A55BB5"/>
    <w:rsid w:val="00A62A2E"/>
    <w:rsid w:val="00A63A4D"/>
    <w:rsid w:val="00A63E86"/>
    <w:rsid w:val="00A67AF7"/>
    <w:rsid w:val="00A70ADD"/>
    <w:rsid w:val="00A75185"/>
    <w:rsid w:val="00A754A0"/>
    <w:rsid w:val="00A757C3"/>
    <w:rsid w:val="00A75E5B"/>
    <w:rsid w:val="00A75F4B"/>
    <w:rsid w:val="00A7684A"/>
    <w:rsid w:val="00A83B69"/>
    <w:rsid w:val="00A86533"/>
    <w:rsid w:val="00A91CA2"/>
    <w:rsid w:val="00A92FB8"/>
    <w:rsid w:val="00A948F1"/>
    <w:rsid w:val="00AA0BE3"/>
    <w:rsid w:val="00AA18F9"/>
    <w:rsid w:val="00AA1D7D"/>
    <w:rsid w:val="00AA2790"/>
    <w:rsid w:val="00AA3806"/>
    <w:rsid w:val="00AB139D"/>
    <w:rsid w:val="00AB2A35"/>
    <w:rsid w:val="00AB2D05"/>
    <w:rsid w:val="00AB3EFB"/>
    <w:rsid w:val="00AC0B05"/>
    <w:rsid w:val="00AC1962"/>
    <w:rsid w:val="00AC7F9D"/>
    <w:rsid w:val="00AD079A"/>
    <w:rsid w:val="00AD1890"/>
    <w:rsid w:val="00AE2149"/>
    <w:rsid w:val="00AE2BF3"/>
    <w:rsid w:val="00AE33AE"/>
    <w:rsid w:val="00AE3986"/>
    <w:rsid w:val="00AE3F91"/>
    <w:rsid w:val="00AF5B63"/>
    <w:rsid w:val="00B0053D"/>
    <w:rsid w:val="00B01176"/>
    <w:rsid w:val="00B039E3"/>
    <w:rsid w:val="00B06D36"/>
    <w:rsid w:val="00B12BC4"/>
    <w:rsid w:val="00B22838"/>
    <w:rsid w:val="00B33E8F"/>
    <w:rsid w:val="00B33E95"/>
    <w:rsid w:val="00B3720B"/>
    <w:rsid w:val="00B45D0B"/>
    <w:rsid w:val="00B52FA0"/>
    <w:rsid w:val="00B5558A"/>
    <w:rsid w:val="00B56513"/>
    <w:rsid w:val="00B61B64"/>
    <w:rsid w:val="00B631E4"/>
    <w:rsid w:val="00B64376"/>
    <w:rsid w:val="00B6570C"/>
    <w:rsid w:val="00B6790B"/>
    <w:rsid w:val="00B7401F"/>
    <w:rsid w:val="00B769CF"/>
    <w:rsid w:val="00B806C3"/>
    <w:rsid w:val="00B80D6F"/>
    <w:rsid w:val="00B84FCA"/>
    <w:rsid w:val="00B9089F"/>
    <w:rsid w:val="00B91826"/>
    <w:rsid w:val="00B91AEE"/>
    <w:rsid w:val="00B957E0"/>
    <w:rsid w:val="00B95F5A"/>
    <w:rsid w:val="00B96EAD"/>
    <w:rsid w:val="00BA4962"/>
    <w:rsid w:val="00BA4B7C"/>
    <w:rsid w:val="00BA79F5"/>
    <w:rsid w:val="00BA7EA7"/>
    <w:rsid w:val="00BB2E28"/>
    <w:rsid w:val="00BB3AB6"/>
    <w:rsid w:val="00BB766D"/>
    <w:rsid w:val="00BC007B"/>
    <w:rsid w:val="00BC1715"/>
    <w:rsid w:val="00BC26BA"/>
    <w:rsid w:val="00BC35F8"/>
    <w:rsid w:val="00BC481B"/>
    <w:rsid w:val="00BD08DF"/>
    <w:rsid w:val="00BD2D29"/>
    <w:rsid w:val="00BD617C"/>
    <w:rsid w:val="00BE782C"/>
    <w:rsid w:val="00BF376F"/>
    <w:rsid w:val="00BF46A6"/>
    <w:rsid w:val="00BF6CAD"/>
    <w:rsid w:val="00BF71FB"/>
    <w:rsid w:val="00C04DBF"/>
    <w:rsid w:val="00C05E4C"/>
    <w:rsid w:val="00C06545"/>
    <w:rsid w:val="00C134AF"/>
    <w:rsid w:val="00C220FC"/>
    <w:rsid w:val="00C24DFA"/>
    <w:rsid w:val="00C24F9D"/>
    <w:rsid w:val="00C30182"/>
    <w:rsid w:val="00C31FC9"/>
    <w:rsid w:val="00C37A63"/>
    <w:rsid w:val="00C42248"/>
    <w:rsid w:val="00C46A36"/>
    <w:rsid w:val="00C47037"/>
    <w:rsid w:val="00C50235"/>
    <w:rsid w:val="00C509E3"/>
    <w:rsid w:val="00C53625"/>
    <w:rsid w:val="00C548BA"/>
    <w:rsid w:val="00C5679D"/>
    <w:rsid w:val="00C57784"/>
    <w:rsid w:val="00C602C1"/>
    <w:rsid w:val="00C63FC0"/>
    <w:rsid w:val="00C66392"/>
    <w:rsid w:val="00C7075D"/>
    <w:rsid w:val="00C73D09"/>
    <w:rsid w:val="00C74895"/>
    <w:rsid w:val="00C74C5E"/>
    <w:rsid w:val="00C82558"/>
    <w:rsid w:val="00C827A2"/>
    <w:rsid w:val="00C82B69"/>
    <w:rsid w:val="00C82C8E"/>
    <w:rsid w:val="00C82CB3"/>
    <w:rsid w:val="00C91B28"/>
    <w:rsid w:val="00C91F3A"/>
    <w:rsid w:val="00C92BEB"/>
    <w:rsid w:val="00C93590"/>
    <w:rsid w:val="00CA115C"/>
    <w:rsid w:val="00CA31EA"/>
    <w:rsid w:val="00CA5446"/>
    <w:rsid w:val="00CB14E5"/>
    <w:rsid w:val="00CB218D"/>
    <w:rsid w:val="00CB5625"/>
    <w:rsid w:val="00CB5797"/>
    <w:rsid w:val="00CC1C17"/>
    <w:rsid w:val="00CC4F7F"/>
    <w:rsid w:val="00CC5D70"/>
    <w:rsid w:val="00CD09E1"/>
    <w:rsid w:val="00CE1780"/>
    <w:rsid w:val="00CE4913"/>
    <w:rsid w:val="00CE66BD"/>
    <w:rsid w:val="00CF0671"/>
    <w:rsid w:val="00CF247A"/>
    <w:rsid w:val="00CF44AD"/>
    <w:rsid w:val="00CF4D7C"/>
    <w:rsid w:val="00CF4FC0"/>
    <w:rsid w:val="00CF7486"/>
    <w:rsid w:val="00D00637"/>
    <w:rsid w:val="00D1072F"/>
    <w:rsid w:val="00D108A5"/>
    <w:rsid w:val="00D14585"/>
    <w:rsid w:val="00D153C8"/>
    <w:rsid w:val="00D17F98"/>
    <w:rsid w:val="00D20EFF"/>
    <w:rsid w:val="00D215B9"/>
    <w:rsid w:val="00D31324"/>
    <w:rsid w:val="00D4386E"/>
    <w:rsid w:val="00D51432"/>
    <w:rsid w:val="00D53ED8"/>
    <w:rsid w:val="00D541A0"/>
    <w:rsid w:val="00D64857"/>
    <w:rsid w:val="00D6493A"/>
    <w:rsid w:val="00D649A5"/>
    <w:rsid w:val="00D66833"/>
    <w:rsid w:val="00D67875"/>
    <w:rsid w:val="00D71E86"/>
    <w:rsid w:val="00D731C6"/>
    <w:rsid w:val="00D745C5"/>
    <w:rsid w:val="00D75327"/>
    <w:rsid w:val="00D77D6B"/>
    <w:rsid w:val="00D80C36"/>
    <w:rsid w:val="00D81A32"/>
    <w:rsid w:val="00D86EE1"/>
    <w:rsid w:val="00D95E90"/>
    <w:rsid w:val="00D96126"/>
    <w:rsid w:val="00DA2FD5"/>
    <w:rsid w:val="00DB4B1C"/>
    <w:rsid w:val="00DB5085"/>
    <w:rsid w:val="00DB619F"/>
    <w:rsid w:val="00DB7211"/>
    <w:rsid w:val="00DC1062"/>
    <w:rsid w:val="00DC132C"/>
    <w:rsid w:val="00DC181A"/>
    <w:rsid w:val="00DC5727"/>
    <w:rsid w:val="00DD43F0"/>
    <w:rsid w:val="00DD44DE"/>
    <w:rsid w:val="00DE09AB"/>
    <w:rsid w:val="00DE1DCC"/>
    <w:rsid w:val="00DE352F"/>
    <w:rsid w:val="00DE4A3F"/>
    <w:rsid w:val="00DE5A99"/>
    <w:rsid w:val="00DF4367"/>
    <w:rsid w:val="00DF7291"/>
    <w:rsid w:val="00E0574A"/>
    <w:rsid w:val="00E1243D"/>
    <w:rsid w:val="00E12742"/>
    <w:rsid w:val="00E146D4"/>
    <w:rsid w:val="00E14815"/>
    <w:rsid w:val="00E21D37"/>
    <w:rsid w:val="00E220ED"/>
    <w:rsid w:val="00E22B44"/>
    <w:rsid w:val="00E30ACD"/>
    <w:rsid w:val="00E32735"/>
    <w:rsid w:val="00E34236"/>
    <w:rsid w:val="00E44B88"/>
    <w:rsid w:val="00E60DDB"/>
    <w:rsid w:val="00E65AD9"/>
    <w:rsid w:val="00E66E36"/>
    <w:rsid w:val="00E67F21"/>
    <w:rsid w:val="00E702ED"/>
    <w:rsid w:val="00E709A4"/>
    <w:rsid w:val="00E75917"/>
    <w:rsid w:val="00E772DB"/>
    <w:rsid w:val="00E86012"/>
    <w:rsid w:val="00E860CA"/>
    <w:rsid w:val="00E86BAB"/>
    <w:rsid w:val="00E92962"/>
    <w:rsid w:val="00E94E10"/>
    <w:rsid w:val="00E96743"/>
    <w:rsid w:val="00E96A42"/>
    <w:rsid w:val="00E97497"/>
    <w:rsid w:val="00EA16D5"/>
    <w:rsid w:val="00EA49C5"/>
    <w:rsid w:val="00EA6279"/>
    <w:rsid w:val="00EB5027"/>
    <w:rsid w:val="00EB6C87"/>
    <w:rsid w:val="00EC1836"/>
    <w:rsid w:val="00EC2F6E"/>
    <w:rsid w:val="00EC3990"/>
    <w:rsid w:val="00EC484B"/>
    <w:rsid w:val="00EC4AE1"/>
    <w:rsid w:val="00EC7E58"/>
    <w:rsid w:val="00ED15FA"/>
    <w:rsid w:val="00ED5C9F"/>
    <w:rsid w:val="00ED6F35"/>
    <w:rsid w:val="00EE050C"/>
    <w:rsid w:val="00EE2113"/>
    <w:rsid w:val="00EE5730"/>
    <w:rsid w:val="00EE6E9A"/>
    <w:rsid w:val="00EF2AC4"/>
    <w:rsid w:val="00EF397E"/>
    <w:rsid w:val="00F0340C"/>
    <w:rsid w:val="00F06F68"/>
    <w:rsid w:val="00F11241"/>
    <w:rsid w:val="00F15E9D"/>
    <w:rsid w:val="00F23FA7"/>
    <w:rsid w:val="00F24C2D"/>
    <w:rsid w:val="00F27BEC"/>
    <w:rsid w:val="00F27D59"/>
    <w:rsid w:val="00F316E1"/>
    <w:rsid w:val="00F32155"/>
    <w:rsid w:val="00F32A81"/>
    <w:rsid w:val="00F40C82"/>
    <w:rsid w:val="00F4197F"/>
    <w:rsid w:val="00F46998"/>
    <w:rsid w:val="00F5382D"/>
    <w:rsid w:val="00F53D9C"/>
    <w:rsid w:val="00F54195"/>
    <w:rsid w:val="00F5462B"/>
    <w:rsid w:val="00F54653"/>
    <w:rsid w:val="00F54FAC"/>
    <w:rsid w:val="00F569DE"/>
    <w:rsid w:val="00F57205"/>
    <w:rsid w:val="00F634AD"/>
    <w:rsid w:val="00F63677"/>
    <w:rsid w:val="00F70658"/>
    <w:rsid w:val="00F7417E"/>
    <w:rsid w:val="00F75B81"/>
    <w:rsid w:val="00F761CA"/>
    <w:rsid w:val="00F804C4"/>
    <w:rsid w:val="00F80C7E"/>
    <w:rsid w:val="00F82F83"/>
    <w:rsid w:val="00F86097"/>
    <w:rsid w:val="00F90C64"/>
    <w:rsid w:val="00F9210C"/>
    <w:rsid w:val="00F92B30"/>
    <w:rsid w:val="00F933B9"/>
    <w:rsid w:val="00F94674"/>
    <w:rsid w:val="00F94919"/>
    <w:rsid w:val="00F94A59"/>
    <w:rsid w:val="00FA25B6"/>
    <w:rsid w:val="00FA2FAF"/>
    <w:rsid w:val="00FA54F6"/>
    <w:rsid w:val="00FA64B1"/>
    <w:rsid w:val="00FA70F3"/>
    <w:rsid w:val="00FA71CD"/>
    <w:rsid w:val="00FB0453"/>
    <w:rsid w:val="00FB0C07"/>
    <w:rsid w:val="00FB205F"/>
    <w:rsid w:val="00FB298D"/>
    <w:rsid w:val="00FB3171"/>
    <w:rsid w:val="00FB444E"/>
    <w:rsid w:val="00FC1439"/>
    <w:rsid w:val="00FC3F65"/>
    <w:rsid w:val="00FC5007"/>
    <w:rsid w:val="00FC70AD"/>
    <w:rsid w:val="00FC724B"/>
    <w:rsid w:val="00FC7910"/>
    <w:rsid w:val="00FD01E0"/>
    <w:rsid w:val="00FD0D0D"/>
    <w:rsid w:val="00FD50FC"/>
    <w:rsid w:val="00FE1627"/>
    <w:rsid w:val="00FE2D4E"/>
    <w:rsid w:val="00FE3F22"/>
    <w:rsid w:val="00FF092F"/>
    <w:rsid w:val="00FF0DA7"/>
    <w:rsid w:val="00FF2B09"/>
    <w:rsid w:val="00FF44E0"/>
    <w:rsid w:val="00FF6C72"/>
    <w:rsid w:val="014D23B1"/>
    <w:rsid w:val="015B1705"/>
    <w:rsid w:val="01722E9F"/>
    <w:rsid w:val="01915CC2"/>
    <w:rsid w:val="021533E7"/>
    <w:rsid w:val="02870ABA"/>
    <w:rsid w:val="02EB0203"/>
    <w:rsid w:val="040A3F70"/>
    <w:rsid w:val="040B0A4D"/>
    <w:rsid w:val="05BA4969"/>
    <w:rsid w:val="063E4A1A"/>
    <w:rsid w:val="06AE129F"/>
    <w:rsid w:val="06B73250"/>
    <w:rsid w:val="071C6FC5"/>
    <w:rsid w:val="072D20A4"/>
    <w:rsid w:val="073B420D"/>
    <w:rsid w:val="074C12D9"/>
    <w:rsid w:val="08591B53"/>
    <w:rsid w:val="09584D23"/>
    <w:rsid w:val="09A909AA"/>
    <w:rsid w:val="0A3D35AB"/>
    <w:rsid w:val="0A542106"/>
    <w:rsid w:val="0A6C4667"/>
    <w:rsid w:val="0A801619"/>
    <w:rsid w:val="0B7A6F90"/>
    <w:rsid w:val="0BBE711B"/>
    <w:rsid w:val="0BD47173"/>
    <w:rsid w:val="0C1B47F2"/>
    <w:rsid w:val="0C4264AA"/>
    <w:rsid w:val="0C6157E5"/>
    <w:rsid w:val="0DB63633"/>
    <w:rsid w:val="0E2C514F"/>
    <w:rsid w:val="0E6F3E7F"/>
    <w:rsid w:val="0F3535B7"/>
    <w:rsid w:val="0FCD560B"/>
    <w:rsid w:val="0FFF6B27"/>
    <w:rsid w:val="10607C4F"/>
    <w:rsid w:val="106E6418"/>
    <w:rsid w:val="11195BEA"/>
    <w:rsid w:val="11323C4E"/>
    <w:rsid w:val="12D71D5F"/>
    <w:rsid w:val="131E2CEE"/>
    <w:rsid w:val="13A06723"/>
    <w:rsid w:val="13D354F1"/>
    <w:rsid w:val="13FA0EB7"/>
    <w:rsid w:val="151B7FB7"/>
    <w:rsid w:val="1606331B"/>
    <w:rsid w:val="167B6427"/>
    <w:rsid w:val="16B27D38"/>
    <w:rsid w:val="16BE3BF5"/>
    <w:rsid w:val="184B4C79"/>
    <w:rsid w:val="18523E63"/>
    <w:rsid w:val="186E6D83"/>
    <w:rsid w:val="18FF4D4D"/>
    <w:rsid w:val="1930691F"/>
    <w:rsid w:val="193A02AD"/>
    <w:rsid w:val="193F08F1"/>
    <w:rsid w:val="19765FC1"/>
    <w:rsid w:val="198A7DBF"/>
    <w:rsid w:val="19EB0112"/>
    <w:rsid w:val="1A6528FE"/>
    <w:rsid w:val="1A835004"/>
    <w:rsid w:val="1BA333BA"/>
    <w:rsid w:val="1BA61F6F"/>
    <w:rsid w:val="1BE376E9"/>
    <w:rsid w:val="1BF820DC"/>
    <w:rsid w:val="1C63029E"/>
    <w:rsid w:val="1C715A71"/>
    <w:rsid w:val="1CC921E7"/>
    <w:rsid w:val="1D1C4205"/>
    <w:rsid w:val="1D444EB6"/>
    <w:rsid w:val="1D835251"/>
    <w:rsid w:val="1DA840EB"/>
    <w:rsid w:val="1E124827"/>
    <w:rsid w:val="1E7828DC"/>
    <w:rsid w:val="1F8024C4"/>
    <w:rsid w:val="20384F60"/>
    <w:rsid w:val="20852AA2"/>
    <w:rsid w:val="20C16461"/>
    <w:rsid w:val="20E102FC"/>
    <w:rsid w:val="20FF5536"/>
    <w:rsid w:val="21F229A5"/>
    <w:rsid w:val="21FA20B7"/>
    <w:rsid w:val="226F2197"/>
    <w:rsid w:val="228B1DC1"/>
    <w:rsid w:val="23146520"/>
    <w:rsid w:val="23585502"/>
    <w:rsid w:val="23596C26"/>
    <w:rsid w:val="23C24174"/>
    <w:rsid w:val="241A23F1"/>
    <w:rsid w:val="24577437"/>
    <w:rsid w:val="24D63998"/>
    <w:rsid w:val="257D3492"/>
    <w:rsid w:val="262D78EB"/>
    <w:rsid w:val="263E7D40"/>
    <w:rsid w:val="265F10E3"/>
    <w:rsid w:val="273D157D"/>
    <w:rsid w:val="276C6F54"/>
    <w:rsid w:val="27CA60F4"/>
    <w:rsid w:val="27E85AF1"/>
    <w:rsid w:val="27F460A8"/>
    <w:rsid w:val="28642F69"/>
    <w:rsid w:val="288E6A57"/>
    <w:rsid w:val="28BA076E"/>
    <w:rsid w:val="28C929C1"/>
    <w:rsid w:val="295220BC"/>
    <w:rsid w:val="29812B4E"/>
    <w:rsid w:val="29DA6B0B"/>
    <w:rsid w:val="2A093B18"/>
    <w:rsid w:val="2A8D7B4E"/>
    <w:rsid w:val="2ABD245A"/>
    <w:rsid w:val="2B412386"/>
    <w:rsid w:val="2BB34FD2"/>
    <w:rsid w:val="2BF11F1F"/>
    <w:rsid w:val="2C3C763E"/>
    <w:rsid w:val="2CEA687B"/>
    <w:rsid w:val="2D10606A"/>
    <w:rsid w:val="2D1633EB"/>
    <w:rsid w:val="2DE16C1F"/>
    <w:rsid w:val="2E1B2EA1"/>
    <w:rsid w:val="2E3B56D4"/>
    <w:rsid w:val="2E63511A"/>
    <w:rsid w:val="2E873278"/>
    <w:rsid w:val="2EB35320"/>
    <w:rsid w:val="2F111D48"/>
    <w:rsid w:val="2F317872"/>
    <w:rsid w:val="2F3F0C54"/>
    <w:rsid w:val="2F4615DA"/>
    <w:rsid w:val="30360848"/>
    <w:rsid w:val="305B205D"/>
    <w:rsid w:val="30ED2B9B"/>
    <w:rsid w:val="31197749"/>
    <w:rsid w:val="32691053"/>
    <w:rsid w:val="32A538A5"/>
    <w:rsid w:val="330E360D"/>
    <w:rsid w:val="334D0383"/>
    <w:rsid w:val="339B700D"/>
    <w:rsid w:val="33B37D2E"/>
    <w:rsid w:val="340E4A83"/>
    <w:rsid w:val="352620DC"/>
    <w:rsid w:val="35E5310F"/>
    <w:rsid w:val="35EA13C5"/>
    <w:rsid w:val="3606221E"/>
    <w:rsid w:val="36142AF0"/>
    <w:rsid w:val="3661430F"/>
    <w:rsid w:val="369D587E"/>
    <w:rsid w:val="36CE32C0"/>
    <w:rsid w:val="36CF1D5D"/>
    <w:rsid w:val="370F3BF6"/>
    <w:rsid w:val="372045D7"/>
    <w:rsid w:val="38402F41"/>
    <w:rsid w:val="38934DA2"/>
    <w:rsid w:val="38AD0855"/>
    <w:rsid w:val="39293004"/>
    <w:rsid w:val="39882115"/>
    <w:rsid w:val="399D5494"/>
    <w:rsid w:val="39E10D60"/>
    <w:rsid w:val="3B8242B6"/>
    <w:rsid w:val="3BFC5E74"/>
    <w:rsid w:val="3C0059BB"/>
    <w:rsid w:val="3C0779FE"/>
    <w:rsid w:val="3C5F3E33"/>
    <w:rsid w:val="3C9035B2"/>
    <w:rsid w:val="3CF35D7D"/>
    <w:rsid w:val="3D9B17E1"/>
    <w:rsid w:val="3F4E7207"/>
    <w:rsid w:val="3F5E4365"/>
    <w:rsid w:val="40B226C1"/>
    <w:rsid w:val="415470E2"/>
    <w:rsid w:val="41AF5742"/>
    <w:rsid w:val="41BB759E"/>
    <w:rsid w:val="41E12546"/>
    <w:rsid w:val="423430DF"/>
    <w:rsid w:val="4235760C"/>
    <w:rsid w:val="428E3EEB"/>
    <w:rsid w:val="42B740A7"/>
    <w:rsid w:val="432E715D"/>
    <w:rsid w:val="4353477A"/>
    <w:rsid w:val="43783307"/>
    <w:rsid w:val="439D67BD"/>
    <w:rsid w:val="43C05511"/>
    <w:rsid w:val="43E75C53"/>
    <w:rsid w:val="44095C00"/>
    <w:rsid w:val="446B6021"/>
    <w:rsid w:val="45121C4E"/>
    <w:rsid w:val="45FC7108"/>
    <w:rsid w:val="473A7BED"/>
    <w:rsid w:val="47863A67"/>
    <w:rsid w:val="478F71C4"/>
    <w:rsid w:val="47B75973"/>
    <w:rsid w:val="481C1C7A"/>
    <w:rsid w:val="4821786A"/>
    <w:rsid w:val="4825146D"/>
    <w:rsid w:val="49080E14"/>
    <w:rsid w:val="492856C4"/>
    <w:rsid w:val="49501D50"/>
    <w:rsid w:val="49B868ED"/>
    <w:rsid w:val="4A6169D0"/>
    <w:rsid w:val="4B013AD5"/>
    <w:rsid w:val="4B014864"/>
    <w:rsid w:val="4B954E7C"/>
    <w:rsid w:val="4C547FDF"/>
    <w:rsid w:val="4CA743A8"/>
    <w:rsid w:val="4D9549A9"/>
    <w:rsid w:val="4E520CC5"/>
    <w:rsid w:val="4E55235F"/>
    <w:rsid w:val="4E642718"/>
    <w:rsid w:val="4E6B046C"/>
    <w:rsid w:val="4E707289"/>
    <w:rsid w:val="4E9E4717"/>
    <w:rsid w:val="4EEA3D40"/>
    <w:rsid w:val="4F00728A"/>
    <w:rsid w:val="4F3F6AB1"/>
    <w:rsid w:val="4F543640"/>
    <w:rsid w:val="4F5D071B"/>
    <w:rsid w:val="4F740A98"/>
    <w:rsid w:val="4F776D85"/>
    <w:rsid w:val="4F9B688F"/>
    <w:rsid w:val="50BE7148"/>
    <w:rsid w:val="51E47CAD"/>
    <w:rsid w:val="5288688A"/>
    <w:rsid w:val="536D7DC6"/>
    <w:rsid w:val="53F24CF8"/>
    <w:rsid w:val="54087D99"/>
    <w:rsid w:val="54384D03"/>
    <w:rsid w:val="54A72003"/>
    <w:rsid w:val="55540CA5"/>
    <w:rsid w:val="56023921"/>
    <w:rsid w:val="561B779B"/>
    <w:rsid w:val="564F1C40"/>
    <w:rsid w:val="56864621"/>
    <w:rsid w:val="56DA58EF"/>
    <w:rsid w:val="5809250B"/>
    <w:rsid w:val="584835D9"/>
    <w:rsid w:val="598D4786"/>
    <w:rsid w:val="599F28D7"/>
    <w:rsid w:val="59FB5B04"/>
    <w:rsid w:val="5A3617D9"/>
    <w:rsid w:val="5A7F6B6C"/>
    <w:rsid w:val="5AEB7DEF"/>
    <w:rsid w:val="5AFB613D"/>
    <w:rsid w:val="5B884B20"/>
    <w:rsid w:val="5BAF251E"/>
    <w:rsid w:val="5BC0556E"/>
    <w:rsid w:val="5BC81C40"/>
    <w:rsid w:val="5C9933B1"/>
    <w:rsid w:val="5CF411CF"/>
    <w:rsid w:val="5DA327CA"/>
    <w:rsid w:val="5DD67BDE"/>
    <w:rsid w:val="5E2B7EEF"/>
    <w:rsid w:val="5E6A32E8"/>
    <w:rsid w:val="5F661D01"/>
    <w:rsid w:val="5FD74633"/>
    <w:rsid w:val="5FEA1F09"/>
    <w:rsid w:val="60E412C0"/>
    <w:rsid w:val="60F526E8"/>
    <w:rsid w:val="61005F92"/>
    <w:rsid w:val="61E323AE"/>
    <w:rsid w:val="623331AC"/>
    <w:rsid w:val="625772C4"/>
    <w:rsid w:val="626B1F1A"/>
    <w:rsid w:val="636F3034"/>
    <w:rsid w:val="6379740E"/>
    <w:rsid w:val="64852C29"/>
    <w:rsid w:val="64CD3E2F"/>
    <w:rsid w:val="650516A8"/>
    <w:rsid w:val="65330581"/>
    <w:rsid w:val="65830E72"/>
    <w:rsid w:val="66772A46"/>
    <w:rsid w:val="66E81280"/>
    <w:rsid w:val="674D7916"/>
    <w:rsid w:val="67C15816"/>
    <w:rsid w:val="680760CB"/>
    <w:rsid w:val="68C958EA"/>
    <w:rsid w:val="68E47FF4"/>
    <w:rsid w:val="69110DD3"/>
    <w:rsid w:val="691D526F"/>
    <w:rsid w:val="694B6F74"/>
    <w:rsid w:val="69676D3F"/>
    <w:rsid w:val="6A2E3597"/>
    <w:rsid w:val="6ADC731B"/>
    <w:rsid w:val="6B8F488F"/>
    <w:rsid w:val="6BBB74A5"/>
    <w:rsid w:val="6C144903"/>
    <w:rsid w:val="6C8D150C"/>
    <w:rsid w:val="6CE35249"/>
    <w:rsid w:val="6D685D7C"/>
    <w:rsid w:val="6DD00F51"/>
    <w:rsid w:val="6E39711A"/>
    <w:rsid w:val="6E3A1925"/>
    <w:rsid w:val="6E800ABB"/>
    <w:rsid w:val="6E997D6C"/>
    <w:rsid w:val="6EE449F0"/>
    <w:rsid w:val="6EF616F6"/>
    <w:rsid w:val="6F5D575B"/>
    <w:rsid w:val="6FA04A8D"/>
    <w:rsid w:val="711F2BA0"/>
    <w:rsid w:val="71467526"/>
    <w:rsid w:val="71B94AEA"/>
    <w:rsid w:val="722830EF"/>
    <w:rsid w:val="72513DDF"/>
    <w:rsid w:val="72627F63"/>
    <w:rsid w:val="72E41463"/>
    <w:rsid w:val="73027B3B"/>
    <w:rsid w:val="734224B7"/>
    <w:rsid w:val="735737DD"/>
    <w:rsid w:val="741C3F68"/>
    <w:rsid w:val="74C646D7"/>
    <w:rsid w:val="74FC2405"/>
    <w:rsid w:val="754058DD"/>
    <w:rsid w:val="770420D4"/>
    <w:rsid w:val="771A04F8"/>
    <w:rsid w:val="77BD2E3B"/>
    <w:rsid w:val="78424386"/>
    <w:rsid w:val="784A4B73"/>
    <w:rsid w:val="784F6FA6"/>
    <w:rsid w:val="786924FD"/>
    <w:rsid w:val="799B26EC"/>
    <w:rsid w:val="79BC0A44"/>
    <w:rsid w:val="79DC0617"/>
    <w:rsid w:val="7A5B3FA8"/>
    <w:rsid w:val="7AFD10CC"/>
    <w:rsid w:val="7B0A57DF"/>
    <w:rsid w:val="7B0E1773"/>
    <w:rsid w:val="7B2C1F4E"/>
    <w:rsid w:val="7B39121D"/>
    <w:rsid w:val="7BA174E1"/>
    <w:rsid w:val="7BC04FC3"/>
    <w:rsid w:val="7BE604E2"/>
    <w:rsid w:val="7CA72746"/>
    <w:rsid w:val="7D5B0573"/>
    <w:rsid w:val="7D731D61"/>
    <w:rsid w:val="7DC33C3F"/>
    <w:rsid w:val="7DD8512E"/>
    <w:rsid w:val="7DE45079"/>
    <w:rsid w:val="7EA81A90"/>
    <w:rsid w:val="7F2B14FE"/>
    <w:rsid w:val="7F8C44DA"/>
    <w:rsid w:val="7FC169F6"/>
    <w:rsid w:val="EDBD0CBB"/>
    <w:rsid w:val="F72F4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仿宋_GB2312" w:hAnsi="@仿宋_GB2312" w:eastAsia="@仿宋_GB2312" w:cs="@仿宋_GB2312"/>
      <w:kern w:val="2"/>
      <w:sz w:val="21"/>
      <w:lang w:val="en-US" w:eastAsia="zh-CN" w:bidi="ar-SA"/>
    </w:rPr>
  </w:style>
  <w:style w:type="paragraph" w:styleId="2">
    <w:name w:val="heading 1"/>
    <w:basedOn w:val="1"/>
    <w:next w:val="1"/>
    <w:link w:val="4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link w:val="42"/>
    <w:autoRedefine/>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66"/>
    <w:autoRedefine/>
    <w:qFormat/>
    <w:uiPriority w:val="0"/>
    <w:pPr>
      <w:keepNext/>
      <w:keepLines/>
      <w:spacing w:before="280" w:after="290" w:line="376" w:lineRule="auto"/>
      <w:outlineLvl w:val="3"/>
    </w:pPr>
    <w:rPr>
      <w:b/>
      <w:bCs/>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autoSpaceDE w:val="0"/>
      <w:autoSpaceDN w:val="0"/>
      <w:adjustRightInd w:val="0"/>
      <w:ind w:firstLine="420"/>
      <w:jc w:val="left"/>
    </w:pPr>
    <w:rPr>
      <w:rFonts w:ascii="宋体" w:hAnsi="Times New Roman" w:eastAsia="宋体" w:cs="Times New Roman"/>
      <w:kern w:val="0"/>
      <w:sz w:val="24"/>
    </w:rPr>
  </w:style>
  <w:style w:type="paragraph" w:styleId="7">
    <w:name w:val="toa heading"/>
    <w:basedOn w:val="1"/>
    <w:next w:val="1"/>
    <w:semiHidden/>
    <w:qFormat/>
    <w:uiPriority w:val="0"/>
    <w:pPr>
      <w:autoSpaceDE w:val="0"/>
      <w:autoSpaceDN w:val="0"/>
      <w:adjustRightInd w:val="0"/>
      <w:spacing w:before="120"/>
    </w:pPr>
    <w:rPr>
      <w:rFonts w:ascii="Arial" w:hAnsi="Arial" w:eastAsia="宋体" w:cs="Times New Roman"/>
    </w:rPr>
  </w:style>
  <w:style w:type="paragraph" w:styleId="8">
    <w:name w:val="annotation text"/>
    <w:basedOn w:val="1"/>
    <w:link w:val="60"/>
    <w:autoRedefine/>
    <w:qFormat/>
    <w:uiPriority w:val="0"/>
    <w:pPr>
      <w:jc w:val="left"/>
    </w:pPr>
    <w:rPr>
      <w:rFonts w:ascii="Arial" w:hAnsi="Arial" w:eastAsia="黑体" w:cs="Arial"/>
    </w:rPr>
  </w:style>
  <w:style w:type="paragraph" w:styleId="9">
    <w:name w:val="Body Text"/>
    <w:basedOn w:val="1"/>
    <w:next w:val="1"/>
    <w:link w:val="67"/>
    <w:autoRedefine/>
    <w:qFormat/>
    <w:uiPriority w:val="0"/>
    <w:pPr>
      <w:spacing w:after="120"/>
    </w:pPr>
    <w:rPr>
      <w:rFonts w:ascii="@微软简标宋" w:hAnsi="@微软简标宋" w:eastAsia="@微软简标宋" w:cs="@微软简标宋"/>
      <w:szCs w:val="24"/>
      <w:lang w:val="zh-CN"/>
    </w:rPr>
  </w:style>
  <w:style w:type="paragraph" w:styleId="10">
    <w:name w:val="Body Text Indent"/>
    <w:basedOn w:val="1"/>
    <w:next w:val="11"/>
    <w:semiHidden/>
    <w:unhideWhenUsed/>
    <w:qFormat/>
    <w:uiPriority w:val="99"/>
    <w:pPr>
      <w:ind w:left="420" w:leftChars="200"/>
    </w:pPr>
  </w:style>
  <w:style w:type="paragraph" w:styleId="11">
    <w:name w:val="envelope return"/>
    <w:basedOn w:val="1"/>
    <w:qFormat/>
    <w:uiPriority w:val="0"/>
    <w:pPr>
      <w:snapToGrid w:val="0"/>
    </w:pPr>
    <w:rPr>
      <w:rFonts w:ascii="Arial" w:hAnsi="Arial"/>
    </w:rPr>
  </w:style>
  <w:style w:type="paragraph" w:styleId="12">
    <w:name w:val="toc 3"/>
    <w:basedOn w:val="1"/>
    <w:next w:val="1"/>
    <w:autoRedefine/>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3">
    <w:name w:val="Plain Text"/>
    <w:basedOn w:val="1"/>
    <w:link w:val="49"/>
    <w:autoRedefine/>
    <w:qFormat/>
    <w:uiPriority w:val="99"/>
    <w:rPr>
      <w:rFonts w:ascii="宋体" w:hAnsi="Courier New" w:eastAsiaTheme="minorEastAsia" w:cstheme="minorBidi"/>
      <w:szCs w:val="22"/>
    </w:rPr>
  </w:style>
  <w:style w:type="paragraph" w:styleId="14">
    <w:name w:val="Date"/>
    <w:basedOn w:val="1"/>
    <w:next w:val="1"/>
    <w:link w:val="56"/>
    <w:autoRedefine/>
    <w:qFormat/>
    <w:uiPriority w:val="0"/>
    <w:rPr>
      <w:rFonts w:ascii="Arial" w:hAnsi="Arial" w:eastAsia="宋体" w:cs="Arial"/>
      <w:b/>
      <w:sz w:val="28"/>
    </w:rPr>
  </w:style>
  <w:style w:type="paragraph" w:styleId="15">
    <w:name w:val="Balloon Text"/>
    <w:basedOn w:val="1"/>
    <w:link w:val="43"/>
    <w:autoRedefine/>
    <w:semiHidden/>
    <w:unhideWhenUsed/>
    <w:qFormat/>
    <w:uiPriority w:val="99"/>
    <w:rPr>
      <w:sz w:val="18"/>
      <w:szCs w:val="18"/>
    </w:rPr>
  </w:style>
  <w:style w:type="paragraph" w:styleId="16">
    <w:name w:val="footer"/>
    <w:basedOn w:val="1"/>
    <w:link w:val="48"/>
    <w:autoRedefine/>
    <w:unhideWhenUsed/>
    <w:qFormat/>
    <w:uiPriority w:val="99"/>
    <w:pPr>
      <w:tabs>
        <w:tab w:val="center" w:pos="4153"/>
        <w:tab w:val="right" w:pos="8306"/>
      </w:tabs>
      <w:snapToGrid w:val="0"/>
      <w:jc w:val="left"/>
    </w:pPr>
    <w:rPr>
      <w:sz w:val="18"/>
      <w:szCs w:val="18"/>
    </w:rPr>
  </w:style>
  <w:style w:type="paragraph" w:styleId="17">
    <w:name w:val="header"/>
    <w:basedOn w:val="1"/>
    <w:link w:val="47"/>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19">
    <w:name w:val="toc 2"/>
    <w:basedOn w:val="1"/>
    <w:next w:val="1"/>
    <w:autoRedefine/>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20">
    <w:name w:val="Normal (Web)"/>
    <w:basedOn w:val="1"/>
    <w:autoRedefine/>
    <w:qFormat/>
    <w:uiPriority w:val="0"/>
    <w:pPr>
      <w:spacing w:before="100" w:beforeAutospacing="1" w:after="100" w:afterAutospacing="1"/>
      <w:jc w:val="left"/>
    </w:pPr>
    <w:rPr>
      <w:rFonts w:cs="Times New Roman"/>
      <w:kern w:val="0"/>
      <w:sz w:val="24"/>
    </w:rPr>
  </w:style>
  <w:style w:type="paragraph" w:styleId="21">
    <w:name w:val="index 1"/>
    <w:basedOn w:val="1"/>
    <w:next w:val="1"/>
    <w:autoRedefine/>
    <w:qFormat/>
    <w:uiPriority w:val="0"/>
    <w:pPr>
      <w:jc w:val="center"/>
    </w:pPr>
    <w:rPr>
      <w:rFonts w:ascii="Arial" w:hAnsi="Arial" w:eastAsia="Arial" w:cs="Arial"/>
      <w:b/>
      <w:bCs/>
      <w:sz w:val="28"/>
    </w:rPr>
  </w:style>
  <w:style w:type="paragraph" w:styleId="22">
    <w:name w:val="annotation subject"/>
    <w:basedOn w:val="8"/>
    <w:next w:val="8"/>
    <w:link w:val="72"/>
    <w:semiHidden/>
    <w:unhideWhenUsed/>
    <w:qFormat/>
    <w:uiPriority w:val="99"/>
    <w:rPr>
      <w:rFonts w:ascii="@仿宋_GB2312" w:hAnsi="@仿宋_GB2312" w:eastAsia="@仿宋_GB2312" w:cs="@仿宋_GB2312"/>
      <w:b/>
      <w:bCs/>
    </w:rPr>
  </w:style>
  <w:style w:type="paragraph" w:styleId="23">
    <w:name w:val="Body Text First Indent"/>
    <w:basedOn w:val="9"/>
    <w:autoRedefine/>
    <w:unhideWhenUsed/>
    <w:qFormat/>
    <w:uiPriority w:val="99"/>
    <w:pPr>
      <w:ind w:firstLine="420" w:firstLineChars="100"/>
    </w:pPr>
  </w:style>
  <w:style w:type="paragraph" w:styleId="24">
    <w:name w:val="Body Text First Indent 2"/>
    <w:basedOn w:val="10"/>
    <w:next w:val="1"/>
    <w:semiHidden/>
    <w:unhideWhenUsed/>
    <w:qFormat/>
    <w:uiPriority w:val="99"/>
    <w:pPr>
      <w:ind w:firstLine="420" w:firstLineChars="200"/>
    </w:pPr>
  </w:style>
  <w:style w:type="table" w:styleId="26">
    <w:name w:val="Table Grid"/>
    <w:basedOn w:val="25"/>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autoRedefine/>
    <w:qFormat/>
    <w:uiPriority w:val="0"/>
    <w:rPr>
      <w:b/>
      <w:bCs/>
    </w:rPr>
  </w:style>
  <w:style w:type="character" w:styleId="29">
    <w:name w:val="FollowedHyperlink"/>
    <w:basedOn w:val="27"/>
    <w:autoRedefine/>
    <w:semiHidden/>
    <w:unhideWhenUsed/>
    <w:qFormat/>
    <w:uiPriority w:val="99"/>
    <w:rPr>
      <w:color w:val="800080"/>
      <w:u w:val="none"/>
    </w:rPr>
  </w:style>
  <w:style w:type="character" w:styleId="30">
    <w:name w:val="Emphasis"/>
    <w:basedOn w:val="27"/>
    <w:autoRedefine/>
    <w:qFormat/>
    <w:uiPriority w:val="20"/>
    <w:rPr>
      <w:b/>
      <w:bCs/>
    </w:rPr>
  </w:style>
  <w:style w:type="character" w:styleId="31">
    <w:name w:val="HTML Definition"/>
    <w:basedOn w:val="27"/>
    <w:autoRedefine/>
    <w:semiHidden/>
    <w:unhideWhenUsed/>
    <w:qFormat/>
    <w:uiPriority w:val="99"/>
  </w:style>
  <w:style w:type="character" w:styleId="32">
    <w:name w:val="HTML Typewriter"/>
    <w:basedOn w:val="27"/>
    <w:autoRedefine/>
    <w:semiHidden/>
    <w:unhideWhenUsed/>
    <w:qFormat/>
    <w:uiPriority w:val="99"/>
    <w:rPr>
      <w:rFonts w:hint="default" w:ascii="monospace" w:hAnsi="monospace" w:eastAsia="monospace" w:cs="monospace"/>
      <w:sz w:val="20"/>
    </w:rPr>
  </w:style>
  <w:style w:type="character" w:styleId="33">
    <w:name w:val="HTML Acronym"/>
    <w:basedOn w:val="27"/>
    <w:autoRedefine/>
    <w:semiHidden/>
    <w:unhideWhenUsed/>
    <w:qFormat/>
    <w:uiPriority w:val="99"/>
  </w:style>
  <w:style w:type="character" w:styleId="34">
    <w:name w:val="HTML Variable"/>
    <w:basedOn w:val="27"/>
    <w:autoRedefine/>
    <w:semiHidden/>
    <w:unhideWhenUsed/>
    <w:qFormat/>
    <w:uiPriority w:val="99"/>
  </w:style>
  <w:style w:type="character" w:styleId="35">
    <w:name w:val="Hyperlink"/>
    <w:basedOn w:val="27"/>
    <w:autoRedefine/>
    <w:unhideWhenUsed/>
    <w:qFormat/>
    <w:uiPriority w:val="99"/>
    <w:rPr>
      <w:color w:val="0000FF" w:themeColor="hyperlink"/>
      <w:u w:val="single"/>
      <w14:textFill>
        <w14:solidFill>
          <w14:schemeClr w14:val="hlink"/>
        </w14:solidFill>
      </w14:textFill>
    </w:rPr>
  </w:style>
  <w:style w:type="character" w:styleId="36">
    <w:name w:val="HTML Code"/>
    <w:basedOn w:val="27"/>
    <w:autoRedefine/>
    <w:semiHidden/>
    <w:unhideWhenUsed/>
    <w:qFormat/>
    <w:uiPriority w:val="99"/>
    <w:rPr>
      <w:rFonts w:ascii="monospace" w:hAnsi="monospace" w:eastAsia="monospace" w:cs="monospace"/>
      <w:sz w:val="20"/>
    </w:rPr>
  </w:style>
  <w:style w:type="character" w:styleId="37">
    <w:name w:val="annotation reference"/>
    <w:basedOn w:val="27"/>
    <w:semiHidden/>
    <w:unhideWhenUsed/>
    <w:qFormat/>
    <w:uiPriority w:val="99"/>
    <w:rPr>
      <w:sz w:val="21"/>
      <w:szCs w:val="21"/>
    </w:rPr>
  </w:style>
  <w:style w:type="character" w:styleId="38">
    <w:name w:val="HTML Cite"/>
    <w:basedOn w:val="27"/>
    <w:autoRedefine/>
    <w:semiHidden/>
    <w:unhideWhenUsed/>
    <w:qFormat/>
    <w:uiPriority w:val="99"/>
  </w:style>
  <w:style w:type="character" w:styleId="39">
    <w:name w:val="HTML Keyboard"/>
    <w:basedOn w:val="27"/>
    <w:autoRedefine/>
    <w:semiHidden/>
    <w:unhideWhenUsed/>
    <w:qFormat/>
    <w:uiPriority w:val="99"/>
    <w:rPr>
      <w:rFonts w:hint="default" w:ascii="monospace" w:hAnsi="monospace" w:eastAsia="monospace" w:cs="monospace"/>
      <w:sz w:val="20"/>
    </w:rPr>
  </w:style>
  <w:style w:type="character" w:styleId="40">
    <w:name w:val="HTML Sample"/>
    <w:basedOn w:val="27"/>
    <w:autoRedefine/>
    <w:semiHidden/>
    <w:unhideWhenUsed/>
    <w:qFormat/>
    <w:uiPriority w:val="99"/>
    <w:rPr>
      <w:rFonts w:hint="default" w:ascii="monospace" w:hAnsi="monospace" w:eastAsia="monospace" w:cs="monospace"/>
    </w:rPr>
  </w:style>
  <w:style w:type="character" w:customStyle="1" w:styleId="41">
    <w:name w:val="标题 1 字符"/>
    <w:basedOn w:val="27"/>
    <w:link w:val="2"/>
    <w:autoRedefine/>
    <w:qFormat/>
    <w:uiPriority w:val="9"/>
    <w:rPr>
      <w:rFonts w:ascii="@仿宋_GB2312" w:hAnsi="@仿宋_GB2312" w:eastAsia="@仿宋_GB2312" w:cs="@仿宋_GB2312"/>
      <w:b/>
      <w:bCs/>
      <w:kern w:val="44"/>
      <w:sz w:val="44"/>
      <w:szCs w:val="44"/>
    </w:rPr>
  </w:style>
  <w:style w:type="character" w:customStyle="1" w:styleId="42">
    <w:name w:val="标题 3 字符"/>
    <w:basedOn w:val="27"/>
    <w:link w:val="4"/>
    <w:autoRedefine/>
    <w:semiHidden/>
    <w:qFormat/>
    <w:uiPriority w:val="9"/>
    <w:rPr>
      <w:rFonts w:ascii="@仿宋_GB2312" w:hAnsi="@仿宋_GB2312" w:eastAsia="@仿宋_GB2312" w:cs="@仿宋_GB2312"/>
      <w:b/>
      <w:bCs/>
      <w:sz w:val="32"/>
      <w:szCs w:val="32"/>
    </w:rPr>
  </w:style>
  <w:style w:type="character" w:customStyle="1" w:styleId="43">
    <w:name w:val="批注框文本 字符"/>
    <w:basedOn w:val="27"/>
    <w:link w:val="15"/>
    <w:autoRedefine/>
    <w:semiHidden/>
    <w:qFormat/>
    <w:uiPriority w:val="99"/>
    <w:rPr>
      <w:rFonts w:ascii="@仿宋_GB2312" w:hAnsi="@仿宋_GB2312" w:eastAsia="@仿宋_GB2312" w:cs="@仿宋_GB2312"/>
      <w:sz w:val="18"/>
      <w:szCs w:val="18"/>
    </w:rPr>
  </w:style>
  <w:style w:type="paragraph" w:customStyle="1" w:styleId="44">
    <w:name w:val="正文（缩进）"/>
    <w:basedOn w:val="1"/>
    <w:autoRedefine/>
    <w:qFormat/>
    <w:uiPriority w:val="0"/>
    <w:pPr>
      <w:widowControl/>
      <w:spacing w:before="156" w:after="156"/>
      <w:ind w:firstLine="480" w:firstLineChars="200"/>
      <w:jc w:val="left"/>
    </w:pPr>
    <w:rPr>
      <w:kern w:val="0"/>
      <w:sz w:val="24"/>
      <w:szCs w:val="24"/>
    </w:rPr>
  </w:style>
  <w:style w:type="paragraph" w:customStyle="1" w:styleId="45">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46">
    <w:name w:val="D&amp;L"/>
    <w:basedOn w:val="17"/>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47">
    <w:name w:val="页眉 字符"/>
    <w:basedOn w:val="27"/>
    <w:link w:val="17"/>
    <w:autoRedefine/>
    <w:qFormat/>
    <w:uiPriority w:val="0"/>
    <w:rPr>
      <w:rFonts w:ascii="@仿宋_GB2312" w:hAnsi="@仿宋_GB2312" w:eastAsia="@仿宋_GB2312" w:cs="@仿宋_GB2312"/>
      <w:sz w:val="18"/>
      <w:szCs w:val="18"/>
    </w:rPr>
  </w:style>
  <w:style w:type="character" w:customStyle="1" w:styleId="48">
    <w:name w:val="页脚 字符"/>
    <w:basedOn w:val="27"/>
    <w:link w:val="16"/>
    <w:autoRedefine/>
    <w:qFormat/>
    <w:uiPriority w:val="99"/>
    <w:rPr>
      <w:rFonts w:ascii="@仿宋_GB2312" w:hAnsi="@仿宋_GB2312" w:eastAsia="@仿宋_GB2312" w:cs="@仿宋_GB2312"/>
      <w:sz w:val="18"/>
      <w:szCs w:val="18"/>
    </w:rPr>
  </w:style>
  <w:style w:type="character" w:customStyle="1" w:styleId="49">
    <w:name w:val="纯文本 字符"/>
    <w:link w:val="13"/>
    <w:autoRedefine/>
    <w:qFormat/>
    <w:uiPriority w:val="0"/>
    <w:rPr>
      <w:rFonts w:ascii="宋体" w:hAnsi="Courier New"/>
    </w:rPr>
  </w:style>
  <w:style w:type="character" w:customStyle="1" w:styleId="50">
    <w:name w:val="纯文本 字符1"/>
    <w:basedOn w:val="27"/>
    <w:autoRedefine/>
    <w:semiHidden/>
    <w:qFormat/>
    <w:uiPriority w:val="99"/>
    <w:rPr>
      <w:rFonts w:hAnsi="Courier New" w:cs="Courier New" w:asciiTheme="minorEastAsia"/>
      <w:szCs w:val="20"/>
    </w:rPr>
  </w:style>
  <w:style w:type="character" w:customStyle="1" w:styleId="51">
    <w:name w:val="未处理的提及1"/>
    <w:basedOn w:val="27"/>
    <w:autoRedefine/>
    <w:semiHidden/>
    <w:unhideWhenUsed/>
    <w:qFormat/>
    <w:uiPriority w:val="99"/>
    <w:rPr>
      <w:color w:val="605E5C"/>
      <w:shd w:val="clear" w:color="auto" w:fill="E1DFDD"/>
    </w:rPr>
  </w:style>
  <w:style w:type="paragraph" w:styleId="52">
    <w:name w:val="List Paragraph"/>
    <w:basedOn w:val="1"/>
    <w:autoRedefine/>
    <w:qFormat/>
    <w:uiPriority w:val="34"/>
    <w:pPr>
      <w:ind w:firstLine="420" w:firstLineChars="200"/>
    </w:pPr>
  </w:style>
  <w:style w:type="paragraph" w:customStyle="1" w:styleId="53">
    <w:name w:val="Char Char Char Char Char Char Char1 Char"/>
    <w:basedOn w:val="1"/>
    <w:autoRedefine/>
    <w:qFormat/>
    <w:uiPriority w:val="0"/>
    <w:rPr>
      <w:rFonts w:ascii="Arial" w:hAnsi="Arial" w:eastAsia="宋体" w:cs="Arial"/>
      <w:sz w:val="24"/>
    </w:rPr>
  </w:style>
  <w:style w:type="table" w:customStyle="1" w:styleId="54">
    <w:name w:val="网格表 1 浅色1"/>
    <w:basedOn w:val="25"/>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55">
    <w:name w:val="日期 字符"/>
    <w:basedOn w:val="27"/>
    <w:autoRedefine/>
    <w:semiHidden/>
    <w:qFormat/>
    <w:uiPriority w:val="99"/>
    <w:rPr>
      <w:rFonts w:ascii="@仿宋_GB2312" w:hAnsi="@仿宋_GB2312" w:eastAsia="@仿宋_GB2312" w:cs="@仿宋_GB2312"/>
      <w:szCs w:val="20"/>
    </w:rPr>
  </w:style>
  <w:style w:type="character" w:customStyle="1" w:styleId="56">
    <w:name w:val="日期 字符1"/>
    <w:link w:val="14"/>
    <w:autoRedefine/>
    <w:qFormat/>
    <w:uiPriority w:val="0"/>
    <w:rPr>
      <w:rFonts w:ascii="Arial" w:hAnsi="Arial" w:eastAsia="宋体" w:cs="Arial"/>
      <w:b/>
      <w:sz w:val="28"/>
      <w:szCs w:val="20"/>
    </w:rPr>
  </w:style>
  <w:style w:type="character" w:customStyle="1" w:styleId="57">
    <w:name w:val="纯文本 Char1"/>
    <w:link w:val="58"/>
    <w:autoRedefine/>
    <w:qFormat/>
    <w:locked/>
    <w:uiPriority w:val="0"/>
    <w:rPr>
      <w:rFonts w:ascii="Arial" w:hAnsi="Arial" w:eastAsia="Arial"/>
      <w:kern w:val="2"/>
      <w:sz w:val="21"/>
      <w:lang w:val="en-US" w:eastAsia="zh-CN" w:bidi="ar-SA"/>
    </w:rPr>
  </w:style>
  <w:style w:type="paragraph" w:customStyle="1" w:styleId="58">
    <w:name w:val="纯文本1"/>
    <w:basedOn w:val="1"/>
    <w:link w:val="57"/>
    <w:autoRedefine/>
    <w:qFormat/>
    <w:uiPriority w:val="0"/>
    <w:rPr>
      <w:rFonts w:ascii="Arial" w:hAnsi="Arial" w:eastAsia="Arial" w:cstheme="minorBidi"/>
    </w:rPr>
  </w:style>
  <w:style w:type="character" w:customStyle="1" w:styleId="59">
    <w:name w:val="批注文字 Char"/>
    <w:basedOn w:val="27"/>
    <w:autoRedefine/>
    <w:semiHidden/>
    <w:qFormat/>
    <w:uiPriority w:val="99"/>
    <w:rPr>
      <w:rFonts w:ascii="@仿宋_GB2312" w:hAnsi="@仿宋_GB2312" w:eastAsia="@仿宋_GB2312" w:cs="@仿宋_GB2312"/>
      <w:szCs w:val="20"/>
    </w:rPr>
  </w:style>
  <w:style w:type="character" w:customStyle="1" w:styleId="60">
    <w:name w:val="批注文字 字符"/>
    <w:link w:val="8"/>
    <w:autoRedefine/>
    <w:qFormat/>
    <w:uiPriority w:val="0"/>
    <w:rPr>
      <w:rFonts w:ascii="Arial" w:hAnsi="Arial" w:eastAsia="黑体" w:cs="Arial"/>
      <w:szCs w:val="20"/>
    </w:rPr>
  </w:style>
  <w:style w:type="paragraph" w:customStyle="1" w:styleId="61">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62">
    <w:name w:val="fontstyle01"/>
    <w:basedOn w:val="27"/>
    <w:autoRedefine/>
    <w:qFormat/>
    <w:uiPriority w:val="0"/>
    <w:rPr>
      <w:rFonts w:hint="eastAsia" w:ascii="宋体" w:hAnsi="宋体" w:eastAsia="宋体"/>
      <w:color w:val="000000"/>
      <w:sz w:val="22"/>
      <w:szCs w:val="22"/>
    </w:rPr>
  </w:style>
  <w:style w:type="character" w:customStyle="1" w:styleId="63">
    <w:name w:val="fontstyle21"/>
    <w:basedOn w:val="27"/>
    <w:autoRedefine/>
    <w:qFormat/>
    <w:uiPriority w:val="0"/>
    <w:rPr>
      <w:rFonts w:hint="default" w:ascii="TimesNewRomanPSMT" w:hAnsi="TimesNewRomanPSMT"/>
      <w:color w:val="000000"/>
      <w:sz w:val="22"/>
      <w:szCs w:val="22"/>
    </w:rPr>
  </w:style>
  <w:style w:type="character" w:customStyle="1" w:styleId="64">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65">
    <w:name w:val="标题 4 字符"/>
    <w:basedOn w:val="27"/>
    <w:autoRedefine/>
    <w:semiHidden/>
    <w:qFormat/>
    <w:uiPriority w:val="9"/>
    <w:rPr>
      <w:rFonts w:asciiTheme="majorHAnsi" w:hAnsiTheme="majorHAnsi" w:eastAsiaTheme="majorEastAsia" w:cstheme="majorBidi"/>
      <w:b/>
      <w:bCs/>
      <w:sz w:val="28"/>
      <w:szCs w:val="28"/>
    </w:rPr>
  </w:style>
  <w:style w:type="character" w:customStyle="1" w:styleId="66">
    <w:name w:val="标题 4 字符1"/>
    <w:link w:val="5"/>
    <w:autoRedefine/>
    <w:qFormat/>
    <w:uiPriority w:val="0"/>
    <w:rPr>
      <w:rFonts w:ascii="@仿宋_GB2312" w:hAnsi="@仿宋_GB2312" w:eastAsia="@仿宋_GB2312" w:cs="@仿宋_GB2312"/>
      <w:b/>
      <w:bCs/>
      <w:sz w:val="28"/>
      <w:szCs w:val="28"/>
    </w:rPr>
  </w:style>
  <w:style w:type="character" w:customStyle="1" w:styleId="67">
    <w:name w:val="正文文本 字符"/>
    <w:basedOn w:val="27"/>
    <w:link w:val="9"/>
    <w:autoRedefine/>
    <w:qFormat/>
    <w:uiPriority w:val="0"/>
    <w:rPr>
      <w:rFonts w:ascii="@微软简标宋" w:hAnsi="@微软简标宋" w:eastAsia="@微软简标宋" w:cs="@微软简标宋"/>
      <w:szCs w:val="24"/>
      <w:lang w:val="zh-CN" w:eastAsia="zh-CN"/>
    </w:rPr>
  </w:style>
  <w:style w:type="table" w:customStyle="1" w:styleId="68">
    <w:name w:val="网格型1"/>
    <w:basedOn w:val="25"/>
    <w:autoRedefine/>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
    <w:name w:val="Table Normal"/>
    <w:autoRedefine/>
    <w:semiHidden/>
    <w:unhideWhenUsed/>
    <w:qFormat/>
    <w:uiPriority w:val="0"/>
    <w:tblPr>
      <w:tblCellMar>
        <w:top w:w="0" w:type="dxa"/>
        <w:left w:w="0" w:type="dxa"/>
        <w:bottom w:w="0" w:type="dxa"/>
        <w:right w:w="0" w:type="dxa"/>
      </w:tblCellMar>
    </w:tblPr>
  </w:style>
  <w:style w:type="paragraph" w:customStyle="1" w:styleId="70">
    <w:name w:val="Table Text"/>
    <w:basedOn w:val="1"/>
    <w:autoRedefine/>
    <w:semiHidden/>
    <w:qFormat/>
    <w:uiPriority w:val="0"/>
    <w:rPr>
      <w:rFonts w:ascii="Arial" w:hAnsi="Arial" w:eastAsia="Arial" w:cs="Arial"/>
      <w:szCs w:val="21"/>
      <w:lang w:eastAsia="en-US"/>
    </w:rPr>
  </w:style>
  <w:style w:type="paragraph" w:customStyle="1" w:styleId="71">
    <w:name w:val="Table Paragraph"/>
    <w:basedOn w:val="1"/>
    <w:qFormat/>
    <w:uiPriority w:val="1"/>
    <w:pPr>
      <w:autoSpaceDE w:val="0"/>
      <w:autoSpaceDN w:val="0"/>
      <w:jc w:val="left"/>
    </w:pPr>
    <w:rPr>
      <w:rFonts w:ascii="宋体" w:hAnsi="宋体" w:eastAsia="宋体" w:cs="宋体"/>
      <w:kern w:val="0"/>
      <w:sz w:val="22"/>
      <w:lang w:val="zh-CN" w:bidi="zh-CN"/>
    </w:rPr>
  </w:style>
  <w:style w:type="character" w:customStyle="1" w:styleId="72">
    <w:name w:val="批注主题 字符"/>
    <w:basedOn w:val="60"/>
    <w:link w:val="22"/>
    <w:semiHidden/>
    <w:qFormat/>
    <w:uiPriority w:val="99"/>
    <w:rPr>
      <w:rFonts w:ascii="@仿宋_GB2312" w:hAnsi="@仿宋_GB2312" w:eastAsia="@仿宋_GB2312" w:cs="@仿宋_GB2312"/>
      <w:b/>
      <w:bCs/>
      <w:kern w:val="2"/>
      <w:sz w:val="21"/>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StyleName="APA" SelectedStyle="\APA.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5351A8-48F5-4B18-AF42-26053916CB99}">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66</Pages>
  <Words>1409</Words>
  <Characters>1690</Characters>
  <Lines>286</Lines>
  <Paragraphs>80</Paragraphs>
  <TotalTime>24</TotalTime>
  <ScaleCrop>false</ScaleCrop>
  <LinksUpToDate>false</LinksUpToDate>
  <CharactersWithSpaces>1770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2025-05-20T02:58:00Z</dcterms:created>
  <dc:creator>Anakin</dc:creator>
  <cp:lastModifiedBy>Fairy</cp:lastModifiedBy>
  <cp:lastPrinted>2019-12-07T23:20:00Z</cp:lastPrinted>
  <dcterms:modified xsi:type="dcterms:W3CDTF">2025-06-10T01:47:10Z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5CFE63E27C4D4C969D8584AFA1D84A15_13</vt:lpwstr>
  </property>
  <property fmtid="{D5CDD505-2E9C-101B-9397-08002B2CF9AE}" pid="4" name="KSOTemplateDocerSaveRecord">
    <vt:lpwstr>eyJoZGlkIjoiZTM3Y2ZhOWJlMTQyZGFkOWNkMDY5MmFiM2ZkMzM4YjgiLCJ1c2VySWQiOiIxMTc1MDMzODc2In0=</vt:lpwstr>
  </property>
</Properties>
</file>